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9262B">
      <w:pPr>
        <w:adjustRightInd/>
        <w:spacing w:line="360" w:lineRule="auto"/>
        <w:rPr>
          <w:rFonts w:ascii="仿宋" w:hAnsi="仿宋" w:eastAsia="仿宋" w:cs="仿宋"/>
          <w:b/>
          <w:sz w:val="44"/>
          <w:szCs w:val="44"/>
        </w:rPr>
      </w:pPr>
    </w:p>
    <w:p w14:paraId="3812772D">
      <w:pPr>
        <w:adjustRightInd/>
        <w:spacing w:line="360" w:lineRule="auto"/>
        <w:jc w:val="center"/>
        <w:rPr>
          <w:rFonts w:hint="eastAsia" w:ascii="仿宋" w:hAnsi="仿宋" w:eastAsia="仿宋" w:cs="仿宋"/>
          <w:b/>
          <w:sz w:val="48"/>
          <w:szCs w:val="48"/>
          <w:lang w:eastAsia="zh-CN"/>
        </w:rPr>
      </w:pPr>
      <w:r>
        <w:rPr>
          <w:rFonts w:hint="eastAsia" w:ascii="仿宋" w:hAnsi="仿宋" w:eastAsia="仿宋" w:cs="仿宋"/>
          <w:b/>
          <w:spacing w:val="-28"/>
          <w:sz w:val="48"/>
          <w:szCs w:val="48"/>
          <w:lang w:eastAsia="zh-CN"/>
        </w:rPr>
        <w:t>闻堰街道定山工业园区西区块、湘湖单元（杨岐山片区）改造项目搬迁评估项目</w:t>
      </w:r>
    </w:p>
    <w:p w14:paraId="2CE1E0E8">
      <w:pPr>
        <w:pStyle w:val="18"/>
        <w:rPr>
          <w:rFonts w:ascii="仿宋" w:hAnsi="仿宋" w:eastAsia="仿宋" w:cs="仿宋"/>
          <w:color w:val="auto"/>
        </w:rPr>
      </w:pPr>
    </w:p>
    <w:p w14:paraId="4C766A7F">
      <w:pPr>
        <w:pStyle w:val="18"/>
        <w:rPr>
          <w:rFonts w:ascii="仿宋" w:hAnsi="仿宋" w:eastAsia="仿宋" w:cs="仿宋"/>
          <w:color w:val="auto"/>
        </w:rPr>
      </w:pPr>
    </w:p>
    <w:p w14:paraId="5DB015AA">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0B61CDD9">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22DAC805">
      <w:pPr>
        <w:snapToGrid w:val="0"/>
        <w:spacing w:line="360" w:lineRule="auto"/>
        <w:ind w:firstLine="3012" w:firstLineChars="1000"/>
        <w:rPr>
          <w:rFonts w:hint="default" w:ascii="仿宋" w:hAnsi="仿宋" w:eastAsia="仿宋" w:cs="仿宋"/>
          <w:b/>
          <w:bCs/>
          <w:sz w:val="30"/>
          <w:szCs w:val="30"/>
          <w:lang w:val="en-US" w:eastAsia="zh-CN"/>
        </w:rPr>
      </w:pPr>
      <w:r>
        <w:rPr>
          <w:rFonts w:hint="eastAsia" w:ascii="仿宋" w:hAnsi="仿宋" w:eastAsia="仿宋" w:cs="仿宋"/>
          <w:b/>
          <w:bCs/>
          <w:sz w:val="30"/>
          <w:szCs w:val="30"/>
        </w:rPr>
        <w:t>编号:</w:t>
      </w:r>
      <w:r>
        <w:rPr>
          <w:rFonts w:hint="eastAsia" w:ascii="仿宋" w:hAnsi="仿宋" w:eastAsia="仿宋" w:cs="仿宋"/>
          <w:b/>
          <w:bCs/>
          <w:sz w:val="30"/>
          <w:szCs w:val="30"/>
          <w:lang w:val="en-US" w:eastAsia="zh-CN"/>
        </w:rPr>
        <w:t>XL-GYGK-2025073</w:t>
      </w:r>
    </w:p>
    <w:p w14:paraId="76F1001E">
      <w:pPr>
        <w:adjustRightInd/>
        <w:spacing w:line="360" w:lineRule="auto"/>
        <w:jc w:val="center"/>
        <w:rPr>
          <w:rFonts w:ascii="仿宋" w:hAnsi="仿宋" w:eastAsia="仿宋" w:cs="仿宋"/>
          <w:b/>
          <w:sz w:val="56"/>
          <w:szCs w:val="72"/>
        </w:rPr>
      </w:pPr>
    </w:p>
    <w:p w14:paraId="7352BE7D">
      <w:pPr>
        <w:spacing w:line="360" w:lineRule="auto"/>
        <w:jc w:val="center"/>
        <w:rPr>
          <w:rFonts w:ascii="仿宋" w:hAnsi="仿宋" w:eastAsia="仿宋" w:cs="仿宋"/>
          <w:b/>
          <w:sz w:val="24"/>
        </w:rPr>
      </w:pPr>
    </w:p>
    <w:p w14:paraId="18D22FAC">
      <w:pPr>
        <w:pStyle w:val="7"/>
        <w:numPr>
          <w:ilvl w:val="2"/>
          <w:numId w:val="0"/>
        </w:numPr>
        <w:rPr>
          <w:rFonts w:ascii="仿宋" w:hAnsi="仿宋" w:eastAsia="仿宋" w:cs="仿宋"/>
        </w:rPr>
      </w:pPr>
    </w:p>
    <w:p w14:paraId="1B3993B1">
      <w:pPr>
        <w:pStyle w:val="7"/>
        <w:numPr>
          <w:ilvl w:val="2"/>
          <w:numId w:val="0"/>
        </w:numPr>
        <w:rPr>
          <w:rFonts w:ascii="仿宋" w:hAnsi="仿宋" w:eastAsia="仿宋" w:cs="仿宋"/>
        </w:rPr>
      </w:pPr>
    </w:p>
    <w:p w14:paraId="4B851BEB">
      <w:pPr>
        <w:rPr>
          <w:rFonts w:ascii="仿宋" w:hAnsi="仿宋" w:eastAsia="仿宋" w:cs="仿宋"/>
        </w:rPr>
      </w:pPr>
    </w:p>
    <w:p w14:paraId="78B88B9A">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浙江湘旅绿色开发建设有限公司</w:t>
      </w:r>
    </w:p>
    <w:p w14:paraId="7F48B05C">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浙江华域高宇项目管理有限公司</w:t>
      </w:r>
    </w:p>
    <w:p w14:paraId="71D4B335">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一</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二十二</w:t>
      </w:r>
      <w:r>
        <w:rPr>
          <w:rFonts w:hint="eastAsia" w:ascii="仿宋" w:hAnsi="仿宋" w:eastAsia="仿宋" w:cs="仿宋"/>
          <w:bCs/>
          <w:sz w:val="32"/>
          <w:szCs w:val="32"/>
        </w:rPr>
        <w:t>日</w:t>
      </w:r>
      <w:r>
        <w:rPr>
          <w:rFonts w:hint="eastAsia" w:ascii="仿宋" w:hAnsi="仿宋" w:eastAsia="仿宋" w:cs="仿宋"/>
          <w:sz w:val="24"/>
        </w:rPr>
        <w:br w:type="page"/>
      </w:r>
      <w:bookmarkStart w:id="0" w:name="_Hlt67893495"/>
      <w:bookmarkEnd w:id="0"/>
    </w:p>
    <w:p w14:paraId="6ABC5320">
      <w:pPr>
        <w:spacing w:line="360" w:lineRule="auto"/>
        <w:jc w:val="center"/>
        <w:rPr>
          <w:rFonts w:ascii="仿宋" w:hAnsi="仿宋" w:eastAsia="仿宋" w:cs="仿宋"/>
          <w:sz w:val="24"/>
        </w:rPr>
      </w:pPr>
    </w:p>
    <w:p w14:paraId="291DAFFD">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FB46A18">
      <w:pPr>
        <w:spacing w:line="360" w:lineRule="auto"/>
        <w:rPr>
          <w:rFonts w:ascii="仿宋" w:hAnsi="仿宋" w:eastAsia="仿宋" w:cs="仿宋"/>
          <w:sz w:val="32"/>
          <w:szCs w:val="32"/>
        </w:rPr>
      </w:pPr>
    </w:p>
    <w:p w14:paraId="7443AC06">
      <w:pPr>
        <w:spacing w:line="360" w:lineRule="auto"/>
        <w:rPr>
          <w:rFonts w:ascii="仿宋" w:hAnsi="仿宋" w:eastAsia="仿宋" w:cs="仿宋"/>
          <w:sz w:val="32"/>
          <w:szCs w:val="32"/>
        </w:rPr>
      </w:pPr>
    </w:p>
    <w:p w14:paraId="031311BA">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1E95C04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22B41D0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w:t>
      </w:r>
      <w:r>
        <w:rPr>
          <w:rFonts w:ascii="仿宋" w:hAnsi="仿宋" w:eastAsia="仿宋" w:cs="仿宋"/>
          <w:sz w:val="32"/>
          <w:szCs w:val="32"/>
        </w:rPr>
        <w:t xml:space="preserve">      </w:t>
      </w:r>
      <w:r>
        <w:rPr>
          <w:rFonts w:hint="eastAsia" w:ascii="仿宋" w:hAnsi="仿宋" w:eastAsia="仿宋" w:cs="仿宋"/>
          <w:sz w:val="32"/>
          <w:szCs w:val="32"/>
        </w:rPr>
        <w:t>采购需求</w:t>
      </w:r>
    </w:p>
    <w:p w14:paraId="3624B38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6355406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761C4C93">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6FB1E7D7">
      <w:pPr>
        <w:spacing w:line="360" w:lineRule="auto"/>
        <w:ind w:firstLine="549" w:firstLineChars="229"/>
        <w:rPr>
          <w:rFonts w:ascii="仿宋" w:hAnsi="仿宋" w:eastAsia="仿宋" w:cs="仿宋"/>
          <w:sz w:val="24"/>
        </w:rPr>
      </w:pPr>
    </w:p>
    <w:p w14:paraId="61AB364A">
      <w:pPr>
        <w:spacing w:line="360" w:lineRule="auto"/>
        <w:ind w:firstLine="549" w:firstLineChars="229"/>
        <w:rPr>
          <w:rFonts w:ascii="仿宋" w:hAnsi="仿宋" w:eastAsia="仿宋" w:cs="仿宋"/>
          <w:sz w:val="24"/>
        </w:rPr>
      </w:pPr>
    </w:p>
    <w:p w14:paraId="1AF76EEF">
      <w:pPr>
        <w:spacing w:line="360" w:lineRule="auto"/>
        <w:ind w:firstLine="549" w:firstLineChars="229"/>
        <w:rPr>
          <w:rFonts w:ascii="仿宋" w:hAnsi="仿宋" w:eastAsia="仿宋" w:cs="仿宋"/>
          <w:sz w:val="24"/>
        </w:rPr>
      </w:pPr>
    </w:p>
    <w:p w14:paraId="67057B3F">
      <w:pPr>
        <w:spacing w:line="360" w:lineRule="auto"/>
        <w:ind w:firstLine="549" w:firstLineChars="229"/>
        <w:rPr>
          <w:rFonts w:ascii="仿宋" w:hAnsi="仿宋" w:eastAsia="仿宋" w:cs="仿宋"/>
          <w:sz w:val="24"/>
        </w:rPr>
      </w:pPr>
    </w:p>
    <w:p w14:paraId="558A3FA5">
      <w:pPr>
        <w:spacing w:line="360" w:lineRule="auto"/>
        <w:ind w:firstLine="549" w:firstLineChars="229"/>
        <w:rPr>
          <w:rFonts w:ascii="仿宋" w:hAnsi="仿宋" w:eastAsia="仿宋" w:cs="仿宋"/>
          <w:sz w:val="24"/>
        </w:rPr>
      </w:pPr>
    </w:p>
    <w:p w14:paraId="7673568A">
      <w:pPr>
        <w:spacing w:line="360" w:lineRule="auto"/>
        <w:ind w:firstLine="549" w:firstLineChars="229"/>
        <w:rPr>
          <w:rFonts w:ascii="仿宋" w:hAnsi="仿宋" w:eastAsia="仿宋" w:cs="仿宋"/>
          <w:sz w:val="24"/>
        </w:rPr>
      </w:pPr>
    </w:p>
    <w:p w14:paraId="4A7F63F5">
      <w:pPr>
        <w:spacing w:line="360" w:lineRule="auto"/>
        <w:ind w:firstLine="549" w:firstLineChars="229"/>
        <w:rPr>
          <w:rFonts w:ascii="仿宋" w:hAnsi="仿宋" w:eastAsia="仿宋" w:cs="仿宋"/>
          <w:sz w:val="24"/>
        </w:rPr>
      </w:pPr>
    </w:p>
    <w:p w14:paraId="318B2442">
      <w:pPr>
        <w:spacing w:line="360" w:lineRule="auto"/>
        <w:ind w:firstLine="549" w:firstLineChars="229"/>
        <w:rPr>
          <w:rFonts w:ascii="仿宋" w:hAnsi="仿宋" w:eastAsia="仿宋" w:cs="仿宋"/>
          <w:sz w:val="24"/>
        </w:rPr>
      </w:pPr>
    </w:p>
    <w:p w14:paraId="59C3D1B8">
      <w:pPr>
        <w:spacing w:line="360" w:lineRule="auto"/>
        <w:ind w:firstLine="549" w:firstLineChars="229"/>
        <w:rPr>
          <w:rFonts w:ascii="仿宋" w:hAnsi="仿宋" w:eastAsia="仿宋" w:cs="仿宋"/>
          <w:sz w:val="24"/>
        </w:rPr>
      </w:pPr>
    </w:p>
    <w:p w14:paraId="53252B3F">
      <w:pPr>
        <w:spacing w:line="360" w:lineRule="auto"/>
        <w:ind w:firstLine="549" w:firstLineChars="229"/>
        <w:rPr>
          <w:rFonts w:ascii="仿宋" w:hAnsi="仿宋" w:eastAsia="仿宋" w:cs="仿宋"/>
          <w:sz w:val="24"/>
        </w:rPr>
      </w:pPr>
    </w:p>
    <w:p w14:paraId="52DFE2A8">
      <w:pPr>
        <w:spacing w:line="360" w:lineRule="auto"/>
        <w:ind w:firstLine="549" w:firstLineChars="229"/>
        <w:rPr>
          <w:rFonts w:ascii="仿宋" w:hAnsi="仿宋" w:eastAsia="仿宋" w:cs="仿宋"/>
          <w:sz w:val="24"/>
        </w:rPr>
      </w:pPr>
    </w:p>
    <w:p w14:paraId="7EE1E0D3">
      <w:pPr>
        <w:spacing w:line="360" w:lineRule="auto"/>
        <w:ind w:firstLine="549" w:firstLineChars="229"/>
        <w:rPr>
          <w:rFonts w:ascii="仿宋" w:hAnsi="仿宋" w:eastAsia="仿宋" w:cs="仿宋"/>
          <w:sz w:val="24"/>
        </w:rPr>
      </w:pPr>
    </w:p>
    <w:p w14:paraId="4480CB35">
      <w:pPr>
        <w:spacing w:line="360" w:lineRule="auto"/>
        <w:ind w:firstLine="549" w:firstLineChars="229"/>
        <w:rPr>
          <w:rFonts w:ascii="仿宋" w:hAnsi="仿宋" w:eastAsia="仿宋" w:cs="仿宋"/>
          <w:sz w:val="24"/>
        </w:rPr>
      </w:pPr>
    </w:p>
    <w:p w14:paraId="4B5C6995">
      <w:pPr>
        <w:spacing w:line="360" w:lineRule="auto"/>
        <w:rPr>
          <w:rFonts w:ascii="仿宋" w:hAnsi="仿宋" w:eastAsia="仿宋" w:cs="仿宋"/>
          <w:sz w:val="24"/>
        </w:rPr>
      </w:pPr>
    </w:p>
    <w:p w14:paraId="15AE183A">
      <w:pPr>
        <w:pStyle w:val="5"/>
        <w:rPr>
          <w:rFonts w:cs="仿宋"/>
          <w:color w:val="auto"/>
        </w:rPr>
      </w:pPr>
      <w:bookmarkStart w:id="3" w:name="第一部分"/>
      <w:r>
        <w:rPr>
          <w:rFonts w:hint="eastAsia" w:cs="仿宋"/>
          <w:color w:val="auto"/>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
          <w:color w:val="auto"/>
        </w:rPr>
        <w:t>第一部分 交易公告</w:t>
      </w:r>
    </w:p>
    <w:p w14:paraId="01F33E29">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14:paraId="549B8E0F">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sz w:val="24"/>
          <w:szCs w:val="28"/>
        </w:rPr>
      </w:pPr>
      <w:r>
        <w:rPr>
          <w:rFonts w:hint="eastAsia" w:ascii="仿宋" w:hAnsi="仿宋" w:eastAsia="仿宋" w:cs="仿宋"/>
          <w:sz w:val="24"/>
          <w:lang w:eastAsia="zh-CN"/>
        </w:rPr>
        <w:t>闻堰街道定山工业园区西区块、湘湖单元（杨岐山片区）改造项目搬迁评估项目</w:t>
      </w:r>
      <w:r>
        <w:rPr>
          <w:rFonts w:hint="eastAsia" w:ascii="仿宋" w:hAnsi="仿宋" w:eastAsia="仿宋" w:cs="仿宋"/>
          <w:sz w:val="24"/>
        </w:rPr>
        <w:t>的潜在供应商应在乐采云平台（</w:t>
      </w:r>
      <w:r>
        <w:fldChar w:fldCharType="begin"/>
      </w:r>
      <w:r>
        <w:instrText xml:space="preserve"> HYPERLINK "https://www.zcygov.cn/）获取（下载）招标文件，并于2021年" </w:instrText>
      </w:r>
      <w:r>
        <w:fldChar w:fldCharType="separate"/>
      </w:r>
      <w:r>
        <w:rPr>
          <w:rStyle w:val="68"/>
          <w:rFonts w:hint="eastAsia" w:ascii="仿宋" w:hAnsi="仿宋" w:eastAsia="仿宋" w:cs="仿宋"/>
          <w:color w:val="auto"/>
          <w:sz w:val="24"/>
          <w:szCs w:val="24"/>
        </w:rPr>
        <w:t>https://www.lecaiyun.com/）获取（下载）交易文件，并于20</w:t>
      </w:r>
      <w:r>
        <w:rPr>
          <w:rStyle w:val="68"/>
          <w:rFonts w:hint="eastAsia" w:ascii="仿宋" w:hAnsi="仿宋" w:eastAsia="仿宋" w:cs="仿宋"/>
          <w:color w:val="auto"/>
          <w:sz w:val="24"/>
          <w:szCs w:val="24"/>
          <w:lang w:val="en-US" w:eastAsia="zh-CN"/>
        </w:rPr>
        <w:t>25</w:t>
      </w:r>
      <w:r>
        <w:rPr>
          <w:rStyle w:val="68"/>
          <w:rFonts w:hint="eastAsia" w:ascii="仿宋" w:hAnsi="仿宋" w:eastAsia="仿宋" w:cs="仿宋"/>
          <w:color w:val="auto"/>
          <w:sz w:val="24"/>
          <w:szCs w:val="24"/>
        </w:rPr>
        <w:t>年</w:t>
      </w:r>
      <w:r>
        <w:rPr>
          <w:rStyle w:val="68"/>
          <w:rFonts w:hint="eastAsia" w:ascii="仿宋" w:hAnsi="仿宋" w:eastAsia="仿宋" w:cs="仿宋"/>
          <w:color w:val="auto"/>
          <w:sz w:val="24"/>
          <w:szCs w:val="24"/>
        </w:rPr>
        <w:fldChar w:fldCharType="end"/>
      </w:r>
      <w:r>
        <w:rPr>
          <w:rStyle w:val="68"/>
          <w:rFonts w:hint="eastAsia" w:ascii="仿宋" w:hAnsi="仿宋" w:eastAsia="仿宋" w:cs="仿宋"/>
          <w:color w:val="auto"/>
          <w:sz w:val="24"/>
          <w:szCs w:val="24"/>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13</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 秒</w:t>
      </w:r>
      <w:r>
        <w:rPr>
          <w:rFonts w:hint="eastAsia" w:ascii="仿宋" w:hAnsi="仿宋" w:eastAsia="仿宋" w:cs="仿宋"/>
          <w:bCs/>
          <w:sz w:val="24"/>
        </w:rPr>
        <w:t>（北京时间）前</w:t>
      </w:r>
      <w:r>
        <w:rPr>
          <w:rFonts w:hint="eastAsia" w:ascii="仿宋" w:hAnsi="仿宋" w:eastAsia="仿宋" w:cs="仿宋"/>
          <w:sz w:val="24"/>
        </w:rPr>
        <w:t>递交（上传）投标文件</w:t>
      </w:r>
    </w:p>
    <w:p w14:paraId="3FA9B5C8">
      <w:pPr>
        <w:pStyle w:val="6"/>
        <w:numPr>
          <w:ilvl w:val="0"/>
          <w:numId w:val="0"/>
        </w:numPr>
        <w:rPr>
          <w:rFonts w:ascii="仿宋" w:eastAsia="仿宋" w:cs="仿宋"/>
          <w:sz w:val="24"/>
          <w:szCs w:val="28"/>
        </w:rPr>
      </w:pPr>
      <w:bookmarkStart w:id="11" w:name="_Toc28359079"/>
      <w:bookmarkStart w:id="12" w:name="_Toc35393790"/>
      <w:bookmarkStart w:id="13" w:name="_Toc35393621"/>
      <w:bookmarkStart w:id="14" w:name="_Toc28359002"/>
      <w:bookmarkStart w:id="15" w:name="_Hlk24379207"/>
      <w:r>
        <w:rPr>
          <w:rFonts w:hint="eastAsia" w:ascii="仿宋" w:eastAsia="仿宋" w:cs="仿宋"/>
          <w:sz w:val="24"/>
          <w:szCs w:val="28"/>
        </w:rPr>
        <w:t>一、项目基本情况</w:t>
      </w:r>
      <w:bookmarkEnd w:id="11"/>
      <w:bookmarkEnd w:id="12"/>
      <w:bookmarkEnd w:id="13"/>
      <w:bookmarkEnd w:id="14"/>
    </w:p>
    <w:p w14:paraId="305A20DD">
      <w:pPr>
        <w:spacing w:line="360" w:lineRule="auto"/>
        <w:ind w:left="420" w:leftChars="200"/>
        <w:jc w:val="left"/>
        <w:rPr>
          <w:rFonts w:hint="eastAsia" w:ascii="仿宋" w:hAnsi="仿宋" w:eastAsia="仿宋" w:cs="仿宋"/>
          <w:sz w:val="24"/>
          <w:szCs w:val="28"/>
          <w:lang w:eastAsia="zh-CN"/>
        </w:rPr>
      </w:pPr>
      <w:r>
        <w:rPr>
          <w:rFonts w:hint="eastAsia" w:ascii="仿宋" w:hAnsi="仿宋" w:eastAsia="仿宋" w:cs="仿宋"/>
          <w:sz w:val="24"/>
          <w:szCs w:val="28"/>
        </w:rPr>
        <w:t>项目编号：XL-GYGK-2025073</w:t>
      </w:r>
    </w:p>
    <w:p w14:paraId="0E775D95">
      <w:pPr>
        <w:spacing w:line="360" w:lineRule="auto"/>
        <w:ind w:left="1620" w:leftChars="200" w:hanging="1200" w:hangingChars="500"/>
        <w:jc w:val="left"/>
        <w:rPr>
          <w:rFonts w:hint="eastAsia" w:ascii="仿宋" w:hAnsi="仿宋" w:eastAsia="仿宋" w:cs="仿宋"/>
          <w:sz w:val="24"/>
          <w:lang w:eastAsia="zh-CN"/>
        </w:rPr>
      </w:pPr>
      <w:r>
        <w:rPr>
          <w:rFonts w:hint="eastAsia" w:ascii="仿宋" w:hAnsi="仿宋" w:eastAsia="仿宋" w:cs="仿宋"/>
          <w:sz w:val="24"/>
          <w:szCs w:val="28"/>
        </w:rPr>
        <w:t>项目名称：</w:t>
      </w:r>
      <w:bookmarkEnd w:id="15"/>
      <w:r>
        <w:rPr>
          <w:rFonts w:hint="eastAsia" w:ascii="仿宋" w:hAnsi="仿宋" w:eastAsia="仿宋" w:cs="仿宋"/>
          <w:sz w:val="24"/>
          <w:lang w:eastAsia="zh-CN"/>
        </w:rPr>
        <w:t>闻堰街道定山工业园区西区块、湘湖单元（杨岐山片区）改造项目搬迁评估项目</w:t>
      </w:r>
    </w:p>
    <w:p w14:paraId="6469B777">
      <w:pPr>
        <w:spacing w:line="360" w:lineRule="auto"/>
        <w:ind w:left="420" w:leftChars="200"/>
        <w:jc w:val="left"/>
        <w:rPr>
          <w:rFonts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val="en-US" w:eastAsia="zh-CN"/>
        </w:rPr>
        <w:t>320</w:t>
      </w:r>
      <w:r>
        <w:rPr>
          <w:rFonts w:hint="eastAsia" w:ascii="仿宋" w:hAnsi="仿宋" w:eastAsia="仿宋" w:cs="仿宋"/>
          <w:color w:val="auto"/>
          <w:sz w:val="24"/>
          <w:szCs w:val="28"/>
        </w:rPr>
        <w:t>万元</w:t>
      </w:r>
    </w:p>
    <w:p w14:paraId="12943A06">
      <w:pPr>
        <w:spacing w:line="360" w:lineRule="auto"/>
        <w:ind w:left="420" w:left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1、</w:t>
      </w:r>
      <w:bookmarkStart w:id="433" w:name="_GoBack"/>
      <w:r>
        <w:rPr>
          <w:rFonts w:hint="eastAsia" w:ascii="仿宋" w:hAnsi="仿宋" w:eastAsia="仿宋" w:cs="仿宋"/>
          <w:color w:val="auto"/>
          <w:sz w:val="24"/>
          <w:szCs w:val="28"/>
        </w:rPr>
        <w:t>企业房屋</w:t>
      </w:r>
      <w:bookmarkEnd w:id="433"/>
      <w:r>
        <w:rPr>
          <w:rFonts w:hint="eastAsia" w:ascii="仿宋" w:hAnsi="仿宋" w:eastAsia="仿宋" w:cs="仿宋"/>
          <w:color w:val="auto"/>
          <w:sz w:val="24"/>
          <w:szCs w:val="28"/>
        </w:rPr>
        <w:t>（搬迁）评估费：最高限价</w:t>
      </w:r>
      <w:r>
        <w:rPr>
          <w:rFonts w:hint="eastAsia" w:ascii="仿宋" w:hAnsi="仿宋" w:eastAsia="仿宋" w:cs="仿宋"/>
          <w:color w:val="auto"/>
          <w:sz w:val="24"/>
          <w:szCs w:val="28"/>
          <w:lang w:val="en-US" w:eastAsia="zh-CN"/>
        </w:rPr>
        <w:t>5</w:t>
      </w:r>
      <w:r>
        <w:rPr>
          <w:rFonts w:hint="eastAsia" w:ascii="仿宋" w:hAnsi="仿宋" w:eastAsia="仿宋" w:cs="仿宋"/>
          <w:color w:val="auto"/>
          <w:sz w:val="24"/>
          <w:szCs w:val="28"/>
        </w:rPr>
        <w:t>元/平方米</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lang w:val="en-US" w:eastAsia="zh-CN"/>
        </w:rPr>
        <w:t>暂定面积38万㎡，含房屋测绘费用</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 xml:space="preserve">结算时按评估企业的建筑面积乘以中标单价计取，最终按投标人报价指定。 </w:t>
      </w:r>
    </w:p>
    <w:p w14:paraId="32915A6A">
      <w:pPr>
        <w:spacing w:line="360" w:lineRule="auto"/>
        <w:ind w:left="420" w:leftChars="200"/>
        <w:jc w:val="left"/>
        <w:rPr>
          <w:rFonts w:hint="eastAsia" w:ascii="仿宋" w:hAnsi="仿宋" w:eastAsia="仿宋" w:cs="仿宋"/>
          <w:color w:val="FF0000"/>
          <w:sz w:val="24"/>
          <w:szCs w:val="28"/>
        </w:rPr>
      </w:pPr>
      <w:r>
        <w:rPr>
          <w:rFonts w:hint="eastAsia" w:ascii="仿宋" w:hAnsi="仿宋" w:eastAsia="仿宋" w:cs="仿宋"/>
          <w:color w:val="auto"/>
          <w:sz w:val="24"/>
          <w:szCs w:val="28"/>
        </w:rPr>
        <w:t>2、土地使用权和机器设备评估最高按照《浙江省物价局关于资产评估收费问题的通知》（浙价服【2011】90 号）</w:t>
      </w:r>
      <w:r>
        <w:rPr>
          <w:rFonts w:hint="eastAsia" w:ascii="仿宋" w:hAnsi="仿宋" w:eastAsia="仿宋" w:cs="仿宋"/>
          <w:color w:val="auto"/>
          <w:sz w:val="24"/>
          <w:szCs w:val="28"/>
          <w:lang w:val="en-US" w:eastAsia="zh-CN"/>
        </w:rPr>
        <w:t>的50 %</w:t>
      </w:r>
      <w:r>
        <w:rPr>
          <w:rFonts w:hint="eastAsia" w:ascii="仿宋" w:hAnsi="仿宋" w:eastAsia="仿宋" w:cs="仿宋"/>
          <w:color w:val="auto"/>
          <w:sz w:val="24"/>
          <w:szCs w:val="28"/>
        </w:rPr>
        <w:t xml:space="preserve">收取费用，收费不足1500/户的按1500元/户收取。 </w:t>
      </w:r>
    </w:p>
    <w:p w14:paraId="4C06E060">
      <w:pPr>
        <w:spacing w:line="360" w:lineRule="auto"/>
        <w:ind w:left="420" w:left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3、评估涉及土地测绘费，按10亩（含）以内每宗地4000元标准计费，超出10亩的按每亩递增300元计价（不足一亩按一亩计算），但每宗土地测绘费最高不得超过30000元。</w:t>
      </w:r>
    </w:p>
    <w:p w14:paraId="16AF5884">
      <w:pPr>
        <w:spacing w:line="360" w:lineRule="auto"/>
        <w:ind w:left="420" w:left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4、房屋、机器设备残值报告按3000元/份。</w:t>
      </w:r>
    </w:p>
    <w:p w14:paraId="0F5B3DC4">
      <w:pPr>
        <w:spacing w:line="360" w:lineRule="auto"/>
        <w:ind w:left="420" w:leftChars="200"/>
        <w:jc w:val="left"/>
        <w:rPr>
          <w:rFonts w:ascii="仿宋" w:hAnsi="仿宋" w:eastAsia="仿宋" w:cs="仿宋"/>
          <w:color w:val="auto"/>
          <w:sz w:val="24"/>
          <w:szCs w:val="28"/>
          <w:highlight w:val="yellow"/>
        </w:rPr>
      </w:pPr>
      <w:r>
        <w:rPr>
          <w:rFonts w:hint="eastAsia" w:ascii="仿宋" w:hAnsi="仿宋" w:eastAsia="仿宋" w:cs="仿宋"/>
          <w:color w:val="auto"/>
          <w:sz w:val="24"/>
          <w:szCs w:val="28"/>
        </w:rPr>
        <w:t>5、项目最终结算不得超过预算金额。</w:t>
      </w:r>
    </w:p>
    <w:p w14:paraId="0D2DB981">
      <w:pPr>
        <w:spacing w:line="360" w:lineRule="auto"/>
        <w:ind w:left="420" w:leftChars="200"/>
        <w:jc w:val="left"/>
        <w:rPr>
          <w:rFonts w:ascii="仿宋" w:hAnsi="仿宋" w:eastAsia="仿宋" w:cs="仿宋"/>
          <w:color w:val="auto"/>
          <w:sz w:val="24"/>
          <w:szCs w:val="28"/>
          <w:u w:val="single"/>
        </w:rPr>
      </w:pPr>
      <w:r>
        <w:rPr>
          <w:rFonts w:hint="eastAsia" w:ascii="仿宋" w:hAnsi="仿宋" w:eastAsia="仿宋" w:cs="仿宋"/>
          <w:color w:val="auto"/>
          <w:sz w:val="24"/>
          <w:szCs w:val="28"/>
        </w:rPr>
        <w:t>采购需求：详见交易需求。</w:t>
      </w:r>
    </w:p>
    <w:p w14:paraId="49F5D900">
      <w:pPr>
        <w:spacing w:line="360" w:lineRule="auto"/>
        <w:ind w:left="420" w:leftChars="200"/>
        <w:jc w:val="left"/>
        <w:rPr>
          <w:rFonts w:hint="eastAsia" w:ascii="仿宋" w:hAnsi="仿宋" w:eastAsia="仿宋" w:cs="仿宋"/>
          <w:color w:val="auto"/>
          <w:sz w:val="24"/>
          <w:lang w:eastAsia="zh-CN"/>
        </w:rPr>
      </w:pPr>
      <w:r>
        <w:rPr>
          <w:rFonts w:hint="eastAsia" w:ascii="仿宋" w:hAnsi="仿宋" w:eastAsia="仿宋" w:cs="仿宋"/>
          <w:color w:val="auto"/>
          <w:sz w:val="24"/>
        </w:rPr>
        <w:t>标项名称:</w:t>
      </w:r>
      <w:r>
        <w:rPr>
          <w:rFonts w:hint="eastAsia" w:ascii="仿宋" w:hAnsi="仿宋" w:eastAsia="仿宋" w:cs="仿宋"/>
          <w:color w:val="auto"/>
          <w:sz w:val="24"/>
          <w:lang w:eastAsia="zh-CN"/>
        </w:rPr>
        <w:t>闻堰街道定山工业园区西区块、湘湖单元（杨岐山片区）改造项目搬迁评估项目</w:t>
      </w:r>
    </w:p>
    <w:p w14:paraId="2594C523">
      <w:pPr>
        <w:pStyle w:val="18"/>
        <w:spacing w:line="360" w:lineRule="auto"/>
        <w:ind w:firstLine="480"/>
        <w:rPr>
          <w:rFonts w:ascii="仿宋" w:hAnsi="仿宋" w:eastAsia="仿宋" w:cs="仿宋"/>
          <w:color w:val="auto"/>
          <w:sz w:val="24"/>
        </w:rPr>
      </w:pPr>
      <w:r>
        <w:rPr>
          <w:rFonts w:hint="eastAsia" w:ascii="仿宋" w:hAnsi="仿宋" w:eastAsia="仿宋" w:cs="仿宋"/>
          <w:color w:val="auto"/>
          <w:sz w:val="24"/>
        </w:rPr>
        <w:t>数量：1项</w:t>
      </w:r>
    </w:p>
    <w:p w14:paraId="569E2D33">
      <w:pPr>
        <w:pStyle w:val="18"/>
        <w:spacing w:line="360" w:lineRule="auto"/>
        <w:ind w:firstLine="480"/>
        <w:rPr>
          <w:rFonts w:ascii="仿宋" w:hAnsi="仿宋" w:eastAsia="仿宋" w:cs="仿宋"/>
          <w:color w:val="auto"/>
          <w:sz w:val="24"/>
        </w:rPr>
      </w:pPr>
      <w:r>
        <w:rPr>
          <w:rFonts w:hint="eastAsia" w:ascii="仿宋" w:hAnsi="仿宋" w:eastAsia="仿宋" w:cs="仿宋"/>
          <w:color w:val="auto"/>
          <w:sz w:val="24"/>
        </w:rPr>
        <w:t>简要规格描述或项目基本概况介绍、用途：详见交易需求</w:t>
      </w:r>
    </w:p>
    <w:p w14:paraId="6D22F751">
      <w:pPr>
        <w:pStyle w:val="18"/>
        <w:spacing w:line="360" w:lineRule="auto"/>
        <w:ind w:firstLine="480"/>
        <w:rPr>
          <w:rFonts w:ascii="仿宋" w:hAnsi="仿宋" w:eastAsia="仿宋" w:cs="仿宋"/>
          <w:color w:val="auto"/>
          <w:sz w:val="24"/>
        </w:rPr>
      </w:pPr>
      <w:r>
        <w:rPr>
          <w:rFonts w:hint="eastAsia" w:ascii="仿宋" w:hAnsi="仿宋" w:eastAsia="仿宋" w:cs="仿宋"/>
          <w:color w:val="auto"/>
          <w:sz w:val="24"/>
        </w:rPr>
        <w:t>备注：/</w:t>
      </w:r>
    </w:p>
    <w:p w14:paraId="261EE787">
      <w:pPr>
        <w:pStyle w:val="18"/>
        <w:spacing w:line="360" w:lineRule="auto"/>
        <w:ind w:firstLine="480"/>
        <w:rPr>
          <w:rFonts w:ascii="仿宋" w:hAnsi="仿宋" w:eastAsia="仿宋" w:cs="仿宋"/>
          <w:color w:val="auto"/>
          <w:sz w:val="24"/>
        </w:rPr>
      </w:pPr>
      <w:r>
        <w:rPr>
          <w:rFonts w:hint="eastAsia" w:ascii="仿宋" w:hAnsi="仿宋" w:eastAsia="仿宋" w:cs="仿宋"/>
          <w:b/>
          <w:bCs/>
          <w:color w:val="auto"/>
          <w:sz w:val="24"/>
        </w:rPr>
        <w:t>合同履约期限：</w:t>
      </w:r>
      <w:r>
        <w:rPr>
          <w:rFonts w:hint="eastAsia" w:ascii="仿宋" w:hAnsi="仿宋" w:eastAsia="仿宋" w:cs="仿宋"/>
          <w:color w:val="auto"/>
          <w:sz w:val="24"/>
        </w:rPr>
        <w:t>详见交易需求</w:t>
      </w:r>
    </w:p>
    <w:p w14:paraId="47C0460C">
      <w:pPr>
        <w:spacing w:line="360" w:lineRule="auto"/>
        <w:ind w:firstLine="480"/>
        <w:rPr>
          <w:rFonts w:ascii="仿宋" w:hAnsi="仿宋" w:eastAsia="仿宋" w:cs="仿宋"/>
          <w:b/>
          <w:sz w:val="24"/>
        </w:rPr>
      </w:pPr>
      <w:r>
        <w:rPr>
          <w:rFonts w:hint="eastAsia" w:ascii="仿宋" w:hAnsi="仿宋" w:eastAsia="仿宋" w:cs="仿宋"/>
          <w:b/>
          <w:sz w:val="24"/>
        </w:rPr>
        <w:t xml:space="preserve">本项目是否接受联合体投标：（ ）是；（√）否 </w:t>
      </w:r>
    </w:p>
    <w:p w14:paraId="271E9272">
      <w:pPr>
        <w:pStyle w:val="6"/>
        <w:numPr>
          <w:ilvl w:val="0"/>
          <w:numId w:val="0"/>
        </w:numPr>
        <w:rPr>
          <w:rFonts w:ascii="仿宋" w:eastAsia="仿宋" w:cs="仿宋"/>
          <w:sz w:val="24"/>
          <w:szCs w:val="28"/>
        </w:rPr>
      </w:pPr>
      <w:r>
        <w:rPr>
          <w:rFonts w:hint="eastAsia" w:ascii="仿宋" w:eastAsia="仿宋" w:cs="仿宋"/>
          <w:sz w:val="24"/>
          <w:szCs w:val="28"/>
        </w:rPr>
        <w:t>二、</w:t>
      </w:r>
      <w:bookmarkStart w:id="16" w:name="_Toc28359003"/>
      <w:bookmarkStart w:id="17" w:name="_Toc35393791"/>
      <w:bookmarkStart w:id="18" w:name="_Toc35393622"/>
      <w:bookmarkStart w:id="19" w:name="_Toc28359080"/>
      <w:r>
        <w:rPr>
          <w:rFonts w:hint="eastAsia" w:ascii="仿宋" w:eastAsia="仿宋" w:cs="仿宋"/>
          <w:sz w:val="24"/>
          <w:szCs w:val="28"/>
        </w:rPr>
        <w:t>申请人的资格要求：</w:t>
      </w:r>
      <w:bookmarkEnd w:id="16"/>
      <w:bookmarkEnd w:id="17"/>
      <w:bookmarkEnd w:id="18"/>
      <w:bookmarkEnd w:id="19"/>
    </w:p>
    <w:p w14:paraId="6EE0B12D">
      <w:pPr>
        <w:spacing w:line="360" w:lineRule="auto"/>
        <w:ind w:firstLine="480" w:firstLineChars="200"/>
        <w:rPr>
          <w:rFonts w:hint="eastAsia" w:ascii="仿宋" w:hAnsi="仿宋" w:eastAsia="仿宋" w:cs="仿宋"/>
          <w:sz w:val="24"/>
        </w:rPr>
      </w:pPr>
      <w:bookmarkStart w:id="20" w:name="_Toc28359004"/>
      <w:bookmarkStart w:id="21" w:name="_Toc35393623"/>
      <w:bookmarkStart w:id="22" w:name="_Toc28359081"/>
      <w:bookmarkStart w:id="23" w:name="_Toc35393792"/>
      <w:r>
        <w:rPr>
          <w:rFonts w:hint="eastAsia" w:ascii="仿宋" w:hAnsi="仿宋" w:eastAsia="仿宋" w:cs="仿宋"/>
          <w:sz w:val="24"/>
        </w:rPr>
        <w:t>（1）具有独立承担民事责任的能力；</w:t>
      </w:r>
    </w:p>
    <w:p w14:paraId="16CB86C7">
      <w:pPr>
        <w:spacing w:line="360" w:lineRule="auto"/>
        <w:ind w:firstLine="480" w:firstLineChars="200"/>
        <w:rPr>
          <w:rFonts w:hint="eastAsia" w:ascii="仿宋" w:hAnsi="仿宋" w:eastAsia="仿宋" w:cs="仿宋"/>
          <w:sz w:val="24"/>
        </w:rPr>
      </w:pPr>
      <w:r>
        <w:rPr>
          <w:rFonts w:hint="eastAsia" w:ascii="仿宋" w:hAnsi="仿宋" w:eastAsia="仿宋" w:cs="仿宋"/>
          <w:sz w:val="24"/>
        </w:rPr>
        <w:t>（2）具有良好的商业信誉和健全的财务会计制度；</w:t>
      </w:r>
    </w:p>
    <w:p w14:paraId="0E18D236">
      <w:pPr>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238CB99">
      <w:pPr>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38601D7">
      <w:pPr>
        <w:spacing w:line="360" w:lineRule="auto"/>
        <w:ind w:firstLine="480" w:firstLineChars="200"/>
        <w:rPr>
          <w:rFonts w:hint="eastAsia" w:ascii="仿宋" w:hAnsi="仿宋" w:eastAsia="仿宋" w:cs="仿宋"/>
          <w:sz w:val="24"/>
        </w:rPr>
      </w:pPr>
      <w:r>
        <w:rPr>
          <w:rFonts w:hint="eastAsia" w:ascii="仿宋" w:hAnsi="仿宋" w:eastAsia="仿宋" w:cs="仿宋"/>
          <w:sz w:val="24"/>
        </w:rPr>
        <w:t>（5）参加采购活动前三年内，在经营活动中没有重大违法记录；</w:t>
      </w:r>
    </w:p>
    <w:p w14:paraId="0421D728">
      <w:pPr>
        <w:spacing w:line="360" w:lineRule="auto"/>
        <w:ind w:firstLine="480" w:firstLineChars="200"/>
        <w:rPr>
          <w:rFonts w:hint="eastAsia" w:ascii="仿宋" w:hAnsi="仿宋" w:eastAsia="仿宋" w:cs="仿宋"/>
          <w:sz w:val="24"/>
        </w:rPr>
      </w:pPr>
      <w:r>
        <w:rPr>
          <w:rFonts w:hint="eastAsia" w:ascii="仿宋" w:hAnsi="仿宋" w:eastAsia="仿宋" w:cs="仿宋"/>
          <w:sz w:val="24"/>
        </w:rPr>
        <w:t>（6）法律、行政法规规定的其他条件；</w:t>
      </w:r>
    </w:p>
    <w:p w14:paraId="1CC624D4">
      <w:pPr>
        <w:spacing w:line="360" w:lineRule="auto"/>
        <w:ind w:firstLine="480" w:firstLineChars="200"/>
        <w:rPr>
          <w:rFonts w:hint="eastAsia" w:ascii="仿宋" w:hAnsi="仿宋" w:eastAsia="仿宋" w:cs="仿宋"/>
          <w:sz w:val="24"/>
        </w:rPr>
      </w:pPr>
      <w:r>
        <w:rPr>
          <w:rFonts w:hint="eastAsia" w:ascii="仿宋" w:hAnsi="仿宋" w:eastAsia="仿宋" w:cs="仿宋"/>
          <w:sz w:val="24"/>
        </w:rPr>
        <w:t>（7）本项目的特定资格要求：无；</w:t>
      </w:r>
    </w:p>
    <w:p w14:paraId="26C663FA">
      <w:pPr>
        <w:spacing w:line="360" w:lineRule="auto"/>
        <w:ind w:firstLine="480" w:firstLineChars="200"/>
        <w:rPr>
          <w:rFonts w:ascii="仿宋" w:hAnsi="仿宋" w:eastAsia="仿宋" w:cs="仿宋"/>
          <w:sz w:val="24"/>
        </w:rPr>
      </w:pPr>
      <w:r>
        <w:rPr>
          <w:rFonts w:hint="eastAsia" w:ascii="仿宋" w:hAnsi="仿宋" w:eastAsia="仿宋" w:cs="仿宋"/>
          <w:sz w:val="24"/>
        </w:rPr>
        <w:t>（8）本项目不接受联合体参与（潜在供应商能独立完成本项目）</w:t>
      </w:r>
    </w:p>
    <w:p w14:paraId="1030147A">
      <w:pPr>
        <w:pStyle w:val="6"/>
        <w:numPr>
          <w:ilvl w:val="0"/>
          <w:numId w:val="0"/>
        </w:numPr>
        <w:rPr>
          <w:rFonts w:ascii="仿宋" w:eastAsia="仿宋" w:cs="仿宋"/>
          <w:sz w:val="24"/>
          <w:szCs w:val="28"/>
        </w:rPr>
      </w:pPr>
      <w:r>
        <w:rPr>
          <w:rFonts w:hint="eastAsia" w:ascii="仿宋" w:eastAsia="仿宋" w:cs="仿宋"/>
          <w:sz w:val="24"/>
          <w:szCs w:val="28"/>
        </w:rPr>
        <w:t>三、获取交易文件</w:t>
      </w:r>
      <w:bookmarkEnd w:id="20"/>
      <w:bookmarkEnd w:id="21"/>
      <w:bookmarkEnd w:id="22"/>
      <w:bookmarkEnd w:id="23"/>
    </w:p>
    <w:p w14:paraId="2BB00956">
      <w:pPr>
        <w:spacing w:line="360" w:lineRule="auto"/>
        <w:ind w:firstLine="482" w:firstLineChars="200"/>
        <w:rPr>
          <w:rFonts w:ascii="仿宋" w:hAnsi="仿宋" w:eastAsia="仿宋" w:cs="仿宋"/>
          <w:sz w:val="24"/>
        </w:rPr>
      </w:pPr>
      <w:bookmarkStart w:id="24" w:name="_Toc28359005"/>
      <w:bookmarkStart w:id="25" w:name="_Toc28359082"/>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w:t>
      </w:r>
      <w:r>
        <w:rPr>
          <w:rFonts w:hint="eastAsia" w:ascii="仿宋" w:hAnsi="仿宋" w:eastAsia="仿宋" w:cs="仿宋"/>
          <w:sz w:val="24"/>
          <w:u w:val="single"/>
          <w:lang w:val="en-US" w:eastAsia="zh-CN"/>
        </w:rPr>
        <w:t>25</w:t>
      </w:r>
      <w:r>
        <w:rPr>
          <w:rFonts w:hint="eastAsia" w:ascii="仿宋" w:hAnsi="仿宋" w:eastAsia="仿宋" w:cs="仿宋"/>
          <w:sz w:val="24"/>
          <w:u w:val="single"/>
        </w:rPr>
        <w:t>年</w:t>
      </w:r>
      <w:r>
        <w:rPr>
          <w:rFonts w:hint="eastAsia" w:ascii="仿宋" w:hAnsi="仿宋" w:eastAsia="仿宋" w:cs="仿宋"/>
          <w:sz w:val="24"/>
          <w:u w:val="single"/>
          <w:lang w:val="en-US" w:eastAsia="zh-CN"/>
        </w:rPr>
        <w:t>2</w:t>
      </w:r>
      <w:r>
        <w:rPr>
          <w:rFonts w:hint="eastAsia" w:ascii="仿宋" w:hAnsi="仿宋" w:eastAsia="仿宋" w:cs="仿宋"/>
          <w:sz w:val="24"/>
          <w:u w:val="single"/>
        </w:rPr>
        <w:t>月</w:t>
      </w:r>
      <w:r>
        <w:rPr>
          <w:rFonts w:hint="eastAsia" w:ascii="仿宋" w:hAnsi="仿宋" w:eastAsia="仿宋" w:cs="仿宋"/>
          <w:sz w:val="24"/>
          <w:u w:val="single"/>
          <w:lang w:val="en-US" w:eastAsia="zh-CN"/>
        </w:rPr>
        <w:t>13</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0415C7E6">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乐采云平台（https://www.lecaiyun.com/） </w:t>
      </w:r>
    </w:p>
    <w:p w14:paraId="291E9ED4">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供应商登录乐采云平台https://www.lecaiyun.com/在线申请获取采购文件（进入“项目采购”应用，在获取采购文件菜单中选择项目，申请获取采购文件）。 </w:t>
      </w:r>
    </w:p>
    <w:p w14:paraId="513E94A9">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77E6193">
      <w:pPr>
        <w:pStyle w:val="6"/>
        <w:numPr>
          <w:ilvl w:val="0"/>
          <w:numId w:val="0"/>
        </w:numPr>
        <w:rPr>
          <w:rFonts w:ascii="仿宋" w:eastAsia="仿宋" w:cs="仿宋"/>
          <w:sz w:val="24"/>
          <w:szCs w:val="28"/>
        </w:rPr>
      </w:pPr>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14:paraId="425C9D09">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szCs w:val="28"/>
        </w:rPr>
        <w:t>20</w:t>
      </w:r>
      <w:r>
        <w:rPr>
          <w:rFonts w:hint="eastAsia" w:ascii="仿宋" w:hAnsi="仿宋" w:eastAsia="仿宋" w:cs="仿宋"/>
          <w:sz w:val="24"/>
          <w:szCs w:val="28"/>
          <w:lang w:val="en-US" w:eastAsia="zh-CN"/>
        </w:rPr>
        <w:t>25</w:t>
      </w:r>
      <w:r>
        <w:rPr>
          <w:rFonts w:hint="eastAsia" w:ascii="仿宋" w:hAnsi="仿宋" w:eastAsia="仿宋" w:cs="仿宋"/>
          <w:sz w:val="24"/>
          <w:szCs w:val="28"/>
        </w:rPr>
        <w:t>年</w:t>
      </w:r>
      <w:r>
        <w:rPr>
          <w:rFonts w:hint="eastAsia" w:ascii="仿宋" w:hAnsi="仿宋" w:eastAsia="仿宋" w:cs="仿宋"/>
          <w:sz w:val="24"/>
          <w:szCs w:val="28"/>
          <w:lang w:val="en-US" w:eastAsia="zh-CN"/>
        </w:rPr>
        <w:t>2</w:t>
      </w:r>
      <w:r>
        <w:rPr>
          <w:rFonts w:hint="eastAsia" w:ascii="仿宋" w:hAnsi="仿宋" w:eastAsia="仿宋" w:cs="仿宋"/>
          <w:sz w:val="24"/>
          <w:szCs w:val="28"/>
        </w:rPr>
        <w:t>月</w:t>
      </w:r>
      <w:r>
        <w:rPr>
          <w:rFonts w:hint="eastAsia" w:ascii="仿宋" w:hAnsi="仿宋" w:eastAsia="仿宋" w:cs="仿宋"/>
          <w:sz w:val="24"/>
          <w:szCs w:val="28"/>
          <w:lang w:val="en-US" w:eastAsia="zh-CN"/>
        </w:rPr>
        <w:t>13</w:t>
      </w:r>
      <w:r>
        <w:rPr>
          <w:rFonts w:hint="eastAsia" w:ascii="仿宋" w:hAnsi="仿宋" w:eastAsia="仿宋" w:cs="仿宋"/>
          <w:sz w:val="24"/>
          <w:szCs w:val="28"/>
        </w:rPr>
        <w:t>日</w:t>
      </w:r>
      <w:r>
        <w:rPr>
          <w:rFonts w:hint="eastAsia" w:ascii="仿宋" w:hAnsi="仿宋" w:eastAsia="仿宋" w:cs="仿宋"/>
          <w:sz w:val="24"/>
          <w:szCs w:val="28"/>
          <w:lang w:val="en-US" w:eastAsia="zh-CN"/>
        </w:rPr>
        <w:t>9</w:t>
      </w:r>
      <w:r>
        <w:rPr>
          <w:rFonts w:hint="eastAsia" w:ascii="仿宋" w:hAnsi="仿宋" w:eastAsia="仿宋" w:cs="仿宋"/>
          <w:sz w:val="24"/>
          <w:szCs w:val="28"/>
        </w:rPr>
        <w:t>点</w:t>
      </w:r>
      <w:r>
        <w:rPr>
          <w:rFonts w:hint="eastAsia" w:ascii="仿宋" w:hAnsi="仿宋" w:eastAsia="仿宋" w:cs="仿宋"/>
          <w:sz w:val="24"/>
          <w:szCs w:val="28"/>
          <w:lang w:val="en-US" w:eastAsia="zh-CN"/>
        </w:rPr>
        <w:t>30</w:t>
      </w:r>
      <w:r>
        <w:rPr>
          <w:rFonts w:hint="eastAsia" w:ascii="仿宋" w:hAnsi="仿宋" w:eastAsia="仿宋" w:cs="仿宋"/>
          <w:sz w:val="24"/>
          <w:szCs w:val="28"/>
        </w:rPr>
        <w:t>分00秒（</w:t>
      </w:r>
      <w:r>
        <w:rPr>
          <w:rFonts w:hint="eastAsia" w:ascii="仿宋" w:hAnsi="仿宋" w:eastAsia="仿宋" w:cs="仿宋"/>
          <w:sz w:val="24"/>
        </w:rPr>
        <w:t>北京时间）</w:t>
      </w:r>
    </w:p>
    <w:p w14:paraId="4AFEF19D">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szCs w:val="28"/>
        </w:rPr>
        <w:t>20</w:t>
      </w:r>
      <w:r>
        <w:rPr>
          <w:rFonts w:hint="eastAsia" w:ascii="仿宋" w:hAnsi="仿宋" w:eastAsia="仿宋" w:cs="仿宋"/>
          <w:sz w:val="24"/>
          <w:szCs w:val="28"/>
          <w:lang w:val="en-US" w:eastAsia="zh-CN"/>
        </w:rPr>
        <w:t>25</w:t>
      </w:r>
      <w:r>
        <w:rPr>
          <w:rFonts w:hint="eastAsia" w:ascii="仿宋" w:hAnsi="仿宋" w:eastAsia="仿宋" w:cs="仿宋"/>
          <w:sz w:val="24"/>
          <w:szCs w:val="28"/>
        </w:rPr>
        <w:t>年</w:t>
      </w:r>
      <w:r>
        <w:rPr>
          <w:rFonts w:hint="eastAsia" w:ascii="仿宋" w:hAnsi="仿宋" w:eastAsia="仿宋" w:cs="仿宋"/>
          <w:sz w:val="24"/>
          <w:szCs w:val="28"/>
          <w:lang w:val="en-US" w:eastAsia="zh-CN"/>
        </w:rPr>
        <w:t>2</w:t>
      </w:r>
      <w:r>
        <w:rPr>
          <w:rFonts w:hint="eastAsia" w:ascii="仿宋" w:hAnsi="仿宋" w:eastAsia="仿宋" w:cs="仿宋"/>
          <w:sz w:val="24"/>
          <w:szCs w:val="28"/>
        </w:rPr>
        <w:t>月</w:t>
      </w:r>
      <w:r>
        <w:rPr>
          <w:rFonts w:hint="eastAsia" w:ascii="仿宋" w:hAnsi="仿宋" w:eastAsia="仿宋" w:cs="仿宋"/>
          <w:sz w:val="24"/>
          <w:szCs w:val="28"/>
          <w:lang w:val="en-US" w:eastAsia="zh-CN"/>
        </w:rPr>
        <w:t>13</w:t>
      </w:r>
      <w:r>
        <w:rPr>
          <w:rFonts w:hint="eastAsia" w:ascii="仿宋" w:hAnsi="仿宋" w:eastAsia="仿宋" w:cs="仿宋"/>
          <w:sz w:val="24"/>
          <w:szCs w:val="28"/>
        </w:rPr>
        <w:t>日</w:t>
      </w:r>
      <w:r>
        <w:rPr>
          <w:rFonts w:hint="eastAsia" w:ascii="仿宋" w:hAnsi="仿宋" w:eastAsia="仿宋" w:cs="仿宋"/>
          <w:sz w:val="24"/>
          <w:szCs w:val="28"/>
          <w:lang w:val="en-US" w:eastAsia="zh-CN"/>
        </w:rPr>
        <w:t>9</w:t>
      </w:r>
      <w:r>
        <w:rPr>
          <w:rFonts w:hint="eastAsia" w:ascii="仿宋" w:hAnsi="仿宋" w:eastAsia="仿宋" w:cs="仿宋"/>
          <w:sz w:val="24"/>
          <w:szCs w:val="28"/>
        </w:rPr>
        <w:t>点</w:t>
      </w:r>
      <w:r>
        <w:rPr>
          <w:rFonts w:hint="eastAsia" w:ascii="仿宋" w:hAnsi="仿宋" w:eastAsia="仿宋" w:cs="仿宋"/>
          <w:sz w:val="24"/>
          <w:szCs w:val="28"/>
          <w:lang w:val="en-US" w:eastAsia="zh-CN"/>
        </w:rPr>
        <w:t>30</w:t>
      </w:r>
      <w:r>
        <w:rPr>
          <w:rFonts w:hint="eastAsia" w:ascii="仿宋" w:hAnsi="仿宋" w:eastAsia="仿宋" w:cs="仿宋"/>
          <w:sz w:val="24"/>
          <w:szCs w:val="28"/>
        </w:rPr>
        <w:t>分00秒</w:t>
      </w:r>
    </w:p>
    <w:p w14:paraId="30776B21">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szCs w:val="28"/>
        </w:rPr>
        <w:t>乐采云平台网上递交。</w:t>
      </w:r>
    </w:p>
    <w:p w14:paraId="3DD3AA62">
      <w:pPr>
        <w:pStyle w:val="6"/>
        <w:numPr>
          <w:ilvl w:val="0"/>
          <w:numId w:val="0"/>
        </w:numPr>
        <w:rPr>
          <w:rFonts w:ascii="仿宋" w:eastAsia="仿宋" w:cs="仿宋"/>
          <w:sz w:val="24"/>
          <w:szCs w:val="28"/>
        </w:rPr>
      </w:pPr>
      <w:bookmarkStart w:id="28" w:name="_Toc28359007"/>
      <w:bookmarkStart w:id="29" w:name="_Toc35393625"/>
      <w:bookmarkStart w:id="30" w:name="_Toc28359084"/>
      <w:bookmarkStart w:id="31" w:name="_Toc35393794"/>
      <w:r>
        <w:rPr>
          <w:rFonts w:hint="eastAsia" w:ascii="仿宋" w:eastAsia="仿宋" w:cs="仿宋"/>
          <w:sz w:val="24"/>
          <w:szCs w:val="28"/>
        </w:rPr>
        <w:t>五、公告期限</w:t>
      </w:r>
      <w:bookmarkEnd w:id="28"/>
      <w:bookmarkEnd w:id="29"/>
      <w:bookmarkEnd w:id="30"/>
      <w:bookmarkEnd w:id="31"/>
    </w:p>
    <w:p w14:paraId="512FA73F">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自本公告发布之日起5个工作日。</w:t>
      </w:r>
    </w:p>
    <w:p w14:paraId="196FD2F0">
      <w:pPr>
        <w:pStyle w:val="6"/>
        <w:numPr>
          <w:ilvl w:val="0"/>
          <w:numId w:val="0"/>
        </w:numPr>
        <w:rPr>
          <w:rFonts w:ascii="仿宋" w:eastAsia="仿宋" w:cs="仿宋"/>
          <w:sz w:val="24"/>
          <w:szCs w:val="28"/>
        </w:rPr>
      </w:pPr>
      <w:bookmarkStart w:id="32" w:name="_Toc35393626"/>
      <w:bookmarkStart w:id="33" w:name="_Toc35393795"/>
      <w:r>
        <w:rPr>
          <w:rFonts w:hint="eastAsia" w:ascii="仿宋" w:eastAsia="仿宋" w:cs="仿宋"/>
          <w:sz w:val="24"/>
          <w:szCs w:val="28"/>
        </w:rPr>
        <w:t>六、其他补充事宜</w:t>
      </w:r>
      <w:bookmarkEnd w:id="32"/>
      <w:bookmarkEnd w:id="33"/>
    </w:p>
    <w:p w14:paraId="756C3FA2">
      <w:pPr>
        <w:spacing w:line="360" w:lineRule="auto"/>
        <w:ind w:firstLine="480" w:firstLineChars="200"/>
        <w:rPr>
          <w:rFonts w:ascii="仿宋" w:hAnsi="仿宋" w:eastAsia="仿宋" w:cs="仿宋"/>
          <w:sz w:val="24"/>
        </w:rPr>
      </w:pPr>
      <w:bookmarkStart w:id="34" w:name="_Toc35393796"/>
      <w:bookmarkStart w:id="35" w:name="_Toc35393627"/>
      <w:bookmarkStart w:id="36" w:name="_Toc28359085"/>
      <w:bookmarkStart w:id="37" w:name="_Toc28359008"/>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2C651A9A">
      <w:pPr>
        <w:spacing w:line="360" w:lineRule="auto"/>
        <w:ind w:firstLine="480" w:firstLineChars="200"/>
        <w:rPr>
          <w:rFonts w:ascii="仿宋" w:hAnsi="仿宋" w:eastAsia="仿宋" w:cs="仿宋"/>
          <w:sz w:val="24"/>
        </w:rPr>
      </w:pPr>
      <w:r>
        <w:rPr>
          <w:rFonts w:hint="eastAsia" w:ascii="仿宋" w:hAnsi="仿宋" w:eastAsia="仿宋" w:cs="仿宋"/>
          <w:sz w:val="24"/>
        </w:rPr>
        <w:t>2.需要落实的政府采购政策：包括节约资源、保护环境、支持创新、促进中小企业发展等。详见交易文件的第二部分总则。</w:t>
      </w:r>
    </w:p>
    <w:p w14:paraId="799DF86D">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56A6C804">
      <w:pPr>
        <w:pStyle w:val="6"/>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65554FB9">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734ADE6F">
      <w:pPr>
        <w:spacing w:line="360" w:lineRule="auto"/>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名 称：</w:t>
      </w:r>
      <w:r>
        <w:rPr>
          <w:rFonts w:hint="eastAsia" w:ascii="仿宋" w:hAnsi="仿宋" w:eastAsia="仿宋" w:cs="仿宋"/>
          <w:color w:val="auto"/>
          <w:sz w:val="24"/>
          <w:szCs w:val="28"/>
          <w:lang w:eastAsia="zh-CN"/>
        </w:rPr>
        <w:t>浙江湘旅绿色开发建设有限公司</w:t>
      </w:r>
    </w:p>
    <w:p w14:paraId="0468F3CE">
      <w:pPr>
        <w:spacing w:line="360" w:lineRule="auto"/>
        <w:jc w:val="left"/>
        <w:rPr>
          <w:rFonts w:ascii="仿宋" w:hAnsi="仿宋" w:eastAsia="仿宋" w:cs="仿宋"/>
          <w:color w:val="auto"/>
          <w:sz w:val="24"/>
          <w:szCs w:val="28"/>
        </w:rPr>
      </w:pPr>
      <w:r>
        <w:rPr>
          <w:rFonts w:hint="eastAsia" w:ascii="仿宋" w:hAnsi="仿宋" w:eastAsia="仿宋" w:cs="仿宋"/>
          <w:color w:val="auto"/>
          <w:sz w:val="24"/>
          <w:szCs w:val="28"/>
        </w:rPr>
        <w:t>地 址：杭州市萧山区金融小镇二期8号楼</w:t>
      </w:r>
    </w:p>
    <w:p w14:paraId="4EFF77F5">
      <w:pPr>
        <w:spacing w:line="360" w:lineRule="auto"/>
        <w:jc w:val="left"/>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rPr>
        <w:t>项目联系人（询问）：</w:t>
      </w:r>
      <w:r>
        <w:rPr>
          <w:rFonts w:hint="eastAsia" w:ascii="仿宋" w:hAnsi="仿宋" w:eastAsia="仿宋" w:cs="仿宋"/>
          <w:color w:val="auto"/>
          <w:sz w:val="24"/>
          <w:szCs w:val="28"/>
          <w:lang w:val="en-US" w:eastAsia="zh-CN"/>
        </w:rPr>
        <w:t>陈鑫鑫</w:t>
      </w:r>
    </w:p>
    <w:p w14:paraId="6BD19B37">
      <w:pPr>
        <w:spacing w:line="360" w:lineRule="auto"/>
        <w:jc w:val="left"/>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rPr>
        <w:t>项目联系方式（询问）：</w:t>
      </w:r>
      <w:r>
        <w:rPr>
          <w:rFonts w:hint="eastAsia" w:ascii="仿宋" w:hAnsi="仿宋" w:eastAsia="仿宋" w:cs="仿宋"/>
          <w:color w:val="auto"/>
          <w:sz w:val="24"/>
          <w:szCs w:val="28"/>
          <w:lang w:val="en-US" w:eastAsia="zh-CN"/>
        </w:rPr>
        <w:t>18258439299</w:t>
      </w:r>
    </w:p>
    <w:p w14:paraId="2B9A39AE">
      <w:pPr>
        <w:spacing w:line="360" w:lineRule="auto"/>
        <w:jc w:val="left"/>
        <w:rPr>
          <w:rFonts w:ascii="仿宋" w:hAnsi="仿宋" w:eastAsia="仿宋" w:cs="仿宋"/>
          <w:sz w:val="24"/>
          <w:szCs w:val="28"/>
        </w:rPr>
      </w:pPr>
      <w:bookmarkStart w:id="38" w:name="_Toc28359009"/>
      <w:bookmarkStart w:id="39" w:name="_Toc28359086"/>
      <w:r>
        <w:rPr>
          <w:rFonts w:hint="eastAsia" w:ascii="仿宋" w:hAnsi="仿宋" w:eastAsia="仿宋" w:cs="仿宋"/>
          <w:sz w:val="24"/>
          <w:szCs w:val="28"/>
        </w:rPr>
        <w:t>2.采购代理机构信息</w:t>
      </w:r>
      <w:bookmarkEnd w:id="38"/>
      <w:bookmarkEnd w:id="39"/>
    </w:p>
    <w:p w14:paraId="18D9D646">
      <w:pPr>
        <w:spacing w:line="360" w:lineRule="auto"/>
        <w:jc w:val="left"/>
        <w:rPr>
          <w:rFonts w:ascii="仿宋" w:hAnsi="仿宋" w:eastAsia="仿宋" w:cs="仿宋"/>
          <w:sz w:val="24"/>
          <w:szCs w:val="28"/>
        </w:rPr>
      </w:pPr>
      <w:r>
        <w:rPr>
          <w:rFonts w:hint="eastAsia" w:ascii="仿宋" w:hAnsi="仿宋" w:eastAsia="仿宋" w:cs="仿宋"/>
          <w:sz w:val="24"/>
          <w:szCs w:val="28"/>
        </w:rPr>
        <w:t>名 称：浙江华域高宇项目管理有限公司</w:t>
      </w:r>
    </w:p>
    <w:p w14:paraId="33B909C7">
      <w:pPr>
        <w:spacing w:line="360" w:lineRule="auto"/>
        <w:jc w:val="left"/>
        <w:rPr>
          <w:rFonts w:ascii="仿宋" w:hAnsi="仿宋" w:eastAsia="仿宋" w:cs="仿宋"/>
          <w:sz w:val="24"/>
          <w:szCs w:val="28"/>
        </w:rPr>
      </w:pPr>
      <w:r>
        <w:rPr>
          <w:rFonts w:hint="eastAsia" w:ascii="仿宋" w:hAnsi="仿宋" w:eastAsia="仿宋" w:cs="仿宋"/>
          <w:sz w:val="24"/>
          <w:szCs w:val="28"/>
        </w:rPr>
        <w:t>地址：萧山区北干街道金城路560号心意广场2幢1101室</w:t>
      </w:r>
    </w:p>
    <w:p w14:paraId="212A9F43">
      <w:pPr>
        <w:spacing w:line="360" w:lineRule="auto"/>
        <w:jc w:val="left"/>
        <w:rPr>
          <w:rFonts w:ascii="仿宋" w:hAnsi="仿宋" w:eastAsia="仿宋" w:cs="仿宋"/>
          <w:sz w:val="24"/>
          <w:szCs w:val="28"/>
        </w:rPr>
      </w:pPr>
      <w:r>
        <w:rPr>
          <w:rFonts w:hint="eastAsia" w:ascii="仿宋" w:hAnsi="仿宋" w:eastAsia="仿宋" w:cs="仿宋"/>
          <w:sz w:val="24"/>
          <w:szCs w:val="28"/>
        </w:rPr>
        <w:t>项目联系人（询问）：施少杰</w:t>
      </w:r>
    </w:p>
    <w:p w14:paraId="1D858945">
      <w:pPr>
        <w:spacing w:line="360" w:lineRule="auto"/>
        <w:jc w:val="left"/>
        <w:rPr>
          <w:rFonts w:ascii="仿宋" w:hAnsi="仿宋" w:eastAsia="仿宋" w:cs="仿宋"/>
          <w:sz w:val="24"/>
          <w:szCs w:val="28"/>
        </w:rPr>
      </w:pPr>
      <w:r>
        <w:rPr>
          <w:rFonts w:hint="eastAsia" w:ascii="仿宋" w:hAnsi="仿宋" w:eastAsia="仿宋" w:cs="仿宋"/>
          <w:sz w:val="24"/>
          <w:szCs w:val="28"/>
        </w:rPr>
        <w:t xml:space="preserve">项目联系方式（询问）：18668052483 </w:t>
      </w:r>
    </w:p>
    <w:p w14:paraId="33D25F78">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若对项目采购电子交易系统操作有疑问，可登录乐采云（https://www.lecaiyun.com/），点击右侧咨询小采，获取采小蜜智能服务管家帮助，或拨打乐采云服务热线400-881-7190获取热线服务帮助。       </w:t>
      </w:r>
    </w:p>
    <w:p w14:paraId="753830A2">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1BCAF59F">
      <w:pPr>
        <w:rPr>
          <w:rFonts w:ascii="仿宋" w:hAnsi="仿宋" w:eastAsia="仿宋" w:cs="仿宋"/>
        </w:rPr>
      </w:pPr>
      <w:r>
        <w:rPr>
          <w:rFonts w:hint="eastAsia" w:ascii="仿宋" w:hAnsi="仿宋" w:eastAsia="仿宋" w:cs="仿宋"/>
        </w:rPr>
        <w:br w:type="page"/>
      </w:r>
    </w:p>
    <w:p w14:paraId="433F40ED">
      <w:pPr>
        <w:pStyle w:val="5"/>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54B59940">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6630D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5C940A3">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6244F2A2">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542534B8">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3F9D5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9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1DAD72">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B8F76DA">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6138104D">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《投标（开标）一览表》是报价的唯一载体</w:t>
            </w:r>
            <w:r>
              <w:rPr>
                <w:rFonts w:hint="eastAsia" w:ascii="仿宋" w:hAnsi="仿宋" w:eastAsia="仿宋" w:cs="仿宋"/>
                <w:b/>
                <w:kern w:val="0"/>
                <w:sz w:val="24"/>
                <w:lang w:val="zh-CN"/>
              </w:rPr>
              <w:t>。投标文件中价格全部采用人民币报价。交易文件未列明，而供应商认为必需的费用也需列入报价。</w:t>
            </w:r>
          </w:p>
          <w:p w14:paraId="027D0F36">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435863BD">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投标文件出现不是唯一的、有选择性投标报价的；</w:t>
            </w:r>
          </w:p>
          <w:p w14:paraId="68617944">
            <w:pPr>
              <w:spacing w:line="360" w:lineRule="auto"/>
              <w:rPr>
                <w:rFonts w:ascii="仿宋" w:hAnsi="仿宋" w:eastAsia="仿宋" w:cs="仿宋"/>
                <w:b/>
                <w:kern w:val="0"/>
                <w:sz w:val="24"/>
                <w:lang w:val="zh-CN"/>
              </w:rPr>
            </w:pPr>
            <w:r>
              <w:rPr>
                <w:rFonts w:hint="eastAsia" w:ascii="仿宋" w:hAnsi="仿宋" w:eastAsia="仿宋" w:cs="仿宋"/>
                <w:b/>
                <w:kern w:val="0"/>
                <w:sz w:val="24"/>
              </w:rPr>
              <w:t>▲投标报价高于本项目采购预算或者最高限价的;</w:t>
            </w:r>
          </w:p>
          <w:p w14:paraId="79B75F03">
            <w:pPr>
              <w:spacing w:line="360" w:lineRule="auto"/>
              <w:rPr>
                <w:rFonts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6452487E">
            <w:pPr>
              <w:spacing w:line="360" w:lineRule="auto"/>
              <w:rPr>
                <w:rFonts w:ascii="仿宋" w:hAnsi="仿宋" w:eastAsia="仿宋" w:cs="仿宋"/>
                <w:b/>
                <w:kern w:val="0"/>
                <w:sz w:val="24"/>
              </w:rPr>
            </w:pPr>
            <w:r>
              <w:rPr>
                <w:rFonts w:hint="eastAsia" w:ascii="仿宋" w:hAnsi="仿宋" w:eastAsia="仿宋" w:cs="仿宋"/>
                <w:b/>
                <w:kern w:val="0"/>
                <w:sz w:val="24"/>
              </w:rPr>
              <w:t>▲《投标（开标）一览表》填写不完整或字迹不能辨认或有漏项的；</w:t>
            </w:r>
          </w:p>
          <w:p w14:paraId="2DA41F3F">
            <w:pPr>
              <w:spacing w:line="360" w:lineRule="auto"/>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14202061">
            <w:pPr>
              <w:spacing w:line="360" w:lineRule="auto"/>
              <w:rPr>
                <w:rFonts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6C9BB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28996F4">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74398F65">
            <w:pPr>
              <w:spacing w:line="360" w:lineRule="auto"/>
              <w:jc w:val="center"/>
              <w:rPr>
                <w:rFonts w:ascii="仿宋" w:hAnsi="仿宋" w:eastAsia="仿宋" w:cs="仿宋"/>
                <w:b/>
                <w:sz w:val="24"/>
              </w:rPr>
            </w:pPr>
            <w:r>
              <w:rPr>
                <w:rFonts w:hint="eastAsia" w:ascii="仿宋" w:hAnsi="仿宋" w:eastAsia="仿宋" w:cs="仿宋"/>
                <w:b/>
                <w:sz w:val="24"/>
              </w:rPr>
              <w:t>分包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3246BE81">
            <w:pPr>
              <w:spacing w:line="360" w:lineRule="auto"/>
              <w:rPr>
                <w:rFonts w:ascii="仿宋" w:hAnsi="仿宋" w:eastAsia="仿宋" w:cs="仿宋"/>
                <w:b/>
                <w:kern w:val="0"/>
                <w:sz w:val="24"/>
              </w:rPr>
            </w:pPr>
            <w:r>
              <w:rPr>
                <w:rFonts w:hint="eastAsia" w:ascii="仿宋" w:hAnsi="仿宋" w:eastAsia="仿宋" w:cs="仿宋"/>
                <w:b/>
                <w:kern w:val="0"/>
                <w:sz w:val="24"/>
              </w:rPr>
              <w:t>若无资质，涉及测绘工作经业主同意认可后，可由供应商委托有相应资质的公司。其余内容不允许分包。</w:t>
            </w:r>
          </w:p>
        </w:tc>
      </w:tr>
      <w:tr w14:paraId="6346C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34D7AE8">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324E0A71">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3D6C739A">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见交易文件第二部分11.1。</w:t>
            </w:r>
          </w:p>
          <w:p w14:paraId="1C0FEB6F">
            <w:pPr>
              <w:spacing w:line="360" w:lineRule="auto"/>
              <w:rPr>
                <w:rFonts w:ascii="仿宋" w:hAnsi="仿宋" w:eastAsia="仿宋" w:cs="仿宋"/>
                <w:sz w:val="24"/>
              </w:rPr>
            </w:pPr>
            <w:r>
              <w:rPr>
                <w:rFonts w:hint="eastAsia" w:ascii="仿宋" w:hAnsi="仿宋" w:eastAsia="仿宋" w:cs="仿宋"/>
                <w:sz w:val="24"/>
              </w:rPr>
              <w:t>（2）资信证明文件：根据交易文件第四部分评标标准提供。</w:t>
            </w:r>
          </w:p>
          <w:p w14:paraId="49D5AB81">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供应商未提供（1）的有效的资格证明文件的，视为供应商不具备交易文件中规定的资格要求，投标无效。</w:t>
            </w:r>
          </w:p>
        </w:tc>
      </w:tr>
      <w:tr w14:paraId="49951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DDEBCFB">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66EAA908">
            <w:pPr>
              <w:spacing w:line="360" w:lineRule="auto"/>
              <w:rPr>
                <w:rFonts w:ascii="仿宋" w:hAnsi="仿宋" w:eastAsia="仿宋" w:cs="仿宋"/>
                <w:b/>
                <w:sz w:val="24"/>
              </w:rPr>
            </w:pPr>
            <w:r>
              <w:rPr>
                <w:rFonts w:hint="eastAsia" w:ascii="仿宋" w:hAnsi="仿宋" w:eastAsia="仿宋" w:cs="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21A29166">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p w14:paraId="12831D23">
            <w:pPr>
              <w:pStyle w:val="33"/>
              <w:spacing w:line="360" w:lineRule="auto"/>
              <w:rPr>
                <w:rFonts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B组织</w:t>
            </w:r>
          </w:p>
        </w:tc>
      </w:tr>
      <w:tr w14:paraId="7A569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CF87636">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2E9F98CE">
            <w:pPr>
              <w:spacing w:line="360" w:lineRule="auto"/>
              <w:rPr>
                <w:rFonts w:ascii="仿宋" w:hAnsi="仿宋" w:eastAsia="仿宋" w:cs="仿宋"/>
                <w:b/>
                <w:sz w:val="24"/>
              </w:rPr>
            </w:pPr>
            <w:r>
              <w:rPr>
                <w:rFonts w:hint="eastAsia" w:ascii="仿宋" w:hAnsi="仿宋" w:eastAsia="仿宋" w:cs="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53FB53E4">
            <w:pPr>
              <w:spacing w:line="360" w:lineRule="auto"/>
              <w:rPr>
                <w:rFonts w:ascii="仿宋" w:hAnsi="仿宋" w:eastAsia="仿宋" w:cs="仿宋"/>
                <w:bCs/>
                <w:sz w:val="24"/>
              </w:rPr>
            </w:pPr>
            <w:r>
              <w:rPr>
                <w:rFonts w:hint="eastAsia" w:ascii="仿宋" w:hAnsi="仿宋" w:eastAsia="仿宋" w:cs="仿宋"/>
                <w:bCs/>
                <w:sz w:val="24"/>
              </w:rPr>
              <w:t>（√）A不要求提供。</w:t>
            </w:r>
          </w:p>
          <w:p w14:paraId="5546D453">
            <w:pPr>
              <w:spacing w:line="360" w:lineRule="auto"/>
              <w:rPr>
                <w:rFonts w:ascii="仿宋" w:hAnsi="仿宋" w:eastAsia="仿宋" w:cs="仿宋"/>
                <w:b/>
                <w:sz w:val="24"/>
              </w:rPr>
            </w:pPr>
            <w:r>
              <w:rPr>
                <w:rFonts w:hint="eastAsia" w:ascii="仿宋" w:hAnsi="仿宋" w:eastAsia="仿宋" w:cs="仿宋"/>
                <w:bCs/>
                <w:sz w:val="24"/>
              </w:rPr>
              <w:t>（ ）B要求提供。</w:t>
            </w:r>
          </w:p>
        </w:tc>
      </w:tr>
      <w:tr w14:paraId="5C4C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C82110">
            <w:pPr>
              <w:snapToGrid w:val="0"/>
              <w:spacing w:line="360" w:lineRule="auto"/>
              <w:jc w:val="center"/>
              <w:rPr>
                <w:rFonts w:ascii="仿宋" w:hAnsi="仿宋" w:eastAsia="仿宋" w:cs="仿宋"/>
                <w:sz w:val="24"/>
              </w:rPr>
            </w:pPr>
            <w:r>
              <w:rPr>
                <w:rFonts w:hint="eastAsia" w:ascii="仿宋" w:hAnsi="仿宋" w:eastAsia="仿宋" w:cs="仿宋"/>
                <w:sz w:val="24"/>
              </w:rPr>
              <w:t>6</w:t>
            </w:r>
          </w:p>
          <w:p w14:paraId="22FFEBE6">
            <w:pPr>
              <w:snapToGrid w:val="0"/>
              <w:spacing w:line="360" w:lineRule="auto"/>
              <w:jc w:val="center"/>
              <w:rPr>
                <w:rFonts w:ascii="仿宋" w:hAnsi="仿宋" w:eastAsia="仿宋" w:cs="仿宋"/>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3D434172">
            <w:pPr>
              <w:spacing w:line="360" w:lineRule="auto"/>
              <w:jc w:val="center"/>
              <w:rPr>
                <w:rFonts w:ascii="仿宋" w:hAnsi="仿宋" w:eastAsia="仿宋" w:cs="仿宋"/>
                <w:b/>
                <w:sz w:val="24"/>
              </w:rPr>
            </w:pPr>
            <w:r>
              <w:rPr>
                <w:rFonts w:hint="eastAsia" w:ascii="仿宋" w:hAnsi="仿宋" w:eastAsia="仿宋" w:cs="仿宋"/>
                <w:b/>
                <w:sz w:val="24"/>
              </w:rPr>
              <w:t>投标文件的</w:t>
            </w:r>
          </w:p>
          <w:p w14:paraId="5F7EC183">
            <w:pPr>
              <w:spacing w:line="360" w:lineRule="auto"/>
              <w:jc w:val="center"/>
              <w:rPr>
                <w:rFonts w:ascii="仿宋" w:hAnsi="仿宋" w:eastAsia="仿宋" w:cs="仿宋"/>
                <w:b/>
                <w:sz w:val="24"/>
              </w:rPr>
            </w:pPr>
            <w:r>
              <w:rPr>
                <w:rFonts w:hint="eastAsia" w:ascii="仿宋" w:hAnsi="仿宋" w:eastAsia="仿宋" w:cs="仿宋"/>
                <w:b/>
                <w:sz w:val="24"/>
              </w:rPr>
              <w:t>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1B76784E">
            <w:pPr>
              <w:pStyle w:val="33"/>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14:paraId="73CB78C5">
            <w:pPr>
              <w:pStyle w:val="33"/>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14:paraId="5D60A650">
            <w:pPr>
              <w:pStyle w:val="33"/>
              <w:snapToGrid w:val="0"/>
              <w:spacing w:before="120" w:after="120" w:line="360" w:lineRule="auto"/>
              <w:ind w:left="360"/>
              <w:rPr>
                <w:rFonts w:ascii="仿宋" w:hAnsi="仿宋" w:eastAsia="仿宋" w:cs="仿宋"/>
                <w:sz w:val="24"/>
              </w:rPr>
            </w:pPr>
            <w:r>
              <w:rPr>
                <w:rFonts w:hint="eastAsia" w:ascii="仿宋" w:hAnsi="仿宋" w:eastAsia="仿宋" w:cs="仿宋"/>
                <w:sz w:val="24"/>
              </w:rPr>
              <w:t>电子投标文件，按乐采云平台项目采购-电子招投标操作指南及本交易文件要求递交。</w:t>
            </w:r>
          </w:p>
          <w:p w14:paraId="0F8619EB">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14:paraId="31B1D64D">
            <w:pPr>
              <w:spacing w:line="360" w:lineRule="auto"/>
              <w:rPr>
                <w:rFonts w:ascii="仿宋" w:hAnsi="仿宋" w:eastAsia="仿宋" w:cs="仿宋"/>
                <w:b/>
                <w:sz w:val="24"/>
              </w:rPr>
            </w:pPr>
            <w:r>
              <w:rPr>
                <w:rFonts w:hint="eastAsia" w:ascii="仿宋" w:hAnsi="仿宋" w:eastAsia="仿宋" w:cs="仿宋"/>
                <w:b/>
                <w:sz w:val="24"/>
              </w:rPr>
              <w:t>▲未在系统解密时间内完成解密的，视为供应商自行放弃投标，投标无效。</w:t>
            </w:r>
          </w:p>
          <w:p w14:paraId="21AB9FD8">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14:paraId="3144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2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1B3DE8A">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356B6F87">
            <w:pPr>
              <w:spacing w:line="360" w:lineRule="auto"/>
              <w:rPr>
                <w:rFonts w:ascii="仿宋" w:hAnsi="仿宋" w:eastAsia="仿宋" w:cs="仿宋"/>
                <w:bCs/>
                <w:sz w:val="24"/>
              </w:rPr>
            </w:pPr>
            <w:r>
              <w:rPr>
                <w:rFonts w:hint="eastAsia" w:ascii="仿宋" w:hAnsi="仿宋" w:eastAsia="仿宋" w:cs="仿宋"/>
                <w:b/>
                <w:sz w:val="24"/>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495055BD">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）A不组织。</w:t>
            </w:r>
          </w:p>
        </w:tc>
      </w:tr>
      <w:tr w14:paraId="29075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8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9474E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2868A77A">
            <w:pPr>
              <w:spacing w:line="360" w:lineRule="auto"/>
              <w:rPr>
                <w:rFonts w:ascii="仿宋" w:hAnsi="仿宋" w:eastAsia="仿宋" w:cs="仿宋"/>
                <w:b/>
                <w:color w:val="auto"/>
                <w:sz w:val="24"/>
              </w:rPr>
            </w:pPr>
            <w:r>
              <w:rPr>
                <w:rFonts w:hint="eastAsia" w:ascii="仿宋" w:hAnsi="仿宋" w:eastAsia="仿宋" w:cs="仿宋"/>
                <w:b/>
                <w:color w:val="auto"/>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0C9A67B4">
            <w:pPr>
              <w:spacing w:line="360" w:lineRule="auto"/>
              <w:rPr>
                <w:rFonts w:hint="eastAsia" w:ascii="仿宋" w:hAnsi="仿宋" w:eastAsia="仿宋" w:cs="仿宋"/>
                <w:color w:val="auto"/>
                <w:sz w:val="24"/>
              </w:rPr>
            </w:pPr>
            <w:r>
              <w:rPr>
                <w:rFonts w:hint="eastAsia" w:ascii="仿宋" w:hAnsi="仿宋" w:eastAsia="仿宋" w:cs="仿宋"/>
                <w:color w:val="auto"/>
                <w:sz w:val="24"/>
              </w:rPr>
              <w:t>采购机构代理费用由中标人支付。</w:t>
            </w:r>
          </w:p>
          <w:p w14:paraId="27EF0625">
            <w:pPr>
              <w:spacing w:line="360" w:lineRule="auto"/>
              <w:rPr>
                <w:rFonts w:ascii="仿宋" w:hAnsi="仿宋" w:eastAsia="仿宋" w:cs="仿宋"/>
                <w:color w:val="auto"/>
                <w:sz w:val="24"/>
              </w:rPr>
            </w:pPr>
            <w:r>
              <w:rPr>
                <w:rFonts w:hint="eastAsia" w:ascii="仿宋" w:hAnsi="仿宋" w:eastAsia="仿宋" w:cs="仿宋"/>
                <w:color w:val="auto"/>
                <w:sz w:val="24"/>
              </w:rPr>
              <w:t>招标代理费按计价格〔2002〕1980号文件收费标准</w:t>
            </w:r>
            <w:r>
              <w:rPr>
                <w:rFonts w:hint="eastAsia" w:ascii="仿宋" w:hAnsi="仿宋" w:eastAsia="仿宋" w:cs="仿宋"/>
                <w:color w:val="auto"/>
                <w:sz w:val="24"/>
                <w:lang w:val="en-US" w:eastAsia="zh-CN"/>
              </w:rPr>
              <w:t>的55%</w:t>
            </w:r>
            <w:r>
              <w:rPr>
                <w:rFonts w:hint="eastAsia" w:ascii="仿宋" w:hAnsi="仿宋" w:eastAsia="仿宋" w:cs="仿宋"/>
                <w:color w:val="auto"/>
                <w:sz w:val="24"/>
              </w:rPr>
              <w:t>计取。</w:t>
            </w:r>
          </w:p>
        </w:tc>
      </w:tr>
      <w:tr w14:paraId="2A774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4E12825">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229E1237">
            <w:pPr>
              <w:spacing w:line="360" w:lineRule="auto"/>
              <w:rPr>
                <w:rFonts w:ascii="仿宋" w:hAnsi="仿宋" w:eastAsia="仿宋" w:cs="仿宋"/>
                <w:b/>
                <w:sz w:val="24"/>
              </w:rPr>
            </w:pPr>
            <w:r>
              <w:rPr>
                <w:rFonts w:hint="eastAsia" w:ascii="仿宋" w:hAnsi="仿宋" w:eastAsia="仿宋" w:cs="仿宋"/>
                <w:b/>
                <w:sz w:val="24"/>
              </w:rPr>
              <w:t>投标保证金</w:t>
            </w:r>
          </w:p>
          <w:p w14:paraId="6329FFDA">
            <w:pPr>
              <w:spacing w:line="360" w:lineRule="auto"/>
              <w:rPr>
                <w:rFonts w:ascii="仿宋" w:hAnsi="仿宋" w:eastAsia="仿宋" w:cs="仿宋"/>
                <w:b/>
                <w:sz w:val="24"/>
              </w:rPr>
            </w:pPr>
            <w:r>
              <w:rPr>
                <w:rFonts w:hint="eastAsia" w:ascii="仿宋" w:hAnsi="仿宋" w:eastAsia="仿宋" w:cs="仿宋"/>
                <w:b/>
                <w:sz w:val="24"/>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14:paraId="0C8A9CAB">
            <w:pPr>
              <w:pStyle w:val="18"/>
              <w:spacing w:line="360" w:lineRule="auto"/>
              <w:ind w:firstLine="0"/>
              <w:rPr>
                <w:rFonts w:ascii="仿宋" w:hAnsi="仿宋" w:eastAsia="仿宋" w:cs="仿宋"/>
                <w:color w:val="auto"/>
                <w:sz w:val="24"/>
              </w:rPr>
            </w:pPr>
            <w:r>
              <w:rPr>
                <w:rFonts w:hint="eastAsia" w:ascii="仿宋" w:hAnsi="仿宋" w:eastAsia="仿宋" w:cs="仿宋"/>
                <w:color w:val="auto"/>
                <w:sz w:val="24"/>
              </w:rPr>
              <w:t>投标保证金：不收取。</w:t>
            </w:r>
          </w:p>
          <w:p w14:paraId="25BB7683">
            <w:pPr>
              <w:pStyle w:val="18"/>
              <w:spacing w:line="360" w:lineRule="auto"/>
              <w:ind w:firstLine="0"/>
              <w:rPr>
                <w:rFonts w:ascii="仿宋" w:hAnsi="仿宋" w:eastAsia="仿宋" w:cs="仿宋"/>
                <w:color w:val="auto"/>
                <w:sz w:val="24"/>
              </w:rPr>
            </w:pPr>
            <w:r>
              <w:rPr>
                <w:rFonts w:hint="eastAsia" w:ascii="仿宋" w:hAnsi="仿宋" w:eastAsia="仿宋" w:cs="仿宋"/>
                <w:color w:val="auto"/>
                <w:sz w:val="24"/>
              </w:rPr>
              <w:t>履约保证金：不收取。</w:t>
            </w:r>
          </w:p>
        </w:tc>
      </w:tr>
      <w:tr w14:paraId="7FCA2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575D495">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1C2FE5F3">
            <w:pPr>
              <w:spacing w:line="360" w:lineRule="auto"/>
              <w:rPr>
                <w:rFonts w:ascii="仿宋" w:hAnsi="仿宋" w:eastAsia="仿宋" w:cs="仿宋"/>
                <w:b/>
                <w:sz w:val="24"/>
              </w:rPr>
            </w:pPr>
            <w:r>
              <w:rPr>
                <w:rFonts w:hint="eastAsia" w:ascii="仿宋" w:hAnsi="仿宋" w:eastAsia="仿宋" w:cs="仿宋"/>
                <w:b/>
                <w:sz w:val="24"/>
              </w:rPr>
              <w:t>资格审查及信用信息查询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029C944C">
            <w:pPr>
              <w:pStyle w:val="18"/>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55058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D0C6BB7">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16344615">
            <w:pPr>
              <w:spacing w:line="360" w:lineRule="auto"/>
              <w:rPr>
                <w:rFonts w:ascii="仿宋" w:hAnsi="仿宋" w:eastAsia="仿宋" w:cs="仿宋"/>
                <w:b/>
                <w:sz w:val="24"/>
              </w:rPr>
            </w:pPr>
            <w:r>
              <w:rPr>
                <w:rFonts w:hint="eastAsia" w:ascii="仿宋" w:hAnsi="仿宋" w:eastAsia="仿宋" w:cs="仿宋"/>
                <w:b/>
                <w:sz w:val="24"/>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6F2BF7CC">
            <w:pPr>
              <w:spacing w:line="360" w:lineRule="auto"/>
              <w:rPr>
                <w:rFonts w:ascii="仿宋" w:hAnsi="仿宋" w:eastAsia="仿宋" w:cs="仿宋"/>
                <w:sz w:val="24"/>
              </w:rPr>
            </w:pPr>
            <w:r>
              <w:rPr>
                <w:rFonts w:hint="eastAsia" w:ascii="仿宋" w:hAnsi="仿宋" w:eastAsia="仿宋" w:cs="仿宋"/>
                <w:kern w:val="0"/>
                <w:sz w:val="24"/>
              </w:rPr>
              <w:t>采购标的</w:t>
            </w:r>
            <w:r>
              <w:rPr>
                <w:rFonts w:hint="eastAsia" w:ascii="仿宋" w:hAnsi="仿宋" w:eastAsia="仿宋" w:cs="仿宋"/>
                <w:kern w:val="0"/>
                <w:sz w:val="24"/>
                <w:u w:val="single"/>
              </w:rPr>
              <w:t>：</w:t>
            </w:r>
            <w:r>
              <w:rPr>
                <w:rFonts w:hint="eastAsia" w:ascii="仿宋" w:hAnsi="仿宋" w:eastAsia="仿宋" w:cs="仿宋"/>
                <w:sz w:val="24"/>
                <w:lang w:eastAsia="zh-CN"/>
              </w:rPr>
              <w:t>闻堰街道定山工业园区西区块、湘湖单元（杨岐山片区）改造项目搬迁评估项目</w:t>
            </w:r>
            <w:r>
              <w:rPr>
                <w:rFonts w:hint="eastAsia" w:ascii="仿宋" w:hAnsi="仿宋" w:eastAsia="仿宋" w:cs="仿宋"/>
                <w:sz w:val="24"/>
              </w:rPr>
              <w:t>。</w:t>
            </w:r>
          </w:p>
          <w:p w14:paraId="221EEC9E">
            <w:pPr>
              <w:spacing w:line="360" w:lineRule="auto"/>
              <w:rPr>
                <w:rFonts w:ascii="仿宋" w:hAnsi="仿宋" w:eastAsia="仿宋" w:cs="仿宋"/>
                <w:kern w:val="0"/>
                <w:sz w:val="24"/>
              </w:rPr>
            </w:pPr>
            <w:r>
              <w:rPr>
                <w:rFonts w:hint="eastAsia" w:ascii="仿宋" w:hAnsi="仿宋" w:eastAsia="仿宋" w:cs="仿宋"/>
                <w:kern w:val="0"/>
                <w:sz w:val="24"/>
              </w:rPr>
              <w:t>行业划分标准：</w:t>
            </w:r>
          </w:p>
          <w:p w14:paraId="3BB1F05A">
            <w:pPr>
              <w:spacing w:line="360" w:lineRule="auto"/>
              <w:rPr>
                <w:rFonts w:ascii="仿宋" w:hAnsi="仿宋" w:eastAsia="仿宋" w:cs="仿宋"/>
                <w:sz w:val="24"/>
              </w:rPr>
            </w:pPr>
            <w:r>
              <w:rPr>
                <w:rFonts w:hint="eastAsia" w:ascii="仿宋" w:hAnsi="仿宋" w:eastAsia="仿宋" w:cs="仿宋"/>
                <w:kern w:val="0"/>
                <w:sz w:val="24"/>
              </w:rPr>
              <w:t>《关于印发中小企业划型标准规定的通知》工信部联企业〔2011〕300号</w:t>
            </w:r>
          </w:p>
        </w:tc>
      </w:tr>
      <w:tr w14:paraId="76024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F5E4349">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A1D00B1">
            <w:pPr>
              <w:spacing w:line="360" w:lineRule="auto"/>
              <w:jc w:val="center"/>
              <w:rPr>
                <w:rFonts w:ascii="仿宋" w:hAnsi="仿宋" w:eastAsia="仿宋" w:cs="仿宋"/>
                <w:b/>
                <w:sz w:val="24"/>
              </w:rPr>
            </w:pPr>
            <w:r>
              <w:rPr>
                <w:rFonts w:hint="eastAsia" w:ascii="仿宋" w:hAnsi="仿宋" w:eastAsia="仿宋" w:cs="仿宋"/>
                <w:b/>
                <w:sz w:val="24"/>
              </w:rPr>
              <w:t>质疑接收人</w:t>
            </w:r>
          </w:p>
          <w:p w14:paraId="63998D1B">
            <w:pPr>
              <w:spacing w:line="360" w:lineRule="auto"/>
              <w:jc w:val="center"/>
              <w:rPr>
                <w:rFonts w:ascii="仿宋" w:hAnsi="仿宋" w:eastAsia="仿宋" w:cs="仿宋"/>
                <w:b/>
                <w:sz w:val="24"/>
              </w:rPr>
            </w:pPr>
            <w:r>
              <w:rPr>
                <w:rFonts w:hint="eastAsia" w:ascii="仿宋" w:hAnsi="仿宋" w:eastAsia="仿宋" w:cs="仿宋"/>
                <w:b/>
                <w:sz w:val="24"/>
              </w:rPr>
              <w:t>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7A55A3E7">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w:t>
            </w:r>
            <w:r>
              <w:rPr>
                <w:rFonts w:hint="eastAsia" w:ascii="仿宋" w:hAnsi="仿宋" w:eastAsia="仿宋"/>
                <w:sz w:val="24"/>
              </w:rPr>
              <w:t>采购</w:t>
            </w:r>
            <w:r>
              <w:rPr>
                <w:rFonts w:ascii="仿宋" w:hAnsi="仿宋" w:eastAsia="仿宋"/>
                <w:sz w:val="24"/>
              </w:rPr>
              <w:t>机构质疑接收人</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rPr>
              <w:t>详见公告</w:t>
            </w:r>
          </w:p>
          <w:p w14:paraId="5A2090B4">
            <w:pPr>
              <w:snapToGrid w:val="0"/>
              <w:spacing w:line="360" w:lineRule="auto"/>
              <w:rPr>
                <w:rFonts w:ascii="仿宋" w:hAnsi="仿宋" w:eastAsia="仿宋"/>
                <w:b/>
                <w:sz w:val="24"/>
              </w:rPr>
            </w:pPr>
            <w:r>
              <w:rPr>
                <w:rFonts w:hint="eastAsia" w:ascii="仿宋" w:hAnsi="仿宋" w:eastAsia="仿宋"/>
                <w:b/>
                <w:sz w:val="24"/>
              </w:rPr>
              <w:t>线上提交质疑方式：乐采云线上质疑路径：项目采购-询问质疑投诉-质疑列表。请使用ca签章在每一页质疑文件中加盖电子公章，上传完整附件。</w:t>
            </w:r>
          </w:p>
          <w:p w14:paraId="4E247C17">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592E16F8">
            <w:pPr>
              <w:snapToGrid w:val="0"/>
              <w:spacing w:line="360" w:lineRule="auto"/>
              <w:rPr>
                <w:rFonts w:ascii="仿宋" w:hAnsi="仿宋" w:eastAsia="仿宋" w:cs="仿宋"/>
                <w:sz w:val="24"/>
                <w:u w:val="single"/>
              </w:rPr>
            </w:pPr>
            <w:r>
              <w:rPr>
                <w:rFonts w:hint="eastAsia" w:ascii="仿宋" w:hAnsi="仿宋" w:eastAsia="仿宋" w:cs="仿宋"/>
                <w:sz w:val="24"/>
              </w:rPr>
              <w:t>涉及流程组织等相关事项，由采购机构进行答复。</w:t>
            </w:r>
          </w:p>
        </w:tc>
      </w:tr>
      <w:tr w14:paraId="19E05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73394FB">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3B84933A">
            <w:pPr>
              <w:spacing w:line="360" w:lineRule="auto"/>
              <w:rPr>
                <w:rFonts w:ascii="仿宋" w:hAnsi="仿宋" w:eastAsia="仿宋" w:cs="仿宋"/>
                <w:b/>
                <w:sz w:val="24"/>
              </w:rPr>
            </w:pPr>
            <w:r>
              <w:rPr>
                <w:rFonts w:hint="eastAsia" w:ascii="仿宋" w:hAnsi="仿宋" w:eastAsia="仿宋" w:cs="仿宋"/>
                <w:b/>
                <w:sz w:val="24"/>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14:paraId="2032050F">
            <w:pPr>
              <w:snapToGrid w:val="0"/>
              <w:spacing w:line="520" w:lineRule="exact"/>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14:paraId="341AD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485D420">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14:paraId="4D7A5C3C">
            <w:pPr>
              <w:spacing w:line="360" w:lineRule="auto"/>
              <w:jc w:val="center"/>
              <w:rPr>
                <w:rFonts w:ascii="仿宋" w:hAnsi="仿宋" w:eastAsia="仿宋" w:cs="仿宋"/>
                <w:b/>
                <w:sz w:val="24"/>
              </w:rPr>
            </w:pPr>
            <w:r>
              <w:rPr>
                <w:rFonts w:hint="eastAsia" w:ascii="仿宋" w:hAnsi="仿宋" w:eastAsia="仿宋" w:cs="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3C83A121">
            <w:pPr>
              <w:snapToGrid w:val="0"/>
              <w:spacing w:line="360" w:lineRule="auto"/>
              <w:rPr>
                <w:rFonts w:ascii="仿宋" w:hAnsi="仿宋" w:eastAsia="仿宋" w:cs="仿宋"/>
                <w:sz w:val="24"/>
              </w:rPr>
            </w:pPr>
            <w:r>
              <w:rPr>
                <w:rFonts w:hint="eastAsia" w:ascii="仿宋" w:hAnsi="仿宋" w:eastAsia="仿宋" w:cs="仿宋"/>
                <w:sz w:val="24"/>
                <w:u w:val="single"/>
              </w:rPr>
              <w:t>标项一</w:t>
            </w:r>
            <w:r>
              <w:rPr>
                <w:rFonts w:hint="eastAsia" w:ascii="仿宋" w:hAnsi="仿宋" w:eastAsia="仿宋" w:cs="仿宋"/>
                <w:sz w:val="24"/>
              </w:rPr>
              <w:t>为</w:t>
            </w:r>
            <w:r>
              <w:rPr>
                <w:rFonts w:hint="eastAsia" w:ascii="仿宋" w:hAnsi="仿宋" w:eastAsia="仿宋" w:cs="仿宋"/>
                <w:sz w:val="24"/>
                <w:u w:val="single"/>
              </w:rPr>
              <w:t>综合评分法</w:t>
            </w:r>
            <w:r>
              <w:rPr>
                <w:rFonts w:hint="eastAsia" w:ascii="仿宋" w:hAnsi="仿宋" w:eastAsia="仿宋" w:cs="仿宋"/>
                <w:sz w:val="24"/>
              </w:rPr>
              <w:t>采购项目</w:t>
            </w:r>
          </w:p>
        </w:tc>
      </w:tr>
      <w:tr w14:paraId="400AD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28DD187">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14:paraId="09477244">
            <w:pPr>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0DDB4607">
            <w:p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57411BFB">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14:paraId="53054CC5">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br w:type="page"/>
      </w:r>
      <w:bookmarkEnd w:id="10"/>
      <w:bookmarkStart w:id="40" w:name="第三部分"/>
      <w:bookmarkStart w:id="41" w:name="_Toc164416483"/>
      <w:r>
        <w:rPr>
          <w:rFonts w:hint="eastAsia" w:ascii="仿宋" w:hAnsi="仿宋" w:eastAsia="仿宋" w:cs="仿宋"/>
          <w:b/>
          <w:sz w:val="32"/>
          <w:szCs w:val="20"/>
        </w:rPr>
        <w:t>一、总则</w:t>
      </w:r>
    </w:p>
    <w:p w14:paraId="28E575D2">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1.适用范围</w:t>
      </w:r>
    </w:p>
    <w:p w14:paraId="234C93B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本交易文件适用于该项目的交易、投标、开标、资格审查及信用信息查询、评标、定标、合同、验收等行为（法律、法规另有规定的，从其规定）。</w:t>
      </w:r>
    </w:p>
    <w:p w14:paraId="6696F4E2">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3C75CB3A">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14:paraId="3B1C59FB">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“采购机构”系指交易公告中载明的本项目的采购机构。</w:t>
      </w:r>
    </w:p>
    <w:p w14:paraId="312CE520">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“供应商”系指是指响应交易、参加投标竞争的法人、其他组织或者自然人。</w:t>
      </w:r>
    </w:p>
    <w:p w14:paraId="1455FED0">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EF1B606">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14:paraId="61904AB8">
      <w:pPr>
        <w:snapToGrid w:val="0"/>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14:paraId="08C2A195">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4C9BB67F">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57CF5FB">
      <w:pPr>
        <w:spacing w:line="360" w:lineRule="auto"/>
        <w:ind w:firstLine="480" w:firstLineChars="200"/>
        <w:rPr>
          <w:rFonts w:ascii="仿宋" w:hAnsi="仿宋" w:eastAsia="仿宋" w:cs="仿宋"/>
          <w:sz w:val="24"/>
        </w:rPr>
      </w:pPr>
      <w:r>
        <w:rPr>
          <w:rFonts w:hint="eastAsia" w:ascii="仿宋" w:hAnsi="仿宋" w:eastAsia="仿宋" w:cs="仿宋"/>
          <w:sz w:val="24"/>
        </w:rPr>
        <w:t>3.2 节能环保要求</w:t>
      </w:r>
    </w:p>
    <w:p w14:paraId="04F98D2E">
      <w:pPr>
        <w:spacing w:line="360" w:lineRule="auto"/>
        <w:ind w:firstLine="482" w:firstLineChars="200"/>
        <w:rPr>
          <w:rFonts w:ascii="仿宋" w:hAnsi="仿宋" w:eastAsia="仿宋" w:cs="仿宋"/>
          <w:sz w:val="24"/>
        </w:rPr>
      </w:pPr>
      <w:r>
        <w:rPr>
          <w:rFonts w:hint="eastAsia" w:ascii="仿宋" w:hAnsi="仿宋" w:eastAsia="仿宋" w:cs="仿宋"/>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仿宋" w:hAnsi="仿宋" w:eastAsia="仿宋" w:cs="仿宋"/>
          <w:b/>
          <w:sz w:val="24"/>
        </w:rPr>
        <w:t>▲</w:t>
      </w:r>
      <w:r>
        <w:rPr>
          <w:rFonts w:hint="eastAsia" w:ascii="仿宋" w:hAnsi="仿宋" w:eastAsia="仿宋" w:cs="仿宋"/>
          <w:b/>
          <w:sz w:val="24"/>
          <w:szCs w:val="21"/>
        </w:rPr>
        <w:t>本项目如需采购节能品目清单中的政府强制采购的节能产品的，必须以强制采购的品目清单内产品投标，供应商未按要求提供品目清单内的节能产品或相关证明，投标无效。</w:t>
      </w:r>
    </w:p>
    <w:p w14:paraId="09B500C2">
      <w:pPr>
        <w:spacing w:line="360" w:lineRule="auto"/>
        <w:ind w:firstLine="480" w:firstLineChars="200"/>
        <w:rPr>
          <w:rFonts w:ascii="仿宋" w:hAnsi="仿宋" w:eastAsia="仿宋" w:cs="仿宋"/>
          <w:sz w:val="24"/>
        </w:rPr>
      </w:pPr>
      <w:r>
        <w:rPr>
          <w:rFonts w:hint="eastAsia" w:ascii="仿宋" w:hAnsi="仿宋" w:eastAsia="仿宋" w:cs="仿宋"/>
          <w:sz w:val="24"/>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09BDEB31">
      <w:pPr>
        <w:spacing w:line="360" w:lineRule="auto"/>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支持创新发展</w:t>
      </w:r>
    </w:p>
    <w:p w14:paraId="22FEE8E9">
      <w:pPr>
        <w:spacing w:line="360" w:lineRule="auto"/>
        <w:ind w:firstLine="480" w:firstLineChars="200"/>
        <w:rPr>
          <w:rFonts w:ascii="仿宋" w:hAnsi="仿宋" w:eastAsia="仿宋" w:cs="仿宋"/>
          <w:sz w:val="24"/>
        </w:rPr>
      </w:pPr>
      <w:r>
        <w:rPr>
          <w:rFonts w:hint="eastAsia" w:ascii="仿宋" w:hAnsi="仿宋" w:eastAsia="仿宋" w:cs="仿宋"/>
          <w:sz w:val="24"/>
        </w:rPr>
        <w:t>3.3.1 采购人优先采购被认定为首台套产品和“制造精品”的自主创新产品。</w:t>
      </w:r>
    </w:p>
    <w:p w14:paraId="590E1534">
      <w:pPr>
        <w:spacing w:line="360" w:lineRule="auto"/>
        <w:ind w:firstLine="480" w:firstLineChars="200"/>
        <w:rPr>
          <w:rFonts w:ascii="仿宋" w:hAnsi="仿宋" w:eastAsia="仿宋" w:cs="仿宋"/>
          <w:sz w:val="24"/>
        </w:rPr>
      </w:pPr>
      <w:r>
        <w:rPr>
          <w:rFonts w:hint="eastAsia" w:ascii="仿宋" w:hAnsi="仿宋" w:eastAsia="仿宋" w:cs="仿宋"/>
          <w:sz w:val="24"/>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1B2FAED">
      <w:pPr>
        <w:spacing w:line="360" w:lineRule="auto"/>
        <w:ind w:firstLine="241" w:firstLineChars="100"/>
        <w:rPr>
          <w:rFonts w:ascii="仿宋" w:hAnsi="仿宋" w:eastAsia="仿宋" w:cs="仿宋"/>
          <w:b/>
          <w:sz w:val="24"/>
        </w:rPr>
      </w:pPr>
      <w:r>
        <w:rPr>
          <w:rFonts w:hint="eastAsia" w:ascii="仿宋" w:hAnsi="仿宋" w:eastAsia="仿宋" w:cs="仿宋"/>
          <w:b/>
          <w:sz w:val="24"/>
        </w:rPr>
        <w:t>4.询问、质疑、投诉</w:t>
      </w:r>
      <w:r>
        <w:rPr>
          <w:rFonts w:hint="eastAsia" w:ascii="仿宋" w:hAnsi="仿宋" w:eastAsia="仿宋" w:cs="仿宋"/>
          <w:kern w:val="0"/>
          <w:sz w:val="24"/>
          <w:lang w:val="zh-CN"/>
        </w:rPr>
        <w:t xml:space="preserve"> </w:t>
      </w:r>
    </w:p>
    <w:p w14:paraId="6A7D0A2A">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134D6A92">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CD38E0">
      <w:pPr>
        <w:pStyle w:val="18"/>
        <w:spacing w:line="360" w:lineRule="auto"/>
        <w:ind w:firstLine="0"/>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4.2供应商质疑</w:t>
      </w:r>
    </w:p>
    <w:p w14:paraId="472A1BB5">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.1提出质疑的供应商应当是参与所质疑项目采购活动的供应商。潜在供应商已依法获取其可质疑的采购文件的，可以对该文件提出质疑。</w:t>
      </w:r>
    </w:p>
    <w:p w14:paraId="71C0CFE3">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21597557">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6661A421">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08D3EAA5">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.2.3对采购结果提出质疑的，质疑期限自采购结果公告期限届满之日起计算。对采购结果提出质疑的，采购人或采购机构负责答复。（详见前附表相关规定）</w:t>
      </w:r>
    </w:p>
    <w:p w14:paraId="67E6EDA0">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w:t>
      </w:r>
      <w:r>
        <w:rPr>
          <w:rFonts w:hint="eastAsia" w:ascii="仿宋" w:hAnsi="仿宋" w:eastAsia="仿宋" w:cs="仿宋"/>
          <w:snapToGrid/>
          <w:color w:val="auto"/>
          <w:kern w:val="2"/>
          <w:sz w:val="24"/>
        </w:rPr>
        <w:t>供应商提出质疑应当提交质疑函和必要的证明材料。质疑函应当包括下列内容：</w:t>
      </w:r>
    </w:p>
    <w:p w14:paraId="2E9E4CD1">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4.2.3.1</w:t>
      </w:r>
      <w:r>
        <w:rPr>
          <w:rFonts w:hint="eastAsia" w:ascii="仿宋" w:hAnsi="仿宋" w:eastAsia="仿宋" w:cs="仿宋"/>
          <w:snapToGrid/>
          <w:color w:val="auto"/>
          <w:kern w:val="2"/>
          <w:sz w:val="24"/>
        </w:rPr>
        <w:t>供应商的姓名或者名称、地址、邮编、联系人及联系电话；</w:t>
      </w:r>
    </w:p>
    <w:p w14:paraId="63F20864">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4.2.3.2</w:t>
      </w:r>
      <w:r>
        <w:rPr>
          <w:rFonts w:hint="eastAsia" w:ascii="仿宋" w:hAnsi="仿宋" w:eastAsia="仿宋" w:cs="仿宋"/>
          <w:snapToGrid/>
          <w:color w:val="auto"/>
          <w:kern w:val="2"/>
          <w:sz w:val="24"/>
        </w:rPr>
        <w:t>质疑项目的名称、编号；</w:t>
      </w:r>
    </w:p>
    <w:p w14:paraId="308336E5">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4.2.3.3</w:t>
      </w:r>
      <w:r>
        <w:rPr>
          <w:rFonts w:hint="eastAsia" w:ascii="仿宋" w:hAnsi="仿宋" w:eastAsia="仿宋" w:cs="仿宋"/>
          <w:snapToGrid/>
          <w:color w:val="auto"/>
          <w:kern w:val="2"/>
          <w:sz w:val="24"/>
        </w:rPr>
        <w:t>具体、明确的质疑事项和与质疑事项相关的请求；</w:t>
      </w:r>
    </w:p>
    <w:p w14:paraId="76E33216">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4.2.3.4</w:t>
      </w:r>
      <w:r>
        <w:rPr>
          <w:rFonts w:hint="eastAsia" w:ascii="仿宋" w:hAnsi="仿宋" w:eastAsia="仿宋" w:cs="仿宋"/>
          <w:snapToGrid/>
          <w:color w:val="auto"/>
          <w:kern w:val="2"/>
          <w:sz w:val="24"/>
        </w:rPr>
        <w:t>事实依据；</w:t>
      </w:r>
    </w:p>
    <w:p w14:paraId="49F43215">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4.2.3.5</w:t>
      </w:r>
      <w:r>
        <w:rPr>
          <w:rFonts w:hint="eastAsia" w:ascii="仿宋" w:hAnsi="仿宋" w:eastAsia="仿宋" w:cs="仿宋"/>
          <w:snapToGrid/>
          <w:color w:val="auto"/>
          <w:kern w:val="2"/>
          <w:sz w:val="24"/>
        </w:rPr>
        <w:t>必要的法律依据；</w:t>
      </w:r>
    </w:p>
    <w:p w14:paraId="0EEE94BD">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4.2.3.6</w:t>
      </w:r>
      <w:r>
        <w:rPr>
          <w:rFonts w:hint="eastAsia" w:ascii="仿宋" w:hAnsi="仿宋" w:eastAsia="仿宋" w:cs="仿宋"/>
          <w:snapToGrid/>
          <w:color w:val="auto"/>
          <w:kern w:val="2"/>
          <w:sz w:val="24"/>
        </w:rPr>
        <w:t>提出质疑的日期。</w:t>
      </w:r>
    </w:p>
    <w:p w14:paraId="0B00EB3A">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89BB553">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0C5CA192">
      <w:pPr>
        <w:pStyle w:val="18"/>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lang w:val="zh-CN"/>
        </w:rPr>
        <w:t>4.2</w:t>
      </w:r>
      <w:r>
        <w:rPr>
          <w:rFonts w:hint="eastAsia" w:ascii="仿宋" w:hAnsi="仿宋" w:eastAsia="仿宋" w:cs="仿宋"/>
          <w:snapToGrid/>
          <w:color w:val="auto"/>
          <w:kern w:val="2"/>
          <w:sz w:val="24"/>
        </w:rPr>
        <w:t>.5询问或者质疑事项可能影响采购结果的，采购人应当暂停签订合同，已经签订合同的，应当中止履行合同。</w:t>
      </w:r>
    </w:p>
    <w:p w14:paraId="7C9A2E42">
      <w:pPr>
        <w:pStyle w:val="18"/>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4.2.6质疑接收人：详见前附表</w:t>
      </w:r>
    </w:p>
    <w:p w14:paraId="2538BB1A">
      <w:pPr>
        <w:pStyle w:val="18"/>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4.3供应商投诉</w:t>
      </w:r>
    </w:p>
    <w:p w14:paraId="23A850CA">
      <w:pPr>
        <w:pStyle w:val="18"/>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4.3.1质疑供应商对采购人、采购机构的答复不满意或者采购人、采购机构未在规定的时间内作出答复的，可以在答复期满后十五个工作日内向同级政府采购监督管理部门提出投诉。</w:t>
      </w:r>
    </w:p>
    <w:p w14:paraId="68C87DD2">
      <w:pPr>
        <w:pStyle w:val="18"/>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4.3.2供应商投诉的事项不得超出已质疑事项的范围，基于质疑答复内容提出的投诉事项除外。</w:t>
      </w:r>
    </w:p>
    <w:p w14:paraId="38F5D19D">
      <w:pPr>
        <w:pStyle w:val="18"/>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4.3.3供应商投诉应当有明确的请求和必要的证明材料。</w:t>
      </w:r>
    </w:p>
    <w:p w14:paraId="50A95948">
      <w:pPr>
        <w:pStyle w:val="18"/>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4.3.5 以联合体形式参加政府采购活动的，其投诉应当由组成联合体的所有供应商共同提出。</w:t>
      </w:r>
    </w:p>
    <w:p w14:paraId="267671BD">
      <w:pPr>
        <w:pStyle w:val="18"/>
        <w:spacing w:line="360" w:lineRule="auto"/>
        <w:ind w:firstLine="434" w:firstLineChars="181"/>
        <w:rPr>
          <w:rFonts w:ascii="仿宋" w:hAnsi="仿宋" w:eastAsia="仿宋" w:cs="仿宋"/>
          <w:snapToGrid/>
          <w:color w:val="auto"/>
          <w:kern w:val="2"/>
          <w:sz w:val="24"/>
          <w:lang w:val="zh-CN"/>
        </w:rPr>
      </w:pPr>
      <w:r>
        <w:rPr>
          <w:rFonts w:hint="eastAsia" w:ascii="仿宋" w:hAnsi="仿宋" w:eastAsia="仿宋" w:cs="仿宋"/>
          <w:snapToGrid/>
          <w:color w:val="auto"/>
          <w:kern w:val="2"/>
          <w:sz w:val="24"/>
          <w:lang w:val="zh-CN"/>
        </w:rPr>
        <w:t>投诉书范本及制作说明详见附件3。</w:t>
      </w:r>
    </w:p>
    <w:p w14:paraId="527DCBE7">
      <w:pPr>
        <w:pStyle w:val="220"/>
        <w:snapToGrid w:val="0"/>
        <w:spacing w:before="0"/>
        <w:ind w:firstLine="360"/>
        <w:rPr>
          <w:rFonts w:ascii="仿宋" w:hAnsi="仿宋" w:eastAsia="仿宋" w:cs="仿宋"/>
          <w:sz w:val="18"/>
          <w:szCs w:val="18"/>
        </w:rPr>
      </w:pPr>
    </w:p>
    <w:p w14:paraId="4FB46A34">
      <w:pPr>
        <w:adjustRightInd/>
        <w:spacing w:line="360" w:lineRule="auto"/>
        <w:jc w:val="center"/>
        <w:outlineLvl w:val="0"/>
        <w:rPr>
          <w:rFonts w:ascii="仿宋" w:hAnsi="仿宋" w:eastAsia="仿宋" w:cs="仿宋"/>
          <w:b/>
          <w:sz w:val="32"/>
          <w:szCs w:val="20"/>
        </w:rPr>
      </w:pPr>
      <w:bookmarkStart w:id="42" w:name="_Hlt68057669"/>
      <w:bookmarkEnd w:id="42"/>
      <w:bookmarkStart w:id="43" w:name="_Hlt74730295"/>
      <w:bookmarkEnd w:id="43"/>
      <w:bookmarkStart w:id="44" w:name="_Hlt74714665"/>
      <w:bookmarkEnd w:id="44"/>
      <w:bookmarkStart w:id="45" w:name="_Hlt74729768"/>
      <w:bookmarkEnd w:id="45"/>
      <w:bookmarkStart w:id="46" w:name="_Hlt68072990"/>
      <w:bookmarkEnd w:id="46"/>
      <w:bookmarkStart w:id="47" w:name="_Hlt74707468"/>
      <w:bookmarkEnd w:id="47"/>
      <w:bookmarkStart w:id="48" w:name="_Hlt75236290"/>
      <w:bookmarkEnd w:id="48"/>
      <w:bookmarkStart w:id="49" w:name="_Toc91899879"/>
      <w:r>
        <w:rPr>
          <w:rFonts w:hint="eastAsia" w:ascii="仿宋" w:hAnsi="仿宋" w:eastAsia="仿宋" w:cs="仿宋"/>
          <w:b/>
          <w:sz w:val="32"/>
          <w:szCs w:val="20"/>
        </w:rPr>
        <w:t>二、交易文件</w:t>
      </w:r>
      <w:bookmarkEnd w:id="49"/>
      <w:r>
        <w:rPr>
          <w:rFonts w:hint="eastAsia" w:ascii="仿宋" w:hAnsi="仿宋" w:eastAsia="仿宋" w:cs="仿宋"/>
          <w:b/>
          <w:sz w:val="32"/>
          <w:szCs w:val="20"/>
        </w:rPr>
        <w:t>的构成、澄清、修改</w:t>
      </w:r>
    </w:p>
    <w:p w14:paraId="0C850387">
      <w:pPr>
        <w:pStyle w:val="33"/>
        <w:spacing w:line="360" w:lineRule="auto"/>
        <w:ind w:right="-512" w:firstLine="576"/>
        <w:rPr>
          <w:rFonts w:ascii="仿宋" w:hAnsi="仿宋" w:eastAsia="仿宋" w:cs="仿宋"/>
          <w:b/>
          <w:sz w:val="24"/>
          <w:szCs w:val="24"/>
        </w:rPr>
      </w:pPr>
      <w:bookmarkStart w:id="50" w:name="_Toc91899880"/>
      <w:bookmarkStart w:id="51" w:name="_Hlt74730307"/>
      <w:r>
        <w:rPr>
          <w:rFonts w:hint="eastAsia" w:ascii="仿宋" w:hAnsi="仿宋" w:eastAsia="仿宋" w:cs="仿宋"/>
          <w:b/>
          <w:sz w:val="24"/>
          <w:szCs w:val="24"/>
        </w:rPr>
        <w:t>5．交易文件的构成</w:t>
      </w:r>
      <w:bookmarkEnd w:id="50"/>
    </w:p>
    <w:bookmarkEnd w:id="51"/>
    <w:p w14:paraId="4A6176A7">
      <w:pPr>
        <w:pStyle w:val="33"/>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5.1 交易文件包括下列文件及附件</w:t>
      </w:r>
    </w:p>
    <w:p w14:paraId="1B21C9CA">
      <w:pPr>
        <w:spacing w:line="360" w:lineRule="auto"/>
        <w:ind w:firstLine="960" w:firstLineChars="400"/>
        <w:rPr>
          <w:rFonts w:ascii="仿宋" w:hAnsi="仿宋" w:eastAsia="仿宋" w:cs="仿宋"/>
          <w:sz w:val="24"/>
        </w:rPr>
      </w:pPr>
      <w:r>
        <w:rPr>
          <w:rFonts w:hint="eastAsia" w:ascii="仿宋" w:hAnsi="仿宋" w:eastAsia="仿宋" w:cs="仿宋"/>
          <w:sz w:val="24"/>
        </w:rPr>
        <w:t>第一部分      交易公告</w:t>
      </w:r>
    </w:p>
    <w:p w14:paraId="33B9DC0C">
      <w:pPr>
        <w:spacing w:line="360" w:lineRule="auto"/>
        <w:ind w:firstLine="960" w:firstLineChars="400"/>
        <w:rPr>
          <w:rFonts w:ascii="仿宋" w:hAnsi="仿宋" w:eastAsia="仿宋" w:cs="仿宋"/>
          <w:sz w:val="24"/>
        </w:rPr>
      </w:pPr>
      <w:r>
        <w:rPr>
          <w:rFonts w:hint="eastAsia" w:ascii="仿宋" w:hAnsi="仿宋" w:eastAsia="仿宋" w:cs="仿宋"/>
          <w:sz w:val="24"/>
        </w:rPr>
        <w:t>第二部分      供应商须知</w:t>
      </w:r>
    </w:p>
    <w:p w14:paraId="314A949B">
      <w:pPr>
        <w:spacing w:line="360" w:lineRule="auto"/>
        <w:ind w:firstLine="960" w:firstLineChars="400"/>
        <w:rPr>
          <w:rFonts w:ascii="仿宋" w:hAnsi="仿宋" w:eastAsia="仿宋" w:cs="仿宋"/>
          <w:sz w:val="24"/>
        </w:rPr>
      </w:pPr>
      <w:r>
        <w:rPr>
          <w:rFonts w:hint="eastAsia" w:ascii="仿宋" w:hAnsi="仿宋" w:eastAsia="仿宋" w:cs="仿宋"/>
          <w:sz w:val="24"/>
        </w:rPr>
        <w:t>第三部分      采购需求</w:t>
      </w:r>
    </w:p>
    <w:p w14:paraId="3F91C9CD">
      <w:pPr>
        <w:spacing w:line="360" w:lineRule="auto"/>
        <w:ind w:firstLine="960" w:firstLineChars="400"/>
        <w:rPr>
          <w:rFonts w:ascii="仿宋" w:hAnsi="仿宋" w:eastAsia="仿宋" w:cs="仿宋"/>
          <w:sz w:val="24"/>
        </w:rPr>
      </w:pPr>
      <w:r>
        <w:rPr>
          <w:rFonts w:hint="eastAsia" w:ascii="仿宋" w:hAnsi="仿宋" w:eastAsia="仿宋" w:cs="仿宋"/>
          <w:sz w:val="24"/>
        </w:rPr>
        <w:t>第四部分      评审办法</w:t>
      </w:r>
    </w:p>
    <w:p w14:paraId="3137829C">
      <w:pPr>
        <w:spacing w:line="360" w:lineRule="auto"/>
        <w:ind w:firstLine="960" w:firstLineChars="400"/>
        <w:rPr>
          <w:rFonts w:ascii="仿宋" w:hAnsi="仿宋" w:eastAsia="仿宋" w:cs="仿宋"/>
          <w:sz w:val="24"/>
        </w:rPr>
      </w:pPr>
      <w:r>
        <w:rPr>
          <w:rFonts w:hint="eastAsia" w:ascii="仿宋" w:hAnsi="仿宋" w:eastAsia="仿宋" w:cs="仿宋"/>
          <w:sz w:val="24"/>
        </w:rPr>
        <w:t>第五部分      拟签订的合同文本</w:t>
      </w:r>
    </w:p>
    <w:p w14:paraId="7D7B627D">
      <w:pPr>
        <w:spacing w:line="360" w:lineRule="auto"/>
        <w:ind w:firstLine="960" w:firstLineChars="400"/>
        <w:rPr>
          <w:rFonts w:ascii="仿宋" w:hAnsi="仿宋" w:eastAsia="仿宋" w:cs="仿宋"/>
          <w:sz w:val="24"/>
        </w:rPr>
      </w:pPr>
      <w:r>
        <w:rPr>
          <w:rFonts w:hint="eastAsia" w:ascii="仿宋" w:hAnsi="仿宋" w:eastAsia="仿宋" w:cs="仿宋"/>
          <w:sz w:val="24"/>
        </w:rPr>
        <w:t>第六部分      应提交的有关格式范例</w:t>
      </w:r>
    </w:p>
    <w:p w14:paraId="136DE556">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澄清或者修改等公告、内容亦为交易文件的组成部分，供应商须自行于交易公告所在网站获取相关信息（浙江政府采购网）</w:t>
      </w:r>
      <w:r>
        <w:rPr>
          <w:rFonts w:hint="eastAsia" w:ascii="仿宋" w:hAnsi="仿宋" w:eastAsia="仿宋" w:cs="仿宋"/>
          <w:sz w:val="24"/>
        </w:rPr>
        <w:t>。</w:t>
      </w:r>
    </w:p>
    <w:p w14:paraId="356B4B7C">
      <w:pPr>
        <w:pStyle w:val="33"/>
        <w:spacing w:line="360" w:lineRule="auto"/>
        <w:ind w:right="-512" w:firstLine="482" w:firstLineChars="200"/>
        <w:rPr>
          <w:rFonts w:ascii="仿宋" w:hAnsi="仿宋" w:eastAsia="仿宋" w:cs="仿宋"/>
          <w:b/>
          <w:sz w:val="24"/>
          <w:szCs w:val="24"/>
        </w:rPr>
      </w:pPr>
      <w:r>
        <w:rPr>
          <w:rFonts w:hint="eastAsia" w:ascii="仿宋" w:hAnsi="仿宋" w:eastAsia="仿宋" w:cs="仿宋"/>
          <w:b/>
          <w:sz w:val="24"/>
          <w:szCs w:val="24"/>
        </w:rPr>
        <w:t>6.交易文件的澄清、修改</w:t>
      </w:r>
    </w:p>
    <w:p w14:paraId="06105FEC">
      <w:pPr>
        <w:pStyle w:val="220"/>
        <w:snapToGrid w:val="0"/>
        <w:spacing w:before="0"/>
        <w:ind w:firstLine="480"/>
        <w:rPr>
          <w:rFonts w:ascii="仿宋" w:hAnsi="仿宋" w:eastAsia="仿宋" w:cs="仿宋"/>
        </w:rPr>
      </w:pPr>
      <w:r>
        <w:rPr>
          <w:rFonts w:hint="eastAsia" w:ascii="仿宋" w:hAnsi="仿宋" w:eastAsia="仿宋" w:cs="仿宋"/>
        </w:rPr>
        <w:t>6.1已获取交易文件的潜在供应商，若有问题需要澄清，应于投标截止时间前，以书面形式向采购机构提出，采购机构与采购人研究后，对认为有必要回答的问题，将以公告形式通知所有交易文件收受人。</w:t>
      </w:r>
    </w:p>
    <w:p w14:paraId="5FD21951">
      <w:pPr>
        <w:pStyle w:val="220"/>
        <w:snapToGrid w:val="0"/>
        <w:spacing w:before="0"/>
        <w:ind w:firstLine="480"/>
        <w:rPr>
          <w:rFonts w:ascii="仿宋" w:hAnsi="仿宋" w:eastAsia="仿宋" w:cs="仿宋"/>
        </w:rPr>
      </w:pPr>
      <w:r>
        <w:rPr>
          <w:rFonts w:hint="eastAsia" w:ascii="仿宋" w:hAnsi="仿宋" w:eastAsia="仿宋" w:cs="仿宋"/>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3BB1F460">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投标文件未按交易文件更正、补遗公告的澄清、修改的内容编制，又不符合实质性要求的，投标无效。</w:t>
      </w:r>
    </w:p>
    <w:p w14:paraId="4AEC4FAE">
      <w:pPr>
        <w:pStyle w:val="2"/>
        <w:rPr>
          <w:rFonts w:ascii="仿宋" w:hAnsi="仿宋" w:eastAsia="仿宋" w:cs="仿宋"/>
          <w:sz w:val="18"/>
          <w:szCs w:val="18"/>
          <w:lang w:val="en-US"/>
        </w:rPr>
      </w:pPr>
      <w:r>
        <w:rPr>
          <w:rFonts w:hint="eastAsia" w:ascii="仿宋" w:hAnsi="仿宋" w:eastAsia="仿宋" w:cs="仿宋"/>
          <w:szCs w:val="24"/>
          <w:lang w:val="en-US"/>
        </w:rPr>
        <w:t xml:space="preserve">    </w:t>
      </w:r>
    </w:p>
    <w:p w14:paraId="24FA4E73">
      <w:pPr>
        <w:adjustRightInd/>
        <w:spacing w:line="360" w:lineRule="auto"/>
        <w:jc w:val="center"/>
        <w:outlineLvl w:val="0"/>
        <w:rPr>
          <w:rFonts w:ascii="仿宋" w:hAnsi="仿宋" w:eastAsia="仿宋" w:cs="仿宋"/>
          <w:b/>
          <w:sz w:val="30"/>
          <w:szCs w:val="20"/>
        </w:rPr>
      </w:pPr>
      <w:bookmarkStart w:id="52" w:name="_Hlt75236011"/>
      <w:bookmarkEnd w:id="52"/>
      <w:bookmarkStart w:id="53" w:name="_Toc91899884"/>
      <w:r>
        <w:rPr>
          <w:rFonts w:hint="eastAsia" w:ascii="仿宋" w:hAnsi="仿宋" w:eastAsia="仿宋" w:cs="仿宋"/>
          <w:b/>
          <w:sz w:val="30"/>
          <w:szCs w:val="20"/>
        </w:rPr>
        <w:t>三、投标</w:t>
      </w:r>
      <w:bookmarkEnd w:id="53"/>
    </w:p>
    <w:p w14:paraId="1B65D0EB">
      <w:pPr>
        <w:pStyle w:val="33"/>
        <w:spacing w:line="360" w:lineRule="auto"/>
        <w:ind w:right="-512" w:firstLine="482" w:firstLineChars="200"/>
        <w:rPr>
          <w:rFonts w:ascii="仿宋" w:hAnsi="仿宋" w:eastAsia="仿宋" w:cs="仿宋"/>
          <w:b/>
          <w:sz w:val="24"/>
          <w:szCs w:val="24"/>
        </w:rPr>
      </w:pPr>
      <w:bookmarkStart w:id="54" w:name="_Toc86216991"/>
      <w:bookmarkStart w:id="55" w:name="_Toc91899892"/>
      <w:r>
        <w:rPr>
          <w:rFonts w:hint="eastAsia" w:ascii="仿宋" w:hAnsi="仿宋" w:eastAsia="仿宋" w:cs="仿宋"/>
          <w:b/>
          <w:sz w:val="24"/>
          <w:szCs w:val="24"/>
        </w:rPr>
        <w:t>7.交易文件的获取</w:t>
      </w:r>
    </w:p>
    <w:p w14:paraId="01F717B4">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详见交易公告中获取交易文件的时间期限、地点、方式。附件中直接下载仅供浏览使用。</w:t>
      </w:r>
    </w:p>
    <w:p w14:paraId="1B6A4969">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未按照公告要求完成采购文件获取的，投标无效。</w:t>
      </w:r>
    </w:p>
    <w:p w14:paraId="02BD3EEC">
      <w:pPr>
        <w:pStyle w:val="33"/>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8.开标前答疑会或现场考察</w:t>
      </w:r>
    </w:p>
    <w:p w14:paraId="5CF9A997">
      <w:pPr>
        <w:pStyle w:val="33"/>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采购人视采购项目的具体情况，如果采购人组织潜在供应商现场考察或者召开开标前答疑会的，潜在供应商按前附表的规定参加现场考察或者开标前答疑会。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14:paraId="6F4641A3">
      <w:pPr>
        <w:pStyle w:val="33"/>
        <w:spacing w:line="360" w:lineRule="auto"/>
        <w:ind w:right="-512" w:firstLine="576"/>
        <w:rPr>
          <w:rFonts w:ascii="仿宋" w:hAnsi="仿宋" w:eastAsia="仿宋" w:cs="仿宋"/>
          <w:b/>
          <w:szCs w:val="24"/>
        </w:rPr>
      </w:pPr>
      <w:r>
        <w:rPr>
          <w:rFonts w:hint="eastAsia" w:ascii="仿宋" w:hAnsi="仿宋" w:eastAsia="仿宋" w:cs="仿宋"/>
          <w:b/>
          <w:kern w:val="28"/>
          <w:sz w:val="24"/>
          <w:szCs w:val="24"/>
        </w:rPr>
        <w:t>9.投标保证金</w:t>
      </w:r>
    </w:p>
    <w:p w14:paraId="4FB4B506">
      <w:pPr>
        <w:pStyle w:val="220"/>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14:paraId="29D2F5B2">
      <w:pPr>
        <w:pStyle w:val="33"/>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10. 投标文件的语言</w:t>
      </w:r>
    </w:p>
    <w:p w14:paraId="1588EA23">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投标文件及供应商与采购有关的来往通知、函件和文件均应使用中文。</w:t>
      </w:r>
    </w:p>
    <w:p w14:paraId="03BDE7F8">
      <w:pPr>
        <w:pStyle w:val="33"/>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11. 投标文件的组成</w:t>
      </w:r>
    </w:p>
    <w:p w14:paraId="3605600A">
      <w:pPr>
        <w:snapToGrid w:val="0"/>
        <w:spacing w:line="360" w:lineRule="auto"/>
        <w:ind w:firstLine="482" w:firstLineChars="200"/>
        <w:rPr>
          <w:rFonts w:ascii="仿宋" w:hAnsi="仿宋" w:eastAsia="仿宋" w:cs="仿宋"/>
          <w:b/>
          <w:bCs/>
          <w:sz w:val="24"/>
        </w:rPr>
      </w:pPr>
      <w:bookmarkStart w:id="56" w:name="_Toc91899887"/>
      <w:r>
        <w:rPr>
          <w:rFonts w:hint="eastAsia" w:ascii="仿宋" w:hAnsi="仿宋" w:eastAsia="仿宋" w:cs="仿宋"/>
          <w:b/>
          <w:bCs/>
          <w:sz w:val="24"/>
        </w:rPr>
        <w:t>11.1资格文件：</w:t>
      </w:r>
    </w:p>
    <w:p w14:paraId="2C85B81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6C9B39F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14:paraId="33874F6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14:paraId="6D6C02A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11.1.4投标人基本情况：企业营业执照、法人证明等</w:t>
      </w:r>
    </w:p>
    <w:p w14:paraId="3E02C98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11.1.5投标人代表身份证明资料，如委托的，还需提供有效的授权委托书 。</w:t>
      </w:r>
    </w:p>
    <w:p w14:paraId="0348CC2A">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193A0D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41101BA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14:paraId="69E056F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11.2.3符合性审查资料；</w:t>
      </w:r>
    </w:p>
    <w:p w14:paraId="7047DF04">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11.2.4评标标准相应的商务技术资料；</w:t>
      </w:r>
    </w:p>
    <w:p w14:paraId="711EA89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11.2.5商务技术偏离表；</w:t>
      </w:r>
    </w:p>
    <w:p w14:paraId="4B943D33">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533825DF">
      <w:pPr>
        <w:snapToGrid w:val="0"/>
        <w:spacing w:line="360" w:lineRule="auto"/>
        <w:ind w:firstLine="482" w:firstLineChars="200"/>
        <w:rPr>
          <w:rFonts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151CE61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50CFBFEF">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6962FA09">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供应商提供虚假材料投标的，投标无效。</w:t>
      </w:r>
    </w:p>
    <w:p w14:paraId="2FD15085">
      <w:pPr>
        <w:pStyle w:val="220"/>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14FF9367">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▲投标文件未按本条规定的格式编制的，投标无效；</w:t>
      </w:r>
    </w:p>
    <w:p w14:paraId="420209E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供应商在编制投标文件时请按照交易文件第六部分规定的格式进行，混乱的编排导致投标文件被误读或评标委员会查找不到有效文件是供应商的风险。</w:t>
      </w:r>
    </w:p>
    <w:p w14:paraId="4008470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12.2供应商进行电子投标应安装客户端软件—“乐采云电子交易客户端”，并按照交易文件和电子交易平台的要求编制并加密投标文件。供应商未按规定加密的投标文件，电子交易平台将拒收并提示。</w:t>
      </w:r>
    </w:p>
    <w:bookmarkEnd w:id="56"/>
    <w:p w14:paraId="38818A5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729FC0C1">
      <w:pPr>
        <w:pStyle w:val="220"/>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14:paraId="5A160A3D">
      <w:pPr>
        <w:pStyle w:val="220"/>
        <w:snapToGrid w:val="0"/>
        <w:spacing w:before="0"/>
        <w:ind w:firstLine="480"/>
        <w:rPr>
          <w:rFonts w:ascii="仿宋" w:hAnsi="仿宋" w:eastAsia="仿宋" w:cs="仿宋"/>
          <w:szCs w:val="24"/>
        </w:rPr>
      </w:pPr>
      <w:r>
        <w:rPr>
          <w:rFonts w:hint="eastAsia" w:ascii="仿宋" w:hAnsi="仿宋" w:eastAsia="仿宋" w:cs="仿宋"/>
          <w:szCs w:val="24"/>
        </w:rPr>
        <w:t>12.4.1供应商制作纸质投标文件须在投标文件封面上标明“正本”与“副本”字样、项目名称与标项号，并加盖供应商公章。正本内容与副本不一致时，以正本为准。</w:t>
      </w:r>
    </w:p>
    <w:p w14:paraId="7DD3DE5C">
      <w:pPr>
        <w:pStyle w:val="220"/>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14:paraId="45D9251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12.4.3全套投标文件应无涂改和行间插字，除非这些删改是根据采购机构要求进行，或者是供应商造成的必须修改的错误。所修改处应由法定代表人或其授权代表签字盖章予以确认。</w:t>
      </w:r>
    </w:p>
    <w:p w14:paraId="51999F4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14:paraId="1C0B73C3">
      <w:pPr>
        <w:snapToGrid w:val="0"/>
        <w:spacing w:line="360" w:lineRule="auto"/>
        <w:ind w:firstLine="480" w:firstLineChars="200"/>
        <w:rPr>
          <w:rFonts w:ascii="仿宋" w:hAnsi="仿宋" w:eastAsia="仿宋" w:cs="仿宋"/>
          <w:sz w:val="24"/>
        </w:rPr>
      </w:pPr>
    </w:p>
    <w:p w14:paraId="536A8D3F">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13.投标文件的装订、签署、盖章</w:t>
      </w:r>
    </w:p>
    <w:p w14:paraId="35644D7B">
      <w:pPr>
        <w:pStyle w:val="220"/>
        <w:snapToGrid w:val="0"/>
        <w:spacing w:before="0"/>
        <w:ind w:firstLine="480"/>
        <w:rPr>
          <w:rFonts w:ascii="仿宋" w:hAnsi="仿宋" w:eastAsia="仿宋" w:cs="仿宋"/>
          <w:b/>
        </w:rPr>
      </w:pPr>
      <w:r>
        <w:rPr>
          <w:rFonts w:hint="eastAsia" w:ascii="仿宋" w:hAnsi="仿宋" w:eastAsia="仿宋" w:cs="仿宋"/>
          <w:szCs w:val="24"/>
        </w:rPr>
        <w:t>13.1投标文件按照交易文件第六部分格式要</w:t>
      </w:r>
      <w:r>
        <w:rPr>
          <w:rFonts w:hint="eastAsia" w:ascii="仿宋" w:hAnsi="仿宋" w:eastAsia="仿宋" w:cs="仿宋"/>
        </w:rPr>
        <w:t>求进行签署、盖章。</w:t>
      </w:r>
      <w:r>
        <w:rPr>
          <w:rFonts w:hint="eastAsia" w:ascii="仿宋" w:hAnsi="仿宋" w:eastAsia="仿宋" w:cs="仿宋"/>
          <w:b/>
        </w:rPr>
        <w:t>▲供应商的投标文件未按照交易文件要求签署、盖章的，其投标无效</w:t>
      </w:r>
      <w:r>
        <w:rPr>
          <w:rFonts w:hint="eastAsia" w:ascii="仿宋" w:hAnsi="仿宋" w:eastAsia="仿宋" w:cs="仿宋"/>
          <w:szCs w:val="24"/>
        </w:rPr>
        <w:t>。</w:t>
      </w:r>
    </w:p>
    <w:p w14:paraId="7869F7D6">
      <w:pPr>
        <w:pStyle w:val="220"/>
        <w:snapToGrid w:val="0"/>
        <w:spacing w:before="0"/>
        <w:ind w:firstLine="480"/>
        <w:rPr>
          <w:rFonts w:ascii="仿宋" w:hAnsi="仿宋" w:eastAsia="仿宋" w:cs="仿宋"/>
          <w:szCs w:val="24"/>
        </w:rPr>
      </w:pPr>
      <w:r>
        <w:rPr>
          <w:rFonts w:hint="eastAsia" w:ascii="仿宋" w:hAnsi="仿宋" w:eastAsia="仿宋" w:cs="仿宋"/>
        </w:rPr>
        <w:t>13.2为确保网上操作合法、有效和安全，供应商应当在投标截止时间前完成在“政府采购云平台”的身份认证，确保在电子投标过程中能够对相关数据电文进行加密和使用电子签章。</w:t>
      </w:r>
    </w:p>
    <w:p w14:paraId="49B97F3F">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14:paraId="465E9D48">
      <w:pPr>
        <w:pStyle w:val="220"/>
        <w:snapToGrid w:val="0"/>
        <w:spacing w:before="0"/>
        <w:ind w:firstLine="480"/>
        <w:rPr>
          <w:rFonts w:ascii="仿宋" w:hAnsi="仿宋" w:eastAsia="仿宋" w:cs="仿宋"/>
          <w:szCs w:val="24"/>
        </w:rPr>
      </w:pPr>
      <w:r>
        <w:rPr>
          <w:rFonts w:hint="eastAsia" w:ascii="仿宋" w:hAnsi="仿宋" w:eastAsia="仿宋" w:cs="仿宋"/>
        </w:rPr>
        <w:t>13.3交易文件对投标文件签署、盖章的要求适用于电子签章（盖章）。</w:t>
      </w:r>
    </w:p>
    <w:p w14:paraId="0DA92D92">
      <w:pPr>
        <w:pStyle w:val="220"/>
        <w:spacing w:before="0"/>
        <w:ind w:firstLine="482"/>
        <w:rPr>
          <w:rFonts w:ascii="仿宋" w:hAnsi="仿宋" w:eastAsia="仿宋" w:cs="仿宋"/>
          <w:b/>
          <w:szCs w:val="24"/>
        </w:rPr>
      </w:pPr>
      <w:r>
        <w:rPr>
          <w:rFonts w:hint="eastAsia" w:ascii="仿宋" w:hAnsi="仿宋" w:eastAsia="仿宋" w:cs="仿宋"/>
          <w:b/>
        </w:rPr>
        <w:t xml:space="preserve">14. </w:t>
      </w:r>
      <w:r>
        <w:rPr>
          <w:rFonts w:hint="eastAsia" w:ascii="仿宋" w:hAnsi="仿宋" w:eastAsia="仿宋" w:cs="仿宋"/>
          <w:b/>
          <w:szCs w:val="24"/>
        </w:rPr>
        <w:t>投标文件的提交、补充、修改、撤回</w:t>
      </w:r>
    </w:p>
    <w:p w14:paraId="737A4174">
      <w:pPr>
        <w:pStyle w:val="22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9C9F64">
      <w:pPr>
        <w:pStyle w:val="22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743B670">
      <w:pPr>
        <w:pStyle w:val="220"/>
        <w:spacing w:before="0"/>
        <w:ind w:firstLine="480"/>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14.3采购机构可以视情况延长投标文件提交的截止时间。在上述情况下，采购机构与供应商以前在投标截止期方面的全部权利、责任和义务，将适用于延长至新的投标截止期。</w:t>
      </w:r>
    </w:p>
    <w:p w14:paraId="7BE519FF">
      <w:pPr>
        <w:pStyle w:val="220"/>
        <w:spacing w:before="0"/>
        <w:ind w:firstLine="480"/>
        <w:rPr>
          <w:rFonts w:ascii="仿宋" w:hAnsi="仿宋" w:eastAsia="仿宋" w:cs="仿宋"/>
          <w:szCs w:val="24"/>
        </w:rPr>
      </w:pPr>
      <w:r>
        <w:rPr>
          <w:rFonts w:hint="eastAsia" w:ascii="仿宋" w:hAnsi="仿宋" w:eastAsia="仿宋" w:cs="仿宋"/>
          <w:szCs w:val="24"/>
        </w:rPr>
        <w:t>14.4投标文件备份：供应商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78DABFBD">
      <w:pPr>
        <w:pStyle w:val="220"/>
        <w:spacing w:before="0"/>
        <w:ind w:firstLine="480"/>
        <w:rPr>
          <w:rFonts w:ascii="仿宋" w:hAnsi="仿宋" w:eastAsia="仿宋" w:cs="仿宋"/>
          <w:szCs w:val="24"/>
        </w:rPr>
      </w:pPr>
      <w:r>
        <w:rPr>
          <w:rFonts w:hint="eastAsia" w:ascii="仿宋" w:hAnsi="仿宋" w:eastAsia="仿宋" w:cs="仿宋"/>
          <w:szCs w:val="24"/>
        </w:rPr>
        <w:t>14.4.1 供应商的补充、修改文件，应按本须知规定编制、密封、标志和递交，如果一份投标文件有几份函件时，应注明哪一份有效，否则所作修改视为无效。</w:t>
      </w:r>
    </w:p>
    <w:p w14:paraId="230E27A4">
      <w:pPr>
        <w:pStyle w:val="220"/>
        <w:spacing w:before="0"/>
        <w:ind w:firstLine="480"/>
        <w:rPr>
          <w:rFonts w:ascii="仿宋" w:hAnsi="仿宋" w:eastAsia="仿宋" w:cs="仿宋"/>
          <w:szCs w:val="24"/>
        </w:rPr>
      </w:pPr>
      <w:r>
        <w:rPr>
          <w:rFonts w:hint="eastAsia" w:ascii="仿宋" w:hAnsi="仿宋" w:eastAsia="仿宋" w:cs="仿宋"/>
          <w:szCs w:val="24"/>
        </w:rPr>
        <w:t>14.4.2供应商对投标文件的修改均要加以说明，否则其修改将被视为无效。</w:t>
      </w:r>
    </w:p>
    <w:p w14:paraId="1A5CC6FC">
      <w:pPr>
        <w:pStyle w:val="220"/>
        <w:spacing w:before="0"/>
        <w:ind w:firstLine="480"/>
        <w:rPr>
          <w:rFonts w:ascii="仿宋" w:hAnsi="仿宋" w:eastAsia="仿宋" w:cs="仿宋"/>
          <w:szCs w:val="24"/>
        </w:rPr>
      </w:pPr>
      <w:r>
        <w:rPr>
          <w:rFonts w:hint="eastAsia" w:ascii="仿宋" w:hAnsi="仿宋" w:eastAsia="仿宋" w:cs="仿宋"/>
          <w:szCs w:val="24"/>
        </w:rPr>
        <w:t>14.4.3供应商在投标截止时间前，可以对所提交的投标文件进行补充、修改或者撤回，并书面通知采购人、采购机构。补充、修改的内容作为投标文件的组成部分。补充、修改的内容与投标文件不一致的，以补充、修改的内容为准。</w:t>
      </w:r>
    </w:p>
    <w:p w14:paraId="0258DBCE">
      <w:pPr>
        <w:pStyle w:val="220"/>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在开标后规定的投标有效期内</w:t>
      </w:r>
      <w:r>
        <w:rPr>
          <w:rFonts w:hint="eastAsia" w:ascii="仿宋" w:hAnsi="仿宋" w:eastAsia="仿宋" w:cs="仿宋"/>
          <w:szCs w:val="24"/>
        </w:rPr>
        <w:t>，供应商不能撤销投标文件。</w:t>
      </w:r>
    </w:p>
    <w:p w14:paraId="15E0BFD7">
      <w:pPr>
        <w:snapToGrid w:val="0"/>
        <w:spacing w:line="360" w:lineRule="auto"/>
        <w:rPr>
          <w:rFonts w:ascii="仿宋" w:hAnsi="仿宋" w:eastAsia="仿宋" w:cs="仿宋"/>
          <w:bCs/>
          <w:sz w:val="24"/>
        </w:rPr>
      </w:pPr>
      <w:r>
        <w:rPr>
          <w:rFonts w:hint="eastAsia" w:ascii="仿宋" w:hAnsi="仿宋" w:eastAsia="仿宋" w:cs="仿宋"/>
          <w:bCs/>
          <w:sz w:val="24"/>
        </w:rPr>
        <w:t>15. 备份投标文件（如有）以及投标文件的递交</w:t>
      </w:r>
    </w:p>
    <w:p w14:paraId="1A5290CC">
      <w:pPr>
        <w:pStyle w:val="220"/>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，密封包装指：所有投标文件应密封包装，包含资格文件、商务技术文件、报价文件三部分。其中，报价文件必须单独密封，未单独密封的，在开标时发生报价泄露的，由供应商自行承担相关责任</w:t>
      </w:r>
      <w:r>
        <w:rPr>
          <w:rFonts w:hint="eastAsia" w:ascii="仿宋" w:hAnsi="仿宋" w:eastAsia="仿宋" w:cs="仿宋"/>
          <w:b/>
          <w:szCs w:val="24"/>
        </w:rPr>
        <w:t>。没有密封包装的投标文件，将被拒收。</w:t>
      </w:r>
    </w:p>
    <w:p w14:paraId="6605D48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15.2所有备份投标文件包装封面物应写明项目名称、供应商名称(联合体投标的，包装物封面需注明联合体投标，并注明联合体成员各方的名称和联合体协议中约定的牵头人的名称)。</w:t>
      </w:r>
    </w:p>
    <w:p w14:paraId="141C2AC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乐采云投标客户端”制作生成，并储存在DVD光盘中。备份投标文件应当密封包装并在包装上加盖公章并注明投标项目名称，供应商名称(联合体投标的，包装物封面需注明联合体投标，并注明联合体成员各方的名称和联合体协议中约定的牵头人的名称)</w:t>
      </w:r>
    </w:p>
    <w:p w14:paraId="12340D8C">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14:paraId="609C5D06">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▲供应商仅提交备份投标文件，没有在电子交易平台传输递交投标文件的，投标无效。</w:t>
      </w:r>
    </w:p>
    <w:p w14:paraId="4A3838E0">
      <w:pPr>
        <w:pStyle w:val="220"/>
        <w:ind w:firstLine="480"/>
        <w:rPr>
          <w:rFonts w:ascii="仿宋" w:hAnsi="仿宋" w:eastAsia="仿宋" w:cs="仿宋"/>
          <w:szCs w:val="24"/>
        </w:rPr>
      </w:pPr>
      <w:r>
        <w:rPr>
          <w:rFonts w:hint="eastAsia" w:ascii="仿宋" w:hAnsi="仿宋" w:eastAsia="仿宋" w:cs="仿宋"/>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A0EBE5">
      <w:pPr>
        <w:pStyle w:val="220"/>
        <w:spacing w:before="0"/>
        <w:ind w:firstLine="480"/>
        <w:rPr>
          <w:rFonts w:ascii="仿宋" w:hAnsi="仿宋" w:eastAsia="仿宋" w:cs="仿宋"/>
          <w:szCs w:val="24"/>
        </w:rPr>
      </w:pPr>
      <w:r>
        <w:rPr>
          <w:rFonts w:hint="eastAsia" w:ascii="仿宋" w:hAnsi="仿宋" w:eastAsia="仿宋" w:cs="仿宋"/>
          <w:szCs w:val="24"/>
        </w:rPr>
        <w:t>15.5采购机构可以视情况延长投标文件提交的截止时间。在上述情况下，采购机构与供应商以前在投标截止期方面的全部权利、责任和义务，将适用于延长至新的投标截止期。</w:t>
      </w:r>
    </w:p>
    <w:p w14:paraId="66F56D80">
      <w:pPr>
        <w:pStyle w:val="220"/>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供应商应按“交易公告”及前附表规定的时间、地点完成采购文件获取手续并将投标文件提交给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将拒绝接受逾期送达的投标文件和未按公告要求完成采购文件获取的供应商递交的投标文件。</w:t>
      </w:r>
    </w:p>
    <w:bookmarkEnd w:id="54"/>
    <w:bookmarkEnd w:id="55"/>
    <w:p w14:paraId="21FA91A4">
      <w:pPr>
        <w:pStyle w:val="22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14:paraId="6380CA62">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有交易文件第四部分</w:t>
      </w:r>
      <w:r>
        <w:rPr>
          <w:rFonts w:hint="eastAsia" w:ascii="仿宋" w:hAnsi="仿宋" w:eastAsia="仿宋" w:cs="仿宋"/>
        </w:rPr>
        <w:t>第13项规定</w:t>
      </w:r>
      <w:r>
        <w:rPr>
          <w:rFonts w:hint="eastAsia" w:ascii="仿宋" w:hAnsi="仿宋" w:eastAsia="仿宋" w:cs="仿宋"/>
          <w:szCs w:val="21"/>
        </w:rPr>
        <w:t>的情形之一的，投标无效：</w:t>
      </w:r>
    </w:p>
    <w:p w14:paraId="72D1D938">
      <w:pPr>
        <w:pStyle w:val="22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0E5EB9C7">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诺的投标有效期少于交易文件中载明的投标有效期的，投标无效。</w:t>
      </w:r>
    </w:p>
    <w:p w14:paraId="65118448">
      <w:pPr>
        <w:pStyle w:val="22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64D7AD28">
      <w:pPr>
        <w:pStyle w:val="220"/>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17.3在原定投标有效期满之前，如果出现特殊情况，采购机构可以以公告形式通知供应商延长投标有效期。供应商同意延长的，不得要求或被允许修改其投标文件，供应商拒绝延长的，其投标无效。</w:t>
      </w:r>
    </w:p>
    <w:p w14:paraId="0375C8BC">
      <w:pPr>
        <w:pStyle w:val="220"/>
        <w:spacing w:before="0"/>
        <w:ind w:firstLine="643"/>
        <w:rPr>
          <w:rFonts w:ascii="仿宋" w:hAnsi="仿宋" w:eastAsia="仿宋" w:cs="仿宋"/>
          <w:b/>
          <w:sz w:val="32"/>
        </w:rPr>
      </w:pPr>
      <w:bookmarkStart w:id="57" w:name="_Toc91899897"/>
    </w:p>
    <w:p w14:paraId="2076D06A">
      <w:pPr>
        <w:pStyle w:val="220"/>
        <w:spacing w:before="0"/>
        <w:ind w:firstLine="1928" w:firstLineChars="60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四、开标</w:t>
      </w:r>
      <w:bookmarkEnd w:id="57"/>
      <w:r>
        <w:rPr>
          <w:rFonts w:hint="eastAsia" w:ascii="仿宋" w:hAnsi="仿宋" w:eastAsia="仿宋" w:cs="仿宋"/>
          <w:b/>
          <w:sz w:val="32"/>
        </w:rPr>
        <w:t>、资格审查与信用信息查询</w:t>
      </w:r>
    </w:p>
    <w:p w14:paraId="6EA52152">
      <w:pPr>
        <w:pStyle w:val="499"/>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AD248F5">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18.1采购机构按照交易文件规定的时间通过电子交易平台组织开标，所有供应商均应当准时在线参加。供应商不足3家的，不得开标。</w:t>
      </w:r>
    </w:p>
    <w:p w14:paraId="200FB8BF">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18.2开标时，电子交易平台按开标时间自动提取所有投标文件。采购机构依托电子交易平台发起开始解密指令，供应商按照平台提示和交易文件的规定在半小时内完成在线解密。</w:t>
      </w:r>
    </w:p>
    <w:p w14:paraId="693C085F">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14:paraId="0525C615">
      <w:pPr>
        <w:pStyle w:val="49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备份投标文件的接收在交易文件确定的时间、地点进行。</w:t>
      </w:r>
    </w:p>
    <w:p w14:paraId="2634FCE6">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7A6C19AE">
      <w:pPr>
        <w:pStyle w:val="220"/>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19.1开标后，采购人将依法对供应商的资格进行审查。</w:t>
      </w:r>
    </w:p>
    <w:p w14:paraId="1BCD4C97">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采购人或采购机构依据法律法规和交易文件的规定，对供应商的基本资格条件、特定资格条件进行审查。</w:t>
      </w:r>
    </w:p>
    <w:p w14:paraId="30FF3EA2">
      <w:pPr>
        <w:pStyle w:val="220"/>
        <w:spacing w:before="0"/>
        <w:ind w:firstLine="480"/>
        <w:rPr>
          <w:rFonts w:ascii="仿宋" w:hAnsi="仿宋" w:eastAsia="仿宋" w:cs="仿宋"/>
        </w:rPr>
      </w:pPr>
      <w:r>
        <w:rPr>
          <w:rFonts w:hint="eastAsia" w:ascii="仿宋" w:hAnsi="仿宋" w:eastAsia="仿宋" w:cs="仿宋"/>
          <w:kern w:val="0"/>
          <w:szCs w:val="24"/>
        </w:rPr>
        <w:t>19.3供应商未按照交易文件要求提供与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供应商不具备交易文件中规定的资格要求，其投标无效。</w:t>
      </w:r>
    </w:p>
    <w:p w14:paraId="6F1D37AA">
      <w:pPr>
        <w:pStyle w:val="220"/>
        <w:spacing w:before="0"/>
        <w:ind w:firstLine="480"/>
        <w:rPr>
          <w:rFonts w:ascii="仿宋" w:hAnsi="仿宋" w:eastAsia="仿宋" w:cs="仿宋"/>
        </w:rPr>
      </w:pPr>
      <w:r>
        <w:rPr>
          <w:rFonts w:hint="eastAsia" w:ascii="仿宋" w:hAnsi="仿宋" w:eastAsia="仿宋" w:cs="仿宋"/>
        </w:rPr>
        <w:t>19.4对未通过资格审查的供应商，采购人或采购机构告知其未通过的原因。</w:t>
      </w:r>
    </w:p>
    <w:p w14:paraId="7550CC5A">
      <w:pPr>
        <w:pStyle w:val="220"/>
        <w:spacing w:before="0"/>
        <w:ind w:firstLine="480"/>
        <w:rPr>
          <w:rFonts w:ascii="仿宋" w:hAnsi="仿宋" w:eastAsia="仿宋" w:cs="仿宋"/>
        </w:rPr>
      </w:pPr>
      <w:r>
        <w:rPr>
          <w:rFonts w:hint="eastAsia" w:ascii="仿宋" w:hAnsi="仿宋" w:eastAsia="仿宋" w:cs="仿宋"/>
        </w:rPr>
        <w:t>19.5合格供应商不足3家的，不再评标。</w:t>
      </w:r>
    </w:p>
    <w:p w14:paraId="6BC53A7B">
      <w:pPr>
        <w:pStyle w:val="22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5DD99471">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20.1信用信息查询渠道及截止时间：采购人或采购机构将通过“信用中国”网站(www.creditchina.gov.cn)、中国政府采购网(www.ccgp.gov.cn)渠道查询供应商投标截止时间前的信用记录。</w:t>
      </w:r>
    </w:p>
    <w:p w14:paraId="2915CF16">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14:paraId="1BA38C9F">
      <w:pPr>
        <w:pStyle w:val="22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14:paraId="41B74187">
      <w:pPr>
        <w:pStyle w:val="22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9390EFC">
      <w:pPr>
        <w:pStyle w:val="220"/>
        <w:spacing w:before="0"/>
        <w:ind w:firstLine="0" w:firstLineChars="0"/>
        <w:rPr>
          <w:rFonts w:ascii="仿宋" w:hAnsi="仿宋" w:eastAsia="仿宋" w:cs="仿宋"/>
          <w:kern w:val="0"/>
          <w:szCs w:val="24"/>
        </w:rPr>
      </w:pPr>
    </w:p>
    <w:p w14:paraId="722055B0">
      <w:pPr>
        <w:snapToGrid w:val="0"/>
        <w:spacing w:line="360" w:lineRule="auto"/>
        <w:jc w:val="center"/>
        <w:outlineLvl w:val="0"/>
        <w:rPr>
          <w:rFonts w:ascii="仿宋" w:hAnsi="仿宋" w:eastAsia="仿宋" w:cs="仿宋"/>
          <w:b/>
          <w:sz w:val="36"/>
          <w:szCs w:val="36"/>
        </w:rPr>
      </w:pPr>
      <w:bookmarkStart w:id="58" w:name="_Hlt75236101"/>
      <w:bookmarkEnd w:id="58"/>
      <w:bookmarkStart w:id="59" w:name="_Toc91899902"/>
      <w:r>
        <w:rPr>
          <w:rFonts w:hint="eastAsia" w:ascii="仿宋" w:hAnsi="仿宋" w:eastAsia="仿宋" w:cs="仿宋"/>
          <w:b/>
          <w:sz w:val="36"/>
          <w:szCs w:val="36"/>
        </w:rPr>
        <w:t>五、评标</w:t>
      </w:r>
      <w:bookmarkEnd w:id="59"/>
    </w:p>
    <w:p w14:paraId="67CEC271">
      <w:pPr>
        <w:spacing w:line="360" w:lineRule="auto"/>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669FB88D">
      <w:pPr>
        <w:spacing w:line="360" w:lineRule="auto"/>
        <w:rPr>
          <w:rFonts w:ascii="仿宋" w:hAnsi="仿宋" w:eastAsia="仿宋" w:cs="仿宋"/>
          <w:b/>
          <w:sz w:val="24"/>
        </w:rPr>
      </w:pPr>
    </w:p>
    <w:p w14:paraId="4D7EE65C">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29A63167">
      <w:pPr>
        <w:pStyle w:val="25"/>
        <w:spacing w:line="360" w:lineRule="auto"/>
        <w:ind w:left="479" w:hanging="479" w:hangingChars="199"/>
        <w:rPr>
          <w:rFonts w:ascii="仿宋" w:hAnsi="仿宋" w:eastAsia="仿宋" w:cs="仿宋"/>
          <w:b/>
        </w:rPr>
      </w:pPr>
      <w:r>
        <w:rPr>
          <w:rFonts w:hint="eastAsia" w:ascii="仿宋" w:hAnsi="仿宋" w:eastAsia="仿宋" w:cs="仿宋"/>
          <w:b/>
        </w:rPr>
        <w:t>22.确定中标供应商</w:t>
      </w:r>
    </w:p>
    <w:p w14:paraId="311A2176">
      <w:pPr>
        <w:pStyle w:val="220"/>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14:paraId="7115467E">
      <w:pPr>
        <w:pStyle w:val="220"/>
        <w:snapToGrid w:val="0"/>
        <w:spacing w:before="0"/>
        <w:ind w:firstLine="0" w:firstLineChars="0"/>
        <w:rPr>
          <w:rFonts w:ascii="仿宋" w:hAnsi="仿宋" w:eastAsia="仿宋" w:cs="仿宋"/>
          <w:b/>
          <w:szCs w:val="24"/>
        </w:rPr>
      </w:pPr>
      <w:r>
        <w:rPr>
          <w:rFonts w:hint="eastAsia" w:ascii="仿宋" w:hAnsi="仿宋" w:eastAsia="仿宋" w:cs="仿宋"/>
          <w:b/>
          <w:szCs w:val="24"/>
        </w:rPr>
        <w:t>23.中标通知与中标结果公告</w:t>
      </w:r>
    </w:p>
    <w:p w14:paraId="598A0DE2">
      <w:pPr>
        <w:widowControl/>
        <w:spacing w:line="360" w:lineRule="auto"/>
        <w:ind w:firstLine="480"/>
        <w:jc w:val="left"/>
        <w:rPr>
          <w:rFonts w:ascii="仿宋" w:hAnsi="仿宋" w:eastAsia="仿宋" w:cs="仿宋"/>
          <w:sz w:val="24"/>
        </w:rPr>
      </w:pPr>
      <w:r>
        <w:rPr>
          <w:rFonts w:hint="eastAsia" w:ascii="仿宋" w:hAnsi="仿宋" w:eastAsia="仿宋" w:cs="仿宋"/>
          <w:sz w:val="24"/>
        </w:rPr>
        <w:t>23.1采购机构将在自成交人确定之日起2个工作日内，发布交易公告的网站上公告中标结果，同时发出中标通知书。</w:t>
      </w:r>
    </w:p>
    <w:p w14:paraId="6BB25F00">
      <w:pPr>
        <w:widowControl/>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570C0A9E">
      <w:pPr>
        <w:widowControl/>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5CA785DB">
      <w:pPr>
        <w:snapToGrid w:val="0"/>
        <w:spacing w:line="360" w:lineRule="auto"/>
        <w:ind w:left="120" w:leftChars="57" w:firstLine="482" w:firstLineChars="150"/>
        <w:jc w:val="center"/>
        <w:rPr>
          <w:rFonts w:ascii="仿宋" w:hAnsi="仿宋" w:eastAsia="仿宋" w:cs="仿宋"/>
          <w:b/>
          <w:sz w:val="32"/>
        </w:rPr>
      </w:pPr>
    </w:p>
    <w:p w14:paraId="255B824B">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0B9E5E2F">
      <w:pPr>
        <w:pStyle w:val="25"/>
        <w:spacing w:line="360" w:lineRule="auto"/>
        <w:ind w:left="479" w:hanging="479" w:hangingChars="199"/>
        <w:rPr>
          <w:rFonts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FB847BC">
      <w:pPr>
        <w:pStyle w:val="25"/>
        <w:spacing w:line="360" w:lineRule="auto"/>
        <w:ind w:left="479" w:hanging="479" w:hangingChars="199"/>
        <w:rPr>
          <w:rFonts w:ascii="仿宋" w:hAnsi="仿宋" w:eastAsia="仿宋" w:cs="仿宋"/>
          <w:b/>
        </w:rPr>
      </w:pPr>
      <w:r>
        <w:rPr>
          <w:rFonts w:hint="eastAsia" w:ascii="仿宋" w:hAnsi="仿宋" w:eastAsia="仿宋" w:cs="仿宋"/>
          <w:b/>
        </w:rPr>
        <w:t>25.合同的签订</w:t>
      </w:r>
    </w:p>
    <w:p w14:paraId="3A2AFE3B">
      <w:pPr>
        <w:widowControl/>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采购人与成交人应当在中标通知书发出之日起二十日内，按照交易文件确定的事项签订政府采购合同。</w:t>
      </w:r>
    </w:p>
    <w:p w14:paraId="5F33CF09">
      <w:pPr>
        <w:pStyle w:val="220"/>
        <w:snapToGrid w:val="0"/>
        <w:spacing w:before="0"/>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25.2成交人按规定的日期、时间、地点，由法定代表人或其授权代表与采购人代表签订合同。如成交人为联合体的，由联合体成员各方法定代表人或其授权代表与采购人代表签订合同。</w:t>
      </w:r>
    </w:p>
    <w:p w14:paraId="5B1C931D">
      <w:pPr>
        <w:pStyle w:val="22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2D4C4D96">
      <w:pPr>
        <w:pStyle w:val="22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00506A10">
      <w:pPr>
        <w:pStyle w:val="25"/>
        <w:spacing w:line="360" w:lineRule="auto"/>
        <w:ind w:left="479" w:hanging="479" w:hangingChars="199"/>
        <w:rPr>
          <w:rFonts w:ascii="仿宋" w:hAnsi="仿宋" w:eastAsia="仿宋" w:cs="仿宋"/>
          <w:b/>
        </w:rPr>
      </w:pPr>
      <w:r>
        <w:rPr>
          <w:rFonts w:hint="eastAsia" w:ascii="仿宋" w:hAnsi="仿宋" w:eastAsia="仿宋" w:cs="仿宋"/>
          <w:b/>
        </w:rPr>
        <w:t>26.履约保证金</w:t>
      </w:r>
    </w:p>
    <w:p w14:paraId="094A9864">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w:t>
      </w:r>
    </w:p>
    <w:p w14:paraId="747F9BFF">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60905F6F">
      <w:pPr>
        <w:pStyle w:val="220"/>
        <w:snapToGrid w:val="0"/>
        <w:spacing w:before="0"/>
        <w:ind w:firstLine="0" w:firstLineChars="0"/>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4B2C3F7E">
      <w:pPr>
        <w:pStyle w:val="220"/>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3C0E9844">
      <w:pPr>
        <w:pStyle w:val="220"/>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2F0DBAE4">
      <w:pPr>
        <w:pStyle w:val="220"/>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06EF64D5">
      <w:pPr>
        <w:pStyle w:val="220"/>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225B3805">
      <w:pPr>
        <w:pStyle w:val="220"/>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07AACB88">
      <w:pPr>
        <w:pStyle w:val="220"/>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14:paraId="43F7AE10">
      <w:pPr>
        <w:snapToGrid w:val="0"/>
        <w:spacing w:line="360" w:lineRule="auto"/>
        <w:ind w:left="120" w:leftChars="57" w:firstLine="360" w:firstLineChars="150"/>
        <w:jc w:val="center"/>
        <w:rPr>
          <w:rFonts w:ascii="仿宋" w:hAnsi="仿宋" w:eastAsia="仿宋" w:cs="仿宋"/>
          <w:sz w:val="24"/>
        </w:rPr>
      </w:pPr>
      <w:r>
        <w:rPr>
          <w:rFonts w:hint="eastAsia" w:ascii="仿宋" w:hAnsi="仿宋" w:eastAsia="仿宋" w:cs="仿宋"/>
          <w:sz w:val="24"/>
        </w:rPr>
        <w:t xml:space="preserve"> </w:t>
      </w:r>
    </w:p>
    <w:p w14:paraId="54F17F29">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04255633">
      <w:pPr>
        <w:pStyle w:val="25"/>
        <w:spacing w:line="360" w:lineRule="auto"/>
        <w:ind w:firstLine="0" w:firstLineChars="0"/>
        <w:rPr>
          <w:rFonts w:ascii="仿宋" w:hAnsi="仿宋" w:eastAsia="仿宋" w:cs="仿宋"/>
          <w:b/>
        </w:rPr>
      </w:pPr>
      <w:r>
        <w:rPr>
          <w:rFonts w:hint="eastAsia" w:ascii="仿宋" w:hAnsi="仿宋" w:eastAsia="仿宋" w:cs="仿宋"/>
          <w:b/>
        </w:rPr>
        <w:t>28.验收</w:t>
      </w:r>
    </w:p>
    <w:p w14:paraId="7031E434">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28.1采购人应当组织对供应商履约的验收。验收采用采购人自行组织验收，参照萧政办发[2014]217号文件执行。验收方成员应当在验收书上签字，并承担相应的法律责任。</w:t>
      </w:r>
    </w:p>
    <w:p w14:paraId="6205F961">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28.2除28.1规定情形外，采购人可以自行验收或邀请参加本项目的其他供应商或者第三方机构参与验收。</w:t>
      </w:r>
    </w:p>
    <w:p w14:paraId="26CC8038">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14:paraId="0BFBE9D1">
      <w:pPr>
        <w:pStyle w:val="5"/>
        <w:rPr>
          <w:rFonts w:cs="仿宋"/>
          <w:color w:val="auto"/>
        </w:rPr>
      </w:pPr>
      <w:bookmarkStart w:id="60" w:name="第四部分"/>
      <w:r>
        <w:rPr>
          <w:rFonts w:hint="eastAsia" w:cs="仿宋"/>
          <w:color w:val="auto"/>
        </w:rPr>
        <w:t>第三部分   采购需求</w:t>
      </w:r>
    </w:p>
    <w:p w14:paraId="5ECD90D1">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t xml:space="preserve"> </w:t>
      </w:r>
    </w:p>
    <w:p w14:paraId="1A298C4F">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p w14:paraId="51DB23F7">
      <w:pPr>
        <w:spacing w:line="360" w:lineRule="auto"/>
        <w:ind w:firstLine="480" w:firstLineChars="200"/>
        <w:rPr>
          <w:rFonts w:ascii="仿宋" w:hAnsi="仿宋" w:eastAsia="仿宋" w:cs="仿宋"/>
          <w:sz w:val="24"/>
          <w:u w:val="single"/>
        </w:rPr>
      </w:pPr>
      <w:r>
        <w:rPr>
          <w:rFonts w:hint="eastAsia" w:ascii="仿宋" w:hAnsi="仿宋" w:eastAsia="仿宋" w:cs="仿宋"/>
          <w:sz w:val="24"/>
        </w:rPr>
        <w:t>标项：1标项：</w:t>
      </w:r>
      <w:r>
        <w:rPr>
          <w:rFonts w:hint="eastAsia" w:ascii="仿宋" w:hAnsi="仿宋" w:eastAsia="仿宋" w:cs="仿宋"/>
          <w:sz w:val="24"/>
          <w:u w:val="single"/>
        </w:rPr>
        <w:t xml:space="preserve">一  </w:t>
      </w:r>
    </w:p>
    <w:tbl>
      <w:tblPr>
        <w:tblStyle w:val="60"/>
        <w:tblW w:w="0" w:type="auto"/>
        <w:jc w:val="center"/>
        <w:tblLayout w:type="fixed"/>
        <w:tblCellMar>
          <w:top w:w="0" w:type="dxa"/>
          <w:left w:w="0" w:type="dxa"/>
          <w:bottom w:w="0" w:type="dxa"/>
          <w:right w:w="0" w:type="dxa"/>
        </w:tblCellMar>
      </w:tblPr>
      <w:tblGrid>
        <w:gridCol w:w="744"/>
        <w:gridCol w:w="3850"/>
        <w:gridCol w:w="1858"/>
        <w:gridCol w:w="828"/>
        <w:gridCol w:w="828"/>
        <w:gridCol w:w="828"/>
      </w:tblGrid>
      <w:tr w14:paraId="4439D2DD">
        <w:tblPrEx>
          <w:tblCellMar>
            <w:top w:w="0" w:type="dxa"/>
            <w:left w:w="0" w:type="dxa"/>
            <w:bottom w:w="0" w:type="dxa"/>
            <w:right w:w="0" w:type="dxa"/>
          </w:tblCellMar>
        </w:tblPrEx>
        <w:trPr>
          <w:cantSplit/>
          <w:trHeight w:val="557"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3A8BA5">
            <w:pPr>
              <w:spacing w:line="360" w:lineRule="auto"/>
              <w:jc w:val="center"/>
              <w:rPr>
                <w:rFonts w:ascii="仿宋" w:hAnsi="仿宋" w:eastAsia="仿宋" w:cs="仿宋"/>
                <w:position w:val="-6"/>
                <w:sz w:val="24"/>
              </w:rPr>
            </w:pPr>
            <w:r>
              <w:rPr>
                <w:rFonts w:hint="eastAsia" w:ascii="仿宋" w:hAnsi="仿宋" w:eastAsia="仿宋" w:cs="仿宋"/>
                <w:position w:val="-6"/>
                <w:sz w:val="24"/>
              </w:rPr>
              <w:t>序号</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7B35416">
            <w:pPr>
              <w:spacing w:line="360" w:lineRule="auto"/>
              <w:jc w:val="center"/>
              <w:rPr>
                <w:rFonts w:ascii="仿宋" w:hAnsi="仿宋" w:eastAsia="仿宋" w:cs="仿宋"/>
                <w:position w:val="-6"/>
                <w:sz w:val="24"/>
              </w:rPr>
            </w:pPr>
            <w:r>
              <w:rPr>
                <w:rFonts w:hint="eastAsia" w:ascii="仿宋" w:hAnsi="仿宋" w:eastAsia="仿宋" w:cs="仿宋"/>
                <w:position w:val="-6"/>
                <w:sz w:val="24"/>
              </w:rPr>
              <w:t>名称</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2A3A432">
            <w:pPr>
              <w:spacing w:line="360" w:lineRule="auto"/>
              <w:jc w:val="center"/>
              <w:rPr>
                <w:rFonts w:ascii="仿宋" w:hAnsi="仿宋" w:eastAsia="仿宋" w:cs="仿宋"/>
                <w:position w:val="-6"/>
                <w:sz w:val="24"/>
              </w:rPr>
            </w:pPr>
            <w:r>
              <w:rPr>
                <w:rFonts w:hint="eastAsia" w:ascii="仿宋" w:hAnsi="仿宋" w:eastAsia="仿宋" w:cs="仿宋"/>
                <w:position w:val="-6"/>
                <w:sz w:val="24"/>
              </w:rPr>
              <w:t>规格型号与参数</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F083C1">
            <w:pPr>
              <w:spacing w:line="360" w:lineRule="auto"/>
              <w:jc w:val="center"/>
              <w:rPr>
                <w:rFonts w:ascii="仿宋" w:hAnsi="仿宋" w:eastAsia="仿宋" w:cs="仿宋"/>
                <w:position w:val="-6"/>
                <w:sz w:val="24"/>
              </w:rPr>
            </w:pPr>
            <w:r>
              <w:rPr>
                <w:rFonts w:hint="eastAsia" w:ascii="仿宋" w:hAnsi="仿宋" w:eastAsia="仿宋" w:cs="仿宋"/>
                <w:position w:val="-6"/>
                <w:sz w:val="24"/>
              </w:rPr>
              <w:t>单位</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E1A06E">
            <w:pPr>
              <w:spacing w:line="360" w:lineRule="auto"/>
              <w:jc w:val="center"/>
              <w:rPr>
                <w:rFonts w:ascii="仿宋" w:hAnsi="仿宋" w:eastAsia="仿宋" w:cs="仿宋"/>
                <w:position w:val="-6"/>
                <w:sz w:val="24"/>
              </w:rPr>
            </w:pPr>
            <w:r>
              <w:rPr>
                <w:rFonts w:hint="eastAsia" w:ascii="仿宋" w:hAnsi="仿宋" w:eastAsia="仿宋" w:cs="仿宋"/>
                <w:position w:val="-6"/>
                <w:sz w:val="24"/>
              </w:rPr>
              <w:t>数量</w:t>
            </w:r>
          </w:p>
        </w:tc>
        <w:tc>
          <w:tcPr>
            <w:tcW w:w="828" w:type="dxa"/>
            <w:tcBorders>
              <w:top w:val="single" w:color="auto" w:sz="4" w:space="0"/>
              <w:left w:val="nil"/>
              <w:bottom w:val="single" w:color="auto" w:sz="4" w:space="0"/>
              <w:right w:val="single" w:color="auto" w:sz="4" w:space="0"/>
            </w:tcBorders>
            <w:noWrap/>
            <w:vAlign w:val="center"/>
          </w:tcPr>
          <w:p w14:paraId="3437216E">
            <w:pPr>
              <w:spacing w:line="360" w:lineRule="auto"/>
              <w:jc w:val="center"/>
              <w:rPr>
                <w:rFonts w:ascii="仿宋" w:hAnsi="仿宋" w:eastAsia="仿宋" w:cs="仿宋"/>
                <w:position w:val="-6"/>
                <w:sz w:val="24"/>
              </w:rPr>
            </w:pPr>
            <w:r>
              <w:rPr>
                <w:rFonts w:hint="eastAsia" w:ascii="仿宋" w:hAnsi="仿宋" w:eastAsia="仿宋" w:cs="仿宋"/>
                <w:position w:val="-6"/>
                <w:sz w:val="24"/>
              </w:rPr>
              <w:t>备注</w:t>
            </w:r>
          </w:p>
        </w:tc>
      </w:tr>
      <w:tr w14:paraId="0EA5CB67">
        <w:tblPrEx>
          <w:tblCellMar>
            <w:top w:w="0" w:type="dxa"/>
            <w:left w:w="0" w:type="dxa"/>
            <w:bottom w:w="0" w:type="dxa"/>
            <w:right w:w="0" w:type="dxa"/>
          </w:tblCellMar>
        </w:tblPrEx>
        <w:trPr>
          <w:cantSplit/>
          <w:trHeight w:val="462"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932D30">
            <w:pPr>
              <w:spacing w:line="360" w:lineRule="auto"/>
              <w:jc w:val="center"/>
              <w:rPr>
                <w:rFonts w:ascii="仿宋" w:hAnsi="仿宋" w:eastAsia="仿宋" w:cs="仿宋"/>
                <w:position w:val="-6"/>
                <w:sz w:val="24"/>
              </w:rPr>
            </w:pPr>
            <w:r>
              <w:rPr>
                <w:rFonts w:hint="eastAsia" w:ascii="仿宋" w:hAnsi="仿宋" w:eastAsia="仿宋" w:cs="仿宋"/>
                <w:position w:val="-6"/>
                <w:sz w:val="24"/>
              </w:rPr>
              <w:t>1</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9AF26B6">
            <w:pPr>
              <w:jc w:val="center"/>
              <w:rPr>
                <w:rFonts w:hint="eastAsia" w:ascii="仿宋" w:hAnsi="仿宋" w:eastAsia="仿宋" w:cs="仿宋"/>
                <w:sz w:val="24"/>
                <w:lang w:eastAsia="zh-CN"/>
              </w:rPr>
            </w:pPr>
            <w:r>
              <w:rPr>
                <w:rFonts w:hint="eastAsia" w:ascii="仿宋" w:hAnsi="仿宋" w:eastAsia="仿宋" w:cs="仿宋"/>
                <w:sz w:val="24"/>
                <w:lang w:eastAsia="zh-CN"/>
              </w:rPr>
              <w:t>闻堰街道定山工业园区西区块、湘湖单元（杨岐山片区）改造项目搬迁评估项目</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D2A5A19">
            <w:pPr>
              <w:spacing w:line="360" w:lineRule="auto"/>
              <w:jc w:val="center"/>
              <w:rPr>
                <w:rFonts w:ascii="仿宋" w:hAnsi="仿宋" w:eastAsia="仿宋" w:cs="仿宋"/>
                <w:sz w:val="24"/>
              </w:rPr>
            </w:pPr>
            <w:r>
              <w:rPr>
                <w:rFonts w:hint="eastAsia" w:ascii="仿宋" w:hAnsi="仿宋" w:eastAsia="仿宋" w:cs="仿宋"/>
                <w:sz w:val="24"/>
              </w:rPr>
              <w:t>详见交易需求</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215801">
            <w:pPr>
              <w:spacing w:line="360" w:lineRule="auto"/>
              <w:jc w:val="center"/>
              <w:rPr>
                <w:rFonts w:ascii="仿宋" w:hAnsi="仿宋" w:eastAsia="仿宋" w:cs="仿宋"/>
                <w:sz w:val="24"/>
              </w:rPr>
            </w:pPr>
            <w:r>
              <w:rPr>
                <w:rFonts w:hint="eastAsia" w:ascii="仿宋" w:hAnsi="仿宋" w:eastAsia="仿宋" w:cs="仿宋"/>
                <w:sz w:val="24"/>
              </w:rPr>
              <w:t>项</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2DBEE6C">
            <w:pPr>
              <w:spacing w:line="360" w:lineRule="auto"/>
              <w:jc w:val="center"/>
              <w:rPr>
                <w:rFonts w:ascii="仿宋" w:hAnsi="仿宋" w:eastAsia="仿宋" w:cs="仿宋"/>
                <w:sz w:val="24"/>
              </w:rPr>
            </w:pPr>
            <w:r>
              <w:rPr>
                <w:rFonts w:hint="eastAsia" w:ascii="仿宋" w:hAnsi="仿宋" w:eastAsia="仿宋" w:cs="仿宋"/>
                <w:sz w:val="24"/>
              </w:rPr>
              <w:t>1</w:t>
            </w:r>
          </w:p>
        </w:tc>
        <w:tc>
          <w:tcPr>
            <w:tcW w:w="828" w:type="dxa"/>
            <w:tcBorders>
              <w:top w:val="single" w:color="auto" w:sz="4" w:space="0"/>
              <w:left w:val="nil"/>
              <w:bottom w:val="single" w:color="auto" w:sz="4" w:space="0"/>
              <w:right w:val="single" w:color="auto" w:sz="4" w:space="0"/>
            </w:tcBorders>
            <w:noWrap/>
            <w:vAlign w:val="center"/>
          </w:tcPr>
          <w:p w14:paraId="2C5E0C0C">
            <w:pPr>
              <w:spacing w:line="360" w:lineRule="auto"/>
              <w:ind w:firstLine="480" w:firstLineChars="200"/>
              <w:jc w:val="center"/>
              <w:rPr>
                <w:rFonts w:ascii="仿宋" w:hAnsi="仿宋" w:eastAsia="仿宋" w:cs="仿宋"/>
                <w:position w:val="-6"/>
                <w:sz w:val="24"/>
              </w:rPr>
            </w:pPr>
          </w:p>
        </w:tc>
      </w:tr>
    </w:tbl>
    <w:p w14:paraId="261FB9EE">
      <w:pPr>
        <w:spacing w:after="120"/>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本项目企业搬迁评估报价，房屋、土地、设备等资产评估报价超过最高限价的作废标处理。</w:t>
      </w:r>
    </w:p>
    <w:p w14:paraId="1AFF51D3">
      <w:pPr>
        <w:pStyle w:val="2"/>
        <w:ind w:firstLine="480" w:firstLineChars="200"/>
        <w:rPr>
          <w:rFonts w:hint="eastAsia" w:eastAsia="仿宋"/>
          <w:color w:val="auto"/>
          <w:lang w:val="en-US" w:eastAsia="zh-CN"/>
        </w:rPr>
      </w:pPr>
      <w:r>
        <w:rPr>
          <w:rFonts w:hint="eastAsia" w:ascii="仿宋" w:hAnsi="仿宋" w:eastAsia="仿宋" w:cs="仿宋"/>
          <w:color w:val="auto"/>
          <w:sz w:val="24"/>
          <w:lang w:val="en-US" w:eastAsia="zh-CN"/>
        </w:rPr>
        <w:t xml:space="preserve"> 2、闻堰街道定山工业园区西区块、湘湖单元（杨岐山片区）改造项目搬迁评估项目由浙江湘旅绿色开发建设有限公司代为落实招投标工作，后续评估工作及相应评估报告需与杭州市萧山区闻堰街道办事处进行对接工作。</w:t>
      </w:r>
    </w:p>
    <w:p w14:paraId="66EAAA9B">
      <w:pPr>
        <w:numPr>
          <w:ilvl w:val="0"/>
          <w:numId w:val="7"/>
        </w:numPr>
        <w:spacing w:line="360" w:lineRule="auto"/>
        <w:ind w:firstLine="281" w:firstLineChars="100"/>
        <w:jc w:val="center"/>
        <w:rPr>
          <w:rFonts w:ascii="仿宋" w:hAnsi="仿宋" w:eastAsia="仿宋" w:cs="仿宋"/>
          <w:b/>
          <w:sz w:val="28"/>
          <w:szCs w:val="28"/>
        </w:rPr>
      </w:pPr>
      <w:r>
        <w:rPr>
          <w:rFonts w:hint="eastAsia" w:ascii="仿宋" w:hAnsi="仿宋" w:eastAsia="仿宋" w:cs="仿宋"/>
          <w:b/>
          <w:sz w:val="28"/>
          <w:szCs w:val="28"/>
        </w:rPr>
        <w:t>交易需求</w:t>
      </w:r>
    </w:p>
    <w:p w14:paraId="04CB3DEF">
      <w:pPr>
        <w:rPr>
          <w:rFonts w:ascii="仿宋" w:hAnsi="仿宋" w:eastAsia="仿宋" w:cs="仿宋"/>
          <w:sz w:val="24"/>
        </w:rPr>
      </w:pPr>
    </w:p>
    <w:p w14:paraId="409C4FE2">
      <w:pPr>
        <w:snapToGrid w:val="0"/>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1、技术需求</w:t>
      </w:r>
    </w:p>
    <w:p w14:paraId="6D1C335D">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一、基本情况</w:t>
      </w:r>
    </w:p>
    <w:p w14:paraId="3C1EC734">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本项目招标内容为闻堰街道定山工业园区西区块、湘湖单元（杨岐山片区）改造项目搬迁评估服务项目，服务范围为闻堰街道定山工业园区西区块、湘湖单元（杨岐山片区）等企业的评估，具体以杭州市萧山区人民政府闻堰街道办事处的通知单为准</w:t>
      </w:r>
      <w:r>
        <w:rPr>
          <w:rFonts w:hint="eastAsia" w:ascii="仿宋" w:hAnsi="仿宋" w:eastAsia="仿宋" w:cs="仿宋"/>
          <w:sz w:val="24"/>
          <w:szCs w:val="24"/>
        </w:rPr>
        <w:t>。</w:t>
      </w:r>
    </w:p>
    <w:p w14:paraId="4A6531E4">
      <w:pPr>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二、评估内容</w:t>
      </w:r>
    </w:p>
    <w:p w14:paraId="6ADF3DF8">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 xml:space="preserve">  1、</w:t>
      </w:r>
      <w:r>
        <w:rPr>
          <w:rFonts w:hint="eastAsia" w:ascii="仿宋" w:hAnsi="仿宋" w:eastAsia="仿宋" w:cs="仿宋"/>
          <w:sz w:val="24"/>
          <w:szCs w:val="24"/>
        </w:rPr>
        <w:t>自本合同签订之日起闻堰街道闻堰街道定山工业园区西区块、湘湖单元（杨岐山片区）等企业搬迁的非住宅房屋搬迁补偿资产价值评估（包含但不仅限于土地、房产、设备等资产价值评估）。</w:t>
      </w:r>
    </w:p>
    <w:p w14:paraId="1AB9EAED">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w:t>
      </w:r>
      <w:r>
        <w:rPr>
          <w:rFonts w:hint="eastAsia" w:ascii="仿宋" w:hAnsi="仿宋" w:eastAsia="仿宋" w:cs="仿宋"/>
          <w:b/>
          <w:sz w:val="24"/>
          <w:szCs w:val="24"/>
          <w:lang w:val="en-US" w:eastAsia="zh-CN"/>
        </w:rPr>
        <w:t>服务</w:t>
      </w:r>
      <w:r>
        <w:rPr>
          <w:rFonts w:hint="eastAsia" w:ascii="仿宋" w:hAnsi="仿宋" w:eastAsia="仿宋" w:cs="仿宋"/>
          <w:b/>
          <w:bCs/>
          <w:sz w:val="24"/>
          <w:szCs w:val="24"/>
        </w:rPr>
        <w:t>要求</w:t>
      </w:r>
    </w:p>
    <w:p w14:paraId="3B6C48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2" w:leftChars="0"/>
        <w:textAlignment w:val="auto"/>
        <w:rPr>
          <w:rFonts w:hint="eastAsia" w:ascii="仿宋" w:hAnsi="仿宋" w:eastAsia="仿宋" w:cs="仿宋"/>
          <w:sz w:val="24"/>
          <w:szCs w:val="24"/>
        </w:rPr>
      </w:pPr>
      <w:r>
        <w:rPr>
          <w:rFonts w:hint="eastAsia" w:ascii="仿宋" w:hAnsi="仿宋" w:eastAsia="仿宋" w:cs="仿宋"/>
          <w:sz w:val="24"/>
          <w:szCs w:val="24"/>
        </w:rPr>
        <w:t>1、评估单位应根据杭州市萧山区人民政府闻堰街道办事处需要，依照有关法规政策规定的程序和方法，按照 独立、客观、公正的原则对评估项目进行评估，在收到杭州市萧山区人民政府闻堰街道办事处的通知后 5 天内出具正式的评估报告。</w:t>
      </w:r>
    </w:p>
    <w:p w14:paraId="430944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2" w:leftChars="0"/>
        <w:textAlignment w:val="auto"/>
        <w:rPr>
          <w:rFonts w:hint="eastAsia" w:ascii="仿宋" w:hAnsi="仿宋" w:eastAsia="仿宋" w:cs="仿宋"/>
          <w:sz w:val="24"/>
          <w:szCs w:val="24"/>
        </w:rPr>
      </w:pPr>
      <w:r>
        <w:rPr>
          <w:rFonts w:hint="eastAsia" w:ascii="仿宋" w:hAnsi="仿宋" w:eastAsia="仿宋" w:cs="仿宋"/>
          <w:sz w:val="24"/>
          <w:szCs w:val="24"/>
        </w:rPr>
        <w:t>2、评估时，评估单位必须到现场实地勘测，并应保存完整的勘测记录及影像、照片等资料。</w:t>
      </w:r>
    </w:p>
    <w:p w14:paraId="53B5D2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2" w:leftChars="0"/>
        <w:textAlignment w:val="auto"/>
        <w:rPr>
          <w:rFonts w:hint="eastAsia" w:ascii="仿宋" w:hAnsi="仿宋" w:eastAsia="仿宋" w:cs="仿宋"/>
          <w:sz w:val="24"/>
          <w:szCs w:val="24"/>
        </w:rPr>
      </w:pPr>
      <w:r>
        <w:rPr>
          <w:rFonts w:hint="eastAsia" w:ascii="仿宋" w:hAnsi="仿宋" w:eastAsia="仿宋" w:cs="仿宋"/>
          <w:sz w:val="24"/>
          <w:szCs w:val="24"/>
        </w:rPr>
        <w:t>3、评估单位必须保证评估质量， 确保2名及以上评估师持证上岗（以备</w:t>
      </w:r>
      <w:r>
        <w:rPr>
          <w:rFonts w:hint="eastAsia" w:ascii="仿宋" w:hAnsi="仿宋" w:eastAsia="仿宋" w:cs="仿宋"/>
          <w:sz w:val="24"/>
          <w:szCs w:val="24"/>
          <w:lang w:eastAsia="zh-CN"/>
        </w:rPr>
        <w:t>采购人</w:t>
      </w:r>
      <w:r>
        <w:rPr>
          <w:rFonts w:hint="eastAsia" w:ascii="仿宋" w:hAnsi="仿宋" w:eastAsia="仿宋" w:cs="仿宋"/>
          <w:sz w:val="24"/>
          <w:szCs w:val="24"/>
        </w:rPr>
        <w:t>随时查验），并做好后续服务和管理工作。在搬迁工作全面完成前负责做好涉及评估工作内容的政策解释和咨询、解答等相关工作。</w:t>
      </w:r>
    </w:p>
    <w:p w14:paraId="230076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2" w:leftChars="0"/>
        <w:textAlignment w:val="auto"/>
        <w:rPr>
          <w:rFonts w:hint="eastAsia" w:ascii="仿宋" w:hAnsi="仿宋" w:eastAsia="仿宋" w:cs="仿宋"/>
          <w:sz w:val="24"/>
          <w:szCs w:val="24"/>
        </w:rPr>
      </w:pPr>
      <w:r>
        <w:rPr>
          <w:rFonts w:hint="eastAsia" w:ascii="仿宋" w:hAnsi="仿宋" w:eastAsia="仿宋" w:cs="仿宋"/>
          <w:sz w:val="24"/>
          <w:szCs w:val="24"/>
        </w:rPr>
        <w:t>4、评估单位在出具评估报告书后，将项目汇总表、影像、照片等资料报杭州市萧山区人民政府闻堰街道办事处主管部门存档，并根据需要应向评估当事人解释评估的依据，选用的评估方法，评估结果的产生过程。</w:t>
      </w:r>
    </w:p>
    <w:p w14:paraId="2B0D2D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2" w:leftChars="0"/>
        <w:textAlignment w:val="auto"/>
        <w:rPr>
          <w:rFonts w:hint="eastAsia" w:ascii="仿宋" w:hAnsi="仿宋" w:eastAsia="仿宋" w:cs="仿宋"/>
          <w:sz w:val="24"/>
          <w:szCs w:val="24"/>
        </w:rPr>
      </w:pPr>
      <w:r>
        <w:rPr>
          <w:rFonts w:hint="eastAsia" w:ascii="仿宋" w:hAnsi="仿宋" w:eastAsia="仿宋" w:cs="仿宋"/>
          <w:sz w:val="24"/>
          <w:szCs w:val="24"/>
        </w:rPr>
        <w:t>5、评估单位在收到评估当事人有异议的书面复核申请，应在 3 个工作日内出具复核结果。</w:t>
      </w:r>
    </w:p>
    <w:p w14:paraId="4CB6EA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2" w:leftChars="0"/>
        <w:textAlignment w:val="auto"/>
        <w:rPr>
          <w:rFonts w:hint="eastAsia" w:ascii="仿宋" w:hAnsi="仿宋" w:eastAsia="仿宋" w:cs="仿宋"/>
          <w:sz w:val="24"/>
          <w:szCs w:val="24"/>
        </w:rPr>
      </w:pPr>
      <w:r>
        <w:rPr>
          <w:rFonts w:hint="eastAsia" w:ascii="仿宋" w:hAnsi="仿宋" w:eastAsia="仿宋" w:cs="仿宋"/>
          <w:sz w:val="24"/>
          <w:szCs w:val="24"/>
        </w:rPr>
        <w:t>6、若无资质，涉及测绘工作经业主同意认可后，可由供应商委托有相应资质的公司。其余内容不允许分包。</w:t>
      </w:r>
    </w:p>
    <w:p w14:paraId="03BD99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2" w:leftChars="0"/>
        <w:textAlignment w:val="auto"/>
        <w:rPr>
          <w:rFonts w:hint="eastAsia" w:ascii="仿宋" w:hAnsi="仿宋" w:eastAsia="仿宋" w:cs="仿宋"/>
          <w:sz w:val="24"/>
          <w:szCs w:val="24"/>
        </w:rPr>
      </w:pPr>
      <w:r>
        <w:rPr>
          <w:rFonts w:hint="eastAsia" w:ascii="仿宋" w:hAnsi="仿宋" w:eastAsia="仿宋" w:cs="仿宋"/>
          <w:sz w:val="24"/>
          <w:szCs w:val="24"/>
        </w:rPr>
        <w:t>7、项目实施过程中涉及人员、设备、工具等的安全责任及由此产生的一切损失均由评估单位自行承担，与浙江湘旅绿色开发建设有限公司无关。</w:t>
      </w:r>
    </w:p>
    <w:p w14:paraId="4360CA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2" w:leftChars="0"/>
        <w:textAlignment w:val="auto"/>
        <w:rPr>
          <w:rFonts w:hint="eastAsia" w:ascii="仿宋" w:hAnsi="仿宋" w:eastAsia="仿宋" w:cs="仿宋"/>
          <w:sz w:val="24"/>
          <w:szCs w:val="24"/>
        </w:rPr>
      </w:pPr>
      <w:r>
        <w:rPr>
          <w:rFonts w:hint="eastAsia" w:ascii="仿宋" w:hAnsi="仿宋" w:eastAsia="仿宋" w:cs="仿宋"/>
          <w:sz w:val="24"/>
          <w:szCs w:val="24"/>
        </w:rPr>
        <w:t>8、实际委派的资产评估项目中资产评估机构不得与审计、清产核资的审计机构为同一家中介机构，或是有关联关系的中介机构。</w:t>
      </w:r>
    </w:p>
    <w:p w14:paraId="5D5519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2" w:leftChars="0"/>
        <w:textAlignment w:val="auto"/>
        <w:rPr>
          <w:rFonts w:hint="eastAsia" w:ascii="仿宋" w:hAnsi="仿宋" w:eastAsia="仿宋" w:cs="仿宋"/>
          <w:sz w:val="24"/>
          <w:szCs w:val="24"/>
        </w:rPr>
      </w:pPr>
      <w:r>
        <w:rPr>
          <w:rFonts w:hint="eastAsia" w:ascii="仿宋" w:hAnsi="仿宋" w:eastAsia="仿宋" w:cs="仿宋"/>
          <w:sz w:val="24"/>
          <w:szCs w:val="24"/>
        </w:rPr>
        <w:t>9、评估质量要求： 合格并符合杭州市萧山区人民政府闻堰街道办事处要求。</w:t>
      </w:r>
    </w:p>
    <w:p w14:paraId="0CE4D2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2" w:leftChars="0"/>
        <w:textAlignment w:val="auto"/>
        <w:rPr>
          <w:rFonts w:hint="eastAsia" w:ascii="仿宋" w:hAnsi="仿宋" w:eastAsia="仿宋" w:cs="仿宋"/>
          <w:sz w:val="24"/>
          <w:szCs w:val="24"/>
        </w:rPr>
      </w:pPr>
      <w:r>
        <w:rPr>
          <w:rFonts w:hint="eastAsia" w:ascii="仿宋" w:hAnsi="仿宋" w:eastAsia="仿宋" w:cs="仿宋"/>
          <w:sz w:val="24"/>
          <w:szCs w:val="24"/>
        </w:rPr>
        <w:t>10、中标人在接到杭州市萧山区人民政府闻堰街道办事处项目评估通知后，1 小时内响应，</w:t>
      </w:r>
      <w:r>
        <w:rPr>
          <w:rFonts w:hint="eastAsia" w:ascii="仿宋" w:hAnsi="仿宋" w:eastAsia="仿宋" w:cs="仿宋"/>
          <w:sz w:val="24"/>
          <w:szCs w:val="24"/>
          <w:lang w:val="en-US" w:eastAsia="zh-CN"/>
        </w:rPr>
        <w:t>12</w:t>
      </w:r>
      <w:r>
        <w:rPr>
          <w:rFonts w:hint="eastAsia" w:ascii="仿宋" w:hAnsi="仿宋" w:eastAsia="仿宋" w:cs="仿宋"/>
          <w:sz w:val="24"/>
          <w:szCs w:val="24"/>
        </w:rPr>
        <w:t xml:space="preserve">小时内评估人员到位；在规定时间内完成现场评估后，在 5 个工作日内出具评估核对清单；评估清单核对后 3 个工作日内完成评估报告初稿； 采购人通知后5 天内出具正式的评估报告。                                                                                                                                                                                                                                                                                                                                                                                                                                                                                                                                                                                                                                                                                                                                                                                                                                                                                                                                                                                                                             </w:t>
      </w:r>
    </w:p>
    <w:p w14:paraId="090F95F2">
      <w:pPr>
        <w:adjustRightInd w:val="0"/>
        <w:snapToGrid w:val="0"/>
        <w:spacing w:line="360" w:lineRule="auto"/>
        <w:ind w:left="480"/>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、特别说明：</w:t>
      </w:r>
    </w:p>
    <w:p w14:paraId="02C2AEB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（1）企业拆迁评估：最高限价为</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元/平方米。房屋残值报告按3000元/份。</w:t>
      </w:r>
    </w:p>
    <w:p w14:paraId="2B5525C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（2）土地、设备等资产评估：</w:t>
      </w:r>
      <w:r>
        <w:rPr>
          <w:rFonts w:hint="eastAsia" w:ascii="仿宋" w:hAnsi="仿宋" w:eastAsia="仿宋" w:cs="仿宋"/>
          <w:color w:val="auto"/>
          <w:sz w:val="24"/>
          <w:szCs w:val="24"/>
          <w:lang w:val="en-US" w:eastAsia="zh-CN"/>
        </w:rPr>
        <w:t>参</w:t>
      </w:r>
      <w:r>
        <w:rPr>
          <w:rFonts w:hint="eastAsia" w:ascii="仿宋" w:hAnsi="仿宋" w:eastAsia="仿宋" w:cs="仿宋"/>
          <w:color w:val="auto"/>
          <w:sz w:val="24"/>
          <w:szCs w:val="24"/>
        </w:rPr>
        <w:t>照《浙江省物价局关于资产评估收费问题的通知》（浙价服【2011】90号）文件。机器设备残值报告按3000元/份。</w:t>
      </w:r>
    </w:p>
    <w:p w14:paraId="69A7777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（3）评估涉及土地测绘费，按10亩以内每宗地4000元标准计费超出10亩的按每亩递增300元计价，但每宗土地测绘费最高不得超过30000元。</w:t>
      </w:r>
    </w:p>
    <w:p w14:paraId="0F34B26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2、计费标准：</w:t>
      </w:r>
    </w:p>
    <w:p w14:paraId="54428126">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2.1 企业房屋（搬迁）评估费：单价     元/平方米，结算时按评估企业的建筑面积乘以成交单价计取</w:t>
      </w:r>
      <w:r>
        <w:rPr>
          <w:rFonts w:hint="eastAsia" w:ascii="仿宋" w:hAnsi="仿宋" w:eastAsia="仿宋" w:cs="仿宋"/>
          <w:color w:val="auto"/>
          <w:sz w:val="24"/>
          <w:szCs w:val="28"/>
        </w:rPr>
        <w:t>，最终按投标人报价指定</w:t>
      </w:r>
      <w:r>
        <w:rPr>
          <w:rFonts w:hint="eastAsia" w:ascii="仿宋" w:hAnsi="仿宋" w:eastAsia="仿宋" w:cs="仿宋"/>
          <w:color w:val="auto"/>
          <w:sz w:val="24"/>
          <w:szCs w:val="28"/>
          <w:lang w:eastAsia="zh-CN"/>
        </w:rPr>
        <w:t>。</w:t>
      </w:r>
    </w:p>
    <w:p w14:paraId="3CFEB61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 土地、设备等资产评估费：按照《浙江省物价局关于资产评估收费问题的通知》（浙价服【2011】90号）文件标准计取，现以</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%（中标价）计取，（资产评估单项评估服务费不足1500元的按1500元计取）。</w:t>
      </w:r>
    </w:p>
    <w:p w14:paraId="758F60BC">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2.3 评估涉及土地测绘费，按10亩（含）以内每宗地4000元标准计费</w:t>
      </w:r>
      <w:r>
        <w:rPr>
          <w:rFonts w:hint="eastAsia" w:ascii="仿宋" w:hAnsi="仿宋" w:eastAsia="仿宋" w:cs="仿宋"/>
          <w:sz w:val="24"/>
          <w:szCs w:val="24"/>
        </w:rPr>
        <w:t>，超出10亩的按每亩递增300元计价（不足一亩按一亩计算），但每宗土地测绘费最高不得超过30000元。</w:t>
      </w:r>
    </w:p>
    <w:p w14:paraId="3A16DB9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 房屋、机器设备残值报告按3000元/份。</w:t>
      </w:r>
    </w:p>
    <w:p w14:paraId="11BE9E6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3、项目数量按实计算；所需评估项目按杭州市萧山区人民政府闻堰街道办事处要求时间进行评估, 收到杭州市萧山区人民政府闻堰街道办事处通知后5天内出具正式的评估报告。</w:t>
      </w:r>
    </w:p>
    <w:p w14:paraId="34E42F5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4、项目服务过程中，实际评估数量</w:t>
      </w:r>
      <w:r>
        <w:rPr>
          <w:rFonts w:hint="eastAsia" w:ascii="仿宋" w:hAnsi="仿宋" w:eastAsia="仿宋" w:cs="仿宋"/>
          <w:sz w:val="24"/>
          <w:szCs w:val="24"/>
          <w:lang w:eastAsia="zh-CN"/>
        </w:rPr>
        <w:t>采购人</w:t>
      </w:r>
      <w:r>
        <w:rPr>
          <w:rFonts w:hint="eastAsia" w:ascii="仿宋" w:hAnsi="仿宋" w:eastAsia="仿宋" w:cs="仿宋"/>
          <w:sz w:val="24"/>
          <w:szCs w:val="24"/>
        </w:rPr>
        <w:t>不作保证，预算金额均为暂估价，投标人自行考虑投标风险。</w:t>
      </w:r>
    </w:p>
    <w:p w14:paraId="7C69FF4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中标</w:t>
      </w:r>
      <w:r>
        <w:rPr>
          <w:rFonts w:hint="eastAsia" w:ascii="仿宋" w:hAnsi="仿宋" w:eastAsia="仿宋" w:cs="仿宋"/>
          <w:sz w:val="24"/>
          <w:szCs w:val="24"/>
        </w:rPr>
        <w:t>人需出具每个被评估企业的残值报告，残值要分房屋残值和报废设备的残值，要分开出报告。</w:t>
      </w:r>
    </w:p>
    <w:p w14:paraId="23CCA1E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6、搬迁补偿洽谈完成后，如搬迁补偿人提出需求，需对搬迁补偿费用进行内部拆分，中标单位应予以配合，费用在报价中考虑，不得另行计取费用。</w:t>
      </w:r>
    </w:p>
    <w:p w14:paraId="74C56B1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四、服务期限：合同签订之日起至项目完成。</w:t>
      </w:r>
    </w:p>
    <w:p w14:paraId="04370E89">
      <w:pPr>
        <w:spacing w:line="360" w:lineRule="auto"/>
        <w:ind w:firstLine="480" w:firstLineChars="200"/>
        <w:rPr>
          <w:rFonts w:hint="default" w:ascii="仿宋" w:hAnsi="仿宋" w:eastAsia="仿宋" w:cs="仿宋"/>
          <w:color w:val="FF0000"/>
          <w:sz w:val="24"/>
          <w:szCs w:val="24"/>
          <w:lang w:val="en-US"/>
        </w:rPr>
      </w:pPr>
      <w:r>
        <w:rPr>
          <w:rFonts w:hint="eastAsia" w:ascii="仿宋" w:hAnsi="仿宋" w:eastAsia="仿宋" w:cs="仿宋"/>
          <w:color w:val="auto"/>
          <w:sz w:val="24"/>
          <w:szCs w:val="24"/>
        </w:rPr>
        <w:t>五、付款方式：</w:t>
      </w:r>
      <w:r>
        <w:rPr>
          <w:rFonts w:hint="eastAsia" w:ascii="仿宋" w:hAnsi="仿宋" w:eastAsia="仿宋" w:cs="仿宋"/>
          <w:color w:val="auto"/>
          <w:sz w:val="24"/>
          <w:szCs w:val="24"/>
          <w:lang w:val="en-US" w:eastAsia="zh-CN"/>
        </w:rPr>
        <w:t>按单个项目结算，提供完整经认可的评估报告后，支付该次评估费用80%的服务费，剩余费用腾房结束后一次性付清。</w:t>
      </w:r>
    </w:p>
    <w:p w14:paraId="18D1C7E8">
      <w:pPr>
        <w:spacing w:line="500" w:lineRule="exact"/>
        <w:rPr>
          <w:rFonts w:hint="eastAsia" w:ascii="仿宋" w:hAnsi="仿宋" w:eastAsia="仿宋" w:cs="仿宋"/>
          <w:sz w:val="24"/>
          <w:szCs w:val="24"/>
        </w:rPr>
      </w:pPr>
      <w:r>
        <w:rPr>
          <w:rFonts w:hint="eastAsia" w:ascii="仿宋" w:hAnsi="仿宋" w:eastAsia="仿宋" w:cs="仿宋"/>
          <w:sz w:val="24"/>
          <w:szCs w:val="24"/>
        </w:rPr>
        <w:t>注：</w:t>
      </w:r>
    </w:p>
    <w:p w14:paraId="64AEEAFB">
      <w:pPr>
        <w:spacing w:line="500" w:lineRule="exact"/>
        <w:rPr>
          <w:rFonts w:hint="eastAsia" w:ascii="仿宋" w:hAnsi="仿宋" w:eastAsia="仿宋" w:cs="仿宋"/>
          <w:sz w:val="24"/>
          <w:szCs w:val="24"/>
        </w:rPr>
      </w:pPr>
      <w:r>
        <w:rPr>
          <w:rFonts w:hint="eastAsia" w:ascii="仿宋" w:hAnsi="仿宋" w:eastAsia="仿宋" w:cs="仿宋"/>
          <w:sz w:val="24"/>
          <w:szCs w:val="24"/>
        </w:rPr>
        <w:t>1、如有附图，仅作参考。</w:t>
      </w:r>
    </w:p>
    <w:p w14:paraId="455BF69D">
      <w:pPr>
        <w:spacing w:line="500" w:lineRule="exact"/>
        <w:rPr>
          <w:rFonts w:hint="eastAsia" w:ascii="仿宋" w:hAnsi="仿宋" w:eastAsia="仿宋" w:cs="仿宋"/>
          <w:sz w:val="24"/>
          <w:szCs w:val="24"/>
        </w:rPr>
      </w:pPr>
      <w:r>
        <w:rPr>
          <w:rFonts w:hint="eastAsia" w:ascii="仿宋" w:hAnsi="仿宋" w:eastAsia="仿宋" w:cs="仿宋"/>
          <w:sz w:val="24"/>
          <w:szCs w:val="24"/>
        </w:rPr>
        <w:t>2、打▲内容为实质性要求，不允许有负偏离，否则将以涉及无效投标条款作无效投标。</w:t>
      </w:r>
    </w:p>
    <w:p w14:paraId="2F0E53CE">
      <w:pPr>
        <w:spacing w:line="500" w:lineRule="exact"/>
        <w:rPr>
          <w:rFonts w:hint="eastAsia" w:ascii="仿宋" w:hAnsi="仿宋" w:eastAsia="仿宋" w:cs="仿宋"/>
          <w:sz w:val="24"/>
          <w:szCs w:val="24"/>
        </w:rPr>
      </w:pPr>
      <w:r>
        <w:rPr>
          <w:rFonts w:hint="eastAsia" w:ascii="仿宋" w:hAnsi="仿宋" w:eastAsia="仿宋" w:cs="仿宋"/>
          <w:sz w:val="24"/>
          <w:szCs w:val="24"/>
        </w:rPr>
        <w:t>3、中标人所提供的货物、服务须与投标承诺一致，不得以次充好、偷工减料，若在项目验收中发现有上述情况，将向有关部门举报，根据相关规定进行处理。</w:t>
      </w:r>
    </w:p>
    <w:p w14:paraId="2428AAE9">
      <w:pPr>
        <w:spacing w:line="360" w:lineRule="auto"/>
        <w:ind w:firstLine="480" w:firstLineChars="200"/>
        <w:rPr>
          <w:rFonts w:hint="eastAsia" w:ascii="仿宋" w:hAnsi="仿宋" w:eastAsia="仿宋" w:cs="仿宋"/>
          <w:sz w:val="24"/>
          <w:szCs w:val="24"/>
        </w:rPr>
      </w:pPr>
    </w:p>
    <w:p w14:paraId="212B7C9B">
      <w:pPr>
        <w:pStyle w:val="39"/>
      </w:pPr>
    </w:p>
    <w:p w14:paraId="60B03812">
      <w:pPr>
        <w:pStyle w:val="39"/>
      </w:pPr>
    </w:p>
    <w:p w14:paraId="41DD8595">
      <w:pPr>
        <w:pStyle w:val="39"/>
      </w:pPr>
    </w:p>
    <w:p w14:paraId="6DA82B61">
      <w:pPr>
        <w:pStyle w:val="39"/>
      </w:pPr>
    </w:p>
    <w:p w14:paraId="0EB8224B">
      <w:pPr>
        <w:pStyle w:val="39"/>
      </w:pPr>
    </w:p>
    <w:p w14:paraId="00E7539D">
      <w:pPr>
        <w:pStyle w:val="39"/>
      </w:pPr>
    </w:p>
    <w:p w14:paraId="0C1EA562">
      <w:pPr>
        <w:pStyle w:val="39"/>
      </w:pPr>
    </w:p>
    <w:p w14:paraId="7B12478E">
      <w:pPr>
        <w:pStyle w:val="39"/>
      </w:pPr>
    </w:p>
    <w:p w14:paraId="4CFD6BAB">
      <w:pPr>
        <w:pStyle w:val="39"/>
      </w:pPr>
    </w:p>
    <w:p w14:paraId="43CC1B2E">
      <w:pPr>
        <w:pStyle w:val="39"/>
      </w:pPr>
    </w:p>
    <w:p w14:paraId="1F380B0C">
      <w:pPr>
        <w:pStyle w:val="39"/>
      </w:pPr>
    </w:p>
    <w:p w14:paraId="62F5CFC4">
      <w:pPr>
        <w:pStyle w:val="39"/>
      </w:pPr>
    </w:p>
    <w:p w14:paraId="6E0989AE">
      <w:pPr>
        <w:pStyle w:val="39"/>
      </w:pPr>
    </w:p>
    <w:p w14:paraId="72D97CEF">
      <w:pPr>
        <w:pStyle w:val="39"/>
      </w:pPr>
    </w:p>
    <w:p w14:paraId="47AB14C3">
      <w:pPr>
        <w:pStyle w:val="39"/>
      </w:pPr>
    </w:p>
    <w:p w14:paraId="425B49B7">
      <w:pPr>
        <w:pStyle w:val="39"/>
      </w:pPr>
    </w:p>
    <w:p w14:paraId="1CD23F59">
      <w:pPr>
        <w:pStyle w:val="39"/>
      </w:pPr>
    </w:p>
    <w:p w14:paraId="30BD10A9">
      <w:pPr>
        <w:pStyle w:val="39"/>
      </w:pPr>
    </w:p>
    <w:p w14:paraId="3FDFCB55">
      <w:pPr>
        <w:pStyle w:val="39"/>
      </w:pPr>
    </w:p>
    <w:p w14:paraId="7F417B09">
      <w:pPr>
        <w:pStyle w:val="39"/>
      </w:pPr>
    </w:p>
    <w:p w14:paraId="1B828063">
      <w:pPr>
        <w:pStyle w:val="39"/>
      </w:pPr>
    </w:p>
    <w:p w14:paraId="113B4523">
      <w:pPr>
        <w:pStyle w:val="5"/>
        <w:rPr>
          <w:rFonts w:cs="仿宋"/>
          <w:color w:val="auto"/>
        </w:rPr>
      </w:pPr>
      <w:r>
        <w:rPr>
          <w:rFonts w:hint="eastAsia" w:cs="仿宋"/>
          <w:color w:val="auto"/>
        </w:rPr>
        <w:t xml:space="preserve">第四部分   </w:t>
      </w:r>
      <w:bookmarkStart w:id="61" w:name="_Toc184313246"/>
      <w:bookmarkEnd w:id="61"/>
      <w:bookmarkStart w:id="62" w:name="_Toc184308108"/>
      <w:bookmarkEnd w:id="62"/>
      <w:bookmarkStart w:id="63" w:name="_Toc184313249"/>
      <w:bookmarkEnd w:id="63"/>
      <w:bookmarkStart w:id="64" w:name="_Toc184310277"/>
      <w:bookmarkEnd w:id="64"/>
      <w:bookmarkStart w:id="65" w:name="_Toc184314431"/>
      <w:bookmarkEnd w:id="65"/>
      <w:bookmarkStart w:id="66" w:name="_Toc184308058"/>
      <w:bookmarkEnd w:id="66"/>
      <w:bookmarkStart w:id="67" w:name="_Toc184308070"/>
      <w:bookmarkEnd w:id="67"/>
      <w:bookmarkStart w:id="68" w:name="_Toc184313283"/>
      <w:bookmarkEnd w:id="68"/>
      <w:bookmarkStart w:id="69" w:name="_Toc184313300"/>
      <w:bookmarkEnd w:id="69"/>
      <w:bookmarkStart w:id="70" w:name="_Toc184310276"/>
      <w:bookmarkEnd w:id="70"/>
      <w:bookmarkStart w:id="71" w:name="_Toc184314469"/>
      <w:bookmarkEnd w:id="71"/>
      <w:bookmarkStart w:id="72" w:name="_Toc184310282"/>
      <w:bookmarkEnd w:id="72"/>
      <w:bookmarkStart w:id="73" w:name="_Toc184314436"/>
      <w:bookmarkEnd w:id="73"/>
      <w:bookmarkStart w:id="74" w:name="_Toc184310318"/>
      <w:bookmarkEnd w:id="74"/>
      <w:bookmarkStart w:id="75" w:name="_Toc184308036"/>
      <w:bookmarkEnd w:id="75"/>
      <w:bookmarkStart w:id="76" w:name="_Toc184310295"/>
      <w:bookmarkEnd w:id="76"/>
      <w:bookmarkStart w:id="77" w:name="_Toc184310321"/>
      <w:bookmarkEnd w:id="77"/>
      <w:bookmarkStart w:id="78" w:name="_Toc184313270"/>
      <w:bookmarkEnd w:id="78"/>
      <w:bookmarkStart w:id="79" w:name="_Toc184310325"/>
      <w:bookmarkEnd w:id="79"/>
      <w:bookmarkStart w:id="80" w:name="_Toc184314443"/>
      <w:bookmarkEnd w:id="80"/>
      <w:bookmarkStart w:id="81" w:name="_Toc184314479"/>
      <w:bookmarkEnd w:id="81"/>
      <w:bookmarkStart w:id="82" w:name="_Toc184312097"/>
      <w:bookmarkEnd w:id="82"/>
      <w:bookmarkStart w:id="83" w:name="_Toc184308041"/>
      <w:bookmarkEnd w:id="83"/>
      <w:bookmarkStart w:id="84" w:name="_Toc184312112"/>
      <w:bookmarkEnd w:id="84"/>
      <w:bookmarkStart w:id="85" w:name="_Toc184312129"/>
      <w:bookmarkEnd w:id="85"/>
      <w:bookmarkStart w:id="86" w:name="_Toc184313284"/>
      <w:bookmarkEnd w:id="86"/>
      <w:bookmarkStart w:id="87" w:name="_Toc184310306"/>
      <w:bookmarkEnd w:id="87"/>
      <w:bookmarkStart w:id="88" w:name="_Toc184310287"/>
      <w:bookmarkEnd w:id="88"/>
      <w:bookmarkStart w:id="89" w:name="_Toc184314411"/>
      <w:bookmarkEnd w:id="89"/>
      <w:bookmarkStart w:id="90" w:name="_Toc184313253"/>
      <w:bookmarkEnd w:id="90"/>
      <w:bookmarkStart w:id="91" w:name="_Toc184312095"/>
      <w:bookmarkEnd w:id="91"/>
      <w:bookmarkStart w:id="92" w:name="_Toc184310310"/>
      <w:bookmarkEnd w:id="92"/>
      <w:bookmarkStart w:id="93" w:name="_Toc184314463"/>
      <w:bookmarkEnd w:id="93"/>
      <w:bookmarkStart w:id="94" w:name="_Toc184313297"/>
      <w:bookmarkEnd w:id="94"/>
      <w:bookmarkStart w:id="95" w:name="_Toc184312068"/>
      <w:bookmarkEnd w:id="95"/>
      <w:bookmarkStart w:id="96" w:name="_Toc184308083"/>
      <w:bookmarkEnd w:id="96"/>
      <w:bookmarkStart w:id="97" w:name="_Toc184308053"/>
      <w:bookmarkEnd w:id="97"/>
      <w:bookmarkStart w:id="98" w:name="_Toc184314427"/>
      <w:bookmarkEnd w:id="98"/>
      <w:bookmarkStart w:id="99" w:name="_Toc184312119"/>
      <w:bookmarkEnd w:id="99"/>
      <w:bookmarkStart w:id="100" w:name="_Toc184313266"/>
      <w:bookmarkEnd w:id="100"/>
      <w:bookmarkStart w:id="101" w:name="_Toc184313287"/>
      <w:bookmarkEnd w:id="101"/>
      <w:bookmarkStart w:id="102" w:name="_Toc184314416"/>
      <w:bookmarkEnd w:id="102"/>
      <w:bookmarkStart w:id="103" w:name="_Toc184313248"/>
      <w:bookmarkEnd w:id="103"/>
      <w:bookmarkStart w:id="104" w:name="_Toc184313269"/>
      <w:bookmarkEnd w:id="104"/>
      <w:bookmarkStart w:id="105" w:name="_Toc184312073"/>
      <w:bookmarkEnd w:id="105"/>
      <w:bookmarkStart w:id="106" w:name="_Toc184314480"/>
      <w:bookmarkEnd w:id="106"/>
      <w:bookmarkStart w:id="107" w:name="_Toc184312078"/>
      <w:bookmarkEnd w:id="107"/>
      <w:bookmarkStart w:id="108" w:name="_Toc184312110"/>
      <w:bookmarkEnd w:id="108"/>
      <w:bookmarkStart w:id="109" w:name="_Toc184313301"/>
      <w:bookmarkEnd w:id="109"/>
      <w:bookmarkStart w:id="110" w:name="_Toc184313290"/>
      <w:bookmarkEnd w:id="110"/>
      <w:bookmarkStart w:id="111" w:name="_Toc184312108"/>
      <w:bookmarkEnd w:id="111"/>
      <w:bookmarkStart w:id="112" w:name="_Toc184314439"/>
      <w:bookmarkEnd w:id="112"/>
      <w:bookmarkStart w:id="113" w:name="_Toc184310337"/>
      <w:bookmarkEnd w:id="113"/>
      <w:bookmarkStart w:id="114" w:name="_Toc184314459"/>
      <w:bookmarkEnd w:id="114"/>
      <w:bookmarkStart w:id="115" w:name="_Toc184313295"/>
      <w:bookmarkEnd w:id="115"/>
      <w:bookmarkStart w:id="116" w:name="_Toc184313277"/>
      <w:bookmarkEnd w:id="116"/>
      <w:bookmarkStart w:id="117" w:name="_Toc184314424"/>
      <w:bookmarkEnd w:id="117"/>
      <w:bookmarkStart w:id="118" w:name="_Toc184313252"/>
      <w:bookmarkEnd w:id="118"/>
      <w:bookmarkStart w:id="119" w:name="_Toc184314452"/>
      <w:bookmarkEnd w:id="119"/>
      <w:bookmarkStart w:id="120" w:name="_Toc184308090"/>
      <w:bookmarkEnd w:id="120"/>
      <w:bookmarkStart w:id="121" w:name="_Toc184310323"/>
      <w:bookmarkEnd w:id="121"/>
      <w:bookmarkStart w:id="122" w:name="_Toc184313308"/>
      <w:bookmarkEnd w:id="122"/>
      <w:bookmarkStart w:id="123" w:name="_Toc184312072"/>
      <w:bookmarkEnd w:id="123"/>
      <w:bookmarkStart w:id="124" w:name="_Toc184312114"/>
      <w:bookmarkEnd w:id="124"/>
      <w:bookmarkStart w:id="125" w:name="_Toc184310341"/>
      <w:bookmarkEnd w:id="125"/>
      <w:bookmarkStart w:id="126" w:name="_Toc184313251"/>
      <w:bookmarkEnd w:id="126"/>
      <w:bookmarkStart w:id="127" w:name="_Toc184308107"/>
      <w:bookmarkEnd w:id="127"/>
      <w:bookmarkStart w:id="128" w:name="_Toc184310274"/>
      <w:bookmarkEnd w:id="128"/>
      <w:bookmarkStart w:id="129" w:name="_Toc184312113"/>
      <w:bookmarkEnd w:id="129"/>
      <w:bookmarkStart w:id="130" w:name="_Toc184308088"/>
      <w:bookmarkEnd w:id="130"/>
      <w:bookmarkStart w:id="131" w:name="_Toc184310322"/>
      <w:bookmarkEnd w:id="131"/>
      <w:bookmarkStart w:id="132" w:name="_Toc184310335"/>
      <w:bookmarkEnd w:id="132"/>
      <w:bookmarkStart w:id="133" w:name="_Toc184312075"/>
      <w:bookmarkEnd w:id="133"/>
      <w:bookmarkStart w:id="134" w:name="_Toc184312133"/>
      <w:bookmarkEnd w:id="134"/>
      <w:bookmarkStart w:id="135" w:name="_Toc184314458"/>
      <w:bookmarkEnd w:id="135"/>
      <w:bookmarkStart w:id="136" w:name="_Toc184312083"/>
      <w:bookmarkEnd w:id="136"/>
      <w:bookmarkStart w:id="137" w:name="_Toc184313264"/>
      <w:bookmarkEnd w:id="137"/>
      <w:bookmarkStart w:id="138" w:name="_Toc184314460"/>
      <w:bookmarkEnd w:id="138"/>
      <w:bookmarkStart w:id="139" w:name="_Toc184310284"/>
      <w:bookmarkEnd w:id="139"/>
      <w:bookmarkStart w:id="140" w:name="_Toc184313271"/>
      <w:bookmarkEnd w:id="140"/>
      <w:bookmarkStart w:id="141" w:name="_Toc184312120"/>
      <w:bookmarkEnd w:id="141"/>
      <w:bookmarkStart w:id="142" w:name="_Toc184313273"/>
      <w:bookmarkEnd w:id="142"/>
      <w:bookmarkStart w:id="143" w:name="_Toc184314440"/>
      <w:bookmarkEnd w:id="143"/>
      <w:bookmarkStart w:id="144" w:name="_Toc184310338"/>
      <w:bookmarkEnd w:id="144"/>
      <w:bookmarkStart w:id="145" w:name="_Toc184312104"/>
      <w:bookmarkEnd w:id="145"/>
      <w:bookmarkStart w:id="146" w:name="_Toc184314457"/>
      <w:bookmarkEnd w:id="146"/>
      <w:bookmarkStart w:id="147" w:name="_Toc184308098"/>
      <w:bookmarkEnd w:id="147"/>
      <w:bookmarkStart w:id="148" w:name="_Toc184314448"/>
      <w:bookmarkEnd w:id="148"/>
      <w:bookmarkStart w:id="149" w:name="_Toc184308068"/>
      <w:bookmarkEnd w:id="149"/>
      <w:bookmarkStart w:id="150" w:name="_Toc184308106"/>
      <w:bookmarkEnd w:id="150"/>
      <w:bookmarkStart w:id="151" w:name="_Toc184312082"/>
      <w:bookmarkEnd w:id="151"/>
      <w:bookmarkStart w:id="152" w:name="_Toc184312100"/>
      <w:bookmarkEnd w:id="152"/>
      <w:bookmarkStart w:id="153" w:name="_Toc184313241"/>
      <w:bookmarkEnd w:id="153"/>
      <w:bookmarkStart w:id="154" w:name="_Toc184308101"/>
      <w:bookmarkEnd w:id="154"/>
      <w:bookmarkStart w:id="155" w:name="_Toc184310319"/>
      <w:bookmarkEnd w:id="155"/>
      <w:bookmarkStart w:id="156" w:name="_Toc184308047"/>
      <w:bookmarkEnd w:id="156"/>
      <w:bookmarkStart w:id="157" w:name="_Toc184313265"/>
      <w:bookmarkEnd w:id="157"/>
      <w:bookmarkStart w:id="158" w:name="_Toc184308080"/>
      <w:bookmarkEnd w:id="158"/>
      <w:bookmarkStart w:id="159" w:name="_Toc184308066"/>
      <w:bookmarkEnd w:id="159"/>
      <w:bookmarkStart w:id="160" w:name="_Toc184314433"/>
      <w:bookmarkEnd w:id="160"/>
      <w:bookmarkStart w:id="161" w:name="_Toc184313306"/>
      <w:bookmarkEnd w:id="161"/>
      <w:bookmarkStart w:id="162" w:name="_Toc184310339"/>
      <w:bookmarkEnd w:id="162"/>
      <w:bookmarkStart w:id="163" w:name="_Toc184312092"/>
      <w:bookmarkEnd w:id="163"/>
      <w:bookmarkStart w:id="164" w:name="_Toc184312126"/>
      <w:bookmarkEnd w:id="164"/>
      <w:bookmarkStart w:id="165" w:name="_Toc184312090"/>
      <w:bookmarkEnd w:id="165"/>
      <w:bookmarkStart w:id="166" w:name="_Toc184310314"/>
      <w:bookmarkEnd w:id="166"/>
      <w:bookmarkStart w:id="167" w:name="_Toc184310302"/>
      <w:bookmarkEnd w:id="167"/>
      <w:bookmarkStart w:id="168" w:name="_Toc184314482"/>
      <w:bookmarkEnd w:id="168"/>
      <w:bookmarkStart w:id="169" w:name="_Toc184310304"/>
      <w:bookmarkEnd w:id="169"/>
      <w:bookmarkStart w:id="170" w:name="_Toc184312117"/>
      <w:bookmarkEnd w:id="170"/>
      <w:bookmarkStart w:id="171" w:name="_Toc184314435"/>
      <w:bookmarkEnd w:id="171"/>
      <w:bookmarkStart w:id="172" w:name="_Toc184308062"/>
      <w:bookmarkEnd w:id="172"/>
      <w:bookmarkStart w:id="173" w:name="_Toc184312136"/>
      <w:bookmarkEnd w:id="173"/>
      <w:bookmarkStart w:id="174" w:name="_Toc184312077"/>
      <w:bookmarkEnd w:id="174"/>
      <w:bookmarkStart w:id="175" w:name="_Toc184308078"/>
      <w:bookmarkEnd w:id="175"/>
      <w:bookmarkStart w:id="176" w:name="_Toc184310291"/>
      <w:bookmarkEnd w:id="176"/>
      <w:bookmarkStart w:id="177" w:name="_Toc184314430"/>
      <w:bookmarkEnd w:id="177"/>
      <w:bookmarkStart w:id="178" w:name="_Toc184313304"/>
      <w:bookmarkEnd w:id="178"/>
      <w:bookmarkStart w:id="179" w:name="_Toc184308100"/>
      <w:bookmarkEnd w:id="179"/>
      <w:bookmarkStart w:id="180" w:name="_Toc184312134"/>
      <w:bookmarkEnd w:id="180"/>
      <w:bookmarkStart w:id="181" w:name="_Toc184310275"/>
      <w:bookmarkEnd w:id="181"/>
      <w:bookmarkStart w:id="182" w:name="_Toc184310334"/>
      <w:bookmarkEnd w:id="182"/>
      <w:bookmarkStart w:id="183" w:name="_Toc184312099"/>
      <w:bookmarkEnd w:id="183"/>
      <w:bookmarkStart w:id="184" w:name="_Toc184313247"/>
      <w:bookmarkEnd w:id="184"/>
      <w:bookmarkStart w:id="185" w:name="_Toc184310320"/>
      <w:bookmarkEnd w:id="185"/>
      <w:bookmarkStart w:id="186" w:name="_Toc184314468"/>
      <w:bookmarkEnd w:id="186"/>
      <w:bookmarkStart w:id="187" w:name="_Toc184310326"/>
      <w:bookmarkEnd w:id="187"/>
      <w:bookmarkStart w:id="188" w:name="_Toc184314477"/>
      <w:bookmarkEnd w:id="188"/>
      <w:bookmarkStart w:id="189" w:name="_Toc184312070"/>
      <w:bookmarkEnd w:id="189"/>
      <w:bookmarkStart w:id="190" w:name="_Toc184312130"/>
      <w:bookmarkEnd w:id="190"/>
      <w:bookmarkStart w:id="191" w:name="_Toc184310315"/>
      <w:bookmarkEnd w:id="191"/>
      <w:bookmarkStart w:id="192" w:name="_Toc184313255"/>
      <w:bookmarkEnd w:id="192"/>
      <w:bookmarkStart w:id="193" w:name="_Toc184313245"/>
      <w:bookmarkEnd w:id="193"/>
      <w:bookmarkStart w:id="194" w:name="_Toc184310273"/>
      <w:bookmarkEnd w:id="194"/>
      <w:bookmarkStart w:id="195" w:name="_Toc184310330"/>
      <w:bookmarkEnd w:id="195"/>
      <w:bookmarkStart w:id="196" w:name="_Toc184310313"/>
      <w:bookmarkEnd w:id="196"/>
      <w:bookmarkStart w:id="197" w:name="_Toc184313254"/>
      <w:bookmarkEnd w:id="197"/>
      <w:bookmarkStart w:id="198" w:name="_Toc184308086"/>
      <w:bookmarkEnd w:id="198"/>
      <w:bookmarkStart w:id="199" w:name="_Toc184310298"/>
      <w:bookmarkEnd w:id="199"/>
      <w:bookmarkStart w:id="200" w:name="_Toc184313292"/>
      <w:bookmarkEnd w:id="200"/>
      <w:bookmarkStart w:id="201" w:name="_Toc184312096"/>
      <w:bookmarkEnd w:id="201"/>
      <w:bookmarkStart w:id="202" w:name="_Toc184310327"/>
      <w:bookmarkEnd w:id="202"/>
      <w:bookmarkStart w:id="203" w:name="_Toc184312139"/>
      <w:bookmarkEnd w:id="203"/>
      <w:bookmarkStart w:id="204" w:name="_Toc184313302"/>
      <w:bookmarkEnd w:id="204"/>
      <w:bookmarkStart w:id="205" w:name="_Toc184313299"/>
      <w:bookmarkEnd w:id="205"/>
      <w:bookmarkStart w:id="206" w:name="_Toc184314442"/>
      <w:bookmarkEnd w:id="206"/>
      <w:bookmarkStart w:id="207" w:name="_Toc184312071"/>
      <w:bookmarkEnd w:id="207"/>
      <w:bookmarkStart w:id="208" w:name="_Toc184314437"/>
      <w:bookmarkEnd w:id="208"/>
      <w:bookmarkStart w:id="209" w:name="_Toc184314434"/>
      <w:bookmarkEnd w:id="209"/>
      <w:bookmarkStart w:id="210" w:name="_Toc184312109"/>
      <w:bookmarkEnd w:id="210"/>
      <w:bookmarkStart w:id="211" w:name="_Toc184314455"/>
      <w:bookmarkEnd w:id="211"/>
      <w:bookmarkStart w:id="212" w:name="_Toc184314441"/>
      <w:bookmarkEnd w:id="212"/>
      <w:bookmarkStart w:id="213" w:name="_Toc184308073"/>
      <w:bookmarkEnd w:id="213"/>
      <w:bookmarkStart w:id="214" w:name="_Toc184310280"/>
      <w:bookmarkEnd w:id="214"/>
      <w:bookmarkStart w:id="215" w:name="_Toc184314415"/>
      <w:bookmarkEnd w:id="215"/>
      <w:bookmarkStart w:id="216" w:name="_Toc184313250"/>
      <w:bookmarkEnd w:id="216"/>
      <w:bookmarkStart w:id="217" w:name="_Toc184310278"/>
      <w:bookmarkEnd w:id="217"/>
      <w:bookmarkStart w:id="218" w:name="_Toc184313239"/>
      <w:bookmarkEnd w:id="218"/>
      <w:bookmarkStart w:id="219" w:name="_Toc184308091"/>
      <w:bookmarkEnd w:id="219"/>
      <w:bookmarkStart w:id="220" w:name="_Toc184313242"/>
      <w:bookmarkEnd w:id="220"/>
      <w:bookmarkStart w:id="221" w:name="_Toc184308060"/>
      <w:bookmarkEnd w:id="221"/>
      <w:bookmarkStart w:id="222" w:name="_Toc184314410"/>
      <w:bookmarkEnd w:id="222"/>
      <w:bookmarkStart w:id="223" w:name="_Toc184310344"/>
      <w:bookmarkEnd w:id="223"/>
      <w:bookmarkStart w:id="224" w:name="_Toc184313286"/>
      <w:bookmarkEnd w:id="224"/>
      <w:bookmarkStart w:id="225" w:name="_Toc184314425"/>
      <w:bookmarkEnd w:id="225"/>
      <w:bookmarkStart w:id="226" w:name="_Toc184313257"/>
      <w:bookmarkEnd w:id="226"/>
      <w:bookmarkStart w:id="227" w:name="_Toc184308096"/>
      <w:bookmarkEnd w:id="227"/>
      <w:bookmarkStart w:id="228" w:name="_Toc184314438"/>
      <w:bookmarkEnd w:id="228"/>
      <w:bookmarkStart w:id="229" w:name="_Toc184313279"/>
      <w:bookmarkEnd w:id="229"/>
      <w:bookmarkStart w:id="230" w:name="_Toc184312127"/>
      <w:bookmarkEnd w:id="230"/>
      <w:bookmarkStart w:id="231" w:name="_Toc184313281"/>
      <w:bookmarkEnd w:id="231"/>
      <w:bookmarkStart w:id="232" w:name="_Toc184312107"/>
      <w:bookmarkEnd w:id="232"/>
      <w:bookmarkStart w:id="233" w:name="_Toc184308046"/>
      <w:bookmarkEnd w:id="233"/>
      <w:bookmarkStart w:id="234" w:name="_Toc184313260"/>
      <w:bookmarkEnd w:id="234"/>
      <w:bookmarkStart w:id="235" w:name="_Toc184313272"/>
      <w:bookmarkEnd w:id="235"/>
      <w:bookmarkStart w:id="236" w:name="_Toc184314454"/>
      <w:bookmarkEnd w:id="236"/>
      <w:bookmarkStart w:id="237" w:name="_Toc184314418"/>
      <w:bookmarkEnd w:id="237"/>
      <w:bookmarkStart w:id="238" w:name="_Toc184314470"/>
      <w:bookmarkEnd w:id="238"/>
      <w:bookmarkStart w:id="239" w:name="_Toc184312116"/>
      <w:bookmarkEnd w:id="239"/>
      <w:bookmarkStart w:id="240" w:name="_Toc184308082"/>
      <w:bookmarkEnd w:id="240"/>
      <w:bookmarkStart w:id="241" w:name="_Toc184308065"/>
      <w:bookmarkEnd w:id="241"/>
      <w:bookmarkStart w:id="242" w:name="_Toc184308087"/>
      <w:bookmarkEnd w:id="242"/>
      <w:bookmarkStart w:id="243" w:name="_Toc184310301"/>
      <w:bookmarkEnd w:id="243"/>
      <w:bookmarkStart w:id="244" w:name="_Toc184310331"/>
      <w:bookmarkEnd w:id="244"/>
      <w:bookmarkStart w:id="245" w:name="_Toc184312103"/>
      <w:bookmarkEnd w:id="245"/>
      <w:bookmarkStart w:id="246" w:name="_Toc184313243"/>
      <w:bookmarkEnd w:id="246"/>
      <w:bookmarkStart w:id="247" w:name="_Toc184308077"/>
      <w:bookmarkEnd w:id="247"/>
      <w:bookmarkStart w:id="248" w:name="_Toc184312069"/>
      <w:bookmarkEnd w:id="248"/>
      <w:bookmarkStart w:id="249" w:name="_Toc184314445"/>
      <w:bookmarkEnd w:id="249"/>
      <w:bookmarkStart w:id="250" w:name="_Toc184308056"/>
      <w:bookmarkEnd w:id="250"/>
      <w:bookmarkStart w:id="251" w:name="_Toc184308072"/>
      <w:bookmarkEnd w:id="251"/>
      <w:bookmarkStart w:id="252" w:name="_Toc184308075"/>
      <w:bookmarkEnd w:id="252"/>
      <w:bookmarkStart w:id="253" w:name="_Toc184308051"/>
      <w:bookmarkEnd w:id="253"/>
      <w:bookmarkStart w:id="254" w:name="_Toc184310289"/>
      <w:bookmarkEnd w:id="254"/>
      <w:bookmarkStart w:id="255" w:name="_Toc184314464"/>
      <w:bookmarkEnd w:id="255"/>
      <w:bookmarkStart w:id="256" w:name="_Toc184313238"/>
      <w:bookmarkEnd w:id="256"/>
      <w:bookmarkStart w:id="257" w:name="_Toc184313310"/>
      <w:bookmarkEnd w:id="257"/>
      <w:bookmarkStart w:id="258" w:name="_Toc184310283"/>
      <w:bookmarkEnd w:id="258"/>
      <w:bookmarkStart w:id="259" w:name="_Toc184312079"/>
      <w:bookmarkEnd w:id="259"/>
      <w:bookmarkStart w:id="260" w:name="_Toc184312135"/>
      <w:bookmarkEnd w:id="260"/>
      <w:bookmarkStart w:id="261" w:name="_Toc184313309"/>
      <w:bookmarkEnd w:id="261"/>
      <w:bookmarkStart w:id="262" w:name="_Toc184313291"/>
      <w:bookmarkEnd w:id="262"/>
      <w:bookmarkStart w:id="263" w:name="_Toc184310324"/>
      <w:bookmarkEnd w:id="263"/>
      <w:bookmarkStart w:id="264" w:name="_Toc184312128"/>
      <w:bookmarkEnd w:id="264"/>
      <w:bookmarkStart w:id="265" w:name="_Toc184310303"/>
      <w:bookmarkEnd w:id="265"/>
      <w:bookmarkStart w:id="266" w:name="_Toc184313258"/>
      <w:bookmarkEnd w:id="266"/>
      <w:bookmarkStart w:id="267" w:name="_Toc184313282"/>
      <w:bookmarkEnd w:id="267"/>
      <w:bookmarkStart w:id="268" w:name="_Toc184314423"/>
      <w:bookmarkEnd w:id="268"/>
      <w:bookmarkStart w:id="269" w:name="_Toc184313278"/>
      <w:bookmarkEnd w:id="269"/>
      <w:bookmarkStart w:id="270" w:name="_Toc184308044"/>
      <w:bookmarkEnd w:id="270"/>
      <w:bookmarkStart w:id="271" w:name="_Toc184314476"/>
      <w:bookmarkEnd w:id="271"/>
      <w:bookmarkStart w:id="272" w:name="_Toc184312106"/>
      <w:bookmarkEnd w:id="272"/>
      <w:bookmarkStart w:id="273" w:name="_Toc184310279"/>
      <w:bookmarkEnd w:id="273"/>
      <w:bookmarkStart w:id="274" w:name="_Toc184312111"/>
      <w:bookmarkEnd w:id="274"/>
      <w:bookmarkStart w:id="275" w:name="_Toc184314474"/>
      <w:bookmarkEnd w:id="275"/>
      <w:bookmarkStart w:id="276" w:name="_Toc184313296"/>
      <w:bookmarkEnd w:id="276"/>
      <w:bookmarkStart w:id="277" w:name="_Toc184313280"/>
      <w:bookmarkEnd w:id="277"/>
      <w:bookmarkStart w:id="278" w:name="_Toc184314419"/>
      <w:bookmarkEnd w:id="278"/>
      <w:bookmarkStart w:id="279" w:name="_Toc184314414"/>
      <w:bookmarkEnd w:id="279"/>
      <w:bookmarkStart w:id="280" w:name="_Toc184312132"/>
      <w:bookmarkEnd w:id="280"/>
      <w:bookmarkStart w:id="281" w:name="_Toc184312138"/>
      <w:bookmarkEnd w:id="281"/>
      <w:bookmarkStart w:id="282" w:name="_Toc184312102"/>
      <w:bookmarkEnd w:id="282"/>
      <w:bookmarkStart w:id="283" w:name="_Toc184310328"/>
      <w:bookmarkEnd w:id="283"/>
      <w:bookmarkStart w:id="284" w:name="_Toc184313293"/>
      <w:bookmarkEnd w:id="284"/>
      <w:bookmarkStart w:id="285" w:name="_Toc184308054"/>
      <w:bookmarkEnd w:id="285"/>
      <w:bookmarkStart w:id="286" w:name="_Toc184312121"/>
      <w:bookmarkEnd w:id="286"/>
      <w:bookmarkStart w:id="287" w:name="_Toc184308103"/>
      <w:bookmarkEnd w:id="287"/>
      <w:bookmarkStart w:id="288" w:name="_Toc184308050"/>
      <w:bookmarkEnd w:id="288"/>
      <w:bookmarkStart w:id="289" w:name="_Toc184312080"/>
      <w:bookmarkEnd w:id="289"/>
      <w:bookmarkStart w:id="290" w:name="_Toc184310297"/>
      <w:bookmarkEnd w:id="290"/>
      <w:bookmarkStart w:id="291" w:name="_Toc184313298"/>
      <w:bookmarkEnd w:id="291"/>
      <w:bookmarkStart w:id="292" w:name="_Toc184314472"/>
      <w:bookmarkEnd w:id="292"/>
      <w:bookmarkStart w:id="293" w:name="_Toc184312093"/>
      <w:bookmarkEnd w:id="293"/>
      <w:bookmarkStart w:id="294" w:name="_Toc184313267"/>
      <w:bookmarkEnd w:id="294"/>
      <w:bookmarkStart w:id="295" w:name="_Toc184308043"/>
      <w:bookmarkEnd w:id="295"/>
      <w:bookmarkStart w:id="296" w:name="_Toc184308074"/>
      <w:bookmarkEnd w:id="296"/>
      <w:bookmarkStart w:id="297" w:name="_Toc184314473"/>
      <w:bookmarkEnd w:id="297"/>
      <w:bookmarkStart w:id="298" w:name="_Toc184313288"/>
      <w:bookmarkEnd w:id="298"/>
      <w:bookmarkStart w:id="299" w:name="_Toc184310272"/>
      <w:bookmarkEnd w:id="299"/>
      <w:bookmarkStart w:id="300" w:name="_Toc184312131"/>
      <w:bookmarkEnd w:id="300"/>
      <w:bookmarkStart w:id="301" w:name="_Toc184313275"/>
      <w:bookmarkEnd w:id="301"/>
      <w:bookmarkStart w:id="302" w:name="_Toc184314478"/>
      <w:bookmarkEnd w:id="302"/>
      <w:bookmarkStart w:id="303" w:name="_Toc184310332"/>
      <w:bookmarkEnd w:id="303"/>
      <w:bookmarkStart w:id="304" w:name="_Toc184314449"/>
      <w:bookmarkEnd w:id="304"/>
      <w:bookmarkStart w:id="305" w:name="_Toc184314475"/>
      <w:bookmarkEnd w:id="305"/>
      <w:bookmarkStart w:id="306" w:name="_Toc184308079"/>
      <w:bookmarkEnd w:id="306"/>
      <w:bookmarkStart w:id="307" w:name="_Toc184308067"/>
      <w:bookmarkEnd w:id="307"/>
      <w:bookmarkStart w:id="308" w:name="_Toc184314422"/>
      <w:bookmarkEnd w:id="308"/>
      <w:bookmarkStart w:id="309" w:name="_Toc184314465"/>
      <w:bookmarkEnd w:id="309"/>
      <w:bookmarkStart w:id="310" w:name="_Toc184314428"/>
      <w:bookmarkEnd w:id="310"/>
      <w:bookmarkStart w:id="311" w:name="_Toc184314461"/>
      <w:bookmarkEnd w:id="311"/>
      <w:bookmarkStart w:id="312" w:name="_Toc184312087"/>
      <w:bookmarkEnd w:id="312"/>
      <w:bookmarkStart w:id="313" w:name="_Toc184313261"/>
      <w:bookmarkEnd w:id="313"/>
      <w:bookmarkStart w:id="314" w:name="_Toc184310336"/>
      <w:bookmarkEnd w:id="314"/>
      <w:bookmarkStart w:id="315" w:name="_Toc184308037"/>
      <w:bookmarkEnd w:id="315"/>
      <w:bookmarkStart w:id="316" w:name="_Toc184308081"/>
      <w:bookmarkEnd w:id="316"/>
      <w:bookmarkStart w:id="317" w:name="_Toc184310312"/>
      <w:bookmarkEnd w:id="317"/>
      <w:bookmarkStart w:id="318" w:name="_Toc184314462"/>
      <w:bookmarkEnd w:id="318"/>
      <w:bookmarkStart w:id="319" w:name="_Toc184312084"/>
      <w:bookmarkEnd w:id="319"/>
      <w:bookmarkStart w:id="320" w:name="_Toc184308064"/>
      <w:bookmarkEnd w:id="320"/>
      <w:bookmarkStart w:id="321" w:name="_Toc184310290"/>
      <w:bookmarkEnd w:id="321"/>
      <w:bookmarkStart w:id="322" w:name="_Toc184314446"/>
      <w:bookmarkEnd w:id="322"/>
      <w:bookmarkStart w:id="323" w:name="_Toc184313305"/>
      <w:bookmarkEnd w:id="323"/>
      <w:bookmarkStart w:id="324" w:name="_Toc184308057"/>
      <w:bookmarkEnd w:id="324"/>
      <w:bookmarkStart w:id="325" w:name="_Toc184314426"/>
      <w:bookmarkEnd w:id="325"/>
      <w:bookmarkStart w:id="326" w:name="_Toc184312125"/>
      <w:bookmarkEnd w:id="326"/>
      <w:bookmarkStart w:id="327" w:name="_Toc184310300"/>
      <w:bookmarkEnd w:id="327"/>
      <w:bookmarkStart w:id="328" w:name="_Toc184310343"/>
      <w:bookmarkEnd w:id="328"/>
      <w:bookmarkStart w:id="329" w:name="_Toc184308061"/>
      <w:bookmarkEnd w:id="329"/>
      <w:bookmarkStart w:id="330" w:name="_Toc184312085"/>
      <w:bookmarkEnd w:id="330"/>
      <w:bookmarkStart w:id="331" w:name="_Toc184308076"/>
      <w:bookmarkEnd w:id="331"/>
      <w:bookmarkStart w:id="332" w:name="_Toc184312124"/>
      <w:bookmarkEnd w:id="332"/>
      <w:bookmarkStart w:id="333" w:name="_Toc184308084"/>
      <w:bookmarkEnd w:id="333"/>
      <w:bookmarkStart w:id="334" w:name="_Toc184308042"/>
      <w:bookmarkEnd w:id="334"/>
      <w:bookmarkStart w:id="335" w:name="_Toc184314429"/>
      <w:bookmarkEnd w:id="335"/>
      <w:bookmarkStart w:id="336" w:name="_Toc184308089"/>
      <w:bookmarkEnd w:id="336"/>
      <w:bookmarkStart w:id="337" w:name="_Toc184308104"/>
      <w:bookmarkEnd w:id="337"/>
      <w:bookmarkStart w:id="338" w:name="_Toc184308085"/>
      <w:bookmarkEnd w:id="338"/>
      <w:bookmarkStart w:id="339" w:name="_Toc184310308"/>
      <w:bookmarkEnd w:id="339"/>
      <w:bookmarkStart w:id="340" w:name="_Toc184313276"/>
      <w:bookmarkEnd w:id="340"/>
      <w:bookmarkStart w:id="341" w:name="_Toc184313307"/>
      <w:bookmarkEnd w:id="341"/>
      <w:bookmarkStart w:id="342" w:name="_Toc184312089"/>
      <w:bookmarkEnd w:id="342"/>
      <w:bookmarkStart w:id="343" w:name="_Toc184314471"/>
      <w:bookmarkEnd w:id="343"/>
      <w:bookmarkStart w:id="344" w:name="_Toc184312115"/>
      <w:bookmarkEnd w:id="344"/>
      <w:bookmarkStart w:id="345" w:name="_Toc184314421"/>
      <w:bookmarkEnd w:id="345"/>
      <w:bookmarkStart w:id="346" w:name="_Toc184310288"/>
      <w:bookmarkEnd w:id="346"/>
      <w:bookmarkStart w:id="347" w:name="_Toc184310299"/>
      <w:bookmarkEnd w:id="347"/>
      <w:bookmarkStart w:id="348" w:name="_Toc184310329"/>
      <w:bookmarkEnd w:id="348"/>
      <w:bookmarkStart w:id="349" w:name="_Toc184310340"/>
      <w:bookmarkEnd w:id="349"/>
      <w:bookmarkStart w:id="350" w:name="_Toc184313294"/>
      <w:bookmarkEnd w:id="350"/>
      <w:bookmarkStart w:id="351" w:name="_Toc184310286"/>
      <w:bookmarkEnd w:id="351"/>
      <w:bookmarkStart w:id="352" w:name="_Toc184313289"/>
      <w:bookmarkEnd w:id="352"/>
      <w:bookmarkStart w:id="353" w:name="_Toc184312086"/>
      <w:bookmarkEnd w:id="353"/>
      <w:bookmarkStart w:id="354" w:name="_Toc184312094"/>
      <w:bookmarkEnd w:id="354"/>
      <w:bookmarkStart w:id="355" w:name="_Toc184312137"/>
      <w:bookmarkEnd w:id="355"/>
      <w:bookmarkStart w:id="356" w:name="_Toc184310296"/>
      <w:bookmarkEnd w:id="356"/>
      <w:bookmarkStart w:id="357" w:name="_Toc184308069"/>
      <w:bookmarkEnd w:id="357"/>
      <w:bookmarkStart w:id="358" w:name="_Toc184308038"/>
      <w:bookmarkEnd w:id="358"/>
      <w:bookmarkStart w:id="359" w:name="_Toc184308049"/>
      <w:bookmarkEnd w:id="359"/>
      <w:bookmarkStart w:id="360" w:name="_Toc184308105"/>
      <w:bookmarkEnd w:id="360"/>
      <w:bookmarkStart w:id="361" w:name="_Toc184310292"/>
      <w:bookmarkEnd w:id="361"/>
      <w:bookmarkStart w:id="362" w:name="_Toc184308040"/>
      <w:bookmarkEnd w:id="362"/>
      <w:bookmarkStart w:id="363" w:name="_Toc184312091"/>
      <w:bookmarkEnd w:id="363"/>
      <w:bookmarkStart w:id="364" w:name="_Toc184313244"/>
      <w:bookmarkEnd w:id="364"/>
      <w:bookmarkStart w:id="365" w:name="_Toc184313274"/>
      <w:bookmarkEnd w:id="365"/>
      <w:bookmarkStart w:id="366" w:name="_Toc184314466"/>
      <w:bookmarkEnd w:id="366"/>
      <w:bookmarkStart w:id="367" w:name="_Toc184313285"/>
      <w:bookmarkEnd w:id="367"/>
      <w:bookmarkStart w:id="368" w:name="_Toc184310316"/>
      <w:bookmarkEnd w:id="368"/>
      <w:bookmarkStart w:id="369" w:name="_Toc184313268"/>
      <w:bookmarkEnd w:id="369"/>
      <w:bookmarkStart w:id="370" w:name="_Toc184312105"/>
      <w:bookmarkEnd w:id="370"/>
      <w:bookmarkStart w:id="371" w:name="_Toc184310294"/>
      <w:bookmarkEnd w:id="371"/>
      <w:bookmarkStart w:id="372" w:name="_Toc184308055"/>
      <w:bookmarkEnd w:id="372"/>
      <w:bookmarkStart w:id="373" w:name="_Toc184308094"/>
      <w:bookmarkEnd w:id="373"/>
      <w:bookmarkStart w:id="374" w:name="_Toc184310333"/>
      <w:bookmarkEnd w:id="374"/>
      <w:bookmarkStart w:id="375" w:name="_Toc184308059"/>
      <w:bookmarkEnd w:id="375"/>
      <w:bookmarkStart w:id="376" w:name="_Toc184314413"/>
      <w:bookmarkEnd w:id="376"/>
      <w:bookmarkStart w:id="377" w:name="_Toc184308099"/>
      <w:bookmarkEnd w:id="377"/>
      <w:bookmarkStart w:id="378" w:name="_Toc184310293"/>
      <w:bookmarkEnd w:id="378"/>
      <w:bookmarkStart w:id="379" w:name="_Toc184312067"/>
      <w:bookmarkEnd w:id="379"/>
      <w:bookmarkStart w:id="380" w:name="_Toc184308102"/>
      <w:bookmarkEnd w:id="380"/>
      <w:bookmarkStart w:id="381" w:name="_Toc184308093"/>
      <w:bookmarkEnd w:id="381"/>
      <w:bookmarkStart w:id="382" w:name="_Toc184314451"/>
      <w:bookmarkEnd w:id="382"/>
      <w:bookmarkStart w:id="383" w:name="_Toc184314481"/>
      <w:bookmarkEnd w:id="383"/>
      <w:bookmarkStart w:id="384" w:name="_Toc184308052"/>
      <w:bookmarkEnd w:id="384"/>
      <w:bookmarkStart w:id="385" w:name="_Toc184312123"/>
      <w:bookmarkEnd w:id="385"/>
      <w:bookmarkStart w:id="386" w:name="_Toc184313262"/>
      <w:bookmarkEnd w:id="386"/>
      <w:bookmarkStart w:id="387" w:name="_Toc184308095"/>
      <w:bookmarkEnd w:id="387"/>
      <w:bookmarkStart w:id="388" w:name="_Toc184314467"/>
      <w:bookmarkEnd w:id="388"/>
      <w:bookmarkStart w:id="389" w:name="_Toc184313256"/>
      <w:bookmarkEnd w:id="389"/>
      <w:bookmarkStart w:id="390" w:name="_Toc184312122"/>
      <w:bookmarkEnd w:id="390"/>
      <w:bookmarkStart w:id="391" w:name="_Toc184312098"/>
      <w:bookmarkEnd w:id="391"/>
      <w:bookmarkStart w:id="392" w:name="_Toc184310281"/>
      <w:bookmarkEnd w:id="392"/>
      <w:bookmarkStart w:id="393" w:name="_Toc184310317"/>
      <w:bookmarkEnd w:id="393"/>
      <w:bookmarkStart w:id="394" w:name="_Toc184312081"/>
      <w:bookmarkEnd w:id="394"/>
      <w:bookmarkStart w:id="395" w:name="_Toc184310305"/>
      <w:bookmarkEnd w:id="395"/>
      <w:bookmarkStart w:id="396" w:name="_Toc184313263"/>
      <w:bookmarkEnd w:id="396"/>
      <w:bookmarkStart w:id="397" w:name="_Toc184314432"/>
      <w:bookmarkEnd w:id="397"/>
      <w:bookmarkStart w:id="398" w:name="_Toc184314417"/>
      <w:bookmarkEnd w:id="398"/>
      <w:bookmarkStart w:id="399" w:name="_Toc184310307"/>
      <w:bookmarkEnd w:id="399"/>
      <w:bookmarkStart w:id="400" w:name="_Toc184310311"/>
      <w:bookmarkEnd w:id="400"/>
      <w:bookmarkStart w:id="401" w:name="_Toc184310285"/>
      <w:bookmarkEnd w:id="401"/>
      <w:bookmarkStart w:id="402" w:name="_Toc184308092"/>
      <w:bookmarkEnd w:id="402"/>
      <w:bookmarkStart w:id="403" w:name="_Toc184312074"/>
      <w:bookmarkEnd w:id="403"/>
      <w:bookmarkStart w:id="404" w:name="_Toc184310309"/>
      <w:bookmarkEnd w:id="404"/>
      <w:bookmarkStart w:id="405" w:name="_Toc184314447"/>
      <w:bookmarkEnd w:id="405"/>
      <w:bookmarkStart w:id="406" w:name="_Toc184314412"/>
      <w:bookmarkEnd w:id="406"/>
      <w:bookmarkStart w:id="407" w:name="_Toc184310342"/>
      <w:bookmarkEnd w:id="407"/>
      <w:bookmarkStart w:id="408" w:name="_Toc184308097"/>
      <w:bookmarkEnd w:id="408"/>
      <w:bookmarkStart w:id="409" w:name="_Toc184308048"/>
      <w:bookmarkEnd w:id="409"/>
      <w:bookmarkStart w:id="410" w:name="_Toc184314453"/>
      <w:bookmarkEnd w:id="410"/>
      <w:bookmarkStart w:id="411" w:name="_Toc184312088"/>
      <w:bookmarkEnd w:id="411"/>
      <w:bookmarkStart w:id="412" w:name="_Toc184314450"/>
      <w:bookmarkEnd w:id="412"/>
      <w:bookmarkStart w:id="413" w:name="_Toc184308039"/>
      <w:bookmarkEnd w:id="413"/>
      <w:bookmarkStart w:id="414" w:name="_Toc184308063"/>
      <w:bookmarkEnd w:id="414"/>
      <w:bookmarkStart w:id="415" w:name="_Toc184314456"/>
      <w:bookmarkEnd w:id="415"/>
      <w:bookmarkStart w:id="416" w:name="_Toc184312101"/>
      <w:bookmarkEnd w:id="416"/>
      <w:bookmarkStart w:id="417" w:name="_Toc184308045"/>
      <w:bookmarkEnd w:id="417"/>
      <w:bookmarkStart w:id="418" w:name="_Toc184314444"/>
      <w:bookmarkEnd w:id="418"/>
      <w:bookmarkStart w:id="419" w:name="_Toc184313303"/>
      <w:bookmarkEnd w:id="419"/>
      <w:bookmarkStart w:id="420" w:name="_Toc184313240"/>
      <w:bookmarkEnd w:id="420"/>
      <w:bookmarkStart w:id="421" w:name="_Toc184313259"/>
      <w:bookmarkEnd w:id="421"/>
      <w:bookmarkStart w:id="422" w:name="_Toc184314420"/>
      <w:bookmarkEnd w:id="422"/>
      <w:bookmarkStart w:id="423" w:name="_Toc184308071"/>
      <w:bookmarkEnd w:id="423"/>
      <w:bookmarkStart w:id="424" w:name="_Toc184312076"/>
      <w:bookmarkEnd w:id="424"/>
      <w:bookmarkStart w:id="425" w:name="_Toc184312118"/>
      <w:bookmarkEnd w:id="425"/>
      <w:r>
        <w:rPr>
          <w:rFonts w:hint="eastAsia" w:cs="仿宋"/>
          <w:color w:val="auto"/>
        </w:rPr>
        <w:t>评审办法</w:t>
      </w:r>
    </w:p>
    <w:p w14:paraId="61DA009F">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0"/>
        <w:tblW w:w="4853" w:type="pc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6C56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5000" w:type="pct"/>
            <w:vAlign w:val="center"/>
          </w:tcPr>
          <w:p w14:paraId="4F92FFC1">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14:paraId="43D1C5AB">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评标委员会将对各供应商的投标报价、供应商提供的资信与商务部分、技术部分等方面进行综合评审，评标委员会各成员应当独立对每个有效供应商的投标文件进行评价、打分。经统计，得出各供应商的最终评审分,按最终评审分由高到低顺序排列。得分相同的，按投标报价由低到高顺序排列，得分且投标报价相同的并列，并形成评标意见。</w:t>
            </w:r>
          </w:p>
          <w:p w14:paraId="7A435089">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各供应商的综合得分为：商务资信</w:t>
            </w:r>
            <w:r>
              <w:rPr>
                <w:rFonts w:hint="eastAsia" w:ascii="仿宋" w:hAnsi="仿宋" w:eastAsia="仿宋" w:cs="仿宋"/>
                <w:bCs/>
                <w:sz w:val="24"/>
              </w:rPr>
              <w:t>部分</w:t>
            </w:r>
            <w:r>
              <w:rPr>
                <w:rFonts w:hint="eastAsia" w:ascii="仿宋" w:hAnsi="仿宋" w:eastAsia="仿宋" w:cs="仿宋"/>
                <w:sz w:val="24"/>
              </w:rPr>
              <w:t>得分+技术得分+投标价格得分，总和为</w:t>
            </w:r>
            <w:r>
              <w:rPr>
                <w:rFonts w:hint="eastAsia" w:ascii="仿宋" w:hAnsi="仿宋" w:eastAsia="仿宋" w:cs="仿宋"/>
                <w:sz w:val="24"/>
                <w:u w:val="single"/>
              </w:rPr>
              <w:t>100</w:t>
            </w:r>
            <w:r>
              <w:rPr>
                <w:rFonts w:hint="eastAsia" w:ascii="仿宋" w:hAnsi="仿宋" w:eastAsia="仿宋" w:cs="仿宋"/>
                <w:sz w:val="24"/>
              </w:rPr>
              <w:t>分。</w:t>
            </w:r>
          </w:p>
          <w:p w14:paraId="1A2051CB">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各供应商的技术和服务方案、供应商资信与商务部分得分为：评标委员会各成员评分的算术平均值。各供应商的投标价格得分按投标价格评分公式由采购机构计算，评标委员会审核。</w:t>
            </w:r>
            <w:r>
              <w:rPr>
                <w:rFonts w:hint="eastAsia" w:ascii="仿宋" w:hAnsi="仿宋" w:eastAsia="仿宋" w:cs="仿宋"/>
                <w:sz w:val="24"/>
              </w:rPr>
              <w:t>根据上述评标原则，分值安排如下：</w:t>
            </w:r>
          </w:p>
        </w:tc>
      </w:tr>
    </w:tbl>
    <w:p w14:paraId="69F445FB">
      <w:pPr>
        <w:widowControl/>
        <w:spacing w:line="360" w:lineRule="auto"/>
        <w:rPr>
          <w:rFonts w:ascii="仿宋" w:hAnsi="仿宋" w:eastAsia="仿宋" w:cs="仿宋"/>
          <w:b/>
          <w:sz w:val="32"/>
        </w:rPr>
      </w:pPr>
    </w:p>
    <w:p w14:paraId="4F855C4C">
      <w:pPr>
        <w:widowControl/>
        <w:adjustRightInd/>
        <w:jc w:val="left"/>
        <w:rPr>
          <w:rFonts w:ascii="仿宋" w:hAnsi="仿宋" w:eastAsia="仿宋" w:cs="仿宋"/>
          <w:b/>
          <w:sz w:val="32"/>
        </w:rPr>
      </w:pPr>
      <w:r>
        <w:rPr>
          <w:rFonts w:hint="eastAsia" w:ascii="仿宋" w:hAnsi="仿宋" w:eastAsia="仿宋" w:cs="仿宋"/>
          <w:b/>
          <w:sz w:val="32"/>
        </w:rPr>
        <w:br w:type="page"/>
      </w:r>
    </w:p>
    <w:p w14:paraId="46AB26A6">
      <w:pPr>
        <w:widowControl/>
        <w:spacing w:line="360" w:lineRule="auto"/>
        <w:rPr>
          <w:rFonts w:ascii="仿宋" w:hAnsi="仿宋" w:eastAsia="仿宋" w:cs="仿宋"/>
          <w:b/>
          <w:bCs/>
          <w:sz w:val="24"/>
        </w:rPr>
      </w:pPr>
      <w:r>
        <w:rPr>
          <w:rFonts w:hint="eastAsia" w:ascii="仿宋" w:hAnsi="仿宋" w:eastAsia="仿宋" w:cs="仿宋"/>
          <w:b/>
          <w:bCs/>
          <w:sz w:val="24"/>
        </w:rPr>
        <w:t>商务技术部分（</w:t>
      </w:r>
      <w:r>
        <w:rPr>
          <w:rFonts w:hint="eastAsia" w:ascii="仿宋" w:hAnsi="仿宋" w:eastAsia="仿宋" w:cs="仿宋"/>
          <w:b/>
          <w:bCs/>
          <w:sz w:val="24"/>
          <w:lang w:val="en-US" w:eastAsia="zh-CN"/>
        </w:rPr>
        <w:t>90</w:t>
      </w:r>
      <w:r>
        <w:rPr>
          <w:rFonts w:hint="eastAsia" w:ascii="仿宋" w:hAnsi="仿宋" w:eastAsia="仿宋" w:cs="仿宋"/>
          <w:b/>
          <w:bCs/>
          <w:sz w:val="24"/>
        </w:rPr>
        <w:t>分）</w:t>
      </w:r>
    </w:p>
    <w:p w14:paraId="06272E01">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商务资信（</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分）</w:t>
      </w:r>
    </w:p>
    <w:tbl>
      <w:tblPr>
        <w:tblStyle w:val="60"/>
        <w:tblW w:w="932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11"/>
        <w:gridCol w:w="589"/>
        <w:gridCol w:w="6389"/>
        <w:gridCol w:w="759"/>
        <w:gridCol w:w="972"/>
      </w:tblGrid>
      <w:tr w14:paraId="7114E0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 w:hRule="atLeast"/>
        </w:trPr>
        <w:tc>
          <w:tcPr>
            <w:tcW w:w="611" w:type="dxa"/>
            <w:vAlign w:val="center"/>
          </w:tcPr>
          <w:p w14:paraId="64A0A8E2">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6978" w:type="dxa"/>
            <w:gridSpan w:val="2"/>
            <w:vAlign w:val="center"/>
          </w:tcPr>
          <w:p w14:paraId="027BC7F6">
            <w:pPr>
              <w:jc w:val="center"/>
              <w:rPr>
                <w:rFonts w:hint="eastAsia" w:ascii="仿宋" w:hAnsi="仿宋" w:eastAsia="仿宋" w:cs="仿宋"/>
                <w:sz w:val="24"/>
                <w:szCs w:val="24"/>
              </w:rPr>
            </w:pPr>
            <w:r>
              <w:rPr>
                <w:rFonts w:hint="eastAsia" w:ascii="仿宋" w:hAnsi="仿宋" w:eastAsia="仿宋" w:cs="仿宋"/>
                <w:sz w:val="24"/>
                <w:szCs w:val="24"/>
              </w:rPr>
              <w:t>评分内容和标准</w:t>
            </w:r>
          </w:p>
        </w:tc>
        <w:tc>
          <w:tcPr>
            <w:tcW w:w="759" w:type="dxa"/>
            <w:vAlign w:val="center"/>
          </w:tcPr>
          <w:p w14:paraId="61B2E462">
            <w:pPr>
              <w:jc w:val="center"/>
              <w:rPr>
                <w:rFonts w:hint="eastAsia" w:ascii="仿宋" w:hAnsi="仿宋" w:eastAsia="仿宋" w:cs="仿宋"/>
                <w:sz w:val="24"/>
                <w:szCs w:val="24"/>
              </w:rPr>
            </w:pPr>
            <w:r>
              <w:rPr>
                <w:rFonts w:hint="eastAsia" w:ascii="仿宋" w:hAnsi="仿宋" w:eastAsia="仿宋" w:cs="仿宋"/>
                <w:sz w:val="24"/>
                <w:szCs w:val="24"/>
              </w:rPr>
              <w:t>分值区间</w:t>
            </w:r>
          </w:p>
        </w:tc>
        <w:tc>
          <w:tcPr>
            <w:tcW w:w="972" w:type="dxa"/>
          </w:tcPr>
          <w:p w14:paraId="26F07067">
            <w:pPr>
              <w:jc w:val="center"/>
              <w:rPr>
                <w:rFonts w:hint="eastAsia" w:ascii="仿宋" w:hAnsi="仿宋" w:eastAsia="仿宋" w:cs="仿宋"/>
                <w:sz w:val="24"/>
                <w:szCs w:val="24"/>
              </w:rPr>
            </w:pPr>
            <w:r>
              <w:rPr>
                <w:rFonts w:hint="eastAsia" w:ascii="仿宋" w:hAnsi="仿宋" w:eastAsia="仿宋" w:cs="仿宋"/>
                <w:sz w:val="24"/>
                <w:szCs w:val="24"/>
              </w:rPr>
              <w:t>主观客观分</w:t>
            </w:r>
          </w:p>
        </w:tc>
      </w:tr>
      <w:tr w14:paraId="604F86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611" w:type="dxa"/>
            <w:vMerge w:val="restart"/>
            <w:shd w:val="clear" w:color="auto" w:fill="auto"/>
            <w:vAlign w:val="center"/>
          </w:tcPr>
          <w:p w14:paraId="48E2763B">
            <w:pPr>
              <w:jc w:val="center"/>
              <w:rPr>
                <w:rFonts w:hint="eastAsia" w:ascii="仿宋" w:hAnsi="仿宋" w:eastAsia="仿宋" w:cs="仿宋"/>
                <w:sz w:val="24"/>
                <w:szCs w:val="24"/>
              </w:rPr>
            </w:pPr>
            <w:r>
              <w:rPr>
                <w:rFonts w:hint="eastAsia" w:ascii="仿宋" w:hAnsi="仿宋" w:eastAsia="仿宋" w:cs="仿宋"/>
                <w:sz w:val="24"/>
                <w:szCs w:val="24"/>
              </w:rPr>
              <w:t>商</w:t>
            </w:r>
          </w:p>
          <w:p w14:paraId="32DE969E">
            <w:pPr>
              <w:jc w:val="center"/>
              <w:rPr>
                <w:rFonts w:hint="eastAsia" w:ascii="仿宋" w:hAnsi="仿宋" w:eastAsia="仿宋" w:cs="仿宋"/>
                <w:sz w:val="24"/>
                <w:szCs w:val="24"/>
              </w:rPr>
            </w:pPr>
            <w:r>
              <w:rPr>
                <w:rFonts w:hint="eastAsia" w:ascii="仿宋" w:hAnsi="仿宋" w:eastAsia="仿宋" w:cs="仿宋"/>
                <w:sz w:val="24"/>
                <w:szCs w:val="24"/>
              </w:rPr>
              <w:t>务</w:t>
            </w:r>
          </w:p>
          <w:p w14:paraId="2044F56E">
            <w:pPr>
              <w:jc w:val="center"/>
              <w:rPr>
                <w:rFonts w:hint="eastAsia" w:ascii="仿宋" w:hAnsi="仿宋" w:eastAsia="仿宋" w:cs="仿宋"/>
                <w:sz w:val="24"/>
                <w:szCs w:val="24"/>
              </w:rPr>
            </w:pPr>
            <w:r>
              <w:rPr>
                <w:rFonts w:hint="eastAsia" w:ascii="仿宋" w:hAnsi="仿宋" w:eastAsia="仿宋" w:cs="仿宋"/>
                <w:sz w:val="24"/>
                <w:szCs w:val="24"/>
              </w:rPr>
              <w:t>资</w:t>
            </w:r>
          </w:p>
          <w:p w14:paraId="1088421F">
            <w:pPr>
              <w:jc w:val="center"/>
              <w:rPr>
                <w:rFonts w:hint="eastAsia" w:ascii="仿宋" w:hAnsi="仿宋" w:eastAsia="仿宋" w:cs="仿宋"/>
                <w:sz w:val="24"/>
                <w:szCs w:val="24"/>
              </w:rPr>
            </w:pPr>
            <w:r>
              <w:rPr>
                <w:rFonts w:hint="eastAsia" w:ascii="仿宋" w:hAnsi="仿宋" w:eastAsia="仿宋" w:cs="仿宋"/>
                <w:sz w:val="24"/>
                <w:szCs w:val="24"/>
              </w:rPr>
              <w:t>信</w:t>
            </w:r>
          </w:p>
          <w:p w14:paraId="565D6BD6">
            <w:pPr>
              <w:jc w:val="center"/>
              <w:rPr>
                <w:rFonts w:hint="eastAsia" w:ascii="仿宋" w:hAnsi="仿宋" w:eastAsia="仿宋" w:cs="仿宋"/>
                <w:sz w:val="24"/>
                <w:szCs w:val="24"/>
              </w:rPr>
            </w:pPr>
            <w:r>
              <w:rPr>
                <w:rFonts w:hint="eastAsia" w:ascii="仿宋" w:hAnsi="仿宋" w:eastAsia="仿宋" w:cs="仿宋"/>
                <w:sz w:val="24"/>
                <w:szCs w:val="24"/>
              </w:rPr>
              <w:t>（</w:t>
            </w:r>
          </w:p>
          <w:p w14:paraId="45579DA4">
            <w:pPr>
              <w:jc w:val="center"/>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分</w:t>
            </w:r>
          </w:p>
          <w:p w14:paraId="4D477538">
            <w:pPr>
              <w:jc w:val="center"/>
              <w:rPr>
                <w:rFonts w:hint="eastAsia" w:ascii="仿宋" w:hAnsi="仿宋" w:eastAsia="仿宋" w:cs="仿宋"/>
                <w:sz w:val="24"/>
                <w:szCs w:val="24"/>
              </w:rPr>
            </w:pPr>
            <w:r>
              <w:rPr>
                <w:rFonts w:hint="eastAsia" w:ascii="仿宋" w:hAnsi="仿宋" w:eastAsia="仿宋" w:cs="仿宋"/>
                <w:sz w:val="24"/>
                <w:szCs w:val="24"/>
              </w:rPr>
              <w:t>）</w:t>
            </w:r>
          </w:p>
        </w:tc>
        <w:tc>
          <w:tcPr>
            <w:tcW w:w="589" w:type="dxa"/>
            <w:shd w:val="clear" w:color="auto" w:fill="auto"/>
            <w:vAlign w:val="center"/>
          </w:tcPr>
          <w:p w14:paraId="4968BA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389" w:type="dxa"/>
            <w:shd w:val="clear" w:color="000000" w:fill="FFFFFF"/>
            <w:vAlign w:val="center"/>
          </w:tcPr>
          <w:p w14:paraId="51CBE7A2">
            <w:pPr>
              <w:rPr>
                <w:rFonts w:hint="eastAsia" w:ascii="仿宋" w:hAnsi="仿宋" w:eastAsia="仿宋" w:cs="仿宋"/>
                <w:color w:val="auto"/>
                <w:sz w:val="24"/>
                <w:szCs w:val="24"/>
              </w:rPr>
            </w:pPr>
            <w:r>
              <w:rPr>
                <w:rFonts w:hint="eastAsia" w:ascii="仿宋" w:hAnsi="仿宋" w:eastAsia="仿宋" w:cs="仿宋"/>
                <w:color w:val="auto"/>
                <w:sz w:val="24"/>
                <w:szCs w:val="24"/>
              </w:rPr>
              <w:t>自202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年1月1日以来（以评估报告时间为准）评估过被征迁或被搬迁补偿的非住宅房屋面的，得1分。</w:t>
            </w:r>
          </w:p>
          <w:p w14:paraId="16822073">
            <w:pPr>
              <w:rPr>
                <w:rFonts w:hint="eastAsia" w:ascii="仿宋" w:hAnsi="仿宋" w:eastAsia="仿宋" w:cs="仿宋"/>
                <w:color w:val="auto"/>
                <w:sz w:val="24"/>
                <w:szCs w:val="24"/>
              </w:rPr>
            </w:pPr>
            <w:r>
              <w:rPr>
                <w:rFonts w:hint="eastAsia" w:ascii="仿宋" w:hAnsi="仿宋" w:eastAsia="仿宋" w:cs="仿宋"/>
                <w:color w:val="auto"/>
                <w:sz w:val="24"/>
                <w:szCs w:val="24"/>
              </w:rPr>
              <w:t>证明材料：提供评估委托合同及评估报告，复印件加盖公章。</w:t>
            </w:r>
          </w:p>
        </w:tc>
        <w:tc>
          <w:tcPr>
            <w:tcW w:w="759" w:type="dxa"/>
            <w:shd w:val="clear" w:color="000000" w:fill="FFFFFF"/>
            <w:vAlign w:val="center"/>
          </w:tcPr>
          <w:p w14:paraId="19239327">
            <w:pPr>
              <w:rPr>
                <w:rFonts w:hint="eastAsia" w:ascii="仿宋" w:hAnsi="仿宋" w:eastAsia="仿宋" w:cs="仿宋"/>
                <w:color w:val="auto"/>
                <w:sz w:val="24"/>
                <w:szCs w:val="24"/>
              </w:rPr>
            </w:pPr>
            <w:r>
              <w:rPr>
                <w:rFonts w:hint="eastAsia" w:ascii="仿宋" w:hAnsi="仿宋" w:eastAsia="仿宋" w:cs="仿宋"/>
                <w:color w:val="auto"/>
                <w:sz w:val="24"/>
                <w:szCs w:val="24"/>
              </w:rPr>
              <w:t>0-1</w:t>
            </w:r>
          </w:p>
        </w:tc>
        <w:tc>
          <w:tcPr>
            <w:tcW w:w="972" w:type="dxa"/>
            <w:shd w:val="clear" w:color="000000" w:fill="FFFFFF"/>
            <w:vAlign w:val="center"/>
          </w:tcPr>
          <w:p w14:paraId="04D0FB90">
            <w:pP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725308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611" w:type="dxa"/>
            <w:vMerge w:val="continue"/>
            <w:shd w:val="clear" w:color="auto" w:fill="auto"/>
            <w:vAlign w:val="center"/>
          </w:tcPr>
          <w:p w14:paraId="65DD1A69">
            <w:pPr>
              <w:jc w:val="center"/>
              <w:rPr>
                <w:rFonts w:hint="eastAsia" w:ascii="仿宋" w:hAnsi="仿宋" w:eastAsia="仿宋" w:cs="仿宋"/>
                <w:sz w:val="24"/>
                <w:szCs w:val="24"/>
              </w:rPr>
            </w:pPr>
          </w:p>
        </w:tc>
        <w:tc>
          <w:tcPr>
            <w:tcW w:w="589" w:type="dxa"/>
            <w:shd w:val="clear" w:color="auto" w:fill="auto"/>
            <w:vAlign w:val="center"/>
          </w:tcPr>
          <w:p w14:paraId="6E4B28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389" w:type="dxa"/>
            <w:shd w:val="clear" w:color="000000" w:fill="FFFFFF"/>
            <w:vAlign w:val="center"/>
          </w:tcPr>
          <w:p w14:paraId="546EE750">
            <w:pPr>
              <w:rPr>
                <w:rFonts w:hint="eastAsia" w:ascii="仿宋" w:hAnsi="仿宋" w:eastAsia="仿宋" w:cs="仿宋"/>
                <w:color w:val="auto"/>
                <w:sz w:val="24"/>
                <w:szCs w:val="24"/>
              </w:rPr>
            </w:pPr>
            <w:r>
              <w:rPr>
                <w:rFonts w:hint="eastAsia" w:ascii="仿宋" w:hAnsi="仿宋" w:eastAsia="仿宋" w:cs="仿宋"/>
                <w:color w:val="auto"/>
                <w:sz w:val="24"/>
                <w:szCs w:val="24"/>
              </w:rPr>
              <w:t>投标人具有有效的质量管理体系认证证书、环境管理体系认证证书、职业健康安全管理体系认证证书，每个证书得1分，最高得3分。</w:t>
            </w:r>
          </w:p>
          <w:p w14:paraId="3DACDDC6">
            <w:pPr>
              <w:rPr>
                <w:rFonts w:hint="eastAsia" w:ascii="仿宋" w:hAnsi="仿宋" w:eastAsia="仿宋" w:cs="仿宋"/>
                <w:color w:val="auto"/>
                <w:sz w:val="24"/>
                <w:szCs w:val="24"/>
              </w:rPr>
            </w:pPr>
            <w:r>
              <w:rPr>
                <w:rFonts w:hint="eastAsia" w:ascii="仿宋" w:hAnsi="仿宋" w:eastAsia="仿宋" w:cs="仿宋"/>
                <w:color w:val="auto"/>
                <w:sz w:val="24"/>
                <w:szCs w:val="24"/>
              </w:rPr>
              <w:t>注：以上证书均需提供扫描件，由评标委员会在全国认证认可信息公共服务平台（http://cx.cnca.cn/）查询，不提供或证书无法在上述平台查询确认状态为有效的不得分。</w:t>
            </w:r>
          </w:p>
        </w:tc>
        <w:tc>
          <w:tcPr>
            <w:tcW w:w="759" w:type="dxa"/>
            <w:shd w:val="clear" w:color="000000" w:fill="FFFFFF"/>
            <w:vAlign w:val="center"/>
          </w:tcPr>
          <w:p w14:paraId="2BC4DC7B">
            <w:pPr>
              <w:rPr>
                <w:rFonts w:hint="eastAsia" w:ascii="仿宋" w:hAnsi="仿宋" w:eastAsia="仿宋" w:cs="仿宋"/>
                <w:color w:val="auto"/>
                <w:sz w:val="24"/>
                <w:szCs w:val="24"/>
              </w:rPr>
            </w:pPr>
            <w:r>
              <w:rPr>
                <w:rFonts w:hint="eastAsia" w:ascii="仿宋" w:hAnsi="仿宋" w:eastAsia="仿宋" w:cs="仿宋"/>
                <w:color w:val="auto"/>
                <w:sz w:val="24"/>
                <w:szCs w:val="24"/>
              </w:rPr>
              <w:t>0-3</w:t>
            </w:r>
          </w:p>
        </w:tc>
        <w:tc>
          <w:tcPr>
            <w:tcW w:w="972" w:type="dxa"/>
            <w:shd w:val="clear" w:color="000000" w:fill="FFFFFF"/>
            <w:vAlign w:val="center"/>
          </w:tcPr>
          <w:p w14:paraId="3A4B3593">
            <w:pP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2FA5D8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2" w:hRule="atLeast"/>
        </w:trPr>
        <w:tc>
          <w:tcPr>
            <w:tcW w:w="611" w:type="dxa"/>
            <w:vMerge w:val="continue"/>
            <w:vAlign w:val="center"/>
          </w:tcPr>
          <w:p w14:paraId="767B828D">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7B4C55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389" w:type="dxa"/>
            <w:tcBorders>
              <w:top w:val="single" w:color="auto" w:sz="4" w:space="0"/>
              <w:bottom w:val="single" w:color="auto" w:sz="4" w:space="0"/>
            </w:tcBorders>
            <w:vAlign w:val="center"/>
          </w:tcPr>
          <w:p w14:paraId="3A6AC135">
            <w:pPr>
              <w:rPr>
                <w:rFonts w:hint="eastAsia" w:ascii="仿宋" w:hAnsi="仿宋" w:eastAsia="仿宋" w:cs="仿宋"/>
                <w:color w:val="auto"/>
                <w:sz w:val="24"/>
                <w:szCs w:val="24"/>
              </w:rPr>
            </w:pPr>
            <w:r>
              <w:rPr>
                <w:rFonts w:hint="eastAsia" w:ascii="仿宋" w:hAnsi="仿宋" w:eastAsia="仿宋" w:cs="仿宋"/>
                <w:color w:val="auto"/>
                <w:sz w:val="24"/>
                <w:szCs w:val="24"/>
              </w:rPr>
              <w:t>供应商具有有效期内的房地产估价机构备案证书中备案等级</w:t>
            </w:r>
            <w:r>
              <w:rPr>
                <w:rFonts w:hint="eastAsia" w:ascii="仿宋" w:hAnsi="仿宋" w:eastAsia="仿宋" w:cs="仿宋"/>
                <w:color w:val="auto"/>
                <w:sz w:val="24"/>
                <w:szCs w:val="24"/>
                <w:lang w:val="en-US" w:eastAsia="zh-CN"/>
              </w:rPr>
              <w:t>为三级及以上的得2分</w:t>
            </w:r>
            <w:r>
              <w:rPr>
                <w:rFonts w:hint="eastAsia" w:ascii="仿宋" w:hAnsi="仿宋" w:eastAsia="仿宋" w:cs="仿宋"/>
                <w:color w:val="auto"/>
                <w:sz w:val="24"/>
                <w:szCs w:val="24"/>
              </w:rPr>
              <w:t>，其余不得分。</w:t>
            </w:r>
          </w:p>
          <w:p w14:paraId="2C82EF96">
            <w:pPr>
              <w:rPr>
                <w:rFonts w:hint="eastAsia" w:ascii="仿宋" w:hAnsi="仿宋" w:eastAsia="仿宋" w:cs="仿宋"/>
                <w:color w:val="auto"/>
                <w:sz w:val="24"/>
                <w:szCs w:val="24"/>
              </w:rPr>
            </w:pPr>
            <w:r>
              <w:rPr>
                <w:rFonts w:hint="eastAsia" w:ascii="仿宋" w:hAnsi="仿宋" w:eastAsia="仿宋" w:cs="仿宋"/>
                <w:color w:val="auto"/>
                <w:sz w:val="24"/>
                <w:szCs w:val="24"/>
              </w:rPr>
              <w:t>证明材料：提供证书复印件加盖公章。</w:t>
            </w:r>
          </w:p>
        </w:tc>
        <w:tc>
          <w:tcPr>
            <w:tcW w:w="759" w:type="dxa"/>
            <w:tcBorders>
              <w:top w:val="single" w:color="auto" w:sz="4" w:space="0"/>
              <w:bottom w:val="single" w:color="auto" w:sz="4" w:space="0"/>
            </w:tcBorders>
            <w:vAlign w:val="center"/>
          </w:tcPr>
          <w:p w14:paraId="362E257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c>
          <w:tcPr>
            <w:tcW w:w="972" w:type="dxa"/>
            <w:tcBorders>
              <w:top w:val="single" w:color="auto" w:sz="4" w:space="0"/>
              <w:bottom w:val="single" w:color="auto" w:sz="4" w:space="0"/>
            </w:tcBorders>
            <w:vAlign w:val="center"/>
          </w:tcPr>
          <w:p w14:paraId="235FDCC9">
            <w:pP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26F209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611" w:type="dxa"/>
            <w:vMerge w:val="continue"/>
            <w:vAlign w:val="center"/>
          </w:tcPr>
          <w:p w14:paraId="08699332">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554095D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389" w:type="dxa"/>
            <w:tcBorders>
              <w:top w:val="single" w:color="auto" w:sz="4" w:space="0"/>
              <w:bottom w:val="single" w:color="auto" w:sz="4" w:space="0"/>
            </w:tcBorders>
            <w:vAlign w:val="center"/>
          </w:tcPr>
          <w:p w14:paraId="29C24209">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供应商在杭州市规划和自然资源局关于公布杭州市房屋征收补偿房地产价格评估机构名录的得1分；在浙江省自然资源厅完成土地估价机构备案的得1分；在杭州市财政局完成资产评估机构备案的得1分，</w:t>
            </w:r>
            <w:r>
              <w:rPr>
                <w:rFonts w:hint="eastAsia" w:ascii="仿宋" w:hAnsi="仿宋" w:eastAsia="仿宋" w:cs="仿宋"/>
                <w:color w:val="auto"/>
                <w:sz w:val="24"/>
                <w:szCs w:val="24"/>
                <w:lang w:eastAsia="zh-CN"/>
              </w:rPr>
              <w:t>有测绘资质证书</w:t>
            </w:r>
            <w:r>
              <w:rPr>
                <w:rFonts w:hint="eastAsia" w:ascii="仿宋" w:hAnsi="仿宋" w:eastAsia="仿宋" w:cs="仿宋"/>
                <w:color w:val="auto"/>
                <w:sz w:val="24"/>
                <w:szCs w:val="24"/>
                <w:lang w:val="en-US" w:eastAsia="zh-CN"/>
              </w:rPr>
              <w:t>或承诺</w:t>
            </w:r>
            <w:r>
              <w:rPr>
                <w:rFonts w:hint="eastAsia" w:ascii="仿宋" w:hAnsi="仿宋" w:eastAsia="仿宋" w:cs="仿宋"/>
                <w:color w:val="auto"/>
                <w:sz w:val="24"/>
                <w:szCs w:val="24"/>
                <w:lang w:eastAsia="zh-CN"/>
              </w:rPr>
              <w:t>涉及测绘工作经业主同意认可后，可由供应商委托有相应资质公司</w:t>
            </w:r>
            <w:r>
              <w:rPr>
                <w:rFonts w:hint="eastAsia" w:ascii="仿宋" w:hAnsi="仿宋" w:eastAsia="仿宋" w:cs="仿宋"/>
                <w:color w:val="auto"/>
                <w:sz w:val="24"/>
                <w:szCs w:val="24"/>
                <w:lang w:val="en-US" w:eastAsia="zh-CN"/>
              </w:rPr>
              <w:t>的得1分</w:t>
            </w:r>
            <w:r>
              <w:rPr>
                <w:rFonts w:hint="eastAsia" w:ascii="仿宋" w:hAnsi="仿宋" w:eastAsia="仿宋" w:cs="仿宋"/>
                <w:color w:val="auto"/>
                <w:sz w:val="24"/>
                <w:szCs w:val="24"/>
                <w:lang w:eastAsia="zh-CN"/>
              </w:rPr>
              <w:t>。</w:t>
            </w:r>
          </w:p>
          <w:p w14:paraId="1C6C2BB0">
            <w:pPr>
              <w:rPr>
                <w:rFonts w:hint="eastAsia" w:ascii="仿宋" w:hAnsi="仿宋" w:eastAsia="仿宋" w:cs="仿宋"/>
                <w:color w:val="auto"/>
                <w:sz w:val="24"/>
                <w:szCs w:val="24"/>
              </w:rPr>
            </w:pPr>
            <w:r>
              <w:rPr>
                <w:rFonts w:hint="eastAsia" w:ascii="仿宋" w:hAnsi="仿宋" w:eastAsia="仿宋" w:cs="仿宋"/>
                <w:color w:val="auto"/>
                <w:sz w:val="24"/>
                <w:szCs w:val="24"/>
              </w:rPr>
              <w:t>证明材料：提供相关证明文件复印件加盖公章。</w:t>
            </w:r>
          </w:p>
        </w:tc>
        <w:tc>
          <w:tcPr>
            <w:tcW w:w="759" w:type="dxa"/>
            <w:tcBorders>
              <w:top w:val="single" w:color="auto" w:sz="4" w:space="0"/>
              <w:bottom w:val="single" w:color="auto" w:sz="4" w:space="0"/>
            </w:tcBorders>
            <w:vAlign w:val="center"/>
          </w:tcPr>
          <w:p w14:paraId="7CD4BF4C">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p>
        </w:tc>
        <w:tc>
          <w:tcPr>
            <w:tcW w:w="972" w:type="dxa"/>
            <w:tcBorders>
              <w:top w:val="single" w:color="auto" w:sz="4" w:space="0"/>
              <w:bottom w:val="single" w:color="auto" w:sz="4" w:space="0"/>
            </w:tcBorders>
            <w:vAlign w:val="center"/>
          </w:tcPr>
          <w:p w14:paraId="08BBC7F0">
            <w:pP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0539ED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611" w:type="dxa"/>
            <w:vMerge w:val="continue"/>
            <w:vAlign w:val="center"/>
          </w:tcPr>
          <w:p w14:paraId="2E612A4A">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60A0247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389" w:type="dxa"/>
            <w:tcBorders>
              <w:top w:val="single" w:color="auto" w:sz="4" w:space="0"/>
              <w:bottom w:val="single" w:color="auto" w:sz="4" w:space="0"/>
            </w:tcBorders>
            <w:vAlign w:val="center"/>
          </w:tcPr>
          <w:p w14:paraId="7AA48D73">
            <w:pPr>
              <w:rPr>
                <w:rFonts w:hint="eastAsia" w:ascii="仿宋" w:hAnsi="仿宋" w:eastAsia="仿宋" w:cs="仿宋"/>
                <w:color w:val="auto"/>
                <w:sz w:val="24"/>
                <w:szCs w:val="24"/>
              </w:rPr>
            </w:pPr>
            <w:r>
              <w:rPr>
                <w:rFonts w:hint="eastAsia" w:ascii="仿宋" w:hAnsi="仿宋" w:eastAsia="仿宋" w:cs="仿宋"/>
                <w:color w:val="auto"/>
                <w:sz w:val="24"/>
                <w:szCs w:val="24"/>
              </w:rPr>
              <w:t>拟派项目负责人具有注册房地产估价师执业资格的得基本分1分，具有资产评估师资格的再另加1分，具有中级职称的另加0.5分，具有高级职称的另加1分</w:t>
            </w:r>
            <w:r>
              <w:rPr>
                <w:rFonts w:hint="eastAsia" w:ascii="仿宋" w:hAnsi="仿宋" w:eastAsia="仿宋" w:cs="仿宋"/>
                <w:color w:val="auto"/>
                <w:sz w:val="24"/>
                <w:szCs w:val="24"/>
                <w:lang w:val="en-US" w:eastAsia="zh-CN"/>
              </w:rPr>
              <w:t>(职称不可累计得分）</w:t>
            </w:r>
            <w:r>
              <w:rPr>
                <w:rFonts w:hint="eastAsia" w:ascii="仿宋" w:hAnsi="仿宋" w:eastAsia="仿宋" w:cs="仿宋"/>
                <w:color w:val="auto"/>
                <w:sz w:val="24"/>
                <w:szCs w:val="24"/>
              </w:rPr>
              <w:t>，本项最高得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14:paraId="15D35DE8">
            <w:pPr>
              <w:rPr>
                <w:rFonts w:hint="eastAsia" w:ascii="仿宋" w:hAnsi="仿宋" w:eastAsia="仿宋" w:cs="仿宋"/>
                <w:color w:val="auto"/>
                <w:sz w:val="24"/>
                <w:szCs w:val="24"/>
              </w:rPr>
            </w:pPr>
            <w:r>
              <w:rPr>
                <w:rFonts w:hint="eastAsia" w:ascii="仿宋" w:hAnsi="仿宋" w:eastAsia="仿宋" w:cs="仿宋"/>
                <w:color w:val="auto"/>
                <w:sz w:val="24"/>
                <w:szCs w:val="24"/>
              </w:rPr>
              <w:t>中级职称包括（工程造价、工程勘察、价格管理、房地产经济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建筑工程、会计</w:t>
            </w:r>
            <w:r>
              <w:rPr>
                <w:rFonts w:hint="eastAsia" w:ascii="仿宋" w:hAnsi="仿宋" w:eastAsia="仿宋" w:cs="仿宋"/>
                <w:color w:val="auto"/>
                <w:sz w:val="24"/>
                <w:szCs w:val="24"/>
              </w:rPr>
              <w:t>等相关专业类）</w:t>
            </w:r>
          </w:p>
          <w:p w14:paraId="68C63AC3">
            <w:pPr>
              <w:rPr>
                <w:rFonts w:hint="eastAsia" w:ascii="仿宋" w:hAnsi="仿宋" w:eastAsia="仿宋" w:cs="仿宋"/>
                <w:color w:val="auto"/>
                <w:sz w:val="24"/>
                <w:szCs w:val="24"/>
              </w:rPr>
            </w:pPr>
            <w:r>
              <w:rPr>
                <w:rFonts w:hint="eastAsia" w:ascii="仿宋" w:hAnsi="仿宋" w:eastAsia="仿宋" w:cs="仿宋"/>
                <w:color w:val="auto"/>
                <w:sz w:val="24"/>
                <w:szCs w:val="24"/>
              </w:rPr>
              <w:t>高级职称包括（工程造价、工程勘察、价格管理、房地产经济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建筑工程、会计</w:t>
            </w:r>
            <w:r>
              <w:rPr>
                <w:rFonts w:hint="eastAsia" w:ascii="仿宋" w:hAnsi="仿宋" w:eastAsia="仿宋" w:cs="仿宋"/>
                <w:color w:val="auto"/>
                <w:sz w:val="24"/>
                <w:szCs w:val="24"/>
              </w:rPr>
              <w:t>等相关专业类）</w:t>
            </w:r>
          </w:p>
          <w:p w14:paraId="17C92E7F">
            <w:pPr>
              <w:rPr>
                <w:rFonts w:hint="eastAsia" w:ascii="仿宋" w:hAnsi="仿宋" w:eastAsia="仿宋" w:cs="仿宋"/>
                <w:color w:val="auto"/>
                <w:sz w:val="24"/>
                <w:szCs w:val="24"/>
              </w:rPr>
            </w:pPr>
            <w:r>
              <w:rPr>
                <w:rFonts w:hint="eastAsia" w:ascii="仿宋" w:hAnsi="仿宋" w:eastAsia="仿宋" w:cs="仿宋"/>
                <w:color w:val="auto"/>
                <w:sz w:val="24"/>
                <w:szCs w:val="24"/>
              </w:rPr>
              <w:t>证明材料：提供相关证书及在投标单位缴纳的 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年10月、11月、12月的社保证明，复印件并加盖公章；已退休的不得计入拟派成员名单。</w:t>
            </w:r>
          </w:p>
        </w:tc>
        <w:tc>
          <w:tcPr>
            <w:tcW w:w="759" w:type="dxa"/>
            <w:tcBorders>
              <w:top w:val="single" w:color="auto" w:sz="4" w:space="0"/>
              <w:bottom w:val="single" w:color="auto" w:sz="4" w:space="0"/>
            </w:tcBorders>
            <w:vAlign w:val="center"/>
          </w:tcPr>
          <w:p w14:paraId="1C0987F2">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3</w:t>
            </w:r>
          </w:p>
        </w:tc>
        <w:tc>
          <w:tcPr>
            <w:tcW w:w="972" w:type="dxa"/>
            <w:tcBorders>
              <w:top w:val="single" w:color="auto" w:sz="4" w:space="0"/>
              <w:bottom w:val="single" w:color="auto" w:sz="4" w:space="0"/>
            </w:tcBorders>
            <w:vAlign w:val="center"/>
          </w:tcPr>
          <w:p w14:paraId="34B0FF2B">
            <w:pP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740DB0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611" w:type="dxa"/>
            <w:vMerge w:val="continue"/>
            <w:vAlign w:val="center"/>
          </w:tcPr>
          <w:p w14:paraId="1A5B7818">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421AEE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6389" w:type="dxa"/>
            <w:tcBorders>
              <w:top w:val="single" w:color="auto" w:sz="4" w:space="0"/>
              <w:bottom w:val="single" w:color="auto" w:sz="4" w:space="0"/>
            </w:tcBorders>
            <w:vAlign w:val="center"/>
          </w:tcPr>
          <w:p w14:paraId="1E495179">
            <w:pPr>
              <w:rPr>
                <w:rFonts w:hint="eastAsia" w:ascii="仿宋" w:hAnsi="仿宋" w:eastAsia="仿宋" w:cs="仿宋"/>
                <w:color w:val="auto"/>
                <w:sz w:val="24"/>
                <w:szCs w:val="24"/>
              </w:rPr>
            </w:pPr>
            <w:r>
              <w:rPr>
                <w:rFonts w:hint="eastAsia" w:ascii="仿宋" w:hAnsi="仿宋" w:eastAsia="仿宋" w:cs="仿宋"/>
                <w:color w:val="auto"/>
                <w:sz w:val="24"/>
                <w:szCs w:val="24"/>
              </w:rPr>
              <w:t>拟派项目组成员(项目负责人除外，下述人员不可重复得分)：</w:t>
            </w:r>
          </w:p>
          <w:p w14:paraId="7DC75E9A">
            <w:pPr>
              <w:rPr>
                <w:rFonts w:hint="eastAsia" w:ascii="仿宋" w:hAnsi="仿宋" w:eastAsia="仿宋" w:cs="仿宋"/>
                <w:color w:val="auto"/>
                <w:sz w:val="24"/>
                <w:szCs w:val="24"/>
              </w:rPr>
            </w:pPr>
            <w:r>
              <w:rPr>
                <w:rFonts w:hint="eastAsia" w:ascii="仿宋" w:hAnsi="仿宋" w:eastAsia="仿宋" w:cs="仿宋"/>
                <w:color w:val="auto"/>
                <w:sz w:val="24"/>
                <w:szCs w:val="24"/>
              </w:rPr>
              <w:t>（1）具有注册房地产估价师执业资格</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人得1分，每增加1人加0.5分,本项最高得2分；</w:t>
            </w:r>
          </w:p>
          <w:p w14:paraId="66903010">
            <w:pP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）具有资产评估师资格的</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人得1分，每增加1人加0.5分，本项最高得2分；</w:t>
            </w:r>
          </w:p>
          <w:p w14:paraId="4490CBC0">
            <w:pPr>
              <w:rPr>
                <w:rFonts w:hint="eastAsia" w:ascii="仿宋" w:hAnsi="仿宋" w:eastAsia="仿宋" w:cs="仿宋"/>
                <w:color w:val="auto"/>
                <w:sz w:val="24"/>
                <w:szCs w:val="24"/>
              </w:rPr>
            </w:pPr>
            <w:r>
              <w:rPr>
                <w:rFonts w:hint="eastAsia" w:ascii="仿宋" w:hAnsi="仿宋" w:eastAsia="仿宋" w:cs="仿宋"/>
                <w:color w:val="auto"/>
                <w:sz w:val="24"/>
                <w:szCs w:val="24"/>
              </w:rPr>
              <w:t>上述（1）、（2）项合计最高得分</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14:paraId="56DADEFE">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证明材料：提供相关证书及在投标单位缴纳的2024年10月、11月、12月的社保证明复印件并加盖公章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已退休的不得计入拟派成员名单。</w:t>
            </w:r>
          </w:p>
        </w:tc>
        <w:tc>
          <w:tcPr>
            <w:tcW w:w="759" w:type="dxa"/>
            <w:tcBorders>
              <w:top w:val="single" w:color="auto" w:sz="4" w:space="0"/>
              <w:bottom w:val="single" w:color="auto" w:sz="4" w:space="0"/>
            </w:tcBorders>
            <w:vAlign w:val="center"/>
          </w:tcPr>
          <w:p w14:paraId="25A99DE7">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p>
        </w:tc>
        <w:tc>
          <w:tcPr>
            <w:tcW w:w="972" w:type="dxa"/>
            <w:tcBorders>
              <w:top w:val="single" w:color="auto" w:sz="4" w:space="0"/>
              <w:bottom w:val="single" w:color="auto" w:sz="4" w:space="0"/>
            </w:tcBorders>
            <w:vAlign w:val="center"/>
          </w:tcPr>
          <w:p w14:paraId="771B7969">
            <w:pPr>
              <w:rPr>
                <w:rFonts w:hint="eastAsia" w:ascii="仿宋" w:hAnsi="仿宋" w:eastAsia="仿宋" w:cs="仿宋"/>
                <w:color w:val="auto"/>
                <w:sz w:val="24"/>
                <w:szCs w:val="24"/>
              </w:rPr>
            </w:pPr>
            <w:r>
              <w:rPr>
                <w:rFonts w:hint="eastAsia" w:ascii="仿宋" w:hAnsi="仿宋" w:eastAsia="仿宋" w:cs="仿宋"/>
                <w:color w:val="auto"/>
                <w:sz w:val="24"/>
                <w:szCs w:val="24"/>
              </w:rPr>
              <w:t>客观分</w:t>
            </w:r>
          </w:p>
        </w:tc>
      </w:tr>
      <w:tr w14:paraId="08413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611" w:type="dxa"/>
            <w:vMerge w:val="restart"/>
            <w:vAlign w:val="center"/>
          </w:tcPr>
          <w:p w14:paraId="4C4555E9">
            <w:pPr>
              <w:jc w:val="center"/>
              <w:rPr>
                <w:rFonts w:hint="eastAsia" w:ascii="仿宋" w:hAnsi="仿宋" w:eastAsia="仿宋" w:cs="仿宋"/>
                <w:sz w:val="24"/>
                <w:szCs w:val="24"/>
              </w:rPr>
            </w:pPr>
          </w:p>
          <w:p w14:paraId="1AFD9B98">
            <w:pPr>
              <w:pStyle w:val="2"/>
              <w:rPr>
                <w:rFonts w:hint="eastAsia" w:ascii="仿宋" w:hAnsi="仿宋" w:eastAsia="仿宋" w:cs="仿宋"/>
                <w:sz w:val="24"/>
                <w:szCs w:val="24"/>
                <w:lang w:val="en-US"/>
              </w:rPr>
            </w:pPr>
          </w:p>
          <w:p w14:paraId="0E46E8CB">
            <w:pPr>
              <w:pStyle w:val="2"/>
              <w:rPr>
                <w:rFonts w:hint="eastAsia" w:ascii="仿宋" w:hAnsi="仿宋" w:eastAsia="仿宋" w:cs="仿宋"/>
                <w:sz w:val="24"/>
                <w:szCs w:val="24"/>
                <w:lang w:val="en-US"/>
              </w:rPr>
            </w:pPr>
          </w:p>
          <w:p w14:paraId="515D6DAA">
            <w:pPr>
              <w:rPr>
                <w:rFonts w:hint="eastAsia" w:ascii="仿宋" w:hAnsi="仿宋" w:eastAsia="仿宋" w:cs="仿宋"/>
                <w:sz w:val="24"/>
                <w:szCs w:val="24"/>
              </w:rPr>
            </w:pPr>
          </w:p>
          <w:p w14:paraId="0844FC43">
            <w:pPr>
              <w:jc w:val="center"/>
              <w:rPr>
                <w:rFonts w:hint="eastAsia" w:ascii="仿宋" w:hAnsi="仿宋" w:eastAsia="仿宋" w:cs="仿宋"/>
                <w:sz w:val="24"/>
                <w:szCs w:val="24"/>
              </w:rPr>
            </w:pPr>
            <w:r>
              <w:rPr>
                <w:rFonts w:hint="eastAsia" w:ascii="仿宋" w:hAnsi="仿宋" w:eastAsia="仿宋" w:cs="仿宋"/>
                <w:sz w:val="24"/>
                <w:szCs w:val="24"/>
              </w:rPr>
              <w:t>技</w:t>
            </w:r>
          </w:p>
          <w:p w14:paraId="598E4039">
            <w:pPr>
              <w:jc w:val="center"/>
              <w:rPr>
                <w:rFonts w:hint="eastAsia" w:ascii="仿宋" w:hAnsi="仿宋" w:eastAsia="仿宋" w:cs="仿宋"/>
                <w:sz w:val="24"/>
                <w:szCs w:val="24"/>
              </w:rPr>
            </w:pPr>
            <w:r>
              <w:rPr>
                <w:rFonts w:hint="eastAsia" w:ascii="仿宋" w:hAnsi="仿宋" w:eastAsia="仿宋" w:cs="仿宋"/>
                <w:sz w:val="24"/>
                <w:szCs w:val="24"/>
              </w:rPr>
              <w:t>术</w:t>
            </w:r>
          </w:p>
          <w:p w14:paraId="4142B927">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73</w:t>
            </w:r>
            <w:r>
              <w:rPr>
                <w:rFonts w:hint="eastAsia" w:ascii="仿宋" w:hAnsi="仿宋" w:eastAsia="仿宋" w:cs="仿宋"/>
                <w:sz w:val="24"/>
                <w:szCs w:val="24"/>
              </w:rPr>
              <w:t>分</w:t>
            </w:r>
          </w:p>
          <w:p w14:paraId="37C5DCF8">
            <w:pPr>
              <w:jc w:val="center"/>
              <w:rPr>
                <w:rFonts w:hint="eastAsia" w:ascii="仿宋" w:hAnsi="仿宋" w:eastAsia="仿宋" w:cs="仿宋"/>
                <w:sz w:val="24"/>
                <w:szCs w:val="24"/>
              </w:rPr>
            </w:pPr>
            <w:r>
              <w:rPr>
                <w:rFonts w:hint="eastAsia" w:ascii="仿宋" w:hAnsi="仿宋" w:eastAsia="仿宋" w:cs="仿宋"/>
                <w:sz w:val="24"/>
                <w:szCs w:val="24"/>
              </w:rPr>
              <w:t>）</w:t>
            </w:r>
          </w:p>
        </w:tc>
        <w:tc>
          <w:tcPr>
            <w:tcW w:w="589" w:type="dxa"/>
            <w:tcBorders>
              <w:top w:val="single" w:color="auto" w:sz="4" w:space="0"/>
              <w:bottom w:val="single" w:color="auto" w:sz="4" w:space="0"/>
            </w:tcBorders>
            <w:vAlign w:val="center"/>
          </w:tcPr>
          <w:p w14:paraId="3CBADAB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6389" w:type="dxa"/>
            <w:tcBorders>
              <w:top w:val="single" w:color="auto" w:sz="4" w:space="0"/>
              <w:bottom w:val="single" w:color="auto" w:sz="4" w:space="0"/>
            </w:tcBorders>
            <w:vAlign w:val="center"/>
          </w:tcPr>
          <w:p w14:paraId="6765FA18">
            <w:pPr>
              <w:rPr>
                <w:rFonts w:hint="eastAsia" w:ascii="仿宋" w:hAnsi="仿宋" w:eastAsia="仿宋" w:cs="仿宋"/>
                <w:color w:val="auto"/>
                <w:sz w:val="24"/>
                <w:szCs w:val="24"/>
              </w:rPr>
            </w:pPr>
            <w:r>
              <w:rPr>
                <w:rFonts w:hint="eastAsia" w:ascii="仿宋" w:hAnsi="仿宋" w:eastAsia="仿宋" w:cs="仿宋"/>
                <w:color w:val="auto"/>
                <w:sz w:val="24"/>
                <w:szCs w:val="24"/>
              </w:rPr>
              <w:t>投标人针对本项目开展的政策背景（对该项目推进的了解）、采购人的实际现状进行阐述及分析。要求表述内容完整、合理、贴合实际。</w:t>
            </w:r>
          </w:p>
          <w:p w14:paraId="61E6F9E2">
            <w:pPr>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750D4464">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5</w:t>
            </w:r>
          </w:p>
        </w:tc>
        <w:tc>
          <w:tcPr>
            <w:tcW w:w="972" w:type="dxa"/>
            <w:tcBorders>
              <w:top w:val="single" w:color="auto" w:sz="4" w:space="0"/>
              <w:bottom w:val="single" w:color="auto" w:sz="4" w:space="0"/>
            </w:tcBorders>
            <w:vAlign w:val="center"/>
          </w:tcPr>
          <w:p w14:paraId="1905A2BF">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5CF035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2" w:hRule="atLeast"/>
        </w:trPr>
        <w:tc>
          <w:tcPr>
            <w:tcW w:w="611" w:type="dxa"/>
            <w:vMerge w:val="continue"/>
            <w:vAlign w:val="center"/>
          </w:tcPr>
          <w:p w14:paraId="497F53A5">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34B8B2D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6389" w:type="dxa"/>
            <w:tcBorders>
              <w:top w:val="single" w:color="auto" w:sz="4" w:space="0"/>
              <w:bottom w:val="single" w:color="auto" w:sz="4" w:space="0"/>
            </w:tcBorders>
            <w:vAlign w:val="center"/>
          </w:tcPr>
          <w:p w14:paraId="2CB1AA0A">
            <w:pPr>
              <w:rPr>
                <w:rFonts w:hint="eastAsia" w:ascii="仿宋" w:hAnsi="仿宋" w:eastAsia="仿宋" w:cs="仿宋"/>
                <w:color w:val="auto"/>
                <w:sz w:val="24"/>
                <w:szCs w:val="24"/>
              </w:rPr>
            </w:pPr>
            <w:r>
              <w:rPr>
                <w:rFonts w:hint="eastAsia" w:ascii="仿宋" w:hAnsi="仿宋" w:eastAsia="仿宋" w:cs="仿宋"/>
                <w:color w:val="auto"/>
                <w:sz w:val="24"/>
                <w:szCs w:val="24"/>
              </w:rPr>
              <w:t>投标人结合2023-2024年杭州市资产评估市场实际状况，分析当前市场,包括但不限于本区资产评估市场、物价水平行情等方面。要求表述内容完整、合理、贴合实际。</w:t>
            </w:r>
          </w:p>
          <w:p w14:paraId="53E52267">
            <w:pPr>
              <w:rPr>
                <w:rFonts w:hint="eastAsia" w:ascii="仿宋" w:hAnsi="仿宋" w:eastAsia="仿宋" w:cs="仿宋"/>
                <w:color w:val="auto"/>
                <w:sz w:val="24"/>
                <w:szCs w:val="24"/>
              </w:rPr>
            </w:pPr>
            <w:r>
              <w:rPr>
                <w:rFonts w:hint="eastAsia" w:ascii="仿宋" w:hAnsi="仿宋" w:eastAsia="仿宋" w:cs="仿宋"/>
                <w:color w:val="auto"/>
                <w:sz w:val="24"/>
                <w:szCs w:val="24"/>
              </w:rPr>
              <w:t>投标人针对本项目开展的政策背景（对该项目推进的了解）、采购人的实际现状进行阐述及分析。要求表述内容完整、合理、贴合实际。</w:t>
            </w:r>
          </w:p>
          <w:p w14:paraId="734764C3">
            <w:pPr>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3CB216D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5</w:t>
            </w:r>
          </w:p>
        </w:tc>
        <w:tc>
          <w:tcPr>
            <w:tcW w:w="972" w:type="dxa"/>
            <w:tcBorders>
              <w:top w:val="single" w:color="auto" w:sz="4" w:space="0"/>
              <w:bottom w:val="single" w:color="auto" w:sz="4" w:space="0"/>
            </w:tcBorders>
            <w:vAlign w:val="center"/>
          </w:tcPr>
          <w:p w14:paraId="17240C15">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074E5D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2" w:hRule="atLeast"/>
        </w:trPr>
        <w:tc>
          <w:tcPr>
            <w:tcW w:w="611" w:type="dxa"/>
            <w:vMerge w:val="continue"/>
            <w:vAlign w:val="center"/>
          </w:tcPr>
          <w:p w14:paraId="063D9DF8">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04E1D5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6389" w:type="dxa"/>
            <w:tcBorders>
              <w:top w:val="single" w:color="auto" w:sz="4" w:space="0"/>
              <w:bottom w:val="single" w:color="auto" w:sz="4" w:space="0"/>
            </w:tcBorders>
            <w:vAlign w:val="center"/>
          </w:tcPr>
          <w:p w14:paraId="66CD9DF0">
            <w:pPr>
              <w:rPr>
                <w:rFonts w:hint="eastAsia" w:ascii="仿宋" w:hAnsi="仿宋" w:eastAsia="仿宋" w:cs="仿宋"/>
                <w:color w:val="auto"/>
                <w:sz w:val="24"/>
                <w:szCs w:val="24"/>
              </w:rPr>
            </w:pPr>
            <w:r>
              <w:rPr>
                <w:rFonts w:hint="eastAsia" w:ascii="仿宋" w:hAnsi="仿宋" w:eastAsia="仿宋" w:cs="仿宋"/>
                <w:color w:val="auto"/>
                <w:sz w:val="24"/>
                <w:szCs w:val="24"/>
              </w:rPr>
              <w:t>投标人的现场查勘方案，包括统计工业园区厂房、附属设施、厂房内外装修和其他附属于厂房不可移动设施的项目、种类和数量，并制作直观的数据图文资料。要求表述内容完整、合理、可行性强。</w:t>
            </w:r>
          </w:p>
          <w:p w14:paraId="63AFFEA0">
            <w:pPr>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71C828A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8</w:t>
            </w:r>
          </w:p>
        </w:tc>
        <w:tc>
          <w:tcPr>
            <w:tcW w:w="972" w:type="dxa"/>
            <w:tcBorders>
              <w:top w:val="single" w:color="auto" w:sz="4" w:space="0"/>
              <w:bottom w:val="single" w:color="auto" w:sz="4" w:space="0"/>
            </w:tcBorders>
            <w:vAlign w:val="center"/>
          </w:tcPr>
          <w:p w14:paraId="26CC510E">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19A028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2" w:hRule="atLeast"/>
        </w:trPr>
        <w:tc>
          <w:tcPr>
            <w:tcW w:w="611" w:type="dxa"/>
            <w:vMerge w:val="continue"/>
            <w:vAlign w:val="center"/>
          </w:tcPr>
          <w:p w14:paraId="6466DCE8">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59359A7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6389" w:type="dxa"/>
            <w:tcBorders>
              <w:top w:val="single" w:color="auto" w:sz="4" w:space="0"/>
              <w:bottom w:val="single" w:color="auto" w:sz="4" w:space="0"/>
            </w:tcBorders>
            <w:vAlign w:val="center"/>
          </w:tcPr>
          <w:p w14:paraId="78733CBD">
            <w:pPr>
              <w:rPr>
                <w:rFonts w:hint="eastAsia" w:ascii="仿宋" w:hAnsi="仿宋" w:eastAsia="仿宋" w:cs="仿宋"/>
                <w:color w:val="auto"/>
                <w:sz w:val="24"/>
                <w:szCs w:val="24"/>
              </w:rPr>
            </w:pPr>
            <w:r>
              <w:rPr>
                <w:rFonts w:hint="eastAsia" w:ascii="仿宋" w:hAnsi="仿宋" w:eastAsia="仿宋" w:cs="仿宋"/>
                <w:color w:val="auto"/>
                <w:sz w:val="24"/>
                <w:szCs w:val="24"/>
              </w:rPr>
              <w:t>投标人的评估方案，包括确定符合规定且科学的评估方法，评估确定房屋和装修、附属物及资产设备的补偿金额，并出具评估报告。要求表述内容完整、合理、可行性强。</w:t>
            </w:r>
          </w:p>
          <w:p w14:paraId="02AA727D">
            <w:pPr>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5FF6D16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972" w:type="dxa"/>
            <w:tcBorders>
              <w:top w:val="single" w:color="auto" w:sz="4" w:space="0"/>
              <w:bottom w:val="single" w:color="auto" w:sz="4" w:space="0"/>
            </w:tcBorders>
            <w:vAlign w:val="center"/>
          </w:tcPr>
          <w:p w14:paraId="1ACBDB13">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7BE28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0" w:hRule="atLeast"/>
        </w:trPr>
        <w:tc>
          <w:tcPr>
            <w:tcW w:w="611" w:type="dxa"/>
            <w:vMerge w:val="continue"/>
            <w:vAlign w:val="center"/>
          </w:tcPr>
          <w:p w14:paraId="302CF40E">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479B90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6389" w:type="dxa"/>
            <w:tcBorders>
              <w:top w:val="single" w:color="auto" w:sz="4" w:space="0"/>
              <w:bottom w:val="single" w:color="auto" w:sz="4" w:space="0"/>
            </w:tcBorders>
            <w:vAlign w:val="center"/>
          </w:tcPr>
          <w:p w14:paraId="36057EC3">
            <w:pPr>
              <w:rPr>
                <w:rFonts w:hint="eastAsia" w:ascii="仿宋" w:hAnsi="仿宋" w:eastAsia="仿宋" w:cs="仿宋"/>
                <w:color w:val="auto"/>
                <w:sz w:val="24"/>
                <w:szCs w:val="24"/>
              </w:rPr>
            </w:pPr>
            <w:r>
              <w:rPr>
                <w:rFonts w:hint="eastAsia" w:ascii="仿宋" w:hAnsi="仿宋" w:eastAsia="仿宋" w:cs="仿宋"/>
                <w:color w:val="auto"/>
                <w:sz w:val="24"/>
                <w:szCs w:val="24"/>
              </w:rPr>
              <w:t>投标人的进度控制方案，包括各阶段时间节点安排，人员调配等。须针对中小型企业及大型企业分别制定方案，中小型企业从进场到出评估报告不超过1个月，大型企业从进场到出评估报告不超过3个月。要求表述内容完整、合理、可行性强。</w:t>
            </w:r>
          </w:p>
          <w:p w14:paraId="3320B4FF">
            <w:pPr>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08CC5E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972" w:type="dxa"/>
            <w:tcBorders>
              <w:top w:val="single" w:color="auto" w:sz="4" w:space="0"/>
              <w:bottom w:val="single" w:color="auto" w:sz="4" w:space="0"/>
            </w:tcBorders>
            <w:vAlign w:val="center"/>
          </w:tcPr>
          <w:p w14:paraId="235E835F">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239C24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7" w:hRule="atLeast"/>
        </w:trPr>
        <w:tc>
          <w:tcPr>
            <w:tcW w:w="611" w:type="dxa"/>
            <w:vMerge w:val="continue"/>
            <w:vAlign w:val="center"/>
          </w:tcPr>
          <w:p w14:paraId="3C924762">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52C95AB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6389" w:type="dxa"/>
            <w:tcBorders>
              <w:top w:val="single" w:color="auto" w:sz="4" w:space="0"/>
              <w:bottom w:val="single" w:color="auto" w:sz="4" w:space="0"/>
            </w:tcBorders>
            <w:vAlign w:val="center"/>
          </w:tcPr>
          <w:p w14:paraId="11AAB9DD">
            <w:pPr>
              <w:rPr>
                <w:rFonts w:hint="eastAsia" w:ascii="仿宋" w:hAnsi="仿宋" w:eastAsia="仿宋" w:cs="仿宋"/>
                <w:color w:val="auto"/>
                <w:sz w:val="24"/>
                <w:szCs w:val="24"/>
              </w:rPr>
            </w:pPr>
            <w:r>
              <w:rPr>
                <w:rFonts w:hint="eastAsia" w:ascii="仿宋" w:hAnsi="仿宋" w:eastAsia="仿宋" w:cs="仿宋"/>
                <w:color w:val="auto"/>
                <w:sz w:val="24"/>
                <w:szCs w:val="24"/>
              </w:rPr>
              <w:t>投标人的沟通交流机制，包括与</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被评估企业保持良好的沟通和协调，及时解答疑问和处理问题。在评估报告使用过程中提供必要的解释和说明等后续服务工作；向被评估企业做好相关法律、法规及规章的解释工作。确保不造成信访及集体性事件。要求表述内容完整、合理、可行性强。</w:t>
            </w:r>
          </w:p>
          <w:p w14:paraId="38417AD7">
            <w:pPr>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431260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972" w:type="dxa"/>
            <w:tcBorders>
              <w:top w:val="single" w:color="auto" w:sz="4" w:space="0"/>
              <w:bottom w:val="single" w:color="auto" w:sz="4" w:space="0"/>
            </w:tcBorders>
            <w:vAlign w:val="center"/>
          </w:tcPr>
          <w:p w14:paraId="331E11C3">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09B716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4" w:hRule="atLeast"/>
        </w:trPr>
        <w:tc>
          <w:tcPr>
            <w:tcW w:w="611" w:type="dxa"/>
            <w:vMerge w:val="continue"/>
            <w:vAlign w:val="center"/>
          </w:tcPr>
          <w:p w14:paraId="3827B738">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66AC9E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6389" w:type="dxa"/>
            <w:tcBorders>
              <w:top w:val="single" w:color="auto" w:sz="4" w:space="0"/>
              <w:bottom w:val="single" w:color="auto" w:sz="4" w:space="0"/>
            </w:tcBorders>
            <w:vAlign w:val="center"/>
          </w:tcPr>
          <w:p w14:paraId="0749BFCA">
            <w:pPr>
              <w:rPr>
                <w:rFonts w:hint="eastAsia" w:ascii="仿宋" w:hAnsi="仿宋" w:eastAsia="仿宋" w:cs="仿宋"/>
                <w:color w:val="auto"/>
                <w:sz w:val="24"/>
                <w:szCs w:val="24"/>
              </w:rPr>
            </w:pPr>
            <w:r>
              <w:rPr>
                <w:rFonts w:hint="eastAsia" w:ascii="仿宋" w:hAnsi="仿宋" w:eastAsia="仿宋" w:cs="仿宋"/>
                <w:color w:val="auto"/>
                <w:sz w:val="24"/>
                <w:szCs w:val="24"/>
              </w:rPr>
              <w:t>投标人的应急预案，包括突发事件种类及相应的解决方案。要求列举至少三类应急预案且表述内容完整、合理、可行性强。</w:t>
            </w:r>
          </w:p>
          <w:p w14:paraId="07D70956">
            <w:pPr>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5F8DE7B4">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5</w:t>
            </w:r>
          </w:p>
        </w:tc>
        <w:tc>
          <w:tcPr>
            <w:tcW w:w="972" w:type="dxa"/>
            <w:tcBorders>
              <w:top w:val="single" w:color="auto" w:sz="4" w:space="0"/>
              <w:bottom w:val="single" w:color="auto" w:sz="4" w:space="0"/>
            </w:tcBorders>
            <w:vAlign w:val="center"/>
          </w:tcPr>
          <w:p w14:paraId="61FEDED2">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1C8834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4" w:hRule="atLeast"/>
        </w:trPr>
        <w:tc>
          <w:tcPr>
            <w:tcW w:w="611" w:type="dxa"/>
            <w:vMerge w:val="continue"/>
            <w:vAlign w:val="center"/>
          </w:tcPr>
          <w:p w14:paraId="4FF466A3">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6E1252F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6389" w:type="dxa"/>
            <w:tcBorders>
              <w:top w:val="single" w:color="auto" w:sz="4" w:space="0"/>
              <w:bottom w:val="single" w:color="auto" w:sz="4" w:space="0"/>
            </w:tcBorders>
            <w:vAlign w:val="center"/>
          </w:tcPr>
          <w:p w14:paraId="50054F61">
            <w:pPr>
              <w:rPr>
                <w:rFonts w:hint="eastAsia" w:ascii="仿宋" w:hAnsi="仿宋" w:eastAsia="仿宋" w:cs="仿宋"/>
                <w:color w:val="auto"/>
                <w:sz w:val="24"/>
                <w:szCs w:val="24"/>
              </w:rPr>
            </w:pPr>
            <w:r>
              <w:rPr>
                <w:rFonts w:hint="eastAsia" w:ascii="仿宋" w:hAnsi="仿宋" w:eastAsia="仿宋" w:cs="仿宋"/>
                <w:color w:val="auto"/>
                <w:sz w:val="24"/>
                <w:szCs w:val="24"/>
              </w:rPr>
              <w:t>投标人的质量保证措施，确保评估报告的质量及评估结果的准确性。包括对评估项目的履约承诺和保障措施，承诺能够严格执行相关专业规范等内容，提供有利于本项目评估质量和全程服务的其他承诺等。要求表述内容完整、合理、可行性强。</w:t>
            </w:r>
          </w:p>
          <w:p w14:paraId="3532CEF0">
            <w:pPr>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7939A6B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972" w:type="dxa"/>
            <w:tcBorders>
              <w:top w:val="single" w:color="auto" w:sz="4" w:space="0"/>
              <w:bottom w:val="single" w:color="auto" w:sz="4" w:space="0"/>
            </w:tcBorders>
            <w:vAlign w:val="center"/>
          </w:tcPr>
          <w:p w14:paraId="33BE09BC">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0FE8D9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4" w:hRule="atLeast"/>
        </w:trPr>
        <w:tc>
          <w:tcPr>
            <w:tcW w:w="611" w:type="dxa"/>
            <w:vMerge w:val="continue"/>
            <w:vAlign w:val="center"/>
          </w:tcPr>
          <w:p w14:paraId="306475AB">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1902F2B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6389" w:type="dxa"/>
            <w:tcBorders>
              <w:top w:val="single" w:color="auto" w:sz="4" w:space="0"/>
              <w:bottom w:val="single" w:color="auto" w:sz="4" w:space="0"/>
            </w:tcBorders>
            <w:vAlign w:val="center"/>
          </w:tcPr>
          <w:p w14:paraId="21264F44">
            <w:pPr>
              <w:rPr>
                <w:rFonts w:hint="eastAsia" w:ascii="仿宋" w:hAnsi="仿宋" w:eastAsia="仿宋" w:cs="仿宋"/>
                <w:color w:val="auto"/>
                <w:sz w:val="24"/>
                <w:szCs w:val="24"/>
              </w:rPr>
            </w:pPr>
            <w:r>
              <w:rPr>
                <w:rFonts w:hint="eastAsia" w:ascii="仿宋" w:hAnsi="仿宋" w:eastAsia="仿宋" w:cs="仿宋"/>
                <w:color w:val="auto"/>
                <w:sz w:val="24"/>
                <w:szCs w:val="24"/>
              </w:rPr>
              <w:t>投标人的工作流程和内部控制管理制度，包括内部流程规范制度，岗位分工、依法办事、行业廉洁等。确保评估过程中保持独立客观的立场，不受任何不当影响，确保评估结果公正公平。要求表述内容完整、合理、可行性强。</w:t>
            </w:r>
          </w:p>
          <w:p w14:paraId="1D43DC1A">
            <w:pPr>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4F5FA0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972" w:type="dxa"/>
            <w:tcBorders>
              <w:top w:val="single" w:color="auto" w:sz="4" w:space="0"/>
              <w:bottom w:val="single" w:color="auto" w:sz="4" w:space="0"/>
            </w:tcBorders>
            <w:vAlign w:val="center"/>
          </w:tcPr>
          <w:p w14:paraId="22AE330A">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31CD88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4" w:hRule="atLeast"/>
        </w:trPr>
        <w:tc>
          <w:tcPr>
            <w:tcW w:w="611" w:type="dxa"/>
            <w:vMerge w:val="continue"/>
            <w:vAlign w:val="center"/>
          </w:tcPr>
          <w:p w14:paraId="72E4600B">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3E456B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6389" w:type="dxa"/>
            <w:tcBorders>
              <w:top w:val="single" w:color="auto" w:sz="4" w:space="0"/>
              <w:bottom w:val="single" w:color="auto" w:sz="4" w:space="0"/>
            </w:tcBorders>
            <w:vAlign w:val="center"/>
          </w:tcPr>
          <w:p w14:paraId="08351294">
            <w:pPr>
              <w:rPr>
                <w:rFonts w:hint="eastAsia" w:ascii="仿宋" w:hAnsi="仿宋" w:eastAsia="仿宋" w:cs="仿宋"/>
                <w:color w:val="auto"/>
                <w:sz w:val="24"/>
                <w:szCs w:val="24"/>
              </w:rPr>
            </w:pPr>
            <w:r>
              <w:rPr>
                <w:rFonts w:hint="eastAsia" w:ascii="仿宋" w:hAnsi="仿宋" w:eastAsia="仿宋" w:cs="仿宋"/>
                <w:color w:val="auto"/>
                <w:sz w:val="24"/>
                <w:szCs w:val="24"/>
              </w:rPr>
              <w:t>投标人的安全保密措施，对评估事项内应当保密的内容保守秘密。包括签订保密协议、建立保密制度及相关资料的保存等。要求表述内容完整、合理、可行性强。</w:t>
            </w:r>
          </w:p>
          <w:p w14:paraId="2FF7F3E6">
            <w:pPr>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56548583">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5</w:t>
            </w:r>
          </w:p>
        </w:tc>
        <w:tc>
          <w:tcPr>
            <w:tcW w:w="972" w:type="dxa"/>
            <w:tcBorders>
              <w:top w:val="single" w:color="auto" w:sz="4" w:space="0"/>
              <w:bottom w:val="single" w:color="auto" w:sz="4" w:space="0"/>
            </w:tcBorders>
            <w:vAlign w:val="center"/>
          </w:tcPr>
          <w:p w14:paraId="0392CCF5">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2A6A0D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4" w:hRule="atLeast"/>
        </w:trPr>
        <w:tc>
          <w:tcPr>
            <w:tcW w:w="611" w:type="dxa"/>
            <w:vMerge w:val="continue"/>
            <w:vAlign w:val="center"/>
          </w:tcPr>
          <w:p w14:paraId="35032A7A">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55815B2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6389" w:type="dxa"/>
            <w:tcBorders>
              <w:top w:val="single" w:color="auto" w:sz="4" w:space="0"/>
              <w:bottom w:val="single" w:color="auto" w:sz="4" w:space="0"/>
            </w:tcBorders>
            <w:vAlign w:val="center"/>
          </w:tcPr>
          <w:p w14:paraId="5E935A15">
            <w:pPr>
              <w:rPr>
                <w:rFonts w:hint="eastAsia" w:ascii="仿宋" w:hAnsi="仿宋" w:eastAsia="仿宋" w:cs="仿宋"/>
                <w:color w:val="auto"/>
                <w:sz w:val="24"/>
                <w:szCs w:val="24"/>
              </w:rPr>
            </w:pPr>
            <w:r>
              <w:rPr>
                <w:rFonts w:hint="eastAsia" w:ascii="仿宋" w:hAnsi="仿宋" w:eastAsia="仿宋" w:cs="仿宋"/>
                <w:color w:val="auto"/>
                <w:sz w:val="24"/>
                <w:szCs w:val="24"/>
              </w:rPr>
              <w:t>投标人的后续服务方案，包括但不限于承诺完成的评估内容全面、合理，内容与深度均达到或超出本项目编制任务要求并按时提交成果、后续服务保障、后续服务内容、响应时间承诺等。要求表述内容完整、合理、可行性强。</w:t>
            </w:r>
          </w:p>
          <w:p w14:paraId="05F9A013">
            <w:pPr>
              <w:rPr>
                <w:rFonts w:hint="eastAsia" w:ascii="仿宋" w:hAnsi="仿宋" w:eastAsia="仿宋" w:cs="仿宋"/>
                <w:color w:val="auto"/>
                <w:sz w:val="24"/>
                <w:szCs w:val="24"/>
              </w:rPr>
            </w:pPr>
            <w:r>
              <w:rPr>
                <w:rFonts w:hint="eastAsia" w:ascii="仿宋" w:hAnsi="仿宋" w:eastAsia="仿宋" w:cs="仿宋"/>
                <w:color w:val="auto"/>
                <w:sz w:val="24"/>
                <w:szCs w:val="24"/>
              </w:rPr>
              <w:t>（方案内容完整且与项目匹配度好的得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547E9E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972" w:type="dxa"/>
            <w:tcBorders>
              <w:top w:val="single" w:color="auto" w:sz="4" w:space="0"/>
              <w:bottom w:val="single" w:color="auto" w:sz="4" w:space="0"/>
            </w:tcBorders>
            <w:vAlign w:val="center"/>
          </w:tcPr>
          <w:p w14:paraId="18A26E31">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3BD939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611" w:type="dxa"/>
            <w:vMerge w:val="continue"/>
            <w:vAlign w:val="center"/>
          </w:tcPr>
          <w:p w14:paraId="419CFCFF">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3EA2A2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389" w:type="dxa"/>
            <w:tcBorders>
              <w:top w:val="single" w:color="auto" w:sz="4" w:space="0"/>
              <w:bottom w:val="single" w:color="auto" w:sz="4" w:space="0"/>
            </w:tcBorders>
          </w:tcPr>
          <w:p w14:paraId="280E91EB">
            <w:pPr>
              <w:rPr>
                <w:rFonts w:hint="eastAsia" w:ascii="仿宋" w:hAnsi="仿宋" w:eastAsia="仿宋" w:cs="仿宋"/>
                <w:color w:val="auto"/>
                <w:sz w:val="24"/>
                <w:szCs w:val="24"/>
              </w:rPr>
            </w:pPr>
            <w:r>
              <w:rPr>
                <w:rFonts w:hint="eastAsia" w:ascii="仿宋" w:hAnsi="仿宋" w:eastAsia="仿宋" w:cs="仿宋"/>
                <w:color w:val="auto"/>
                <w:sz w:val="24"/>
                <w:szCs w:val="24"/>
              </w:rPr>
              <w:t>对本次项目全过程实施措施的相关建议。要求表述内容完整、合理、可行性强。（方案内容完整且与项目匹配度好的得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5200AA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972" w:type="dxa"/>
            <w:tcBorders>
              <w:top w:val="single" w:color="auto" w:sz="4" w:space="0"/>
              <w:bottom w:val="single" w:color="auto" w:sz="4" w:space="0"/>
            </w:tcBorders>
            <w:vAlign w:val="center"/>
          </w:tcPr>
          <w:p w14:paraId="7E8E8034">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59D4DB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611" w:type="dxa"/>
            <w:vMerge w:val="continue"/>
            <w:vAlign w:val="center"/>
          </w:tcPr>
          <w:p w14:paraId="1784E7AD">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60B899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6389" w:type="dxa"/>
            <w:tcBorders>
              <w:top w:val="single" w:color="auto" w:sz="4" w:space="0"/>
              <w:bottom w:val="single" w:color="auto" w:sz="4" w:space="0"/>
            </w:tcBorders>
            <w:vAlign w:val="center"/>
          </w:tcPr>
          <w:p w14:paraId="1725E0B9">
            <w:pPr>
              <w:rPr>
                <w:rFonts w:hint="eastAsia" w:ascii="仿宋" w:hAnsi="仿宋" w:eastAsia="仿宋" w:cs="仿宋"/>
                <w:color w:val="auto"/>
                <w:sz w:val="24"/>
                <w:szCs w:val="24"/>
              </w:rPr>
            </w:pPr>
            <w:r>
              <w:rPr>
                <w:rFonts w:hint="eastAsia" w:ascii="仿宋" w:hAnsi="仿宋" w:eastAsia="仿宋" w:cs="仿宋"/>
                <w:color w:val="auto"/>
                <w:sz w:val="24"/>
                <w:szCs w:val="24"/>
              </w:rPr>
              <w:t>评估中可能遇到的问题分析及应对措施。要求表述内容完整、合理、可行性强。（方案内容完整且与项目匹配度好的得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232AE3C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c>
          <w:tcPr>
            <w:tcW w:w="972" w:type="dxa"/>
            <w:tcBorders>
              <w:top w:val="single" w:color="auto" w:sz="4" w:space="0"/>
              <w:bottom w:val="single" w:color="auto" w:sz="4" w:space="0"/>
            </w:tcBorders>
            <w:vAlign w:val="center"/>
          </w:tcPr>
          <w:p w14:paraId="3F707F6A">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3135A8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 w:hRule="atLeast"/>
        </w:trPr>
        <w:tc>
          <w:tcPr>
            <w:tcW w:w="611" w:type="dxa"/>
            <w:vMerge w:val="continue"/>
            <w:vAlign w:val="center"/>
          </w:tcPr>
          <w:p w14:paraId="55F97178">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5D82F03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6389" w:type="dxa"/>
            <w:tcBorders>
              <w:top w:val="single" w:color="auto" w:sz="4" w:space="0"/>
              <w:bottom w:val="single" w:color="auto" w:sz="4" w:space="0"/>
            </w:tcBorders>
          </w:tcPr>
          <w:p w14:paraId="413164E9">
            <w:pPr>
              <w:rPr>
                <w:rFonts w:hint="eastAsia" w:ascii="仿宋" w:hAnsi="仿宋" w:eastAsia="仿宋" w:cs="仿宋"/>
                <w:color w:val="auto"/>
                <w:sz w:val="24"/>
                <w:szCs w:val="24"/>
              </w:rPr>
            </w:pPr>
            <w:r>
              <w:rPr>
                <w:rFonts w:hint="eastAsia" w:ascii="仿宋" w:hAnsi="仿宋" w:eastAsia="仿宋" w:cs="仿宋"/>
                <w:color w:val="auto"/>
                <w:sz w:val="24"/>
                <w:szCs w:val="24"/>
              </w:rPr>
              <w:t>其他有利于推进搬迁工作的技术支持。能够结合项目实际情况提供完善、快速有效的服务。要求表述内容完整、合理、可行性强。（方案内容完整且与项目匹配度好的得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分；方案内容基本完整且与项目匹配度较好的得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分；方案内容存在欠缺或与项目匹配度一般的得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分；方案内容缺失严重或与项目不匹配的不得分。）</w:t>
            </w:r>
          </w:p>
        </w:tc>
        <w:tc>
          <w:tcPr>
            <w:tcW w:w="759" w:type="dxa"/>
            <w:tcBorders>
              <w:top w:val="single" w:color="auto" w:sz="4" w:space="0"/>
              <w:bottom w:val="single" w:color="auto" w:sz="4" w:space="0"/>
            </w:tcBorders>
            <w:vAlign w:val="center"/>
          </w:tcPr>
          <w:p w14:paraId="1EF905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0-3</w:t>
            </w:r>
          </w:p>
        </w:tc>
        <w:tc>
          <w:tcPr>
            <w:tcW w:w="972" w:type="dxa"/>
            <w:tcBorders>
              <w:top w:val="single" w:color="auto" w:sz="4" w:space="0"/>
              <w:bottom w:val="single" w:color="auto" w:sz="4" w:space="0"/>
            </w:tcBorders>
            <w:vAlign w:val="center"/>
          </w:tcPr>
          <w:p w14:paraId="5244B737">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w:t>
            </w:r>
            <w:r>
              <w:rPr>
                <w:rFonts w:hint="eastAsia" w:ascii="仿宋" w:hAnsi="仿宋" w:eastAsia="仿宋" w:cs="仿宋"/>
                <w:color w:val="auto"/>
                <w:sz w:val="24"/>
                <w:szCs w:val="24"/>
              </w:rPr>
              <w:t>观分</w:t>
            </w:r>
          </w:p>
        </w:tc>
      </w:tr>
      <w:tr w14:paraId="7D93FC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6" w:hRule="atLeast"/>
        </w:trPr>
        <w:tc>
          <w:tcPr>
            <w:tcW w:w="611" w:type="dxa"/>
            <w:vMerge w:val="continue"/>
            <w:vAlign w:val="center"/>
          </w:tcPr>
          <w:p w14:paraId="729B6DF0">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4FD579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6389" w:type="dxa"/>
            <w:tcBorders>
              <w:top w:val="single" w:color="auto" w:sz="4" w:space="0"/>
              <w:bottom w:val="single" w:color="auto" w:sz="4" w:space="0"/>
            </w:tcBorders>
          </w:tcPr>
          <w:p w14:paraId="4BA74564">
            <w:pPr>
              <w:rPr>
                <w:rFonts w:hint="eastAsia" w:ascii="仿宋" w:hAnsi="仿宋" w:eastAsia="仿宋" w:cs="仿宋"/>
                <w:color w:val="auto"/>
                <w:sz w:val="24"/>
                <w:szCs w:val="24"/>
              </w:rPr>
            </w:pPr>
            <w:r>
              <w:rPr>
                <w:rFonts w:hint="eastAsia" w:ascii="仿宋" w:hAnsi="仿宋" w:eastAsia="仿宋" w:cs="仿宋"/>
                <w:color w:val="auto"/>
                <w:sz w:val="24"/>
                <w:szCs w:val="24"/>
              </w:rPr>
              <w:t>投标人承诺中标后收到业主邀请通知后1 小时内进行响应，收到业主确认委托通知书后 12 小时内进行现场踏勘工作的得 2 分；未提供承诺书的，不得分(承诺书自拟) 。</w:t>
            </w:r>
          </w:p>
        </w:tc>
        <w:tc>
          <w:tcPr>
            <w:tcW w:w="759" w:type="dxa"/>
            <w:tcBorders>
              <w:top w:val="single" w:color="auto" w:sz="4" w:space="0"/>
              <w:bottom w:val="single" w:color="auto" w:sz="4" w:space="0"/>
            </w:tcBorders>
            <w:vAlign w:val="center"/>
          </w:tcPr>
          <w:p w14:paraId="6B1DE07F">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4</w:t>
            </w:r>
          </w:p>
        </w:tc>
        <w:tc>
          <w:tcPr>
            <w:tcW w:w="972" w:type="dxa"/>
            <w:tcBorders>
              <w:top w:val="single" w:color="auto" w:sz="4" w:space="0"/>
              <w:bottom w:val="single" w:color="auto" w:sz="4" w:space="0"/>
            </w:tcBorders>
            <w:vAlign w:val="center"/>
          </w:tcPr>
          <w:p w14:paraId="743A59CD">
            <w:pPr>
              <w:rPr>
                <w:rFonts w:hint="eastAsia" w:ascii="仿宋" w:hAnsi="仿宋" w:eastAsia="仿宋" w:cs="仿宋"/>
                <w:color w:val="auto"/>
                <w:sz w:val="24"/>
                <w:szCs w:val="24"/>
              </w:rPr>
            </w:pPr>
            <w:r>
              <w:rPr>
                <w:rFonts w:hint="eastAsia" w:ascii="仿宋" w:hAnsi="仿宋" w:eastAsia="仿宋" w:cs="仿宋"/>
                <w:color w:val="auto"/>
                <w:sz w:val="24"/>
                <w:szCs w:val="24"/>
              </w:rPr>
              <w:t>主观分</w:t>
            </w:r>
          </w:p>
        </w:tc>
      </w:tr>
      <w:tr w14:paraId="471121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20" w:hRule="atLeast"/>
        </w:trPr>
        <w:tc>
          <w:tcPr>
            <w:tcW w:w="611" w:type="dxa"/>
            <w:vMerge w:val="restart"/>
            <w:vAlign w:val="center"/>
          </w:tcPr>
          <w:p w14:paraId="31485557">
            <w:pPr>
              <w:rPr>
                <w:rFonts w:hint="eastAsia" w:ascii="仿宋" w:hAnsi="仿宋" w:eastAsia="仿宋" w:cs="仿宋"/>
                <w:sz w:val="24"/>
                <w:szCs w:val="24"/>
              </w:rPr>
            </w:pPr>
            <w:r>
              <w:rPr>
                <w:rFonts w:hint="eastAsia" w:ascii="仿宋" w:hAnsi="仿宋" w:eastAsia="仿宋" w:cs="仿宋"/>
                <w:sz w:val="24"/>
                <w:szCs w:val="24"/>
              </w:rPr>
              <w:t>价格分</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589" w:type="dxa"/>
            <w:tcBorders>
              <w:top w:val="single" w:color="auto" w:sz="4" w:space="0"/>
              <w:bottom w:val="single" w:color="auto" w:sz="4" w:space="0"/>
            </w:tcBorders>
            <w:vAlign w:val="center"/>
          </w:tcPr>
          <w:p w14:paraId="3EFEBFC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6389" w:type="dxa"/>
            <w:tcBorders>
              <w:top w:val="single" w:color="auto" w:sz="4" w:space="0"/>
              <w:bottom w:val="single" w:color="auto" w:sz="4" w:space="0"/>
            </w:tcBorders>
          </w:tcPr>
          <w:p w14:paraId="4E10E31B">
            <w:pP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kern w:val="0"/>
                <w:sz w:val="24"/>
                <w:szCs w:val="24"/>
              </w:rPr>
              <w:t>企业</w:t>
            </w:r>
            <w:r>
              <w:rPr>
                <w:rFonts w:hint="eastAsia" w:ascii="仿宋" w:hAnsi="仿宋" w:eastAsia="仿宋" w:cs="仿宋"/>
                <w:color w:val="auto"/>
                <w:sz w:val="24"/>
                <w:szCs w:val="24"/>
              </w:rPr>
              <w:t>搬迁评估价格分</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14:paraId="13FCB248">
            <w:pPr>
              <w:widowControl/>
              <w:rPr>
                <w:rFonts w:hint="eastAsia" w:ascii="仿宋" w:hAnsi="仿宋" w:eastAsia="仿宋" w:cs="仿宋"/>
                <w:color w:val="auto"/>
                <w:sz w:val="24"/>
                <w:szCs w:val="24"/>
              </w:rPr>
            </w:pPr>
            <w:r>
              <w:rPr>
                <w:rFonts w:hint="eastAsia" w:ascii="仿宋" w:hAnsi="仿宋" w:eastAsia="仿宋" w:cs="仿宋"/>
                <w:color w:val="auto"/>
                <w:sz w:val="24"/>
                <w:szCs w:val="24"/>
              </w:rPr>
              <w:t>以通过资格审查及符合性审查的</w:t>
            </w:r>
            <w:r>
              <w:rPr>
                <w:rFonts w:hint="eastAsia" w:ascii="仿宋" w:hAnsi="仿宋" w:eastAsia="仿宋" w:cs="仿宋"/>
                <w:bCs/>
                <w:color w:val="auto"/>
                <w:kern w:val="0"/>
                <w:sz w:val="24"/>
                <w:szCs w:val="24"/>
              </w:rPr>
              <w:t>企业</w:t>
            </w:r>
            <w:r>
              <w:rPr>
                <w:rFonts w:hint="eastAsia" w:ascii="仿宋" w:hAnsi="仿宋" w:eastAsia="仿宋" w:cs="仿宋"/>
                <w:color w:val="auto"/>
                <w:sz w:val="24"/>
                <w:szCs w:val="24"/>
              </w:rPr>
              <w:t>搬迁评估报价的有效投标报价的最低价作为评标基准价。</w:t>
            </w:r>
          </w:p>
          <w:p w14:paraId="4EF46E63">
            <w:pPr>
              <w:widowControl/>
              <w:rPr>
                <w:rFonts w:ascii="仿宋" w:hAnsi="仿宋" w:eastAsia="仿宋" w:cs="仿宋"/>
                <w:color w:val="auto"/>
                <w:sz w:val="24"/>
              </w:rPr>
            </w:pPr>
            <w:r>
              <w:rPr>
                <w:rFonts w:hint="eastAsia" w:ascii="仿宋" w:hAnsi="仿宋" w:eastAsia="仿宋" w:cs="仿宋"/>
                <w:color w:val="auto"/>
                <w:sz w:val="24"/>
              </w:rPr>
              <w:t>投标报价得分=(评标基准价／投标报价)×价格权值×100</w:t>
            </w:r>
          </w:p>
          <w:p w14:paraId="11F47349">
            <w:pPr>
              <w:rPr>
                <w:rFonts w:hint="eastAsia" w:ascii="仿宋" w:hAnsi="仿宋" w:eastAsia="仿宋" w:cs="仿宋"/>
                <w:color w:val="auto"/>
                <w:sz w:val="24"/>
                <w:szCs w:val="24"/>
              </w:rPr>
            </w:pPr>
            <w:r>
              <w:rPr>
                <w:rFonts w:hint="eastAsia" w:ascii="仿宋" w:hAnsi="仿宋" w:eastAsia="仿宋" w:cs="仿宋"/>
                <w:color w:val="auto"/>
                <w:sz w:val="24"/>
              </w:rPr>
              <w:t>（计算得分保留小数点后2位）</w:t>
            </w:r>
          </w:p>
          <w:p w14:paraId="101AB542">
            <w:pPr>
              <w:rPr>
                <w:rFonts w:hint="eastAsia" w:ascii="仿宋" w:hAnsi="仿宋" w:eastAsia="仿宋" w:cs="仿宋"/>
                <w:color w:val="auto"/>
                <w:sz w:val="24"/>
                <w:szCs w:val="24"/>
              </w:rPr>
            </w:pPr>
          </w:p>
        </w:tc>
        <w:tc>
          <w:tcPr>
            <w:tcW w:w="1731" w:type="dxa"/>
            <w:gridSpan w:val="2"/>
            <w:tcBorders>
              <w:top w:val="single" w:color="auto" w:sz="4" w:space="0"/>
              <w:bottom w:val="single" w:color="auto" w:sz="4" w:space="0"/>
            </w:tcBorders>
            <w:vAlign w:val="center"/>
          </w:tcPr>
          <w:p w14:paraId="3639161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r>
      <w:tr w14:paraId="745826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6" w:hRule="atLeast"/>
        </w:trPr>
        <w:tc>
          <w:tcPr>
            <w:tcW w:w="611" w:type="dxa"/>
            <w:vMerge w:val="continue"/>
            <w:vAlign w:val="center"/>
          </w:tcPr>
          <w:p w14:paraId="7747F7AB">
            <w:pPr>
              <w:rPr>
                <w:rFonts w:hint="eastAsia" w:ascii="仿宋" w:hAnsi="仿宋" w:eastAsia="仿宋" w:cs="仿宋"/>
                <w:sz w:val="24"/>
                <w:szCs w:val="24"/>
              </w:rPr>
            </w:pPr>
          </w:p>
        </w:tc>
        <w:tc>
          <w:tcPr>
            <w:tcW w:w="589" w:type="dxa"/>
            <w:tcBorders>
              <w:top w:val="single" w:color="auto" w:sz="4" w:space="0"/>
              <w:bottom w:val="single" w:color="auto" w:sz="4" w:space="0"/>
            </w:tcBorders>
            <w:vAlign w:val="center"/>
          </w:tcPr>
          <w:p w14:paraId="1EF55B2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23</w:t>
            </w:r>
          </w:p>
        </w:tc>
        <w:tc>
          <w:tcPr>
            <w:tcW w:w="6389" w:type="dxa"/>
            <w:tcBorders>
              <w:top w:val="single" w:color="auto" w:sz="4" w:space="0"/>
              <w:bottom w:val="single" w:color="auto" w:sz="4" w:space="0"/>
            </w:tcBorders>
          </w:tcPr>
          <w:p w14:paraId="5BDDA226">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承诺</w:t>
            </w:r>
            <w:r>
              <w:rPr>
                <w:rFonts w:hint="eastAsia" w:ascii="仿宋" w:hAnsi="仿宋" w:eastAsia="仿宋" w:cs="仿宋"/>
                <w:color w:val="auto"/>
                <w:sz w:val="24"/>
                <w:szCs w:val="24"/>
              </w:rPr>
              <w:t>响应</w:t>
            </w:r>
            <w:r>
              <w:rPr>
                <w:rFonts w:hint="eastAsia" w:ascii="仿宋" w:hAnsi="仿宋" w:eastAsia="仿宋" w:cs="仿宋"/>
                <w:color w:val="auto"/>
                <w:sz w:val="24"/>
                <w:szCs w:val="24"/>
                <w:lang w:val="en-US" w:eastAsia="zh-CN"/>
              </w:rPr>
              <w:t>下列</w:t>
            </w:r>
            <w:r>
              <w:rPr>
                <w:rFonts w:hint="eastAsia" w:ascii="仿宋" w:hAnsi="仿宋" w:eastAsia="仿宋" w:cs="仿宋"/>
                <w:color w:val="auto"/>
                <w:sz w:val="24"/>
                <w:szCs w:val="24"/>
              </w:rPr>
              <w:t>要求</w:t>
            </w:r>
            <w:r>
              <w:rPr>
                <w:rFonts w:hint="eastAsia" w:ascii="仿宋" w:hAnsi="仿宋" w:eastAsia="仿宋" w:cs="仿宋"/>
                <w:color w:val="auto"/>
                <w:sz w:val="24"/>
                <w:szCs w:val="24"/>
                <w:lang w:val="en-US" w:eastAsia="zh-CN"/>
              </w:rPr>
              <w:t>的得5分</w:t>
            </w:r>
          </w:p>
          <w:p w14:paraId="27F8D597">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1、土地使用权和机器设备评估最高按照《浙江省物价局关于资产评估收费问题的通知》（浙价服【2011】90 号）的50%收取费用，收费不足1500/户的按1500元/户收取。</w:t>
            </w:r>
          </w:p>
          <w:p w14:paraId="4426382A">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2、评估涉及土地测绘费，按10亩（含）以内每宗地4000元标准计费，超出10亩的按每亩递增300元计价（不足一亩按一亩计算），但每宗土地测绘费最高不得超过30000元。3、房屋、机器设备残值报告按3000元/份</w:t>
            </w:r>
          </w:p>
        </w:tc>
        <w:tc>
          <w:tcPr>
            <w:tcW w:w="1731" w:type="dxa"/>
            <w:gridSpan w:val="2"/>
            <w:tcBorders>
              <w:top w:val="single" w:color="auto" w:sz="4" w:space="0"/>
              <w:bottom w:val="single" w:color="auto" w:sz="4" w:space="0"/>
            </w:tcBorders>
            <w:vAlign w:val="center"/>
          </w:tcPr>
          <w:p w14:paraId="50D0C66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r>
    </w:tbl>
    <w:p w14:paraId="774ABD36">
      <w:pPr>
        <w:pStyle w:val="2"/>
        <w:rPr>
          <w:rFonts w:hint="eastAsia" w:ascii="仿宋" w:hAnsi="仿宋" w:eastAsia="仿宋" w:cs="仿宋"/>
          <w:b/>
          <w:color w:val="auto"/>
          <w:sz w:val="24"/>
          <w:szCs w:val="24"/>
          <w:highlight w:val="none"/>
        </w:rPr>
      </w:pPr>
    </w:p>
    <w:p w14:paraId="6BB1ACFA">
      <w:pPr>
        <w:rPr>
          <w:rFonts w:hint="eastAsia" w:ascii="仿宋" w:hAnsi="仿宋" w:eastAsia="仿宋" w:cs="仿宋"/>
          <w:sz w:val="24"/>
          <w:szCs w:val="24"/>
        </w:rPr>
      </w:pPr>
    </w:p>
    <w:p w14:paraId="63F1AC41">
      <w:pPr>
        <w:rPr>
          <w:rFonts w:hint="eastAsia" w:ascii="仿宋" w:hAnsi="仿宋" w:eastAsia="仿宋" w:cs="仿宋"/>
          <w:color w:val="auto"/>
          <w:sz w:val="24"/>
          <w:szCs w:val="24"/>
          <w:highlight w:val="none"/>
          <w:lang w:val="en-US" w:eastAsia="zh-CN"/>
        </w:rPr>
      </w:pPr>
    </w:p>
    <w:p w14:paraId="76004B9A">
      <w:pPr>
        <w:rPr>
          <w:rFonts w:hint="eastAsia" w:ascii="仿宋" w:hAnsi="仿宋" w:eastAsia="仿宋" w:cs="仿宋"/>
          <w:color w:val="auto"/>
          <w:sz w:val="24"/>
          <w:szCs w:val="24"/>
          <w:highlight w:val="none"/>
          <w:lang w:val="en-US" w:eastAsia="zh-CN"/>
        </w:rPr>
      </w:pPr>
    </w:p>
    <w:p w14:paraId="72382CAA">
      <w:pPr>
        <w:rPr>
          <w:rFonts w:hint="eastAsia" w:ascii="仿宋" w:hAnsi="仿宋" w:eastAsia="仿宋" w:cs="仿宋"/>
          <w:sz w:val="24"/>
          <w:szCs w:val="24"/>
          <w:lang w:val="en-US" w:eastAsia="zh-CN"/>
        </w:rPr>
      </w:pPr>
    </w:p>
    <w:p w14:paraId="364E1BC3">
      <w:pPr>
        <w:pStyle w:val="2"/>
        <w:rPr>
          <w:rFonts w:hint="eastAsia"/>
          <w:lang w:val="en-US" w:eastAsia="zh-CN"/>
        </w:rPr>
      </w:pPr>
    </w:p>
    <w:p w14:paraId="0D59CCF3">
      <w:pPr>
        <w:snapToGrid w:val="0"/>
        <w:spacing w:line="360" w:lineRule="auto"/>
        <w:rPr>
          <w:rFonts w:ascii="仿宋" w:hAnsi="仿宋" w:eastAsia="仿宋" w:cs="仿宋"/>
          <w:b/>
          <w:sz w:val="24"/>
        </w:rPr>
      </w:pPr>
    </w:p>
    <w:p w14:paraId="68B78A9C">
      <w:pPr>
        <w:snapToGrid w:val="0"/>
        <w:spacing w:line="360" w:lineRule="auto"/>
        <w:rPr>
          <w:rFonts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供应商编制投标文件（商务技术文件部分）时，建议按此目录（序号和内容）提供评标标准相应的商务技术资料。</w:t>
      </w:r>
    </w:p>
    <w:p w14:paraId="1DC0F94E">
      <w:pPr>
        <w:widowControl/>
        <w:adjustRightInd/>
        <w:jc w:val="left"/>
        <w:rPr>
          <w:rFonts w:ascii="仿宋" w:hAnsi="仿宋" w:eastAsia="仿宋" w:cs="仿宋"/>
          <w:b/>
          <w:sz w:val="32"/>
        </w:rPr>
      </w:pPr>
      <w:r>
        <w:rPr>
          <w:rFonts w:hint="eastAsia" w:ascii="仿宋" w:hAnsi="仿宋" w:eastAsia="仿宋" w:cs="仿宋"/>
          <w:b/>
          <w:sz w:val="32"/>
        </w:rPr>
        <w:br w:type="page"/>
      </w:r>
    </w:p>
    <w:p w14:paraId="09237A5B">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6E2DDA7E">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综合评分法，是指投标文件满足交易文件全部实质性要求，且按照评审因素的量化指标评审得分最高的供应商为中标候选人的评标方法。</w:t>
      </w:r>
    </w:p>
    <w:p w14:paraId="7B6A982B">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33BD16F8">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73633403">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2433863A">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评标委员会应当对符合资格的供应商的投标文件进行符合性审查，以确定其是否满足交易文件的实质性要求。不满足交易文件的实质性要求的，投标无效。</w:t>
      </w:r>
    </w:p>
    <w:p w14:paraId="11761A2D">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评标委员会应当按照交易文件中规定的评标方法和标准，对符合性审查合格的投标文件进行商务和技术评估，综合比较与评价。</w:t>
      </w:r>
    </w:p>
    <w:p w14:paraId="50FD63BC">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76EE25C9">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14:paraId="57D1A91B">
      <w:pPr>
        <w:pStyle w:val="220"/>
        <w:spacing w:before="0"/>
        <w:ind w:firstLine="0" w:firstLineChars="0"/>
        <w:rPr>
          <w:rFonts w:ascii="仿宋" w:hAnsi="仿宋" w:eastAsia="仿宋" w:cs="仿宋"/>
          <w:b/>
          <w:kern w:val="0"/>
        </w:rPr>
      </w:pPr>
      <w:r>
        <w:rPr>
          <w:rFonts w:hint="eastAsia" w:ascii="仿宋" w:hAnsi="仿宋" w:eastAsia="仿宋" w:cs="仿宋"/>
          <w:b/>
          <w:kern w:val="0"/>
        </w:rPr>
        <w:t>3.4.1投标文件报价出现前后不一致的，按照下列规定修正：</w:t>
      </w:r>
    </w:p>
    <w:p w14:paraId="17897D02">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D350DD0">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3DF6F5D0">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6C3946C">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73BF661">
      <w:pPr>
        <w:pStyle w:val="220"/>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7B2C7182">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22EAB8D7">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投标报价超过交易文件中规定的预算金额或者最高限价的，投标无效。</w:t>
      </w:r>
    </w:p>
    <w:p w14:paraId="4C3E921B">
      <w:pPr>
        <w:pStyle w:val="220"/>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0E12C0E9">
      <w:pPr>
        <w:spacing w:line="360" w:lineRule="auto"/>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5951A874">
      <w:pPr>
        <w:spacing w:line="360" w:lineRule="auto"/>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6322FCF2">
      <w:pPr>
        <w:widowControl/>
        <w:adjustRightInd/>
        <w:spacing w:before="100" w:beforeAutospacing="1" w:after="100" w:afterAutospacing="1" w:line="360" w:lineRule="auto"/>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63EA0F">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3E9B6A3C">
      <w:pPr>
        <w:pStyle w:val="220"/>
        <w:spacing w:before="0"/>
        <w:ind w:firstLine="0" w:firstLineChars="0"/>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B98FD6F">
      <w:pPr>
        <w:widowControl/>
        <w:adjustRightInd/>
        <w:spacing w:after="225" w:line="315" w:lineRule="atLeast"/>
        <w:jc w:val="left"/>
        <w:rPr>
          <w:rFonts w:ascii="仿宋" w:hAnsi="仿宋" w:eastAsia="仿宋" w:cs="仿宋"/>
          <w:kern w:val="0"/>
          <w:szCs w:val="21"/>
        </w:rPr>
      </w:pPr>
    </w:p>
    <w:p w14:paraId="645656C1">
      <w:pPr>
        <w:pStyle w:val="25"/>
        <w:spacing w:line="360" w:lineRule="auto"/>
        <w:ind w:left="559" w:hanging="559" w:hangingChars="19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14:paraId="25592B3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50D3FF6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4.2.2投标文件未按照交易文件要求签署、盖章的；</w:t>
      </w:r>
    </w:p>
    <w:p w14:paraId="3752245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478BD8F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96D4FE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4.2.5投标文件中承诺的投标有效期少于交易文件中载明的投标有效期的；</w:t>
      </w:r>
    </w:p>
    <w:p w14:paraId="793D7BE9">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11E4A6F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4.2.7投标报价超过交易文件中规定的预算金额或者最高限价的;</w:t>
      </w:r>
    </w:p>
    <w:p w14:paraId="5A00370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3FAC606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1BB2374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4.2.10供应商提供虚假材料投标的；</w:t>
      </w:r>
    </w:p>
    <w:p w14:paraId="28EB0D16">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14:paraId="110964C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4.2.12供应商仅提交备份投标文件，没有在电子交易平台传输递交投标文件的，投标无效；</w:t>
      </w:r>
    </w:p>
    <w:p w14:paraId="195DA4D8">
      <w:pPr>
        <w:pStyle w:val="6"/>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投标文件不满足交易文件的其它实质性要求的；</w:t>
      </w:r>
    </w:p>
    <w:p w14:paraId="0589556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2BABAF52">
      <w:pPr>
        <w:pStyle w:val="25"/>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38255167">
      <w:pPr>
        <w:pStyle w:val="25"/>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0D0380E1">
      <w:pPr>
        <w:pStyle w:val="25"/>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4B220A0F">
      <w:pPr>
        <w:pStyle w:val="25"/>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72D0E623">
      <w:pPr>
        <w:pStyle w:val="25"/>
        <w:snapToGrid w:val="0"/>
        <w:spacing w:line="360" w:lineRule="auto"/>
        <w:rPr>
          <w:rFonts w:ascii="仿宋" w:hAnsi="仿宋" w:eastAsia="仿宋" w:cs="仿宋"/>
        </w:rPr>
      </w:pPr>
      <w:r>
        <w:rPr>
          <w:rFonts w:hint="eastAsia" w:ascii="仿宋" w:hAnsi="仿宋" w:eastAsia="仿宋" w:cs="仿宋"/>
        </w:rPr>
        <w:t>5.4因重大变故，采购任务取消的。</w:t>
      </w:r>
    </w:p>
    <w:p w14:paraId="747783CE">
      <w:pPr>
        <w:pStyle w:val="25"/>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3834678A">
      <w:pPr>
        <w:pStyle w:val="25"/>
        <w:snapToGrid w:val="0"/>
        <w:spacing w:line="360" w:lineRule="auto"/>
        <w:ind w:firstLine="118" w:firstLineChars="49"/>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285BD237">
      <w:pPr>
        <w:pStyle w:val="25"/>
        <w:snapToGrid w:val="0"/>
        <w:spacing w:line="360" w:lineRule="auto"/>
        <w:ind w:firstLine="118" w:firstLineChars="4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5159EC8C">
      <w:pPr>
        <w:pStyle w:val="25"/>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14:paraId="2935DDCC">
      <w:pPr>
        <w:pStyle w:val="25"/>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14:paraId="091C4B5E">
      <w:pPr>
        <w:pStyle w:val="25"/>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14:paraId="5590C579">
      <w:pPr>
        <w:pStyle w:val="25"/>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4512BB4C">
      <w:pPr>
        <w:pStyle w:val="25"/>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39174BC9">
      <w:pPr>
        <w:widowControl/>
        <w:spacing w:line="360" w:lineRule="auto"/>
        <w:ind w:firstLine="480" w:firstLineChars="200"/>
        <w:rPr>
          <w:rFonts w:ascii="仿宋" w:hAnsi="仿宋" w:eastAsia="仿宋" w:cs="仿宋"/>
          <w:sz w:val="24"/>
        </w:rPr>
      </w:pPr>
    </w:p>
    <w:p w14:paraId="298C01F9">
      <w:pPr>
        <w:pStyle w:val="5"/>
        <w:rPr>
          <w:rFonts w:hint="eastAsia" w:ascii="仿宋" w:hAnsi="仿宋" w:eastAsia="仿宋" w:cs="仿宋"/>
          <w:color w:val="auto"/>
          <w:highlight w:val="none"/>
        </w:rPr>
      </w:pPr>
      <w:r>
        <w:rPr>
          <w:rFonts w:hint="eastAsia" w:cs="仿宋"/>
          <w:color w:val="auto"/>
          <w:sz w:val="24"/>
        </w:rPr>
        <w:br w:type="page"/>
      </w:r>
      <w:bookmarkEnd w:id="60"/>
      <w:bookmarkStart w:id="426" w:name="第五部分"/>
      <w:bookmarkStart w:id="427" w:name="_Toc86217003"/>
      <w:r>
        <w:rPr>
          <w:rFonts w:hint="eastAsia" w:ascii="仿宋" w:hAnsi="仿宋" w:eastAsia="仿宋" w:cs="仿宋"/>
          <w:color w:val="auto"/>
          <w:highlight w:val="none"/>
        </w:rPr>
        <w:t>第五部分 拟签订的合同文本</w:t>
      </w:r>
    </w:p>
    <w:p w14:paraId="78D018E6">
      <w:pPr>
        <w:pStyle w:val="25"/>
        <w:snapToGrid w:val="0"/>
        <w:spacing w:line="360" w:lineRule="auto"/>
        <w:ind w:firstLine="31680"/>
        <w:jc w:val="center"/>
        <w:rPr>
          <w:rFonts w:hint="eastAsia" w:ascii="仿宋" w:hAnsi="仿宋" w:eastAsia="仿宋" w:cs="仿宋"/>
          <w:color w:val="auto"/>
          <w:highlight w:val="none"/>
        </w:rPr>
      </w:pPr>
      <w:r>
        <w:rPr>
          <w:rFonts w:hint="eastAsia" w:ascii="仿宋" w:hAnsi="仿宋" w:eastAsia="仿宋" w:cs="仿宋"/>
          <w:color w:val="auto"/>
          <w:highlight w:val="none"/>
        </w:rPr>
        <w:t>（服务类参考样本</w:t>
      </w:r>
      <w:r>
        <w:rPr>
          <w:rFonts w:hint="eastAsia" w:ascii="仿宋" w:hAnsi="仿宋" w:eastAsia="仿宋" w:cs="仿宋"/>
          <w:color w:val="auto"/>
          <w:highlight w:val="none"/>
          <w:lang w:val="en-US" w:eastAsia="zh-CN"/>
        </w:rPr>
        <w:t>,具体以交易人实际合同为准</w:t>
      </w:r>
      <w:r>
        <w:rPr>
          <w:rFonts w:hint="eastAsia" w:ascii="仿宋" w:hAnsi="仿宋" w:eastAsia="仿宋" w:cs="仿宋"/>
          <w:color w:val="auto"/>
          <w:highlight w:val="none"/>
        </w:rPr>
        <w:t>）</w:t>
      </w:r>
    </w:p>
    <w:p w14:paraId="5181EA22">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合同编号：</w:t>
      </w:r>
    </w:p>
    <w:p w14:paraId="6D3FE342">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签订地点：                                 签订时间：20</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年  月  日</w:t>
      </w:r>
    </w:p>
    <w:p w14:paraId="07685DF9">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项目名称：</w:t>
      </w:r>
    </w:p>
    <w:p w14:paraId="4033D136">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lang w:val="en-US" w:eastAsia="zh-CN"/>
        </w:rPr>
        <w:t>出资</w:t>
      </w:r>
      <w:r>
        <w:rPr>
          <w:rFonts w:hint="eastAsia" w:ascii="仿宋" w:hAnsi="仿宋" w:eastAsia="仿宋" w:cs="仿宋"/>
          <w:color w:val="auto"/>
          <w:highlight w:val="none"/>
        </w:rPr>
        <w:t>方）：浙江湘旅绿色开发建设有限公司</w:t>
      </w:r>
    </w:p>
    <w:p w14:paraId="05DF1100">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乙方（供方）：</w:t>
      </w:r>
    </w:p>
    <w:p w14:paraId="098CE44E">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丙</w:t>
      </w:r>
      <w:r>
        <w:rPr>
          <w:rFonts w:hint="eastAsia" w:ascii="仿宋" w:hAnsi="仿宋" w:eastAsia="仿宋" w:cs="仿宋"/>
          <w:color w:val="auto"/>
          <w:highlight w:val="none"/>
        </w:rPr>
        <w:t>方（</w:t>
      </w:r>
      <w:r>
        <w:rPr>
          <w:rFonts w:hint="eastAsia" w:ascii="仿宋" w:hAnsi="仿宋" w:eastAsia="仿宋" w:cs="仿宋"/>
          <w:color w:val="auto"/>
          <w:highlight w:val="none"/>
          <w:lang w:val="en-US" w:eastAsia="zh-CN"/>
        </w:rPr>
        <w:t>使用</w:t>
      </w:r>
      <w:r>
        <w:rPr>
          <w:rFonts w:hint="eastAsia" w:ascii="仿宋" w:hAnsi="仿宋" w:eastAsia="仿宋" w:cs="仿宋"/>
          <w:color w:val="auto"/>
          <w:highlight w:val="none"/>
        </w:rPr>
        <w:t>方）</w:t>
      </w:r>
      <w:r>
        <w:rPr>
          <w:rFonts w:hint="eastAsia" w:ascii="仿宋" w:hAnsi="仿宋" w:eastAsia="仿宋" w:cs="仿宋"/>
          <w:color w:val="auto"/>
          <w:highlight w:val="none"/>
          <w:lang w:eastAsia="zh-CN"/>
        </w:rPr>
        <w:t>：杭州市萧山区人民政府闻堰街道办事处</w:t>
      </w:r>
      <w:r>
        <w:rPr>
          <w:rFonts w:hint="eastAsia" w:ascii="仿宋" w:hAnsi="仿宋" w:eastAsia="仿宋" w:cs="仿宋"/>
          <w:color w:val="auto"/>
          <w:highlight w:val="none"/>
        </w:rPr>
        <w:t xml:space="preserve">                                     </w:t>
      </w:r>
    </w:p>
    <w:p w14:paraId="518C08E5">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供、需双方根据杭州市萧山区                             项目（</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编号</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 xml:space="preserve">  -  -   ）</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结果和</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文件的要求，并经双方协调一致，订立本采购合同。</w:t>
      </w:r>
    </w:p>
    <w:p w14:paraId="1B207C84">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一、合同文件：</w:t>
      </w:r>
    </w:p>
    <w:p w14:paraId="2111D658">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1、合同条款。</w:t>
      </w:r>
    </w:p>
    <w:p w14:paraId="3E277E01">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2、中标通知书。</w:t>
      </w:r>
    </w:p>
    <w:p w14:paraId="280CE6A7">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w:t>
      </w:r>
    </w:p>
    <w:p w14:paraId="4320CF7A">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4、更正公告。</w:t>
      </w:r>
    </w:p>
    <w:p w14:paraId="3355F52D">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5、中标单位投标文件。</w:t>
      </w:r>
    </w:p>
    <w:p w14:paraId="1C8808A8">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6、其他。</w:t>
      </w:r>
    </w:p>
    <w:p w14:paraId="48D995F7">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本合同金额为(大写)_________________元（￥　　　　元）人民币附：《采购项目清单内容》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19D9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4B337586">
            <w:pPr>
              <w:pStyle w:val="25"/>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92" w:type="dxa"/>
            <w:vAlign w:val="center"/>
          </w:tcPr>
          <w:p w14:paraId="0A108583">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采购项目</w:t>
            </w:r>
          </w:p>
        </w:tc>
        <w:tc>
          <w:tcPr>
            <w:tcW w:w="1800" w:type="dxa"/>
            <w:vAlign w:val="center"/>
          </w:tcPr>
          <w:p w14:paraId="0228451B">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中标内容</w:t>
            </w:r>
          </w:p>
        </w:tc>
        <w:tc>
          <w:tcPr>
            <w:tcW w:w="1758" w:type="dxa"/>
            <w:vAlign w:val="center"/>
          </w:tcPr>
          <w:p w14:paraId="231E34E8">
            <w:pPr>
              <w:pStyle w:val="25"/>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中标单价（元）</w:t>
            </w:r>
          </w:p>
        </w:tc>
        <w:tc>
          <w:tcPr>
            <w:tcW w:w="762" w:type="dxa"/>
            <w:vAlign w:val="center"/>
          </w:tcPr>
          <w:p w14:paraId="7DF938A1">
            <w:pPr>
              <w:pStyle w:val="25"/>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867" w:type="dxa"/>
            <w:vAlign w:val="center"/>
          </w:tcPr>
          <w:p w14:paraId="5AFD33CF">
            <w:pPr>
              <w:pStyle w:val="25"/>
              <w:snapToGrid w:val="0"/>
              <w:spacing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中标总价（元）</w:t>
            </w:r>
          </w:p>
        </w:tc>
      </w:tr>
      <w:tr w14:paraId="2795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751BF9FC">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92" w:type="dxa"/>
            <w:vAlign w:val="center"/>
          </w:tcPr>
          <w:p w14:paraId="6183884F">
            <w:pPr>
              <w:pStyle w:val="25"/>
              <w:snapToGrid w:val="0"/>
              <w:spacing w:line="360" w:lineRule="auto"/>
              <w:ind w:firstLine="31680"/>
              <w:rPr>
                <w:rFonts w:hint="eastAsia" w:ascii="仿宋" w:hAnsi="仿宋" w:eastAsia="仿宋" w:cs="仿宋"/>
                <w:color w:val="auto"/>
                <w:highlight w:val="none"/>
              </w:rPr>
            </w:pPr>
          </w:p>
        </w:tc>
        <w:tc>
          <w:tcPr>
            <w:tcW w:w="1800" w:type="dxa"/>
            <w:vAlign w:val="center"/>
          </w:tcPr>
          <w:p w14:paraId="3C9022D4">
            <w:pPr>
              <w:pStyle w:val="25"/>
              <w:snapToGrid w:val="0"/>
              <w:spacing w:line="360" w:lineRule="auto"/>
              <w:ind w:firstLine="31680"/>
              <w:rPr>
                <w:rFonts w:hint="eastAsia" w:ascii="仿宋" w:hAnsi="仿宋" w:eastAsia="仿宋" w:cs="仿宋"/>
                <w:color w:val="auto"/>
                <w:highlight w:val="none"/>
              </w:rPr>
            </w:pPr>
          </w:p>
        </w:tc>
        <w:tc>
          <w:tcPr>
            <w:tcW w:w="1758" w:type="dxa"/>
            <w:vAlign w:val="center"/>
          </w:tcPr>
          <w:p w14:paraId="5917E0C2">
            <w:pPr>
              <w:pStyle w:val="25"/>
              <w:snapToGrid w:val="0"/>
              <w:spacing w:line="360" w:lineRule="auto"/>
              <w:ind w:firstLine="31680"/>
              <w:rPr>
                <w:rFonts w:hint="eastAsia" w:ascii="仿宋" w:hAnsi="仿宋" w:eastAsia="仿宋" w:cs="仿宋"/>
                <w:color w:val="auto"/>
                <w:highlight w:val="none"/>
              </w:rPr>
            </w:pPr>
          </w:p>
        </w:tc>
        <w:tc>
          <w:tcPr>
            <w:tcW w:w="762" w:type="dxa"/>
            <w:vAlign w:val="center"/>
          </w:tcPr>
          <w:p w14:paraId="4A1B35B2">
            <w:pPr>
              <w:pStyle w:val="25"/>
              <w:snapToGrid w:val="0"/>
              <w:spacing w:line="360" w:lineRule="auto"/>
              <w:ind w:firstLine="31680"/>
              <w:rPr>
                <w:rFonts w:hint="eastAsia" w:ascii="仿宋" w:hAnsi="仿宋" w:eastAsia="仿宋" w:cs="仿宋"/>
                <w:color w:val="auto"/>
                <w:highlight w:val="none"/>
              </w:rPr>
            </w:pPr>
          </w:p>
        </w:tc>
        <w:tc>
          <w:tcPr>
            <w:tcW w:w="1867" w:type="dxa"/>
            <w:vAlign w:val="center"/>
          </w:tcPr>
          <w:p w14:paraId="4E8952FA">
            <w:pPr>
              <w:pStyle w:val="25"/>
              <w:snapToGrid w:val="0"/>
              <w:spacing w:line="360" w:lineRule="auto"/>
              <w:ind w:firstLine="31680"/>
              <w:rPr>
                <w:rFonts w:hint="eastAsia" w:ascii="仿宋" w:hAnsi="仿宋" w:eastAsia="仿宋" w:cs="仿宋"/>
                <w:color w:val="auto"/>
                <w:highlight w:val="none"/>
              </w:rPr>
            </w:pPr>
          </w:p>
        </w:tc>
      </w:tr>
      <w:tr w14:paraId="146E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4EDABADC">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92" w:type="dxa"/>
            <w:vAlign w:val="center"/>
          </w:tcPr>
          <w:p w14:paraId="10A22271">
            <w:pPr>
              <w:pStyle w:val="25"/>
              <w:snapToGrid w:val="0"/>
              <w:spacing w:line="360" w:lineRule="auto"/>
              <w:ind w:firstLine="31680"/>
              <w:rPr>
                <w:rFonts w:hint="eastAsia" w:ascii="仿宋" w:hAnsi="仿宋" w:eastAsia="仿宋" w:cs="仿宋"/>
                <w:color w:val="auto"/>
                <w:highlight w:val="none"/>
              </w:rPr>
            </w:pPr>
          </w:p>
        </w:tc>
        <w:tc>
          <w:tcPr>
            <w:tcW w:w="1800" w:type="dxa"/>
            <w:vAlign w:val="center"/>
          </w:tcPr>
          <w:p w14:paraId="455C2179">
            <w:pPr>
              <w:pStyle w:val="25"/>
              <w:snapToGrid w:val="0"/>
              <w:spacing w:line="360" w:lineRule="auto"/>
              <w:ind w:firstLine="31680"/>
              <w:rPr>
                <w:rFonts w:hint="eastAsia" w:ascii="仿宋" w:hAnsi="仿宋" w:eastAsia="仿宋" w:cs="仿宋"/>
                <w:color w:val="auto"/>
                <w:highlight w:val="none"/>
              </w:rPr>
            </w:pPr>
          </w:p>
        </w:tc>
        <w:tc>
          <w:tcPr>
            <w:tcW w:w="1758" w:type="dxa"/>
            <w:vAlign w:val="center"/>
          </w:tcPr>
          <w:p w14:paraId="30824152">
            <w:pPr>
              <w:pStyle w:val="25"/>
              <w:snapToGrid w:val="0"/>
              <w:spacing w:line="360" w:lineRule="auto"/>
              <w:ind w:firstLine="31680"/>
              <w:rPr>
                <w:rFonts w:hint="eastAsia" w:ascii="仿宋" w:hAnsi="仿宋" w:eastAsia="仿宋" w:cs="仿宋"/>
                <w:color w:val="auto"/>
                <w:highlight w:val="none"/>
              </w:rPr>
            </w:pPr>
          </w:p>
        </w:tc>
        <w:tc>
          <w:tcPr>
            <w:tcW w:w="762" w:type="dxa"/>
            <w:vAlign w:val="center"/>
          </w:tcPr>
          <w:p w14:paraId="1C9B58DA">
            <w:pPr>
              <w:pStyle w:val="25"/>
              <w:snapToGrid w:val="0"/>
              <w:spacing w:line="360" w:lineRule="auto"/>
              <w:ind w:firstLine="31680"/>
              <w:rPr>
                <w:rFonts w:hint="eastAsia" w:ascii="仿宋" w:hAnsi="仿宋" w:eastAsia="仿宋" w:cs="仿宋"/>
                <w:color w:val="auto"/>
                <w:highlight w:val="none"/>
              </w:rPr>
            </w:pPr>
          </w:p>
        </w:tc>
        <w:tc>
          <w:tcPr>
            <w:tcW w:w="1867" w:type="dxa"/>
            <w:vAlign w:val="center"/>
          </w:tcPr>
          <w:p w14:paraId="26F9145A">
            <w:pPr>
              <w:pStyle w:val="25"/>
              <w:snapToGrid w:val="0"/>
              <w:spacing w:line="360" w:lineRule="auto"/>
              <w:ind w:firstLine="31680"/>
              <w:rPr>
                <w:rFonts w:hint="eastAsia" w:ascii="仿宋" w:hAnsi="仿宋" w:eastAsia="仿宋" w:cs="仿宋"/>
                <w:color w:val="auto"/>
                <w:highlight w:val="none"/>
              </w:rPr>
            </w:pPr>
          </w:p>
        </w:tc>
      </w:tr>
    </w:tbl>
    <w:p w14:paraId="3BA9056D">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三、技术资料</w:t>
      </w:r>
    </w:p>
    <w:p w14:paraId="5E60605A">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1.乙方应按</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文件规定的时间向甲方提供有关技术资料。</w:t>
      </w:r>
    </w:p>
    <w:p w14:paraId="01FB14D1">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568E5D0">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四、知识产权</w:t>
      </w:r>
    </w:p>
    <w:p w14:paraId="6DACA47B">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乙方应保证提供服务过程中不会侵犯任何第三方的知识产权。</w:t>
      </w:r>
    </w:p>
    <w:p w14:paraId="55623157">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五、履约保证金</w:t>
      </w:r>
    </w:p>
    <w:p w14:paraId="7686FABE">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乙方交纳人民币        元作为本合同的履约保证金。</w:t>
      </w:r>
    </w:p>
    <w:p w14:paraId="5CB93143">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六、转包或分包</w:t>
      </w:r>
    </w:p>
    <w:p w14:paraId="497C794A">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1.若无资质，涉及测绘工作经业主同意认可后，可由供应商委托有相应资质的公司。其余内容不允许分包；</w:t>
      </w:r>
    </w:p>
    <w:p w14:paraId="29DCE450">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2.除非得到甲方的书面同意，乙方不得将本合同范围的服务全部或部分分包给他人供应；</w:t>
      </w:r>
    </w:p>
    <w:p w14:paraId="646C1847">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3.如有转让和未经甲方同意的分包行为，甲方有权解除合同，没收履约保证金并追究乙方的违约责任。</w:t>
      </w:r>
    </w:p>
    <w:p w14:paraId="7F11A064">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七、服务质量保证期</w:t>
      </w:r>
    </w:p>
    <w:p w14:paraId="6C16943C">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 服务质量保证期      年。（自验收合格之日起计）</w:t>
      </w:r>
    </w:p>
    <w:p w14:paraId="4370180D">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八、合同履行时间、履行方式及履行地点</w:t>
      </w:r>
    </w:p>
    <w:p w14:paraId="7BB6278F">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 履行时间：</w:t>
      </w:r>
    </w:p>
    <w:p w14:paraId="6D728D1F">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 履行方式：</w:t>
      </w:r>
    </w:p>
    <w:p w14:paraId="135FA42E">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 履行地点：</w:t>
      </w:r>
    </w:p>
    <w:p w14:paraId="35E8C1DF">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九、款项支付</w:t>
      </w:r>
    </w:p>
    <w:p w14:paraId="3FCED092">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1.付款方式：</w:t>
      </w:r>
    </w:p>
    <w:p w14:paraId="68FFB53B">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2.合同履行完毕，需方根据合同进行验收，验收合格后供应商按财政结算要求办理货款结算手续。</w:t>
      </w:r>
    </w:p>
    <w:p w14:paraId="78B58487">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十、税费</w:t>
      </w:r>
    </w:p>
    <w:p w14:paraId="713A215B">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14:paraId="69CBB933">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14:paraId="6B134FCE">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 乙方应按</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文件规定向甲方提供服务。</w:t>
      </w:r>
    </w:p>
    <w:p w14:paraId="0EB5E76D">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 乙方提供的服务成果在服务质量保证期内发生故障，乙方应负责免费提供后续服务。对达不到要求者，根据实际情况，经双方协商，可按以下办法处理：</w:t>
      </w:r>
    </w:p>
    <w:p w14:paraId="0E2F3B97">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⑴重做：由乙方承担所发生的全部费用。</w:t>
      </w:r>
    </w:p>
    <w:p w14:paraId="6A503426">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⑵贬值处理：由甲乙双方合议定价。</w:t>
      </w:r>
    </w:p>
    <w:p w14:paraId="18F8FFAB">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⑶解除合同。</w:t>
      </w:r>
    </w:p>
    <w:p w14:paraId="57F48F1E">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 如在使用过程中发生问题，乙方在接到甲方通知后在</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小时内到达甲方现场。</w:t>
      </w:r>
    </w:p>
    <w:p w14:paraId="53EAB699">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4.在服务质量保证期内，乙方应对出现的质量及安全问题负责处理解决并承担一切费用。</w:t>
      </w:r>
    </w:p>
    <w:p w14:paraId="2CF67C67">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14:paraId="51518FFE">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 五 作为违约金。</w:t>
      </w:r>
    </w:p>
    <w:p w14:paraId="46286CF7">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2.甲方无故逾期验收和办理款项支付手续的，甲方应按逾期付款总额每日万分之 五向乙方支付违约金。</w:t>
      </w:r>
    </w:p>
    <w:p w14:paraId="1B1163C8">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0DB334BB">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4.供方在服务项目验收合格之日起保修期内违反本合同有关承诺保证的，损失由乙方承担赔偿。</w:t>
      </w:r>
    </w:p>
    <w:p w14:paraId="5352376D">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5.如发现乙方违反招投标文件和合同的有关规定，甲方有权根据约定和《杭州市政府采购供应商合同履行和售后服务考核暂行办法》，对乙方进行处罚，并有权提前终止合同。</w:t>
      </w:r>
    </w:p>
    <w:p w14:paraId="22A43EEB">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14:paraId="506BFBF8">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因本合同引起的或与本合同有关的任何争议，合同双方应首先通过协商解决，达成书面协议，如协商不成，可选择下列第      种方式解决。</w:t>
      </w:r>
    </w:p>
    <w:p w14:paraId="34571DB1">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14:paraId="1FA6DB77">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14:paraId="0DC61800">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14:paraId="0E482F52">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1.中标方持中标通知书作为与需方签订合同的凭证。</w:t>
      </w:r>
    </w:p>
    <w:p w14:paraId="71FED4AC">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2.本合同经需、供双方法定代表人或其授权委托人签字并加盖单位公章后生效。</w:t>
      </w:r>
    </w:p>
    <w:p w14:paraId="012D896F">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14:paraId="6684C33F">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地址：                             地址：</w:t>
      </w:r>
    </w:p>
    <w:p w14:paraId="20632D38">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法定代表人（或委托代理人）签名：   法定代表人（或委托代理人）签名：                    </w:t>
      </w:r>
    </w:p>
    <w:p w14:paraId="5F59FED5">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14:paraId="6093146F">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14:paraId="0A3350E9">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14:paraId="6627F409">
      <w:pPr>
        <w:pStyle w:val="25"/>
        <w:snapToGrid w:val="0"/>
        <w:spacing w:line="360" w:lineRule="auto"/>
        <w:ind w:firstLine="31680"/>
        <w:rPr>
          <w:rFonts w:hint="eastAsia" w:ascii="仿宋" w:hAnsi="仿宋" w:eastAsia="仿宋" w:cs="仿宋"/>
          <w:color w:val="auto"/>
          <w:highlight w:val="none"/>
        </w:rPr>
      </w:pPr>
      <w:r>
        <w:rPr>
          <w:rFonts w:hint="eastAsia" w:ascii="仿宋" w:hAnsi="仿宋" w:eastAsia="仿宋" w:cs="仿宋"/>
          <w:color w:val="auto"/>
          <w:highlight w:val="none"/>
        </w:rPr>
        <w:t>帐号：                             帐号：</w:t>
      </w:r>
    </w:p>
    <w:p w14:paraId="4D7EAA67">
      <w:pPr>
        <w:rPr>
          <w:rFonts w:cs="仿宋"/>
        </w:rPr>
      </w:pPr>
    </w:p>
    <w:p w14:paraId="1122CD8F">
      <w:pPr>
        <w:rPr>
          <w:rFonts w:cs="仿宋"/>
        </w:rPr>
      </w:pPr>
    </w:p>
    <w:p w14:paraId="6FFB4EE2">
      <w:pPr>
        <w:rPr>
          <w:rFonts w:cs="仿宋"/>
        </w:rPr>
      </w:pPr>
    </w:p>
    <w:p w14:paraId="07546E59">
      <w:pPr>
        <w:rPr>
          <w:rFonts w:cs="仿宋"/>
        </w:rPr>
      </w:pPr>
    </w:p>
    <w:p w14:paraId="743B006A">
      <w:pPr>
        <w:rPr>
          <w:rFonts w:cs="仿宋"/>
        </w:rPr>
      </w:pPr>
    </w:p>
    <w:p w14:paraId="36AF501B">
      <w:pPr>
        <w:rPr>
          <w:rFonts w:cs="仿宋"/>
        </w:rPr>
      </w:pPr>
    </w:p>
    <w:p w14:paraId="233B0171">
      <w:pPr>
        <w:rPr>
          <w:rFonts w:cs="仿宋"/>
        </w:rPr>
      </w:pPr>
    </w:p>
    <w:p w14:paraId="0C44141A">
      <w:pPr>
        <w:pStyle w:val="5"/>
        <w:rPr>
          <w:rFonts w:cs="仿宋"/>
          <w:color w:val="auto"/>
        </w:rPr>
      </w:pPr>
      <w:r>
        <w:rPr>
          <w:rFonts w:hint="eastAsia" w:cs="仿宋"/>
          <w:color w:val="auto"/>
        </w:rPr>
        <w:t>第六部分</w:t>
      </w:r>
      <w:bookmarkEnd w:id="426"/>
      <w:r>
        <w:rPr>
          <w:rFonts w:hint="eastAsia" w:cs="仿宋"/>
          <w:color w:val="auto"/>
        </w:rPr>
        <w:t xml:space="preserve"> </w:t>
      </w:r>
      <w:bookmarkEnd w:id="427"/>
      <w:r>
        <w:rPr>
          <w:rFonts w:hint="eastAsia" w:cs="仿宋"/>
          <w:color w:val="auto"/>
        </w:rPr>
        <w:t>应提交的有关格式范例</w:t>
      </w:r>
    </w:p>
    <w:p w14:paraId="08CB9881">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供应商按照以下格式编制投标文件，并将资格文件、报价文件、商务技术文件分别装订成册。</w:t>
      </w:r>
    </w:p>
    <w:p w14:paraId="1A991EDA">
      <w:pPr>
        <w:spacing w:line="360" w:lineRule="auto"/>
        <w:jc w:val="center"/>
        <w:outlineLvl w:val="0"/>
        <w:rPr>
          <w:rFonts w:ascii="仿宋" w:hAnsi="仿宋" w:eastAsia="仿宋" w:cs="仿宋"/>
          <w:b/>
          <w:kern w:val="0"/>
          <w:sz w:val="36"/>
          <w:szCs w:val="36"/>
        </w:rPr>
      </w:pPr>
    </w:p>
    <w:p w14:paraId="074B5032">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1DBA1D84">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6F4C4544">
      <w:pPr>
        <w:rPr>
          <w:rFonts w:ascii="仿宋" w:hAnsi="仿宋" w:eastAsia="仿宋" w:cs="仿宋"/>
          <w:b/>
          <w:kern w:val="0"/>
          <w:sz w:val="36"/>
          <w:szCs w:val="36"/>
        </w:rPr>
      </w:pPr>
    </w:p>
    <w:p w14:paraId="424B061E">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30DE4EC6">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59CE8FE0">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14:paraId="28E58C1B">
      <w:pPr>
        <w:snapToGrid w:val="0"/>
        <w:spacing w:line="360" w:lineRule="auto"/>
        <w:rPr>
          <w:rFonts w:ascii="仿宋" w:hAnsi="仿宋" w:eastAsia="仿宋" w:cs="仿宋"/>
          <w:sz w:val="36"/>
          <w:szCs w:val="36"/>
        </w:rPr>
      </w:pPr>
    </w:p>
    <w:p w14:paraId="48CD43C9">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符合参加政府采购活动应当具备的一般条件的承诺函</w:t>
      </w:r>
    </w:p>
    <w:p w14:paraId="024D7832">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374FEEF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我方参与XXX采购项目【交易编号：XXX】政府采购活动，郑重承诺：</w:t>
      </w:r>
    </w:p>
    <w:p w14:paraId="273C6EBE">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C3E7F74">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5BE5E88A">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25F3C212">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6720DD1D">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100F28BA">
      <w:pPr>
        <w:snapToGrid w:val="0"/>
        <w:spacing w:line="360" w:lineRule="auto"/>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5CDB4B1C">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467EA896">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AF7C50A">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326EB16A">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10C9D867">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77E7EF3">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157FE021">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E9F8701">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5792207B">
      <w:pPr>
        <w:spacing w:line="360" w:lineRule="auto"/>
        <w:jc w:val="center"/>
        <w:rPr>
          <w:rFonts w:ascii="仿宋" w:hAnsi="仿宋" w:eastAsia="仿宋" w:cs="仿宋"/>
          <w:b/>
          <w:sz w:val="30"/>
          <w:szCs w:val="30"/>
        </w:rPr>
      </w:pPr>
    </w:p>
    <w:p w14:paraId="207B4C7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4923315">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二、本项目的特定资格要求</w:t>
      </w:r>
    </w:p>
    <w:p w14:paraId="4A3EA87B">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04F147F0">
      <w:pPr>
        <w:pStyle w:val="73"/>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1767FC67">
      <w:pPr>
        <w:spacing w:line="360" w:lineRule="auto"/>
        <w:jc w:val="center"/>
        <w:rPr>
          <w:rFonts w:ascii="仿宋" w:hAnsi="仿宋" w:eastAsia="仿宋" w:cs="仿宋"/>
          <w:b/>
          <w:sz w:val="28"/>
          <w:szCs w:val="32"/>
        </w:rPr>
      </w:pPr>
    </w:p>
    <w:p w14:paraId="311D3BCA">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479064A3">
      <w:pPr>
        <w:spacing w:line="360" w:lineRule="auto"/>
        <w:jc w:val="center"/>
        <w:outlineLvl w:val="0"/>
        <w:rPr>
          <w:rFonts w:ascii="仿宋" w:hAnsi="仿宋" w:eastAsia="仿宋" w:cs="仿宋"/>
          <w:b/>
          <w:kern w:val="0"/>
          <w:sz w:val="24"/>
        </w:rPr>
      </w:pPr>
    </w:p>
    <w:p w14:paraId="391F265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5CB681A8">
      <w:pPr>
        <w:spacing w:line="360" w:lineRule="auto"/>
        <w:outlineLvl w:val="0"/>
        <w:rPr>
          <w:rFonts w:ascii="仿宋" w:hAnsi="仿宋" w:eastAsia="仿宋" w:cs="仿宋"/>
          <w:sz w:val="24"/>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r>
        <w:rPr>
          <w:rFonts w:hint="eastAsia" w:ascii="仿宋" w:hAnsi="仿宋" w:eastAsia="仿宋" w:cs="仿宋"/>
          <w:kern w:val="0"/>
          <w:sz w:val="24"/>
        </w:rPr>
        <w:t>投标（开标）一览表…………………………………………（页码）</w:t>
      </w:r>
    </w:p>
    <w:p w14:paraId="130AA345">
      <w:pPr>
        <w:snapToGrid w:val="0"/>
        <w:spacing w:line="360" w:lineRule="auto"/>
        <w:outlineLvl w:val="0"/>
        <w:rPr>
          <w:rFonts w:ascii="仿宋" w:hAnsi="仿宋" w:eastAsia="仿宋" w:cs="仿宋"/>
          <w:b/>
          <w:kern w:val="0"/>
          <w:sz w:val="32"/>
          <w:szCs w:val="32"/>
        </w:rPr>
      </w:pPr>
    </w:p>
    <w:p w14:paraId="29168496">
      <w:pPr>
        <w:pStyle w:val="597"/>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1CDBBEE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D513C1D">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199CCE55">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0"/>
        <w:tblpPr w:leftFromText="180" w:rightFromText="180" w:vertAnchor="text" w:horzAnchor="page" w:tblpX="1701" w:tblpY="395"/>
        <w:tblOverlap w:val="never"/>
        <w:tblW w:w="13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3427"/>
        <w:gridCol w:w="888"/>
        <w:gridCol w:w="843"/>
        <w:gridCol w:w="5896"/>
        <w:gridCol w:w="1582"/>
      </w:tblGrid>
      <w:tr w14:paraId="3B30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803" w:type="dxa"/>
            <w:shd w:val="clear" w:color="auto" w:fill="FFFFFF"/>
            <w:tcMar>
              <w:top w:w="10" w:type="dxa"/>
              <w:left w:w="10" w:type="dxa"/>
              <w:right w:w="10" w:type="dxa"/>
            </w:tcMar>
            <w:vAlign w:val="center"/>
          </w:tcPr>
          <w:p w14:paraId="2C3FA18D">
            <w:pPr>
              <w:widowControl/>
              <w:jc w:val="center"/>
              <w:textAlignment w:val="center"/>
              <w:rPr>
                <w:rFonts w:ascii="宋体" w:hAnsi="宋体" w:cs="宋体"/>
                <w:b/>
                <w:sz w:val="24"/>
              </w:rPr>
            </w:pPr>
            <w:r>
              <w:rPr>
                <w:rFonts w:hint="eastAsia" w:ascii="宋体" w:hAnsi="宋体" w:cs="宋体"/>
                <w:bCs/>
                <w:kern w:val="0"/>
                <w:sz w:val="24"/>
              </w:rPr>
              <w:t>序号</w:t>
            </w:r>
          </w:p>
        </w:tc>
        <w:tc>
          <w:tcPr>
            <w:tcW w:w="3427" w:type="dxa"/>
            <w:shd w:val="clear" w:color="auto" w:fill="FFFFFF"/>
            <w:tcMar>
              <w:top w:w="10" w:type="dxa"/>
              <w:left w:w="10" w:type="dxa"/>
              <w:right w:w="10" w:type="dxa"/>
            </w:tcMar>
            <w:vAlign w:val="center"/>
          </w:tcPr>
          <w:p w14:paraId="53FE1FA2">
            <w:pPr>
              <w:widowControl/>
              <w:jc w:val="center"/>
              <w:textAlignment w:val="center"/>
              <w:rPr>
                <w:rFonts w:ascii="宋体" w:hAnsi="宋体" w:cs="宋体"/>
                <w:b/>
                <w:sz w:val="24"/>
              </w:rPr>
            </w:pPr>
            <w:r>
              <w:rPr>
                <w:rFonts w:hint="eastAsia" w:ascii="宋体" w:hAnsi="宋体" w:cs="宋体"/>
                <w:bCs/>
                <w:kern w:val="0"/>
                <w:sz w:val="24"/>
              </w:rPr>
              <w:t>名称</w:t>
            </w:r>
          </w:p>
        </w:tc>
        <w:tc>
          <w:tcPr>
            <w:tcW w:w="888" w:type="dxa"/>
            <w:shd w:val="clear" w:color="auto" w:fill="FFFFFF"/>
            <w:tcMar>
              <w:top w:w="10" w:type="dxa"/>
              <w:left w:w="10" w:type="dxa"/>
              <w:right w:w="10" w:type="dxa"/>
            </w:tcMar>
            <w:vAlign w:val="center"/>
          </w:tcPr>
          <w:p w14:paraId="7A3EDC7D">
            <w:pPr>
              <w:widowControl/>
              <w:jc w:val="center"/>
              <w:textAlignment w:val="center"/>
              <w:rPr>
                <w:rFonts w:ascii="宋体" w:hAnsi="宋体" w:cs="宋体"/>
                <w:b/>
                <w:sz w:val="24"/>
              </w:rPr>
            </w:pPr>
            <w:r>
              <w:rPr>
                <w:rFonts w:hint="eastAsia" w:ascii="宋体" w:hAnsi="宋体" w:cs="宋体"/>
                <w:bCs/>
                <w:kern w:val="0"/>
                <w:sz w:val="24"/>
                <w:lang w:bidi="ar"/>
              </w:rPr>
              <w:t>数量</w:t>
            </w:r>
          </w:p>
        </w:tc>
        <w:tc>
          <w:tcPr>
            <w:tcW w:w="843" w:type="dxa"/>
            <w:shd w:val="clear" w:color="auto" w:fill="FFFFFF"/>
            <w:tcMar>
              <w:top w:w="10" w:type="dxa"/>
              <w:left w:w="10" w:type="dxa"/>
              <w:right w:w="10" w:type="dxa"/>
            </w:tcMar>
            <w:vAlign w:val="center"/>
          </w:tcPr>
          <w:p w14:paraId="2C42110C">
            <w:pPr>
              <w:widowControl/>
              <w:jc w:val="center"/>
              <w:textAlignment w:val="center"/>
              <w:rPr>
                <w:rFonts w:ascii="宋体" w:hAnsi="宋体" w:cs="宋体"/>
                <w:b/>
                <w:sz w:val="24"/>
              </w:rPr>
            </w:pPr>
            <w:r>
              <w:rPr>
                <w:rFonts w:hint="eastAsia" w:ascii="宋体" w:hAnsi="宋体" w:cs="宋体"/>
                <w:bCs/>
                <w:kern w:val="0"/>
                <w:sz w:val="24"/>
                <w:lang w:bidi="ar"/>
              </w:rPr>
              <w:t>单位</w:t>
            </w:r>
          </w:p>
        </w:tc>
        <w:tc>
          <w:tcPr>
            <w:tcW w:w="5896" w:type="dxa"/>
            <w:shd w:val="clear" w:color="auto" w:fill="FFFFFF"/>
            <w:tcMar>
              <w:top w:w="10" w:type="dxa"/>
              <w:left w:w="10" w:type="dxa"/>
              <w:right w:w="10" w:type="dxa"/>
            </w:tcMar>
            <w:vAlign w:val="center"/>
          </w:tcPr>
          <w:p w14:paraId="4E798CF6">
            <w:pPr>
              <w:widowControl/>
              <w:jc w:val="center"/>
              <w:textAlignment w:val="center"/>
              <w:rPr>
                <w:rFonts w:ascii="宋体" w:hAnsi="宋体" w:cs="宋体"/>
                <w:bCs/>
                <w:kern w:val="0"/>
                <w:sz w:val="24"/>
              </w:rPr>
            </w:pPr>
            <w:r>
              <w:rPr>
                <w:rFonts w:hint="eastAsia" w:ascii="宋体" w:hAnsi="宋体" w:cs="宋体"/>
                <w:bCs/>
                <w:kern w:val="0"/>
                <w:sz w:val="24"/>
              </w:rPr>
              <w:t>响应报价</w:t>
            </w:r>
          </w:p>
        </w:tc>
        <w:tc>
          <w:tcPr>
            <w:tcW w:w="1582" w:type="dxa"/>
            <w:shd w:val="clear" w:color="auto" w:fill="FFFFFF"/>
            <w:tcMar>
              <w:top w:w="10" w:type="dxa"/>
              <w:left w:w="10" w:type="dxa"/>
              <w:right w:w="10" w:type="dxa"/>
            </w:tcMar>
            <w:vAlign w:val="center"/>
          </w:tcPr>
          <w:p w14:paraId="7E9B9344">
            <w:pPr>
              <w:widowControl/>
              <w:jc w:val="center"/>
              <w:textAlignment w:val="center"/>
              <w:rPr>
                <w:rFonts w:ascii="宋体" w:hAnsi="宋体" w:cs="宋体"/>
                <w:bCs/>
                <w:kern w:val="0"/>
                <w:sz w:val="24"/>
              </w:rPr>
            </w:pPr>
            <w:r>
              <w:rPr>
                <w:rFonts w:hint="eastAsia" w:ascii="宋体" w:hAnsi="宋体" w:cs="宋体"/>
                <w:bCs/>
                <w:kern w:val="0"/>
                <w:sz w:val="24"/>
              </w:rPr>
              <w:t>备注</w:t>
            </w:r>
          </w:p>
        </w:tc>
      </w:tr>
      <w:tr w14:paraId="301F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803" w:type="dxa"/>
            <w:shd w:val="clear" w:color="auto" w:fill="FFFFFF"/>
            <w:tcMar>
              <w:top w:w="10" w:type="dxa"/>
              <w:left w:w="10" w:type="dxa"/>
              <w:right w:w="10" w:type="dxa"/>
            </w:tcMar>
            <w:vAlign w:val="center"/>
          </w:tcPr>
          <w:p w14:paraId="16B41686">
            <w:pPr>
              <w:jc w:val="center"/>
              <w:rPr>
                <w:rFonts w:ascii="宋体" w:hAnsi="宋体" w:cs="宋体"/>
                <w:bCs/>
                <w:kern w:val="0"/>
                <w:sz w:val="24"/>
              </w:rPr>
            </w:pPr>
            <w:r>
              <w:rPr>
                <w:rFonts w:hint="eastAsia" w:ascii="宋体" w:hAnsi="宋体" w:cs="宋体"/>
                <w:sz w:val="24"/>
              </w:rPr>
              <w:t>1</w:t>
            </w:r>
          </w:p>
        </w:tc>
        <w:tc>
          <w:tcPr>
            <w:tcW w:w="3427" w:type="dxa"/>
            <w:shd w:val="clear" w:color="auto" w:fill="FFFFFF"/>
            <w:tcMar>
              <w:top w:w="10" w:type="dxa"/>
              <w:left w:w="10" w:type="dxa"/>
              <w:right w:w="10" w:type="dxa"/>
            </w:tcMar>
            <w:vAlign w:val="center"/>
          </w:tcPr>
          <w:p w14:paraId="331298B2">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企业房屋（</w:t>
            </w:r>
            <w:r>
              <w:rPr>
                <w:rFonts w:hint="eastAsia" w:ascii="宋体" w:hAnsi="宋体" w:cs="宋体"/>
                <w:color w:val="000000"/>
                <w:sz w:val="24"/>
              </w:rPr>
              <w:t>搬迁</w:t>
            </w:r>
            <w:r>
              <w:rPr>
                <w:rFonts w:hint="eastAsia" w:ascii="宋体" w:hAnsi="宋体" w:cs="宋体"/>
                <w:bCs/>
                <w:color w:val="000000"/>
                <w:kern w:val="0"/>
                <w:sz w:val="24"/>
              </w:rPr>
              <w:t>）</w:t>
            </w:r>
            <w:r>
              <w:rPr>
                <w:rFonts w:hint="eastAsia" w:ascii="宋体" w:hAnsi="宋体" w:cs="宋体"/>
                <w:color w:val="000000"/>
                <w:sz w:val="24"/>
              </w:rPr>
              <w:t>评估费</w:t>
            </w:r>
          </w:p>
        </w:tc>
        <w:tc>
          <w:tcPr>
            <w:tcW w:w="888" w:type="dxa"/>
            <w:shd w:val="clear" w:color="auto" w:fill="FFFFFF"/>
            <w:tcMar>
              <w:top w:w="10" w:type="dxa"/>
              <w:left w:w="10" w:type="dxa"/>
              <w:right w:w="10" w:type="dxa"/>
            </w:tcMar>
            <w:vAlign w:val="center"/>
          </w:tcPr>
          <w:p w14:paraId="22E8B717">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1</w:t>
            </w:r>
          </w:p>
        </w:tc>
        <w:tc>
          <w:tcPr>
            <w:tcW w:w="843" w:type="dxa"/>
            <w:shd w:val="clear" w:color="auto" w:fill="FFFFFF"/>
            <w:tcMar>
              <w:top w:w="10" w:type="dxa"/>
              <w:left w:w="10" w:type="dxa"/>
              <w:right w:w="10" w:type="dxa"/>
            </w:tcMar>
            <w:vAlign w:val="center"/>
          </w:tcPr>
          <w:p w14:paraId="62BE1B2F">
            <w:pPr>
              <w:jc w:val="center"/>
              <w:rPr>
                <w:rFonts w:ascii="宋体" w:hAnsi="宋体" w:cs="宋体"/>
                <w:bCs/>
                <w:color w:val="000000"/>
                <w:kern w:val="0"/>
                <w:sz w:val="24"/>
              </w:rPr>
            </w:pPr>
            <w:r>
              <w:rPr>
                <w:rFonts w:hint="eastAsia" w:ascii="宋体" w:hAnsi="宋体" w:cs="宋体"/>
                <w:bCs/>
                <w:color w:val="000000"/>
                <w:kern w:val="0"/>
                <w:sz w:val="24"/>
              </w:rPr>
              <w:t>批</w:t>
            </w:r>
          </w:p>
        </w:tc>
        <w:tc>
          <w:tcPr>
            <w:tcW w:w="5896" w:type="dxa"/>
            <w:shd w:val="clear" w:color="auto" w:fill="FFFFFF"/>
            <w:tcMar>
              <w:top w:w="10" w:type="dxa"/>
              <w:left w:w="10" w:type="dxa"/>
              <w:right w:w="10" w:type="dxa"/>
            </w:tcMar>
            <w:vAlign w:val="center"/>
          </w:tcPr>
          <w:p w14:paraId="54A0EA3F">
            <w:pPr>
              <w:widowControl/>
              <w:jc w:val="center"/>
              <w:textAlignment w:val="center"/>
              <w:rPr>
                <w:rFonts w:ascii="宋体" w:hAnsi="宋体" w:cs="宋体"/>
                <w:bCs/>
                <w:color w:val="000000"/>
                <w:kern w:val="0"/>
                <w:sz w:val="24"/>
              </w:rPr>
            </w:pP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pacing w:val="-93"/>
                <w:sz w:val="24"/>
              </w:rPr>
              <w:t xml:space="preserve"> </w:t>
            </w:r>
            <w:r>
              <w:rPr>
                <w:rFonts w:hint="eastAsia" w:ascii="宋体" w:hAnsi="宋体" w:cs="宋体"/>
                <w:color w:val="000000"/>
                <w:spacing w:val="-2"/>
                <w:sz w:val="24"/>
              </w:rPr>
              <w:t>元/平方米</w:t>
            </w:r>
          </w:p>
        </w:tc>
        <w:tc>
          <w:tcPr>
            <w:tcW w:w="1582" w:type="dxa"/>
            <w:shd w:val="clear" w:color="auto" w:fill="FFFFFF"/>
            <w:tcMar>
              <w:top w:w="10" w:type="dxa"/>
              <w:left w:w="10" w:type="dxa"/>
              <w:right w:w="10" w:type="dxa"/>
            </w:tcMar>
            <w:vAlign w:val="center"/>
          </w:tcPr>
          <w:p w14:paraId="1E26E950">
            <w:pPr>
              <w:widowControl/>
              <w:jc w:val="center"/>
              <w:textAlignment w:val="center"/>
              <w:rPr>
                <w:rFonts w:ascii="宋体" w:hAnsi="宋体" w:cs="宋体"/>
                <w:bCs/>
                <w:kern w:val="0"/>
                <w:sz w:val="24"/>
                <w:u w:val="single"/>
              </w:rPr>
            </w:pPr>
            <w:r>
              <w:rPr>
                <w:rFonts w:hint="eastAsia" w:ascii="宋体" w:hAnsi="宋体" w:cs="宋体"/>
                <w:bCs/>
                <w:kern w:val="0"/>
                <w:sz w:val="24"/>
              </w:rPr>
              <w:t>因乐采云(萧采云)系统报价单位无（</w:t>
            </w:r>
            <w:r>
              <w:rPr>
                <w:rFonts w:hint="eastAsia" w:ascii="宋体" w:hAnsi="宋体" w:cs="宋体"/>
                <w:spacing w:val="-2"/>
                <w:sz w:val="24"/>
              </w:rPr>
              <w:t>元/平方米</w:t>
            </w:r>
            <w:r>
              <w:rPr>
                <w:rFonts w:hint="eastAsia" w:ascii="宋体" w:hAnsi="宋体" w:cs="宋体"/>
                <w:bCs/>
                <w:kern w:val="0"/>
                <w:sz w:val="24"/>
              </w:rPr>
              <w:t>），系统报价填写按</w:t>
            </w:r>
            <w:r>
              <w:rPr>
                <w:rFonts w:hint="eastAsia" w:ascii="宋体" w:hAnsi="宋体" w:cs="宋体"/>
                <w:bCs/>
                <w:kern w:val="0"/>
                <w:sz w:val="24"/>
                <w:u w:val="single"/>
              </w:rPr>
              <w:t xml:space="preserve">  元</w:t>
            </w:r>
            <w:r>
              <w:rPr>
                <w:rFonts w:hint="eastAsia" w:ascii="宋体" w:hAnsi="宋体" w:cs="宋体"/>
                <w:bCs/>
                <w:kern w:val="0"/>
                <w:sz w:val="24"/>
              </w:rPr>
              <w:t>进行报价</w:t>
            </w:r>
          </w:p>
        </w:tc>
      </w:tr>
      <w:tr w14:paraId="077B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803" w:type="dxa"/>
            <w:shd w:val="clear" w:color="auto" w:fill="FFFFFF"/>
            <w:tcMar>
              <w:top w:w="10" w:type="dxa"/>
              <w:left w:w="10" w:type="dxa"/>
              <w:right w:w="10" w:type="dxa"/>
            </w:tcMar>
            <w:vAlign w:val="center"/>
          </w:tcPr>
          <w:p w14:paraId="617C3356">
            <w:pPr>
              <w:jc w:val="center"/>
              <w:rPr>
                <w:rFonts w:ascii="宋体" w:hAnsi="宋体" w:cs="宋体"/>
                <w:sz w:val="24"/>
              </w:rPr>
            </w:pPr>
            <w:r>
              <w:rPr>
                <w:rFonts w:hint="eastAsia" w:ascii="宋体" w:hAnsi="宋体" w:cs="宋体"/>
                <w:sz w:val="24"/>
              </w:rPr>
              <w:t>2</w:t>
            </w:r>
          </w:p>
        </w:tc>
        <w:tc>
          <w:tcPr>
            <w:tcW w:w="3427" w:type="dxa"/>
            <w:shd w:val="clear" w:color="auto" w:fill="FFFFFF"/>
            <w:tcMar>
              <w:top w:w="10" w:type="dxa"/>
              <w:left w:w="10" w:type="dxa"/>
              <w:right w:w="10" w:type="dxa"/>
            </w:tcMar>
            <w:vAlign w:val="center"/>
          </w:tcPr>
          <w:p w14:paraId="35FF269E">
            <w:pPr>
              <w:widowControl/>
              <w:jc w:val="center"/>
              <w:textAlignment w:val="center"/>
              <w:rPr>
                <w:rFonts w:ascii="宋体" w:hAnsi="宋体" w:cs="宋体"/>
                <w:b/>
                <w:color w:val="000000"/>
                <w:sz w:val="24"/>
              </w:rPr>
            </w:pPr>
            <w:r>
              <w:rPr>
                <w:rFonts w:hint="eastAsia" w:ascii="宋体" w:hAnsi="宋体" w:cs="宋体"/>
                <w:color w:val="000000"/>
                <w:spacing w:val="-1"/>
                <w:sz w:val="24"/>
              </w:rPr>
              <w:t>土地、设备等资产评估费</w:t>
            </w:r>
          </w:p>
        </w:tc>
        <w:tc>
          <w:tcPr>
            <w:tcW w:w="888" w:type="dxa"/>
            <w:shd w:val="clear" w:color="auto" w:fill="FFFFFF"/>
            <w:tcMar>
              <w:top w:w="10" w:type="dxa"/>
              <w:left w:w="10" w:type="dxa"/>
              <w:right w:w="10" w:type="dxa"/>
            </w:tcMar>
            <w:vAlign w:val="center"/>
          </w:tcPr>
          <w:p w14:paraId="29733413">
            <w:pPr>
              <w:widowControl/>
              <w:jc w:val="center"/>
              <w:textAlignment w:val="center"/>
              <w:rPr>
                <w:rFonts w:ascii="宋体" w:hAnsi="宋体" w:cs="宋体"/>
                <w:color w:val="000000"/>
                <w:sz w:val="24"/>
              </w:rPr>
            </w:pPr>
            <w:r>
              <w:rPr>
                <w:rFonts w:hint="eastAsia" w:ascii="宋体" w:hAnsi="宋体" w:cs="宋体"/>
                <w:bCs/>
                <w:color w:val="000000"/>
                <w:kern w:val="0"/>
                <w:sz w:val="24"/>
              </w:rPr>
              <w:t>1</w:t>
            </w:r>
          </w:p>
        </w:tc>
        <w:tc>
          <w:tcPr>
            <w:tcW w:w="843" w:type="dxa"/>
            <w:shd w:val="clear" w:color="auto" w:fill="FFFFFF"/>
            <w:tcMar>
              <w:top w:w="10" w:type="dxa"/>
              <w:left w:w="10" w:type="dxa"/>
              <w:right w:w="10" w:type="dxa"/>
            </w:tcMar>
            <w:vAlign w:val="center"/>
          </w:tcPr>
          <w:p w14:paraId="364143AF">
            <w:pPr>
              <w:jc w:val="center"/>
              <w:rPr>
                <w:rFonts w:ascii="宋体" w:hAnsi="宋体" w:cs="宋体"/>
                <w:color w:val="000000"/>
                <w:sz w:val="24"/>
              </w:rPr>
            </w:pPr>
            <w:r>
              <w:rPr>
                <w:rFonts w:hint="eastAsia" w:ascii="宋体" w:hAnsi="宋体" w:cs="宋体"/>
                <w:bCs/>
                <w:color w:val="000000"/>
                <w:kern w:val="0"/>
                <w:sz w:val="24"/>
              </w:rPr>
              <w:t>批</w:t>
            </w:r>
          </w:p>
        </w:tc>
        <w:tc>
          <w:tcPr>
            <w:tcW w:w="5896" w:type="dxa"/>
            <w:shd w:val="clear" w:color="auto" w:fill="FFFFFF"/>
            <w:tcMar>
              <w:top w:w="10" w:type="dxa"/>
              <w:left w:w="10" w:type="dxa"/>
              <w:right w:w="10" w:type="dxa"/>
            </w:tcMar>
            <w:vAlign w:val="center"/>
          </w:tcPr>
          <w:p w14:paraId="2EB94343">
            <w:pPr>
              <w:jc w:val="center"/>
              <w:rPr>
                <w:rFonts w:ascii="宋体" w:hAnsi="宋体" w:cs="宋体"/>
                <w:color w:val="000000"/>
                <w:sz w:val="24"/>
              </w:rPr>
            </w:pPr>
            <w:r>
              <w:rPr>
                <w:rFonts w:hint="eastAsia" w:ascii="宋体" w:hAnsi="宋体" w:cs="宋体"/>
                <w:color w:val="000000"/>
                <w:spacing w:val="-1"/>
                <w:position w:val="15"/>
                <w:sz w:val="24"/>
              </w:rPr>
              <w:t>按照《浙江省物价局关于资产评估收费问题的通知》（浙价服【2011】90号）文件标准计取，现以</w:t>
            </w:r>
            <w:r>
              <w:rPr>
                <w:rFonts w:hint="eastAsia" w:ascii="宋体" w:hAnsi="宋体" w:cs="宋体"/>
                <w:color w:val="000000"/>
                <w:spacing w:val="-1"/>
                <w:position w:val="15"/>
                <w:sz w:val="24"/>
                <w:u w:val="single"/>
                <w:lang w:val="en-US" w:eastAsia="zh-CN"/>
              </w:rPr>
              <w:t>50</w:t>
            </w:r>
            <w:r>
              <w:rPr>
                <w:rFonts w:hint="eastAsia" w:ascii="宋体" w:hAnsi="宋体" w:cs="宋体"/>
                <w:color w:val="000000"/>
                <w:spacing w:val="-1"/>
                <w:position w:val="15"/>
                <w:sz w:val="24"/>
                <w:u w:val="single"/>
              </w:rPr>
              <w:t xml:space="preserve"> </w:t>
            </w:r>
            <w:r>
              <w:rPr>
                <w:rFonts w:hint="eastAsia" w:ascii="宋体" w:hAnsi="宋体" w:cs="宋体"/>
                <w:color w:val="000000"/>
                <w:spacing w:val="-1"/>
                <w:position w:val="15"/>
                <w:sz w:val="24"/>
              </w:rPr>
              <w:t>%计取。</w:t>
            </w:r>
          </w:p>
        </w:tc>
        <w:tc>
          <w:tcPr>
            <w:tcW w:w="1582" w:type="dxa"/>
            <w:shd w:val="clear" w:color="auto" w:fill="FFFFFF"/>
            <w:tcMar>
              <w:top w:w="10" w:type="dxa"/>
              <w:left w:w="10" w:type="dxa"/>
              <w:right w:w="10" w:type="dxa"/>
            </w:tcMar>
            <w:vAlign w:val="center"/>
          </w:tcPr>
          <w:p w14:paraId="38883E96">
            <w:pPr>
              <w:jc w:val="center"/>
              <w:rPr>
                <w:rFonts w:ascii="宋体" w:hAnsi="宋体" w:cs="宋体"/>
                <w:sz w:val="24"/>
              </w:rPr>
            </w:pPr>
          </w:p>
        </w:tc>
      </w:tr>
      <w:tr w14:paraId="5513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803" w:type="dxa"/>
            <w:shd w:val="clear" w:color="auto" w:fill="FFFFFF"/>
            <w:tcMar>
              <w:top w:w="10" w:type="dxa"/>
              <w:left w:w="10" w:type="dxa"/>
              <w:right w:w="10" w:type="dxa"/>
            </w:tcMar>
            <w:vAlign w:val="center"/>
          </w:tcPr>
          <w:p w14:paraId="421AD5C9">
            <w:pPr>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3427" w:type="dxa"/>
            <w:shd w:val="clear" w:color="auto" w:fill="FFFFFF"/>
            <w:tcMar>
              <w:top w:w="10" w:type="dxa"/>
              <w:left w:w="10" w:type="dxa"/>
              <w:right w:w="10" w:type="dxa"/>
            </w:tcMar>
            <w:vAlign w:val="center"/>
          </w:tcPr>
          <w:p w14:paraId="14F29E2C">
            <w:pPr>
              <w:widowControl/>
              <w:jc w:val="center"/>
              <w:textAlignment w:val="center"/>
              <w:rPr>
                <w:rFonts w:hint="eastAsia" w:ascii="宋体" w:hAnsi="宋体" w:cs="宋体"/>
                <w:color w:val="000000"/>
                <w:spacing w:val="-1"/>
                <w:sz w:val="24"/>
              </w:rPr>
            </w:pPr>
            <w:r>
              <w:rPr>
                <w:rFonts w:hint="eastAsia" w:ascii="宋体" w:hAnsi="宋体" w:cs="宋体"/>
                <w:color w:val="000000"/>
                <w:spacing w:val="-1"/>
                <w:sz w:val="24"/>
              </w:rPr>
              <w:t>评估涉及土地测绘费。</w:t>
            </w:r>
          </w:p>
        </w:tc>
        <w:tc>
          <w:tcPr>
            <w:tcW w:w="888" w:type="dxa"/>
            <w:shd w:val="clear" w:color="auto" w:fill="FFFFFF"/>
            <w:tcMar>
              <w:top w:w="10" w:type="dxa"/>
              <w:left w:w="10" w:type="dxa"/>
              <w:right w:w="10" w:type="dxa"/>
            </w:tcMar>
            <w:vAlign w:val="center"/>
          </w:tcPr>
          <w:p w14:paraId="51CA6979">
            <w:pPr>
              <w:widowControl/>
              <w:jc w:val="center"/>
              <w:textAlignment w:val="center"/>
              <w:rPr>
                <w:rFonts w:hint="eastAsia" w:ascii="宋体" w:hAnsi="宋体" w:eastAsia="宋体" w:cs="宋体"/>
                <w:bCs/>
                <w:color w:val="000000"/>
                <w:kern w:val="0"/>
                <w:sz w:val="24"/>
                <w:lang w:val="en-US" w:eastAsia="zh-CN"/>
              </w:rPr>
            </w:pPr>
            <w:r>
              <w:rPr>
                <w:rFonts w:hint="eastAsia" w:ascii="宋体" w:hAnsi="宋体" w:cs="宋体"/>
                <w:bCs/>
                <w:color w:val="000000"/>
                <w:kern w:val="0"/>
                <w:sz w:val="24"/>
                <w:lang w:val="en-US" w:eastAsia="zh-CN"/>
              </w:rPr>
              <w:t>1</w:t>
            </w:r>
          </w:p>
        </w:tc>
        <w:tc>
          <w:tcPr>
            <w:tcW w:w="843" w:type="dxa"/>
            <w:shd w:val="clear" w:color="auto" w:fill="FFFFFF"/>
            <w:tcMar>
              <w:top w:w="10" w:type="dxa"/>
              <w:left w:w="10" w:type="dxa"/>
              <w:right w:w="10" w:type="dxa"/>
            </w:tcMar>
            <w:vAlign w:val="center"/>
          </w:tcPr>
          <w:p w14:paraId="19E07D99">
            <w:pPr>
              <w:jc w:val="center"/>
              <w:rPr>
                <w:rFonts w:hint="eastAsia" w:ascii="宋体" w:hAnsi="宋体" w:eastAsia="宋体" w:cs="宋体"/>
                <w:bCs/>
                <w:color w:val="000000"/>
                <w:kern w:val="0"/>
                <w:sz w:val="24"/>
                <w:lang w:val="en-US" w:eastAsia="zh-CN"/>
              </w:rPr>
            </w:pPr>
            <w:r>
              <w:rPr>
                <w:rFonts w:hint="eastAsia" w:ascii="宋体" w:hAnsi="宋体" w:cs="宋体"/>
                <w:bCs/>
                <w:color w:val="000000"/>
                <w:kern w:val="0"/>
                <w:sz w:val="24"/>
                <w:lang w:val="en-US" w:eastAsia="zh-CN"/>
              </w:rPr>
              <w:t>批</w:t>
            </w:r>
          </w:p>
        </w:tc>
        <w:tc>
          <w:tcPr>
            <w:tcW w:w="5896" w:type="dxa"/>
            <w:shd w:val="clear" w:color="auto" w:fill="FFFFFF"/>
            <w:tcMar>
              <w:top w:w="10" w:type="dxa"/>
              <w:left w:w="10" w:type="dxa"/>
              <w:right w:w="10" w:type="dxa"/>
            </w:tcMar>
            <w:vAlign w:val="center"/>
          </w:tcPr>
          <w:p w14:paraId="7D500D11">
            <w:pPr>
              <w:jc w:val="center"/>
              <w:rPr>
                <w:rFonts w:hint="eastAsia" w:ascii="宋体" w:hAnsi="宋体" w:cs="宋体"/>
                <w:color w:val="000000"/>
                <w:spacing w:val="-1"/>
                <w:position w:val="15"/>
                <w:sz w:val="24"/>
              </w:rPr>
            </w:pPr>
            <w:r>
              <w:rPr>
                <w:rFonts w:hint="eastAsia" w:ascii="宋体" w:hAnsi="宋体" w:cs="宋体"/>
                <w:color w:val="000000"/>
                <w:spacing w:val="-1"/>
                <w:sz w:val="24"/>
              </w:rPr>
              <w:t>按10亩（含）以内每宗地4000元标准计费，超出10亩的按每亩递增300元计价（不足一亩按一亩计算），但每宗土地测绘费最高不得超过30000元</w:t>
            </w:r>
          </w:p>
        </w:tc>
        <w:tc>
          <w:tcPr>
            <w:tcW w:w="1582" w:type="dxa"/>
            <w:shd w:val="clear" w:color="auto" w:fill="FFFFFF"/>
            <w:tcMar>
              <w:top w:w="10" w:type="dxa"/>
              <w:left w:w="10" w:type="dxa"/>
              <w:right w:w="10" w:type="dxa"/>
            </w:tcMar>
            <w:vAlign w:val="center"/>
          </w:tcPr>
          <w:p w14:paraId="7CE3377E">
            <w:pPr>
              <w:jc w:val="center"/>
              <w:rPr>
                <w:rFonts w:ascii="宋体" w:hAnsi="宋体" w:cs="宋体"/>
                <w:sz w:val="24"/>
              </w:rPr>
            </w:pPr>
          </w:p>
        </w:tc>
      </w:tr>
      <w:tr w14:paraId="6605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803" w:type="dxa"/>
            <w:shd w:val="clear" w:color="auto" w:fill="FFFFFF"/>
            <w:tcMar>
              <w:top w:w="10" w:type="dxa"/>
              <w:left w:w="10" w:type="dxa"/>
              <w:right w:w="10" w:type="dxa"/>
            </w:tcMar>
            <w:vAlign w:val="center"/>
          </w:tcPr>
          <w:p w14:paraId="4EC4178B">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3427" w:type="dxa"/>
            <w:shd w:val="clear" w:color="auto" w:fill="FFFFFF"/>
            <w:tcMar>
              <w:top w:w="10" w:type="dxa"/>
              <w:left w:w="10" w:type="dxa"/>
              <w:right w:w="10" w:type="dxa"/>
            </w:tcMar>
            <w:vAlign w:val="center"/>
          </w:tcPr>
          <w:p w14:paraId="1B08111B">
            <w:pPr>
              <w:widowControl/>
              <w:jc w:val="center"/>
              <w:textAlignment w:val="center"/>
              <w:rPr>
                <w:rFonts w:hint="eastAsia" w:ascii="宋体" w:hAnsi="宋体" w:cs="宋体"/>
                <w:color w:val="000000"/>
                <w:spacing w:val="-1"/>
                <w:sz w:val="24"/>
              </w:rPr>
            </w:pPr>
            <w:r>
              <w:rPr>
                <w:rFonts w:hint="eastAsia" w:ascii="宋体" w:hAnsi="宋体" w:cs="宋体"/>
                <w:color w:val="000000"/>
                <w:spacing w:val="-1"/>
                <w:sz w:val="24"/>
              </w:rPr>
              <w:t>房屋、机器设备残值报告</w:t>
            </w:r>
          </w:p>
        </w:tc>
        <w:tc>
          <w:tcPr>
            <w:tcW w:w="888" w:type="dxa"/>
            <w:shd w:val="clear" w:color="auto" w:fill="FFFFFF"/>
            <w:tcMar>
              <w:top w:w="10" w:type="dxa"/>
              <w:left w:w="10" w:type="dxa"/>
              <w:right w:w="10" w:type="dxa"/>
            </w:tcMar>
            <w:vAlign w:val="center"/>
          </w:tcPr>
          <w:p w14:paraId="27959AEB">
            <w:pPr>
              <w:widowControl/>
              <w:jc w:val="center"/>
              <w:textAlignment w:val="center"/>
              <w:rPr>
                <w:rFonts w:hint="eastAsia" w:ascii="宋体" w:hAnsi="宋体" w:cs="宋体"/>
                <w:bCs/>
                <w:color w:val="000000"/>
                <w:kern w:val="0"/>
                <w:sz w:val="24"/>
              </w:rPr>
            </w:pPr>
            <w:r>
              <w:rPr>
                <w:rFonts w:hint="eastAsia" w:ascii="宋体" w:hAnsi="宋体" w:cs="宋体"/>
                <w:bCs/>
                <w:color w:val="000000"/>
                <w:kern w:val="0"/>
                <w:sz w:val="24"/>
                <w:lang w:val="en-US" w:eastAsia="zh-CN"/>
              </w:rPr>
              <w:t>1</w:t>
            </w:r>
          </w:p>
        </w:tc>
        <w:tc>
          <w:tcPr>
            <w:tcW w:w="843" w:type="dxa"/>
            <w:shd w:val="clear" w:color="auto" w:fill="FFFFFF"/>
            <w:tcMar>
              <w:top w:w="10" w:type="dxa"/>
              <w:left w:w="10" w:type="dxa"/>
              <w:right w:w="10" w:type="dxa"/>
            </w:tcMar>
            <w:vAlign w:val="center"/>
          </w:tcPr>
          <w:p w14:paraId="5E497DE0">
            <w:pPr>
              <w:jc w:val="center"/>
              <w:rPr>
                <w:rFonts w:hint="eastAsia" w:ascii="宋体" w:hAnsi="宋体" w:cs="宋体"/>
                <w:bCs/>
                <w:color w:val="000000"/>
                <w:kern w:val="0"/>
                <w:sz w:val="24"/>
              </w:rPr>
            </w:pPr>
            <w:r>
              <w:rPr>
                <w:rFonts w:hint="eastAsia" w:ascii="宋体" w:hAnsi="宋体" w:cs="宋体"/>
                <w:bCs/>
                <w:color w:val="000000"/>
                <w:kern w:val="0"/>
                <w:sz w:val="24"/>
                <w:lang w:val="en-US" w:eastAsia="zh-CN"/>
              </w:rPr>
              <w:t>批</w:t>
            </w:r>
          </w:p>
        </w:tc>
        <w:tc>
          <w:tcPr>
            <w:tcW w:w="5896" w:type="dxa"/>
            <w:shd w:val="clear" w:color="auto" w:fill="FFFFFF"/>
            <w:tcMar>
              <w:top w:w="10" w:type="dxa"/>
              <w:left w:w="10" w:type="dxa"/>
              <w:right w:w="10" w:type="dxa"/>
            </w:tcMar>
            <w:vAlign w:val="center"/>
          </w:tcPr>
          <w:p w14:paraId="7723B5EA">
            <w:pPr>
              <w:jc w:val="center"/>
              <w:rPr>
                <w:rFonts w:hint="eastAsia" w:ascii="宋体" w:hAnsi="宋体" w:cs="宋体"/>
                <w:color w:val="000000"/>
                <w:spacing w:val="-1"/>
                <w:position w:val="15"/>
                <w:sz w:val="24"/>
              </w:rPr>
            </w:pPr>
            <w:r>
              <w:rPr>
                <w:rFonts w:hint="eastAsia" w:ascii="宋体" w:hAnsi="宋体" w:cs="宋体"/>
                <w:color w:val="000000"/>
                <w:spacing w:val="-1"/>
                <w:sz w:val="24"/>
              </w:rPr>
              <w:t>按3000元/份。</w:t>
            </w:r>
          </w:p>
        </w:tc>
        <w:tc>
          <w:tcPr>
            <w:tcW w:w="1582" w:type="dxa"/>
            <w:shd w:val="clear" w:color="auto" w:fill="FFFFFF"/>
            <w:tcMar>
              <w:top w:w="10" w:type="dxa"/>
              <w:left w:w="10" w:type="dxa"/>
              <w:right w:w="10" w:type="dxa"/>
            </w:tcMar>
            <w:vAlign w:val="center"/>
          </w:tcPr>
          <w:p w14:paraId="7131CA2F">
            <w:pPr>
              <w:jc w:val="center"/>
              <w:rPr>
                <w:rFonts w:ascii="宋体" w:hAnsi="宋体" w:cs="宋体"/>
                <w:sz w:val="24"/>
              </w:rPr>
            </w:pPr>
          </w:p>
        </w:tc>
      </w:tr>
    </w:tbl>
    <w:p w14:paraId="4E55AF44">
      <w:pPr>
        <w:spacing w:line="360" w:lineRule="auto"/>
        <w:jc w:val="center"/>
        <w:rPr>
          <w:rFonts w:ascii="仿宋_GB2312" w:hAnsi="仿宋" w:eastAsia="仿宋_GB2312" w:cs="仿宋_GB2312"/>
          <w:b/>
          <w:kern w:val="0"/>
          <w:sz w:val="24"/>
          <w:lang w:val="zh-CN"/>
        </w:rPr>
      </w:pPr>
    </w:p>
    <w:p w14:paraId="298A8871">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5BC8F0EB">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14:paraId="417DF83E">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rPr>
        <w:t>投标文件含有采购人不能接受的附加条件的，投标无效。</w:t>
      </w:r>
    </w:p>
    <w:p w14:paraId="79898427">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3122DEC1">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14:paraId="0C41EFAF">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525D3827">
      <w:pPr>
        <w:spacing w:line="360" w:lineRule="auto"/>
        <w:ind w:firstLine="482" w:firstLineChars="200"/>
        <w:rPr>
          <w:rFonts w:ascii="仿宋_GB2312" w:hAnsi="仿宋" w:eastAsia="仿宋_GB2312"/>
          <w:b/>
          <w:kern w:val="0"/>
          <w:sz w:val="24"/>
        </w:rPr>
      </w:pPr>
    </w:p>
    <w:p w14:paraId="389CA543">
      <w:pPr>
        <w:jc w:val="center"/>
        <w:rPr>
          <w:rFonts w:ascii="仿宋" w:hAnsi="仿宋" w:eastAsia="仿宋" w:cs="仿宋"/>
          <w:b/>
          <w:kern w:val="0"/>
          <w:sz w:val="36"/>
          <w:szCs w:val="36"/>
        </w:rPr>
        <w:sectPr>
          <w:headerReference r:id="rId14" w:type="default"/>
          <w:footerReference r:id="rId15" w:type="default"/>
          <w:pgSz w:w="16838" w:h="11906" w:orient="landscape"/>
          <w:pgMar w:top="1418" w:right="1247" w:bottom="1418" w:left="1276" w:header="851" w:footer="992" w:gutter="0"/>
          <w:cols w:space="720" w:num="1"/>
        </w:sectPr>
      </w:pPr>
    </w:p>
    <w:p w14:paraId="7643D02C">
      <w:pPr>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22905FFD">
      <w:pPr>
        <w:spacing w:line="360" w:lineRule="auto"/>
        <w:jc w:val="center"/>
        <w:outlineLvl w:val="0"/>
        <w:rPr>
          <w:rFonts w:ascii="仿宋" w:hAnsi="仿宋" w:eastAsia="仿宋" w:cs="仿宋"/>
          <w:b/>
          <w:kern w:val="0"/>
          <w:sz w:val="24"/>
        </w:rPr>
      </w:pPr>
    </w:p>
    <w:p w14:paraId="002B58D6">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55F4EA50">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4D5EE159">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26114B7D">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16189676">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40085767">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09B2F26">
      <w:pPr>
        <w:spacing w:line="360" w:lineRule="auto"/>
        <w:rPr>
          <w:rFonts w:ascii="仿宋" w:hAnsi="仿宋" w:eastAsia="仿宋" w:cs="仿宋"/>
          <w:b/>
          <w:bCs/>
          <w:sz w:val="24"/>
        </w:rPr>
      </w:pPr>
    </w:p>
    <w:p w14:paraId="79E8AD4D">
      <w:pPr>
        <w:snapToGrid w:val="0"/>
        <w:spacing w:line="360" w:lineRule="auto"/>
        <w:jc w:val="center"/>
        <w:rPr>
          <w:rFonts w:ascii="仿宋" w:hAnsi="仿宋" w:eastAsia="仿宋" w:cs="仿宋"/>
          <w:b/>
          <w:kern w:val="0"/>
          <w:sz w:val="32"/>
          <w:szCs w:val="32"/>
          <w:lang w:val="zh-CN"/>
        </w:rPr>
      </w:pPr>
    </w:p>
    <w:p w14:paraId="0CB3D4FC">
      <w:pPr>
        <w:snapToGrid w:val="0"/>
        <w:spacing w:line="360" w:lineRule="auto"/>
        <w:jc w:val="center"/>
        <w:rPr>
          <w:rFonts w:ascii="仿宋" w:hAnsi="仿宋" w:eastAsia="仿宋" w:cs="仿宋"/>
          <w:b/>
          <w:kern w:val="0"/>
          <w:sz w:val="32"/>
          <w:szCs w:val="32"/>
          <w:lang w:val="zh-CN"/>
        </w:rPr>
      </w:pPr>
    </w:p>
    <w:p w14:paraId="5C9D5ED1">
      <w:pPr>
        <w:snapToGrid w:val="0"/>
        <w:spacing w:line="360" w:lineRule="auto"/>
        <w:jc w:val="center"/>
        <w:rPr>
          <w:rFonts w:ascii="仿宋" w:hAnsi="仿宋" w:eastAsia="仿宋" w:cs="仿宋"/>
          <w:b/>
          <w:kern w:val="0"/>
          <w:sz w:val="32"/>
          <w:szCs w:val="32"/>
          <w:lang w:val="zh-CN"/>
        </w:rPr>
      </w:pPr>
    </w:p>
    <w:p w14:paraId="7BA85D10">
      <w:pPr>
        <w:snapToGrid w:val="0"/>
        <w:spacing w:line="360" w:lineRule="auto"/>
        <w:jc w:val="center"/>
        <w:rPr>
          <w:rFonts w:ascii="仿宋" w:hAnsi="仿宋" w:eastAsia="仿宋" w:cs="仿宋"/>
          <w:b/>
          <w:kern w:val="0"/>
          <w:sz w:val="32"/>
          <w:szCs w:val="32"/>
          <w:lang w:val="zh-CN"/>
        </w:rPr>
      </w:pPr>
    </w:p>
    <w:p w14:paraId="54AB847D">
      <w:pPr>
        <w:snapToGrid w:val="0"/>
        <w:spacing w:line="360" w:lineRule="auto"/>
        <w:jc w:val="center"/>
        <w:rPr>
          <w:rFonts w:ascii="仿宋" w:hAnsi="仿宋" w:eastAsia="仿宋" w:cs="仿宋"/>
          <w:b/>
          <w:kern w:val="0"/>
          <w:sz w:val="32"/>
          <w:szCs w:val="32"/>
          <w:lang w:val="zh-CN"/>
        </w:rPr>
      </w:pPr>
    </w:p>
    <w:p w14:paraId="44A45820">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D5DA3E9">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0EE4CB8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我方参加你方组织的XXX采购项目【交易编号：XXXXXX】交易的有关活动，并对此项目进行投标。为此：</w:t>
      </w:r>
    </w:p>
    <w:p w14:paraId="75AB60D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F14635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055FA76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48263DC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63D95B0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2.1.2落实政府采购政策需满足的资格要求；</w:t>
      </w:r>
    </w:p>
    <w:p w14:paraId="19CDD18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2.1.3本项目的特定资格要求。</w:t>
      </w:r>
    </w:p>
    <w:p w14:paraId="41120FA0">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1108926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0716206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1E17FA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46C5111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4C97BC7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0ECEAB34">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738EA93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1AC61F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231FD9B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6E7AFF4B">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4、如我方中标，我方承诺：</w:t>
      </w:r>
    </w:p>
    <w:p w14:paraId="77DFB07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261D755">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5588630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57007936">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76B72E9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14ABC56">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6D2E8664">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6A1EEE63">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1662B989">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1832E0AC">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0659BD3E">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6FEA69B2">
      <w:pPr>
        <w:snapToGrid w:val="0"/>
        <w:spacing w:line="360" w:lineRule="auto"/>
        <w:rPr>
          <w:rFonts w:ascii="仿宋" w:hAnsi="仿宋" w:eastAsia="仿宋" w:cs="仿宋"/>
          <w:sz w:val="24"/>
        </w:rPr>
      </w:pPr>
    </w:p>
    <w:p w14:paraId="533D1396">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3BA7BFC0">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78FD372F">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政府采购投标的一切事项，其法律后果由我方承担。</w:t>
      </w:r>
    </w:p>
    <w:p w14:paraId="4EFDD966">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A1BC322">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428FCADE">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7D60BEE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30F5EEB">
      <w:pPr>
        <w:snapToGrid w:val="0"/>
        <w:spacing w:line="360" w:lineRule="auto"/>
        <w:rPr>
          <w:rFonts w:ascii="仿宋" w:hAnsi="仿宋" w:eastAsia="仿宋" w:cs="仿宋"/>
          <w:sz w:val="24"/>
        </w:rPr>
      </w:pPr>
    </w:p>
    <w:p w14:paraId="00C52560">
      <w:pPr>
        <w:snapToGrid w:val="0"/>
        <w:spacing w:line="360" w:lineRule="auto"/>
        <w:rPr>
          <w:rFonts w:ascii="仿宋" w:hAnsi="仿宋" w:eastAsia="仿宋" w:cs="仿宋"/>
          <w:sz w:val="24"/>
        </w:rPr>
      </w:pPr>
    </w:p>
    <w:p w14:paraId="419F2083">
      <w:pPr>
        <w:snapToGrid w:val="0"/>
        <w:spacing w:line="360" w:lineRule="auto"/>
        <w:rPr>
          <w:rFonts w:ascii="仿宋" w:hAnsi="仿宋" w:eastAsia="仿宋" w:cs="仿宋"/>
          <w:kern w:val="0"/>
          <w:sz w:val="24"/>
          <w:lang w:val="zh-CN"/>
        </w:rPr>
      </w:pPr>
      <w:r>
        <w:rPr>
          <w:rFonts w:hint="eastAsia" w:ascii="仿宋" w:hAnsi="仿宋" w:eastAsia="仿宋" w:cs="仿宋"/>
          <w:b/>
          <w:kern w:val="0"/>
          <w:sz w:val="32"/>
          <w:szCs w:val="32"/>
          <w:lang w:val="zh-CN"/>
        </w:rPr>
        <w:t xml:space="preserve">      </w:t>
      </w:r>
    </w:p>
    <w:p w14:paraId="5C8C3F3A">
      <w:pPr>
        <w:autoSpaceDE w:val="0"/>
        <w:autoSpaceDN w:val="0"/>
        <w:spacing w:line="360" w:lineRule="auto"/>
        <w:jc w:val="center"/>
        <w:rPr>
          <w:rFonts w:ascii="仿宋" w:hAnsi="仿宋" w:eastAsia="仿宋" w:cs="仿宋"/>
          <w:b/>
          <w:kern w:val="0"/>
          <w:sz w:val="32"/>
          <w:szCs w:val="32"/>
          <w:lang w:val="zh-CN"/>
        </w:rPr>
      </w:pPr>
    </w:p>
    <w:p w14:paraId="37973283">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的身份证明（适用于法定代表人、单位负责人或者自然人本人代表供应商参加投标）</w:t>
      </w:r>
    </w:p>
    <w:p w14:paraId="2443A07B">
      <w:pPr>
        <w:pStyle w:val="61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F0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3010E0">
            <w:pPr>
              <w:pStyle w:val="618"/>
              <w:spacing w:line="360" w:lineRule="auto"/>
              <w:rPr>
                <w:rFonts w:ascii="仿宋" w:hAnsi="仿宋" w:eastAsia="仿宋" w:cs="仿宋"/>
                <w:bCs/>
                <w:sz w:val="24"/>
              </w:rPr>
            </w:pPr>
            <w:r>
              <w:rPr>
                <w:rFonts w:hint="eastAsia" w:ascii="仿宋" w:hAnsi="仿宋" w:eastAsia="仿宋" w:cs="仿宋"/>
                <w:bCs/>
                <w:sz w:val="24"/>
              </w:rPr>
              <w:t>正面：                                 反面：</w:t>
            </w:r>
          </w:p>
          <w:p w14:paraId="5F2416F9">
            <w:pPr>
              <w:pStyle w:val="618"/>
              <w:spacing w:line="360" w:lineRule="auto"/>
              <w:rPr>
                <w:rFonts w:ascii="仿宋" w:hAnsi="仿宋" w:eastAsia="仿宋" w:cs="仿宋"/>
                <w:bCs/>
                <w:sz w:val="24"/>
              </w:rPr>
            </w:pPr>
          </w:p>
        </w:tc>
      </w:tr>
    </w:tbl>
    <w:p w14:paraId="56F40E1E">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2E96242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2E9F2419">
      <w:pPr>
        <w:snapToGrid w:val="0"/>
        <w:spacing w:line="360" w:lineRule="auto"/>
        <w:rPr>
          <w:rFonts w:ascii="仿宋" w:hAnsi="仿宋" w:eastAsia="仿宋" w:cs="仿宋"/>
          <w:kern w:val="0"/>
          <w:sz w:val="24"/>
          <w:lang w:val="zh-CN"/>
        </w:rPr>
      </w:pPr>
    </w:p>
    <w:p w14:paraId="7DBFC1CF">
      <w:pPr>
        <w:snapToGrid w:val="0"/>
        <w:spacing w:line="360" w:lineRule="auto"/>
        <w:rPr>
          <w:rFonts w:ascii="仿宋" w:hAnsi="仿宋" w:eastAsia="仿宋" w:cs="仿宋"/>
          <w:kern w:val="0"/>
          <w:sz w:val="24"/>
          <w:lang w:val="zh-CN"/>
        </w:rPr>
      </w:pPr>
    </w:p>
    <w:p w14:paraId="75E3B4D4">
      <w:pPr>
        <w:snapToGrid w:val="0"/>
        <w:spacing w:line="360" w:lineRule="auto"/>
        <w:rPr>
          <w:rFonts w:ascii="仿宋" w:hAnsi="仿宋" w:eastAsia="仿宋" w:cs="仿宋"/>
          <w:kern w:val="0"/>
          <w:sz w:val="24"/>
          <w:lang w:val="zh-CN"/>
        </w:rPr>
      </w:pPr>
    </w:p>
    <w:p w14:paraId="77F6B39F">
      <w:pPr>
        <w:snapToGrid w:val="0"/>
        <w:spacing w:line="360" w:lineRule="auto"/>
        <w:rPr>
          <w:rFonts w:ascii="仿宋" w:hAnsi="仿宋" w:eastAsia="仿宋" w:cs="仿宋"/>
          <w:kern w:val="0"/>
          <w:sz w:val="24"/>
          <w:lang w:val="zh-CN"/>
        </w:rPr>
      </w:pPr>
    </w:p>
    <w:p w14:paraId="7A837E22">
      <w:pPr>
        <w:snapToGrid w:val="0"/>
        <w:spacing w:line="360" w:lineRule="auto"/>
        <w:rPr>
          <w:rFonts w:ascii="仿宋" w:hAnsi="仿宋" w:eastAsia="仿宋" w:cs="仿宋"/>
          <w:kern w:val="0"/>
          <w:sz w:val="24"/>
          <w:lang w:val="zh-CN"/>
        </w:rPr>
      </w:pPr>
    </w:p>
    <w:p w14:paraId="205D8CD6">
      <w:pPr>
        <w:snapToGrid w:val="0"/>
        <w:spacing w:line="360" w:lineRule="auto"/>
        <w:rPr>
          <w:rFonts w:ascii="仿宋" w:hAnsi="仿宋" w:eastAsia="仿宋" w:cs="仿宋"/>
          <w:kern w:val="0"/>
          <w:sz w:val="24"/>
          <w:lang w:val="zh-CN"/>
        </w:rPr>
      </w:pPr>
    </w:p>
    <w:p w14:paraId="16492D0B">
      <w:pPr>
        <w:snapToGrid w:val="0"/>
        <w:spacing w:line="360" w:lineRule="auto"/>
        <w:rPr>
          <w:rFonts w:ascii="仿宋" w:hAnsi="仿宋" w:eastAsia="仿宋" w:cs="仿宋"/>
          <w:kern w:val="0"/>
          <w:sz w:val="24"/>
          <w:lang w:val="zh-CN"/>
        </w:rPr>
      </w:pPr>
    </w:p>
    <w:p w14:paraId="643A45F9">
      <w:pPr>
        <w:snapToGrid w:val="0"/>
        <w:spacing w:line="360" w:lineRule="auto"/>
        <w:rPr>
          <w:rFonts w:ascii="仿宋" w:hAnsi="仿宋" w:eastAsia="仿宋" w:cs="仿宋"/>
          <w:kern w:val="0"/>
          <w:sz w:val="24"/>
          <w:lang w:val="zh-CN"/>
        </w:rPr>
      </w:pPr>
    </w:p>
    <w:p w14:paraId="16BE104C">
      <w:pPr>
        <w:snapToGrid w:val="0"/>
        <w:spacing w:line="360" w:lineRule="auto"/>
        <w:rPr>
          <w:rFonts w:ascii="仿宋" w:hAnsi="仿宋" w:eastAsia="仿宋" w:cs="仿宋"/>
          <w:kern w:val="0"/>
          <w:sz w:val="24"/>
          <w:lang w:val="zh-CN"/>
        </w:rPr>
      </w:pPr>
    </w:p>
    <w:p w14:paraId="447E2393">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319AE854">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77DE6AEB">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23977BE">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三、符合性审查资料索引表及具体内容</w:t>
      </w:r>
    </w:p>
    <w:p w14:paraId="06B2B475">
      <w:pPr>
        <w:jc w:val="center"/>
        <w:rPr>
          <w:rFonts w:ascii="仿宋" w:hAnsi="仿宋" w:eastAsia="仿宋" w:cs="仿宋"/>
          <w:b/>
          <w:kern w:val="0"/>
          <w:sz w:val="32"/>
          <w:szCs w:val="32"/>
        </w:rPr>
      </w:pPr>
      <w:r>
        <w:rPr>
          <w:rFonts w:hint="eastAsia" w:ascii="仿宋" w:hAnsi="仿宋" w:eastAsia="仿宋" w:cs="仿宋"/>
          <w:b/>
          <w:kern w:val="0"/>
          <w:sz w:val="32"/>
          <w:szCs w:val="32"/>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6F61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A332411">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188" w:type="dxa"/>
            <w:vAlign w:val="center"/>
          </w:tcPr>
          <w:p w14:paraId="1101DF95">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354" w:type="dxa"/>
            <w:vAlign w:val="center"/>
          </w:tcPr>
          <w:p w14:paraId="2161F4FF">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32DF115F">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03515B68">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6E3C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39547C3">
            <w:pPr>
              <w:jc w:val="center"/>
              <w:rPr>
                <w:rFonts w:ascii="仿宋" w:hAnsi="仿宋" w:eastAsia="仿宋" w:cs="仿宋"/>
                <w:sz w:val="24"/>
              </w:rPr>
            </w:pPr>
            <w:r>
              <w:rPr>
                <w:rFonts w:hint="eastAsia" w:ascii="仿宋" w:hAnsi="仿宋" w:eastAsia="仿宋" w:cs="仿宋"/>
                <w:sz w:val="24"/>
              </w:rPr>
              <w:t>1</w:t>
            </w:r>
          </w:p>
        </w:tc>
        <w:tc>
          <w:tcPr>
            <w:tcW w:w="5188" w:type="dxa"/>
          </w:tcPr>
          <w:p w14:paraId="0E7AA163">
            <w:pPr>
              <w:spacing w:line="360" w:lineRule="auto"/>
              <w:rPr>
                <w:rFonts w:ascii="仿宋" w:hAnsi="仿宋" w:eastAsia="仿宋" w:cs="仿宋"/>
                <w:sz w:val="24"/>
              </w:rPr>
            </w:pPr>
            <w:r>
              <w:rPr>
                <w:rFonts w:hint="eastAsia" w:ascii="仿宋" w:hAnsi="仿宋" w:eastAsia="仿宋" w:cs="仿宋"/>
                <w:sz w:val="24"/>
              </w:rPr>
              <w:t>不存在如下情形：投标文件未按照交易文件要求签署、盖章。</w:t>
            </w:r>
          </w:p>
        </w:tc>
        <w:tc>
          <w:tcPr>
            <w:tcW w:w="2354" w:type="dxa"/>
            <w:vAlign w:val="center"/>
          </w:tcPr>
          <w:p w14:paraId="16AB2563">
            <w:pPr>
              <w:rPr>
                <w:rFonts w:ascii="仿宋" w:hAnsi="仿宋" w:eastAsia="仿宋" w:cs="仿宋"/>
                <w:sz w:val="24"/>
              </w:rPr>
            </w:pPr>
            <w:r>
              <w:rPr>
                <w:rFonts w:hint="eastAsia" w:ascii="仿宋" w:hAnsi="仿宋" w:eastAsia="仿宋" w:cs="仿宋"/>
                <w:sz w:val="24"/>
              </w:rPr>
              <w:t xml:space="preserve">投标文件的组成部分中需要使用电子签章或者签字盖章处 </w:t>
            </w:r>
          </w:p>
        </w:tc>
        <w:tc>
          <w:tcPr>
            <w:tcW w:w="1418" w:type="dxa"/>
          </w:tcPr>
          <w:p w14:paraId="330FCA8B">
            <w:pPr>
              <w:jc w:val="center"/>
              <w:rPr>
                <w:rFonts w:ascii="仿宋" w:hAnsi="仿宋" w:eastAsia="仿宋" w:cs="仿宋"/>
                <w:sz w:val="24"/>
              </w:rPr>
            </w:pPr>
          </w:p>
          <w:p w14:paraId="611811CA">
            <w:pPr>
              <w:jc w:val="center"/>
              <w:rPr>
                <w:rFonts w:ascii="仿宋" w:hAnsi="仿宋" w:eastAsia="仿宋" w:cs="仿宋"/>
                <w:sz w:val="24"/>
              </w:rPr>
            </w:pPr>
            <w:r>
              <w:rPr>
                <w:rFonts w:hint="eastAsia" w:ascii="仿宋" w:hAnsi="仿宋" w:eastAsia="仿宋" w:cs="仿宋"/>
                <w:sz w:val="24"/>
              </w:rPr>
              <w:t>见投标文件</w:t>
            </w:r>
          </w:p>
          <w:p w14:paraId="54B90CBD">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C30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2111A72">
            <w:pPr>
              <w:spacing w:line="360" w:lineRule="auto"/>
              <w:jc w:val="center"/>
              <w:rPr>
                <w:rFonts w:ascii="仿宋" w:hAnsi="仿宋" w:eastAsia="仿宋" w:cs="仿宋"/>
                <w:sz w:val="24"/>
              </w:rPr>
            </w:pPr>
            <w:r>
              <w:rPr>
                <w:rFonts w:hint="eastAsia" w:ascii="仿宋" w:hAnsi="仿宋" w:eastAsia="仿宋" w:cs="仿宋"/>
                <w:sz w:val="24"/>
              </w:rPr>
              <w:t>2</w:t>
            </w:r>
          </w:p>
        </w:tc>
        <w:tc>
          <w:tcPr>
            <w:tcW w:w="5188" w:type="dxa"/>
          </w:tcPr>
          <w:p w14:paraId="37EFB7B3">
            <w:pPr>
              <w:spacing w:line="360" w:lineRule="auto"/>
              <w:rPr>
                <w:rFonts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5478B8B6">
            <w:pPr>
              <w:rPr>
                <w:rFonts w:ascii="仿宋" w:hAnsi="仿宋" w:eastAsia="仿宋" w:cs="仿宋"/>
                <w:sz w:val="24"/>
              </w:rPr>
            </w:pPr>
            <w:r>
              <w:rPr>
                <w:rFonts w:hint="eastAsia" w:ascii="仿宋" w:hAnsi="仿宋" w:eastAsia="仿宋" w:cs="仿宋"/>
                <w:sz w:val="24"/>
              </w:rPr>
              <w:t>节能产品认证证书、环境标志产品认证证书（交易文件未要求的，无需提供）</w:t>
            </w:r>
          </w:p>
        </w:tc>
        <w:tc>
          <w:tcPr>
            <w:tcW w:w="1418" w:type="dxa"/>
          </w:tcPr>
          <w:p w14:paraId="54D495E8">
            <w:pPr>
              <w:jc w:val="center"/>
              <w:rPr>
                <w:rFonts w:ascii="仿宋" w:hAnsi="仿宋" w:eastAsia="仿宋" w:cs="仿宋"/>
                <w:sz w:val="24"/>
              </w:rPr>
            </w:pPr>
          </w:p>
          <w:p w14:paraId="320B944D">
            <w:pPr>
              <w:jc w:val="center"/>
              <w:rPr>
                <w:rFonts w:ascii="仿宋" w:hAnsi="仿宋" w:eastAsia="仿宋" w:cs="仿宋"/>
                <w:sz w:val="24"/>
              </w:rPr>
            </w:pPr>
          </w:p>
          <w:p w14:paraId="30FD4619">
            <w:pPr>
              <w:jc w:val="center"/>
              <w:rPr>
                <w:rFonts w:ascii="仿宋" w:hAnsi="仿宋" w:eastAsia="仿宋" w:cs="仿宋"/>
                <w:sz w:val="24"/>
              </w:rPr>
            </w:pPr>
            <w:r>
              <w:rPr>
                <w:rFonts w:hint="eastAsia" w:ascii="仿宋" w:hAnsi="仿宋" w:eastAsia="仿宋" w:cs="仿宋"/>
                <w:sz w:val="24"/>
              </w:rPr>
              <w:t>见投标文件</w:t>
            </w:r>
          </w:p>
          <w:p w14:paraId="128A3AAA">
            <w:pPr>
              <w:pStyle w:val="6"/>
              <w:numPr>
                <w:ilvl w:val="0"/>
                <w:numId w:val="0"/>
              </w:numPr>
              <w:ind w:left="432"/>
              <w:jc w:val="center"/>
              <w:rPr>
                <w:rFonts w:ascii="仿宋" w:eastAsia="仿宋" w:cs="仿宋"/>
                <w:lang w:val="en-US"/>
              </w:rPr>
            </w:pPr>
            <w:r>
              <w:rPr>
                <w:rFonts w:hint="eastAsia" w:ascii="仿宋" w:eastAsia="仿宋" w:cs="仿宋"/>
                <w:b w:val="0"/>
                <w:bCs w:val="0"/>
                <w:sz w:val="24"/>
                <w:szCs w:val="24"/>
                <w:lang w:val="en-US"/>
              </w:rPr>
              <w:t>第  页</w:t>
            </w:r>
          </w:p>
        </w:tc>
      </w:tr>
      <w:tr w14:paraId="26AD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6653FC7">
            <w:pPr>
              <w:jc w:val="center"/>
              <w:rPr>
                <w:rFonts w:ascii="仿宋" w:hAnsi="仿宋" w:eastAsia="仿宋" w:cs="仿宋"/>
                <w:sz w:val="24"/>
              </w:rPr>
            </w:pPr>
            <w:r>
              <w:rPr>
                <w:rFonts w:hint="eastAsia" w:ascii="仿宋" w:hAnsi="仿宋" w:eastAsia="仿宋" w:cs="仿宋"/>
                <w:sz w:val="24"/>
              </w:rPr>
              <w:t>3</w:t>
            </w:r>
          </w:p>
        </w:tc>
        <w:tc>
          <w:tcPr>
            <w:tcW w:w="5188" w:type="dxa"/>
          </w:tcPr>
          <w:p w14:paraId="3BDCE2BF">
            <w:pPr>
              <w:spacing w:line="360" w:lineRule="auto"/>
              <w:rPr>
                <w:rFonts w:ascii="仿宋" w:hAnsi="仿宋" w:eastAsia="仿宋" w:cs="仿宋"/>
                <w:sz w:val="24"/>
              </w:rPr>
            </w:pPr>
            <w:r>
              <w:rPr>
                <w:rFonts w:hint="eastAsia" w:ascii="仿宋" w:hAnsi="仿宋" w:eastAsia="仿宋" w:cs="仿宋"/>
                <w:sz w:val="24"/>
              </w:rPr>
              <w:t>不存在如下情形：投标文件中承诺的投标有效期少于交易文件中载明的投标有效期。</w:t>
            </w:r>
          </w:p>
        </w:tc>
        <w:tc>
          <w:tcPr>
            <w:tcW w:w="2354" w:type="dxa"/>
            <w:vAlign w:val="center"/>
          </w:tcPr>
          <w:p w14:paraId="6E81545B">
            <w:pPr>
              <w:rPr>
                <w:rFonts w:ascii="仿宋" w:hAnsi="仿宋" w:eastAsia="仿宋" w:cs="仿宋"/>
                <w:sz w:val="24"/>
              </w:rPr>
            </w:pPr>
            <w:r>
              <w:rPr>
                <w:rFonts w:hint="eastAsia" w:ascii="仿宋" w:hAnsi="仿宋" w:eastAsia="仿宋" w:cs="仿宋"/>
                <w:sz w:val="24"/>
              </w:rPr>
              <w:t>投标函</w:t>
            </w:r>
          </w:p>
        </w:tc>
        <w:tc>
          <w:tcPr>
            <w:tcW w:w="1418" w:type="dxa"/>
          </w:tcPr>
          <w:p w14:paraId="5B31B55B">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BBC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4E17EEB">
            <w:pPr>
              <w:jc w:val="center"/>
              <w:rPr>
                <w:rFonts w:ascii="仿宋" w:hAnsi="仿宋" w:eastAsia="仿宋" w:cs="仿宋"/>
                <w:sz w:val="24"/>
              </w:rPr>
            </w:pPr>
            <w:r>
              <w:rPr>
                <w:rFonts w:hint="eastAsia" w:ascii="仿宋" w:hAnsi="仿宋" w:eastAsia="仿宋" w:cs="仿宋"/>
                <w:sz w:val="24"/>
              </w:rPr>
              <w:t>4</w:t>
            </w:r>
          </w:p>
        </w:tc>
        <w:tc>
          <w:tcPr>
            <w:tcW w:w="5188" w:type="dxa"/>
          </w:tcPr>
          <w:p w14:paraId="40B871CC">
            <w:pPr>
              <w:spacing w:line="360" w:lineRule="auto"/>
              <w:rPr>
                <w:rFonts w:ascii="仿宋" w:hAnsi="仿宋" w:eastAsia="仿宋" w:cs="仿宋"/>
                <w:sz w:val="24"/>
              </w:rPr>
            </w:pPr>
            <w:r>
              <w:rPr>
                <w:rFonts w:hint="eastAsia" w:ascii="仿宋" w:hAnsi="仿宋" w:eastAsia="仿宋" w:cs="仿宋"/>
                <w:sz w:val="24"/>
              </w:rPr>
              <w:t>不存在如下情形：投标文件不满足交易文件的其它实质性要求。</w:t>
            </w:r>
          </w:p>
        </w:tc>
        <w:tc>
          <w:tcPr>
            <w:tcW w:w="2354" w:type="dxa"/>
            <w:vAlign w:val="center"/>
          </w:tcPr>
          <w:p w14:paraId="64243900">
            <w:pPr>
              <w:rPr>
                <w:rFonts w:ascii="仿宋" w:hAnsi="仿宋" w:eastAsia="仿宋" w:cs="仿宋"/>
                <w:sz w:val="24"/>
              </w:rPr>
            </w:pPr>
            <w:r>
              <w:rPr>
                <w:rFonts w:hint="eastAsia" w:ascii="仿宋" w:hAnsi="仿宋" w:eastAsia="仿宋" w:cs="仿宋"/>
                <w:kern w:val="0"/>
                <w:sz w:val="24"/>
              </w:rPr>
              <w:t>交易文件其它实质性要求相应的材料（交易文件未要求的，无需提供）</w:t>
            </w:r>
          </w:p>
        </w:tc>
        <w:tc>
          <w:tcPr>
            <w:tcW w:w="1418" w:type="dxa"/>
          </w:tcPr>
          <w:p w14:paraId="7D6A4755">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C8C83C8">
      <w:pPr>
        <w:jc w:val="center"/>
        <w:rPr>
          <w:rFonts w:ascii="仿宋" w:hAnsi="仿宋" w:eastAsia="仿宋" w:cs="仿宋"/>
          <w:b/>
          <w:kern w:val="0"/>
          <w:sz w:val="32"/>
          <w:szCs w:val="32"/>
        </w:rPr>
      </w:pPr>
    </w:p>
    <w:p w14:paraId="43F60EED">
      <w:pPr>
        <w:jc w:val="center"/>
        <w:rPr>
          <w:rFonts w:ascii="仿宋" w:hAnsi="仿宋" w:eastAsia="仿宋" w:cs="仿宋"/>
          <w:b/>
          <w:kern w:val="0"/>
          <w:sz w:val="32"/>
          <w:szCs w:val="32"/>
        </w:rPr>
      </w:pPr>
    </w:p>
    <w:p w14:paraId="1DBA21E9">
      <w:pPr>
        <w:jc w:val="center"/>
        <w:rPr>
          <w:rFonts w:ascii="仿宋" w:hAnsi="仿宋" w:eastAsia="仿宋" w:cs="仿宋"/>
          <w:b/>
          <w:kern w:val="0"/>
          <w:sz w:val="32"/>
          <w:szCs w:val="32"/>
        </w:rPr>
      </w:pPr>
    </w:p>
    <w:p w14:paraId="7660F0CF">
      <w:pPr>
        <w:jc w:val="center"/>
        <w:rPr>
          <w:rFonts w:ascii="仿宋" w:hAnsi="仿宋" w:eastAsia="仿宋" w:cs="仿宋"/>
          <w:b/>
          <w:kern w:val="0"/>
          <w:sz w:val="32"/>
          <w:szCs w:val="32"/>
        </w:rPr>
      </w:pPr>
      <w:r>
        <w:rPr>
          <w:rFonts w:hint="eastAsia" w:ascii="仿宋" w:hAnsi="仿宋" w:eastAsia="仿宋" w:cs="仿宋"/>
          <w:b/>
          <w:kern w:val="0"/>
          <w:sz w:val="32"/>
          <w:szCs w:val="32"/>
        </w:rPr>
        <w:t>（二）符合性审查资料具体内容</w:t>
      </w:r>
    </w:p>
    <w:p w14:paraId="7FC2D3E9">
      <w:pPr>
        <w:rPr>
          <w:rFonts w:ascii="仿宋" w:hAnsi="仿宋" w:eastAsia="仿宋" w:cs="仿宋"/>
          <w:b/>
          <w:kern w:val="0"/>
          <w:sz w:val="32"/>
          <w:szCs w:val="32"/>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14:paraId="47F2039A">
      <w:pPr>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（交易文件未要求的，无需提供）</w:t>
      </w:r>
    </w:p>
    <w:p w14:paraId="2CC569DF">
      <w:pPr>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14:paraId="7BB1AB4B">
      <w:pPr>
        <w:rPr>
          <w:rFonts w:ascii="仿宋" w:hAnsi="仿宋" w:eastAsia="仿宋" w:cs="仿宋"/>
          <w:kern w:val="0"/>
          <w:sz w:val="24"/>
        </w:rPr>
      </w:pPr>
      <w:r>
        <w:rPr>
          <w:rFonts w:hint="eastAsia" w:ascii="仿宋" w:hAnsi="仿宋" w:eastAsia="仿宋" w:cs="仿宋"/>
          <w:kern w:val="0"/>
          <w:sz w:val="24"/>
        </w:rPr>
        <w:t>4、交易文件其它实质性要求相应的材料（交易文件未要求的，无需提供）</w:t>
      </w:r>
    </w:p>
    <w:p w14:paraId="6F565C22">
      <w:pPr>
        <w:rPr>
          <w:rFonts w:ascii="仿宋" w:hAnsi="仿宋" w:eastAsia="仿宋" w:cs="仿宋"/>
        </w:rPr>
      </w:pPr>
    </w:p>
    <w:p w14:paraId="18C32F0E">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16E823F4">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310EDC7">
      <w:pPr>
        <w:numPr>
          <w:ilvl w:val="0"/>
          <w:numId w:val="8"/>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61272E6F">
      <w:pPr>
        <w:pStyle w:val="42"/>
        <w:rPr>
          <w:rFonts w:ascii="仿宋" w:hAnsi="仿宋" w:eastAsia="仿宋" w:cs="仿宋"/>
        </w:rPr>
      </w:pPr>
    </w:p>
    <w:p w14:paraId="73D82CC0">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（按交易文件第四部分评标办法前附表中“投标文件中评标标准相应的商务技术资料目录”提供资料）</w:t>
      </w:r>
    </w:p>
    <w:p w14:paraId="036076C7">
      <w:pPr>
        <w:jc w:val="center"/>
        <w:rPr>
          <w:rFonts w:ascii="仿宋" w:hAnsi="仿宋" w:eastAsia="仿宋" w:cs="仿宋"/>
          <w:b/>
          <w:kern w:val="0"/>
          <w:sz w:val="32"/>
          <w:szCs w:val="32"/>
        </w:rPr>
      </w:pPr>
    </w:p>
    <w:p w14:paraId="41285CA1">
      <w:pPr>
        <w:jc w:val="center"/>
        <w:rPr>
          <w:rFonts w:ascii="仿宋" w:hAnsi="仿宋" w:eastAsia="仿宋" w:cs="仿宋"/>
          <w:b/>
          <w:kern w:val="0"/>
          <w:sz w:val="32"/>
          <w:szCs w:val="32"/>
        </w:rPr>
      </w:pPr>
    </w:p>
    <w:p w14:paraId="791C8CA5">
      <w:pPr>
        <w:jc w:val="center"/>
        <w:rPr>
          <w:rFonts w:ascii="仿宋" w:hAnsi="仿宋" w:eastAsia="仿宋" w:cs="仿宋"/>
          <w:b/>
          <w:kern w:val="0"/>
          <w:sz w:val="32"/>
          <w:szCs w:val="32"/>
        </w:rPr>
      </w:pPr>
    </w:p>
    <w:p w14:paraId="3E1B51B0">
      <w:pPr>
        <w:jc w:val="center"/>
        <w:rPr>
          <w:rFonts w:ascii="仿宋" w:hAnsi="仿宋" w:eastAsia="仿宋" w:cs="仿宋"/>
          <w:b/>
          <w:kern w:val="0"/>
          <w:sz w:val="32"/>
          <w:szCs w:val="32"/>
        </w:rPr>
      </w:pPr>
    </w:p>
    <w:p w14:paraId="1967CCCC">
      <w:pPr>
        <w:jc w:val="center"/>
        <w:rPr>
          <w:rFonts w:ascii="仿宋" w:hAnsi="仿宋" w:eastAsia="仿宋" w:cs="仿宋"/>
          <w:b/>
          <w:kern w:val="0"/>
          <w:sz w:val="32"/>
          <w:szCs w:val="32"/>
        </w:rPr>
      </w:pPr>
    </w:p>
    <w:p w14:paraId="204C13B7">
      <w:pPr>
        <w:jc w:val="center"/>
        <w:rPr>
          <w:rFonts w:ascii="仿宋" w:hAnsi="仿宋" w:eastAsia="仿宋" w:cs="仿宋"/>
          <w:b/>
          <w:kern w:val="0"/>
          <w:sz w:val="32"/>
          <w:szCs w:val="32"/>
        </w:rPr>
      </w:pPr>
    </w:p>
    <w:p w14:paraId="266472F5">
      <w:pPr>
        <w:jc w:val="center"/>
        <w:rPr>
          <w:rFonts w:ascii="仿宋" w:hAnsi="仿宋" w:eastAsia="仿宋" w:cs="仿宋"/>
          <w:b/>
          <w:kern w:val="0"/>
          <w:sz w:val="32"/>
          <w:szCs w:val="32"/>
        </w:rPr>
      </w:pPr>
    </w:p>
    <w:p w14:paraId="295A188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5DFD03F">
      <w:pPr>
        <w:numPr>
          <w:ilvl w:val="0"/>
          <w:numId w:val="8"/>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39AFFDAE">
      <w:pPr>
        <w:pStyle w:val="42"/>
        <w:rPr>
          <w:rFonts w:ascii="仿宋" w:hAnsi="仿宋" w:eastAsia="仿宋" w:cs="仿宋"/>
        </w:rPr>
      </w:pP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D6C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CD429EB">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5423C815">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5AD703D9">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6A621C2E">
            <w:pPr>
              <w:jc w:val="center"/>
              <w:rPr>
                <w:rFonts w:ascii="仿宋" w:hAnsi="仿宋" w:eastAsia="仿宋" w:cs="仿宋"/>
                <w:b/>
                <w:bCs/>
                <w:sz w:val="24"/>
              </w:rPr>
            </w:pPr>
            <w:r>
              <w:rPr>
                <w:rFonts w:hint="eastAsia" w:ascii="仿宋" w:hAnsi="仿宋" w:eastAsia="仿宋" w:cs="仿宋"/>
                <w:b/>
                <w:bCs/>
                <w:sz w:val="24"/>
              </w:rPr>
              <w:t>偏差说明</w:t>
            </w:r>
          </w:p>
        </w:tc>
      </w:tr>
      <w:tr w14:paraId="26DA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A9D53BB">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36417BAE">
            <w:pPr>
              <w:jc w:val="center"/>
              <w:rPr>
                <w:rFonts w:ascii="仿宋" w:hAnsi="仿宋" w:eastAsia="仿宋" w:cs="仿宋"/>
                <w:b/>
                <w:kern w:val="0"/>
                <w:sz w:val="32"/>
                <w:szCs w:val="32"/>
              </w:rPr>
            </w:pPr>
          </w:p>
        </w:tc>
        <w:tc>
          <w:tcPr>
            <w:tcW w:w="3546" w:type="dxa"/>
          </w:tcPr>
          <w:p w14:paraId="79679E40">
            <w:pPr>
              <w:jc w:val="center"/>
              <w:rPr>
                <w:rFonts w:ascii="仿宋" w:hAnsi="仿宋" w:eastAsia="仿宋" w:cs="仿宋"/>
                <w:b/>
                <w:kern w:val="0"/>
                <w:sz w:val="32"/>
                <w:szCs w:val="32"/>
              </w:rPr>
            </w:pPr>
          </w:p>
        </w:tc>
        <w:tc>
          <w:tcPr>
            <w:tcW w:w="1276" w:type="dxa"/>
          </w:tcPr>
          <w:p w14:paraId="74E8BB48">
            <w:pPr>
              <w:jc w:val="center"/>
              <w:rPr>
                <w:rFonts w:ascii="仿宋" w:hAnsi="仿宋" w:eastAsia="仿宋" w:cs="仿宋"/>
                <w:b/>
                <w:kern w:val="0"/>
                <w:sz w:val="32"/>
                <w:szCs w:val="32"/>
              </w:rPr>
            </w:pPr>
          </w:p>
        </w:tc>
      </w:tr>
      <w:tr w14:paraId="130F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E42C82E">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7469EF85">
            <w:pPr>
              <w:jc w:val="center"/>
              <w:rPr>
                <w:rFonts w:ascii="仿宋" w:hAnsi="仿宋" w:eastAsia="仿宋" w:cs="仿宋"/>
                <w:b/>
                <w:kern w:val="0"/>
                <w:sz w:val="32"/>
                <w:szCs w:val="32"/>
              </w:rPr>
            </w:pPr>
          </w:p>
        </w:tc>
        <w:tc>
          <w:tcPr>
            <w:tcW w:w="3546" w:type="dxa"/>
          </w:tcPr>
          <w:p w14:paraId="1B0A4BF2">
            <w:pPr>
              <w:jc w:val="center"/>
              <w:rPr>
                <w:rFonts w:ascii="仿宋" w:hAnsi="仿宋" w:eastAsia="仿宋" w:cs="仿宋"/>
                <w:b/>
                <w:kern w:val="0"/>
                <w:sz w:val="32"/>
                <w:szCs w:val="32"/>
              </w:rPr>
            </w:pPr>
          </w:p>
        </w:tc>
        <w:tc>
          <w:tcPr>
            <w:tcW w:w="1276" w:type="dxa"/>
          </w:tcPr>
          <w:p w14:paraId="75380C66">
            <w:pPr>
              <w:jc w:val="center"/>
              <w:rPr>
                <w:rFonts w:ascii="仿宋" w:hAnsi="仿宋" w:eastAsia="仿宋" w:cs="仿宋"/>
                <w:b/>
                <w:kern w:val="0"/>
                <w:sz w:val="32"/>
                <w:szCs w:val="32"/>
              </w:rPr>
            </w:pPr>
          </w:p>
        </w:tc>
      </w:tr>
      <w:tr w14:paraId="28B2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17FB7DF">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1B254657">
            <w:pPr>
              <w:jc w:val="center"/>
              <w:rPr>
                <w:rFonts w:ascii="仿宋" w:hAnsi="仿宋" w:eastAsia="仿宋" w:cs="仿宋"/>
                <w:b/>
                <w:kern w:val="0"/>
                <w:sz w:val="32"/>
                <w:szCs w:val="32"/>
              </w:rPr>
            </w:pPr>
          </w:p>
        </w:tc>
        <w:tc>
          <w:tcPr>
            <w:tcW w:w="3546" w:type="dxa"/>
          </w:tcPr>
          <w:p w14:paraId="6D88ECBA">
            <w:pPr>
              <w:jc w:val="center"/>
              <w:rPr>
                <w:rFonts w:ascii="仿宋" w:hAnsi="仿宋" w:eastAsia="仿宋" w:cs="仿宋"/>
                <w:b/>
                <w:kern w:val="0"/>
                <w:sz w:val="32"/>
                <w:szCs w:val="32"/>
              </w:rPr>
            </w:pPr>
          </w:p>
        </w:tc>
        <w:tc>
          <w:tcPr>
            <w:tcW w:w="1276" w:type="dxa"/>
          </w:tcPr>
          <w:p w14:paraId="17C913A9">
            <w:pPr>
              <w:jc w:val="center"/>
              <w:rPr>
                <w:rFonts w:ascii="仿宋" w:hAnsi="仿宋" w:eastAsia="仿宋" w:cs="仿宋"/>
                <w:b/>
                <w:kern w:val="0"/>
                <w:sz w:val="32"/>
                <w:szCs w:val="32"/>
              </w:rPr>
            </w:pPr>
          </w:p>
        </w:tc>
      </w:tr>
    </w:tbl>
    <w:p w14:paraId="091F5B27">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3C461A71">
      <w:pPr>
        <w:jc w:val="center"/>
        <w:rPr>
          <w:rFonts w:ascii="仿宋" w:hAnsi="仿宋" w:eastAsia="仿宋" w:cs="仿宋"/>
          <w:b/>
          <w:kern w:val="0"/>
          <w:sz w:val="32"/>
          <w:szCs w:val="32"/>
        </w:rPr>
      </w:pPr>
    </w:p>
    <w:p w14:paraId="777B376A">
      <w:pPr>
        <w:jc w:val="center"/>
        <w:rPr>
          <w:rFonts w:ascii="仿宋" w:hAnsi="仿宋" w:eastAsia="仿宋" w:cs="仿宋"/>
          <w:b/>
          <w:kern w:val="0"/>
          <w:sz w:val="32"/>
          <w:szCs w:val="32"/>
        </w:rPr>
      </w:pPr>
    </w:p>
    <w:p w14:paraId="66460BF0">
      <w:pPr>
        <w:jc w:val="center"/>
        <w:rPr>
          <w:rFonts w:ascii="仿宋" w:hAnsi="仿宋" w:eastAsia="仿宋" w:cs="仿宋"/>
          <w:b/>
          <w:kern w:val="0"/>
          <w:sz w:val="32"/>
          <w:szCs w:val="32"/>
        </w:rPr>
      </w:pPr>
    </w:p>
    <w:p w14:paraId="7835A691">
      <w:pPr>
        <w:jc w:val="center"/>
        <w:rPr>
          <w:rFonts w:ascii="仿宋" w:hAnsi="仿宋" w:eastAsia="仿宋" w:cs="仿宋"/>
          <w:b/>
          <w:kern w:val="0"/>
          <w:sz w:val="32"/>
          <w:szCs w:val="32"/>
        </w:rPr>
      </w:pPr>
    </w:p>
    <w:p w14:paraId="0DAF0C09">
      <w:pPr>
        <w:jc w:val="center"/>
        <w:rPr>
          <w:rFonts w:ascii="仿宋" w:hAnsi="仿宋" w:eastAsia="仿宋" w:cs="仿宋"/>
          <w:b/>
          <w:kern w:val="0"/>
          <w:sz w:val="32"/>
          <w:szCs w:val="32"/>
        </w:rPr>
      </w:pPr>
    </w:p>
    <w:p w14:paraId="59BED7D2">
      <w:pPr>
        <w:jc w:val="center"/>
        <w:rPr>
          <w:rFonts w:ascii="仿宋" w:hAnsi="仿宋" w:eastAsia="仿宋" w:cs="仿宋"/>
          <w:b/>
          <w:kern w:val="0"/>
          <w:sz w:val="32"/>
          <w:szCs w:val="32"/>
        </w:rPr>
      </w:pPr>
    </w:p>
    <w:p w14:paraId="589F1DFA">
      <w:pPr>
        <w:jc w:val="center"/>
        <w:rPr>
          <w:rFonts w:ascii="仿宋" w:hAnsi="仿宋" w:eastAsia="仿宋" w:cs="仿宋"/>
          <w:b/>
          <w:kern w:val="0"/>
          <w:sz w:val="32"/>
          <w:szCs w:val="32"/>
        </w:rPr>
      </w:pPr>
    </w:p>
    <w:p w14:paraId="185C3636">
      <w:pPr>
        <w:jc w:val="center"/>
        <w:rPr>
          <w:rFonts w:ascii="仿宋" w:hAnsi="仿宋" w:eastAsia="仿宋" w:cs="仿宋"/>
          <w:b/>
          <w:kern w:val="0"/>
          <w:sz w:val="32"/>
          <w:szCs w:val="32"/>
        </w:rPr>
      </w:pPr>
    </w:p>
    <w:p w14:paraId="3E36B25C">
      <w:pPr>
        <w:jc w:val="center"/>
        <w:rPr>
          <w:rFonts w:ascii="仿宋" w:hAnsi="仿宋" w:eastAsia="仿宋" w:cs="仿宋"/>
          <w:b/>
          <w:kern w:val="0"/>
          <w:sz w:val="32"/>
          <w:szCs w:val="32"/>
        </w:rPr>
      </w:pPr>
    </w:p>
    <w:p w14:paraId="2F1C69EA">
      <w:pPr>
        <w:jc w:val="center"/>
        <w:rPr>
          <w:rFonts w:ascii="仿宋" w:hAnsi="仿宋" w:eastAsia="仿宋" w:cs="仿宋"/>
          <w:b/>
          <w:kern w:val="0"/>
          <w:sz w:val="32"/>
          <w:szCs w:val="32"/>
        </w:rPr>
      </w:pPr>
    </w:p>
    <w:p w14:paraId="7591A1B2">
      <w:pPr>
        <w:jc w:val="center"/>
        <w:rPr>
          <w:rFonts w:ascii="仿宋" w:hAnsi="仿宋" w:eastAsia="仿宋" w:cs="仿宋"/>
          <w:b/>
          <w:kern w:val="0"/>
          <w:sz w:val="32"/>
          <w:szCs w:val="32"/>
        </w:rPr>
      </w:pPr>
    </w:p>
    <w:p w14:paraId="391C3AD5">
      <w:pPr>
        <w:jc w:val="center"/>
        <w:rPr>
          <w:rFonts w:ascii="仿宋" w:hAnsi="仿宋" w:eastAsia="仿宋" w:cs="仿宋"/>
          <w:b/>
          <w:kern w:val="0"/>
          <w:sz w:val="32"/>
          <w:szCs w:val="32"/>
        </w:rPr>
      </w:pPr>
    </w:p>
    <w:p w14:paraId="5E4CAF1D">
      <w:pPr>
        <w:ind w:firstLine="2891" w:firstLineChars="900"/>
        <w:rPr>
          <w:rFonts w:ascii="仿宋" w:hAnsi="仿宋" w:eastAsia="仿宋" w:cs="仿宋"/>
          <w:b/>
          <w:bCs/>
          <w:sz w:val="32"/>
          <w:szCs w:val="32"/>
        </w:rPr>
      </w:pPr>
    </w:p>
    <w:p w14:paraId="011A12B3">
      <w:pPr>
        <w:ind w:firstLine="2891" w:firstLineChars="900"/>
        <w:rPr>
          <w:rFonts w:ascii="仿宋" w:hAnsi="仿宋" w:eastAsia="仿宋" w:cs="仿宋"/>
          <w:b/>
          <w:bCs/>
          <w:sz w:val="32"/>
          <w:szCs w:val="32"/>
        </w:rPr>
      </w:pPr>
    </w:p>
    <w:p w14:paraId="3199A458">
      <w:pPr>
        <w:ind w:firstLine="2891" w:firstLineChars="900"/>
        <w:rPr>
          <w:rFonts w:ascii="仿宋" w:hAnsi="仿宋" w:eastAsia="仿宋" w:cs="仿宋"/>
          <w:b/>
          <w:bCs/>
          <w:sz w:val="32"/>
          <w:szCs w:val="32"/>
        </w:rPr>
      </w:pPr>
    </w:p>
    <w:p w14:paraId="0393B81D">
      <w:pPr>
        <w:ind w:firstLine="2891" w:firstLineChars="900"/>
        <w:rPr>
          <w:rFonts w:ascii="仿宋" w:hAnsi="仿宋" w:eastAsia="仿宋" w:cs="仿宋"/>
          <w:b/>
          <w:bCs/>
          <w:sz w:val="32"/>
          <w:szCs w:val="32"/>
        </w:rPr>
      </w:pPr>
    </w:p>
    <w:p w14:paraId="17775CE0">
      <w:pPr>
        <w:ind w:firstLine="2891" w:firstLineChars="900"/>
        <w:rPr>
          <w:rFonts w:ascii="仿宋" w:hAnsi="仿宋" w:eastAsia="仿宋" w:cs="仿宋"/>
          <w:b/>
          <w:bCs/>
          <w:sz w:val="32"/>
          <w:szCs w:val="32"/>
        </w:rPr>
      </w:pPr>
    </w:p>
    <w:p w14:paraId="54D6549B">
      <w:pPr>
        <w:ind w:firstLine="2891" w:firstLineChars="900"/>
        <w:rPr>
          <w:rFonts w:ascii="仿宋" w:hAnsi="仿宋" w:eastAsia="仿宋" w:cs="仿宋"/>
          <w:b/>
          <w:bCs/>
          <w:sz w:val="32"/>
          <w:szCs w:val="32"/>
        </w:rPr>
      </w:pPr>
    </w:p>
    <w:p w14:paraId="4CB27029">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B39380D">
      <w:pPr>
        <w:numPr>
          <w:ilvl w:val="0"/>
          <w:numId w:val="8"/>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政府采购供应商廉洁自律承诺书</w:t>
      </w:r>
    </w:p>
    <w:p w14:paraId="2B7E8C1E">
      <w:pPr>
        <w:pStyle w:val="42"/>
        <w:rPr>
          <w:rFonts w:ascii="仿宋" w:hAnsi="仿宋" w:eastAsia="仿宋" w:cs="仿宋"/>
        </w:rPr>
      </w:pPr>
    </w:p>
    <w:p w14:paraId="7ABF6CFC">
      <w:pPr>
        <w:snapToGrid w:val="0"/>
        <w:spacing w:line="360" w:lineRule="auto"/>
        <w:rPr>
          <w:rFonts w:ascii="仿宋" w:hAnsi="仿宋" w:eastAsia="仿宋" w:cs="仿宋"/>
          <w:sz w:val="24"/>
        </w:rPr>
      </w:pPr>
    </w:p>
    <w:p w14:paraId="18650490">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2FF1B21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项目交易要求参加投标。在这次投标过程中和中标后，我们将严格遵守国家法律法规要求，并郑重承诺：</w:t>
      </w:r>
    </w:p>
    <w:p w14:paraId="44BE29E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88361C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5A489D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41206C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6CC5F56">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76FDF866">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3C4C8919">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交易投标</w:t>
      </w:r>
    </w:p>
    <w:p w14:paraId="4EBA0839">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0FD159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E901950">
      <w:pPr>
        <w:autoSpaceDE w:val="0"/>
        <w:autoSpaceDN w:val="0"/>
        <w:spacing w:line="360" w:lineRule="auto"/>
        <w:ind w:left="2"/>
        <w:jc w:val="left"/>
        <w:rPr>
          <w:rFonts w:ascii="仿宋" w:hAnsi="仿宋" w:eastAsia="仿宋" w:cs="仿宋"/>
          <w:kern w:val="0"/>
          <w:sz w:val="24"/>
          <w:lang w:val="zh-CN"/>
        </w:rPr>
      </w:pPr>
    </w:p>
    <w:p w14:paraId="0ECDE4E0">
      <w:pPr>
        <w:autoSpaceDE w:val="0"/>
        <w:autoSpaceDN w:val="0"/>
        <w:spacing w:line="360" w:lineRule="auto"/>
        <w:ind w:left="2"/>
        <w:jc w:val="left"/>
        <w:rPr>
          <w:rFonts w:ascii="仿宋" w:hAnsi="仿宋" w:eastAsia="仿宋" w:cs="仿宋"/>
          <w:kern w:val="0"/>
          <w:sz w:val="24"/>
          <w:lang w:val="zh-CN"/>
        </w:rPr>
      </w:pPr>
    </w:p>
    <w:p w14:paraId="09BDD0D0">
      <w:pPr>
        <w:autoSpaceDE w:val="0"/>
        <w:autoSpaceDN w:val="0"/>
        <w:spacing w:line="360" w:lineRule="auto"/>
        <w:ind w:left="2"/>
        <w:jc w:val="left"/>
        <w:rPr>
          <w:rFonts w:ascii="仿宋" w:hAnsi="仿宋" w:eastAsia="仿宋" w:cs="仿宋"/>
          <w:kern w:val="0"/>
          <w:sz w:val="24"/>
          <w:lang w:val="zh-CN"/>
        </w:rPr>
      </w:pPr>
    </w:p>
    <w:p w14:paraId="089B4965">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4A4B8452">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1D653DB">
      <w:pPr>
        <w:numPr>
          <w:ilvl w:val="0"/>
          <w:numId w:val="9"/>
        </w:numPr>
        <w:spacing w:line="360" w:lineRule="auto"/>
        <w:jc w:val="center"/>
        <w:rPr>
          <w:rFonts w:ascii="仿宋" w:hAnsi="仿宋" w:eastAsia="仿宋" w:cs="仿宋"/>
          <w:b/>
          <w:bCs/>
          <w:kern w:val="0"/>
          <w:sz w:val="24"/>
        </w:rPr>
        <w:sectPr>
          <w:pgSz w:w="11906" w:h="16838"/>
          <w:pgMar w:top="1247" w:right="1418" w:bottom="1276" w:left="1418" w:header="851" w:footer="992" w:gutter="0"/>
          <w:cols w:space="720" w:num="1"/>
        </w:sectPr>
      </w:pPr>
    </w:p>
    <w:p w14:paraId="63D7C267">
      <w:pPr>
        <w:spacing w:line="360" w:lineRule="auto"/>
        <w:ind w:right="420"/>
        <w:rPr>
          <w:rFonts w:ascii="仿宋" w:hAnsi="仿宋" w:eastAsia="仿宋" w:cs="仿宋"/>
          <w:b/>
          <w:sz w:val="24"/>
        </w:rPr>
      </w:pPr>
    </w:p>
    <w:p w14:paraId="296CC74B">
      <w:pPr>
        <w:pStyle w:val="5"/>
        <w:rPr>
          <w:rFonts w:cs="仿宋"/>
          <w:color w:val="auto"/>
        </w:rPr>
      </w:pPr>
      <w:bookmarkStart w:id="428" w:name="_Toc465665161"/>
      <w:r>
        <w:rPr>
          <w:rFonts w:hint="eastAsia" w:cs="仿宋"/>
          <w:color w:val="auto"/>
        </w:rPr>
        <w:t>附件</w:t>
      </w:r>
      <w:bookmarkEnd w:id="428"/>
    </w:p>
    <w:p w14:paraId="01C76878">
      <w:pPr>
        <w:rPr>
          <w:rFonts w:ascii="仿宋" w:hAnsi="仿宋" w:eastAsia="仿宋" w:cs="仿宋"/>
        </w:rPr>
      </w:pPr>
    </w:p>
    <w:p w14:paraId="355C6226">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297DB30A">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30739F00">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75403148">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1FFE80B">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p>
    <w:p w14:paraId="6E7345C8">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9C7BF32">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6051991">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CE957A1">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4FAF4CA">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6A6C185">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35B676C">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14:paraId="47C01AF7">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9B7DB89">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6BF0EFF">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6854630A">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A5E2ADF">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4B281C4">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167C9C3B">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55386CA">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6E5848C">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2871DB3C">
      <w:pPr>
        <w:snapToGrid w:val="0"/>
        <w:spacing w:line="360" w:lineRule="auto"/>
        <w:rPr>
          <w:rFonts w:ascii="仿宋" w:hAnsi="仿宋" w:eastAsia="仿宋" w:cs="仿宋"/>
          <w:sz w:val="24"/>
        </w:rPr>
      </w:pPr>
      <w:r>
        <w:rPr>
          <w:rFonts w:hint="eastAsia" w:ascii="仿宋" w:hAnsi="仿宋" w:eastAsia="仿宋" w:cs="仿宋"/>
          <w:sz w:val="24"/>
        </w:rPr>
        <w:t>……</w:t>
      </w:r>
    </w:p>
    <w:p w14:paraId="7AE1795A">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05FFC874">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60A9571">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E7EC124">
      <w:pPr>
        <w:spacing w:line="360" w:lineRule="auto"/>
        <w:rPr>
          <w:rFonts w:ascii="仿宋" w:hAnsi="仿宋" w:eastAsia="仿宋" w:cs="仿宋"/>
          <w:sz w:val="24"/>
        </w:rPr>
      </w:pPr>
      <w:r>
        <w:rPr>
          <w:rFonts w:hint="eastAsia" w:ascii="仿宋" w:hAnsi="仿宋" w:eastAsia="仿宋" w:cs="仿宋"/>
          <w:sz w:val="24"/>
        </w:rPr>
        <w:t xml:space="preserve">日期：    </w:t>
      </w:r>
    </w:p>
    <w:p w14:paraId="13C49281">
      <w:pPr>
        <w:spacing w:line="360" w:lineRule="auto"/>
        <w:jc w:val="center"/>
        <w:rPr>
          <w:rFonts w:ascii="仿宋" w:hAnsi="仿宋" w:eastAsia="仿宋" w:cs="仿宋"/>
          <w:b/>
          <w:bCs/>
          <w:sz w:val="24"/>
        </w:rPr>
      </w:pPr>
    </w:p>
    <w:p w14:paraId="65824C59">
      <w:pPr>
        <w:spacing w:line="360" w:lineRule="auto"/>
        <w:rPr>
          <w:rFonts w:ascii="仿宋" w:hAnsi="仿宋" w:eastAsia="仿宋" w:cs="仿宋"/>
          <w:b/>
          <w:sz w:val="24"/>
        </w:rPr>
      </w:pPr>
    </w:p>
    <w:p w14:paraId="6C0350AA">
      <w:pPr>
        <w:spacing w:line="360" w:lineRule="auto"/>
        <w:rPr>
          <w:rFonts w:ascii="仿宋" w:hAnsi="仿宋" w:eastAsia="仿宋" w:cs="仿宋"/>
          <w:b/>
          <w:sz w:val="24"/>
        </w:rPr>
      </w:pPr>
    </w:p>
    <w:p w14:paraId="04041FC2">
      <w:pPr>
        <w:spacing w:line="360" w:lineRule="auto"/>
        <w:rPr>
          <w:rFonts w:ascii="仿宋" w:hAnsi="仿宋" w:eastAsia="仿宋" w:cs="仿宋"/>
          <w:b/>
          <w:sz w:val="24"/>
        </w:rPr>
      </w:pPr>
    </w:p>
    <w:p w14:paraId="6A99170B">
      <w:pPr>
        <w:spacing w:line="360" w:lineRule="auto"/>
        <w:rPr>
          <w:rFonts w:ascii="仿宋" w:hAnsi="仿宋" w:eastAsia="仿宋" w:cs="仿宋"/>
          <w:b/>
          <w:sz w:val="24"/>
        </w:rPr>
      </w:pPr>
      <w:r>
        <w:rPr>
          <w:rFonts w:hint="eastAsia" w:ascii="仿宋" w:hAnsi="仿宋" w:eastAsia="仿宋" w:cs="仿宋"/>
          <w:b/>
          <w:sz w:val="24"/>
        </w:rPr>
        <w:t>质疑函制作说明：</w:t>
      </w:r>
    </w:p>
    <w:p w14:paraId="192745E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4BD0A81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B61488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6D0523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6FE85C4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1B65525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60084DB">
      <w:pPr>
        <w:widowControl/>
        <w:spacing w:line="360" w:lineRule="auto"/>
        <w:ind w:firstLine="600" w:firstLineChars="200"/>
        <w:jc w:val="left"/>
        <w:rPr>
          <w:rFonts w:ascii="仿宋" w:hAnsi="仿宋" w:eastAsia="仿宋" w:cs="仿宋"/>
          <w:sz w:val="30"/>
          <w:szCs w:val="30"/>
        </w:rPr>
      </w:pPr>
    </w:p>
    <w:p w14:paraId="32DCF234">
      <w:pPr>
        <w:spacing w:line="360" w:lineRule="auto"/>
        <w:jc w:val="center"/>
        <w:rPr>
          <w:rFonts w:ascii="仿宋" w:hAnsi="仿宋" w:eastAsia="仿宋" w:cs="仿宋"/>
          <w:b/>
          <w:spacing w:val="6"/>
          <w:sz w:val="32"/>
          <w:szCs w:val="32"/>
        </w:rPr>
      </w:pPr>
    </w:p>
    <w:p w14:paraId="273BFE52">
      <w:pPr>
        <w:spacing w:line="360" w:lineRule="auto"/>
        <w:jc w:val="center"/>
        <w:rPr>
          <w:rFonts w:ascii="仿宋" w:hAnsi="仿宋" w:eastAsia="仿宋" w:cs="仿宋"/>
          <w:b/>
          <w:spacing w:val="6"/>
          <w:sz w:val="32"/>
          <w:szCs w:val="32"/>
        </w:rPr>
      </w:pPr>
    </w:p>
    <w:p w14:paraId="2C01DA05">
      <w:pPr>
        <w:spacing w:line="360" w:lineRule="auto"/>
        <w:jc w:val="center"/>
        <w:rPr>
          <w:rFonts w:ascii="仿宋" w:hAnsi="仿宋" w:eastAsia="仿宋" w:cs="仿宋"/>
          <w:b/>
          <w:spacing w:val="6"/>
          <w:sz w:val="32"/>
          <w:szCs w:val="32"/>
        </w:rPr>
      </w:pPr>
    </w:p>
    <w:p w14:paraId="205072AD">
      <w:pPr>
        <w:spacing w:line="360" w:lineRule="auto"/>
        <w:jc w:val="center"/>
        <w:rPr>
          <w:rFonts w:ascii="仿宋" w:hAnsi="仿宋" w:eastAsia="仿宋" w:cs="仿宋"/>
          <w:b/>
          <w:spacing w:val="6"/>
          <w:sz w:val="32"/>
          <w:szCs w:val="32"/>
        </w:rPr>
      </w:pPr>
    </w:p>
    <w:p w14:paraId="7AA15CC2">
      <w:pPr>
        <w:spacing w:line="360" w:lineRule="auto"/>
        <w:jc w:val="center"/>
        <w:rPr>
          <w:rFonts w:ascii="仿宋" w:hAnsi="仿宋" w:eastAsia="仿宋" w:cs="仿宋"/>
          <w:b/>
          <w:spacing w:val="6"/>
          <w:sz w:val="32"/>
          <w:szCs w:val="32"/>
        </w:rPr>
      </w:pPr>
    </w:p>
    <w:p w14:paraId="1C2F8593">
      <w:pPr>
        <w:spacing w:line="360" w:lineRule="auto"/>
        <w:jc w:val="center"/>
        <w:rPr>
          <w:rFonts w:ascii="仿宋" w:hAnsi="仿宋" w:eastAsia="仿宋" w:cs="仿宋"/>
          <w:b/>
          <w:spacing w:val="6"/>
          <w:sz w:val="32"/>
          <w:szCs w:val="32"/>
        </w:rPr>
      </w:pPr>
    </w:p>
    <w:p w14:paraId="2A0D28EE">
      <w:pPr>
        <w:spacing w:line="360" w:lineRule="auto"/>
        <w:jc w:val="center"/>
        <w:rPr>
          <w:rFonts w:ascii="仿宋" w:hAnsi="仿宋" w:eastAsia="仿宋" w:cs="仿宋"/>
          <w:b/>
          <w:spacing w:val="6"/>
          <w:sz w:val="32"/>
          <w:szCs w:val="32"/>
        </w:rPr>
      </w:pPr>
    </w:p>
    <w:p w14:paraId="0C7A2DAD">
      <w:pPr>
        <w:spacing w:line="360" w:lineRule="auto"/>
        <w:jc w:val="center"/>
        <w:rPr>
          <w:rFonts w:ascii="仿宋" w:hAnsi="仿宋" w:eastAsia="仿宋" w:cs="仿宋"/>
          <w:b/>
          <w:spacing w:val="6"/>
          <w:sz w:val="32"/>
          <w:szCs w:val="32"/>
        </w:rPr>
      </w:pPr>
    </w:p>
    <w:p w14:paraId="4ADC01A4">
      <w:pPr>
        <w:spacing w:line="360" w:lineRule="auto"/>
        <w:jc w:val="center"/>
        <w:rPr>
          <w:rFonts w:ascii="仿宋" w:hAnsi="仿宋" w:eastAsia="仿宋" w:cs="仿宋"/>
          <w:b/>
          <w:spacing w:val="6"/>
          <w:sz w:val="32"/>
          <w:szCs w:val="32"/>
        </w:rPr>
      </w:pPr>
    </w:p>
    <w:p w14:paraId="68EB57B2">
      <w:pPr>
        <w:spacing w:line="360" w:lineRule="auto"/>
        <w:jc w:val="center"/>
        <w:rPr>
          <w:rFonts w:ascii="仿宋" w:hAnsi="仿宋" w:eastAsia="仿宋" w:cs="仿宋"/>
          <w:b/>
          <w:spacing w:val="6"/>
          <w:sz w:val="32"/>
          <w:szCs w:val="32"/>
        </w:rPr>
      </w:pPr>
    </w:p>
    <w:p w14:paraId="1E09E555">
      <w:pPr>
        <w:spacing w:line="360" w:lineRule="auto"/>
        <w:jc w:val="center"/>
        <w:rPr>
          <w:rFonts w:ascii="仿宋" w:hAnsi="仿宋" w:eastAsia="仿宋" w:cs="仿宋"/>
          <w:b/>
          <w:spacing w:val="6"/>
          <w:sz w:val="32"/>
          <w:szCs w:val="32"/>
        </w:rPr>
      </w:pPr>
    </w:p>
    <w:p w14:paraId="0B627055">
      <w:pPr>
        <w:spacing w:line="360" w:lineRule="auto"/>
        <w:jc w:val="center"/>
        <w:rPr>
          <w:rFonts w:ascii="仿宋" w:hAnsi="仿宋" w:eastAsia="仿宋" w:cs="仿宋"/>
          <w:b/>
          <w:spacing w:val="6"/>
          <w:sz w:val="32"/>
          <w:szCs w:val="32"/>
        </w:rPr>
      </w:pPr>
    </w:p>
    <w:p w14:paraId="4F3DE94F">
      <w:pPr>
        <w:spacing w:line="360" w:lineRule="auto"/>
        <w:jc w:val="left"/>
        <w:rPr>
          <w:rFonts w:ascii="仿宋" w:hAnsi="仿宋" w:eastAsia="仿宋" w:cs="仿宋"/>
          <w:b/>
          <w:spacing w:val="6"/>
          <w:sz w:val="32"/>
          <w:szCs w:val="32"/>
        </w:rPr>
      </w:pPr>
    </w:p>
    <w:p w14:paraId="27299BD7">
      <w:pPr>
        <w:spacing w:line="360" w:lineRule="auto"/>
        <w:jc w:val="left"/>
        <w:rPr>
          <w:rFonts w:ascii="仿宋" w:hAnsi="仿宋" w:eastAsia="仿宋" w:cs="仿宋"/>
          <w:b/>
          <w:spacing w:val="6"/>
          <w:sz w:val="32"/>
          <w:szCs w:val="32"/>
        </w:rPr>
      </w:pPr>
    </w:p>
    <w:p w14:paraId="475F55C4">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4483BF44">
      <w:pPr>
        <w:spacing w:line="360" w:lineRule="auto"/>
        <w:jc w:val="center"/>
        <w:rPr>
          <w:rFonts w:ascii="仿宋" w:hAnsi="仿宋" w:eastAsia="仿宋" w:cs="仿宋"/>
          <w:b/>
          <w:sz w:val="24"/>
        </w:rPr>
      </w:pPr>
    </w:p>
    <w:p w14:paraId="2A555AB4">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69106C2C">
      <w:pPr>
        <w:spacing w:line="360" w:lineRule="auto"/>
        <w:rPr>
          <w:rFonts w:ascii="仿宋" w:hAnsi="仿宋" w:eastAsia="仿宋" w:cs="仿宋"/>
          <w:sz w:val="24"/>
        </w:rPr>
      </w:pPr>
      <w:r>
        <w:rPr>
          <w:rFonts w:hint="eastAsia" w:ascii="仿宋" w:hAnsi="仿宋" w:eastAsia="仿宋" w:cs="仿宋"/>
          <w:sz w:val="24"/>
        </w:rPr>
        <w:t>一、投诉相关主体基本情况</w:t>
      </w:r>
    </w:p>
    <w:p w14:paraId="0E824E3C">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52FACD44">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25637E">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720794">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DAC3A72">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66E5069">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DAD3B79">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64BF49">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1BC075">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F2F248">
      <w:pPr>
        <w:spacing w:line="360" w:lineRule="auto"/>
        <w:rPr>
          <w:rFonts w:ascii="仿宋" w:hAnsi="仿宋" w:eastAsia="仿宋" w:cs="仿宋"/>
          <w:sz w:val="24"/>
        </w:rPr>
      </w:pPr>
      <w:r>
        <w:rPr>
          <w:rFonts w:hint="eastAsia" w:ascii="仿宋" w:hAnsi="仿宋" w:eastAsia="仿宋" w:cs="仿宋"/>
          <w:sz w:val="24"/>
        </w:rPr>
        <w:t>被投诉人2</w:t>
      </w:r>
    </w:p>
    <w:p w14:paraId="6DF82CD9">
      <w:pPr>
        <w:spacing w:line="360" w:lineRule="auto"/>
        <w:rPr>
          <w:rFonts w:ascii="仿宋" w:hAnsi="仿宋" w:eastAsia="仿宋" w:cs="仿宋"/>
          <w:sz w:val="24"/>
          <w:u w:val="dotted"/>
        </w:rPr>
      </w:pPr>
      <w:r>
        <w:rPr>
          <w:rFonts w:hint="eastAsia" w:ascii="仿宋" w:hAnsi="仿宋" w:eastAsia="仿宋" w:cs="仿宋"/>
          <w:sz w:val="24"/>
        </w:rPr>
        <w:t>……</w:t>
      </w:r>
    </w:p>
    <w:p w14:paraId="55F00037">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CBB2BDF">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B7C3B29">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18AC5ED">
      <w:pPr>
        <w:spacing w:line="360" w:lineRule="auto"/>
        <w:rPr>
          <w:rFonts w:ascii="仿宋" w:hAnsi="仿宋" w:eastAsia="仿宋" w:cs="仿宋"/>
          <w:sz w:val="24"/>
        </w:rPr>
      </w:pPr>
      <w:r>
        <w:rPr>
          <w:rFonts w:hint="eastAsia" w:ascii="仿宋" w:hAnsi="仿宋" w:eastAsia="仿宋" w:cs="仿宋"/>
          <w:sz w:val="24"/>
        </w:rPr>
        <w:t>二、投诉项目基本情况</w:t>
      </w:r>
    </w:p>
    <w:p w14:paraId="79256DA7">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BA9313E">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0A9BC27">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BE0F5BB">
      <w:pPr>
        <w:spacing w:line="360" w:lineRule="auto"/>
        <w:rPr>
          <w:rFonts w:ascii="仿宋" w:hAnsi="仿宋" w:eastAsia="仿宋" w:cs="仿宋"/>
          <w:sz w:val="24"/>
          <w:u w:val="single"/>
        </w:rPr>
      </w:pPr>
      <w:r>
        <w:rPr>
          <w:rFonts w:hint="eastAsia" w:ascii="仿宋" w:hAnsi="仿宋" w:eastAsia="仿宋" w:cs="仿宋"/>
          <w:sz w:val="24"/>
        </w:rPr>
        <w:t>采购代理机构名称：</w:t>
      </w:r>
      <w:r>
        <w:rPr>
          <w:rFonts w:hint="eastAsia" w:ascii="仿宋" w:hAnsi="仿宋" w:eastAsia="仿宋" w:cs="仿宋"/>
          <w:sz w:val="24"/>
          <w:u w:val="dotted"/>
        </w:rPr>
        <w:t xml:space="preserve">                                         </w:t>
      </w:r>
    </w:p>
    <w:p w14:paraId="7DE5A3BC">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3701F0A">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F6192A3">
      <w:pPr>
        <w:spacing w:line="360" w:lineRule="auto"/>
        <w:rPr>
          <w:rFonts w:ascii="仿宋" w:hAnsi="仿宋" w:eastAsia="仿宋" w:cs="仿宋"/>
          <w:sz w:val="24"/>
        </w:rPr>
      </w:pPr>
      <w:r>
        <w:rPr>
          <w:rFonts w:hint="eastAsia" w:ascii="仿宋" w:hAnsi="仿宋" w:eastAsia="仿宋" w:cs="仿宋"/>
          <w:sz w:val="24"/>
        </w:rPr>
        <w:t>三、质疑基本情况</w:t>
      </w:r>
    </w:p>
    <w:p w14:paraId="4C9B58D7">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1EFDF45">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4EC8F04">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采购人/采购代理机构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28748D2">
      <w:pPr>
        <w:spacing w:line="360" w:lineRule="auto"/>
        <w:rPr>
          <w:rFonts w:ascii="仿宋" w:hAnsi="仿宋" w:eastAsia="仿宋" w:cs="仿宋"/>
          <w:sz w:val="24"/>
        </w:rPr>
      </w:pPr>
      <w:r>
        <w:rPr>
          <w:rFonts w:hint="eastAsia" w:ascii="仿宋" w:hAnsi="仿宋" w:eastAsia="仿宋" w:cs="仿宋"/>
          <w:sz w:val="24"/>
        </w:rPr>
        <w:t>四、投诉事项具体内容</w:t>
      </w:r>
    </w:p>
    <w:p w14:paraId="606C1536">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17D183F">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52319CB">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3ACD7F8A">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5542221">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393875E8">
      <w:pPr>
        <w:spacing w:line="360" w:lineRule="auto"/>
        <w:rPr>
          <w:rFonts w:ascii="仿宋" w:hAnsi="仿宋" w:eastAsia="仿宋" w:cs="仿宋"/>
          <w:sz w:val="24"/>
        </w:rPr>
      </w:pPr>
      <w:r>
        <w:rPr>
          <w:rFonts w:hint="eastAsia" w:ascii="仿宋" w:hAnsi="仿宋" w:eastAsia="仿宋" w:cs="仿宋"/>
          <w:sz w:val="24"/>
        </w:rPr>
        <w:t>投诉事项2</w:t>
      </w:r>
    </w:p>
    <w:p w14:paraId="3958B376">
      <w:pPr>
        <w:spacing w:line="360" w:lineRule="auto"/>
        <w:rPr>
          <w:rFonts w:ascii="仿宋" w:hAnsi="仿宋" w:eastAsia="仿宋" w:cs="仿宋"/>
          <w:sz w:val="24"/>
          <w:u w:val="dotted"/>
        </w:rPr>
      </w:pPr>
      <w:r>
        <w:rPr>
          <w:rFonts w:hint="eastAsia" w:ascii="仿宋" w:hAnsi="仿宋" w:eastAsia="仿宋" w:cs="仿宋"/>
          <w:sz w:val="24"/>
        </w:rPr>
        <w:t>……</w:t>
      </w:r>
    </w:p>
    <w:p w14:paraId="57074683">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02E0CB3">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9EBDBEE">
      <w:pPr>
        <w:spacing w:line="360" w:lineRule="auto"/>
        <w:rPr>
          <w:rFonts w:ascii="仿宋" w:hAnsi="仿宋" w:eastAsia="仿宋" w:cs="仿宋"/>
          <w:sz w:val="24"/>
          <w:u w:val="single"/>
        </w:rPr>
      </w:pPr>
      <w:r>
        <w:rPr>
          <w:rFonts w:hint="eastAsia" w:ascii="仿宋" w:hAnsi="仿宋" w:eastAsia="仿宋" w:cs="仿宋"/>
          <w:sz w:val="24"/>
        </w:rPr>
        <w:t xml:space="preserve">                                                                                                    </w:t>
      </w:r>
    </w:p>
    <w:p w14:paraId="4041A74A">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46CAA2C">
      <w:pPr>
        <w:spacing w:line="360" w:lineRule="auto"/>
        <w:rPr>
          <w:rFonts w:ascii="仿宋" w:hAnsi="仿宋" w:eastAsia="仿宋" w:cs="仿宋"/>
          <w:sz w:val="24"/>
        </w:rPr>
      </w:pPr>
      <w:r>
        <w:rPr>
          <w:rFonts w:hint="eastAsia" w:ascii="仿宋" w:hAnsi="仿宋" w:eastAsia="仿宋" w:cs="仿宋"/>
          <w:sz w:val="24"/>
        </w:rPr>
        <w:t xml:space="preserve">日期：    </w:t>
      </w:r>
    </w:p>
    <w:p w14:paraId="79C6CD20">
      <w:pPr>
        <w:spacing w:line="360" w:lineRule="auto"/>
        <w:rPr>
          <w:rFonts w:ascii="仿宋" w:hAnsi="仿宋" w:eastAsia="仿宋" w:cs="仿宋"/>
          <w:b/>
          <w:sz w:val="24"/>
        </w:rPr>
      </w:pPr>
    </w:p>
    <w:p w14:paraId="75A8D549">
      <w:pPr>
        <w:spacing w:line="360" w:lineRule="auto"/>
        <w:rPr>
          <w:rFonts w:ascii="仿宋" w:hAnsi="仿宋" w:eastAsia="仿宋" w:cs="仿宋"/>
          <w:b/>
          <w:sz w:val="24"/>
        </w:rPr>
      </w:pPr>
    </w:p>
    <w:p w14:paraId="10BAF655">
      <w:pPr>
        <w:spacing w:line="360" w:lineRule="auto"/>
        <w:rPr>
          <w:rFonts w:ascii="仿宋" w:hAnsi="仿宋" w:eastAsia="仿宋" w:cs="仿宋"/>
          <w:b/>
          <w:sz w:val="24"/>
        </w:rPr>
      </w:pPr>
      <w:r>
        <w:rPr>
          <w:rFonts w:hint="eastAsia" w:ascii="仿宋" w:hAnsi="仿宋" w:eastAsia="仿宋" w:cs="仿宋"/>
          <w:b/>
          <w:sz w:val="24"/>
        </w:rPr>
        <w:t>投诉书制作说明：</w:t>
      </w:r>
    </w:p>
    <w:p w14:paraId="46C5E949">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E76D5B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F7B1E8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780B81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F28668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2DB6E4D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A37A0A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C3A0F90">
      <w:pPr>
        <w:widowControl/>
        <w:adjustRightInd/>
        <w:jc w:val="left"/>
        <w:rPr>
          <w:rFonts w:ascii="仿宋" w:hAnsi="仿宋" w:eastAsia="仿宋" w:cs="仿宋"/>
          <w:b/>
          <w:sz w:val="24"/>
        </w:rPr>
      </w:pPr>
      <w:r>
        <w:rPr>
          <w:rFonts w:hint="eastAsia" w:ascii="仿宋" w:hAnsi="仿宋" w:eastAsia="仿宋" w:cs="仿宋"/>
          <w:b/>
          <w:sz w:val="24"/>
        </w:rPr>
        <w:br w:type="page"/>
      </w:r>
    </w:p>
    <w:p w14:paraId="7D4EED8C">
      <w:pPr>
        <w:jc w:val="left"/>
        <w:rPr>
          <w:rFonts w:ascii="仿宋" w:hAnsi="仿宋" w:eastAsia="仿宋" w:cs="仿宋"/>
          <w:b/>
          <w:spacing w:val="6"/>
          <w:sz w:val="32"/>
          <w:szCs w:val="32"/>
        </w:rPr>
      </w:pPr>
      <w:r>
        <w:rPr>
          <w:rFonts w:hint="eastAsia" w:ascii="仿宋" w:hAnsi="仿宋" w:eastAsia="仿宋" w:cs="仿宋"/>
          <w:b/>
          <w:spacing w:val="6"/>
          <w:sz w:val="32"/>
          <w:szCs w:val="32"/>
        </w:rPr>
        <w:t>附件3 质疑答复范本</w:t>
      </w:r>
    </w:p>
    <w:p w14:paraId="68DD0FB1">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关于*****项目质疑的答复</w:t>
      </w:r>
    </w:p>
    <w:p w14:paraId="67430844">
      <w:pPr>
        <w:snapToGrid w:val="0"/>
        <w:spacing w:line="360" w:lineRule="auto"/>
        <w:rPr>
          <w:rFonts w:ascii="仿宋" w:hAnsi="仿宋" w:eastAsia="仿宋" w:cs="仿宋"/>
          <w:sz w:val="24"/>
        </w:rPr>
      </w:pPr>
    </w:p>
    <w:p w14:paraId="70507D7E">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***政府采购项目                                       </w:t>
      </w:r>
    </w:p>
    <w:p w14:paraId="05D6072C">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14:paraId="48E06109">
      <w:pPr>
        <w:snapToGrid w:val="0"/>
        <w:spacing w:line="360" w:lineRule="auto"/>
        <w:rPr>
          <w:rFonts w:ascii="仿宋" w:hAnsi="仿宋" w:eastAsia="仿宋" w:cs="仿宋"/>
          <w:bCs/>
          <w:sz w:val="24"/>
        </w:rPr>
      </w:pPr>
      <w:r>
        <w:rPr>
          <w:rFonts w:hint="eastAsia" w:ascii="仿宋" w:hAnsi="仿宋" w:eastAsia="仿宋" w:cs="仿宋"/>
          <w:sz w:val="24"/>
        </w:rPr>
        <w:t>本单位于  月  日收到质疑函，  月  日收到补充材料，答复内容如下。</w:t>
      </w:r>
    </w:p>
    <w:p w14:paraId="4ABB5824">
      <w:pPr>
        <w:numPr>
          <w:ilvl w:val="0"/>
          <w:numId w:val="10"/>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14:paraId="09155590">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CE71C2C">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418F64">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p>
    <w:p w14:paraId="2C76C9AF">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CDFAF6B">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14:paraId="2FBEA285">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14:paraId="1A31D659">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p>
    <w:p w14:paraId="0A88F5DF">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p>
    <w:p w14:paraId="7CE70FC6">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01F2E518">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p>
    <w:p w14:paraId="14AB4BC6">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p>
    <w:p w14:paraId="5D45026B">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7BCE91CC">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14:paraId="182EDC17">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A0D4620">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p>
    <w:p w14:paraId="5A5F9AFB">
      <w:pPr>
        <w:numPr>
          <w:ilvl w:val="0"/>
          <w:numId w:val="11"/>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14:paraId="57BE46AB">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p>
    <w:p w14:paraId="502A0A16">
      <w:pPr>
        <w:snapToGrid w:val="0"/>
        <w:spacing w:line="360" w:lineRule="auto"/>
        <w:rPr>
          <w:rFonts w:ascii="仿宋" w:hAnsi="仿宋" w:eastAsia="仿宋" w:cs="仿宋"/>
          <w:bCs/>
          <w:sz w:val="24"/>
        </w:rPr>
      </w:pPr>
      <w:r>
        <w:rPr>
          <w:rFonts w:hint="eastAsia" w:ascii="仿宋" w:hAnsi="仿宋" w:eastAsia="仿宋" w:cs="仿宋"/>
          <w:bCs/>
          <w:sz w:val="24"/>
        </w:rPr>
        <w:t>事项2：</w:t>
      </w:r>
      <w:r>
        <w:rPr>
          <w:rFonts w:hint="eastAsia" w:ascii="仿宋" w:hAnsi="仿宋" w:eastAsia="仿宋" w:cs="仿宋"/>
          <w:sz w:val="24"/>
          <w:u w:val="dotted"/>
        </w:rPr>
        <w:t xml:space="preserve">                    </w:t>
      </w:r>
    </w:p>
    <w:p w14:paraId="7D257026">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欢迎并感谢你单位对政府采购活动的参与和支持。</w:t>
      </w:r>
    </w:p>
    <w:p w14:paraId="3386861E">
      <w:pPr>
        <w:snapToGrid w:val="0"/>
        <w:spacing w:line="360" w:lineRule="auto"/>
        <w:rPr>
          <w:rFonts w:ascii="仿宋" w:hAnsi="仿宋" w:eastAsia="仿宋" w:cs="仿宋"/>
          <w:bCs/>
          <w:sz w:val="24"/>
        </w:rPr>
      </w:pPr>
    </w:p>
    <w:p w14:paraId="590C4E35">
      <w:pPr>
        <w:spacing w:line="360" w:lineRule="auto"/>
        <w:rPr>
          <w:rFonts w:ascii="仿宋" w:hAnsi="仿宋" w:eastAsia="仿宋" w:cs="仿宋"/>
          <w:sz w:val="24"/>
        </w:rPr>
      </w:pPr>
      <w:r>
        <w:rPr>
          <w:rFonts w:hint="eastAsia" w:ascii="仿宋" w:hAnsi="仿宋" w:eastAsia="仿宋" w:cs="仿宋"/>
          <w:sz w:val="24"/>
        </w:rPr>
        <w:t xml:space="preserve">                                            采购单位：</w:t>
      </w:r>
    </w:p>
    <w:p w14:paraId="4500CBC7">
      <w:pPr>
        <w:spacing w:line="360" w:lineRule="auto"/>
        <w:ind w:firstLine="5520" w:firstLineChars="2300"/>
        <w:rPr>
          <w:rFonts w:ascii="仿宋" w:hAnsi="仿宋" w:eastAsia="仿宋" w:cs="仿宋"/>
          <w:sz w:val="24"/>
        </w:rPr>
      </w:pPr>
      <w:r>
        <w:rPr>
          <w:rFonts w:hint="eastAsia" w:ascii="仿宋" w:hAnsi="仿宋" w:eastAsia="仿宋" w:cs="仿宋"/>
          <w:sz w:val="24"/>
        </w:rPr>
        <w:t xml:space="preserve">          年  月  日 </w:t>
      </w:r>
    </w:p>
    <w:p w14:paraId="6B597B19">
      <w:pPr>
        <w:spacing w:line="360" w:lineRule="auto"/>
        <w:rPr>
          <w:rFonts w:ascii="仿宋" w:hAnsi="仿宋" w:eastAsia="仿宋" w:cs="仿宋"/>
          <w:b/>
          <w:sz w:val="24"/>
        </w:rPr>
      </w:pPr>
    </w:p>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CC2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B5C4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29" w:name="_Toc164085800"/>
    <w:bookmarkStart w:id="430" w:name="_Toc36110187"/>
    <w:bookmarkStart w:id="431" w:name="_Toc131845147"/>
    <w:bookmarkStart w:id="432" w:name="_Toc91899912"/>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C29DA">
    <w:pPr>
      <w:pStyle w:val="39"/>
      <w:framePr w:wrap="around" w:vAnchor="text" w:hAnchor="margin" w:xAlign="right" w:y="1"/>
      <w:rPr>
        <w:rStyle w:val="64"/>
      </w:rPr>
    </w:pPr>
    <w:r>
      <w:fldChar w:fldCharType="begin"/>
    </w:r>
    <w:r>
      <w:rPr>
        <w:rStyle w:val="64"/>
      </w:rPr>
      <w:instrText xml:space="preserve">PAGE  </w:instrText>
    </w:r>
    <w:r>
      <w:fldChar w:fldCharType="end"/>
    </w:r>
  </w:p>
  <w:p w14:paraId="3658730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38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86C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5DBB59D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28A4">
    <w:pPr>
      <w:pStyle w:val="39"/>
      <w:framePr w:wrap="around" w:vAnchor="text" w:hAnchor="margin" w:xAlign="right" w:y="1"/>
      <w:rPr>
        <w:rStyle w:val="64"/>
      </w:rPr>
    </w:pPr>
    <w:r>
      <w:fldChar w:fldCharType="begin"/>
    </w:r>
    <w:r>
      <w:rPr>
        <w:rStyle w:val="64"/>
      </w:rPr>
      <w:instrText xml:space="preserve">PAGE  </w:instrText>
    </w:r>
    <w:r>
      <w:fldChar w:fldCharType="end"/>
    </w:r>
  </w:p>
  <w:p w14:paraId="05ABDD5F">
    <w:pPr>
      <w:pStyle w:val="39"/>
      <w:ind w:right="360"/>
    </w:pPr>
  </w:p>
  <w:p w14:paraId="66D04A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376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FEA663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5AC1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7EE06A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6F87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61EC">
    <w:pPr>
      <w:pStyle w:val="39"/>
      <w:framePr w:wrap="around" w:vAnchor="text" w:hAnchor="margin" w:xAlign="right" w:y="1"/>
      <w:rPr>
        <w:rStyle w:val="64"/>
      </w:rPr>
    </w:pPr>
    <w:r>
      <w:fldChar w:fldCharType="begin"/>
    </w:r>
    <w:r>
      <w:rPr>
        <w:rStyle w:val="64"/>
      </w:rPr>
      <w:instrText xml:space="preserve">PAGE  </w:instrText>
    </w:r>
    <w:r>
      <w:fldChar w:fldCharType="end"/>
    </w:r>
  </w:p>
  <w:p w14:paraId="4B07F2FA">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87532">
    <w:pPr>
      <w:pStyle w:val="40"/>
      <w:pBdr>
        <w:bottom w:val="single" w:color="auto" w:sz="6" w:space="0"/>
      </w:pBdr>
      <w:jc w:val="right"/>
    </w:pPr>
    <w:r>
      <w:rPr>
        <w:rFonts w:hint="eastAsia"/>
      </w:rPr>
      <w:t>公开交易文件</w:t>
    </w:r>
  </w:p>
  <w:p w14:paraId="6A254B2B">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C4CC">
    <w:pPr>
      <w:pStyle w:val="40"/>
      <w:pBdr>
        <w:bottom w:val="single" w:color="auto" w:sz="6" w:space="0"/>
      </w:pBdr>
      <w:tabs>
        <w:tab w:val="center" w:pos="4535"/>
        <w:tab w:val="right" w:pos="9070"/>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6353">
    <w:pPr>
      <w:pStyle w:val="40"/>
      <w:jc w:val="right"/>
      <w:rPr>
        <w:rFonts w:ascii="仿宋_GB2312" w:eastAsia="仿宋_GB2312"/>
        <w:b/>
        <w:i/>
        <w:u w:val="single"/>
      </w:rPr>
    </w:pPr>
    <w:r>
      <w:rPr>
        <w:rFonts w:hint="eastAsia"/>
      </w:rPr>
      <w:t xml:space="preserve">                                                                                                                                                                      公开交易文件</w:t>
    </w:r>
  </w:p>
  <w:p w14:paraId="2826D5F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43994">
    <w:pPr>
      <w:pStyle w:val="40"/>
    </w:pPr>
  </w:p>
  <w:p w14:paraId="75C96F2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457F">
    <w:pPr>
      <w:pStyle w:val="40"/>
    </w:pPr>
  </w:p>
  <w:p w14:paraId="5F25A0F6">
    <w:pPr>
      <w:pStyle w:val="40"/>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63B0">
    <w:pPr>
      <w:pStyle w:val="40"/>
      <w:jc w:val="right"/>
      <w:rPr>
        <w:rFonts w:ascii="仿宋_GB2312" w:eastAsia="仿宋_GB2312"/>
        <w:b/>
        <w:i/>
        <w:u w:val="single"/>
      </w:rPr>
    </w:pPr>
    <w:r>
      <w:t></w:t>
    </w:r>
    <w:r>
      <w:rPr>
        <w:rFonts w:hint="eastAsia"/>
      </w:rPr>
      <w:t xml:space="preserve">                 </w:t>
    </w:r>
    <w:r>
      <w:t>公开</w:t>
    </w:r>
    <w:r>
      <w:rPr>
        <w:rFonts w:hint="eastAsia"/>
      </w:rPr>
      <w:t>交易</w:t>
    </w:r>
    <w:r>
      <w:t>文件</w:t>
    </w:r>
  </w:p>
  <w:p w14:paraId="6CDB3CB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CF41">
    <w:pPr>
      <w:pStyle w:val="40"/>
      <w:rPr>
        <w:rFonts w:ascii="仿宋_GB2312" w:eastAsia="仿宋_GB2312"/>
        <w:b/>
        <w:i/>
        <w:iCs/>
        <w:u w:val="single"/>
      </w:rPr>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1BE4">
    <w:pPr>
      <w:pStyle w:val="40"/>
    </w:pPr>
  </w:p>
  <w:p w14:paraId="4F3A49AA">
    <w:pPr>
      <w:pStyle w:val="40"/>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6">
    <w:nsid w:val="2243D0A0"/>
    <w:multiLevelType w:val="singleLevel"/>
    <w:tmpl w:val="2243D0A0"/>
    <w:lvl w:ilvl="0" w:tentative="0">
      <w:start w:val="2"/>
      <w:numFmt w:val="chineseCounting"/>
      <w:suff w:val="nothing"/>
      <w:lvlText w:val="%1、"/>
      <w:lvlJc w:val="left"/>
      <w:rPr>
        <w:rFonts w:hint="eastAsia"/>
      </w:rPr>
    </w:lvl>
  </w:abstractNum>
  <w:abstractNum w:abstractNumId="7">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E8A8CF3"/>
    <w:multiLevelType w:val="singleLevel"/>
    <w:tmpl w:val="5E8A8CF3"/>
    <w:lvl w:ilvl="0" w:tentative="0">
      <w:start w:val="4"/>
      <w:numFmt w:val="chineseCounting"/>
      <w:suff w:val="nothing"/>
      <w:lvlText w:val="%1、"/>
      <w:lvlJc w:val="left"/>
      <w:rPr>
        <w:rFonts w:hint="eastAsia"/>
      </w:rPr>
    </w:lvl>
  </w:abstractNum>
  <w:abstractNum w:abstractNumId="10">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8"/>
  </w:num>
  <w:num w:numId="6">
    <w:abstractNumId w:val="10"/>
  </w:num>
  <w:num w:numId="7">
    <w:abstractNumId w:val="6"/>
  </w:num>
  <w:num w:numId="8">
    <w:abstractNumId w:val="9"/>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Y2MzNGExYWY2MjkzNTRhODg2YmYwMDk3YjdjMTIifQ=="/>
    <w:docVar w:name="KSO_WPS_MARK_KEY" w:val="5477a518-93da-4026-ad06-7e7dd8bc1f32"/>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AAC"/>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3E45"/>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161"/>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57F1"/>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493C"/>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1E6E"/>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2C79"/>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651D9"/>
    <w:rsid w:val="010F399F"/>
    <w:rsid w:val="013730A5"/>
    <w:rsid w:val="014331A4"/>
    <w:rsid w:val="01683013"/>
    <w:rsid w:val="01ED469A"/>
    <w:rsid w:val="01F403F6"/>
    <w:rsid w:val="01F62F61"/>
    <w:rsid w:val="01F94249"/>
    <w:rsid w:val="02122095"/>
    <w:rsid w:val="021F03E2"/>
    <w:rsid w:val="02394C0B"/>
    <w:rsid w:val="02610A11"/>
    <w:rsid w:val="027D7494"/>
    <w:rsid w:val="02C53449"/>
    <w:rsid w:val="02F40EDA"/>
    <w:rsid w:val="02FC0103"/>
    <w:rsid w:val="03052FE0"/>
    <w:rsid w:val="030B57D7"/>
    <w:rsid w:val="03357AA9"/>
    <w:rsid w:val="03411FB9"/>
    <w:rsid w:val="0344728F"/>
    <w:rsid w:val="034E0BF0"/>
    <w:rsid w:val="0361265C"/>
    <w:rsid w:val="036721A1"/>
    <w:rsid w:val="036D1000"/>
    <w:rsid w:val="036E3E94"/>
    <w:rsid w:val="038E03C2"/>
    <w:rsid w:val="03A450E3"/>
    <w:rsid w:val="03BC7892"/>
    <w:rsid w:val="03DD35E4"/>
    <w:rsid w:val="03FD2384"/>
    <w:rsid w:val="04090E60"/>
    <w:rsid w:val="040C0819"/>
    <w:rsid w:val="04462F5E"/>
    <w:rsid w:val="04471852"/>
    <w:rsid w:val="047C599F"/>
    <w:rsid w:val="04903357"/>
    <w:rsid w:val="04C43FCB"/>
    <w:rsid w:val="04EF66DB"/>
    <w:rsid w:val="05085485"/>
    <w:rsid w:val="0567224C"/>
    <w:rsid w:val="056D7096"/>
    <w:rsid w:val="05746676"/>
    <w:rsid w:val="057A4945"/>
    <w:rsid w:val="05890D2F"/>
    <w:rsid w:val="05A32B85"/>
    <w:rsid w:val="05AE56E3"/>
    <w:rsid w:val="05BD4511"/>
    <w:rsid w:val="05C9431B"/>
    <w:rsid w:val="05EF21A1"/>
    <w:rsid w:val="05F872A7"/>
    <w:rsid w:val="06043E9E"/>
    <w:rsid w:val="06126CB7"/>
    <w:rsid w:val="061E1CAC"/>
    <w:rsid w:val="063B5309"/>
    <w:rsid w:val="065A6178"/>
    <w:rsid w:val="06831528"/>
    <w:rsid w:val="06835B14"/>
    <w:rsid w:val="068E19BA"/>
    <w:rsid w:val="06B6402C"/>
    <w:rsid w:val="06C47199"/>
    <w:rsid w:val="06CF77AC"/>
    <w:rsid w:val="06DF0467"/>
    <w:rsid w:val="06EC61C4"/>
    <w:rsid w:val="06F537E7"/>
    <w:rsid w:val="070A6635"/>
    <w:rsid w:val="07702425"/>
    <w:rsid w:val="077961C6"/>
    <w:rsid w:val="077E40A3"/>
    <w:rsid w:val="078A03D3"/>
    <w:rsid w:val="07941252"/>
    <w:rsid w:val="079E5C2C"/>
    <w:rsid w:val="07A7582F"/>
    <w:rsid w:val="07AB0349"/>
    <w:rsid w:val="07D10DB9"/>
    <w:rsid w:val="07D82ABE"/>
    <w:rsid w:val="07D94EB6"/>
    <w:rsid w:val="07E035B9"/>
    <w:rsid w:val="080E7653"/>
    <w:rsid w:val="081E231A"/>
    <w:rsid w:val="0821786C"/>
    <w:rsid w:val="08B73836"/>
    <w:rsid w:val="08DC31AF"/>
    <w:rsid w:val="08E92ED7"/>
    <w:rsid w:val="08EF6326"/>
    <w:rsid w:val="09322AD0"/>
    <w:rsid w:val="09523172"/>
    <w:rsid w:val="09694018"/>
    <w:rsid w:val="0974058A"/>
    <w:rsid w:val="097F55EA"/>
    <w:rsid w:val="09994C3B"/>
    <w:rsid w:val="09E85885"/>
    <w:rsid w:val="09EC5C14"/>
    <w:rsid w:val="09F064E7"/>
    <w:rsid w:val="0A3E54A5"/>
    <w:rsid w:val="0A5B7E63"/>
    <w:rsid w:val="0A70000C"/>
    <w:rsid w:val="0A711124"/>
    <w:rsid w:val="0A9C25B6"/>
    <w:rsid w:val="0AA051FF"/>
    <w:rsid w:val="0AA06DB3"/>
    <w:rsid w:val="0AAB1E57"/>
    <w:rsid w:val="0AFA13CC"/>
    <w:rsid w:val="0B0267BC"/>
    <w:rsid w:val="0B352F04"/>
    <w:rsid w:val="0B3F6AC1"/>
    <w:rsid w:val="0B582596"/>
    <w:rsid w:val="0B7C44D7"/>
    <w:rsid w:val="0BA75FB3"/>
    <w:rsid w:val="0BA859AA"/>
    <w:rsid w:val="0BC92AFC"/>
    <w:rsid w:val="0BCB720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D42135"/>
    <w:rsid w:val="0DDF2AFB"/>
    <w:rsid w:val="0DF702FE"/>
    <w:rsid w:val="0E2B124B"/>
    <w:rsid w:val="0E53677C"/>
    <w:rsid w:val="0E7D26B6"/>
    <w:rsid w:val="0E924E11"/>
    <w:rsid w:val="0E985550"/>
    <w:rsid w:val="0E9E6E62"/>
    <w:rsid w:val="0EB36461"/>
    <w:rsid w:val="0EB750E2"/>
    <w:rsid w:val="0F657030"/>
    <w:rsid w:val="0F816ACD"/>
    <w:rsid w:val="0FB94AA9"/>
    <w:rsid w:val="0FD44A90"/>
    <w:rsid w:val="10550967"/>
    <w:rsid w:val="10846284"/>
    <w:rsid w:val="1085333E"/>
    <w:rsid w:val="1087752D"/>
    <w:rsid w:val="108C59D3"/>
    <w:rsid w:val="10913E33"/>
    <w:rsid w:val="10A737F6"/>
    <w:rsid w:val="10B7152C"/>
    <w:rsid w:val="10E010C1"/>
    <w:rsid w:val="10EF73F7"/>
    <w:rsid w:val="10FC16EA"/>
    <w:rsid w:val="110358CF"/>
    <w:rsid w:val="111849F8"/>
    <w:rsid w:val="112930C0"/>
    <w:rsid w:val="118963A1"/>
    <w:rsid w:val="11A17EE3"/>
    <w:rsid w:val="11AE112A"/>
    <w:rsid w:val="11E675E7"/>
    <w:rsid w:val="120A5DA9"/>
    <w:rsid w:val="12163467"/>
    <w:rsid w:val="121865DB"/>
    <w:rsid w:val="12741B5C"/>
    <w:rsid w:val="127723A9"/>
    <w:rsid w:val="128B14A3"/>
    <w:rsid w:val="13072A44"/>
    <w:rsid w:val="130B45A9"/>
    <w:rsid w:val="13173672"/>
    <w:rsid w:val="13414693"/>
    <w:rsid w:val="13497FBE"/>
    <w:rsid w:val="135B48AB"/>
    <w:rsid w:val="135D2E40"/>
    <w:rsid w:val="137C5628"/>
    <w:rsid w:val="138403CC"/>
    <w:rsid w:val="13B81E24"/>
    <w:rsid w:val="140A5568"/>
    <w:rsid w:val="145543E5"/>
    <w:rsid w:val="146855F8"/>
    <w:rsid w:val="149B4CA4"/>
    <w:rsid w:val="14E530ED"/>
    <w:rsid w:val="15280237"/>
    <w:rsid w:val="155F39C8"/>
    <w:rsid w:val="15704562"/>
    <w:rsid w:val="15761F97"/>
    <w:rsid w:val="158512F0"/>
    <w:rsid w:val="15C27407"/>
    <w:rsid w:val="15C312F8"/>
    <w:rsid w:val="15D878CF"/>
    <w:rsid w:val="160A2E1E"/>
    <w:rsid w:val="161458E9"/>
    <w:rsid w:val="16167586"/>
    <w:rsid w:val="162F1D9B"/>
    <w:rsid w:val="1670582E"/>
    <w:rsid w:val="16A11B76"/>
    <w:rsid w:val="16E50215"/>
    <w:rsid w:val="16E93B83"/>
    <w:rsid w:val="16ED658F"/>
    <w:rsid w:val="16FB6BF7"/>
    <w:rsid w:val="170D1560"/>
    <w:rsid w:val="17122F1C"/>
    <w:rsid w:val="1725434E"/>
    <w:rsid w:val="17285513"/>
    <w:rsid w:val="172872C1"/>
    <w:rsid w:val="174C5939"/>
    <w:rsid w:val="17575842"/>
    <w:rsid w:val="1776002C"/>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90A1374"/>
    <w:rsid w:val="19306853"/>
    <w:rsid w:val="195E3AFB"/>
    <w:rsid w:val="198729C4"/>
    <w:rsid w:val="19A76BC3"/>
    <w:rsid w:val="1A052432"/>
    <w:rsid w:val="1A44389A"/>
    <w:rsid w:val="1A554870"/>
    <w:rsid w:val="1A6C1BBA"/>
    <w:rsid w:val="1A7867B1"/>
    <w:rsid w:val="1AD05F5B"/>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6C96"/>
    <w:rsid w:val="1CAE6BBC"/>
    <w:rsid w:val="1CCC6940"/>
    <w:rsid w:val="1CE37308"/>
    <w:rsid w:val="1CE67443"/>
    <w:rsid w:val="1CE974F2"/>
    <w:rsid w:val="1CF902A5"/>
    <w:rsid w:val="1CFB79C6"/>
    <w:rsid w:val="1D061E52"/>
    <w:rsid w:val="1D266CE1"/>
    <w:rsid w:val="1D295B40"/>
    <w:rsid w:val="1D3963AF"/>
    <w:rsid w:val="1D4D5E8E"/>
    <w:rsid w:val="1D6A7B56"/>
    <w:rsid w:val="1D762EC8"/>
    <w:rsid w:val="1D7A5A60"/>
    <w:rsid w:val="1D7F6A82"/>
    <w:rsid w:val="1D832687"/>
    <w:rsid w:val="1D83500D"/>
    <w:rsid w:val="1DA5166B"/>
    <w:rsid w:val="1E0A530C"/>
    <w:rsid w:val="1E0D2147"/>
    <w:rsid w:val="1E3465FF"/>
    <w:rsid w:val="1E601A36"/>
    <w:rsid w:val="1E714A66"/>
    <w:rsid w:val="1E796654"/>
    <w:rsid w:val="1E886C9D"/>
    <w:rsid w:val="1EAD0046"/>
    <w:rsid w:val="1EAE09F3"/>
    <w:rsid w:val="1ECF22A8"/>
    <w:rsid w:val="1EDD3086"/>
    <w:rsid w:val="1EE551B2"/>
    <w:rsid w:val="1EE7764E"/>
    <w:rsid w:val="1EF310A3"/>
    <w:rsid w:val="1EF34658"/>
    <w:rsid w:val="1F0A6DC3"/>
    <w:rsid w:val="1F0F54A8"/>
    <w:rsid w:val="1F3B6EBB"/>
    <w:rsid w:val="1F62533A"/>
    <w:rsid w:val="1F772D95"/>
    <w:rsid w:val="1F7A6B27"/>
    <w:rsid w:val="1F7C7B91"/>
    <w:rsid w:val="1FC13803"/>
    <w:rsid w:val="1FC17A0D"/>
    <w:rsid w:val="1FE627DD"/>
    <w:rsid w:val="1FE868A9"/>
    <w:rsid w:val="1FF5350D"/>
    <w:rsid w:val="20036B1D"/>
    <w:rsid w:val="203851EC"/>
    <w:rsid w:val="204E6847"/>
    <w:rsid w:val="207F084A"/>
    <w:rsid w:val="20AD351B"/>
    <w:rsid w:val="20BA3BA7"/>
    <w:rsid w:val="20C75D9C"/>
    <w:rsid w:val="20C851F0"/>
    <w:rsid w:val="20E250CB"/>
    <w:rsid w:val="21212460"/>
    <w:rsid w:val="213B0D78"/>
    <w:rsid w:val="214473ED"/>
    <w:rsid w:val="21505D92"/>
    <w:rsid w:val="215B244F"/>
    <w:rsid w:val="21722593"/>
    <w:rsid w:val="217658F9"/>
    <w:rsid w:val="217C668E"/>
    <w:rsid w:val="219E6AFD"/>
    <w:rsid w:val="21DB4464"/>
    <w:rsid w:val="2217605D"/>
    <w:rsid w:val="222B63E9"/>
    <w:rsid w:val="225D5AB1"/>
    <w:rsid w:val="22686418"/>
    <w:rsid w:val="22943A5C"/>
    <w:rsid w:val="22E77460"/>
    <w:rsid w:val="23055FD8"/>
    <w:rsid w:val="2329689A"/>
    <w:rsid w:val="232A7827"/>
    <w:rsid w:val="23353491"/>
    <w:rsid w:val="2351124D"/>
    <w:rsid w:val="235D48A6"/>
    <w:rsid w:val="236478D2"/>
    <w:rsid w:val="237F19E8"/>
    <w:rsid w:val="23A510B4"/>
    <w:rsid w:val="23C34B4D"/>
    <w:rsid w:val="23ED0E03"/>
    <w:rsid w:val="244514B2"/>
    <w:rsid w:val="24860EE4"/>
    <w:rsid w:val="24861ACA"/>
    <w:rsid w:val="2490101C"/>
    <w:rsid w:val="24AE56A0"/>
    <w:rsid w:val="24E748D0"/>
    <w:rsid w:val="24EB3563"/>
    <w:rsid w:val="24F06DB3"/>
    <w:rsid w:val="25237CF4"/>
    <w:rsid w:val="25265E74"/>
    <w:rsid w:val="255C221D"/>
    <w:rsid w:val="257E0B86"/>
    <w:rsid w:val="257E5ED0"/>
    <w:rsid w:val="25861231"/>
    <w:rsid w:val="25A556BF"/>
    <w:rsid w:val="25D54AB7"/>
    <w:rsid w:val="25D80104"/>
    <w:rsid w:val="25DD396C"/>
    <w:rsid w:val="26226DDC"/>
    <w:rsid w:val="263A6020"/>
    <w:rsid w:val="2641214D"/>
    <w:rsid w:val="264A1001"/>
    <w:rsid w:val="264D464E"/>
    <w:rsid w:val="26A85D28"/>
    <w:rsid w:val="26BA0A4A"/>
    <w:rsid w:val="26C8461C"/>
    <w:rsid w:val="2702368A"/>
    <w:rsid w:val="2714160F"/>
    <w:rsid w:val="27271343"/>
    <w:rsid w:val="273910F3"/>
    <w:rsid w:val="276C7A9B"/>
    <w:rsid w:val="27E65F87"/>
    <w:rsid w:val="28013942"/>
    <w:rsid w:val="28051028"/>
    <w:rsid w:val="2822331D"/>
    <w:rsid w:val="28377363"/>
    <w:rsid w:val="28434545"/>
    <w:rsid w:val="284B5813"/>
    <w:rsid w:val="285F54D9"/>
    <w:rsid w:val="285F6637"/>
    <w:rsid w:val="286363AA"/>
    <w:rsid w:val="286640ED"/>
    <w:rsid w:val="288D1679"/>
    <w:rsid w:val="288D4D42"/>
    <w:rsid w:val="28C339E0"/>
    <w:rsid w:val="28CB21A2"/>
    <w:rsid w:val="28EC2844"/>
    <w:rsid w:val="29105867"/>
    <w:rsid w:val="29427D6A"/>
    <w:rsid w:val="29AB625B"/>
    <w:rsid w:val="29C54E43"/>
    <w:rsid w:val="29E70844"/>
    <w:rsid w:val="2A5C57A7"/>
    <w:rsid w:val="2A6B1546"/>
    <w:rsid w:val="2A8D5A19"/>
    <w:rsid w:val="2AC80ACB"/>
    <w:rsid w:val="2B5B5D72"/>
    <w:rsid w:val="2B623021"/>
    <w:rsid w:val="2B715282"/>
    <w:rsid w:val="2B71540F"/>
    <w:rsid w:val="2BA16ED3"/>
    <w:rsid w:val="2BDE2B57"/>
    <w:rsid w:val="2BEC2B5B"/>
    <w:rsid w:val="2C0933DD"/>
    <w:rsid w:val="2C152DB5"/>
    <w:rsid w:val="2C4630FB"/>
    <w:rsid w:val="2C78619D"/>
    <w:rsid w:val="2C7A0167"/>
    <w:rsid w:val="2C857BF3"/>
    <w:rsid w:val="2C9A7991"/>
    <w:rsid w:val="2D0D7B88"/>
    <w:rsid w:val="2D18151A"/>
    <w:rsid w:val="2D404F0C"/>
    <w:rsid w:val="2D742E08"/>
    <w:rsid w:val="2DB702D5"/>
    <w:rsid w:val="2DBB0A37"/>
    <w:rsid w:val="2DD15014"/>
    <w:rsid w:val="2DD65871"/>
    <w:rsid w:val="2E0F2B31"/>
    <w:rsid w:val="2E1B7598"/>
    <w:rsid w:val="2E3D31FA"/>
    <w:rsid w:val="2E5F5866"/>
    <w:rsid w:val="2E61338C"/>
    <w:rsid w:val="2E677D38"/>
    <w:rsid w:val="2EDC2A13"/>
    <w:rsid w:val="2F1743EB"/>
    <w:rsid w:val="2F274E83"/>
    <w:rsid w:val="2F29570B"/>
    <w:rsid w:val="2F4B0DD2"/>
    <w:rsid w:val="2F5641E0"/>
    <w:rsid w:val="2F8F356E"/>
    <w:rsid w:val="2FD25781"/>
    <w:rsid w:val="2FD951A4"/>
    <w:rsid w:val="2FFD2CC7"/>
    <w:rsid w:val="301165DA"/>
    <w:rsid w:val="30405223"/>
    <w:rsid w:val="308960F0"/>
    <w:rsid w:val="30A15875"/>
    <w:rsid w:val="30A56736"/>
    <w:rsid w:val="30B939DE"/>
    <w:rsid w:val="30CE79A8"/>
    <w:rsid w:val="30EB1633"/>
    <w:rsid w:val="30EF3D39"/>
    <w:rsid w:val="31227527"/>
    <w:rsid w:val="31466A4E"/>
    <w:rsid w:val="314901BE"/>
    <w:rsid w:val="315F16D9"/>
    <w:rsid w:val="316A6D4F"/>
    <w:rsid w:val="317927DB"/>
    <w:rsid w:val="317E6003"/>
    <w:rsid w:val="31870A8C"/>
    <w:rsid w:val="318D3071"/>
    <w:rsid w:val="3193369B"/>
    <w:rsid w:val="319C6071"/>
    <w:rsid w:val="31B22151"/>
    <w:rsid w:val="31BB7257"/>
    <w:rsid w:val="31E819C5"/>
    <w:rsid w:val="32001F60"/>
    <w:rsid w:val="32062FF1"/>
    <w:rsid w:val="321F6690"/>
    <w:rsid w:val="32482A68"/>
    <w:rsid w:val="3268280F"/>
    <w:rsid w:val="327F7168"/>
    <w:rsid w:val="328E0844"/>
    <w:rsid w:val="329249EA"/>
    <w:rsid w:val="32953EF6"/>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5275551"/>
    <w:rsid w:val="353B58A3"/>
    <w:rsid w:val="354A14FA"/>
    <w:rsid w:val="35700359"/>
    <w:rsid w:val="35802187"/>
    <w:rsid w:val="35831047"/>
    <w:rsid w:val="35D408E8"/>
    <w:rsid w:val="35EF127D"/>
    <w:rsid w:val="360B1E2F"/>
    <w:rsid w:val="362C24D2"/>
    <w:rsid w:val="364649EC"/>
    <w:rsid w:val="365302AE"/>
    <w:rsid w:val="3658762C"/>
    <w:rsid w:val="365D67EB"/>
    <w:rsid w:val="36A20866"/>
    <w:rsid w:val="36BB5604"/>
    <w:rsid w:val="36BB7EDB"/>
    <w:rsid w:val="36CD591E"/>
    <w:rsid w:val="36EC7FA3"/>
    <w:rsid w:val="36EE6B43"/>
    <w:rsid w:val="370E1BD7"/>
    <w:rsid w:val="3714348D"/>
    <w:rsid w:val="37305FF2"/>
    <w:rsid w:val="37536BFA"/>
    <w:rsid w:val="37672D54"/>
    <w:rsid w:val="377545C2"/>
    <w:rsid w:val="379876B4"/>
    <w:rsid w:val="37B26B9E"/>
    <w:rsid w:val="37B63D13"/>
    <w:rsid w:val="382B66A0"/>
    <w:rsid w:val="386D6DD1"/>
    <w:rsid w:val="388E5275"/>
    <w:rsid w:val="38961E84"/>
    <w:rsid w:val="38981423"/>
    <w:rsid w:val="38E30E42"/>
    <w:rsid w:val="38E40555"/>
    <w:rsid w:val="398576CC"/>
    <w:rsid w:val="39990BEE"/>
    <w:rsid w:val="399C304B"/>
    <w:rsid w:val="39A363FB"/>
    <w:rsid w:val="39B33898"/>
    <w:rsid w:val="39B439E6"/>
    <w:rsid w:val="39D0704E"/>
    <w:rsid w:val="39E62997"/>
    <w:rsid w:val="3A03021F"/>
    <w:rsid w:val="3A045513"/>
    <w:rsid w:val="3A2259A8"/>
    <w:rsid w:val="3A322C5A"/>
    <w:rsid w:val="3A561B54"/>
    <w:rsid w:val="3A667F7C"/>
    <w:rsid w:val="3A8E42CC"/>
    <w:rsid w:val="3ABF345E"/>
    <w:rsid w:val="3B0227C4"/>
    <w:rsid w:val="3B05100E"/>
    <w:rsid w:val="3B252077"/>
    <w:rsid w:val="3B3221E0"/>
    <w:rsid w:val="3B643E7F"/>
    <w:rsid w:val="3BA7084C"/>
    <w:rsid w:val="3BC9431F"/>
    <w:rsid w:val="3BD31641"/>
    <w:rsid w:val="3BE850ED"/>
    <w:rsid w:val="3BED44B1"/>
    <w:rsid w:val="3C3B0FB9"/>
    <w:rsid w:val="3C5F759A"/>
    <w:rsid w:val="3C7249B6"/>
    <w:rsid w:val="3C824100"/>
    <w:rsid w:val="3C8335B6"/>
    <w:rsid w:val="3C897B28"/>
    <w:rsid w:val="3C8F5568"/>
    <w:rsid w:val="3CB56A94"/>
    <w:rsid w:val="3D0F4820"/>
    <w:rsid w:val="3D2056B7"/>
    <w:rsid w:val="3D393726"/>
    <w:rsid w:val="3DA46197"/>
    <w:rsid w:val="3DAD4D93"/>
    <w:rsid w:val="3DD70862"/>
    <w:rsid w:val="3DDD0C8A"/>
    <w:rsid w:val="3DE4515A"/>
    <w:rsid w:val="3DED2D3D"/>
    <w:rsid w:val="3DF5FDDC"/>
    <w:rsid w:val="3DFA74C8"/>
    <w:rsid w:val="3E1F46CA"/>
    <w:rsid w:val="3E21047D"/>
    <w:rsid w:val="3E2A548E"/>
    <w:rsid w:val="3E2A789D"/>
    <w:rsid w:val="3E710C81"/>
    <w:rsid w:val="3E8459F1"/>
    <w:rsid w:val="3E8B5CAE"/>
    <w:rsid w:val="3E9B434E"/>
    <w:rsid w:val="3EC139D3"/>
    <w:rsid w:val="3EC81656"/>
    <w:rsid w:val="3ED2273B"/>
    <w:rsid w:val="3ED516E1"/>
    <w:rsid w:val="3EF23B8C"/>
    <w:rsid w:val="3F316FFA"/>
    <w:rsid w:val="3F420216"/>
    <w:rsid w:val="3F4563B2"/>
    <w:rsid w:val="3F4C5993"/>
    <w:rsid w:val="3FB761B7"/>
    <w:rsid w:val="3FEC0F24"/>
    <w:rsid w:val="401228F6"/>
    <w:rsid w:val="4044666A"/>
    <w:rsid w:val="404B79F8"/>
    <w:rsid w:val="404E2A10"/>
    <w:rsid w:val="4052254E"/>
    <w:rsid w:val="405F2248"/>
    <w:rsid w:val="406805AA"/>
    <w:rsid w:val="407D4B6A"/>
    <w:rsid w:val="40A84E4B"/>
    <w:rsid w:val="40DA0A3B"/>
    <w:rsid w:val="40E045E4"/>
    <w:rsid w:val="40E16990"/>
    <w:rsid w:val="40ED6D01"/>
    <w:rsid w:val="40EE65D6"/>
    <w:rsid w:val="40F07788"/>
    <w:rsid w:val="412119C6"/>
    <w:rsid w:val="4138444E"/>
    <w:rsid w:val="417302AC"/>
    <w:rsid w:val="419D0727"/>
    <w:rsid w:val="41F26D9D"/>
    <w:rsid w:val="42191E1B"/>
    <w:rsid w:val="422C3859"/>
    <w:rsid w:val="423544BC"/>
    <w:rsid w:val="428020A0"/>
    <w:rsid w:val="42AB5B89"/>
    <w:rsid w:val="42CA745D"/>
    <w:rsid w:val="42CD5064"/>
    <w:rsid w:val="42E1381E"/>
    <w:rsid w:val="42E32353"/>
    <w:rsid w:val="42E67EAC"/>
    <w:rsid w:val="42EB0C6F"/>
    <w:rsid w:val="43030308"/>
    <w:rsid w:val="430E7FD3"/>
    <w:rsid w:val="43120CA1"/>
    <w:rsid w:val="431E13F4"/>
    <w:rsid w:val="433E469E"/>
    <w:rsid w:val="43613359"/>
    <w:rsid w:val="43A53661"/>
    <w:rsid w:val="44004F9E"/>
    <w:rsid w:val="442448B0"/>
    <w:rsid w:val="444624FE"/>
    <w:rsid w:val="44565A77"/>
    <w:rsid w:val="44760F33"/>
    <w:rsid w:val="4476352A"/>
    <w:rsid w:val="447E4B71"/>
    <w:rsid w:val="4480414E"/>
    <w:rsid w:val="44C138E2"/>
    <w:rsid w:val="44D052EB"/>
    <w:rsid w:val="44E41552"/>
    <w:rsid w:val="4524182D"/>
    <w:rsid w:val="45285E2C"/>
    <w:rsid w:val="45294080"/>
    <w:rsid w:val="4530540F"/>
    <w:rsid w:val="455250D1"/>
    <w:rsid w:val="455F77C0"/>
    <w:rsid w:val="45813EBC"/>
    <w:rsid w:val="45A121C9"/>
    <w:rsid w:val="45B42B24"/>
    <w:rsid w:val="45F26E8B"/>
    <w:rsid w:val="461865CE"/>
    <w:rsid w:val="46267511"/>
    <w:rsid w:val="46447735"/>
    <w:rsid w:val="46594D41"/>
    <w:rsid w:val="467D1EAD"/>
    <w:rsid w:val="46CE2808"/>
    <w:rsid w:val="46DD0915"/>
    <w:rsid w:val="471C6949"/>
    <w:rsid w:val="47765479"/>
    <w:rsid w:val="478C4561"/>
    <w:rsid w:val="478D4D9A"/>
    <w:rsid w:val="47906638"/>
    <w:rsid w:val="47E720ED"/>
    <w:rsid w:val="481C08AF"/>
    <w:rsid w:val="481F55D3"/>
    <w:rsid w:val="484073BE"/>
    <w:rsid w:val="4847319B"/>
    <w:rsid w:val="488F52B3"/>
    <w:rsid w:val="489E4145"/>
    <w:rsid w:val="48E00EFA"/>
    <w:rsid w:val="4914504B"/>
    <w:rsid w:val="496408FF"/>
    <w:rsid w:val="499E29A5"/>
    <w:rsid w:val="49BF01B9"/>
    <w:rsid w:val="4A063282"/>
    <w:rsid w:val="4A5E657A"/>
    <w:rsid w:val="4A873D23"/>
    <w:rsid w:val="4A8A3813"/>
    <w:rsid w:val="4A991A0A"/>
    <w:rsid w:val="4A9D52F4"/>
    <w:rsid w:val="4AA05382"/>
    <w:rsid w:val="4AA77F21"/>
    <w:rsid w:val="4AB32B4A"/>
    <w:rsid w:val="4ACC6DC8"/>
    <w:rsid w:val="4B513D34"/>
    <w:rsid w:val="4B6802D0"/>
    <w:rsid w:val="4B6A40EA"/>
    <w:rsid w:val="4B871B00"/>
    <w:rsid w:val="4B920ED8"/>
    <w:rsid w:val="4B9E1324"/>
    <w:rsid w:val="4BAF1783"/>
    <w:rsid w:val="4BD12D6B"/>
    <w:rsid w:val="4BFE7FC1"/>
    <w:rsid w:val="4C12446D"/>
    <w:rsid w:val="4C4D4AF8"/>
    <w:rsid w:val="4C6E40A6"/>
    <w:rsid w:val="4C9D5A7F"/>
    <w:rsid w:val="4CE4214A"/>
    <w:rsid w:val="4D07114B"/>
    <w:rsid w:val="4D1B570E"/>
    <w:rsid w:val="4D417DBC"/>
    <w:rsid w:val="4D431A31"/>
    <w:rsid w:val="4D626E4D"/>
    <w:rsid w:val="4D844549"/>
    <w:rsid w:val="4D8E1CD6"/>
    <w:rsid w:val="4D8F614B"/>
    <w:rsid w:val="4D951FBD"/>
    <w:rsid w:val="4D9A093A"/>
    <w:rsid w:val="4DA459CA"/>
    <w:rsid w:val="4DBC1B25"/>
    <w:rsid w:val="4DD76D6F"/>
    <w:rsid w:val="4E035DB6"/>
    <w:rsid w:val="4E0C1765"/>
    <w:rsid w:val="4E201F32"/>
    <w:rsid w:val="4E807407"/>
    <w:rsid w:val="4E8F7614"/>
    <w:rsid w:val="4E9B5FEF"/>
    <w:rsid w:val="4E9C42E9"/>
    <w:rsid w:val="4EA96C79"/>
    <w:rsid w:val="4EBC2DE5"/>
    <w:rsid w:val="4EDD70AD"/>
    <w:rsid w:val="4EFA0F67"/>
    <w:rsid w:val="4F09170E"/>
    <w:rsid w:val="4F3722AB"/>
    <w:rsid w:val="4F381A8F"/>
    <w:rsid w:val="4F7C478E"/>
    <w:rsid w:val="4F8E5C89"/>
    <w:rsid w:val="4F994FA8"/>
    <w:rsid w:val="4FAA4158"/>
    <w:rsid w:val="4FAD422B"/>
    <w:rsid w:val="4FB71A4F"/>
    <w:rsid w:val="500D6A78"/>
    <w:rsid w:val="50281B04"/>
    <w:rsid w:val="50462D59"/>
    <w:rsid w:val="505A24E0"/>
    <w:rsid w:val="506B19F1"/>
    <w:rsid w:val="50812FC2"/>
    <w:rsid w:val="50925279"/>
    <w:rsid w:val="509B0528"/>
    <w:rsid w:val="50AA5105"/>
    <w:rsid w:val="50CA138F"/>
    <w:rsid w:val="50EC2B32"/>
    <w:rsid w:val="50ED66AA"/>
    <w:rsid w:val="50F6575E"/>
    <w:rsid w:val="51247AAC"/>
    <w:rsid w:val="514C537E"/>
    <w:rsid w:val="515003FA"/>
    <w:rsid w:val="51687A61"/>
    <w:rsid w:val="51737243"/>
    <w:rsid w:val="51981104"/>
    <w:rsid w:val="519E4F32"/>
    <w:rsid w:val="51A0432A"/>
    <w:rsid w:val="51AC0513"/>
    <w:rsid w:val="51CF4131"/>
    <w:rsid w:val="51F223CA"/>
    <w:rsid w:val="521D4F6D"/>
    <w:rsid w:val="522D51B0"/>
    <w:rsid w:val="523627F6"/>
    <w:rsid w:val="5246001F"/>
    <w:rsid w:val="524F4DFB"/>
    <w:rsid w:val="526F4DEC"/>
    <w:rsid w:val="527774D3"/>
    <w:rsid w:val="52A96B6F"/>
    <w:rsid w:val="52BA04CC"/>
    <w:rsid w:val="52D2254C"/>
    <w:rsid w:val="53235B23"/>
    <w:rsid w:val="534A736A"/>
    <w:rsid w:val="537865C5"/>
    <w:rsid w:val="538641F0"/>
    <w:rsid w:val="53967EAD"/>
    <w:rsid w:val="539C0175"/>
    <w:rsid w:val="53A05951"/>
    <w:rsid w:val="53E144A4"/>
    <w:rsid w:val="543D36A4"/>
    <w:rsid w:val="544762D1"/>
    <w:rsid w:val="54516263"/>
    <w:rsid w:val="546B6463"/>
    <w:rsid w:val="54992FD0"/>
    <w:rsid w:val="54996B2C"/>
    <w:rsid w:val="549F1015"/>
    <w:rsid w:val="54B16D7F"/>
    <w:rsid w:val="54D22327"/>
    <w:rsid w:val="550764A4"/>
    <w:rsid w:val="551116AB"/>
    <w:rsid w:val="55313209"/>
    <w:rsid w:val="55366A71"/>
    <w:rsid w:val="55441109"/>
    <w:rsid w:val="55472A2C"/>
    <w:rsid w:val="554F446C"/>
    <w:rsid w:val="55AF2380"/>
    <w:rsid w:val="55F70887"/>
    <w:rsid w:val="56101070"/>
    <w:rsid w:val="562C1C22"/>
    <w:rsid w:val="564E1B99"/>
    <w:rsid w:val="56B04A7B"/>
    <w:rsid w:val="56C05DE0"/>
    <w:rsid w:val="56D13882"/>
    <w:rsid w:val="56F004E8"/>
    <w:rsid w:val="57275755"/>
    <w:rsid w:val="572B15A7"/>
    <w:rsid w:val="57642B60"/>
    <w:rsid w:val="57B3707C"/>
    <w:rsid w:val="57BF4953"/>
    <w:rsid w:val="57C61AE4"/>
    <w:rsid w:val="57D305A7"/>
    <w:rsid w:val="57E52067"/>
    <w:rsid w:val="58020D56"/>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943D66"/>
    <w:rsid w:val="59E44CEE"/>
    <w:rsid w:val="5A2A7C7B"/>
    <w:rsid w:val="5A537537"/>
    <w:rsid w:val="5ABC0B62"/>
    <w:rsid w:val="5ACE32A8"/>
    <w:rsid w:val="5AE44D9F"/>
    <w:rsid w:val="5AED35E8"/>
    <w:rsid w:val="5AF0644D"/>
    <w:rsid w:val="5B0B62AA"/>
    <w:rsid w:val="5B0C45BD"/>
    <w:rsid w:val="5B0D2022"/>
    <w:rsid w:val="5B0F1027"/>
    <w:rsid w:val="5B2F1F99"/>
    <w:rsid w:val="5BA40E76"/>
    <w:rsid w:val="5BA65FD3"/>
    <w:rsid w:val="5BBB2421"/>
    <w:rsid w:val="5BC58FB3"/>
    <w:rsid w:val="5BDF6443"/>
    <w:rsid w:val="5BDF73AA"/>
    <w:rsid w:val="5BEC1162"/>
    <w:rsid w:val="5BF31218"/>
    <w:rsid w:val="5C2A6758"/>
    <w:rsid w:val="5C3343BC"/>
    <w:rsid w:val="5C80234E"/>
    <w:rsid w:val="5C8641D7"/>
    <w:rsid w:val="5CE21672"/>
    <w:rsid w:val="5D2E4D5C"/>
    <w:rsid w:val="5D3F66DF"/>
    <w:rsid w:val="5D497818"/>
    <w:rsid w:val="5D61601C"/>
    <w:rsid w:val="5DB43FE4"/>
    <w:rsid w:val="5DB449D7"/>
    <w:rsid w:val="5DE66B56"/>
    <w:rsid w:val="5DE82F27"/>
    <w:rsid w:val="5DFC1EDA"/>
    <w:rsid w:val="5E084A2C"/>
    <w:rsid w:val="5E084D23"/>
    <w:rsid w:val="5E0D40E7"/>
    <w:rsid w:val="5E1A5E3F"/>
    <w:rsid w:val="5E261785"/>
    <w:rsid w:val="5E374D9F"/>
    <w:rsid w:val="5E446464"/>
    <w:rsid w:val="5E6A0EA5"/>
    <w:rsid w:val="5E826883"/>
    <w:rsid w:val="5E8D459C"/>
    <w:rsid w:val="5EB50A07"/>
    <w:rsid w:val="5EE17A4E"/>
    <w:rsid w:val="5F10510E"/>
    <w:rsid w:val="5F2B3C49"/>
    <w:rsid w:val="5F9A19AB"/>
    <w:rsid w:val="5F9D3708"/>
    <w:rsid w:val="5FB95BC6"/>
    <w:rsid w:val="5FCC5339"/>
    <w:rsid w:val="5FF53CE9"/>
    <w:rsid w:val="5FF63C52"/>
    <w:rsid w:val="600A3F99"/>
    <w:rsid w:val="6021037A"/>
    <w:rsid w:val="60382E98"/>
    <w:rsid w:val="60445EB3"/>
    <w:rsid w:val="604C6C11"/>
    <w:rsid w:val="605B7AB8"/>
    <w:rsid w:val="606A3A96"/>
    <w:rsid w:val="60830691"/>
    <w:rsid w:val="60855343"/>
    <w:rsid w:val="60930502"/>
    <w:rsid w:val="60A637AC"/>
    <w:rsid w:val="60A9206D"/>
    <w:rsid w:val="60AB2BF8"/>
    <w:rsid w:val="60C93611"/>
    <w:rsid w:val="60DC5815"/>
    <w:rsid w:val="60E631BD"/>
    <w:rsid w:val="61054A27"/>
    <w:rsid w:val="610572F8"/>
    <w:rsid w:val="610B7004"/>
    <w:rsid w:val="6114761D"/>
    <w:rsid w:val="611D2366"/>
    <w:rsid w:val="614068C9"/>
    <w:rsid w:val="61E46B14"/>
    <w:rsid w:val="61E83289"/>
    <w:rsid w:val="61EF5138"/>
    <w:rsid w:val="620023C7"/>
    <w:rsid w:val="62150F26"/>
    <w:rsid w:val="62157A0E"/>
    <w:rsid w:val="622513DD"/>
    <w:rsid w:val="624C13E9"/>
    <w:rsid w:val="62832486"/>
    <w:rsid w:val="62885958"/>
    <w:rsid w:val="62AC5837"/>
    <w:rsid w:val="62C751AC"/>
    <w:rsid w:val="62CC0E37"/>
    <w:rsid w:val="62E33669"/>
    <w:rsid w:val="62E85864"/>
    <w:rsid w:val="630B0B6F"/>
    <w:rsid w:val="630D7AA2"/>
    <w:rsid w:val="6324615B"/>
    <w:rsid w:val="633839B4"/>
    <w:rsid w:val="637507CD"/>
    <w:rsid w:val="63975118"/>
    <w:rsid w:val="63E27A8B"/>
    <w:rsid w:val="63E82FD8"/>
    <w:rsid w:val="64191A38"/>
    <w:rsid w:val="643E41AF"/>
    <w:rsid w:val="64474547"/>
    <w:rsid w:val="64703142"/>
    <w:rsid w:val="647A6070"/>
    <w:rsid w:val="647C1FC7"/>
    <w:rsid w:val="64877387"/>
    <w:rsid w:val="648A4251"/>
    <w:rsid w:val="648C220A"/>
    <w:rsid w:val="64AD52E7"/>
    <w:rsid w:val="64CE2EAA"/>
    <w:rsid w:val="64CF25AB"/>
    <w:rsid w:val="64DE60CD"/>
    <w:rsid w:val="651B4002"/>
    <w:rsid w:val="651E72A0"/>
    <w:rsid w:val="652B3FD1"/>
    <w:rsid w:val="657607C4"/>
    <w:rsid w:val="658721E6"/>
    <w:rsid w:val="65B93350"/>
    <w:rsid w:val="65BD0BFE"/>
    <w:rsid w:val="65E10333"/>
    <w:rsid w:val="65EB7404"/>
    <w:rsid w:val="65F5200F"/>
    <w:rsid w:val="66187A52"/>
    <w:rsid w:val="662E75B1"/>
    <w:rsid w:val="66342C2E"/>
    <w:rsid w:val="663E784C"/>
    <w:rsid w:val="6655487D"/>
    <w:rsid w:val="66950E7F"/>
    <w:rsid w:val="669C2647"/>
    <w:rsid w:val="66C072F5"/>
    <w:rsid w:val="66D07594"/>
    <w:rsid w:val="66FBB342"/>
    <w:rsid w:val="670047E9"/>
    <w:rsid w:val="671745FC"/>
    <w:rsid w:val="67582877"/>
    <w:rsid w:val="675C1782"/>
    <w:rsid w:val="677F7E04"/>
    <w:rsid w:val="67D93618"/>
    <w:rsid w:val="68261CC4"/>
    <w:rsid w:val="68343CC5"/>
    <w:rsid w:val="68401C64"/>
    <w:rsid w:val="684849C6"/>
    <w:rsid w:val="68705312"/>
    <w:rsid w:val="68914293"/>
    <w:rsid w:val="68D77510"/>
    <w:rsid w:val="68DE0B5A"/>
    <w:rsid w:val="690C27AB"/>
    <w:rsid w:val="690C66E5"/>
    <w:rsid w:val="690D7691"/>
    <w:rsid w:val="693410C2"/>
    <w:rsid w:val="6942558D"/>
    <w:rsid w:val="696B74C4"/>
    <w:rsid w:val="69777DE2"/>
    <w:rsid w:val="697A1104"/>
    <w:rsid w:val="698B348F"/>
    <w:rsid w:val="69A86236"/>
    <w:rsid w:val="69AA3132"/>
    <w:rsid w:val="69F00E5C"/>
    <w:rsid w:val="6A1C750D"/>
    <w:rsid w:val="6A4E7F61"/>
    <w:rsid w:val="6A617E02"/>
    <w:rsid w:val="6A620582"/>
    <w:rsid w:val="6A6837D1"/>
    <w:rsid w:val="6A6D488B"/>
    <w:rsid w:val="6A8E0FFC"/>
    <w:rsid w:val="6AA16C75"/>
    <w:rsid w:val="6ABB1498"/>
    <w:rsid w:val="6AF97ECD"/>
    <w:rsid w:val="6B0A41B2"/>
    <w:rsid w:val="6B295515"/>
    <w:rsid w:val="6B52226C"/>
    <w:rsid w:val="6B5C6424"/>
    <w:rsid w:val="6B735ED1"/>
    <w:rsid w:val="6BA702C1"/>
    <w:rsid w:val="6BBE4C73"/>
    <w:rsid w:val="6BBF1871"/>
    <w:rsid w:val="6BD36970"/>
    <w:rsid w:val="6BF80185"/>
    <w:rsid w:val="6C38732C"/>
    <w:rsid w:val="6C680C88"/>
    <w:rsid w:val="6C81092E"/>
    <w:rsid w:val="6CF30F04"/>
    <w:rsid w:val="6D082DFE"/>
    <w:rsid w:val="6D0D0199"/>
    <w:rsid w:val="6D4D00D3"/>
    <w:rsid w:val="6D6F570C"/>
    <w:rsid w:val="6D8912EF"/>
    <w:rsid w:val="6D8E1BA4"/>
    <w:rsid w:val="6D967C55"/>
    <w:rsid w:val="6DA2229E"/>
    <w:rsid w:val="6DA92861"/>
    <w:rsid w:val="6DB74ABE"/>
    <w:rsid w:val="6DE333D5"/>
    <w:rsid w:val="6E021BC5"/>
    <w:rsid w:val="6E1623E6"/>
    <w:rsid w:val="6E2234D2"/>
    <w:rsid w:val="6E761835"/>
    <w:rsid w:val="6E8E12EF"/>
    <w:rsid w:val="6EA35B4C"/>
    <w:rsid w:val="6EE75C87"/>
    <w:rsid w:val="6F484F7F"/>
    <w:rsid w:val="6F5F4624"/>
    <w:rsid w:val="6F8213F7"/>
    <w:rsid w:val="6FBB0A5D"/>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900E5F"/>
    <w:rsid w:val="71A82806"/>
    <w:rsid w:val="71D43752"/>
    <w:rsid w:val="71DB7CE8"/>
    <w:rsid w:val="71DD4E54"/>
    <w:rsid w:val="72040C7E"/>
    <w:rsid w:val="72365CA8"/>
    <w:rsid w:val="724C2F88"/>
    <w:rsid w:val="724E4132"/>
    <w:rsid w:val="72563E57"/>
    <w:rsid w:val="72587BCF"/>
    <w:rsid w:val="725F6247"/>
    <w:rsid w:val="728069B8"/>
    <w:rsid w:val="7295497F"/>
    <w:rsid w:val="72CA73FB"/>
    <w:rsid w:val="72D27FF4"/>
    <w:rsid w:val="72D50740"/>
    <w:rsid w:val="732F4149"/>
    <w:rsid w:val="732F6F6B"/>
    <w:rsid w:val="734827F2"/>
    <w:rsid w:val="73840107"/>
    <w:rsid w:val="73972979"/>
    <w:rsid w:val="73A429A0"/>
    <w:rsid w:val="73E07E7C"/>
    <w:rsid w:val="73E8523E"/>
    <w:rsid w:val="73F6630A"/>
    <w:rsid w:val="741E09A4"/>
    <w:rsid w:val="74512B28"/>
    <w:rsid w:val="74754184"/>
    <w:rsid w:val="74916155"/>
    <w:rsid w:val="7493567E"/>
    <w:rsid w:val="74936C9D"/>
    <w:rsid w:val="74944EBB"/>
    <w:rsid w:val="74961D9B"/>
    <w:rsid w:val="749C4185"/>
    <w:rsid w:val="74D62D6B"/>
    <w:rsid w:val="74D86AE9"/>
    <w:rsid w:val="74DA71DC"/>
    <w:rsid w:val="74DE553E"/>
    <w:rsid w:val="751B4EE4"/>
    <w:rsid w:val="75310219"/>
    <w:rsid w:val="75385A96"/>
    <w:rsid w:val="756132EE"/>
    <w:rsid w:val="759365F4"/>
    <w:rsid w:val="75BC659D"/>
    <w:rsid w:val="75C537CD"/>
    <w:rsid w:val="75D76B65"/>
    <w:rsid w:val="75DA2C18"/>
    <w:rsid w:val="75DC563D"/>
    <w:rsid w:val="75F663C9"/>
    <w:rsid w:val="76366A04"/>
    <w:rsid w:val="76443E88"/>
    <w:rsid w:val="764741E2"/>
    <w:rsid w:val="76865C05"/>
    <w:rsid w:val="76A65B00"/>
    <w:rsid w:val="76C06100"/>
    <w:rsid w:val="76FA4F64"/>
    <w:rsid w:val="771440AA"/>
    <w:rsid w:val="771F2A69"/>
    <w:rsid w:val="7725204A"/>
    <w:rsid w:val="77664B3C"/>
    <w:rsid w:val="77730402"/>
    <w:rsid w:val="77820F24"/>
    <w:rsid w:val="77837EA1"/>
    <w:rsid w:val="77877F55"/>
    <w:rsid w:val="77954B48"/>
    <w:rsid w:val="77995AE0"/>
    <w:rsid w:val="77B47F8F"/>
    <w:rsid w:val="77B6499D"/>
    <w:rsid w:val="77E87FD9"/>
    <w:rsid w:val="77FC051C"/>
    <w:rsid w:val="788F1E71"/>
    <w:rsid w:val="79374646"/>
    <w:rsid w:val="79641288"/>
    <w:rsid w:val="7967694A"/>
    <w:rsid w:val="79894B12"/>
    <w:rsid w:val="79A77C1E"/>
    <w:rsid w:val="79B25E17"/>
    <w:rsid w:val="79C80F68"/>
    <w:rsid w:val="79C8155D"/>
    <w:rsid w:val="79D1653A"/>
    <w:rsid w:val="79D51B05"/>
    <w:rsid w:val="79FB4DB8"/>
    <w:rsid w:val="7A0A0CCF"/>
    <w:rsid w:val="7A1305A7"/>
    <w:rsid w:val="7A160F14"/>
    <w:rsid w:val="7A4334F8"/>
    <w:rsid w:val="7A67303B"/>
    <w:rsid w:val="7A697CCD"/>
    <w:rsid w:val="7A926E0C"/>
    <w:rsid w:val="7A936904"/>
    <w:rsid w:val="7AAB1D04"/>
    <w:rsid w:val="7ABA4368"/>
    <w:rsid w:val="7AD35F28"/>
    <w:rsid w:val="7B257FFD"/>
    <w:rsid w:val="7B4909FD"/>
    <w:rsid w:val="7B4B0040"/>
    <w:rsid w:val="7B7A1639"/>
    <w:rsid w:val="7B875081"/>
    <w:rsid w:val="7B8A5149"/>
    <w:rsid w:val="7B8A6F71"/>
    <w:rsid w:val="7B8B25F6"/>
    <w:rsid w:val="7BAB5214"/>
    <w:rsid w:val="7BAC7445"/>
    <w:rsid w:val="7BF85F7F"/>
    <w:rsid w:val="7C120DEF"/>
    <w:rsid w:val="7C1C3A1B"/>
    <w:rsid w:val="7C636FEF"/>
    <w:rsid w:val="7C6D6D67"/>
    <w:rsid w:val="7C91271D"/>
    <w:rsid w:val="7CA560CB"/>
    <w:rsid w:val="7CF1353C"/>
    <w:rsid w:val="7D0B1726"/>
    <w:rsid w:val="7D1E0263"/>
    <w:rsid w:val="7D262449"/>
    <w:rsid w:val="7D3F34EE"/>
    <w:rsid w:val="7D494CE4"/>
    <w:rsid w:val="7D553689"/>
    <w:rsid w:val="7D60202E"/>
    <w:rsid w:val="7D6E6A4F"/>
    <w:rsid w:val="7D856CA2"/>
    <w:rsid w:val="7D9D5AA3"/>
    <w:rsid w:val="7DB64489"/>
    <w:rsid w:val="7DB87774"/>
    <w:rsid w:val="7DDF5BD5"/>
    <w:rsid w:val="7DFA4B0F"/>
    <w:rsid w:val="7E087B80"/>
    <w:rsid w:val="7E2968C4"/>
    <w:rsid w:val="7E4A5F1A"/>
    <w:rsid w:val="7E524D43"/>
    <w:rsid w:val="7E5E656D"/>
    <w:rsid w:val="7E7C7B76"/>
    <w:rsid w:val="7ECA3C03"/>
    <w:rsid w:val="7EE27547"/>
    <w:rsid w:val="7EF16460"/>
    <w:rsid w:val="7EF55D5F"/>
    <w:rsid w:val="7EF72849"/>
    <w:rsid w:val="7F2B6433"/>
    <w:rsid w:val="7F3845D5"/>
    <w:rsid w:val="7F397695"/>
    <w:rsid w:val="7F3D0E3E"/>
    <w:rsid w:val="7F447D8C"/>
    <w:rsid w:val="7F4A0830"/>
    <w:rsid w:val="7F5636E8"/>
    <w:rsid w:val="7F58120E"/>
    <w:rsid w:val="7F640685"/>
    <w:rsid w:val="7F65392B"/>
    <w:rsid w:val="7F686F78"/>
    <w:rsid w:val="7F8A5140"/>
    <w:rsid w:val="7F8E155C"/>
    <w:rsid w:val="7F9838ED"/>
    <w:rsid w:val="7FA63579"/>
    <w:rsid w:val="7FBF96C3"/>
    <w:rsid w:val="7FFF78DC"/>
    <w:rsid w:val="933F5755"/>
    <w:rsid w:val="9FE186F8"/>
    <w:rsid w:val="A9AF48F8"/>
    <w:rsid w:val="DF880319"/>
    <w:rsid w:val="DFDE226B"/>
    <w:rsid w:val="E6BF0F71"/>
    <w:rsid w:val="FDD9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4"/>
    <w:qFormat/>
    <w:uiPriority w:val="0"/>
    <w:pPr>
      <w:adjustRightInd/>
      <w:spacing w:line="360" w:lineRule="auto"/>
      <w:jc w:val="center"/>
      <w:outlineLvl w:val="0"/>
    </w:pPr>
    <w:rPr>
      <w:rFonts w:ascii="仿宋" w:hAnsi="仿宋" w:eastAsia="仿宋" w:cs="仿宋_GB2312"/>
      <w:b/>
      <w:color w:val="000000"/>
      <w:sz w:val="36"/>
      <w:szCs w:val="36"/>
    </w:rPr>
  </w:style>
  <w:style w:type="paragraph" w:styleId="6">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8">
    <w:name w:val="heading 4"/>
    <w:basedOn w:val="1"/>
    <w:next w:val="1"/>
    <w:link w:val="21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178"/>
    <w:qFormat/>
    <w:uiPriority w:val="0"/>
    <w:pPr>
      <w:keepNext/>
      <w:keepLines/>
      <w:numPr>
        <w:ilvl w:val="4"/>
        <w:numId w:val="2"/>
      </w:numPr>
      <w:spacing w:before="280" w:after="290" w:line="376" w:lineRule="auto"/>
      <w:outlineLvl w:val="4"/>
    </w:pPr>
    <w:rPr>
      <w:b/>
      <w:bCs/>
      <w:sz w:val="28"/>
      <w:szCs w:val="28"/>
    </w:rPr>
  </w:style>
  <w:style w:type="paragraph" w:styleId="10">
    <w:name w:val="heading 6"/>
    <w:basedOn w:val="1"/>
    <w:next w:val="1"/>
    <w:link w:val="243"/>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1">
    <w:name w:val="heading 7"/>
    <w:basedOn w:val="1"/>
    <w:next w:val="1"/>
    <w:link w:val="209"/>
    <w:qFormat/>
    <w:uiPriority w:val="0"/>
    <w:pPr>
      <w:keepNext/>
      <w:keepLines/>
      <w:numPr>
        <w:ilvl w:val="6"/>
        <w:numId w:val="2"/>
      </w:numPr>
      <w:spacing w:before="240" w:after="64" w:line="320" w:lineRule="auto"/>
      <w:outlineLvl w:val="6"/>
    </w:pPr>
    <w:rPr>
      <w:b/>
      <w:bCs/>
      <w:sz w:val="24"/>
    </w:rPr>
  </w:style>
  <w:style w:type="paragraph" w:styleId="12">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3">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4"/>
    <w:qFormat/>
    <w:uiPriority w:val="0"/>
    <w:pPr>
      <w:autoSpaceDE w:val="0"/>
      <w:autoSpaceDN w:val="0"/>
      <w:spacing w:line="360" w:lineRule="auto"/>
    </w:pPr>
    <w:rPr>
      <w:rFonts w:ascii="宋体"/>
      <w:sz w:val="24"/>
      <w:szCs w:val="21"/>
      <w:lang w:val="zh-CN"/>
    </w:rPr>
  </w:style>
  <w:style w:type="paragraph" w:styleId="3">
    <w:name w:val="Body Text First Indent"/>
    <w:basedOn w:val="2"/>
    <w:next w:val="4"/>
    <w:link w:val="137"/>
    <w:qFormat/>
    <w:uiPriority w:val="0"/>
    <w:pPr>
      <w:ind w:firstLine="420"/>
    </w:pPr>
    <w:rPr>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245"/>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249"/>
    <w:qFormat/>
    <w:uiPriority w:val="99"/>
    <w:pPr>
      <w:jc w:val="left"/>
    </w:pPr>
  </w:style>
  <w:style w:type="paragraph" w:styleId="23">
    <w:name w:val="Salutation"/>
    <w:basedOn w:val="1"/>
    <w:next w:val="1"/>
    <w:link w:val="214"/>
    <w:qFormat/>
    <w:uiPriority w:val="0"/>
    <w:rPr>
      <w:rFonts w:ascii="仿宋_GB2312" w:eastAsia="仿宋_GB2312"/>
      <w:sz w:val="28"/>
      <w:szCs w:val="20"/>
    </w:rPr>
  </w:style>
  <w:style w:type="paragraph" w:styleId="24">
    <w:name w:val="Body Text 3"/>
    <w:basedOn w:val="1"/>
    <w:link w:val="187"/>
    <w:qFormat/>
    <w:uiPriority w:val="0"/>
    <w:pPr>
      <w:jc w:val="center"/>
    </w:pPr>
    <w:rPr>
      <w:szCs w:val="20"/>
    </w:rPr>
  </w:style>
  <w:style w:type="paragraph" w:styleId="25">
    <w:name w:val="Body Text Indent"/>
    <w:basedOn w:val="1"/>
    <w:link w:val="10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225"/>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12"/>
    <w:qFormat/>
    <w:uiPriority w:val="0"/>
    <w:pPr>
      <w:ind w:left="100" w:leftChars="2500"/>
    </w:pPr>
    <w:rPr>
      <w:rFonts w:ascii="宋体"/>
      <w:sz w:val="24"/>
      <w:szCs w:val="21"/>
      <w:lang w:val="zh-CN"/>
    </w:rPr>
  </w:style>
  <w:style w:type="paragraph" w:styleId="37">
    <w:name w:val="Body Text Indent 2"/>
    <w:basedOn w:val="1"/>
    <w:link w:val="85"/>
    <w:qFormat/>
    <w:uiPriority w:val="0"/>
    <w:pPr>
      <w:spacing w:line="360" w:lineRule="auto"/>
      <w:ind w:firstLine="601"/>
      <w:textAlignment w:val="baseline"/>
    </w:pPr>
    <w:rPr>
      <w:rFonts w:ascii="宋体"/>
      <w:kern w:val="0"/>
      <w:sz w:val="28"/>
      <w:szCs w:val="20"/>
    </w:rPr>
  </w:style>
  <w:style w:type="paragraph" w:styleId="38">
    <w:name w:val="Balloon Text"/>
    <w:basedOn w:val="1"/>
    <w:link w:val="250"/>
    <w:semiHidden/>
    <w:qFormat/>
    <w:uiPriority w:val="0"/>
    <w:rPr>
      <w:sz w:val="18"/>
      <w:szCs w:val="18"/>
    </w:rPr>
  </w:style>
  <w:style w:type="paragraph" w:styleId="39">
    <w:name w:val="footer"/>
    <w:basedOn w:val="1"/>
    <w:link w:val="630"/>
    <w:qFormat/>
    <w:uiPriority w:val="99"/>
    <w:pPr>
      <w:tabs>
        <w:tab w:val="center" w:pos="4153"/>
        <w:tab w:val="right" w:pos="8306"/>
      </w:tabs>
      <w:snapToGrid w:val="0"/>
      <w:jc w:val="left"/>
    </w:pPr>
    <w:rPr>
      <w:sz w:val="18"/>
      <w:szCs w:val="18"/>
    </w:rPr>
  </w:style>
  <w:style w:type="paragraph" w:styleId="40">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8"/>
    <w:link w:val="239"/>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2"/>
    <w:basedOn w:val="25"/>
    <w:link w:val="247"/>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Normal]"/>
    <w:qFormat/>
    <w:uiPriority w:val="0"/>
    <w:rPr>
      <w:rFonts w:ascii="宋体" w:hAnsi="宋体" w:eastAsia="宋体" w:cs="Times New Roman"/>
      <w:sz w:val="24"/>
      <w:szCs w:val="22"/>
      <w:lang w:val="zh-CN" w:eastAsia="zh-CN" w:bidi="ar-SA"/>
    </w:rPr>
  </w:style>
  <w:style w:type="paragraph" w:customStyle="1" w:styleId="72">
    <w:name w:val="正文1"/>
    <w:basedOn w:val="32"/>
    <w:next w:val="1"/>
    <w:qFormat/>
    <w:uiPriority w:val="0"/>
    <w:pPr>
      <w:ind w:left="0" w:leftChars="0" w:firstLine="480" w:firstLineChars="200"/>
    </w:pPr>
    <w:rPr>
      <w:rFonts w:ascii="仿宋_GB2312" w:hAnsi="Courier New" w:eastAsia="仿宋_GB2312"/>
      <w:kern w:val="28"/>
      <w:sz w:val="24"/>
    </w:rPr>
  </w:style>
  <w:style w:type="paragraph" w:styleId="73">
    <w:name w:val="List Paragraph"/>
    <w:basedOn w:val="1"/>
    <w:qFormat/>
    <w:uiPriority w:val="34"/>
    <w:pPr>
      <w:spacing w:line="360" w:lineRule="auto"/>
      <w:ind w:firstLine="200" w:firstLineChars="200"/>
    </w:pPr>
    <w:rPr>
      <w:rFonts w:eastAsia="楷体_GB2312" w:cs="Lucida Sans"/>
      <w:sz w:val="24"/>
    </w:rPr>
  </w:style>
  <w:style w:type="character" w:customStyle="1" w:styleId="74">
    <w:name w:val="标题 1 Char"/>
    <w:link w:val="5"/>
    <w:qFormat/>
    <w:uiPriority w:val="0"/>
    <w:rPr>
      <w:rFonts w:ascii="仿宋" w:hAnsi="仿宋" w:eastAsia="仿宋" w:cs="仿宋_GB2312"/>
      <w:b/>
      <w:color w:val="000000"/>
      <w:kern w:val="2"/>
      <w:sz w:val="36"/>
      <w:szCs w:val="36"/>
    </w:rPr>
  </w:style>
  <w:style w:type="character" w:customStyle="1" w:styleId="75">
    <w:name w:val="标题 2 Char"/>
    <w:qFormat/>
    <w:uiPriority w:val="0"/>
    <w:rPr>
      <w:rFonts w:ascii="Arial" w:hAnsi="Arial" w:eastAsia="黑体"/>
      <w:b/>
      <w:kern w:val="2"/>
      <w:sz w:val="32"/>
      <w:lang w:val="en-US" w:eastAsia="zh-CN"/>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Char"/>
    <w:link w:val="37"/>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2"/>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Char"/>
    <w:link w:val="46"/>
    <w:qFormat/>
    <w:uiPriority w:val="0"/>
    <w:rPr>
      <w:rFonts w:ascii="Arial" w:hAnsi="Arial" w:eastAsia="隶书"/>
      <w:b/>
      <w:bCs/>
      <w:kern w:val="28"/>
      <w:sz w:val="44"/>
      <w:szCs w:val="32"/>
      <w:lang w:val="en-US" w:eastAsia="zh-CN" w:bidi="ar-SA"/>
    </w:rPr>
  </w:style>
  <w:style w:type="character" w:customStyle="1" w:styleId="105">
    <w:name w:val="正文文本缩进 Char1"/>
    <w:link w:val="25"/>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Char"/>
    <w:link w:val="55"/>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Char"/>
    <w:link w:val="12"/>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Char1"/>
    <w:link w:val="2"/>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Char"/>
    <w:link w:val="13"/>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首行缩进 Char"/>
    <w:link w:val="3"/>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页眉 Char"/>
    <w:qFormat/>
    <w:uiPriority w:val="99"/>
    <w:rPr>
      <w:rFonts w:eastAsia="仿宋_GB2312"/>
      <w:kern w:val="2"/>
      <w:sz w:val="18"/>
      <w:lang w:val="en-US" w:eastAsia="zh-CN"/>
    </w:rPr>
  </w:style>
  <w:style w:type="character" w:customStyle="1" w:styleId="147">
    <w:name w:val="b11_01b Char"/>
    <w:link w:val="148"/>
    <w:qFormat/>
    <w:uiPriority w:val="0"/>
    <w:rPr>
      <w:rFonts w:ascii="Verdana" w:hAnsi="Verdana"/>
      <w:b/>
      <w:bCs/>
      <w:color w:val="4A82CA"/>
      <w:sz w:val="17"/>
      <w:szCs w:val="17"/>
    </w:rPr>
  </w:style>
  <w:style w:type="paragraph" w:customStyle="1" w:styleId="148">
    <w:name w:val="b11_01b"/>
    <w:basedOn w:val="1"/>
    <w:next w:val="1"/>
    <w:link w:val="14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qFormat/>
    <w:uiPriority w:val="0"/>
    <w:rPr>
      <w:rFonts w:ascii="Cambria" w:hAnsi="Cambria"/>
      <w:b/>
      <w:bCs/>
      <w:color w:val="000000"/>
      <w:kern w:val="2"/>
      <w:sz w:val="21"/>
      <w:szCs w:val="21"/>
    </w:rPr>
  </w:style>
  <w:style w:type="paragraph" w:customStyle="1" w:styleId="150">
    <w:name w:val="标题4-dyf"/>
    <w:basedOn w:val="8"/>
    <w:link w:val="149"/>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1">
    <w:name w:val="批注主题 Char"/>
    <w:qFormat/>
    <w:uiPriority w:val="0"/>
    <w:rPr>
      <w:rFonts w:eastAsia="宋体"/>
      <w:b/>
      <w:bCs/>
      <w:kern w:val="2"/>
      <w:sz w:val="21"/>
      <w:szCs w:val="24"/>
      <w:lang w:val="en-US" w:eastAsia="zh-CN" w:bidi="ar-SA"/>
    </w:rPr>
  </w:style>
  <w:style w:type="character" w:customStyle="1" w:styleId="1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qFormat/>
    <w:uiPriority w:val="0"/>
    <w:rPr>
      <w:rFonts w:eastAsia="宋体"/>
      <w:b/>
      <w:bCs/>
      <w:kern w:val="2"/>
      <w:sz w:val="32"/>
      <w:szCs w:val="32"/>
      <w:lang w:val="en-US" w:eastAsia="zh-CN" w:bidi="ar-SA"/>
    </w:rPr>
  </w:style>
  <w:style w:type="character" w:customStyle="1" w:styleId="154">
    <w:name w:val="gray6"/>
    <w:basedOn w:val="62"/>
    <w:qFormat/>
    <w:uiPriority w:val="0"/>
    <w:rPr>
      <w:rFonts w:ascii="Arial" w:hAnsi="Arial" w:eastAsia="黑体" w:cs="Arial"/>
      <w:snapToGrid w:val="0"/>
      <w:kern w:val="0"/>
      <w:szCs w:val="21"/>
    </w:rPr>
  </w:style>
  <w:style w:type="character" w:customStyle="1" w:styleId="155">
    <w:name w:val="正文首行缩进两字 Char"/>
    <w:qFormat/>
    <w:uiPriority w:val="0"/>
    <w:rPr>
      <w:sz w:val="24"/>
      <w:szCs w:val="24"/>
      <w:lang w:val="en-US" w:eastAsia="zh-CN" w:bidi="ar-SA"/>
    </w:rPr>
  </w:style>
  <w:style w:type="character" w:customStyle="1" w:styleId="156">
    <w:name w:val="Char Char51"/>
    <w:qFormat/>
    <w:uiPriority w:val="0"/>
    <w:rPr>
      <w:rFonts w:ascii="宋体" w:hAnsi="Courier New" w:eastAsia="宋体"/>
      <w:kern w:val="2"/>
      <w:sz w:val="21"/>
      <w:lang w:val="en-US" w:eastAsia="zh-CN"/>
    </w:rPr>
  </w:style>
  <w:style w:type="character" w:customStyle="1" w:styleId="157">
    <w:name w:val="带编号样式 Char"/>
    <w:qFormat/>
    <w:uiPriority w:val="0"/>
    <w:rPr>
      <w:rFonts w:ascii="仿宋_GB2312" w:eastAsia="仿宋_GB2312"/>
      <w:color w:val="000000"/>
      <w:sz w:val="24"/>
      <w:lang w:bidi="ar-SA"/>
    </w:rPr>
  </w:style>
  <w:style w:type="character" w:customStyle="1" w:styleId="158">
    <w:name w:val="Footer-Even Char"/>
    <w:qFormat/>
    <w:uiPriority w:val="0"/>
    <w:rPr>
      <w:rFonts w:eastAsia="宋体"/>
      <w:kern w:val="2"/>
      <w:sz w:val="18"/>
      <w:lang w:val="en-US" w:eastAsia="zh-CN" w:bidi="ar-SA"/>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8"/>
    <w:link w:val="16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qFormat/>
    <w:uiPriority w:val="0"/>
    <w:rPr>
      <w:b/>
      <w:bCs/>
      <w:color w:val="FF6633"/>
      <w:sz w:val="18"/>
      <w:szCs w:val="18"/>
    </w:rPr>
  </w:style>
  <w:style w:type="character" w:customStyle="1" w:styleId="163">
    <w:name w:val="普通文字 Char Char1"/>
    <w:qFormat/>
    <w:uiPriority w:val="0"/>
    <w:rPr>
      <w:rFonts w:ascii="宋体" w:hAnsi="Courier New"/>
      <w:kern w:val="2"/>
      <w:sz w:val="21"/>
    </w:rPr>
  </w:style>
  <w:style w:type="character" w:customStyle="1" w:styleId="164">
    <w:name w:val="PI Char"/>
    <w:qFormat/>
    <w:uiPriority w:val="0"/>
    <w:rPr>
      <w:rFonts w:ascii="宋体" w:hAnsi="宋体" w:eastAsia="宋体"/>
      <w:kern w:val="2"/>
      <w:sz w:val="24"/>
      <w:szCs w:val="24"/>
      <w:lang w:val="en-US" w:eastAsia="zh-CN" w:bidi="ar-SA"/>
    </w:rPr>
  </w:style>
  <w:style w:type="character" w:customStyle="1" w:styleId="165">
    <w:name w:val="Char Char11"/>
    <w:qFormat/>
    <w:locked/>
    <w:uiPriority w:val="0"/>
    <w:rPr>
      <w:rFonts w:ascii="宋体" w:hAnsi="宋体" w:eastAsia="宋体"/>
      <w:b/>
      <w:kern w:val="2"/>
      <w:sz w:val="24"/>
      <w:szCs w:val="24"/>
      <w:lang w:val="en-US" w:eastAsia="zh-CN" w:bidi="ar-SA"/>
    </w:rPr>
  </w:style>
  <w:style w:type="character" w:customStyle="1" w:styleId="1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semiHidden/>
    <w:qFormat/>
    <w:locked/>
    <w:uiPriority w:val="0"/>
    <w:rPr>
      <w:rFonts w:eastAsia="宋体"/>
      <w:kern w:val="2"/>
      <w:sz w:val="21"/>
      <w:szCs w:val="24"/>
      <w:lang w:val="en-US" w:eastAsia="zh-CN" w:bidi="ar-SA"/>
    </w:rPr>
  </w:style>
  <w:style w:type="character" w:customStyle="1" w:styleId="168">
    <w:name w:val="正文文本缩进 Char"/>
    <w:qFormat/>
    <w:uiPriority w:val="0"/>
    <w:rPr>
      <w:rFonts w:ascii="宋体" w:hAnsi="宋体"/>
      <w:kern w:val="2"/>
      <w:sz w:val="24"/>
      <w:szCs w:val="24"/>
    </w:rPr>
  </w:style>
  <w:style w:type="character" w:customStyle="1" w:styleId="169">
    <w:name w:val="文本正文 Char Char"/>
    <w:qFormat/>
    <w:locked/>
    <w:uiPriority w:val="0"/>
    <w:rPr>
      <w:sz w:val="24"/>
      <w:lang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样式3 Char"/>
    <w:basedOn w:val="172"/>
    <w:qFormat/>
    <w:uiPriority w:val="0"/>
    <w:rPr>
      <w:rFonts w:ascii="仿宋_GB2312" w:hAnsi="仿宋" w:eastAsia="仿宋_GB2312" w:cs="仿宋_GB2312"/>
      <w:sz w:val="32"/>
      <w:szCs w:val="30"/>
      <w:lang w:val="zh-CN"/>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二级标题 Char Char"/>
    <w:qFormat/>
    <w:uiPriority w:val="0"/>
    <w:rPr>
      <w:rFonts w:ascii="宋体" w:hAnsi="宋体" w:eastAsia="宋体"/>
      <w:b/>
      <w:snapToGrid w:val="0"/>
      <w:kern w:val="2"/>
      <w:sz w:val="24"/>
      <w:szCs w:val="24"/>
      <w:lang w:val="en-US" w:eastAsia="zh-CN" w:bidi="ar-SA"/>
    </w:rPr>
  </w:style>
  <w:style w:type="character" w:customStyle="1" w:styleId="174">
    <w:name w:val="Table Text Char1"/>
    <w:qFormat/>
    <w:uiPriority w:val="0"/>
    <w:rPr>
      <w:rFonts w:eastAsia="宋体"/>
      <w:sz w:val="24"/>
      <w:szCs w:val="24"/>
      <w:lang w:val="en-US" w:eastAsia="zh-CN" w:bidi="ar-SA"/>
    </w:rPr>
  </w:style>
  <w:style w:type="character" w:customStyle="1" w:styleId="175">
    <w:name w:val="shadow11"/>
    <w:qFormat/>
    <w:uiPriority w:val="0"/>
    <w:rPr>
      <w:color w:val="000000"/>
      <w:sz w:val="21"/>
    </w:rPr>
  </w:style>
  <w:style w:type="character" w:customStyle="1" w:styleId="176">
    <w:name w:val="HTML 地址 Char"/>
    <w:link w:val="30"/>
    <w:qFormat/>
    <w:uiPriority w:val="0"/>
    <w:rPr>
      <w:rFonts w:ascii="宋体" w:hAnsi="宋体"/>
      <w:i/>
      <w:iCs/>
      <w:sz w:val="24"/>
      <w:szCs w:val="24"/>
    </w:rPr>
  </w:style>
  <w:style w:type="character" w:customStyle="1" w:styleId="177">
    <w:name w:val="Char Char21"/>
    <w:qFormat/>
    <w:uiPriority w:val="0"/>
    <w:rPr>
      <w:rFonts w:eastAsia="宋体"/>
      <w:b/>
      <w:bCs/>
      <w:kern w:val="2"/>
      <w:sz w:val="21"/>
      <w:szCs w:val="24"/>
      <w:lang w:val="en-US" w:eastAsia="zh-CN" w:bidi="ar-SA"/>
    </w:rPr>
  </w:style>
  <w:style w:type="character" w:customStyle="1" w:styleId="178">
    <w:name w:val="标题 5 Char"/>
    <w:link w:val="9"/>
    <w:qFormat/>
    <w:uiPriority w:val="0"/>
    <w:rPr>
      <w:b/>
      <w:bCs/>
      <w:kern w:val="2"/>
      <w:sz w:val="28"/>
      <w:szCs w:val="28"/>
    </w:rPr>
  </w:style>
  <w:style w:type="character" w:customStyle="1" w:styleId="179">
    <w:name w:val="h3 Char1"/>
    <w:qFormat/>
    <w:uiPriority w:val="0"/>
    <w:rPr>
      <w:rFonts w:eastAsia="宋体"/>
      <w:b/>
      <w:bCs/>
      <w:kern w:val="2"/>
      <w:sz w:val="32"/>
      <w:szCs w:val="32"/>
      <w:lang w:bidi="ar-SA"/>
    </w:rPr>
  </w:style>
  <w:style w:type="character" w:customStyle="1" w:styleId="180">
    <w:name w:val="FA正文 Char Char"/>
    <w:qFormat/>
    <w:uiPriority w:val="0"/>
    <w:rPr>
      <w:rFonts w:hAnsi="宋体"/>
      <w:kern w:val="2"/>
      <w:sz w:val="24"/>
      <w:lang w:bidi="ar-SA"/>
    </w:rPr>
  </w:style>
  <w:style w:type="character" w:customStyle="1" w:styleId="181">
    <w:name w:val="首行缩进 Char"/>
    <w:qFormat/>
    <w:uiPriority w:val="0"/>
    <w:rPr>
      <w:rFonts w:ascii="宋体" w:eastAsia="宋体"/>
      <w:kern w:val="2"/>
      <w:sz w:val="24"/>
      <w:lang w:val="en-US" w:eastAsia="zh-CN" w:bidi="ar-SA"/>
    </w:rPr>
  </w:style>
  <w:style w:type="character" w:customStyle="1" w:styleId="182">
    <w:name w:val="Char Char7"/>
    <w:semiHidden/>
    <w:qFormat/>
    <w:uiPriority w:val="0"/>
    <w:rPr>
      <w:rFonts w:eastAsia="宋体"/>
      <w:kern w:val="2"/>
      <w:sz w:val="21"/>
      <w:szCs w:val="24"/>
      <w:lang w:val="en-US" w:eastAsia="zh-CN" w:bidi="ar-SA"/>
    </w:rPr>
  </w:style>
  <w:style w:type="character" w:customStyle="1" w:styleId="183">
    <w:name w:val="hui"/>
    <w:basedOn w:val="62"/>
    <w:qFormat/>
    <w:uiPriority w:val="0"/>
    <w:rPr>
      <w:rFonts w:ascii="Arial" w:hAnsi="Arial" w:eastAsia="黑体" w:cs="Arial"/>
      <w:snapToGrid w:val="0"/>
      <w:kern w:val="0"/>
      <w:szCs w:val="21"/>
    </w:rPr>
  </w:style>
  <w:style w:type="character" w:customStyle="1" w:styleId="184">
    <w:name w:val="正文缩进 Char"/>
    <w:qFormat/>
    <w:uiPriority w:val="0"/>
    <w:rPr>
      <w:rFonts w:eastAsia="宋体"/>
      <w:kern w:val="2"/>
      <w:sz w:val="21"/>
      <w:lang w:val="en-US" w:eastAsia="zh-CN"/>
    </w:rPr>
  </w:style>
  <w:style w:type="character" w:customStyle="1" w:styleId="185">
    <w:name w:val="正文1 Char"/>
    <w:qFormat/>
    <w:uiPriority w:val="0"/>
    <w:rPr>
      <w:rFonts w:ascii="宋体" w:eastAsia="宋体"/>
      <w:snapToGrid w:val="0"/>
      <w:color w:val="000000"/>
      <w:kern w:val="28"/>
      <w:sz w:val="28"/>
      <w:lang w:val="en-US" w:eastAsia="zh-CN" w:bidi="ar-SA"/>
    </w:rPr>
  </w:style>
  <w:style w:type="character" w:customStyle="1" w:styleId="186">
    <w:name w:val="Char Char61"/>
    <w:qFormat/>
    <w:uiPriority w:val="0"/>
    <w:rPr>
      <w:rFonts w:eastAsia="宋体"/>
      <w:kern w:val="2"/>
      <w:sz w:val="21"/>
      <w:szCs w:val="24"/>
      <w:lang w:val="en-US" w:eastAsia="zh-CN" w:bidi="ar-SA"/>
    </w:rPr>
  </w:style>
  <w:style w:type="character" w:customStyle="1" w:styleId="187">
    <w:name w:val="正文文本 3 Char"/>
    <w:link w:val="24"/>
    <w:qFormat/>
    <w:uiPriority w:val="0"/>
    <w:rPr>
      <w:kern w:val="2"/>
      <w:sz w:val="21"/>
    </w:rPr>
  </w:style>
  <w:style w:type="character" w:customStyle="1" w:styleId="188">
    <w:name w:val="message1"/>
    <w:qFormat/>
    <w:uiPriority w:val="0"/>
    <w:rPr>
      <w:rFonts w:hint="default" w:ascii="Tahoma" w:hAnsi="Tahoma" w:cs="Tahoma"/>
      <w:sz w:val="18"/>
      <w:szCs w:val="18"/>
    </w:rPr>
  </w:style>
  <w:style w:type="character" w:customStyle="1" w:styleId="189">
    <w:name w:val="Heading 2 Hidden Char"/>
    <w:qFormat/>
    <w:uiPriority w:val="0"/>
    <w:rPr>
      <w:rFonts w:ascii="仿宋_GB2312" w:eastAsia="仿宋_GB2312"/>
      <w:b/>
      <w:bCs/>
      <w:kern w:val="2"/>
      <w:sz w:val="24"/>
      <w:szCs w:val="24"/>
      <w:lang w:val="zh-CN" w:eastAsia="zh-CN" w:bidi="ar-SA"/>
    </w:rPr>
  </w:style>
  <w:style w:type="character" w:customStyle="1" w:styleId="190">
    <w:name w:val="DO_NOT_TRANSLATE"/>
    <w:qFormat/>
    <w:uiPriority w:val="0"/>
    <w:rPr>
      <w:rFonts w:ascii="Courier New" w:hAnsi="Courier New" w:cs="Courier New"/>
      <w:color w:val="800000"/>
      <w:lang w:val="en-US" w:eastAsia="zh-CN"/>
    </w:rPr>
  </w:style>
  <w:style w:type="character" w:customStyle="1" w:styleId="191">
    <w:name w:val="unnamed11"/>
    <w:qFormat/>
    <w:uiPriority w:val="0"/>
    <w:rPr>
      <w:sz w:val="20"/>
      <w:szCs w:val="20"/>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缩进2汉字） Char"/>
    <w:link w:val="194"/>
    <w:qFormat/>
    <w:uiPriority w:val="0"/>
    <w:rPr>
      <w:rFonts w:ascii="宋体"/>
    </w:rPr>
  </w:style>
  <w:style w:type="paragraph" w:customStyle="1" w:styleId="194">
    <w:name w:val="正文（缩进2汉字）"/>
    <w:basedOn w:val="1"/>
    <w:link w:val="19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qFormat/>
    <w:uiPriority w:val="99"/>
    <w:rPr>
      <w:rFonts w:eastAsia="仿宋_GB2312"/>
      <w:kern w:val="2"/>
      <w:sz w:val="18"/>
      <w:lang w:val="en-US" w:eastAsia="zh-CN"/>
    </w:rPr>
  </w:style>
  <w:style w:type="character" w:customStyle="1" w:styleId="196">
    <w:name w:val="正文文本缩进 3 Char"/>
    <w:link w:val="51"/>
    <w:qFormat/>
    <w:uiPriority w:val="0"/>
    <w:rPr>
      <w:kern w:val="2"/>
      <w:sz w:val="24"/>
    </w:rPr>
  </w:style>
  <w:style w:type="character" w:customStyle="1" w:styleId="197">
    <w:name w:val="正文缩进 Char1"/>
    <w:qFormat/>
    <w:uiPriority w:val="0"/>
    <w:rPr>
      <w:rFonts w:ascii="宋体" w:eastAsia="宋体"/>
      <w:snapToGrid w:val="0"/>
      <w:color w:val="000000"/>
      <w:kern w:val="28"/>
      <w:sz w:val="28"/>
      <w:lang w:val="en-US" w:eastAsia="zh-CN" w:bidi="ar-SA"/>
    </w:rPr>
  </w:style>
  <w:style w:type="character" w:customStyle="1" w:styleId="198">
    <w:name w:val="正文文本 Char"/>
    <w:qFormat/>
    <w:uiPriority w:val="0"/>
    <w:rPr>
      <w:rFonts w:eastAsia="宋体"/>
      <w:kern w:val="2"/>
      <w:sz w:val="24"/>
      <w:szCs w:val="24"/>
      <w:lang w:val="en-US" w:eastAsia="zh-CN" w:bidi="ar-SA"/>
    </w:rPr>
  </w:style>
  <w:style w:type="character" w:customStyle="1" w:styleId="199">
    <w:name w:val="style36"/>
    <w:basedOn w:val="62"/>
    <w:qFormat/>
    <w:uiPriority w:val="0"/>
    <w:rPr>
      <w:rFonts w:ascii="Arial" w:hAnsi="Arial" w:eastAsia="黑体" w:cs="Arial"/>
      <w:snapToGrid w:val="0"/>
      <w:kern w:val="0"/>
      <w:szCs w:val="21"/>
    </w:rPr>
  </w:style>
  <w:style w:type="character" w:customStyle="1" w:styleId="200">
    <w:name w:val="hui3"/>
    <w:qFormat/>
    <w:uiPriority w:val="0"/>
    <w:rPr>
      <w:color w:val="333333"/>
    </w:rPr>
  </w:style>
  <w:style w:type="character" w:customStyle="1" w:styleId="201">
    <w:name w:val="方案正文 Char"/>
    <w:qFormat/>
    <w:uiPriority w:val="0"/>
    <w:rPr>
      <w:rFonts w:ascii="仿宋_GB2312" w:eastAsia="仿宋_GB2312"/>
      <w:b/>
      <w:color w:val="000000"/>
      <w:kern w:val="2"/>
      <w:sz w:val="24"/>
      <w:lang w:val="en-US" w:eastAsia="zh-CN" w:bidi="ar-SA"/>
    </w:rPr>
  </w:style>
  <w:style w:type="character" w:customStyle="1" w:styleId="202">
    <w:name w:val="apple-converted-space"/>
    <w:qFormat/>
    <w:uiPriority w:val="0"/>
  </w:style>
  <w:style w:type="character" w:customStyle="1" w:styleId="203">
    <w:name w:val="文档结构图 Char"/>
    <w:qFormat/>
    <w:uiPriority w:val="0"/>
    <w:rPr>
      <w:rFonts w:eastAsia="宋体"/>
      <w:kern w:val="2"/>
      <w:sz w:val="21"/>
      <w:szCs w:val="24"/>
      <w:lang w:val="en-US" w:eastAsia="zh-CN" w:bidi="ar-SA"/>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dectext1"/>
    <w:qFormat/>
    <w:uiPriority w:val="0"/>
    <w:rPr>
      <w:rFonts w:ascii="宋体" w:hAnsi="宋体" w:eastAsia="宋体"/>
      <w:color w:val="333333"/>
      <w:sz w:val="21"/>
      <w:szCs w:val="21"/>
      <w:u w:val="none"/>
    </w:rPr>
  </w:style>
  <w:style w:type="character" w:customStyle="1" w:styleId="206">
    <w:name w:val="t21"/>
    <w:qFormat/>
    <w:uiPriority w:val="0"/>
    <w:rPr>
      <w:rFonts w:ascii="仿宋_GB2312" w:eastAsia="微软雅黑"/>
      <w:b/>
      <w:kern w:val="2"/>
      <w:sz w:val="23"/>
      <w:szCs w:val="23"/>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px14"/>
    <w:qFormat/>
    <w:uiPriority w:val="0"/>
    <w:rPr>
      <w:rFonts w:ascii="仿宋_GB2312" w:eastAsia="微软雅黑" w:cs="Times New Roman"/>
      <w:b/>
      <w:kern w:val="2"/>
      <w:sz w:val="32"/>
      <w:szCs w:val="32"/>
      <w:lang w:val="en-US" w:eastAsia="zh-CN" w:bidi="ar-SA"/>
    </w:rPr>
  </w:style>
  <w:style w:type="character" w:customStyle="1" w:styleId="209">
    <w:name w:val="标题 7 Char"/>
    <w:link w:val="11"/>
    <w:qFormat/>
    <w:uiPriority w:val="0"/>
    <w:rPr>
      <w:b/>
      <w:bCs/>
      <w:kern w:val="2"/>
      <w:sz w:val="24"/>
      <w:szCs w:val="24"/>
    </w:rPr>
  </w:style>
  <w:style w:type="character" w:customStyle="1" w:styleId="210">
    <w:name w:val="Normal Indent Char Char"/>
    <w:qFormat/>
    <w:uiPriority w:val="0"/>
    <w:rPr>
      <w:rFonts w:eastAsia="宋体"/>
      <w:kern w:val="2"/>
      <w:sz w:val="21"/>
      <w:lang w:val="en-US" w:eastAsia="zh-CN" w:bidi="ar-SA"/>
    </w:rPr>
  </w:style>
  <w:style w:type="character" w:customStyle="1" w:styleId="211">
    <w:name w:val="f141"/>
    <w:qFormat/>
    <w:uiPriority w:val="0"/>
    <w:rPr>
      <w:rFonts w:ascii="Tahoma" w:hAnsi="Tahoma" w:eastAsia="宋体"/>
      <w:b/>
      <w:kern w:val="2"/>
      <w:sz w:val="21"/>
      <w:szCs w:val="21"/>
      <w:lang w:val="en-US" w:eastAsia="zh-CN" w:bidi="ar-SA"/>
    </w:rPr>
  </w:style>
  <w:style w:type="character" w:customStyle="1" w:styleId="212">
    <w:name w:val="日期 Char"/>
    <w:link w:val="36"/>
    <w:qFormat/>
    <w:uiPriority w:val="0"/>
    <w:rPr>
      <w:rFonts w:ascii="宋体"/>
      <w:kern w:val="2"/>
      <w:sz w:val="24"/>
      <w:szCs w:val="21"/>
      <w:lang w:val="zh-CN"/>
    </w:rPr>
  </w:style>
  <w:style w:type="character" w:customStyle="1" w:styleId="213">
    <w:name w:val="myp1111"/>
    <w:qFormat/>
    <w:uiPriority w:val="0"/>
    <w:rPr>
      <w:rFonts w:hint="default" w:ascii="ˎ̥" w:hAnsi="ˎ̥"/>
      <w:color w:val="000000"/>
      <w:sz w:val="20"/>
      <w:szCs w:val="20"/>
      <w:u w:val="none"/>
    </w:rPr>
  </w:style>
  <w:style w:type="character" w:customStyle="1" w:styleId="214">
    <w:name w:val="称呼 Char"/>
    <w:link w:val="23"/>
    <w:qFormat/>
    <w:uiPriority w:val="0"/>
    <w:rPr>
      <w:rFonts w:ascii="仿宋_GB2312" w:eastAsia="仿宋_GB2312"/>
      <w:kern w:val="2"/>
      <w:sz w:val="28"/>
    </w:rPr>
  </w:style>
  <w:style w:type="character" w:customStyle="1" w:styleId="215">
    <w:name w:val="标题 4 Char"/>
    <w:link w:val="8"/>
    <w:qFormat/>
    <w:uiPriority w:val="0"/>
    <w:rPr>
      <w:rFonts w:ascii="Arial" w:hAnsi="Arial" w:eastAsia="黑体"/>
      <w:b/>
      <w:bCs/>
      <w:kern w:val="2"/>
      <w:sz w:val="28"/>
      <w:szCs w:val="28"/>
      <w:lang w:val="zh-CN"/>
    </w:rPr>
  </w:style>
  <w:style w:type="character" w:customStyle="1" w:styleId="216">
    <w:name w:val="标书1 Char"/>
    <w:qFormat/>
    <w:uiPriority w:val="0"/>
    <w:rPr>
      <w:rFonts w:eastAsia="宋体"/>
      <w:b/>
      <w:bCs/>
      <w:kern w:val="44"/>
      <w:sz w:val="44"/>
      <w:szCs w:val="44"/>
      <w:lang w:val="en-US" w:eastAsia="zh-CN" w:bidi="ar-SA"/>
    </w:rPr>
  </w:style>
  <w:style w:type="character" w:customStyle="1" w:styleId="217">
    <w:name w:val="链接"/>
    <w:qFormat/>
    <w:uiPriority w:val="0"/>
    <w:rPr>
      <w:color w:val="0000FF"/>
      <w:sz w:val="21"/>
      <w:szCs w:val="21"/>
      <w:u w:val="single"/>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正文2 Char Char"/>
    <w:link w:val="220"/>
    <w:qFormat/>
    <w:uiPriority w:val="0"/>
    <w:rPr>
      <w:rFonts w:eastAsia="宋体"/>
      <w:kern w:val="2"/>
      <w:sz w:val="24"/>
      <w:lang w:val="en-US" w:eastAsia="zh-CN" w:bidi="ar-SA"/>
    </w:rPr>
  </w:style>
  <w:style w:type="paragraph" w:customStyle="1" w:styleId="220">
    <w:name w:val="正文2"/>
    <w:basedOn w:val="1"/>
    <w:link w:val="219"/>
    <w:qFormat/>
    <w:uiPriority w:val="0"/>
    <w:pPr>
      <w:spacing w:before="156" w:line="360" w:lineRule="auto"/>
      <w:ind w:firstLine="510" w:firstLineChars="200"/>
    </w:pPr>
    <w:rPr>
      <w:sz w:val="24"/>
      <w:szCs w:val="20"/>
    </w:rPr>
  </w:style>
  <w:style w:type="character" w:customStyle="1" w:styleId="221">
    <w:name w:val="tw4winError"/>
    <w:qFormat/>
    <w:uiPriority w:val="0"/>
    <w:rPr>
      <w:rFonts w:ascii="Courier New" w:hAnsi="Courier New" w:cs="Courier New"/>
      <w:color w:val="00FF00"/>
      <w:sz w:val="40"/>
      <w:szCs w:val="40"/>
    </w:rPr>
  </w:style>
  <w:style w:type="character" w:customStyle="1" w:styleId="222">
    <w:name w:val="正文1 Char1"/>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semiHidden/>
    <w:qFormat/>
    <w:uiPriority w:val="0"/>
    <w:rPr>
      <w:rFonts w:ascii="Times New Roman" w:hAnsi="Times New Roman" w:eastAsia="宋体" w:cs="Times New Roman"/>
      <w:sz w:val="20"/>
      <w:szCs w:val="20"/>
    </w:rPr>
  </w:style>
  <w:style w:type="character" w:customStyle="1" w:styleId="224">
    <w:name w:val="c7 style3"/>
    <w:qFormat/>
    <w:uiPriority w:val="0"/>
  </w:style>
  <w:style w:type="character" w:customStyle="1" w:styleId="2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2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qFormat/>
    <w:uiPriority w:val="0"/>
    <w:rPr>
      <w:rFonts w:ascii="宋体" w:eastAsia="宋体"/>
      <w:snapToGrid w:val="0"/>
      <w:color w:val="000000"/>
      <w:kern w:val="28"/>
      <w:sz w:val="28"/>
      <w:lang w:val="en-US" w:eastAsia="zh-CN" w:bidi="ar-SA"/>
    </w:rPr>
  </w:style>
  <w:style w:type="character" w:customStyle="1" w:styleId="228">
    <w:name w:val="普通文字 Char1 Char"/>
    <w:qFormat/>
    <w:uiPriority w:val="0"/>
    <w:rPr>
      <w:rFonts w:ascii="宋体" w:hAnsi="Courier New" w:eastAsia="宋体"/>
      <w:kern w:val="2"/>
      <w:sz w:val="21"/>
      <w:szCs w:val="24"/>
      <w:lang w:val="en-US" w:eastAsia="zh-CN" w:bidi="ar-SA"/>
    </w:rPr>
  </w:style>
  <w:style w:type="character" w:customStyle="1" w:styleId="229">
    <w:name w:val="pt9"/>
    <w:qFormat/>
    <w:uiPriority w:val="0"/>
    <w:rPr>
      <w:rFonts w:ascii="仿宋_GB2312" w:eastAsia="微软雅黑"/>
      <w:b/>
      <w:kern w:val="2"/>
      <w:sz w:val="32"/>
      <w:szCs w:val="32"/>
      <w:lang w:val="en-US" w:eastAsia="zh-CN" w:bidi="ar-SA"/>
    </w:rPr>
  </w:style>
  <w:style w:type="character" w:customStyle="1" w:styleId="230">
    <w:name w:val="表正文 Char1"/>
    <w:qFormat/>
    <w:uiPriority w:val="0"/>
    <w:rPr>
      <w:rFonts w:ascii="宋体" w:eastAsia="宋体"/>
      <w:snapToGrid w:val="0"/>
      <w:color w:val="000000"/>
      <w:kern w:val="28"/>
      <w:sz w:val="28"/>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冯广丽 Char"/>
    <w:link w:val="233"/>
    <w:qFormat/>
    <w:uiPriority w:val="0"/>
    <w:rPr>
      <w:rFonts w:ascii="宋体" w:hAnsi="宋体"/>
      <w:kern w:val="2"/>
      <w:sz w:val="24"/>
      <w:szCs w:val="22"/>
    </w:rPr>
  </w:style>
  <w:style w:type="paragraph" w:customStyle="1" w:styleId="233">
    <w:name w:val="冯广丽"/>
    <w:basedOn w:val="1"/>
    <w:link w:val="232"/>
    <w:qFormat/>
    <w:uiPriority w:val="0"/>
    <w:pPr>
      <w:adjustRightInd/>
      <w:spacing w:line="360" w:lineRule="auto"/>
      <w:ind w:firstLine="480" w:firstLineChars="200"/>
    </w:pPr>
    <w:rPr>
      <w:rFonts w:ascii="宋体" w:hAnsi="宋体"/>
      <w:sz w:val="24"/>
      <w:szCs w:val="22"/>
    </w:rPr>
  </w:style>
  <w:style w:type="character" w:customStyle="1" w:styleId="234">
    <w:name w:val="large1"/>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qFormat/>
    <w:uiPriority w:val="0"/>
  </w:style>
  <w:style w:type="character" w:customStyle="1" w:styleId="237">
    <w:name w:val="标题 1 Char Char"/>
    <w:qFormat/>
    <w:uiPriority w:val="0"/>
    <w:rPr>
      <w:rFonts w:hint="eastAsia" w:ascii="宋体" w:hAnsi="宋体" w:eastAsia="宋体"/>
      <w:b/>
      <w:spacing w:val="-2"/>
      <w:sz w:val="24"/>
      <w:lang w:val="en-US" w:eastAsia="zh-CN" w:bidi="ar-SA"/>
    </w:rPr>
  </w:style>
  <w:style w:type="character" w:customStyle="1" w:styleId="238">
    <w:name w:val="标题 4 Char1"/>
    <w:semiHidden/>
    <w:qFormat/>
    <w:uiPriority w:val="9"/>
    <w:rPr>
      <w:rFonts w:ascii="Cambria" w:hAnsi="Cambria" w:eastAsia="宋体" w:cs="Times New Roman"/>
      <w:b/>
      <w:bCs/>
      <w:kern w:val="2"/>
      <w:sz w:val="28"/>
      <w:szCs w:val="28"/>
    </w:rPr>
  </w:style>
  <w:style w:type="character" w:customStyle="1" w:styleId="239">
    <w:name w:val="脚注文本 Char"/>
    <w:link w:val="49"/>
    <w:qFormat/>
    <w:uiPriority w:val="0"/>
    <w:rPr>
      <w:color w:val="0000FF"/>
      <w:sz w:val="21"/>
    </w:rPr>
  </w:style>
  <w:style w:type="character" w:customStyle="1" w:styleId="240">
    <w:name w:val="zbggmain style9"/>
    <w:qFormat/>
    <w:uiPriority w:val="0"/>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tw4winPopup"/>
    <w:qFormat/>
    <w:uiPriority w:val="0"/>
    <w:rPr>
      <w:rFonts w:ascii="Courier New" w:hAnsi="Courier New" w:cs="Courier New"/>
      <w:color w:val="008000"/>
      <w:lang w:val="en-US" w:eastAsia="zh-CN"/>
    </w:rPr>
  </w:style>
  <w:style w:type="character" w:customStyle="1" w:styleId="243">
    <w:name w:val="标题 6 Char"/>
    <w:link w:val="10"/>
    <w:qFormat/>
    <w:uiPriority w:val="0"/>
    <w:rPr>
      <w:rFonts w:ascii="Arial" w:hAnsi="Arial" w:eastAsia="黑体"/>
      <w:b/>
      <w:bCs/>
      <w:kern w:val="2"/>
      <w:sz w:val="24"/>
      <w:szCs w:val="24"/>
    </w:rPr>
  </w:style>
  <w:style w:type="character" w:customStyle="1" w:styleId="244">
    <w:name w:val="样式 宋体"/>
    <w:qFormat/>
    <w:uiPriority w:val="0"/>
    <w:rPr>
      <w:rFonts w:ascii="宋体" w:hAnsi="宋体"/>
      <w:sz w:val="24"/>
    </w:rPr>
  </w:style>
  <w:style w:type="character" w:customStyle="1" w:styleId="245">
    <w:name w:val="正文缩进 Char2"/>
    <w:link w:val="18"/>
    <w:qFormat/>
    <w:uiPriority w:val="0"/>
    <w:rPr>
      <w:rFonts w:ascii="宋体" w:eastAsia="宋体"/>
      <w:snapToGrid w:val="0"/>
      <w:color w:val="000000"/>
      <w:kern w:val="28"/>
      <w:sz w:val="28"/>
      <w:lang w:val="en-US" w:eastAsia="zh-CN" w:bidi="ar-SA"/>
    </w:rPr>
  </w:style>
  <w:style w:type="character" w:customStyle="1" w:styleId="246">
    <w:name w:val="标题 Char"/>
    <w:qFormat/>
    <w:uiPriority w:val="0"/>
    <w:rPr>
      <w:rFonts w:eastAsia="宋体"/>
      <w:b/>
      <w:sz w:val="24"/>
      <w:lang w:val="en-GB" w:eastAsia="zh-CN" w:bidi="ar-SA"/>
    </w:rPr>
  </w:style>
  <w:style w:type="character" w:customStyle="1" w:styleId="247">
    <w:name w:val="正文首行缩进 2 Char"/>
    <w:link w:val="59"/>
    <w:qFormat/>
    <w:uiPriority w:val="0"/>
    <w:rPr>
      <w:rFonts w:ascii="宋体" w:hAnsi="宋体"/>
      <w:kern w:val="2"/>
      <w:sz w:val="21"/>
      <w:szCs w:val="24"/>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批注文字 Char1"/>
    <w:link w:val="22"/>
    <w:qFormat/>
    <w:uiPriority w:val="0"/>
    <w:rPr>
      <w:kern w:val="2"/>
      <w:sz w:val="21"/>
      <w:szCs w:val="24"/>
    </w:rPr>
  </w:style>
  <w:style w:type="character" w:customStyle="1" w:styleId="250">
    <w:name w:val="批注框文本 Char"/>
    <w:link w:val="38"/>
    <w:semiHidden/>
    <w:qFormat/>
    <w:uiPriority w:val="0"/>
    <w:rPr>
      <w:kern w:val="2"/>
      <w:sz w:val="18"/>
      <w:szCs w:val="18"/>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Footer Char"/>
    <w:qFormat/>
    <w:locked/>
    <w:uiPriority w:val="0"/>
    <w:rPr>
      <w:rFonts w:eastAsia="宋体"/>
      <w:kern w:val="2"/>
      <w:sz w:val="18"/>
      <w:lang w:val="en-US" w:eastAsia="zh-CN" w:bidi="ar-SA"/>
    </w:rPr>
  </w:style>
  <w:style w:type="character" w:customStyle="1" w:styleId="253">
    <w:name w:val="Char Char41"/>
    <w:qFormat/>
    <w:uiPriority w:val="0"/>
    <w:rPr>
      <w:rFonts w:eastAsia="宋体"/>
      <w:b/>
      <w:sz w:val="24"/>
      <w:lang w:val="en-GB" w:eastAsia="zh-CN" w:bidi="ar-SA"/>
    </w:rPr>
  </w:style>
  <w:style w:type="character" w:customStyle="1" w:styleId="254">
    <w:name w:val="Char Char91"/>
    <w:qFormat/>
    <w:uiPriority w:val="0"/>
    <w:rPr>
      <w:rFonts w:eastAsia="宋体"/>
      <w:kern w:val="2"/>
      <w:sz w:val="18"/>
      <w:szCs w:val="18"/>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gf正文1 Char"/>
    <w:qFormat/>
    <w:uiPriority w:val="0"/>
    <w:rPr>
      <w:rFonts w:ascii="宋体" w:hAnsi="宋体" w:eastAsia="宋体" w:cs="宋体"/>
      <w:kern w:val="2"/>
      <w:sz w:val="24"/>
      <w:szCs w:val="24"/>
      <w:lang w:val="en-US" w:eastAsia="zh-CN" w:bidi="ar-SA"/>
    </w:rPr>
  </w:style>
  <w:style w:type="character" w:customStyle="1" w:styleId="257">
    <w:name w:val="标书表格字体格式 Char"/>
    <w:qFormat/>
    <w:uiPriority w:val="0"/>
    <w:rPr>
      <w:kern w:val="2"/>
      <w:sz w:val="21"/>
      <w:szCs w:val="24"/>
      <w:lang w:bidi="ar-SA"/>
    </w:rPr>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签名 Char"/>
    <w:link w:val="41"/>
    <w:qFormat/>
    <w:uiPriority w:val="0"/>
    <w:rPr>
      <w:rFonts w:eastAsia="仿宋_GB2312"/>
      <w:sz w:val="24"/>
    </w:rPr>
  </w:style>
  <w:style w:type="character" w:customStyle="1" w:styleId="260">
    <w:name w:val="冯 Char"/>
    <w:link w:val="261"/>
    <w:qFormat/>
    <w:uiPriority w:val="0"/>
    <w:rPr>
      <w:rFonts w:ascii="宋体" w:hAnsi="宋体"/>
      <w:color w:val="000000"/>
      <w:sz w:val="24"/>
      <w:szCs w:val="24"/>
    </w:rPr>
  </w:style>
  <w:style w:type="paragraph" w:customStyle="1" w:styleId="261">
    <w:name w:val="冯"/>
    <w:basedOn w:val="1"/>
    <w:link w:val="260"/>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md"/>
    <w:basedOn w:val="62"/>
    <w:qFormat/>
    <w:uiPriority w:val="0"/>
    <w:rPr>
      <w:rFonts w:ascii="Arial" w:hAnsi="Arial" w:eastAsia="黑体" w:cs="Arial"/>
      <w:snapToGrid w:val="0"/>
      <w:kern w:val="0"/>
      <w:szCs w:val="21"/>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font12gray1"/>
    <w:qFormat/>
    <w:uiPriority w:val="0"/>
    <w:rPr>
      <w:rFonts w:ascii="仿宋_GB2312" w:eastAsia="微软雅黑"/>
      <w:b/>
      <w:spacing w:val="300"/>
      <w:kern w:val="2"/>
      <w:sz w:val="18"/>
      <w:szCs w:val="18"/>
      <w:lang w:val="en-US" w:eastAsia="zh-CN" w:bidi="ar-SA"/>
    </w:rPr>
  </w:style>
  <w:style w:type="character" w:customStyle="1" w:styleId="267">
    <w:name w:val="txt"/>
    <w:qFormat/>
    <w:uiPriority w:val="0"/>
    <w:rPr>
      <w:rFonts w:ascii="仿宋_GB2312" w:eastAsia="微软雅黑"/>
      <w:b/>
      <w:kern w:val="2"/>
      <w:sz w:val="32"/>
      <w:szCs w:val="32"/>
      <w:lang w:val="en-US" w:eastAsia="zh-CN" w:bidi="ar-SA"/>
    </w:rPr>
  </w:style>
  <w:style w:type="character" w:customStyle="1" w:styleId="268">
    <w:name w:val="tw4winJump"/>
    <w:qFormat/>
    <w:uiPriority w:val="0"/>
    <w:rPr>
      <w:rFonts w:ascii="Courier New" w:hAnsi="Courier New" w:cs="Courier New"/>
      <w:color w:val="008080"/>
      <w:lang w:val="en-US" w:eastAsia="zh-CN"/>
    </w:rPr>
  </w:style>
  <w:style w:type="character" w:customStyle="1" w:styleId="269">
    <w:name w:val="Item List Char"/>
    <w:link w:val="270"/>
    <w:qFormat/>
    <w:uiPriority w:val="0"/>
    <w:rPr>
      <w:rFonts w:ascii="Arial"/>
      <w:bCs/>
      <w:sz w:val="21"/>
      <w:szCs w:val="21"/>
      <w:lang w:val="en-US" w:eastAsia="zh-CN" w:bidi="ar-SA"/>
    </w:rPr>
  </w:style>
  <w:style w:type="paragraph" w:customStyle="1" w:styleId="270">
    <w:name w:val="Item List"/>
    <w:link w:val="2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qFormat/>
    <w:uiPriority w:val="0"/>
    <w:rPr>
      <w:rFonts w:ascii="仿宋_GB2312" w:eastAsia="仿宋_GB2312"/>
      <w:b/>
      <w:bCs/>
      <w:kern w:val="2"/>
      <w:sz w:val="24"/>
      <w:szCs w:val="24"/>
      <w:lang w:val="zh-CN" w:eastAsia="zh-CN" w:bidi="ar-SA"/>
    </w:rPr>
  </w:style>
  <w:style w:type="paragraph" w:customStyle="1" w:styleId="27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7"/>
    <w:qFormat/>
    <w:uiPriority w:val="0"/>
    <w:pPr>
      <w:spacing w:after="120" w:line="480" w:lineRule="auto"/>
      <w:ind w:left="420" w:leftChars="200"/>
    </w:pPr>
    <w:rPr>
      <w:sz w:val="24"/>
      <w:szCs w:val="20"/>
    </w:rPr>
  </w:style>
  <w:style w:type="paragraph" w:customStyle="1" w:styleId="275">
    <w:name w:val="Char Char1"/>
    <w:basedOn w:val="1"/>
    <w:qFormat/>
    <w:uiPriority w:val="0"/>
    <w:pPr>
      <w:widowControl/>
      <w:spacing w:after="160" w:line="240" w:lineRule="exact"/>
      <w:jc w:val="left"/>
    </w:pPr>
    <w:rPr>
      <w:rFonts w:eastAsia="仿宋_GB2312"/>
      <w:sz w:val="28"/>
    </w:rPr>
  </w:style>
  <w:style w:type="paragraph" w:customStyle="1" w:styleId="27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20"/>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qFormat/>
    <w:uiPriority w:val="0"/>
    <w:rPr>
      <w:rFonts w:ascii="仿宋_GB2312" w:eastAsia="仿宋_GB2312"/>
      <w:b/>
      <w:sz w:val="32"/>
      <w:szCs w:val="20"/>
    </w:rPr>
  </w:style>
  <w:style w:type="paragraph" w:customStyle="1" w:styleId="28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qFormat/>
    <w:uiPriority w:val="0"/>
    <w:pPr>
      <w:spacing w:line="360" w:lineRule="auto"/>
      <w:ind w:firstLine="200" w:firstLineChars="200"/>
    </w:pPr>
    <w:rPr>
      <w:kern w:val="0"/>
      <w:sz w:val="24"/>
      <w:szCs w:val="20"/>
    </w:rPr>
  </w:style>
  <w:style w:type="paragraph" w:customStyle="1" w:styleId="2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6">
    <w:name w:val="封面公司名"/>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qFormat/>
    <w:uiPriority w:val="0"/>
    <w:rPr>
      <w:rFonts w:eastAsia="仿宋_GB2312"/>
      <w:sz w:val="28"/>
      <w:szCs w:val="20"/>
    </w:rPr>
  </w:style>
  <w:style w:type="paragraph" w:customStyle="1" w:styleId="28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1">
    <w:name w:val="trademark"/>
    <w:qFormat/>
    <w:uiPriority w:val="0"/>
    <w:pPr>
      <w:spacing w:after="60"/>
    </w:pPr>
    <w:rPr>
      <w:rFonts w:ascii="Futura Bk" w:hAnsi="Futura Bk" w:eastAsia="宋体" w:cs="Times New Roman"/>
      <w:sz w:val="15"/>
      <w:lang w:val="en-US" w:eastAsia="en-US" w:bidi="ar-SA"/>
    </w:rPr>
  </w:style>
  <w:style w:type="paragraph" w:customStyle="1" w:styleId="2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默认段落字体 Para Char"/>
    <w:basedOn w:val="1"/>
    <w:qFormat/>
    <w:uiPriority w:val="0"/>
    <w:rPr>
      <w:rFonts w:ascii="Tahoma" w:hAnsi="Tahoma"/>
      <w:sz w:val="24"/>
      <w:szCs w:val="20"/>
    </w:rPr>
  </w:style>
  <w:style w:type="paragraph" w:customStyle="1" w:styleId="2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qFormat/>
    <w:uiPriority w:val="0"/>
    <w:rPr>
      <w:rFonts w:ascii="Tahoma" w:hAnsi="Tahoma" w:cs="仿宋_GB2312"/>
      <w:sz w:val="24"/>
      <w:szCs w:val="20"/>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qFormat/>
    <w:uiPriority w:val="0"/>
    <w:pPr>
      <w:adjustRightInd/>
      <w:ind w:firstLine="200" w:firstLineChars="200"/>
      <w:jc w:val="right"/>
    </w:pPr>
  </w:style>
  <w:style w:type="paragraph" w:customStyle="1" w:styleId="305">
    <w:name w:val="Char31"/>
    <w:basedOn w:val="1"/>
    <w:qFormat/>
    <w:uiPriority w:val="0"/>
    <w:pPr>
      <w:adjustRightInd/>
      <w:ind w:firstLine="200" w:firstLineChars="200"/>
    </w:pPr>
    <w:rPr>
      <w:rFonts w:ascii="Tahoma" w:hAnsi="Tahoma"/>
      <w:sz w:val="24"/>
      <w:szCs w:val="20"/>
    </w:rPr>
  </w:style>
  <w:style w:type="paragraph" w:customStyle="1" w:styleId="30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qFormat/>
    <w:uiPriority w:val="0"/>
    <w:pPr>
      <w:adjustRightInd/>
      <w:ind w:firstLine="420" w:firstLineChars="200"/>
    </w:pPr>
    <w:rPr>
      <w:rFonts w:ascii="Calibri" w:hAnsi="Calibri"/>
      <w:szCs w:val="22"/>
    </w:rPr>
  </w:style>
  <w:style w:type="paragraph" w:customStyle="1" w:styleId="31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7"/>
    <w:qFormat/>
    <w:uiPriority w:val="0"/>
    <w:pPr>
      <w:numPr>
        <w:numId w:val="4"/>
      </w:numPr>
      <w:tabs>
        <w:tab w:val="left" w:pos="840"/>
        <w:tab w:val="left" w:pos="1680"/>
      </w:tabs>
      <w:adjustRightInd/>
    </w:pPr>
  </w:style>
  <w:style w:type="paragraph" w:customStyle="1" w:styleId="312">
    <w:name w:val="Normal0"/>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qFormat/>
    <w:uiPriority w:val="0"/>
    <w:rPr>
      <w:rFonts w:ascii="仿宋_GB2312" w:eastAsia="仿宋_GB2312"/>
      <w:b/>
      <w:sz w:val="32"/>
      <w:szCs w:val="32"/>
    </w:rPr>
  </w:style>
  <w:style w:type="paragraph" w:customStyle="1" w:styleId="31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qFormat/>
    <w:uiPriority w:val="0"/>
    <w:rPr>
      <w:rFonts w:ascii="仿宋_GB2312" w:eastAsia="仿宋_GB2312"/>
      <w:b/>
      <w:sz w:val="32"/>
      <w:szCs w:val="32"/>
    </w:rPr>
  </w:style>
  <w:style w:type="paragraph" w:customStyle="1" w:styleId="32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qFormat/>
    <w:uiPriority w:val="0"/>
    <w:rPr>
      <w:rFonts w:ascii="Tahoma" w:hAnsi="Tahoma"/>
      <w:sz w:val="24"/>
      <w:szCs w:val="20"/>
    </w:rPr>
  </w:style>
  <w:style w:type="paragraph" w:customStyle="1" w:styleId="328">
    <w:name w:val="MM Topic 4"/>
    <w:basedOn w:val="8"/>
    <w:qFormat/>
    <w:uiPriority w:val="0"/>
    <w:pPr>
      <w:numPr>
        <w:numId w:val="4"/>
      </w:numPr>
      <w:tabs>
        <w:tab w:val="left" w:pos="840"/>
        <w:tab w:val="left" w:pos="2100"/>
        <w:tab w:val="clear" w:pos="864"/>
      </w:tabs>
      <w:adjustRightInd/>
    </w:pPr>
    <w:rPr>
      <w:lang w:val="en-US"/>
    </w:rPr>
  </w:style>
  <w:style w:type="paragraph" w:customStyle="1" w:styleId="329">
    <w:name w:val="标准小四"/>
    <w:basedOn w:val="1"/>
    <w:qFormat/>
    <w:uiPriority w:val="0"/>
    <w:pPr>
      <w:spacing w:line="360" w:lineRule="auto"/>
      <w:ind w:firstLine="480" w:firstLineChars="200"/>
    </w:pPr>
    <w:rPr>
      <w:rFonts w:ascii="Arial" w:hAnsi="Arial"/>
      <w:sz w:val="24"/>
      <w:szCs w:val="21"/>
    </w:rPr>
  </w:style>
  <w:style w:type="paragraph" w:customStyle="1" w:styleId="330">
    <w:name w:val="MM Topic 2"/>
    <w:basedOn w:val="6"/>
    <w:qFormat/>
    <w:uiPriority w:val="0"/>
    <w:pPr>
      <w:numPr>
        <w:ilvl w:val="1"/>
        <w:numId w:val="4"/>
      </w:numPr>
    </w:pPr>
    <w:rPr>
      <w:rFonts w:ascii="Arial" w:hAnsi="Arial" w:eastAsia="黑体"/>
      <w:lang w:val="en-US"/>
    </w:rPr>
  </w:style>
  <w:style w:type="paragraph" w:customStyle="1" w:styleId="331">
    <w:name w:val="表格标题2"/>
    <w:basedOn w:val="332"/>
    <w:qFormat/>
    <w:uiPriority w:val="0"/>
    <w:rPr>
      <w:b/>
    </w:rPr>
  </w:style>
  <w:style w:type="paragraph" w:customStyle="1" w:styleId="332">
    <w:name w:val="表格内文"/>
    <w:basedOn w:val="1"/>
    <w:qFormat/>
    <w:uiPriority w:val="0"/>
    <w:pPr>
      <w:adjustRightInd/>
      <w:spacing w:line="360" w:lineRule="auto"/>
    </w:pPr>
    <w:rPr>
      <w:rFonts w:ascii="宋体" w:hAnsi="宋体" w:cs="宋体"/>
      <w:color w:val="000000"/>
      <w:szCs w:val="20"/>
    </w:rPr>
  </w:style>
  <w:style w:type="paragraph" w:customStyle="1" w:styleId="33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qFormat/>
    <w:uiPriority w:val="0"/>
    <w:pPr>
      <w:spacing w:line="360" w:lineRule="auto"/>
    </w:pPr>
    <w:rPr>
      <w:szCs w:val="20"/>
    </w:rPr>
  </w:style>
  <w:style w:type="paragraph" w:customStyle="1" w:styleId="336">
    <w:name w:val="Char Char Char Char Char Char Char Char Char Char Char1 Char"/>
    <w:basedOn w:val="1"/>
    <w:qFormat/>
    <w:uiPriority w:val="0"/>
    <w:pPr>
      <w:adjustRightInd/>
    </w:pPr>
    <w:rPr>
      <w:rFonts w:ascii="Tahoma" w:hAnsi="Tahoma"/>
      <w:sz w:val="24"/>
    </w:rPr>
  </w:style>
  <w:style w:type="paragraph" w:customStyle="1" w:styleId="33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qFormat/>
    <w:uiPriority w:val="0"/>
    <w:rPr>
      <w:rFonts w:ascii="仿宋_GB2312" w:eastAsia="仿宋_GB2312"/>
      <w:b/>
      <w:sz w:val="32"/>
      <w:szCs w:val="32"/>
    </w:rPr>
  </w:style>
  <w:style w:type="paragraph" w:customStyle="1" w:styleId="341">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5"/>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qFormat/>
    <w:uiPriority w:val="0"/>
    <w:pPr>
      <w:widowControl/>
      <w:adjustRightInd/>
      <w:spacing w:after="160" w:line="240" w:lineRule="exact"/>
      <w:jc w:val="left"/>
    </w:pPr>
    <w:rPr>
      <w:szCs w:val="20"/>
    </w:rPr>
  </w:style>
  <w:style w:type="paragraph" w:customStyle="1" w:styleId="3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9"/>
    <w:next w:val="1"/>
    <w:qFormat/>
    <w:uiPriority w:val="0"/>
    <w:pPr>
      <w:numPr>
        <w:numId w:val="5"/>
      </w:numPr>
      <w:tabs>
        <w:tab w:val="left" w:pos="480"/>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9"/>
    <w:qFormat/>
    <w:uiPriority w:val="0"/>
    <w:pPr>
      <w:numPr>
        <w:numId w:val="4"/>
      </w:numPr>
      <w:tabs>
        <w:tab w:val="left" w:pos="840"/>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6"/>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10"/>
    <w:next w:val="1"/>
    <w:qFormat/>
    <w:uiPriority w:val="0"/>
    <w:pPr>
      <w:numPr>
        <w:numId w:val="5"/>
      </w:numPr>
      <w:tabs>
        <w:tab w:val="left" w:pos="480"/>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21"/>
    <w:qFormat/>
    <w:uiPriority w:val="0"/>
    <w:pPr>
      <w:snapToGrid w:val="0"/>
      <w:spacing w:line="360" w:lineRule="auto"/>
    </w:pPr>
  </w:style>
  <w:style w:type="paragraph" w:customStyle="1" w:styleId="4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7"/>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6"/>
    <w:next w:val="1"/>
    <w:qFormat/>
    <w:uiPriority w:val="0"/>
    <w:pPr>
      <w:numPr>
        <w:ilvl w:val="1"/>
        <w:numId w:val="5"/>
      </w:numPr>
    </w:pPr>
    <w:rPr>
      <w:rFonts w:ascii="Times New Roman" w:eastAsia="宋体"/>
      <w:i/>
      <w:sz w:val="36"/>
      <w:szCs w:val="36"/>
      <w:lang w:val="en-US"/>
    </w:rPr>
  </w:style>
  <w:style w:type="paragraph" w:customStyle="1" w:styleId="451">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8"/>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0" w:beforeLines="0" w:after="0" w:afterLines="0"/>
      <w:ind w:left="1680"/>
      <w:outlineLvl w:val="2"/>
    </w:pPr>
  </w:style>
  <w:style w:type="paragraph" w:customStyle="1" w:styleId="467">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8"/>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5"/>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标题2"/>
    <w:basedOn w:val="5"/>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5"/>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5"/>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0"/>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5"/>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4"/>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8"/>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2"/>
    <w:next w:val="422"/>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2"/>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39"/>
    <w:qFormat/>
    <w:locked/>
    <w:uiPriority w:val="99"/>
    <w:rPr>
      <w:kern w:val="2"/>
      <w:sz w:val="18"/>
      <w:szCs w:val="18"/>
    </w:rPr>
  </w:style>
  <w:style w:type="character" w:customStyle="1" w:styleId="631">
    <w:name w:val="页眉 Char2"/>
    <w:link w:val="40"/>
    <w:qFormat/>
    <w:uiPriority w:val="99"/>
    <w:rPr>
      <w:kern w:val="2"/>
      <w:sz w:val="18"/>
      <w:szCs w:val="18"/>
    </w:rPr>
  </w:style>
  <w:style w:type="paragraph" w:customStyle="1" w:styleId="632">
    <w:name w:val="封面编号"/>
    <w:basedOn w:val="1"/>
    <w:qFormat/>
    <w:uiPriority w:val="0"/>
    <w:pPr>
      <w:spacing w:line="360" w:lineRule="auto"/>
      <w:jc w:val="center"/>
    </w:pPr>
    <w:rPr>
      <w:rFonts w:ascii="黑体" w:hAnsi="宋体" w:eastAsia="黑体" w:cs="宋体"/>
      <w:b/>
      <w:bCs/>
      <w:sz w:val="38"/>
      <w:szCs w:val="20"/>
    </w:rPr>
  </w:style>
  <w:style w:type="paragraph" w:customStyle="1" w:styleId="633">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4">
    <w:name w:val="_Style 3"/>
    <w:basedOn w:val="1"/>
    <w:qFormat/>
    <w:uiPriority w:val="0"/>
    <w:pPr>
      <w:adjustRightInd/>
      <w:ind w:firstLine="420" w:firstLineChars="200"/>
    </w:pPr>
    <w:rPr>
      <w:rFonts w:eastAsia="仿宋_GB2312"/>
      <w:sz w:val="28"/>
    </w:rPr>
  </w:style>
  <w:style w:type="paragraph" w:customStyle="1" w:styleId="635">
    <w:name w:val="B"/>
    <w:basedOn w:val="636"/>
    <w:qFormat/>
    <w:uiPriority w:val="0"/>
    <w:pPr>
      <w:tabs>
        <w:tab w:val="center" w:pos="4706"/>
        <w:tab w:val="right" w:pos="9044"/>
      </w:tabs>
      <w:wordWrap/>
      <w:spacing w:line="312" w:lineRule="exact"/>
    </w:pPr>
    <w:rPr>
      <w:rFonts w:ascii="E-F1"/>
      <w:szCs w:val="21"/>
    </w:rPr>
  </w:style>
  <w:style w:type="paragraph" w:customStyle="1" w:styleId="636">
    <w:name w:val="表头"/>
    <w:basedOn w:val="1"/>
    <w:qFormat/>
    <w:uiPriority w:val="0"/>
    <w:pPr>
      <w:wordWrap w:val="0"/>
      <w:topLinePunct/>
      <w:spacing w:before="160" w:after="60"/>
      <w:jc w:val="center"/>
    </w:pPr>
    <w:rPr>
      <w:rFonts w:eastAsia="黑体"/>
    </w:rPr>
  </w:style>
  <w:style w:type="paragraph" w:customStyle="1" w:styleId="637">
    <w:name w:val="表文"/>
    <w:basedOn w:val="1"/>
    <w:qFormat/>
    <w:uiPriority w:val="0"/>
    <w:pPr>
      <w:topLinePunct/>
      <w:spacing w:before="40" w:after="40"/>
    </w:pPr>
    <w:rPr>
      <w:rFonts w:ascii="仿宋_GB2312" w:hAnsi="仿宋_GB2312" w:eastAsia="仿宋_GB2312"/>
      <w:sz w:val="18"/>
    </w:rPr>
  </w:style>
  <w:style w:type="paragraph" w:customStyle="1" w:styleId="638">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table" w:customStyle="1" w:styleId="639">
    <w:name w:val="Table Normal"/>
    <w:semiHidden/>
    <w:unhideWhenUsed/>
    <w:qFormat/>
    <w:uiPriority w:val="0"/>
    <w:tblPr>
      <w:tblCellMar>
        <w:top w:w="0" w:type="dxa"/>
        <w:left w:w="0" w:type="dxa"/>
        <w:bottom w:w="0" w:type="dxa"/>
        <w:right w:w="0" w:type="dxa"/>
      </w:tblCellMar>
    </w:tblPr>
  </w:style>
  <w:style w:type="paragraph" w:customStyle="1" w:styleId="64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1">
    <w:name w:val="列表段落1"/>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21216</Words>
  <Characters>22429</Characters>
  <Lines>265</Lines>
  <Paragraphs>74</Paragraphs>
  <TotalTime>10</TotalTime>
  <ScaleCrop>false</ScaleCrop>
  <LinksUpToDate>false</LinksUpToDate>
  <CharactersWithSpaces>23760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2023-10-10T02:15:00Z</dcterms:created>
  <dc:creator>玥</dc:creator>
  <cp:lastModifiedBy>三月七</cp:lastModifiedBy>
  <cp:lastPrinted>2021-04-01T22:48:00Z</cp:lastPrinted>
  <dcterms:modified xsi:type="dcterms:W3CDTF">2025-01-22T07:14:56Z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E771E23E60244A52977E8AA5C4125558_13</vt:lpwstr>
  </property>
  <property fmtid="{D5CDD505-2E9C-101B-9397-08002B2CF9AE}" pid="4" name="KSOTemplateDocerSaveRecord">
    <vt:lpwstr>eyJoZGlkIjoiZjQ3Y2MzNGExYWY2MjkzNTRhODg2YmYwMDk3YjdjMTIiLCJ1c2VySWQiOiI2MTI0MTQ2NTEifQ==</vt:lpwstr>
  </property>
</Properties>
</file>