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1D006">
      <w:pPr>
        <w:spacing w:line="360" w:lineRule="auto"/>
        <w:jc w:val="center"/>
        <w:rPr>
          <w:rFonts w:hint="eastAsia" w:ascii="宋体" w:hAnsi="宋体" w:cs="宋体"/>
          <w:b/>
          <w:sz w:val="24"/>
        </w:rPr>
      </w:pPr>
    </w:p>
    <w:p w14:paraId="7AD6648C">
      <w:pPr>
        <w:adjustRightInd/>
        <w:spacing w:line="360" w:lineRule="auto"/>
        <w:jc w:val="center"/>
        <w:rPr>
          <w:rFonts w:hint="eastAsia" w:ascii="宋体" w:hAnsi="宋体" w:cs="宋体"/>
          <w:b/>
          <w:bCs/>
          <w:sz w:val="44"/>
          <w:szCs w:val="44"/>
        </w:rPr>
      </w:pPr>
    </w:p>
    <w:p w14:paraId="0DDC3E0E">
      <w:pPr>
        <w:adjustRightInd/>
        <w:spacing w:line="360" w:lineRule="auto"/>
        <w:jc w:val="center"/>
        <w:rPr>
          <w:rFonts w:hint="eastAsia" w:ascii="宋体" w:hAnsi="宋体" w:cs="宋体"/>
          <w:b/>
          <w:bCs/>
          <w:spacing w:val="-17"/>
          <w:sz w:val="44"/>
          <w:szCs w:val="44"/>
        </w:rPr>
      </w:pPr>
      <w:r>
        <w:rPr>
          <w:rFonts w:hint="eastAsia" w:ascii="宋体" w:hAnsi="宋体" w:cs="宋体"/>
          <w:b/>
          <w:bCs/>
          <w:spacing w:val="-17"/>
          <w:sz w:val="44"/>
          <w:szCs w:val="44"/>
        </w:rPr>
        <w:t>机场高速公司机电维保服务采购项目</w:t>
      </w:r>
    </w:p>
    <w:p w14:paraId="554567D7">
      <w:pPr>
        <w:adjustRightInd/>
        <w:spacing w:line="360" w:lineRule="auto"/>
        <w:jc w:val="center"/>
        <w:rPr>
          <w:rFonts w:hint="eastAsia" w:ascii="宋体" w:hAnsi="宋体" w:cs="宋体"/>
          <w:b/>
          <w:bCs/>
          <w:sz w:val="48"/>
          <w:szCs w:val="48"/>
        </w:rPr>
      </w:pPr>
    </w:p>
    <w:p w14:paraId="62AD8B41">
      <w:pPr>
        <w:pStyle w:val="80"/>
        <w:rPr>
          <w:rFonts w:hint="eastAsia" w:cs="宋体"/>
          <w:b/>
          <w:bCs/>
          <w:sz w:val="48"/>
          <w:szCs w:val="48"/>
        </w:rPr>
      </w:pPr>
    </w:p>
    <w:p w14:paraId="36C428E3">
      <w:pPr>
        <w:pStyle w:val="80"/>
        <w:rPr>
          <w:rFonts w:hint="eastAsia" w:cs="宋体"/>
          <w:b/>
          <w:bCs/>
          <w:sz w:val="48"/>
          <w:szCs w:val="48"/>
        </w:rPr>
      </w:pPr>
    </w:p>
    <w:p w14:paraId="1E615200">
      <w:pPr>
        <w:adjustRightInd/>
        <w:spacing w:line="360" w:lineRule="auto"/>
        <w:jc w:val="center"/>
        <w:rPr>
          <w:rFonts w:hint="eastAsia" w:ascii="宋体" w:hAnsi="宋体" w:cs="宋体"/>
          <w:b/>
          <w:bCs/>
          <w:sz w:val="48"/>
          <w:szCs w:val="48"/>
        </w:rPr>
      </w:pPr>
      <w:r>
        <w:rPr>
          <w:rFonts w:hint="eastAsia" w:ascii="宋体" w:hAnsi="宋体" w:cs="宋体"/>
          <w:b/>
          <w:bCs/>
          <w:sz w:val="48"/>
          <w:szCs w:val="48"/>
        </w:rPr>
        <w:t>交易文件</w:t>
      </w:r>
    </w:p>
    <w:p w14:paraId="1693930F">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（电子交易标）</w:t>
      </w:r>
    </w:p>
    <w:p w14:paraId="367D5DBF">
      <w:pPr>
        <w:shd w:val="clear"/>
        <w:snapToGrid w:val="0"/>
        <w:spacing w:line="360" w:lineRule="auto"/>
        <w:jc w:val="center"/>
        <w:rPr>
          <w:rFonts w:hint="eastAsia" w:ascii="宋体" w:hAnsi="宋体" w:cs="宋体"/>
          <w:sz w:val="30"/>
          <w:szCs w:val="30"/>
        </w:rPr>
      </w:pPr>
      <w:r>
        <w:rPr>
          <w:rFonts w:hint="eastAsia" w:ascii="宋体" w:hAnsi="宋体" w:cs="宋体"/>
          <w:sz w:val="30"/>
          <w:szCs w:val="30"/>
          <w:shd w:val="clear" w:color="auto"/>
        </w:rPr>
        <w:t>交易编号: ZJZCJT-2024014</w:t>
      </w:r>
      <w:r>
        <w:rPr>
          <w:rFonts w:hint="eastAsia" w:ascii="宋体" w:hAnsi="宋体" w:cs="宋体"/>
          <w:sz w:val="30"/>
          <w:szCs w:val="30"/>
        </w:rPr>
        <w:t xml:space="preserve"> </w:t>
      </w:r>
    </w:p>
    <w:p w14:paraId="0282442E">
      <w:pPr>
        <w:adjustRightInd/>
        <w:spacing w:line="360" w:lineRule="auto"/>
        <w:rPr>
          <w:rFonts w:hint="eastAsia" w:ascii="宋体" w:hAnsi="宋体" w:cs="宋体"/>
          <w:sz w:val="28"/>
          <w:szCs w:val="20"/>
        </w:rPr>
      </w:pPr>
    </w:p>
    <w:p w14:paraId="5A7E3961">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376C1F93">
      <w:pPr>
        <w:pStyle w:val="3"/>
        <w:ind w:left="0" w:firstLine="0"/>
        <w:rPr>
          <w:rFonts w:hint="eastAsia"/>
          <w:lang w:val="en-US"/>
        </w:rPr>
      </w:pPr>
      <w:r>
        <w:rPr>
          <w:rFonts w:hint="eastAsia"/>
          <w:lang w:val="en-US"/>
        </w:rPr>
        <w:t xml:space="preserve">    </w:t>
      </w:r>
    </w:p>
    <w:p w14:paraId="4A041302"/>
    <w:p w14:paraId="195A0DF1"/>
    <w:p w14:paraId="2ED5A4B4"/>
    <w:p w14:paraId="551C522D"/>
    <w:p w14:paraId="3A895872">
      <w:pPr>
        <w:spacing w:line="360" w:lineRule="auto"/>
        <w:jc w:val="center"/>
        <w:rPr>
          <w:rFonts w:hint="eastAsia" w:ascii="宋体" w:hAnsi="宋体" w:cs="宋体"/>
          <w:sz w:val="24"/>
        </w:rPr>
      </w:pPr>
    </w:p>
    <w:p w14:paraId="4212EDEC">
      <w:pPr>
        <w:spacing w:line="360" w:lineRule="auto"/>
        <w:rPr>
          <w:rFonts w:hint="eastAsia" w:ascii="宋体" w:hAnsi="宋体" w:cs="宋体"/>
          <w:sz w:val="32"/>
          <w:szCs w:val="32"/>
        </w:rPr>
      </w:pPr>
    </w:p>
    <w:p w14:paraId="6B3E4EC6">
      <w:pPr>
        <w:spacing w:line="360" w:lineRule="auto"/>
        <w:jc w:val="center"/>
        <w:rPr>
          <w:rFonts w:hint="eastAsia" w:ascii="宋体" w:hAnsi="宋体"/>
          <w:b/>
          <w:sz w:val="32"/>
          <w:szCs w:val="30"/>
        </w:rPr>
      </w:pPr>
      <w:r>
        <w:rPr>
          <w:rFonts w:hint="eastAsia" w:ascii="宋体" w:hAnsi="宋体"/>
          <w:b/>
          <w:sz w:val="32"/>
          <w:szCs w:val="30"/>
        </w:rPr>
        <w:t>杭州萧山国际机场高速公路建设开发有限公司</w:t>
      </w:r>
    </w:p>
    <w:p w14:paraId="5060EC2D">
      <w:pPr>
        <w:spacing w:line="360" w:lineRule="auto"/>
        <w:jc w:val="center"/>
        <w:rPr>
          <w:rFonts w:hint="eastAsia" w:ascii="宋体" w:hAnsi="宋体" w:cs="宋体"/>
          <w:bCs/>
          <w:sz w:val="32"/>
          <w:szCs w:val="32"/>
        </w:rPr>
      </w:pPr>
      <w:r>
        <w:rPr>
          <w:rFonts w:hint="eastAsia" w:ascii="宋体" w:hAnsi="宋体"/>
          <w:b/>
          <w:sz w:val="32"/>
          <w:szCs w:val="30"/>
        </w:rPr>
        <w:t>浙江中诚工程管理科技有限公司</w:t>
      </w:r>
    </w:p>
    <w:p w14:paraId="31516A11">
      <w:pPr>
        <w:shd w:val="clear" w:color="auto"/>
        <w:snapToGrid w:val="0"/>
        <w:spacing w:line="360" w:lineRule="auto"/>
        <w:jc w:val="center"/>
        <w:rPr>
          <w:rFonts w:hint="eastAsia" w:ascii="宋体" w:hAnsi="宋体" w:cs="宋体"/>
          <w:bCs/>
          <w:sz w:val="32"/>
          <w:szCs w:val="32"/>
        </w:rPr>
      </w:pPr>
      <w:r>
        <w:rPr>
          <w:rFonts w:hint="eastAsia" w:ascii="宋体" w:hAnsi="宋体" w:cs="宋体"/>
          <w:bCs/>
          <w:sz w:val="32"/>
          <w:szCs w:val="32"/>
        </w:rPr>
        <w:t>二〇二四年十二月</w:t>
      </w:r>
      <w:r>
        <w:rPr>
          <w:rFonts w:hint="eastAsia" w:ascii="宋体" w:hAnsi="宋体" w:cs="宋体"/>
          <w:bCs/>
          <w:sz w:val="32"/>
          <w:szCs w:val="32"/>
          <w:lang w:val="en-US" w:eastAsia="zh-CN"/>
        </w:rPr>
        <w:t>二十七</w:t>
      </w:r>
      <w:r>
        <w:rPr>
          <w:rFonts w:hint="eastAsia" w:ascii="宋体" w:hAnsi="宋体" w:cs="宋体"/>
          <w:bCs/>
          <w:sz w:val="32"/>
          <w:szCs w:val="32"/>
        </w:rPr>
        <w:t>日</w:t>
      </w:r>
    </w:p>
    <w:p w14:paraId="1B5EE159">
      <w:pPr>
        <w:snapToGrid w:val="0"/>
        <w:spacing w:line="360" w:lineRule="auto"/>
        <w:jc w:val="center"/>
        <w:rPr>
          <w:rFonts w:hint="eastAsia" w:ascii="宋体" w:hAnsi="宋体" w:cs="宋体"/>
          <w:sz w:val="24"/>
        </w:rPr>
      </w:pPr>
    </w:p>
    <w:p w14:paraId="21F7DEA3">
      <w:pPr>
        <w:snapToGrid w:val="0"/>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3D24DBBF">
      <w:pPr>
        <w:spacing w:line="360" w:lineRule="auto"/>
        <w:jc w:val="center"/>
        <w:rPr>
          <w:rFonts w:hint="eastAsia" w:ascii="宋体" w:hAnsi="宋体" w:cs="宋体"/>
          <w:b/>
          <w:sz w:val="48"/>
          <w:szCs w:val="48"/>
        </w:rPr>
      </w:pPr>
    </w:p>
    <w:p w14:paraId="4A0F01A2">
      <w:pPr>
        <w:spacing w:line="360" w:lineRule="auto"/>
        <w:jc w:val="center"/>
        <w:rPr>
          <w:rFonts w:hint="eastAsia" w:ascii="宋体" w:hAnsi="宋体" w:cs="宋体"/>
          <w:b/>
          <w:sz w:val="48"/>
          <w:szCs w:val="48"/>
        </w:rPr>
      </w:pPr>
    </w:p>
    <w:p w14:paraId="3CBE7620">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71C66E08">
      <w:pPr>
        <w:spacing w:line="360" w:lineRule="auto"/>
        <w:rPr>
          <w:rFonts w:hint="eastAsia" w:ascii="宋体" w:hAnsi="宋体" w:cs="宋体"/>
          <w:sz w:val="32"/>
          <w:szCs w:val="32"/>
        </w:rPr>
      </w:pPr>
    </w:p>
    <w:p w14:paraId="647822E3">
      <w:pPr>
        <w:spacing w:line="360" w:lineRule="auto"/>
        <w:rPr>
          <w:rFonts w:hint="eastAsia" w:ascii="宋体" w:hAnsi="宋体" w:cs="宋体"/>
          <w:sz w:val="32"/>
          <w:szCs w:val="32"/>
        </w:rPr>
      </w:pPr>
    </w:p>
    <w:p w14:paraId="6FDF5393">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交易公告</w:t>
      </w:r>
    </w:p>
    <w:p w14:paraId="65962AEE">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供应商须知</w:t>
      </w:r>
    </w:p>
    <w:p w14:paraId="4CF9E877">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2A580EAC">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评审办法</w:t>
      </w:r>
    </w:p>
    <w:p w14:paraId="0F37B67A">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应提交的有关格式范例</w:t>
      </w:r>
    </w:p>
    <w:p w14:paraId="67601F90">
      <w:pPr>
        <w:spacing w:line="360" w:lineRule="auto"/>
        <w:ind w:firstLine="549" w:firstLineChars="229"/>
        <w:rPr>
          <w:rFonts w:hint="eastAsia" w:ascii="宋体" w:hAnsi="宋体" w:cs="宋体"/>
          <w:sz w:val="24"/>
        </w:rPr>
      </w:pPr>
      <w:bookmarkStart w:id="1" w:name="_Hlt91233176"/>
      <w:bookmarkEnd w:id="1"/>
      <w:bookmarkStart w:id="2" w:name="_Toc91899869"/>
    </w:p>
    <w:p w14:paraId="6DA7CED2">
      <w:pPr>
        <w:spacing w:line="360" w:lineRule="auto"/>
        <w:ind w:firstLine="549" w:firstLineChars="229"/>
        <w:rPr>
          <w:rFonts w:hint="eastAsia" w:ascii="宋体" w:hAnsi="宋体" w:cs="宋体"/>
          <w:sz w:val="24"/>
        </w:rPr>
      </w:pPr>
    </w:p>
    <w:p w14:paraId="59B643A0">
      <w:pPr>
        <w:spacing w:line="360" w:lineRule="auto"/>
        <w:ind w:firstLine="549" w:firstLineChars="229"/>
        <w:rPr>
          <w:rFonts w:hint="eastAsia" w:ascii="宋体" w:hAnsi="宋体" w:cs="宋体"/>
          <w:sz w:val="24"/>
        </w:rPr>
      </w:pPr>
    </w:p>
    <w:p w14:paraId="404D3C59">
      <w:pPr>
        <w:spacing w:line="360" w:lineRule="auto"/>
        <w:ind w:firstLine="549" w:firstLineChars="229"/>
        <w:rPr>
          <w:rFonts w:hint="eastAsia" w:ascii="宋体" w:hAnsi="宋体" w:cs="宋体"/>
          <w:sz w:val="24"/>
        </w:rPr>
      </w:pPr>
    </w:p>
    <w:p w14:paraId="6E10F965">
      <w:pPr>
        <w:spacing w:line="360" w:lineRule="auto"/>
        <w:ind w:firstLine="549" w:firstLineChars="229"/>
        <w:rPr>
          <w:rFonts w:hint="eastAsia" w:ascii="宋体" w:hAnsi="宋体" w:cs="宋体"/>
          <w:sz w:val="24"/>
        </w:rPr>
      </w:pPr>
    </w:p>
    <w:p w14:paraId="1C3C9A72">
      <w:pPr>
        <w:spacing w:line="360" w:lineRule="auto"/>
        <w:ind w:firstLine="549" w:firstLineChars="229"/>
        <w:rPr>
          <w:rFonts w:hint="eastAsia" w:ascii="宋体" w:hAnsi="宋体" w:cs="宋体"/>
          <w:sz w:val="24"/>
        </w:rPr>
      </w:pPr>
    </w:p>
    <w:p w14:paraId="5BFDB98A">
      <w:pPr>
        <w:spacing w:line="360" w:lineRule="auto"/>
        <w:ind w:firstLine="549" w:firstLineChars="229"/>
        <w:rPr>
          <w:rFonts w:hint="eastAsia" w:ascii="宋体" w:hAnsi="宋体" w:cs="宋体"/>
          <w:sz w:val="24"/>
        </w:rPr>
      </w:pPr>
    </w:p>
    <w:p w14:paraId="2FC3D0D4">
      <w:pPr>
        <w:spacing w:line="360" w:lineRule="auto"/>
        <w:ind w:firstLine="549" w:firstLineChars="229"/>
        <w:rPr>
          <w:rFonts w:hint="eastAsia" w:ascii="宋体" w:hAnsi="宋体" w:cs="宋体"/>
          <w:sz w:val="24"/>
        </w:rPr>
      </w:pPr>
    </w:p>
    <w:p w14:paraId="062F2BDD">
      <w:pPr>
        <w:spacing w:line="360" w:lineRule="auto"/>
        <w:ind w:firstLine="549" w:firstLineChars="229"/>
        <w:rPr>
          <w:rFonts w:hint="eastAsia" w:ascii="宋体" w:hAnsi="宋体" w:cs="宋体"/>
          <w:sz w:val="24"/>
        </w:rPr>
      </w:pPr>
    </w:p>
    <w:p w14:paraId="5AB25E67">
      <w:pPr>
        <w:spacing w:line="360" w:lineRule="auto"/>
        <w:ind w:firstLine="549" w:firstLineChars="229"/>
        <w:rPr>
          <w:rFonts w:hint="eastAsia" w:ascii="宋体" w:hAnsi="宋体" w:cs="宋体"/>
          <w:sz w:val="24"/>
        </w:rPr>
      </w:pPr>
    </w:p>
    <w:p w14:paraId="07DC7A33">
      <w:pPr>
        <w:spacing w:line="360" w:lineRule="auto"/>
        <w:ind w:firstLine="549" w:firstLineChars="229"/>
        <w:rPr>
          <w:rFonts w:hint="eastAsia" w:ascii="宋体" w:hAnsi="宋体" w:cs="宋体"/>
          <w:sz w:val="24"/>
        </w:rPr>
      </w:pPr>
    </w:p>
    <w:p w14:paraId="3048B5C5">
      <w:pPr>
        <w:spacing w:line="360" w:lineRule="auto"/>
        <w:ind w:firstLine="549" w:firstLineChars="229"/>
        <w:rPr>
          <w:rFonts w:hint="eastAsia" w:ascii="宋体" w:hAnsi="宋体" w:cs="宋体"/>
          <w:sz w:val="24"/>
        </w:rPr>
      </w:pPr>
    </w:p>
    <w:p w14:paraId="707205BA">
      <w:pPr>
        <w:spacing w:line="360" w:lineRule="auto"/>
        <w:ind w:firstLine="549" w:firstLineChars="229"/>
        <w:rPr>
          <w:rFonts w:hint="eastAsia" w:ascii="宋体" w:hAnsi="宋体" w:cs="宋体"/>
          <w:sz w:val="24"/>
        </w:rPr>
      </w:pPr>
    </w:p>
    <w:p w14:paraId="6152B57E">
      <w:pPr>
        <w:spacing w:line="360" w:lineRule="auto"/>
        <w:rPr>
          <w:rFonts w:hint="eastAsia" w:ascii="宋体" w:hAnsi="宋体" w:cs="宋体"/>
          <w:sz w:val="24"/>
        </w:rPr>
      </w:pPr>
    </w:p>
    <w:p w14:paraId="3D09859B">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交易公告</w:t>
      </w:r>
    </w:p>
    <w:p w14:paraId="3157553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7E6BF00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bCs/>
          <w:kern w:val="0"/>
          <w:sz w:val="24"/>
          <w:u w:val="single"/>
        </w:rPr>
        <w:t>机场高速公司机电维保服务采购项目</w:t>
      </w:r>
      <w:r>
        <w:rPr>
          <w:rFonts w:hint="eastAsia" w:ascii="宋体" w:hAnsi="宋体" w:cs="宋体"/>
          <w:sz w:val="24"/>
        </w:rPr>
        <w:t>交易项目的潜在供应商应</w:t>
      </w:r>
      <w:r>
        <w:rPr>
          <w:rStyle w:val="76"/>
          <w:rFonts w:hint="eastAsia" w:ascii="宋体" w:hAnsi="宋体" w:eastAsia="宋体" w:cs="宋体"/>
          <w:color w:val="auto"/>
          <w:kern w:val="2"/>
          <w:sz w:val="24"/>
          <w:szCs w:val="24"/>
        </w:rPr>
        <w:t>在萧采云平台</w:t>
      </w:r>
      <w:r>
        <w:rPr>
          <w:rFonts w:hint="eastAsia" w:ascii="宋体" w:hAnsi="宋体" w:cs="宋体"/>
          <w:sz w:val="24"/>
        </w:rPr>
        <w:t>（https://xsnbsc.lecaiyun.com/）</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color w:val="auto"/>
          <w:kern w:val="2"/>
          <w:sz w:val="24"/>
          <w:szCs w:val="24"/>
        </w:rPr>
        <w:t>获取（下载）交易文件，</w:t>
      </w:r>
      <w:r>
        <w:rPr>
          <w:rStyle w:val="76"/>
          <w:rFonts w:hint="eastAsia" w:ascii="宋体" w:hAnsi="宋体" w:eastAsia="宋体" w:cs="宋体"/>
          <w:color w:val="auto"/>
          <w:kern w:val="2"/>
          <w:sz w:val="24"/>
          <w:szCs w:val="24"/>
          <w:shd w:val="clear" w:color="auto"/>
        </w:rPr>
        <w:t>并于</w:t>
      </w:r>
      <w:r>
        <w:rPr>
          <w:rFonts w:hint="eastAsia" w:ascii="宋体" w:hAnsi="宋体" w:cs="宋体"/>
          <w:sz w:val="24"/>
          <w:u w:val="single"/>
          <w:shd w:val="clear" w:color="auto"/>
        </w:rPr>
        <w:t>202</w:t>
      </w:r>
      <w:r>
        <w:rPr>
          <w:rFonts w:hint="eastAsia" w:ascii="宋体" w:hAnsi="宋体" w:cs="宋体"/>
          <w:sz w:val="24"/>
          <w:u w:val="single"/>
          <w:shd w:val="clear" w:color="auto"/>
          <w:lang w:val="en-US" w:eastAsia="zh-CN"/>
        </w:rPr>
        <w:t>5</w:t>
      </w:r>
      <w:r>
        <w:rPr>
          <w:rFonts w:hint="eastAsia" w:ascii="宋体" w:hAnsi="宋体" w:cs="宋体"/>
          <w:sz w:val="24"/>
          <w:u w:val="single"/>
          <w:shd w:val="clear" w:color="auto"/>
        </w:rPr>
        <w:t>年1月</w:t>
      </w:r>
      <w:r>
        <w:rPr>
          <w:rFonts w:hint="eastAsia" w:ascii="宋体" w:hAnsi="宋体" w:cs="宋体"/>
          <w:sz w:val="24"/>
          <w:u w:val="single"/>
          <w:shd w:val="clear" w:color="auto"/>
          <w:lang w:val="en-US" w:eastAsia="zh-CN"/>
        </w:rPr>
        <w:t>6</w:t>
      </w:r>
      <w:r>
        <w:rPr>
          <w:rFonts w:hint="eastAsia" w:ascii="宋体" w:hAnsi="宋体" w:cs="宋体"/>
          <w:sz w:val="24"/>
          <w:u w:val="single"/>
          <w:shd w:val="clear" w:color="auto"/>
        </w:rPr>
        <w:t>日</w:t>
      </w:r>
      <w:r>
        <w:rPr>
          <w:rFonts w:hint="eastAsia" w:ascii="宋体" w:hAnsi="宋体" w:cs="宋体"/>
          <w:sz w:val="24"/>
          <w:u w:val="single"/>
          <w:shd w:val="clear" w:color="auto"/>
          <w:lang w:val="en-US" w:eastAsia="zh-CN"/>
        </w:rPr>
        <w:t>09</w:t>
      </w:r>
      <w:r>
        <w:rPr>
          <w:rFonts w:hint="eastAsia" w:ascii="宋体" w:hAnsi="宋体" w:cs="宋体"/>
          <w:sz w:val="24"/>
          <w:u w:val="single"/>
          <w:shd w:val="clear" w:color="auto"/>
        </w:rPr>
        <w:t>点</w:t>
      </w:r>
      <w:r>
        <w:rPr>
          <w:rFonts w:hint="eastAsia" w:ascii="宋体" w:hAnsi="宋体" w:cs="宋体"/>
          <w:sz w:val="24"/>
          <w:u w:val="single"/>
          <w:shd w:val="clear" w:color="auto"/>
          <w:lang w:val="en-US" w:eastAsia="zh-CN"/>
        </w:rPr>
        <w:t>30</w:t>
      </w:r>
      <w:r>
        <w:rPr>
          <w:rFonts w:hint="eastAsia" w:ascii="宋体" w:hAnsi="宋体" w:cs="宋体"/>
          <w:sz w:val="24"/>
          <w:u w:val="single"/>
          <w:shd w:val="clear" w:color="auto"/>
        </w:rPr>
        <w:t>分</w:t>
      </w:r>
      <w:r>
        <w:rPr>
          <w:rFonts w:hint="eastAsia" w:ascii="宋体" w:hAnsi="宋体" w:cs="宋体"/>
          <w:bCs/>
          <w:sz w:val="24"/>
          <w:u w:val="single"/>
          <w:shd w:val="clear" w:color="auto"/>
        </w:rPr>
        <w:t>00秒</w:t>
      </w:r>
      <w:r>
        <w:rPr>
          <w:rFonts w:hint="eastAsia" w:ascii="宋体" w:hAnsi="宋体" w:cs="宋体"/>
          <w:bCs/>
          <w:sz w:val="24"/>
          <w:u w:val="single"/>
          <w:shd w:val="clear" w:color="auto" w:fill="FF0000"/>
        </w:rPr>
        <w:fldChar w:fldCharType="end"/>
      </w:r>
      <w:r>
        <w:rPr>
          <w:rFonts w:hint="eastAsia" w:ascii="宋体" w:hAnsi="宋体" w:cs="宋体"/>
          <w:bCs/>
          <w:sz w:val="24"/>
        </w:rPr>
        <w:t>（北京时间）前</w:t>
      </w:r>
      <w:r>
        <w:rPr>
          <w:rFonts w:hint="eastAsia" w:ascii="宋体" w:hAnsi="宋体" w:cs="宋体"/>
          <w:sz w:val="24"/>
        </w:rPr>
        <w:t>递交（上传）响应文件。</w:t>
      </w:r>
    </w:p>
    <w:p w14:paraId="0DE3EB00">
      <w:pPr>
        <w:spacing w:line="360" w:lineRule="auto"/>
        <w:rPr>
          <w:rFonts w:hint="eastAsia" w:ascii="宋体" w:hAnsi="宋体" w:cs="宋体"/>
          <w:b/>
          <w:sz w:val="24"/>
        </w:rPr>
      </w:pPr>
      <w:r>
        <w:rPr>
          <w:rFonts w:hint="eastAsia" w:ascii="宋体" w:hAnsi="宋体" w:cs="宋体"/>
          <w:b/>
          <w:sz w:val="24"/>
        </w:rPr>
        <w:t xml:space="preserve">一、项目基本情况                                            </w:t>
      </w:r>
    </w:p>
    <w:p w14:paraId="7BBB2A26">
      <w:pPr>
        <w:shd w:val="clear" w:color="auto"/>
        <w:spacing w:line="360" w:lineRule="auto"/>
        <w:ind w:firstLine="422" w:firstLineChars="175"/>
        <w:rPr>
          <w:rFonts w:hint="eastAsia" w:ascii="宋体" w:hAnsi="宋体" w:cs="宋体"/>
          <w:sz w:val="24"/>
        </w:rPr>
      </w:pPr>
      <w:r>
        <w:rPr>
          <w:rFonts w:hint="eastAsia" w:ascii="宋体" w:hAnsi="宋体" w:cs="宋体"/>
          <w:b/>
          <w:sz w:val="24"/>
        </w:rPr>
        <w:t>交易编号：</w:t>
      </w:r>
      <w:r>
        <w:rPr>
          <w:rFonts w:hint="eastAsia" w:ascii="宋体" w:hAnsi="宋体" w:cs="宋体"/>
          <w:b w:val="0"/>
          <w:bCs/>
          <w:sz w:val="24"/>
        </w:rPr>
        <w:t>ZJZCJT-2024014</w:t>
      </w:r>
    </w:p>
    <w:p w14:paraId="564CFB20">
      <w:pPr>
        <w:spacing w:line="360" w:lineRule="auto"/>
        <w:ind w:firstLine="422" w:firstLineChars="175"/>
        <w:rPr>
          <w:rFonts w:hint="eastAsia" w:ascii="宋体" w:hAnsi="宋体" w:cs="宋体"/>
          <w:sz w:val="24"/>
        </w:rPr>
      </w:pPr>
      <w:r>
        <w:rPr>
          <w:rFonts w:hint="eastAsia" w:ascii="宋体" w:hAnsi="宋体" w:cs="宋体"/>
          <w:b/>
          <w:sz w:val="24"/>
        </w:rPr>
        <w:t>项目名称：</w:t>
      </w:r>
      <w:r>
        <w:rPr>
          <w:rFonts w:hint="eastAsia" w:ascii="宋体" w:hAnsi="宋体" w:cs="宋体"/>
          <w:bCs/>
          <w:kern w:val="0"/>
          <w:sz w:val="24"/>
        </w:rPr>
        <w:t>机场高速公司机电维保服务采购项目</w:t>
      </w:r>
    </w:p>
    <w:p w14:paraId="624AD643">
      <w:pPr>
        <w:shd w:val="clear" w:color="auto"/>
        <w:spacing w:line="360" w:lineRule="auto"/>
        <w:ind w:firstLine="422" w:firstLineChars="175"/>
        <w:rPr>
          <w:rFonts w:hint="eastAsia" w:ascii="宋体" w:hAnsi="宋体" w:cs="宋体"/>
          <w:b/>
          <w:sz w:val="24"/>
        </w:rPr>
      </w:pPr>
      <w:r>
        <w:rPr>
          <w:rFonts w:hint="eastAsia" w:ascii="宋体" w:hAnsi="宋体" w:cs="宋体"/>
          <w:b/>
          <w:sz w:val="24"/>
          <w:shd w:val="clear"/>
        </w:rPr>
        <w:t>最高限价（元）：</w:t>
      </w:r>
      <w:r>
        <w:rPr>
          <w:rFonts w:hint="eastAsia" w:ascii="宋体" w:hAnsi="宋体" w:cs="宋体"/>
          <w:bCs/>
          <w:sz w:val="24"/>
          <w:shd w:val="clear"/>
        </w:rPr>
        <w:t>93.3万元</w:t>
      </w:r>
    </w:p>
    <w:p w14:paraId="6C0AA7CC">
      <w:pPr>
        <w:spacing w:line="360" w:lineRule="auto"/>
        <w:ind w:firstLine="422" w:firstLineChars="175"/>
        <w:rPr>
          <w:rFonts w:hint="eastAsia" w:ascii="宋体" w:hAnsi="宋体" w:cs="宋体"/>
          <w:b/>
          <w:sz w:val="24"/>
        </w:rPr>
      </w:pPr>
      <w:r>
        <w:rPr>
          <w:rFonts w:hint="eastAsia" w:ascii="宋体" w:hAnsi="宋体" w:cs="宋体"/>
          <w:b/>
          <w:sz w:val="24"/>
        </w:rPr>
        <w:t>采购需求：</w:t>
      </w:r>
    </w:p>
    <w:p w14:paraId="6FD426AE">
      <w:pPr>
        <w:tabs>
          <w:tab w:val="left" w:pos="0"/>
        </w:tabs>
        <w:spacing w:line="360" w:lineRule="auto"/>
        <w:ind w:firstLine="420" w:firstLineChars="175"/>
        <w:jc w:val="left"/>
        <w:rPr>
          <w:rFonts w:hint="eastAsia" w:ascii="宋体" w:hAnsi="宋体" w:cs="宋体"/>
          <w:sz w:val="24"/>
          <w:szCs w:val="28"/>
        </w:rPr>
      </w:pPr>
      <w:r>
        <w:rPr>
          <w:rFonts w:hint="eastAsia" w:ascii="宋体" w:hAnsi="宋体" w:cs="宋体"/>
          <w:sz w:val="24"/>
        </w:rPr>
        <w:t>标项名称：</w:t>
      </w:r>
      <w:r>
        <w:rPr>
          <w:rFonts w:hint="eastAsia" w:ascii="宋体" w:hAnsi="宋体" w:cs="宋体"/>
          <w:bCs/>
          <w:kern w:val="0"/>
          <w:sz w:val="24"/>
        </w:rPr>
        <w:t>机场高速公司机电维保服务采购项目</w:t>
      </w:r>
    </w:p>
    <w:p w14:paraId="38DCDEDE">
      <w:pPr>
        <w:spacing w:line="360" w:lineRule="auto"/>
        <w:ind w:left="420" w:leftChars="200"/>
        <w:jc w:val="left"/>
        <w:rPr>
          <w:rFonts w:hint="eastAsia" w:ascii="宋体" w:hAnsi="宋体" w:cs="宋体"/>
          <w:sz w:val="24"/>
        </w:rPr>
      </w:pPr>
      <w:r>
        <w:rPr>
          <w:rFonts w:hint="eastAsia" w:ascii="宋体" w:hAnsi="宋体" w:cs="宋体"/>
          <w:sz w:val="24"/>
        </w:rPr>
        <w:t>简要规格描述或项目基本概况介绍、用途：详见交易文件</w:t>
      </w:r>
    </w:p>
    <w:p w14:paraId="0C5EB5A8">
      <w:pPr>
        <w:pStyle w:val="1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 xml:space="preserve">备注： </w:t>
      </w:r>
    </w:p>
    <w:p w14:paraId="286B9AB1">
      <w:pPr>
        <w:spacing w:line="360" w:lineRule="auto"/>
        <w:ind w:left="420" w:leftChars="200"/>
        <w:jc w:val="left"/>
        <w:rPr>
          <w:rFonts w:hint="eastAsia" w:ascii="宋体" w:hAnsi="宋体" w:cs="宋体"/>
          <w:b/>
          <w:sz w:val="24"/>
        </w:rPr>
      </w:pPr>
      <w:r>
        <w:rPr>
          <w:rFonts w:hint="eastAsia" w:ascii="宋体" w:hAnsi="宋体" w:cs="宋体"/>
          <w:b/>
          <w:sz w:val="24"/>
        </w:rPr>
        <w:t>合同履约期限：</w:t>
      </w:r>
      <w:r>
        <w:rPr>
          <w:rFonts w:hint="eastAsia" w:ascii="宋体" w:hAnsi="宋体" w:cs="宋体"/>
          <w:sz w:val="24"/>
          <w:szCs w:val="28"/>
        </w:rPr>
        <w:t>详见交易文件</w:t>
      </w:r>
    </w:p>
    <w:p w14:paraId="431A35AB">
      <w:pPr>
        <w:spacing w:line="360" w:lineRule="auto"/>
        <w:ind w:firstLine="480"/>
        <w:rPr>
          <w:rFonts w:hint="eastAsia" w:ascii="宋体" w:hAnsi="宋体" w:cs="宋体"/>
          <w:b/>
          <w:sz w:val="24"/>
        </w:rPr>
      </w:pPr>
      <w:r>
        <w:rPr>
          <w:rFonts w:hint="eastAsia" w:ascii="宋体" w:hAnsi="宋体" w:cs="宋体"/>
          <w:b/>
          <w:sz w:val="24"/>
        </w:rPr>
        <w:t xml:space="preserve">本项目接受联合体响应：（ ）是；（√）否 </w:t>
      </w:r>
      <w:r>
        <w:rPr>
          <w:rFonts w:hint="eastAsia" w:ascii="宋体" w:hAnsi="宋体" w:cs="宋体"/>
          <w:kern w:val="0"/>
          <w:sz w:val="24"/>
        </w:rPr>
        <w:t>。</w:t>
      </w:r>
    </w:p>
    <w:p w14:paraId="5F89B1E4">
      <w:pPr>
        <w:spacing w:line="360" w:lineRule="auto"/>
        <w:rPr>
          <w:rFonts w:hint="eastAsia" w:ascii="宋体" w:hAnsi="宋体" w:cs="宋体"/>
          <w:b/>
          <w:sz w:val="24"/>
        </w:rPr>
      </w:pPr>
      <w:r>
        <w:rPr>
          <w:rFonts w:hint="eastAsia" w:ascii="宋体" w:hAnsi="宋体" w:cs="宋体"/>
          <w:b/>
          <w:sz w:val="24"/>
        </w:rPr>
        <w:t>二、申请人的资格要求：</w:t>
      </w:r>
    </w:p>
    <w:p w14:paraId="3A810067">
      <w:pPr>
        <w:spacing w:line="360" w:lineRule="auto"/>
        <w:rPr>
          <w:rFonts w:hint="eastAsia" w:ascii="宋体" w:hAnsi="宋体" w:cs="宋体"/>
          <w:kern w:val="0"/>
          <w:sz w:val="24"/>
        </w:rPr>
      </w:pPr>
      <w:r>
        <w:rPr>
          <w:rFonts w:hint="eastAsia" w:ascii="宋体" w:hAnsi="宋体" w:cs="宋体"/>
          <w:kern w:val="0"/>
          <w:sz w:val="24"/>
        </w:rPr>
        <w:t>（一）具备以下条件：</w:t>
      </w:r>
    </w:p>
    <w:p w14:paraId="01277326">
      <w:pPr>
        <w:spacing w:line="360" w:lineRule="auto"/>
        <w:rPr>
          <w:rFonts w:hint="eastAsia" w:ascii="宋体" w:hAnsi="宋体" w:cs="宋体"/>
          <w:kern w:val="0"/>
          <w:sz w:val="24"/>
        </w:rPr>
      </w:pPr>
      <w:r>
        <w:rPr>
          <w:rFonts w:hint="eastAsia" w:ascii="宋体" w:hAnsi="宋体" w:cs="宋体"/>
          <w:kern w:val="0"/>
          <w:sz w:val="24"/>
        </w:rPr>
        <w:t>1、具有独立承担民事责任的能力；</w:t>
      </w:r>
    </w:p>
    <w:p w14:paraId="109AB0FD">
      <w:pPr>
        <w:spacing w:line="360" w:lineRule="auto"/>
        <w:rPr>
          <w:rFonts w:hint="eastAsia" w:ascii="宋体" w:hAnsi="宋体" w:cs="宋体"/>
          <w:kern w:val="0"/>
          <w:sz w:val="24"/>
        </w:rPr>
      </w:pPr>
      <w:r>
        <w:rPr>
          <w:rFonts w:hint="eastAsia" w:ascii="宋体" w:hAnsi="宋体" w:cs="宋体"/>
          <w:kern w:val="0"/>
          <w:sz w:val="24"/>
        </w:rPr>
        <w:t xml:space="preserve">2、具有良好的商业信誉和健全的财务会计制度； </w:t>
      </w:r>
    </w:p>
    <w:p w14:paraId="35E63FA3">
      <w:pPr>
        <w:spacing w:line="360" w:lineRule="auto"/>
        <w:rPr>
          <w:rFonts w:hint="eastAsia" w:ascii="宋体" w:hAnsi="宋体" w:cs="宋体"/>
          <w:kern w:val="0"/>
          <w:sz w:val="24"/>
        </w:rPr>
      </w:pPr>
      <w:r>
        <w:rPr>
          <w:rFonts w:hint="eastAsia" w:ascii="宋体" w:hAnsi="宋体" w:cs="宋体"/>
          <w:kern w:val="0"/>
          <w:sz w:val="24"/>
        </w:rPr>
        <w:t>3、具有履行合同所必需的设备和专业技术能力；</w:t>
      </w:r>
    </w:p>
    <w:p w14:paraId="7BA5A128">
      <w:pPr>
        <w:spacing w:line="360" w:lineRule="auto"/>
        <w:rPr>
          <w:rFonts w:hint="eastAsia" w:ascii="宋体" w:hAnsi="宋体" w:cs="宋体"/>
          <w:kern w:val="0"/>
          <w:sz w:val="24"/>
        </w:rPr>
      </w:pPr>
      <w:r>
        <w:rPr>
          <w:rFonts w:hint="eastAsia" w:ascii="宋体" w:hAnsi="宋体" w:cs="宋体"/>
          <w:kern w:val="0"/>
          <w:sz w:val="24"/>
        </w:rPr>
        <w:t>4、有依法缴纳税收和社会保障资金的良好记录；</w:t>
      </w:r>
    </w:p>
    <w:p w14:paraId="39A9D0E7">
      <w:pPr>
        <w:spacing w:line="360" w:lineRule="auto"/>
        <w:rPr>
          <w:rFonts w:hint="eastAsia" w:ascii="宋体" w:hAnsi="宋体" w:cs="宋体"/>
          <w:kern w:val="0"/>
          <w:sz w:val="24"/>
        </w:rPr>
      </w:pPr>
      <w:r>
        <w:rPr>
          <w:rFonts w:hint="eastAsia" w:ascii="宋体" w:hAnsi="宋体" w:cs="宋体"/>
          <w:kern w:val="0"/>
          <w:sz w:val="24"/>
        </w:rPr>
        <w:t>5、参加采购活动前三年内，在经营活动中没有重大违法记录。</w:t>
      </w:r>
    </w:p>
    <w:p w14:paraId="5F2D9385">
      <w:pPr>
        <w:spacing w:line="360" w:lineRule="auto"/>
        <w:rPr>
          <w:rFonts w:hint="eastAsia" w:ascii="宋体" w:hAnsi="宋体" w:cs="宋体"/>
          <w:kern w:val="0"/>
          <w:sz w:val="24"/>
        </w:rPr>
      </w:pPr>
      <w:r>
        <w:rPr>
          <w:rFonts w:hint="eastAsia" w:ascii="宋体" w:hAnsi="宋体" w:cs="宋体"/>
          <w:kern w:val="0"/>
          <w:sz w:val="24"/>
        </w:rPr>
        <w:t>6、具有法律、行政法规规定的其他条件。</w:t>
      </w:r>
    </w:p>
    <w:p w14:paraId="473F762C">
      <w:pPr>
        <w:spacing w:line="360" w:lineRule="auto"/>
        <w:rPr>
          <w:rFonts w:hint="eastAsia"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14:paraId="7AE8CDD5">
      <w:pPr>
        <w:spacing w:line="360" w:lineRule="auto"/>
        <w:rPr>
          <w:rFonts w:hint="eastAsia" w:ascii="宋体" w:hAnsi="宋体" w:cs="宋体"/>
          <w:kern w:val="0"/>
          <w:sz w:val="24"/>
        </w:rPr>
      </w:pPr>
      <w:r>
        <w:rPr>
          <w:rFonts w:hint="eastAsia" w:ascii="宋体" w:hAnsi="宋体" w:cs="宋体"/>
          <w:kern w:val="0"/>
          <w:sz w:val="24"/>
          <w:lang w:val="en-US" w:eastAsia="zh-CN"/>
        </w:rPr>
        <w:t>(三）</w:t>
      </w:r>
      <w:r>
        <w:rPr>
          <w:rFonts w:hint="eastAsia" w:ascii="宋体" w:hAnsi="宋体" w:cs="宋体"/>
          <w:kern w:val="0"/>
          <w:sz w:val="24"/>
        </w:rPr>
        <w:t>落实政府采购政策需满足的资格要求：无；</w:t>
      </w:r>
    </w:p>
    <w:p w14:paraId="5F9E29DE">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（四）本项目的特定资格要求：响应人具有公路交通工程（公路机电工程）专业承包一级资质（且在有效期内的）；</w:t>
      </w:r>
    </w:p>
    <w:p w14:paraId="51B91FE2">
      <w:pPr>
        <w:spacing w:line="360" w:lineRule="auto"/>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091311">
      <w:pPr>
        <w:spacing w:line="360" w:lineRule="auto"/>
        <w:rPr>
          <w:rFonts w:hint="eastAsia" w:ascii="宋体" w:hAnsi="宋体" w:cs="宋体"/>
          <w:b/>
          <w:sz w:val="24"/>
        </w:rPr>
      </w:pPr>
      <w:r>
        <w:rPr>
          <w:rFonts w:hint="eastAsia" w:ascii="宋体" w:hAnsi="宋体" w:cs="宋体"/>
          <w:b/>
          <w:sz w:val="24"/>
        </w:rPr>
        <w:t xml:space="preserve">三、获取交易文件 </w:t>
      </w:r>
    </w:p>
    <w:p w14:paraId="652D5794">
      <w:pPr>
        <w:shd w:val="clea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sz w:val="24"/>
          <w:shd w:val="clear" w:color="auto"/>
        </w:rPr>
        <w:t>至</w:t>
      </w:r>
      <w:r>
        <w:rPr>
          <w:rFonts w:hint="eastAsia" w:ascii="宋体" w:hAnsi="宋体" w:cs="宋体"/>
          <w:sz w:val="24"/>
          <w:u w:val="single"/>
          <w:shd w:val="clear" w:color="auto"/>
        </w:rPr>
        <w:t>202</w:t>
      </w:r>
      <w:r>
        <w:rPr>
          <w:rFonts w:hint="eastAsia" w:ascii="宋体" w:hAnsi="宋体" w:cs="宋体"/>
          <w:sz w:val="24"/>
          <w:u w:val="single"/>
          <w:shd w:val="clear" w:color="auto"/>
          <w:lang w:val="en-US" w:eastAsia="zh-CN"/>
        </w:rPr>
        <w:t>5</w:t>
      </w:r>
      <w:r>
        <w:rPr>
          <w:rFonts w:hint="eastAsia" w:ascii="宋体" w:hAnsi="宋体" w:cs="宋体"/>
          <w:sz w:val="24"/>
          <w:u w:val="single"/>
          <w:shd w:val="clear" w:color="auto"/>
        </w:rPr>
        <w:t>年1月</w:t>
      </w:r>
      <w:r>
        <w:rPr>
          <w:rFonts w:hint="eastAsia" w:ascii="宋体" w:hAnsi="宋体" w:cs="宋体"/>
          <w:sz w:val="24"/>
          <w:u w:val="single"/>
          <w:shd w:val="clear" w:color="auto"/>
          <w:lang w:val="en-US" w:eastAsia="zh-CN"/>
        </w:rPr>
        <w:t>6</w:t>
      </w:r>
      <w:r>
        <w:rPr>
          <w:rFonts w:hint="eastAsia" w:ascii="宋体" w:hAnsi="宋体" w:cs="宋体"/>
          <w:sz w:val="24"/>
          <w:u w:val="single"/>
          <w:shd w:val="clear" w:color="auto"/>
        </w:rPr>
        <w:t>日</w:t>
      </w:r>
      <w:r>
        <w:rPr>
          <w:rFonts w:hint="eastAsia" w:ascii="宋体" w:hAnsi="宋体" w:cs="宋体"/>
          <w:sz w:val="24"/>
        </w:rPr>
        <w:t>，每天上午00:00至12:00，下午12:00至23:59（北京时间，线上获取法定节假日均可，线下获取文件法定节假日除外）</w:t>
      </w:r>
    </w:p>
    <w:p w14:paraId="1785B1E5">
      <w:pPr>
        <w:shd w:val="clea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萧采云平台（https://xsnbsc.lecaiyun.com/） </w:t>
      </w:r>
    </w:p>
    <w:p w14:paraId="7F064B98">
      <w:pPr>
        <w:shd w:val="clea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供应商登录萧采云平台（https://xsnbsc.lecaiyun.com/）在线申请获取采购文件（进入“项目采购”应用，在获取采购文件菜单中选择项目，申请获取采购文件）。 </w:t>
      </w:r>
    </w:p>
    <w:p w14:paraId="2F8F0945">
      <w:pPr>
        <w:shd w:val="clea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D636A12">
      <w:pPr>
        <w:shd w:val="clear"/>
        <w:spacing w:line="360" w:lineRule="auto"/>
        <w:rPr>
          <w:rFonts w:hint="eastAsia" w:ascii="宋体" w:hAnsi="宋体" w:cs="宋体"/>
          <w:b/>
          <w:sz w:val="24"/>
        </w:rPr>
      </w:pPr>
      <w:r>
        <w:rPr>
          <w:rFonts w:hint="eastAsia" w:ascii="宋体" w:hAnsi="宋体" w:cs="宋体"/>
          <w:b/>
          <w:sz w:val="24"/>
        </w:rPr>
        <w:t>四、提交响应文件截止时间、交易时间和地点</w:t>
      </w:r>
    </w:p>
    <w:p w14:paraId="09E8EB64">
      <w:pPr>
        <w:shd w:val="clear"/>
        <w:spacing w:line="360" w:lineRule="auto"/>
        <w:ind w:firstLine="482" w:firstLineChars="200"/>
        <w:rPr>
          <w:rFonts w:hint="eastAsia" w:ascii="宋体" w:hAnsi="宋体" w:cs="宋体"/>
          <w:sz w:val="24"/>
        </w:rPr>
      </w:pPr>
      <w:r>
        <w:rPr>
          <w:rFonts w:hint="eastAsia" w:ascii="宋体" w:hAnsi="宋体" w:cs="宋体"/>
          <w:b/>
          <w:sz w:val="24"/>
        </w:rPr>
        <w:t>提交响应文件截止时间：</w:t>
      </w:r>
      <w:r>
        <w:rPr>
          <w:rFonts w:hint="eastAsia" w:ascii="宋体" w:hAnsi="宋体" w:cs="宋体"/>
          <w:sz w:val="24"/>
          <w:u w:val="single"/>
          <w:shd w:val="clear" w:color="auto"/>
        </w:rPr>
        <w:t>202</w:t>
      </w:r>
      <w:r>
        <w:rPr>
          <w:rFonts w:hint="eastAsia" w:ascii="宋体" w:hAnsi="宋体" w:cs="宋体"/>
          <w:sz w:val="24"/>
          <w:u w:val="single"/>
          <w:shd w:val="clear" w:color="auto"/>
          <w:lang w:val="en-US" w:eastAsia="zh-CN"/>
        </w:rPr>
        <w:t>5</w:t>
      </w:r>
      <w:r>
        <w:rPr>
          <w:rFonts w:hint="eastAsia" w:ascii="宋体" w:hAnsi="宋体" w:cs="宋体"/>
          <w:sz w:val="24"/>
          <w:u w:val="single"/>
          <w:shd w:val="clear" w:color="auto"/>
        </w:rPr>
        <w:t>年1月</w:t>
      </w:r>
      <w:r>
        <w:rPr>
          <w:rFonts w:hint="eastAsia" w:ascii="宋体" w:hAnsi="宋体" w:cs="宋体"/>
          <w:sz w:val="24"/>
          <w:u w:val="single"/>
          <w:shd w:val="clear" w:color="auto"/>
          <w:lang w:val="en-US" w:eastAsia="zh-CN"/>
        </w:rPr>
        <w:t>6</w:t>
      </w:r>
      <w:r>
        <w:rPr>
          <w:rFonts w:hint="eastAsia" w:ascii="宋体" w:hAnsi="宋体" w:cs="宋体"/>
          <w:sz w:val="24"/>
          <w:u w:val="single"/>
          <w:shd w:val="clear" w:color="auto"/>
        </w:rPr>
        <w:t>日</w:t>
      </w:r>
      <w:r>
        <w:rPr>
          <w:rFonts w:hint="eastAsia" w:ascii="宋体" w:hAnsi="宋体" w:cs="宋体"/>
          <w:sz w:val="24"/>
          <w:u w:val="single"/>
          <w:shd w:val="clear" w:color="auto"/>
          <w:lang w:val="en-US" w:eastAsia="zh-CN"/>
        </w:rPr>
        <w:t>09</w:t>
      </w:r>
      <w:r>
        <w:rPr>
          <w:rFonts w:hint="eastAsia" w:ascii="宋体" w:hAnsi="宋体" w:cs="宋体"/>
          <w:sz w:val="24"/>
          <w:u w:val="single"/>
          <w:shd w:val="clear" w:color="auto"/>
        </w:rPr>
        <w:t>点</w:t>
      </w:r>
      <w:r>
        <w:rPr>
          <w:rFonts w:hint="eastAsia" w:ascii="宋体" w:hAnsi="宋体" w:cs="宋体"/>
          <w:sz w:val="24"/>
          <w:u w:val="single"/>
          <w:shd w:val="clear" w:color="auto"/>
          <w:lang w:val="en-US" w:eastAsia="zh-CN"/>
        </w:rPr>
        <w:t>30</w:t>
      </w:r>
      <w:r>
        <w:rPr>
          <w:rFonts w:hint="eastAsia" w:ascii="宋体" w:hAnsi="宋体" w:cs="宋体"/>
          <w:sz w:val="24"/>
          <w:u w:val="single"/>
          <w:shd w:val="clear" w:color="auto"/>
        </w:rPr>
        <w:t>分</w:t>
      </w:r>
      <w:r>
        <w:rPr>
          <w:rFonts w:hint="eastAsia" w:ascii="宋体" w:hAnsi="宋体" w:cs="宋体"/>
          <w:sz w:val="24"/>
        </w:rPr>
        <w:t>（北京时间）</w:t>
      </w:r>
    </w:p>
    <w:p w14:paraId="479B0D4E">
      <w:pPr>
        <w:shd w:val="clear"/>
        <w:spacing w:line="360" w:lineRule="auto"/>
        <w:ind w:firstLine="482" w:firstLineChars="200"/>
        <w:rPr>
          <w:rFonts w:hint="eastAsia" w:ascii="宋体" w:hAnsi="宋体" w:cs="宋体"/>
          <w:b/>
          <w:sz w:val="24"/>
        </w:rPr>
      </w:pPr>
      <w:r>
        <w:rPr>
          <w:rFonts w:hint="eastAsia" w:ascii="宋体" w:hAnsi="宋体" w:cs="宋体"/>
          <w:b/>
          <w:sz w:val="24"/>
        </w:rPr>
        <w:t>交易地点（网址）：</w:t>
      </w:r>
      <w:r>
        <w:rPr>
          <w:rFonts w:hint="eastAsia" w:ascii="宋体" w:hAnsi="宋体" w:cs="宋体"/>
          <w:sz w:val="24"/>
        </w:rPr>
        <w:t>萧采云平台（https://xsnbsc.lecaiyun.com/）</w:t>
      </w:r>
    </w:p>
    <w:p w14:paraId="225A4919">
      <w:pPr>
        <w:shd w:val="clear"/>
        <w:spacing w:line="360" w:lineRule="auto"/>
        <w:ind w:firstLine="482" w:firstLineChars="200"/>
        <w:rPr>
          <w:rFonts w:hint="eastAsia" w:ascii="宋体" w:hAnsi="宋体" w:cs="宋体"/>
          <w:bCs/>
          <w:sz w:val="24"/>
          <w:u w:val="single"/>
          <w:shd w:val="clear" w:color="auto"/>
        </w:rPr>
      </w:pPr>
      <w:r>
        <w:rPr>
          <w:rFonts w:hint="eastAsia" w:ascii="宋体" w:hAnsi="宋体" w:cs="宋体"/>
          <w:b/>
          <w:sz w:val="24"/>
        </w:rPr>
        <w:t>交易时间：</w:t>
      </w:r>
      <w:r>
        <w:rPr>
          <w:rFonts w:hint="eastAsia" w:ascii="宋体" w:hAnsi="宋体" w:cs="宋体"/>
          <w:sz w:val="24"/>
          <w:u w:val="single"/>
          <w:shd w:val="clear" w:color="auto"/>
        </w:rPr>
        <w:t>202</w:t>
      </w:r>
      <w:r>
        <w:rPr>
          <w:rFonts w:hint="eastAsia" w:ascii="宋体" w:hAnsi="宋体" w:cs="宋体"/>
          <w:sz w:val="24"/>
          <w:u w:val="single"/>
          <w:shd w:val="clear" w:color="auto"/>
          <w:lang w:val="en-US" w:eastAsia="zh-CN"/>
        </w:rPr>
        <w:t>5</w:t>
      </w:r>
      <w:r>
        <w:rPr>
          <w:rFonts w:hint="eastAsia" w:ascii="宋体" w:hAnsi="宋体" w:cs="宋体"/>
          <w:sz w:val="24"/>
          <w:u w:val="single"/>
          <w:shd w:val="clear" w:color="auto"/>
        </w:rPr>
        <w:t>年1月</w:t>
      </w:r>
      <w:r>
        <w:rPr>
          <w:rFonts w:hint="eastAsia" w:ascii="宋体" w:hAnsi="宋体" w:cs="宋体"/>
          <w:sz w:val="24"/>
          <w:u w:val="single"/>
          <w:shd w:val="clear" w:color="auto"/>
          <w:lang w:val="en-US" w:eastAsia="zh-CN"/>
        </w:rPr>
        <w:t>6</w:t>
      </w:r>
      <w:r>
        <w:rPr>
          <w:rFonts w:hint="eastAsia" w:ascii="宋体" w:hAnsi="宋体" w:cs="宋体"/>
          <w:sz w:val="24"/>
          <w:u w:val="single"/>
          <w:shd w:val="clear" w:color="auto"/>
        </w:rPr>
        <w:t>日</w:t>
      </w:r>
      <w:r>
        <w:rPr>
          <w:rFonts w:hint="eastAsia" w:ascii="宋体" w:hAnsi="宋体" w:cs="宋体"/>
          <w:sz w:val="24"/>
          <w:u w:val="single"/>
          <w:shd w:val="clear" w:color="auto"/>
          <w:lang w:val="en-US" w:eastAsia="zh-CN"/>
        </w:rPr>
        <w:t>09</w:t>
      </w:r>
      <w:r>
        <w:rPr>
          <w:rFonts w:hint="eastAsia" w:ascii="宋体" w:hAnsi="宋体" w:cs="宋体"/>
          <w:sz w:val="24"/>
          <w:u w:val="single"/>
          <w:shd w:val="clear" w:color="auto"/>
        </w:rPr>
        <w:t>时</w:t>
      </w:r>
      <w:r>
        <w:rPr>
          <w:rFonts w:hint="eastAsia" w:ascii="宋体" w:hAnsi="宋体" w:cs="宋体"/>
          <w:sz w:val="24"/>
          <w:u w:val="single"/>
          <w:shd w:val="clear" w:color="auto"/>
          <w:lang w:val="en-US" w:eastAsia="zh-CN"/>
        </w:rPr>
        <w:t>30</w:t>
      </w:r>
      <w:r>
        <w:rPr>
          <w:rFonts w:hint="eastAsia" w:ascii="宋体" w:hAnsi="宋体" w:cs="宋体"/>
          <w:sz w:val="24"/>
          <w:u w:val="single"/>
          <w:shd w:val="clear" w:color="auto"/>
        </w:rPr>
        <w:t>分</w:t>
      </w:r>
    </w:p>
    <w:p w14:paraId="7CB2FCCD">
      <w:pPr>
        <w:spacing w:line="360" w:lineRule="auto"/>
        <w:ind w:firstLine="482" w:firstLineChars="200"/>
        <w:rPr>
          <w:rFonts w:hint="eastAsia" w:ascii="宋体" w:hAnsi="宋体" w:cs="宋体"/>
          <w:sz w:val="24"/>
        </w:rPr>
      </w:pPr>
      <w:r>
        <w:rPr>
          <w:rFonts w:hint="eastAsia" w:ascii="宋体" w:hAnsi="宋体" w:cs="宋体"/>
          <w:b/>
          <w:sz w:val="24"/>
        </w:rPr>
        <w:t>交易地点（网址）：</w:t>
      </w:r>
      <w:r>
        <w:rPr>
          <w:rFonts w:hint="eastAsia" w:ascii="宋体" w:hAnsi="宋体" w:cs="宋体"/>
          <w:sz w:val="24"/>
        </w:rPr>
        <w:t>萧采云平台（https://xsnbsc.lecaiyun.com/）</w:t>
      </w:r>
      <w:r>
        <w:rPr>
          <w:rFonts w:hint="eastAsia" w:ascii="宋体" w:hAnsi="宋体" w:cs="宋体"/>
          <w:sz w:val="24"/>
          <w:szCs w:val="28"/>
        </w:rPr>
        <w:t>。</w:t>
      </w:r>
    </w:p>
    <w:p w14:paraId="79993191">
      <w:pPr>
        <w:spacing w:line="360" w:lineRule="auto"/>
        <w:rPr>
          <w:rFonts w:hint="eastAsia" w:ascii="宋体" w:hAnsi="宋体" w:cs="宋体"/>
          <w:sz w:val="24"/>
        </w:rPr>
      </w:pPr>
      <w:r>
        <w:rPr>
          <w:rFonts w:hint="eastAsia" w:ascii="宋体" w:hAnsi="宋体" w:cs="宋体"/>
          <w:b/>
          <w:sz w:val="24"/>
        </w:rPr>
        <w:t xml:space="preserve">五、公告期限 </w:t>
      </w:r>
    </w:p>
    <w:p w14:paraId="050F7380">
      <w:pPr>
        <w:spacing w:line="360" w:lineRule="auto"/>
        <w:ind w:firstLine="480" w:firstLineChars="200"/>
        <w:rPr>
          <w:rFonts w:hint="eastAsia" w:ascii="宋体" w:hAnsi="宋体" w:cs="宋体"/>
          <w:sz w:val="24"/>
        </w:rPr>
      </w:pPr>
      <w:r>
        <w:rPr>
          <w:rFonts w:hint="eastAsia" w:ascii="宋体" w:hAnsi="宋体" w:cs="宋体"/>
          <w:sz w:val="24"/>
        </w:rPr>
        <w:t>自本公告发布之日起3日。</w:t>
      </w:r>
    </w:p>
    <w:p w14:paraId="3CCEB7AA">
      <w:pPr>
        <w:spacing w:line="360" w:lineRule="auto"/>
        <w:rPr>
          <w:rFonts w:hint="eastAsia" w:ascii="宋体" w:hAnsi="宋体" w:cs="宋体"/>
          <w:b/>
          <w:sz w:val="24"/>
        </w:rPr>
      </w:pPr>
      <w:r>
        <w:rPr>
          <w:rFonts w:hint="eastAsia" w:ascii="宋体" w:hAnsi="宋体" w:cs="宋体"/>
          <w:b/>
          <w:sz w:val="24"/>
        </w:rPr>
        <w:t>六、其他补充事宜</w:t>
      </w:r>
    </w:p>
    <w:p w14:paraId="6168B724">
      <w:pPr>
        <w:spacing w:line="360" w:lineRule="auto"/>
        <w:ind w:firstLine="480" w:firstLineChars="200"/>
        <w:rPr>
          <w:rFonts w:hint="eastAsia" w:ascii="宋体" w:hAnsi="宋体" w:cs="宋体"/>
          <w:sz w:val="24"/>
        </w:rPr>
      </w:pPr>
      <w:r>
        <w:rPr>
          <w:rFonts w:hint="eastAsia" w:ascii="宋体" w:hAnsi="宋体" w:cs="宋体"/>
          <w:sz w:val="24"/>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政府采购监督管理部门投诉。质疑函范本、投诉书范本请到浙江政府采购网下载专区下载。</w:t>
      </w:r>
    </w:p>
    <w:p w14:paraId="0946DDBD">
      <w:pPr>
        <w:spacing w:line="360" w:lineRule="auto"/>
        <w:ind w:firstLine="480" w:firstLineChars="200"/>
        <w:rPr>
          <w:rFonts w:hint="eastAsia" w:ascii="宋体" w:hAnsi="宋体" w:cs="宋体"/>
          <w:sz w:val="24"/>
        </w:rPr>
      </w:pPr>
      <w:r>
        <w:rPr>
          <w:rFonts w:hint="eastAsia" w:ascii="宋体" w:hAnsi="宋体" w:cs="宋体"/>
          <w:sz w:val="24"/>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7EB54039">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0A6DBD20">
      <w:pPr>
        <w:widowControl/>
        <w:spacing w:line="360" w:lineRule="auto"/>
        <w:jc w:val="left"/>
        <w:rPr>
          <w:rFonts w:hint="eastAsia" w:ascii="宋体" w:hAnsi="宋体" w:cs="宋体"/>
          <w:sz w:val="24"/>
          <w:szCs w:val="28"/>
        </w:rPr>
      </w:pPr>
      <w:r>
        <w:rPr>
          <w:rFonts w:hint="eastAsia" w:ascii="宋体" w:hAnsi="宋体" w:cs="宋体"/>
          <w:sz w:val="24"/>
          <w:szCs w:val="28"/>
        </w:rPr>
        <w:t>1.采购人信息</w:t>
      </w:r>
    </w:p>
    <w:p w14:paraId="2EFD3630">
      <w:pPr>
        <w:spacing w:line="360" w:lineRule="auto"/>
        <w:jc w:val="left"/>
        <w:rPr>
          <w:rFonts w:hint="eastAsia" w:ascii="宋体" w:hAnsi="宋体" w:cs="Arial"/>
          <w:kern w:val="0"/>
          <w:sz w:val="24"/>
        </w:rPr>
      </w:pPr>
      <w:r>
        <w:rPr>
          <w:rFonts w:hint="eastAsia" w:ascii="宋体" w:hAnsi="宋体" w:cs="Arial"/>
          <w:kern w:val="0"/>
          <w:sz w:val="24"/>
        </w:rPr>
        <w:t>名 称：杭州萧山国际机场高速公路建设开发有限公司</w:t>
      </w:r>
    </w:p>
    <w:p w14:paraId="4314A6CE">
      <w:pPr>
        <w:spacing w:line="360" w:lineRule="auto"/>
        <w:jc w:val="left"/>
        <w:rPr>
          <w:rFonts w:hint="eastAsia" w:ascii="宋体" w:hAnsi="宋体" w:cs="Arial"/>
          <w:kern w:val="0"/>
          <w:sz w:val="24"/>
        </w:rPr>
      </w:pPr>
      <w:bookmarkStart w:id="11" w:name="_Toc28359009"/>
      <w:bookmarkStart w:id="12" w:name="_Toc28359086"/>
      <w:r>
        <w:rPr>
          <w:rFonts w:hint="eastAsia" w:ascii="宋体" w:hAnsi="宋体" w:cs="Arial"/>
          <w:kern w:val="0"/>
          <w:sz w:val="24"/>
        </w:rPr>
        <w:t>地址：杭州市萧山区瓜沥镇新港行政村坎红路收费站</w:t>
      </w:r>
    </w:p>
    <w:p w14:paraId="44F773E3">
      <w:pPr>
        <w:spacing w:line="360" w:lineRule="auto"/>
        <w:jc w:val="left"/>
        <w:rPr>
          <w:rFonts w:hint="eastAsia" w:ascii="宋体" w:hAnsi="宋体" w:cs="Arial"/>
          <w:kern w:val="0"/>
          <w:sz w:val="24"/>
          <w:lang w:val="en-US" w:eastAsia="zh-CN"/>
        </w:rPr>
      </w:pPr>
      <w:r>
        <w:rPr>
          <w:rFonts w:hint="eastAsia" w:ascii="宋体" w:hAnsi="宋体" w:cs="Arial"/>
          <w:kern w:val="0"/>
          <w:sz w:val="24"/>
        </w:rPr>
        <w:t>项目联系人：</w:t>
      </w:r>
      <w:r>
        <w:rPr>
          <w:rFonts w:hint="eastAsia" w:ascii="宋体" w:hAnsi="宋体" w:cs="Arial"/>
          <w:kern w:val="0"/>
          <w:sz w:val="24"/>
          <w:lang w:val="en-US" w:eastAsia="zh-CN"/>
        </w:rPr>
        <w:t>许振炯</w:t>
      </w:r>
    </w:p>
    <w:p w14:paraId="39EC3A3B">
      <w:pPr>
        <w:spacing w:line="360" w:lineRule="auto"/>
        <w:jc w:val="left"/>
        <w:rPr>
          <w:rFonts w:hint="default" w:ascii="宋体" w:hAnsi="宋体" w:eastAsia="宋体" w:cs="Arial"/>
          <w:kern w:val="0"/>
          <w:sz w:val="24"/>
          <w:lang w:val="en-US" w:eastAsia="zh-CN"/>
        </w:rPr>
      </w:pPr>
      <w:r>
        <w:rPr>
          <w:rFonts w:hint="eastAsia" w:ascii="宋体" w:hAnsi="宋体" w:cs="Arial"/>
          <w:kern w:val="0"/>
          <w:sz w:val="24"/>
        </w:rPr>
        <w:t>项目联系方式：1</w:t>
      </w:r>
      <w:r>
        <w:rPr>
          <w:rFonts w:hint="eastAsia" w:ascii="宋体" w:hAnsi="宋体" w:cs="Arial"/>
          <w:kern w:val="0"/>
          <w:sz w:val="24"/>
          <w:lang w:val="en-US" w:eastAsia="zh-CN"/>
        </w:rPr>
        <w:t>8058787755</w:t>
      </w:r>
    </w:p>
    <w:p w14:paraId="3682AB4C">
      <w:pPr>
        <w:spacing w:line="360" w:lineRule="auto"/>
        <w:jc w:val="left"/>
        <w:rPr>
          <w:rFonts w:hint="eastAsia" w:ascii="宋体" w:hAnsi="宋体" w:cs="Arial"/>
          <w:kern w:val="0"/>
          <w:sz w:val="24"/>
        </w:rPr>
      </w:pPr>
      <w:r>
        <w:rPr>
          <w:rFonts w:hint="eastAsia" w:ascii="宋体" w:hAnsi="宋体" w:cs="Arial"/>
          <w:kern w:val="0"/>
          <w:sz w:val="24"/>
        </w:rPr>
        <w:t>2.采购代理机构信息</w:t>
      </w:r>
      <w:bookmarkEnd w:id="11"/>
      <w:bookmarkEnd w:id="12"/>
    </w:p>
    <w:p w14:paraId="4DF24F7C">
      <w:pPr>
        <w:spacing w:line="360" w:lineRule="auto"/>
        <w:jc w:val="left"/>
        <w:rPr>
          <w:rFonts w:hint="eastAsia" w:ascii="宋体" w:hAnsi="宋体" w:cs="宋体"/>
          <w:sz w:val="24"/>
          <w:szCs w:val="28"/>
        </w:rPr>
      </w:pPr>
      <w:r>
        <w:rPr>
          <w:rFonts w:hint="eastAsia" w:ascii="宋体" w:hAnsi="宋体" w:cs="宋体"/>
          <w:sz w:val="24"/>
          <w:szCs w:val="28"/>
        </w:rPr>
        <w:t>名 称：浙江中诚工程管理科技有限公司</w:t>
      </w:r>
    </w:p>
    <w:p w14:paraId="63E02FD2">
      <w:pPr>
        <w:spacing w:line="360" w:lineRule="auto"/>
        <w:jc w:val="left"/>
        <w:rPr>
          <w:rFonts w:hint="eastAsia" w:ascii="宋体" w:hAnsi="宋体" w:cs="宋体"/>
          <w:sz w:val="24"/>
          <w:szCs w:val="28"/>
        </w:rPr>
      </w:pPr>
      <w:r>
        <w:rPr>
          <w:rFonts w:hint="eastAsia" w:ascii="宋体" w:hAnsi="宋体" w:cs="宋体"/>
          <w:sz w:val="24"/>
          <w:szCs w:val="28"/>
        </w:rPr>
        <w:t>地址：浙江省杭州市萧山区振宁路600号国丰大厦B座15F</w:t>
      </w:r>
    </w:p>
    <w:p w14:paraId="2A977B15">
      <w:pPr>
        <w:spacing w:line="360" w:lineRule="auto"/>
        <w:jc w:val="left"/>
        <w:rPr>
          <w:rFonts w:hint="eastAsia" w:ascii="宋体" w:hAnsi="宋体" w:cs="宋体"/>
          <w:sz w:val="24"/>
          <w:szCs w:val="28"/>
        </w:rPr>
      </w:pPr>
      <w:r>
        <w:rPr>
          <w:rFonts w:hint="eastAsia" w:ascii="宋体" w:hAnsi="宋体" w:cs="宋体"/>
          <w:sz w:val="24"/>
          <w:szCs w:val="28"/>
        </w:rPr>
        <w:t>传真：/</w:t>
      </w:r>
    </w:p>
    <w:p w14:paraId="1059AEC5">
      <w:pPr>
        <w:spacing w:line="360" w:lineRule="auto"/>
        <w:jc w:val="left"/>
        <w:rPr>
          <w:rFonts w:hint="eastAsia" w:ascii="宋体" w:hAnsi="宋体" w:cs="Arial"/>
          <w:kern w:val="0"/>
          <w:sz w:val="24"/>
        </w:rPr>
      </w:pPr>
      <w:r>
        <w:rPr>
          <w:rFonts w:hint="eastAsia" w:ascii="宋体" w:hAnsi="宋体" w:cs="宋体"/>
          <w:sz w:val="24"/>
          <w:szCs w:val="28"/>
        </w:rPr>
        <w:t>项目联系人（询问）：孔琪超</w:t>
      </w:r>
    </w:p>
    <w:p w14:paraId="5B9282BF">
      <w:pPr>
        <w:spacing w:line="360" w:lineRule="auto"/>
        <w:jc w:val="left"/>
        <w:rPr>
          <w:rFonts w:hint="eastAsia" w:ascii="宋体" w:hAnsi="宋体" w:cs="宋体"/>
          <w:sz w:val="24"/>
          <w:szCs w:val="28"/>
        </w:rPr>
      </w:pPr>
      <w:r>
        <w:rPr>
          <w:rFonts w:hint="eastAsia" w:ascii="宋体" w:hAnsi="宋体" w:cs="宋体"/>
          <w:sz w:val="24"/>
          <w:szCs w:val="28"/>
        </w:rPr>
        <w:t>项目联系方式（询问）：17706530097</w:t>
      </w:r>
    </w:p>
    <w:p w14:paraId="1EAEC8A8">
      <w:pPr>
        <w:spacing w:line="360" w:lineRule="auto"/>
        <w:rPr>
          <w:rFonts w:hint="eastAsia" w:ascii="宋体" w:hAnsi="宋体" w:cs="宋体"/>
          <w:sz w:val="24"/>
        </w:rPr>
      </w:pPr>
      <w:r>
        <w:rPr>
          <w:rFonts w:hint="eastAsia" w:ascii="宋体" w:hAnsi="宋体" w:cs="宋体"/>
          <w:sz w:val="24"/>
          <w:szCs w:val="28"/>
        </w:rPr>
        <w:t xml:space="preserve">    </w:t>
      </w:r>
    </w:p>
    <w:p w14:paraId="3254A4C2">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74416424">
      <w:pPr>
        <w:spacing w:line="360" w:lineRule="auto"/>
        <w:ind w:firstLine="480" w:firstLineChars="200"/>
        <w:rPr>
          <w:rFonts w:hint="eastAsia" w:hAnsi="宋体" w:cs="宋体"/>
          <w:sz w:val="24"/>
        </w:rPr>
      </w:pPr>
      <w:r>
        <w:rPr>
          <w:rFonts w:hint="eastAsia" w:ascii="宋体" w:hAnsi="宋体" w:cs="宋体"/>
          <w:sz w:val="24"/>
        </w:rPr>
        <w:t>CA问题联系电话（人工）：汇信CA 400-888-4636；天谷CA 400-087-8198。</w:t>
      </w:r>
      <w:r>
        <w:rPr>
          <w:rFonts w:hint="eastAsia" w:hAnsi="宋体" w:cs="宋体"/>
          <w:sz w:val="24"/>
        </w:rPr>
        <w:t xml:space="preserve">                              </w:t>
      </w:r>
    </w:p>
    <w:p w14:paraId="0BABA5BA">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供应商须知</w:t>
      </w:r>
      <w:bookmarkEnd w:id="9"/>
    </w:p>
    <w:p w14:paraId="530192BB">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2"/>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3B59B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66F8AE">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5F28DD">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10AF97A8">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16F8B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75A7AA">
            <w:pPr>
              <w:snapToGrid w:val="0"/>
              <w:spacing w:line="360" w:lineRule="auto"/>
              <w:jc w:val="center"/>
              <w:rPr>
                <w:rFonts w:hint="eastAsia" w:ascii="宋体" w:hAnsi="宋体" w:cs="宋体"/>
                <w:sz w:val="24"/>
              </w:rPr>
            </w:pPr>
          </w:p>
          <w:p w14:paraId="6BAE1BE4">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70F2D7">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3520E312">
            <w:pPr>
              <w:spacing w:line="360" w:lineRule="auto"/>
              <w:rPr>
                <w:rFonts w:hint="eastAsia" w:ascii="宋体" w:hAnsi="宋体" w:cs="宋体"/>
                <w:sz w:val="24"/>
              </w:rPr>
            </w:pPr>
            <w:r>
              <w:rPr>
                <w:rFonts w:hint="eastAsia" w:ascii="宋体" w:hAnsi="宋体" w:cs="宋体"/>
                <w:kern w:val="0"/>
                <w:sz w:val="24"/>
              </w:rPr>
              <w:t>(</w:t>
            </w:r>
            <w:r>
              <w:rPr>
                <w:rFonts w:hint="eastAsia" w:ascii="宋体" w:hAnsi="宋体" w:cs="宋体"/>
                <w:b/>
                <w:sz w:val="24"/>
              </w:rPr>
              <w:t xml:space="preserve">  </w:t>
            </w:r>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rPr>
              <w:t>。</w:t>
            </w:r>
          </w:p>
          <w:p w14:paraId="49B3EF86">
            <w:pPr>
              <w:spacing w:line="360" w:lineRule="auto"/>
              <w:rPr>
                <w:rFonts w:hint="eastAsia" w:ascii="宋体" w:hAnsi="宋体" w:cs="宋体"/>
                <w:sz w:val="24"/>
              </w:rPr>
            </w:pPr>
            <w:r>
              <w:rPr>
                <w:rFonts w:hint="eastAsia" w:ascii="宋体" w:hAnsi="宋体" w:cs="宋体"/>
                <w:kern w:val="0"/>
                <w:sz w:val="24"/>
              </w:rPr>
              <w:t>(</w:t>
            </w: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服务类。</w:t>
            </w:r>
          </w:p>
        </w:tc>
      </w:tr>
      <w:tr w14:paraId="5EA9D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253402">
            <w:pPr>
              <w:snapToGrid w:val="0"/>
              <w:spacing w:line="360" w:lineRule="auto"/>
              <w:jc w:val="center"/>
              <w:rPr>
                <w:rFonts w:hint="eastAsia" w:ascii="宋体" w:hAnsi="宋体" w:cs="宋体"/>
                <w:sz w:val="24"/>
              </w:rPr>
            </w:pPr>
          </w:p>
          <w:p w14:paraId="54490EC3">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1C8271C">
            <w:pPr>
              <w:snapToGrid w:val="0"/>
              <w:spacing w:line="360" w:lineRule="auto"/>
              <w:jc w:val="center"/>
              <w:rPr>
                <w:rFonts w:hint="eastAsia" w:ascii="宋体" w:hAnsi="宋体" w:cs="宋体"/>
                <w:b/>
                <w:sz w:val="24"/>
              </w:rPr>
            </w:pPr>
            <w:r>
              <w:rPr>
                <w:rFonts w:hint="eastAsia" w:ascii="宋体" w:hAnsi="宋体" w:cs="宋体"/>
                <w:b/>
                <w:sz w:val="24"/>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46910F99">
            <w:pPr>
              <w:spacing w:line="400" w:lineRule="exact"/>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机场高速公司机电维保服务采购项目</w:t>
            </w:r>
            <w:r>
              <w:rPr>
                <w:rFonts w:hint="eastAsia" w:ascii="宋体" w:hAnsi="宋体" w:cs="宋体"/>
                <w:kern w:val="0"/>
                <w:sz w:val="24"/>
              </w:rPr>
              <w:t>，属于</w:t>
            </w:r>
            <w:r>
              <w:rPr>
                <w:rFonts w:hint="eastAsia" w:ascii="宋体" w:hAnsi="宋体" w:cs="宋体"/>
                <w:kern w:val="0"/>
                <w:sz w:val="24"/>
                <w:u w:val="single"/>
              </w:rPr>
              <w:t xml:space="preserve"> 信息传输</w:t>
            </w:r>
            <w:r>
              <w:rPr>
                <w:rFonts w:hint="eastAsia" w:ascii="宋体" w:hAnsi="宋体" w:cs="宋体"/>
                <w:sz w:val="24"/>
                <w:u w:val="single"/>
                <w:shd w:val="clear" w:color="auto" w:fill="FFFFFF"/>
              </w:rPr>
              <w:t xml:space="preserve"> </w:t>
            </w:r>
            <w:r>
              <w:rPr>
                <w:rFonts w:hint="eastAsia" w:ascii="宋体" w:hAnsi="宋体" w:cs="宋体"/>
                <w:kern w:val="0"/>
                <w:sz w:val="24"/>
              </w:rPr>
              <w:t>行业；</w:t>
            </w:r>
          </w:p>
          <w:p w14:paraId="461043C9">
            <w:pPr>
              <w:spacing w:line="400" w:lineRule="exact"/>
              <w:rPr>
                <w:rFonts w:hint="eastAsia" w:ascii="宋体" w:hAnsi="宋体" w:cs="宋体"/>
                <w:kern w:val="0"/>
                <w:sz w:val="24"/>
              </w:rPr>
            </w:pPr>
            <w:r>
              <w:rPr>
                <w:rFonts w:hint="eastAsia" w:ascii="宋体" w:hAnsi="宋体" w:cs="宋体"/>
                <w:kern w:val="0"/>
                <w:sz w:val="24"/>
              </w:rPr>
              <w:t>行业划分标准：</w:t>
            </w:r>
          </w:p>
          <w:p w14:paraId="790562BD">
            <w:pPr>
              <w:spacing w:line="400" w:lineRule="exact"/>
              <w:rPr>
                <w:rFonts w:hint="eastAsia" w:ascii="宋体" w:hAnsi="宋体" w:cs="宋体"/>
              </w:rPr>
            </w:pPr>
            <w:r>
              <w:rPr>
                <w:rFonts w:hint="eastAsia" w:ascii="宋体" w:hAnsi="宋体" w:cs="宋体"/>
                <w:kern w:val="0"/>
                <w:sz w:val="24"/>
              </w:rPr>
              <w:t>《关于印发中小企业划型标准规定的通知》工信部联企业〔2011〕300号</w:t>
            </w:r>
          </w:p>
        </w:tc>
      </w:tr>
      <w:tr w14:paraId="1F11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69E935">
            <w:pPr>
              <w:snapToGrid w:val="0"/>
              <w:spacing w:line="360" w:lineRule="auto"/>
              <w:jc w:val="center"/>
              <w:rPr>
                <w:rFonts w:hint="eastAsia" w:ascii="宋体" w:hAnsi="宋体" w:cs="宋体"/>
                <w:sz w:val="24"/>
              </w:rPr>
            </w:pPr>
          </w:p>
          <w:p w14:paraId="3B245DBC">
            <w:pPr>
              <w:snapToGrid w:val="0"/>
              <w:spacing w:line="360" w:lineRule="auto"/>
              <w:jc w:val="center"/>
              <w:rPr>
                <w:rFonts w:hint="eastAsia" w:ascii="宋体" w:hAnsi="宋体" w:cs="宋体"/>
                <w:sz w:val="24"/>
              </w:rPr>
            </w:pPr>
          </w:p>
          <w:p w14:paraId="7D2CDA12">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CB6F081">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51356A64">
            <w:pPr>
              <w:spacing w:line="360" w:lineRule="auto"/>
              <w:rPr>
                <w:rFonts w:hint="eastAsia" w:ascii="宋体" w:hAnsi="宋体" w:cs="宋体"/>
                <w:sz w:val="24"/>
                <w:szCs w:val="32"/>
              </w:rPr>
            </w:pPr>
            <w:r>
              <w:rPr>
                <w:rFonts w:hint="eastAsia" w:ascii="宋体" w:hAnsi="宋体" w:cs="宋体"/>
                <w:kern w:val="0"/>
                <w:sz w:val="24"/>
              </w:rPr>
              <w:t>(</w:t>
            </w:r>
            <w:r>
              <w:rPr>
                <w:rFonts w:hint="eastAsia" w:ascii="宋体" w:hAnsi="宋体" w:cs="宋体"/>
                <w:b/>
                <w:sz w:val="24"/>
              </w:rPr>
              <w:t xml:space="preserve">√ </w:t>
            </w:r>
            <w:r>
              <w:rPr>
                <w:rFonts w:hint="eastAsia" w:ascii="宋体" w:hAnsi="宋体" w:cs="宋体"/>
                <w:kern w:val="0"/>
                <w:sz w:val="24"/>
              </w:rPr>
              <w:t>)</w:t>
            </w:r>
            <w:r>
              <w:rPr>
                <w:rFonts w:hint="eastAsia" w:ascii="宋体" w:hAnsi="宋体" w:cs="宋体"/>
                <w:sz w:val="24"/>
                <w:szCs w:val="32"/>
              </w:rPr>
              <w:t>本项目不允许采购进口产品。</w:t>
            </w:r>
          </w:p>
          <w:p w14:paraId="093F5CE4">
            <w:pPr>
              <w:spacing w:line="360" w:lineRule="auto"/>
              <w:rPr>
                <w:rFonts w:hint="eastAsia" w:ascii="宋体" w:hAnsi="宋体" w:cs="宋体"/>
                <w:sz w:val="24"/>
                <w:szCs w:val="32"/>
              </w:rPr>
            </w:pPr>
            <w:r>
              <w:rPr>
                <w:rFonts w:hint="eastAsia" w:ascii="宋体" w:hAnsi="宋体" w:cs="宋体"/>
                <w:kern w:val="0"/>
                <w:sz w:val="24"/>
              </w:rPr>
              <w:t>(   )</w:t>
            </w:r>
            <w:r>
              <w:rPr>
                <w:rFonts w:hint="eastAsia" w:ascii="宋体" w:hAnsi="宋体" w:cs="宋体"/>
                <w:sz w:val="24"/>
                <w:szCs w:val="32"/>
              </w:rPr>
              <w:t>可以就</w:t>
            </w:r>
            <w:r>
              <w:rPr>
                <w:rFonts w:hint="eastAsia" w:ascii="宋体" w:hAnsi="宋体" w:cs="宋体"/>
                <w:sz w:val="24"/>
                <w:szCs w:val="32"/>
                <w:u w:val="single"/>
              </w:rPr>
              <w:t xml:space="preserve">    </w:t>
            </w:r>
            <w:r>
              <w:rPr>
                <w:rFonts w:hint="eastAsia" w:ascii="宋体" w:hAnsi="宋体" w:cs="宋体"/>
                <w:sz w:val="24"/>
                <w:szCs w:val="32"/>
              </w:rPr>
              <w:t>采购进口产品。</w:t>
            </w:r>
          </w:p>
          <w:p w14:paraId="5EDB5325">
            <w:pPr>
              <w:pStyle w:val="3"/>
              <w:rPr>
                <w:rFonts w:hint="eastAsia" w:ascii="宋体" w:hAnsi="宋体" w:eastAsia="宋体" w:cs="宋体"/>
                <w:lang w:val="en-US"/>
              </w:rPr>
            </w:pPr>
            <w:r>
              <w:rPr>
                <w:rFonts w:hint="eastAsia" w:ascii="宋体" w:hAnsi="宋体" w:eastAsia="宋体" w:cs="宋体"/>
                <w:kern w:val="0"/>
                <w:sz w:val="24"/>
                <w:lang w:val="en-US"/>
              </w:rPr>
              <w:t>进口产品是指通过中国海关保关验放进入中国境内且产自境关外的产品。</w:t>
            </w:r>
          </w:p>
        </w:tc>
      </w:tr>
      <w:tr w14:paraId="1B70C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844938">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F9970C">
            <w:pPr>
              <w:snapToGrid w:val="0"/>
              <w:spacing w:line="360" w:lineRule="auto"/>
              <w:jc w:val="center"/>
              <w:rPr>
                <w:rFonts w:hint="eastAsia" w:ascii="宋体" w:hAnsi="宋体" w:cs="宋体"/>
                <w:b/>
                <w:sz w:val="24"/>
              </w:rPr>
            </w:pPr>
            <w:r>
              <w:rPr>
                <w:rFonts w:hint="eastAsia" w:ascii="宋体" w:hAnsi="宋体" w:cs="宋体"/>
                <w:b/>
                <w:sz w:val="24"/>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1B249FEC">
            <w:pPr>
              <w:snapToGrid w:val="0"/>
              <w:spacing w:line="360" w:lineRule="auto"/>
              <w:rPr>
                <w:rFonts w:hint="eastAsia" w:ascii="宋体" w:hAnsi="宋体" w:cs="宋体"/>
                <w:sz w:val="24"/>
              </w:rPr>
            </w:pPr>
            <w:r>
              <w:rPr>
                <w:rFonts w:hint="eastAsia" w:ascii="宋体" w:hAnsi="宋体" w:cs="宋体"/>
                <w:b/>
                <w:sz w:val="24"/>
              </w:rPr>
              <w:t>（ ）</w:t>
            </w:r>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6717E9CA">
            <w:pPr>
              <w:spacing w:line="360" w:lineRule="auto"/>
              <w:rPr>
                <w:rFonts w:hint="eastAsia" w:ascii="宋体" w:hAnsi="宋体" w:cs="宋体"/>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5C03C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B729C8">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DCACB0E">
            <w:pPr>
              <w:snapToGrid w:val="0"/>
              <w:spacing w:line="360" w:lineRule="auto"/>
              <w:jc w:val="center"/>
              <w:rPr>
                <w:rFonts w:hint="eastAsia" w:ascii="宋体" w:hAnsi="宋体" w:cs="宋体"/>
                <w:b/>
                <w:sz w:val="24"/>
              </w:rPr>
            </w:pPr>
            <w:r>
              <w:rPr>
                <w:rFonts w:hint="eastAsia" w:ascii="宋体" w:hAnsi="宋体" w:cs="宋体"/>
                <w:b/>
                <w:sz w:val="24"/>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07DC930F">
            <w:pPr>
              <w:spacing w:line="360" w:lineRule="auto"/>
              <w:rPr>
                <w:rFonts w:hint="eastAsia"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p w14:paraId="3402580E">
            <w:pPr>
              <w:spacing w:line="360" w:lineRule="auto"/>
              <w:rPr>
                <w:rFonts w:hint="eastAsia" w:ascii="宋体" w:hAnsi="宋体" w:cs="宋体"/>
                <w:sz w:val="24"/>
              </w:rPr>
            </w:pPr>
            <w:r>
              <w:rPr>
                <w:rFonts w:hint="eastAsia" w:ascii="宋体" w:hAnsi="宋体" w:cs="宋体"/>
                <w:b/>
                <w:sz w:val="24"/>
              </w:rPr>
              <w:t>（  ）</w:t>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w:t>
            </w:r>
          </w:p>
          <w:p w14:paraId="58F8CE00">
            <w:pPr>
              <w:spacing w:line="360" w:lineRule="auto"/>
              <w:rPr>
                <w:rFonts w:hint="eastAsia" w:ascii="宋体" w:hAnsi="宋体" w:cs="宋体"/>
                <w:sz w:val="24"/>
                <w:szCs w:val="20"/>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；其他说明：</w:t>
            </w:r>
          </w:p>
        </w:tc>
      </w:tr>
      <w:tr w14:paraId="38389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5D502A">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D90BF6">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77ACB8C0">
            <w:pPr>
              <w:spacing w:line="360" w:lineRule="auto"/>
            </w:pPr>
            <w:r>
              <w:rPr>
                <w:rFonts w:hint="eastAsia" w:ascii="宋体" w:hAnsi="宋体" w:cs="宋体"/>
                <w:sz w:val="24"/>
              </w:rPr>
              <w:t>（√）A不要求提供。</w:t>
            </w:r>
          </w:p>
        </w:tc>
      </w:tr>
      <w:tr w14:paraId="68B03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D9CDC4">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B7D988">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0C20FDAB">
            <w:pPr>
              <w:spacing w:line="360" w:lineRule="auto"/>
              <w:rPr>
                <w:rFonts w:hint="eastAsia" w:ascii="宋体" w:hAnsi="宋体" w:cs="宋体"/>
                <w:b/>
                <w:kern w:val="0"/>
                <w:sz w:val="24"/>
                <w:lang w:val="zh-CN"/>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tc>
      </w:tr>
      <w:tr w14:paraId="20E1A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A933C74">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D83128C">
            <w:pPr>
              <w:snapToGrid w:val="0"/>
              <w:spacing w:line="360" w:lineRule="auto"/>
              <w:jc w:val="center"/>
              <w:rPr>
                <w:rFonts w:hint="eastAsia" w:ascii="宋体" w:hAnsi="宋体" w:cs="宋体"/>
                <w:b/>
                <w:sz w:val="24"/>
              </w:rPr>
            </w:pPr>
            <w:r>
              <w:rPr>
                <w:rFonts w:hint="eastAsia" w:ascii="宋体" w:hAnsi="宋体" w:cs="宋体"/>
                <w:b/>
                <w:sz w:val="24"/>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786B479E">
            <w:pPr>
              <w:spacing w:line="360" w:lineRule="auto"/>
              <w:rPr>
                <w:rFonts w:hint="eastAsia" w:ascii="宋体" w:hAnsi="宋体" w:cs="宋体"/>
                <w:sz w:val="24"/>
              </w:rPr>
            </w:pPr>
            <w:r>
              <w:rPr>
                <w:rFonts w:hint="eastAsia" w:ascii="宋体" w:hAnsi="宋体" w:cs="宋体"/>
                <w:sz w:val="24"/>
              </w:rPr>
              <w:t>（1）资格证明文件：见交易文件第二部分11.1。</w:t>
            </w:r>
          </w:p>
          <w:p w14:paraId="46A77288">
            <w:pPr>
              <w:spacing w:line="360" w:lineRule="auto"/>
              <w:rPr>
                <w:rFonts w:hint="eastAsia" w:ascii="宋体" w:hAnsi="宋体" w:cs="宋体"/>
                <w:snapToGrid w:val="0"/>
                <w:kern w:val="0"/>
                <w:szCs w:val="21"/>
              </w:rPr>
            </w:pPr>
            <w:r>
              <w:rPr>
                <w:rFonts w:hint="eastAsia" w:ascii="宋体" w:hAnsi="宋体" w:cs="宋体"/>
                <w:kern w:val="0"/>
                <w:sz w:val="24"/>
                <w:lang w:val="zh-CN"/>
              </w:rPr>
              <w:t>供应商未提供有效的资格证明文件的，视为供应商不具备交易文件中规定的资格要求，响应无效。</w:t>
            </w:r>
          </w:p>
        </w:tc>
      </w:tr>
      <w:tr w14:paraId="7A8A3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0C002E64">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E0059F6">
            <w:pPr>
              <w:snapToGrid w:val="0"/>
              <w:spacing w:line="360" w:lineRule="auto"/>
              <w:jc w:val="center"/>
              <w:rPr>
                <w:rFonts w:hint="eastAsia" w:ascii="宋体" w:hAnsi="宋体" w:cs="宋体"/>
                <w:b/>
                <w:sz w:val="24"/>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6E8835F0">
            <w:pPr>
              <w:spacing w:line="360" w:lineRule="auto"/>
              <w:rPr>
                <w:rFonts w:hint="eastAsia" w:ascii="宋体" w:hAnsi="宋体" w:cs="宋体"/>
                <w:sz w:val="24"/>
              </w:rPr>
            </w:pPr>
            <w:r>
              <w:rPr>
                <w:rFonts w:hint="eastAsia" w:ascii="宋体" w:hAnsi="宋体" w:cs="宋体"/>
                <w:sz w:val="24"/>
              </w:rPr>
              <w:t>（2）资信证明文件：根据交易文件第四部分评审标准提供。</w:t>
            </w:r>
          </w:p>
        </w:tc>
      </w:tr>
      <w:tr w14:paraId="5C71C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68A8AA">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11B4187">
            <w:pPr>
              <w:snapToGrid w:val="0"/>
              <w:spacing w:line="360" w:lineRule="auto"/>
              <w:jc w:val="center"/>
              <w:rPr>
                <w:rFonts w:hint="eastAsia" w:ascii="宋体" w:hAnsi="宋体" w:cs="宋体"/>
                <w:bCs/>
                <w:sz w:val="24"/>
              </w:rPr>
            </w:pPr>
            <w:r>
              <w:rPr>
                <w:rFonts w:hint="eastAsia" w:ascii="宋体" w:hAnsi="宋体" w:cs="宋体"/>
                <w:b/>
                <w:sz w:val="24"/>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0DAD7B43">
            <w:pPr>
              <w:spacing w:line="360" w:lineRule="auto"/>
              <w:ind w:firstLine="480" w:firstLineChars="200"/>
              <w:rPr>
                <w:rFonts w:hint="eastAsia"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。响应文件中价格全部采用人民币报价。交易文件未列明，而供应商认为必需的费用也需列入报价。</w:t>
            </w:r>
          </w:p>
          <w:p w14:paraId="535E7B0D">
            <w:pPr>
              <w:spacing w:line="360" w:lineRule="auto"/>
              <w:rPr>
                <w:rFonts w:hint="eastAsia" w:ascii="宋体" w:hAnsi="宋体" w:cs="宋体"/>
                <w:bCs/>
                <w:kern w:val="0"/>
                <w:sz w:val="24"/>
                <w:lang w:val="zh-CN"/>
              </w:rPr>
            </w:pPr>
            <w:r>
              <w:rPr>
                <w:rFonts w:hint="eastAsia" w:ascii="宋体" w:hAnsi="宋体" w:cs="宋体"/>
                <w:bCs/>
                <w:kern w:val="0"/>
                <w:sz w:val="24"/>
                <w:lang w:val="zh-CN"/>
              </w:rPr>
              <w:t>响应报价出现下列情形的，响应无效：</w:t>
            </w:r>
          </w:p>
          <w:p w14:paraId="6AA39286">
            <w:pPr>
              <w:spacing w:line="360" w:lineRule="auto"/>
              <w:ind w:firstLine="480" w:firstLineChars="200"/>
              <w:rPr>
                <w:rFonts w:hint="eastAsia" w:ascii="宋体" w:hAnsi="宋体" w:cs="宋体"/>
                <w:bCs/>
                <w:kern w:val="0"/>
                <w:sz w:val="24"/>
                <w:lang w:val="zh-CN"/>
              </w:rPr>
            </w:pPr>
            <w:r>
              <w:rPr>
                <w:rFonts w:hint="eastAsia" w:ascii="宋体" w:hAnsi="宋体" w:cs="宋体"/>
                <w:bCs/>
                <w:kern w:val="0"/>
                <w:sz w:val="24"/>
                <w:lang w:val="zh-CN"/>
              </w:rPr>
              <w:t>响应文件出现不是唯一的、有选择性响应报价的；</w:t>
            </w:r>
          </w:p>
          <w:p w14:paraId="20391D50">
            <w:pPr>
              <w:spacing w:line="360" w:lineRule="auto"/>
              <w:ind w:firstLine="480" w:firstLineChars="200"/>
              <w:rPr>
                <w:rFonts w:hint="eastAsia" w:ascii="宋体" w:hAnsi="宋体" w:cs="宋体"/>
                <w:bCs/>
                <w:kern w:val="0"/>
                <w:sz w:val="24"/>
                <w:lang w:val="zh-CN"/>
              </w:rPr>
            </w:pPr>
            <w:r>
              <w:rPr>
                <w:rFonts w:hint="eastAsia" w:ascii="宋体" w:hAnsi="宋体" w:cs="宋体"/>
                <w:bCs/>
                <w:kern w:val="0"/>
                <w:sz w:val="24"/>
                <w:lang w:val="zh-CN"/>
              </w:rPr>
              <w:t>响应报价超过交易文件中规定的预算金额或者最高限价的；</w:t>
            </w:r>
          </w:p>
          <w:p w14:paraId="4A26387D">
            <w:pPr>
              <w:spacing w:line="360" w:lineRule="auto"/>
              <w:ind w:firstLine="480" w:firstLineChars="200"/>
              <w:rPr>
                <w:rFonts w:hint="eastAsia" w:ascii="宋体" w:hAnsi="宋体" w:cs="宋体"/>
                <w:bCs/>
                <w:kern w:val="0"/>
                <w:sz w:val="24"/>
              </w:rPr>
            </w:pPr>
            <w:r>
              <w:rPr>
                <w:rFonts w:hint="eastAsia" w:ascii="宋体" w:hAnsi="宋体" w:cs="宋体"/>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kern w:val="0"/>
                <w:sz w:val="24"/>
                <w:lang w:val="zh-CN"/>
              </w:rPr>
              <w:t>；</w:t>
            </w:r>
          </w:p>
          <w:p w14:paraId="3751F69E">
            <w:pPr>
              <w:spacing w:line="360" w:lineRule="auto"/>
              <w:ind w:firstLine="480" w:firstLineChars="200"/>
              <w:rPr>
                <w:rFonts w:hint="eastAsia" w:ascii="宋体" w:hAnsi="宋体" w:cs="宋体"/>
                <w:bCs/>
                <w:kern w:val="0"/>
                <w:sz w:val="24"/>
              </w:rPr>
            </w:pPr>
            <w:r>
              <w:rPr>
                <w:rFonts w:hint="eastAsia" w:ascii="宋体" w:hAnsi="宋体" w:cs="宋体"/>
                <w:bCs/>
                <w:kern w:val="0"/>
                <w:sz w:val="24"/>
              </w:rPr>
              <w:t>供应商对根据修正原则修正后的报价不确认的。</w:t>
            </w:r>
          </w:p>
          <w:p w14:paraId="5E6ED1C1">
            <w:pPr>
              <w:spacing w:line="360" w:lineRule="auto"/>
              <w:ind w:firstLine="480" w:firstLineChars="200"/>
              <w:rPr>
                <w:rFonts w:hint="eastAsia" w:ascii="宋体" w:hAnsi="宋体" w:cs="宋体"/>
                <w:bCs/>
              </w:rPr>
            </w:pPr>
            <w:r>
              <w:rPr>
                <w:rFonts w:hint="eastAsia" w:ascii="宋体" w:hAnsi="宋体" w:cs="宋体"/>
                <w:bCs/>
                <w:kern w:val="0"/>
                <w:sz w:val="24"/>
              </w:rPr>
              <w:t>资格文件、商务技术文件与报价文件未分开制作</w:t>
            </w:r>
            <w:r>
              <w:rPr>
                <w:rFonts w:hint="eastAsia" w:ascii="宋体" w:hAnsi="宋体" w:cs="宋体"/>
                <w:bCs/>
                <w:sz w:val="24"/>
              </w:rPr>
              <w:t>。</w:t>
            </w:r>
          </w:p>
        </w:tc>
      </w:tr>
      <w:tr w14:paraId="7EF9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240733">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4E913">
            <w:pPr>
              <w:snapToGrid w:val="0"/>
              <w:spacing w:line="360" w:lineRule="auto"/>
              <w:jc w:val="center"/>
              <w:rPr>
                <w:rFonts w:hint="eastAsia" w:ascii="宋体" w:hAnsi="宋体" w:cs="宋体"/>
                <w:b/>
                <w:sz w:val="24"/>
              </w:rPr>
            </w:pPr>
            <w:r>
              <w:rPr>
                <w:rFonts w:hint="eastAsia" w:ascii="宋体" w:hAnsi="宋体" w:cs="宋体"/>
                <w:b/>
                <w:sz w:val="24"/>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19DE4490">
            <w:pPr>
              <w:pStyle w:val="32"/>
              <w:spacing w:line="360" w:lineRule="auto"/>
              <w:ind w:hanging="4"/>
              <w:rPr>
                <w:rFonts w:hint="eastAsia" w:hAnsi="宋体" w:cs="宋体"/>
                <w:kern w:val="28"/>
                <w:sz w:val="24"/>
              </w:rPr>
            </w:pPr>
            <w:r>
              <w:rPr>
                <w:rFonts w:hint="eastAsia" w:hAnsi="宋体" w:cs="宋体"/>
                <w:kern w:val="28"/>
                <w:sz w:val="24"/>
                <w:szCs w:val="24"/>
              </w:rPr>
              <w:t>备份文件是否收取：不收取。</w:t>
            </w:r>
          </w:p>
        </w:tc>
      </w:tr>
      <w:tr w14:paraId="01CA3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86D30B">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95B2E7A">
            <w:pPr>
              <w:snapToGrid w:val="0"/>
              <w:spacing w:line="360" w:lineRule="auto"/>
              <w:jc w:val="center"/>
              <w:rPr>
                <w:rFonts w:hint="eastAsia" w:ascii="宋体" w:hAnsi="宋体" w:cs="宋体"/>
                <w:b/>
                <w:sz w:val="24"/>
              </w:rPr>
            </w:pPr>
            <w:r>
              <w:rPr>
                <w:rFonts w:hint="eastAsia" w:ascii="宋体" w:hAnsi="宋体" w:cs="宋体"/>
                <w:b/>
                <w:sz w:val="24"/>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3A12E439">
            <w:pPr>
              <w:widowControl/>
              <w:jc w:val="left"/>
              <w:rPr>
                <w:rFonts w:hint="eastAsia" w:ascii="宋体" w:hAnsi="宋体" w:cs="宋体"/>
                <w:sz w:val="24"/>
              </w:rPr>
            </w:pPr>
            <w:r>
              <w:rPr>
                <w:rFonts w:hint="eastAsia" w:ascii="宋体" w:hAnsi="宋体" w:cs="宋体"/>
                <w:snapToGrid w:val="0"/>
                <w:kern w:val="28"/>
                <w:sz w:val="24"/>
                <w:lang w:val="en-US" w:eastAsia="zh-CN"/>
              </w:rPr>
              <w:t>供应商</w:t>
            </w:r>
            <w:r>
              <w:rPr>
                <w:rFonts w:hint="eastAsia" w:ascii="宋体" w:hAnsi="宋体" w:cs="宋体"/>
                <w:snapToGrid w:val="0"/>
                <w:kern w:val="28"/>
                <w:sz w:val="24"/>
              </w:rPr>
              <w:t>支付。</w:t>
            </w:r>
            <w:bookmarkStart w:id="384" w:name="_GoBack"/>
            <w:bookmarkEnd w:id="384"/>
          </w:p>
        </w:tc>
      </w:tr>
      <w:tr w14:paraId="47164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162276">
            <w:pPr>
              <w:snapToGrid w:val="0"/>
              <w:spacing w:line="360" w:lineRule="auto"/>
              <w:jc w:val="center"/>
              <w:rPr>
                <w:rFonts w:hint="eastAsia" w:ascii="宋体" w:hAnsi="宋体" w:cs="宋体"/>
                <w:b/>
                <w:sz w:val="24"/>
              </w:rPr>
            </w:pPr>
            <w:r>
              <w:rPr>
                <w:rFonts w:hint="eastAsia" w:ascii="宋体" w:hAnsi="宋体" w:cs="宋体"/>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A34ED0C">
            <w:pPr>
              <w:snapToGrid w:val="0"/>
              <w:spacing w:line="360" w:lineRule="auto"/>
              <w:jc w:val="center"/>
              <w:rPr>
                <w:rFonts w:hint="eastAsia" w:ascii="宋体" w:hAnsi="宋体" w:cs="宋体"/>
                <w:b/>
                <w:sz w:val="24"/>
              </w:rPr>
            </w:pPr>
            <w:r>
              <w:rPr>
                <w:rFonts w:hint="eastAsia" w:ascii="宋体" w:hAnsi="宋体" w:cs="宋体"/>
                <w:b/>
                <w:sz w:val="24"/>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3B76D095">
            <w:pPr>
              <w:pStyle w:val="32"/>
              <w:widowControl/>
              <w:adjustRightInd/>
              <w:spacing w:line="360" w:lineRule="exact"/>
              <w:ind w:hanging="4"/>
              <w:rPr>
                <w:rFonts w:hint="eastAsia" w:hAnsi="宋体" w:cs="宋体"/>
                <w:sz w:val="24"/>
                <w:szCs w:val="24"/>
              </w:rPr>
            </w:pPr>
            <w:r>
              <w:rPr>
                <w:rFonts w:hint="eastAsia" w:hAnsi="宋体" w:cs="宋体"/>
                <w:sz w:val="24"/>
                <w:szCs w:val="24"/>
              </w:rPr>
              <w:t>履约保证金：收取合同金额的1%，合同签订后支付，履约完成后无息退还。</w:t>
            </w:r>
          </w:p>
          <w:p w14:paraId="582CBB32">
            <w:pPr>
              <w:pStyle w:val="15"/>
              <w:spacing w:line="360" w:lineRule="auto"/>
              <w:ind w:firstLine="0"/>
              <w:rPr>
                <w:rFonts w:hint="eastAsia" w:hAnsi="宋体" w:cs="宋体"/>
                <w:color w:val="auto"/>
                <w:sz w:val="24"/>
              </w:rPr>
            </w:pPr>
            <w:r>
              <w:rPr>
                <w:rFonts w:hint="eastAsia" w:hAnsi="宋体" w:cs="宋体"/>
                <w:color w:val="auto"/>
                <w:sz w:val="24"/>
                <w:szCs w:val="24"/>
              </w:rPr>
              <w:t>供应商应当以支票、汇票、本票或者金融机构、担保机构出具的保函等非现金形式提交。</w:t>
            </w:r>
          </w:p>
        </w:tc>
      </w:tr>
      <w:tr w14:paraId="7A124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107EA3">
            <w:pPr>
              <w:snapToGrid w:val="0"/>
              <w:spacing w:line="360" w:lineRule="auto"/>
              <w:jc w:val="center"/>
              <w:rPr>
                <w:rFonts w:hint="eastAsia" w:ascii="宋体" w:hAnsi="宋体" w:cs="宋体"/>
                <w:bCs/>
                <w:sz w:val="24"/>
              </w:rPr>
            </w:pPr>
            <w:r>
              <w:rPr>
                <w:rFonts w:hint="eastAsia" w:ascii="宋体" w:hAnsi="宋体" w:cs="宋体"/>
                <w:bCs/>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CD719F1">
            <w:pPr>
              <w:snapToGrid w:val="0"/>
              <w:spacing w:line="360" w:lineRule="auto"/>
              <w:jc w:val="center"/>
              <w:rPr>
                <w:rFonts w:hint="eastAsia" w:ascii="宋体" w:hAnsi="宋体" w:cs="宋体"/>
                <w:b/>
                <w:sz w:val="24"/>
              </w:rPr>
            </w:pPr>
            <w:r>
              <w:rPr>
                <w:rFonts w:hint="eastAsia" w:ascii="宋体" w:hAnsi="宋体" w:cs="宋体"/>
                <w:b/>
                <w:sz w:val="24"/>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230B0D84">
            <w:pPr>
              <w:snapToGrid w:val="0"/>
              <w:spacing w:line="360" w:lineRule="auto"/>
              <w:jc w:val="left"/>
              <w:rPr>
                <w:rFonts w:hint="eastAsia" w:ascii="宋体" w:hAnsi="宋体" w:cs="宋体"/>
                <w:b/>
                <w:sz w:val="24"/>
              </w:rPr>
            </w:pPr>
            <w:r>
              <w:rPr>
                <w:rFonts w:hint="eastAsia" w:ascii="宋体" w:hAnsi="宋体" w:cs="宋体"/>
                <w:snapToGrid w:val="0"/>
                <w:kern w:val="28"/>
                <w:sz w:val="24"/>
                <w:szCs w:val="20"/>
              </w:rPr>
              <w:t>本项目由采购人进行资格文件及信用信息查询。</w:t>
            </w:r>
          </w:p>
        </w:tc>
      </w:tr>
      <w:tr w14:paraId="17BC4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634FC0">
            <w:pPr>
              <w:snapToGrid w:val="0"/>
              <w:spacing w:line="360" w:lineRule="auto"/>
              <w:jc w:val="center"/>
              <w:rPr>
                <w:rFonts w:hint="eastAsia" w:ascii="宋体" w:hAnsi="宋体" w:cs="宋体"/>
                <w:bCs/>
                <w:sz w:val="24"/>
              </w:rPr>
            </w:pPr>
            <w:r>
              <w:rPr>
                <w:rFonts w:hint="eastAsia" w:ascii="宋体" w:hAnsi="宋体" w:cs="宋体"/>
                <w:bCs/>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EF74C98">
            <w:pPr>
              <w:snapToGrid w:val="0"/>
              <w:spacing w:line="360" w:lineRule="auto"/>
              <w:jc w:val="center"/>
              <w:rPr>
                <w:rFonts w:hint="eastAsia" w:ascii="宋体" w:hAnsi="宋体" w:cs="宋体"/>
                <w:b/>
                <w:sz w:val="24"/>
              </w:rPr>
            </w:pPr>
            <w:r>
              <w:rPr>
                <w:rFonts w:hint="eastAsia" w:ascii="宋体" w:hAnsi="宋体" w:cs="宋体"/>
                <w:b/>
                <w:sz w:val="24"/>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304246E0">
            <w:pPr>
              <w:spacing w:line="360" w:lineRule="exact"/>
              <w:rPr>
                <w:rFonts w:hint="eastAsia" w:ascii="宋体" w:hAnsi="宋体" w:cs="宋体"/>
                <w:sz w:val="24"/>
              </w:rPr>
            </w:pPr>
            <w:r>
              <w:rPr>
                <w:rFonts w:hint="eastAsia" w:ascii="宋体" w:hAnsi="宋体" w:cs="宋体"/>
                <w:sz w:val="24"/>
              </w:rPr>
              <w:t>采购人质疑接收人：</w:t>
            </w:r>
            <w:r>
              <w:rPr>
                <w:rFonts w:hint="eastAsia" w:ascii="宋体" w:hAnsi="宋体" w:cs="宋体"/>
                <w:sz w:val="24"/>
                <w:u w:val="single"/>
              </w:rPr>
              <w:t xml:space="preserve"> 许柯尧 </w:t>
            </w:r>
            <w:r>
              <w:rPr>
                <w:rFonts w:hint="eastAsia" w:ascii="宋体" w:hAnsi="宋体" w:cs="宋体"/>
                <w:sz w:val="24"/>
              </w:rPr>
              <w:t>联系方式：</w:t>
            </w:r>
            <w:r>
              <w:rPr>
                <w:rFonts w:hint="eastAsia" w:ascii="宋体" w:hAnsi="宋体" w:cs="宋体"/>
                <w:sz w:val="24"/>
                <w:u w:val="single"/>
              </w:rPr>
              <w:t xml:space="preserve">0571-82757537 </w:t>
            </w:r>
          </w:p>
          <w:p w14:paraId="79A5C92D">
            <w:pPr>
              <w:spacing w:line="360" w:lineRule="exact"/>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杭州萧山交通投资集团有限公司A座 </w:t>
            </w:r>
          </w:p>
          <w:p w14:paraId="6823C053">
            <w:pPr>
              <w:spacing w:line="360" w:lineRule="exact"/>
              <w:rPr>
                <w:rFonts w:hint="eastAsia" w:ascii="宋体" w:hAnsi="宋体" w:cs="宋体"/>
                <w:sz w:val="24"/>
              </w:rPr>
            </w:pPr>
            <w:r>
              <w:rPr>
                <w:rFonts w:hint="eastAsia" w:ascii="宋体" w:hAnsi="宋体" w:cs="宋体"/>
                <w:sz w:val="24"/>
              </w:rPr>
              <w:t>采购机构质疑接收人：</w:t>
            </w:r>
            <w:r>
              <w:rPr>
                <w:rFonts w:hint="eastAsia" w:ascii="宋体" w:hAnsi="宋体" w:cs="宋体"/>
                <w:sz w:val="24"/>
                <w:u w:val="single"/>
              </w:rPr>
              <w:t>高亚伟</w:t>
            </w:r>
            <w:r>
              <w:rPr>
                <w:rFonts w:hint="eastAsia" w:ascii="宋体" w:hAnsi="宋体" w:cs="宋体"/>
                <w:sz w:val="24"/>
              </w:rPr>
              <w:t xml:space="preserve"> 联系方式：</w:t>
            </w:r>
            <w:r>
              <w:rPr>
                <w:rFonts w:hint="eastAsia" w:ascii="宋体" w:hAnsi="宋体" w:cs="宋体"/>
                <w:sz w:val="24"/>
                <w:u w:val="single"/>
              </w:rPr>
              <w:t xml:space="preserve">0571-82829558 </w:t>
            </w:r>
          </w:p>
          <w:p w14:paraId="3E962F75">
            <w:pPr>
              <w:spacing w:line="360" w:lineRule="exact"/>
              <w:rPr>
                <w:rFonts w:hint="eastAsia" w:ascii="宋体" w:hAnsi="宋体" w:cs="宋体"/>
                <w:sz w:val="24"/>
              </w:rPr>
            </w:pPr>
            <w:r>
              <w:rPr>
                <w:rFonts w:hint="eastAsia" w:ascii="宋体" w:hAnsi="宋体" w:cs="宋体"/>
                <w:sz w:val="24"/>
              </w:rPr>
              <w:t>地址：浙江省杭州市萧山区振宁路600号国丰大厦B座15F</w:t>
            </w:r>
            <w:r>
              <w:rPr>
                <w:rFonts w:hint="eastAsia" w:ascii="宋体" w:hAnsi="宋体" w:cs="宋体"/>
                <w:sz w:val="24"/>
                <w:u w:val="single"/>
              </w:rPr>
              <w:t xml:space="preserve"> </w:t>
            </w:r>
            <w:r>
              <w:rPr>
                <w:rFonts w:hint="eastAsia" w:ascii="宋体" w:hAnsi="宋体" w:cs="宋体"/>
                <w:sz w:val="24"/>
              </w:rPr>
              <w:t>邮箱：</w:t>
            </w:r>
            <w:r>
              <w:rPr>
                <w:rFonts w:hint="eastAsia" w:ascii="宋体" w:hAnsi="宋体" w:cs="宋体"/>
                <w:sz w:val="24"/>
                <w:u w:val="single"/>
              </w:rPr>
              <w:t xml:space="preserve">1104962019@qq.com </w:t>
            </w:r>
          </w:p>
          <w:p w14:paraId="22A76649">
            <w:pPr>
              <w:snapToGrid w:val="0"/>
              <w:spacing w:line="360" w:lineRule="auto"/>
              <w:rPr>
                <w:rFonts w:hint="eastAsia" w:ascii="宋体" w:hAnsi="宋体" w:cs="宋体"/>
                <w:b/>
                <w:sz w:val="24"/>
              </w:rPr>
            </w:pPr>
            <w:r>
              <w:rPr>
                <w:rFonts w:hint="eastAsia" w:ascii="宋体" w:hAnsi="宋体" w:cs="宋体"/>
                <w:b/>
                <w:sz w:val="24"/>
              </w:rPr>
              <w:t>如通过邮箱方式发送质疑，须提交符合法规及交易文件要求的质疑文件（参考附件1），盖章扫描后发送，质疑的受理按答复主体划分以采购人或采购机构邮箱回复确认受理为准。</w:t>
            </w:r>
          </w:p>
          <w:p w14:paraId="0B0BBCA3">
            <w:pPr>
              <w:snapToGrid w:val="0"/>
              <w:spacing w:line="360" w:lineRule="auto"/>
              <w:rPr>
                <w:rFonts w:hint="eastAsia" w:ascii="宋体" w:hAnsi="宋体" w:cs="宋体"/>
                <w:sz w:val="24"/>
              </w:rPr>
            </w:pPr>
            <w:r>
              <w:rPr>
                <w:rFonts w:hint="eastAsia" w:ascii="宋体" w:hAnsi="宋体" w:cs="宋体"/>
                <w:sz w:val="24"/>
              </w:rPr>
              <w:t>本项目涉及资格条件、采购需求、评分办法及采购过程中有关现场考察或交易前答疑会事项由采购人进行答复。</w:t>
            </w:r>
          </w:p>
          <w:p w14:paraId="5C5082F1">
            <w:pPr>
              <w:pStyle w:val="32"/>
              <w:spacing w:line="360" w:lineRule="auto"/>
              <w:ind w:hanging="4"/>
              <w:rPr>
                <w:rFonts w:hint="eastAsia" w:hAnsi="宋体" w:cs="宋体"/>
                <w:sz w:val="24"/>
              </w:rPr>
            </w:pPr>
            <w:r>
              <w:rPr>
                <w:rFonts w:hint="eastAsia" w:hAnsi="宋体" w:cs="宋体"/>
                <w:sz w:val="24"/>
              </w:rPr>
              <w:t>涉及流程组织等相关事项，由采购机构进行答复。</w:t>
            </w:r>
          </w:p>
        </w:tc>
      </w:tr>
      <w:tr w14:paraId="33943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F86A60">
            <w:pPr>
              <w:snapToGrid w:val="0"/>
              <w:spacing w:line="360" w:lineRule="auto"/>
              <w:jc w:val="center"/>
              <w:rPr>
                <w:rFonts w:hint="eastAsia" w:ascii="宋体" w:hAnsi="宋体" w:cs="宋体"/>
                <w:sz w:val="24"/>
              </w:rPr>
            </w:pPr>
            <w:r>
              <w:rPr>
                <w:rFonts w:hint="eastAsia" w:ascii="宋体" w:hAnsi="宋体" w:cs="宋体"/>
                <w:sz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2E15AF48">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10F21ECC">
            <w:pPr>
              <w:spacing w:line="360" w:lineRule="auto"/>
              <w:ind w:firstLine="482" w:firstLineChars="200"/>
              <w:rPr>
                <w:rFonts w:hint="eastAsia"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tbl>
    <w:p w14:paraId="57056367">
      <w:pPr>
        <w:snapToGrid w:val="0"/>
        <w:spacing w:line="360" w:lineRule="auto"/>
        <w:jc w:val="center"/>
        <w:rPr>
          <w:rFonts w:hint="eastAsia" w:ascii="宋体" w:hAnsi="宋体" w:cs="宋体"/>
          <w:b/>
          <w:sz w:val="32"/>
          <w:szCs w:val="20"/>
        </w:rPr>
      </w:pPr>
    </w:p>
    <w:bookmarkEnd w:id="10"/>
    <w:p w14:paraId="04C35517">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54A411B2">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3547B84D">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1B762543">
      <w:pPr>
        <w:snapToGrid w:val="0"/>
        <w:spacing w:line="360" w:lineRule="auto"/>
        <w:ind w:firstLine="480" w:firstLineChars="200"/>
        <w:jc w:val="left"/>
        <w:rPr>
          <w:rFonts w:hint="eastAsia" w:ascii="宋体" w:hAnsi="宋体" w:cs="宋体"/>
          <w:sz w:val="24"/>
        </w:rPr>
      </w:pPr>
      <w:r>
        <w:rPr>
          <w:rFonts w:hint="eastAsia" w:ascii="宋体" w:hAnsi="宋体" w:cs="宋体"/>
          <w:sz w:val="24"/>
        </w:rPr>
        <w:t>本交易文件适用于该项目的交易、资格审查及信用信息查询、评审、定标、合同、验收等行为（法律、法规另有规定的，从其规定）。</w:t>
      </w:r>
    </w:p>
    <w:p w14:paraId="1E80332A">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37379219">
      <w:pPr>
        <w:spacing w:line="360" w:lineRule="auto"/>
        <w:ind w:firstLine="480" w:firstLineChars="200"/>
        <w:rPr>
          <w:rFonts w:hint="eastAsia" w:ascii="宋体" w:hAnsi="宋体" w:cs="宋体"/>
          <w:sz w:val="24"/>
        </w:rPr>
      </w:pPr>
      <w:r>
        <w:rPr>
          <w:rFonts w:hint="eastAsia" w:ascii="宋体" w:hAnsi="宋体" w:cs="宋体"/>
          <w:sz w:val="24"/>
        </w:rPr>
        <w:t>2.1 “采购人”系指交易公告中载明的本项目的采购人。</w:t>
      </w:r>
    </w:p>
    <w:p w14:paraId="69EC99A1">
      <w:pPr>
        <w:spacing w:line="360" w:lineRule="auto"/>
        <w:ind w:firstLine="480" w:firstLineChars="200"/>
        <w:rPr>
          <w:rFonts w:hint="eastAsia" w:ascii="宋体" w:hAnsi="宋体" w:cs="宋体"/>
          <w:sz w:val="24"/>
        </w:rPr>
      </w:pPr>
      <w:r>
        <w:rPr>
          <w:rFonts w:hint="eastAsia" w:ascii="宋体" w:hAnsi="宋体" w:cs="宋体"/>
          <w:sz w:val="24"/>
        </w:rPr>
        <w:t>2.2 “采购代理机构”系指交易公告中载明的本项目的采购代理机构。</w:t>
      </w:r>
    </w:p>
    <w:p w14:paraId="34CE9972">
      <w:pPr>
        <w:spacing w:line="360" w:lineRule="auto"/>
        <w:ind w:firstLine="480" w:firstLineChars="200"/>
        <w:rPr>
          <w:rFonts w:hint="eastAsia" w:ascii="宋体" w:hAnsi="宋体" w:cs="宋体"/>
          <w:sz w:val="24"/>
        </w:rPr>
      </w:pPr>
      <w:r>
        <w:rPr>
          <w:rFonts w:hint="eastAsia" w:ascii="宋体" w:hAnsi="宋体" w:cs="宋体"/>
          <w:sz w:val="24"/>
        </w:rPr>
        <w:t>2.3 “供应商”系指是指响应交易、参加交易竞争的法人、其他组织或者自然人。</w:t>
      </w:r>
    </w:p>
    <w:p w14:paraId="74E169BA">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6A1F112">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0DA9F39E">
      <w:pPr>
        <w:spacing w:line="360" w:lineRule="auto"/>
        <w:ind w:firstLine="480" w:firstLineChars="200"/>
        <w:rPr>
          <w:rFonts w:hint="eastAsia" w:ascii="宋体" w:hAnsi="宋体" w:cs="宋体"/>
          <w:sz w:val="24"/>
        </w:rPr>
      </w:pPr>
      <w:r>
        <w:rPr>
          <w:rFonts w:hint="eastAsia" w:ascii="宋体" w:hAnsi="宋体" w:cs="宋体"/>
          <w:sz w:val="24"/>
        </w:rPr>
        <w:t>2.6“电子交易平台”是指本项目采购活动所依托的政府采购云平台（https://www.zcygov.cn/）。</w:t>
      </w:r>
    </w:p>
    <w:p w14:paraId="4BF3B117">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5EDD9E23">
      <w:pPr>
        <w:spacing w:line="360" w:lineRule="auto"/>
        <w:ind w:firstLine="241" w:firstLineChars="100"/>
        <w:rPr>
          <w:rFonts w:hint="eastAsia" w:ascii="宋体" w:hAnsi="宋体" w:cs="宋体"/>
          <w:b/>
          <w:sz w:val="24"/>
        </w:rPr>
      </w:pPr>
      <w:r>
        <w:rPr>
          <w:rFonts w:hint="eastAsia" w:ascii="宋体" w:hAnsi="宋体" w:cs="宋体"/>
          <w:b/>
          <w:sz w:val="24"/>
        </w:rPr>
        <w:t>3. 采购项目需要落实的政府采购政策：无</w:t>
      </w:r>
    </w:p>
    <w:p w14:paraId="77089C4C">
      <w:pPr>
        <w:spacing w:line="360" w:lineRule="auto"/>
        <w:ind w:firstLine="241" w:firstLineChars="100"/>
        <w:rPr>
          <w:rFonts w:hint="eastAsia" w:ascii="宋体" w:hAnsi="宋体" w:cs="宋体"/>
          <w:b/>
          <w:sz w:val="24"/>
        </w:rPr>
      </w:pPr>
      <w:r>
        <w:rPr>
          <w:rFonts w:hint="eastAsia" w:ascii="宋体" w:hAnsi="宋体" w:cs="宋体"/>
          <w:b/>
          <w:sz w:val="24"/>
        </w:rPr>
        <w:t>4.</w:t>
      </w:r>
      <w:r>
        <w:rPr>
          <w:rFonts w:hint="eastAsia" w:ascii="宋体" w:hAnsi="宋体" w:cs="宋体"/>
        </w:rPr>
        <w:t xml:space="preserve"> </w:t>
      </w:r>
      <w:r>
        <w:rPr>
          <w:rFonts w:hint="eastAsia" w:ascii="宋体" w:hAnsi="宋体" w:cs="宋体"/>
          <w:b/>
          <w:sz w:val="24"/>
        </w:rPr>
        <w:t xml:space="preserve"> 询问、质疑、投诉</w:t>
      </w:r>
    </w:p>
    <w:p w14:paraId="20610BEB">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.1供应商询问</w:t>
      </w:r>
    </w:p>
    <w:p w14:paraId="4612F709">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609BE4BE">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.2供应商质疑</w:t>
      </w:r>
    </w:p>
    <w:p w14:paraId="57A32A02">
      <w:pPr>
        <w:pStyle w:val="32"/>
        <w:spacing w:line="360" w:lineRule="auto"/>
        <w:ind w:firstLine="480" w:firstLineChars="200"/>
        <w:rPr>
          <w:rFonts w:hint="eastAsia" w:hAnsi="宋体" w:cs="宋体"/>
          <w:sz w:val="24"/>
        </w:rPr>
      </w:pPr>
      <w:r>
        <w:rPr>
          <w:rFonts w:hint="eastAsia" w:hAnsi="宋体" w:cs="宋体"/>
          <w:kern w:val="0"/>
          <w:sz w:val="24"/>
        </w:rPr>
        <w:t>4</w:t>
      </w:r>
      <w:r>
        <w:rPr>
          <w:rFonts w:hint="eastAsia" w:hAnsi="宋体" w:cs="宋体"/>
          <w:kern w:val="0"/>
          <w:sz w:val="24"/>
          <w:lang w:val="zh-CN"/>
        </w:rPr>
        <w:t>.2</w:t>
      </w:r>
      <w:r>
        <w:rPr>
          <w:rFonts w:hint="eastAsia" w:hAnsi="宋体" w:cs="宋体"/>
          <w:sz w:val="24"/>
        </w:rPr>
        <w:t>.1提出质疑的供应商应当是参与所质疑项目采购活动的供应商。潜在供应商已依法获取其可质疑的交易文件的，可以对该文件提出质疑。</w:t>
      </w:r>
    </w:p>
    <w:p w14:paraId="298F7887">
      <w:pPr>
        <w:pStyle w:val="32"/>
        <w:spacing w:line="360" w:lineRule="auto"/>
        <w:ind w:firstLine="480" w:firstLineChars="200"/>
        <w:rPr>
          <w:rFonts w:hint="eastAsia" w:hAnsi="宋体" w:cs="宋体"/>
          <w:sz w:val="24"/>
        </w:rPr>
      </w:pPr>
      <w:r>
        <w:rPr>
          <w:rFonts w:hint="eastAsia" w:hAnsi="宋体" w:cs="宋体"/>
          <w:kern w:val="0"/>
          <w:sz w:val="24"/>
        </w:rPr>
        <w:t>4</w:t>
      </w:r>
      <w:r>
        <w:rPr>
          <w:rFonts w:hint="eastAsia" w:hAnsi="宋体" w:cs="宋体"/>
          <w:kern w:val="0"/>
          <w:sz w:val="24"/>
          <w:lang w:val="zh-CN"/>
        </w:rPr>
        <w:t>.2</w:t>
      </w:r>
      <w:r>
        <w:rPr>
          <w:rFonts w:hint="eastAsia" w:hAnsi="宋体" w:cs="宋体"/>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000F98CE">
      <w:pPr>
        <w:pStyle w:val="15"/>
        <w:spacing w:line="360" w:lineRule="auto"/>
        <w:ind w:firstLine="480" w:firstLineChars="200"/>
        <w:rPr>
          <w:rFonts w:hint="eastAsia" w:hAnsi="宋体" w:cs="宋体"/>
          <w:color w:val="auto"/>
          <w:kern w:val="2"/>
          <w:sz w:val="24"/>
        </w:rPr>
      </w:pPr>
      <w:r>
        <w:rPr>
          <w:rFonts w:hint="eastAsia" w:hAnsi="宋体" w:cs="宋体"/>
          <w:color w:val="auto"/>
          <w:kern w:val="2"/>
          <w:sz w:val="24"/>
        </w:rPr>
        <w:t>4.2.2.1对交易文件提出质疑的，质疑期限为供应商获得交易文件之日或者交易文件公告期限届满之日起计算。</w:t>
      </w:r>
    </w:p>
    <w:p w14:paraId="7165CE6E">
      <w:pPr>
        <w:pStyle w:val="32"/>
        <w:spacing w:line="360" w:lineRule="auto"/>
        <w:ind w:firstLine="480" w:firstLineChars="200"/>
        <w:rPr>
          <w:rFonts w:hint="eastAsia"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69AD499F">
      <w:pPr>
        <w:pStyle w:val="32"/>
        <w:spacing w:line="360" w:lineRule="auto"/>
        <w:ind w:firstLine="480" w:firstLineChars="200"/>
        <w:rPr>
          <w:rFonts w:hint="eastAsia" w:hAnsi="宋体" w:cs="宋体"/>
          <w:sz w:val="24"/>
        </w:rPr>
      </w:pPr>
      <w:r>
        <w:rPr>
          <w:rFonts w:hint="eastAsia" w:hAnsi="宋体" w:cs="宋体"/>
          <w:sz w:val="24"/>
        </w:rPr>
        <w:t>4.2.2.3对采购结果提出质疑的，质疑期限自采购结果公告期限届满之日起计算。</w:t>
      </w:r>
    </w:p>
    <w:p w14:paraId="37EE4363">
      <w:pPr>
        <w:pStyle w:val="32"/>
        <w:spacing w:line="360" w:lineRule="auto"/>
        <w:ind w:firstLine="480" w:firstLineChars="200"/>
        <w:rPr>
          <w:rFonts w:hint="eastAsia" w:hAnsi="宋体" w:cs="宋体"/>
          <w:kern w:val="0"/>
          <w:sz w:val="24"/>
          <w:lang w:val="zh-CN"/>
        </w:rPr>
      </w:pPr>
      <w:r>
        <w:rPr>
          <w:rFonts w:hint="eastAsia" w:hAnsi="宋体" w:cs="宋体"/>
          <w:kern w:val="0"/>
          <w:sz w:val="24"/>
        </w:rPr>
        <w:t>4</w:t>
      </w:r>
      <w:r>
        <w:rPr>
          <w:rFonts w:hint="eastAsia" w:hAnsi="宋体" w:cs="宋体"/>
          <w:kern w:val="0"/>
          <w:sz w:val="24"/>
          <w:lang w:val="zh-CN"/>
        </w:rPr>
        <w:t>.2.3</w:t>
      </w:r>
      <w:r>
        <w:rPr>
          <w:rFonts w:hint="eastAsia" w:hAnsi="宋体" w:cs="宋体"/>
          <w:sz w:val="24"/>
        </w:rPr>
        <w:t>供应商提出质疑应当提交质疑函和必要的证明材料。质疑函应当包括下列内容：</w:t>
      </w:r>
    </w:p>
    <w:p w14:paraId="4A9BF2A6">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.2.3.1供应商的姓名或者名称、地址、邮编、联系人及联系电话；</w:t>
      </w:r>
    </w:p>
    <w:p w14:paraId="5BB8A14C">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.2.3.2质疑项目的名称、编号；</w:t>
      </w:r>
    </w:p>
    <w:p w14:paraId="5510B607">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.2.3.3具体、明确的质疑事项和与质疑事项相关的请求；</w:t>
      </w:r>
    </w:p>
    <w:p w14:paraId="7D240713">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.2.3.4事实依据；</w:t>
      </w:r>
    </w:p>
    <w:p w14:paraId="6A30709E">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.2.3.5必要的法律依据；</w:t>
      </w:r>
    </w:p>
    <w:p w14:paraId="5F5D3C08">
      <w:pPr>
        <w:pStyle w:val="32"/>
        <w:spacing w:line="360" w:lineRule="auto"/>
        <w:ind w:firstLine="960" w:firstLineChars="400"/>
        <w:rPr>
          <w:rFonts w:hint="eastAsia" w:hAnsi="宋体" w:cs="宋体"/>
          <w:kern w:val="0"/>
          <w:sz w:val="24"/>
          <w:lang w:val="zh-CN"/>
        </w:rPr>
      </w:pPr>
      <w:r>
        <w:rPr>
          <w:rFonts w:hint="eastAsia" w:hAnsi="宋体" w:cs="宋体"/>
          <w:kern w:val="0"/>
          <w:sz w:val="24"/>
        </w:rPr>
        <w:t>4</w:t>
      </w:r>
      <w:r>
        <w:rPr>
          <w:rFonts w:hint="eastAsia" w:hAnsi="宋体" w:cs="宋体"/>
          <w:kern w:val="0"/>
          <w:sz w:val="24"/>
          <w:lang w:val="zh-CN"/>
        </w:rPr>
        <w:t>.2.3.6提出质疑的日期。</w:t>
      </w:r>
    </w:p>
    <w:p w14:paraId="16D4E88F">
      <w:pPr>
        <w:pStyle w:val="887"/>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0EA6DC6">
      <w:pPr>
        <w:pStyle w:val="887"/>
        <w:shd w:val="clear" w:color="auto" w:fill="FFFFFF"/>
        <w:snapToGrid w:val="0"/>
        <w:spacing w:after="240" w:afterAutospacing="0" w:line="360" w:lineRule="auto"/>
        <w:ind w:firstLine="400"/>
        <w:contextualSpacing/>
        <w:rPr>
          <w:rFonts w:hint="eastAsia"/>
        </w:rPr>
      </w:pPr>
      <w:r>
        <w:rPr>
          <w:rFonts w:hint="eastAsia"/>
        </w:rPr>
        <w:t>质疑函范本及制作说明详见附件1。</w:t>
      </w:r>
    </w:p>
    <w:p w14:paraId="3C8204C5">
      <w:pPr>
        <w:pStyle w:val="887"/>
        <w:shd w:val="clear" w:color="auto" w:fill="FFFFFF"/>
        <w:snapToGrid w:val="0"/>
        <w:spacing w:after="240" w:afterAutospacing="0" w:line="360" w:lineRule="auto"/>
        <w:ind w:firstLine="400"/>
        <w:contextualSpacing/>
        <w:rPr>
          <w:rFonts w:hint="eastAsia"/>
        </w:rPr>
      </w:pPr>
      <w:r>
        <w:rPr>
          <w:rFonts w:hint="eastAsia"/>
        </w:rPr>
        <w:t>4</w:t>
      </w:r>
      <w:r>
        <w:rPr>
          <w:rFonts w:hint="eastAsia"/>
          <w:lang w:val="zh-CN"/>
        </w:rPr>
        <w:t>.2</w:t>
      </w:r>
      <w:r>
        <w:rPr>
          <w:rFonts w:hint="eastAsia"/>
        </w:rPr>
        <w:t>.4采购人或者采购机构应当在收到供应商的书面质疑后3个工作日内作出答复，并以书面形式通知质疑供应商和其他与质疑处理结果有利害关系的采购当事人，但答复的内容不得涉及商业秘密。</w:t>
      </w:r>
    </w:p>
    <w:p w14:paraId="62FDCA1D">
      <w:pPr>
        <w:pStyle w:val="887"/>
        <w:shd w:val="clear" w:color="auto" w:fill="FFFFFF"/>
        <w:snapToGrid w:val="0"/>
        <w:spacing w:after="240" w:afterAutospacing="0" w:line="360" w:lineRule="auto"/>
        <w:ind w:firstLine="400"/>
        <w:contextualSpacing/>
        <w:rPr>
          <w:rFonts w:hint="eastAsia"/>
        </w:rPr>
      </w:pPr>
      <w:r>
        <w:rPr>
          <w:rFonts w:hint="eastAsia"/>
        </w:rPr>
        <w:t>4</w:t>
      </w:r>
      <w:r>
        <w:rPr>
          <w:rFonts w:hint="eastAsia"/>
          <w:lang w:val="zh-CN"/>
        </w:rPr>
        <w:t>.2</w:t>
      </w:r>
      <w:r>
        <w:rPr>
          <w:rFonts w:hint="eastAsia"/>
        </w:rPr>
        <w:t>.5询问或者质疑事项可能影响采购结果的，采购人应当暂停签订合同，已经签订合同的，应当中止履行合同。</w:t>
      </w:r>
    </w:p>
    <w:p w14:paraId="3D3FA9F4">
      <w:pPr>
        <w:pStyle w:val="887"/>
        <w:shd w:val="clear" w:color="auto" w:fill="FFFFFF"/>
        <w:snapToGrid w:val="0"/>
        <w:spacing w:after="240" w:afterAutospacing="0" w:line="360" w:lineRule="auto"/>
        <w:ind w:firstLine="480" w:firstLineChars="200"/>
        <w:contextualSpacing/>
        <w:rPr>
          <w:rFonts w:hint="eastAsia"/>
          <w:lang w:val="zh-CN"/>
        </w:rPr>
      </w:pPr>
      <w:r>
        <w:rPr>
          <w:rFonts w:hint="eastAsia"/>
        </w:rPr>
        <w:t>4</w:t>
      </w:r>
      <w:r>
        <w:rPr>
          <w:rFonts w:hint="eastAsia"/>
          <w:lang w:val="zh-CN"/>
        </w:rPr>
        <w:t>.3供应商投诉</w:t>
      </w:r>
    </w:p>
    <w:p w14:paraId="4E67D34D">
      <w:pPr>
        <w:pStyle w:val="887"/>
        <w:shd w:val="clear" w:color="auto" w:fill="FFFFFF"/>
        <w:snapToGrid w:val="0"/>
        <w:spacing w:after="240" w:afterAutospacing="0" w:line="360" w:lineRule="auto"/>
        <w:ind w:firstLine="400"/>
        <w:contextualSpacing/>
        <w:rPr>
          <w:rFonts w:hint="eastAsia"/>
        </w:rPr>
      </w:pPr>
      <w:r>
        <w:rPr>
          <w:rFonts w:hint="eastAsia"/>
        </w:rPr>
        <w:t>4.3.1质疑供应商对采购人、采购机构的答复不满意或者采购人、采购机构未在规定的时间内作出答复的，可以在答复期满后十个工作日内向同级采购监督管理部门提出投诉。</w:t>
      </w:r>
    </w:p>
    <w:p w14:paraId="00220CC4">
      <w:pPr>
        <w:pStyle w:val="887"/>
        <w:shd w:val="clear" w:color="auto" w:fill="FFFFFF"/>
        <w:snapToGrid w:val="0"/>
        <w:spacing w:after="240" w:afterAutospacing="0" w:line="360" w:lineRule="auto"/>
        <w:ind w:firstLine="400"/>
        <w:contextualSpacing/>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14:paraId="35505BDF">
      <w:pPr>
        <w:pStyle w:val="887"/>
        <w:shd w:val="clear" w:color="auto" w:fill="FFFFFF"/>
        <w:snapToGrid w:val="0"/>
        <w:spacing w:after="240" w:afterAutospacing="0" w:line="360" w:lineRule="auto"/>
        <w:ind w:firstLine="400"/>
        <w:contextualSpacing/>
        <w:rPr>
          <w:rFonts w:hint="eastAsia"/>
        </w:rPr>
      </w:pPr>
      <w:r>
        <w:rPr>
          <w:rFonts w:hint="eastAsia"/>
        </w:rPr>
        <w:t>4.3.3供应商投诉应当有明确的请求和必要的证明材料。</w:t>
      </w:r>
    </w:p>
    <w:p w14:paraId="66E15B58">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投诉书范本及制作说明详见附件2。</w:t>
      </w:r>
    </w:p>
    <w:p w14:paraId="6E7A2551">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二、交易文件的构成、澄清、修改</w:t>
      </w:r>
    </w:p>
    <w:p w14:paraId="5EF69946">
      <w:pPr>
        <w:pStyle w:val="32"/>
        <w:spacing w:line="360" w:lineRule="auto"/>
        <w:rPr>
          <w:rFonts w:hint="eastAsia" w:hAnsi="宋体" w:cs="宋体"/>
          <w:b/>
          <w:sz w:val="24"/>
          <w:szCs w:val="24"/>
        </w:rPr>
      </w:pPr>
      <w:r>
        <w:rPr>
          <w:rFonts w:hint="eastAsia" w:hAnsi="宋体" w:cs="宋体"/>
          <w:b/>
          <w:sz w:val="24"/>
          <w:szCs w:val="24"/>
        </w:rPr>
        <w:t>5．交易文件的构成</w:t>
      </w:r>
    </w:p>
    <w:p w14:paraId="3562EE38">
      <w:pPr>
        <w:pStyle w:val="32"/>
        <w:spacing w:line="360" w:lineRule="auto"/>
        <w:ind w:firstLine="480" w:firstLineChars="200"/>
        <w:rPr>
          <w:rFonts w:hint="eastAsia" w:hAnsi="宋体" w:cs="宋体"/>
          <w:sz w:val="24"/>
          <w:szCs w:val="24"/>
        </w:rPr>
      </w:pPr>
      <w:r>
        <w:rPr>
          <w:rFonts w:hint="eastAsia" w:hAnsi="宋体" w:cs="宋体"/>
          <w:sz w:val="24"/>
          <w:szCs w:val="24"/>
        </w:rPr>
        <w:t>5.1 交易文件包括下列文件及附件：</w:t>
      </w:r>
    </w:p>
    <w:p w14:paraId="2F59A161">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5.1.1交易公告；</w:t>
      </w:r>
    </w:p>
    <w:p w14:paraId="1C90C136">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5.1.2供应商须知；</w:t>
      </w:r>
    </w:p>
    <w:p w14:paraId="7850E637">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529CD59F">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5.1.4评审办法；</w:t>
      </w:r>
    </w:p>
    <w:p w14:paraId="65BC2886">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5.1.5应提交的有关格式范例。</w:t>
      </w:r>
    </w:p>
    <w:p w14:paraId="7E6B8EDE">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7F54D3F4">
      <w:pPr>
        <w:pStyle w:val="32"/>
        <w:spacing w:line="360" w:lineRule="auto"/>
        <w:rPr>
          <w:rFonts w:hint="eastAsia" w:hAnsi="宋体" w:cs="宋体"/>
          <w:b/>
          <w:sz w:val="24"/>
          <w:szCs w:val="24"/>
        </w:rPr>
      </w:pPr>
      <w:r>
        <w:rPr>
          <w:rFonts w:hint="eastAsia" w:hAnsi="宋体" w:cs="宋体"/>
          <w:b/>
          <w:sz w:val="24"/>
          <w:szCs w:val="24"/>
        </w:rPr>
        <w:t>6. 交易文件的澄清、修改</w:t>
      </w:r>
    </w:p>
    <w:p w14:paraId="74543AD6">
      <w:pPr>
        <w:pStyle w:val="130"/>
        <w:snapToGrid w:val="0"/>
        <w:spacing w:before="0"/>
        <w:ind w:firstLine="480"/>
        <w:rPr>
          <w:rFonts w:hint="eastAsia" w:ascii="宋体" w:hAnsi="宋体" w:cs="宋体"/>
        </w:rPr>
      </w:pPr>
      <w:r>
        <w:rPr>
          <w:rFonts w:hint="eastAsia" w:ascii="宋体" w:hAnsi="宋体" w:cs="宋体"/>
        </w:rPr>
        <w:t>6.1已获取交易文件的潜在供应商，若有问题需要澄清，应于交易截止时间前，以书面形式向采购机构提出。</w:t>
      </w:r>
    </w:p>
    <w:p w14:paraId="5E62260A">
      <w:pPr>
        <w:pStyle w:val="130"/>
        <w:snapToGrid w:val="0"/>
        <w:spacing w:before="0"/>
        <w:ind w:firstLine="480"/>
        <w:rPr>
          <w:rFonts w:hint="eastAsia" w:ascii="宋体" w:hAnsi="宋体" w:cs="宋体"/>
        </w:rPr>
      </w:pPr>
      <w:r>
        <w:rPr>
          <w:rFonts w:hint="eastAsia" w:ascii="宋体" w:hAnsi="宋体" w:cs="宋体"/>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765A4909">
      <w:pPr>
        <w:pStyle w:val="23"/>
        <w:rPr>
          <w:rFonts w:hint="eastAsia" w:hAnsi="宋体" w:cs="宋体"/>
          <w:sz w:val="18"/>
          <w:szCs w:val="18"/>
          <w:lang w:val="en-US"/>
        </w:rPr>
      </w:pPr>
      <w:r>
        <w:rPr>
          <w:rFonts w:hint="eastAsia" w:hAnsi="宋体" w:cs="宋体"/>
          <w:szCs w:val="24"/>
          <w:lang w:val="en-US"/>
        </w:rPr>
        <w:t xml:space="preserve">    </w:t>
      </w:r>
    </w:p>
    <w:p w14:paraId="00B0E4B2">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三、交易</w:t>
      </w:r>
    </w:p>
    <w:p w14:paraId="1D422F0C">
      <w:pPr>
        <w:pStyle w:val="32"/>
        <w:spacing w:line="360" w:lineRule="auto"/>
        <w:rPr>
          <w:rFonts w:hint="eastAsia" w:hAnsi="宋体" w:cs="宋体"/>
          <w:b/>
          <w:sz w:val="24"/>
          <w:szCs w:val="24"/>
        </w:rPr>
      </w:pPr>
      <w:r>
        <w:rPr>
          <w:rFonts w:hint="eastAsia" w:hAnsi="宋体" w:cs="宋体"/>
          <w:b/>
          <w:sz w:val="24"/>
          <w:szCs w:val="24"/>
        </w:rPr>
        <w:t>7. 交易文件的获取</w:t>
      </w:r>
    </w:p>
    <w:p w14:paraId="0F13A38C">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7F75FC13">
      <w:pPr>
        <w:pStyle w:val="32"/>
        <w:spacing w:line="360" w:lineRule="auto"/>
        <w:rPr>
          <w:rFonts w:hint="eastAsia" w:hAnsi="宋体" w:cs="宋体"/>
          <w:b/>
          <w:sz w:val="24"/>
          <w:szCs w:val="24"/>
        </w:rPr>
      </w:pPr>
      <w:r>
        <w:rPr>
          <w:rFonts w:hint="eastAsia" w:hAnsi="宋体" w:cs="宋体"/>
          <w:b/>
          <w:sz w:val="24"/>
          <w:szCs w:val="24"/>
        </w:rPr>
        <w:t>8.交易前答疑会或现场考察</w:t>
      </w:r>
    </w:p>
    <w:p w14:paraId="6C544EA9">
      <w:pPr>
        <w:pStyle w:val="32"/>
        <w:spacing w:line="360" w:lineRule="auto"/>
        <w:ind w:firstLine="480" w:firstLineChars="200"/>
        <w:rPr>
          <w:rFonts w:hint="eastAsia" w:hAnsi="宋体" w:cs="宋体"/>
          <w:sz w:val="24"/>
          <w:szCs w:val="24"/>
        </w:rPr>
      </w:pPr>
      <w:r>
        <w:rPr>
          <w:rFonts w:hint="eastAsia" w:hAnsi="宋体" w:cs="宋体"/>
          <w:sz w:val="24"/>
          <w:szCs w:val="24"/>
        </w:rPr>
        <w:t>采购人组织潜在供应商现场考察或者召开交易前答疑会的，潜在供应商按第二部分供应商须知前附表的规定参加现场考察或者交易前答疑会。</w:t>
      </w:r>
    </w:p>
    <w:p w14:paraId="795AA53F">
      <w:pPr>
        <w:pStyle w:val="32"/>
        <w:spacing w:line="360" w:lineRule="auto"/>
        <w:rPr>
          <w:rFonts w:hint="eastAsia" w:hAnsi="宋体" w:cs="宋体"/>
          <w:b/>
          <w:szCs w:val="24"/>
        </w:rPr>
      </w:pPr>
      <w:r>
        <w:rPr>
          <w:rFonts w:hint="eastAsia" w:hAnsi="宋体" w:cs="宋体"/>
          <w:b/>
          <w:kern w:val="28"/>
          <w:sz w:val="24"/>
          <w:szCs w:val="24"/>
        </w:rPr>
        <w:t>9.交易保证金</w:t>
      </w:r>
    </w:p>
    <w:p w14:paraId="25826BD5">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本项目不需缴纳交易保证金。</w:t>
      </w:r>
    </w:p>
    <w:p w14:paraId="176F8D4B">
      <w:pPr>
        <w:pStyle w:val="32"/>
        <w:spacing w:line="360" w:lineRule="auto"/>
        <w:rPr>
          <w:rFonts w:hint="eastAsia" w:hAnsi="宋体" w:cs="宋体"/>
          <w:b/>
          <w:sz w:val="24"/>
          <w:szCs w:val="24"/>
        </w:rPr>
      </w:pPr>
      <w:r>
        <w:rPr>
          <w:rFonts w:hint="eastAsia" w:hAnsi="宋体" w:cs="宋体"/>
          <w:b/>
          <w:sz w:val="24"/>
          <w:szCs w:val="24"/>
        </w:rPr>
        <w:t>10. 响应文件的语言</w:t>
      </w:r>
    </w:p>
    <w:p w14:paraId="2D8C3197">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响应文件及供应商与采购有关的来往通知、函件和文件均应使用中文。</w:t>
      </w:r>
    </w:p>
    <w:p w14:paraId="7657424C">
      <w:pPr>
        <w:pStyle w:val="32"/>
        <w:spacing w:line="360" w:lineRule="auto"/>
        <w:rPr>
          <w:rFonts w:hint="eastAsia" w:hAnsi="宋体" w:cs="宋体"/>
          <w:b/>
          <w:sz w:val="24"/>
          <w:szCs w:val="24"/>
        </w:rPr>
      </w:pPr>
      <w:r>
        <w:rPr>
          <w:rFonts w:hint="eastAsia" w:hAnsi="宋体" w:cs="宋体"/>
          <w:b/>
          <w:sz w:val="24"/>
          <w:szCs w:val="24"/>
        </w:rPr>
        <w:t>11. 响应文件的组成</w:t>
      </w:r>
    </w:p>
    <w:p w14:paraId="0C9752A7">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44A79A8">
      <w:pPr>
        <w:snapToGrid w:val="0"/>
        <w:spacing w:line="360" w:lineRule="auto"/>
        <w:ind w:firstLine="960" w:firstLineChars="400"/>
        <w:rPr>
          <w:rFonts w:hint="eastAsia" w:ascii="宋体" w:hAnsi="宋体" w:cs="宋体"/>
          <w:sz w:val="24"/>
        </w:rPr>
      </w:pPr>
      <w:r>
        <w:rPr>
          <w:rFonts w:hint="eastAsia" w:ascii="宋体" w:hAnsi="宋体" w:cs="宋体"/>
          <w:sz w:val="24"/>
        </w:rPr>
        <w:t>11.1.1符合参加采购活动应当具备的一般条件的承诺函；</w:t>
      </w:r>
    </w:p>
    <w:p w14:paraId="5829E338">
      <w:pPr>
        <w:snapToGrid w:val="0"/>
        <w:spacing w:line="360" w:lineRule="auto"/>
        <w:ind w:firstLine="960" w:firstLineChars="400"/>
        <w:rPr>
          <w:rFonts w:hint="eastAsia" w:ascii="宋体" w:hAnsi="宋体" w:cs="宋体"/>
          <w:sz w:val="24"/>
        </w:rPr>
      </w:pPr>
      <w:r>
        <w:rPr>
          <w:rFonts w:hint="eastAsia" w:ascii="宋体" w:hAnsi="宋体" w:cs="宋体"/>
          <w:sz w:val="24"/>
        </w:rPr>
        <w:t xml:space="preserve">11.1.2落实政府采购政策需满足的资格要求（如果有）； </w:t>
      </w:r>
    </w:p>
    <w:p w14:paraId="59FEB63B">
      <w:pPr>
        <w:snapToGrid w:val="0"/>
        <w:spacing w:line="360" w:lineRule="auto"/>
        <w:ind w:firstLine="960" w:firstLineChars="400"/>
        <w:rPr>
          <w:rFonts w:hint="eastAsia" w:ascii="宋体" w:hAnsi="宋体" w:cs="宋体"/>
          <w:sz w:val="24"/>
        </w:rPr>
      </w:pPr>
      <w:r>
        <w:rPr>
          <w:rFonts w:hint="eastAsia" w:ascii="宋体" w:hAnsi="宋体" w:cs="宋体"/>
          <w:sz w:val="24"/>
        </w:rPr>
        <w:t>11.1.3本项目的特定资格要求（如果有）。</w:t>
      </w:r>
    </w:p>
    <w:p w14:paraId="1BA1DBF0">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B7F4C3F">
      <w:pPr>
        <w:snapToGrid w:val="0"/>
        <w:spacing w:line="360" w:lineRule="auto"/>
        <w:ind w:firstLine="960" w:firstLineChars="400"/>
        <w:rPr>
          <w:rFonts w:hint="eastAsia"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4D9CE05B">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1657EA3D">
      <w:pPr>
        <w:snapToGrid w:val="0"/>
        <w:spacing w:line="360" w:lineRule="auto"/>
        <w:ind w:firstLine="960" w:firstLineChars="400"/>
        <w:rPr>
          <w:rFonts w:hint="eastAsia" w:ascii="宋体" w:hAnsi="宋体" w:cs="宋体"/>
          <w:sz w:val="24"/>
        </w:rPr>
      </w:pPr>
      <w:r>
        <w:rPr>
          <w:rFonts w:hint="eastAsia" w:ascii="宋体" w:hAnsi="宋体" w:cs="宋体"/>
          <w:sz w:val="24"/>
        </w:rPr>
        <w:t>11.2.3符合性审查资料；</w:t>
      </w:r>
    </w:p>
    <w:p w14:paraId="45C1DE35">
      <w:pPr>
        <w:snapToGrid w:val="0"/>
        <w:spacing w:line="360" w:lineRule="auto"/>
        <w:ind w:firstLine="960" w:firstLineChars="400"/>
        <w:rPr>
          <w:rFonts w:hint="eastAsia" w:ascii="宋体" w:hAnsi="宋体" w:cs="宋体"/>
          <w:sz w:val="24"/>
        </w:rPr>
      </w:pPr>
      <w:r>
        <w:rPr>
          <w:rFonts w:hint="eastAsia" w:ascii="宋体" w:hAnsi="宋体" w:cs="宋体"/>
          <w:sz w:val="24"/>
        </w:rPr>
        <w:t>11.2.4评审标准相应的商务技术资料；</w:t>
      </w:r>
    </w:p>
    <w:p w14:paraId="39766C00">
      <w:pPr>
        <w:snapToGrid w:val="0"/>
        <w:spacing w:line="360" w:lineRule="auto"/>
        <w:ind w:firstLine="960" w:firstLineChars="400"/>
        <w:rPr>
          <w:rFonts w:hint="eastAsia" w:ascii="宋体" w:hAnsi="宋体" w:cs="宋体"/>
          <w:sz w:val="24"/>
        </w:rPr>
      </w:pPr>
      <w:r>
        <w:rPr>
          <w:rFonts w:hint="eastAsia" w:ascii="宋体" w:hAnsi="宋体" w:cs="宋体"/>
          <w:sz w:val="24"/>
        </w:rPr>
        <w:t>11.2.5交易标的清单；</w:t>
      </w:r>
    </w:p>
    <w:p w14:paraId="0F1A003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11.2.6商务技术偏离表；</w:t>
      </w:r>
    </w:p>
    <w:p w14:paraId="7385F02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11.2.7</w:t>
      </w:r>
      <w:r>
        <w:rPr>
          <w:rFonts w:hint="eastAsia" w:ascii="宋体" w:hAnsi="宋体" w:cs="宋体"/>
          <w:sz w:val="24"/>
          <w:lang w:val="zh-CN"/>
        </w:rPr>
        <w:t>采购供应商廉洁自律承诺书。</w:t>
      </w:r>
    </w:p>
    <w:p w14:paraId="745AE347">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DCE1633">
      <w:pPr>
        <w:snapToGrid w:val="0"/>
        <w:spacing w:line="360" w:lineRule="auto"/>
        <w:ind w:firstLine="960" w:firstLineChars="400"/>
        <w:rPr>
          <w:rFonts w:hint="eastAsia" w:ascii="宋体" w:hAnsi="宋体" w:cs="宋体"/>
          <w:sz w:val="24"/>
        </w:rPr>
      </w:pPr>
      <w:r>
        <w:rPr>
          <w:rFonts w:hint="eastAsia" w:ascii="宋体" w:hAnsi="宋体" w:cs="宋体"/>
          <w:sz w:val="24"/>
        </w:rPr>
        <w:t>11.3.1交易一览表（报价表）。</w:t>
      </w:r>
    </w:p>
    <w:p w14:paraId="463682A9">
      <w:pPr>
        <w:spacing w:line="360" w:lineRule="auto"/>
        <w:ind w:firstLine="723" w:firstLineChars="300"/>
        <w:rPr>
          <w:rFonts w:hint="eastAsia" w:ascii="宋体" w:hAnsi="宋体" w:cs="宋体"/>
          <w:b/>
          <w:sz w:val="24"/>
        </w:rPr>
      </w:pPr>
      <w:r>
        <w:rPr>
          <w:rFonts w:hint="eastAsia" w:ascii="宋体" w:hAnsi="宋体" w:cs="宋体"/>
          <w:b/>
          <w:sz w:val="24"/>
        </w:rPr>
        <w:t>响应文件含有采购人不能接受的附加条件的，交易无效；</w:t>
      </w:r>
    </w:p>
    <w:p w14:paraId="343F68F5">
      <w:pPr>
        <w:spacing w:line="360" w:lineRule="auto"/>
        <w:ind w:firstLine="723" w:firstLineChars="300"/>
        <w:rPr>
          <w:rFonts w:hint="eastAsia" w:ascii="宋体" w:hAnsi="宋体" w:cs="宋体"/>
          <w:b/>
          <w:sz w:val="24"/>
          <w:szCs w:val="21"/>
        </w:rPr>
      </w:pPr>
      <w:r>
        <w:rPr>
          <w:rFonts w:hint="eastAsia" w:ascii="宋体" w:hAnsi="宋体" w:cs="宋体"/>
          <w:b/>
          <w:sz w:val="24"/>
        </w:rPr>
        <w:t>供应商提供虚假材料交易的，交易无效。</w:t>
      </w:r>
    </w:p>
    <w:p w14:paraId="7FAA577E">
      <w:pPr>
        <w:pStyle w:val="130"/>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44EB6A78">
      <w:pPr>
        <w:spacing w:line="360" w:lineRule="auto"/>
        <w:ind w:firstLine="480" w:firstLineChars="200"/>
        <w:rPr>
          <w:rFonts w:hint="eastAsia" w:ascii="宋体" w:hAnsi="宋体" w:cs="宋体"/>
          <w:b/>
          <w:sz w:val="24"/>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1响应文件分为资格文件、商务技术文件、报价文件三部分。各供应商在编制响应文件时请按照交易文件第五部分规定的格式进行，混乱的编排导致响应文件被误读或评标委员会查找不到有效文件是供应商的风险。</w:t>
      </w:r>
    </w:p>
    <w:p w14:paraId="16605470">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0894142C">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.3使用“政采云电子交易客户端”需要提前申领CA数字证书，申领流程请自行前往“浙江政府采购网-下载专区-电子交易客户端-CA驱动和申领流程”进行查阅。</w:t>
      </w:r>
    </w:p>
    <w:p w14:paraId="33D69A67">
      <w:pPr>
        <w:snapToGrid w:val="0"/>
        <w:spacing w:line="360" w:lineRule="auto"/>
        <w:rPr>
          <w:rFonts w:hint="eastAsia" w:ascii="宋体" w:hAnsi="宋体" w:cs="宋体"/>
          <w:b/>
          <w:sz w:val="24"/>
        </w:rPr>
      </w:pPr>
      <w:r>
        <w:rPr>
          <w:rFonts w:hint="eastAsia" w:ascii="宋体" w:hAnsi="宋体" w:cs="宋体"/>
          <w:b/>
          <w:sz w:val="24"/>
        </w:rPr>
        <w:t>13.响应文件的签署、盖章</w:t>
      </w:r>
    </w:p>
    <w:p w14:paraId="4AEE20A8">
      <w:pPr>
        <w:pStyle w:val="130"/>
        <w:snapToGrid w:val="0"/>
        <w:spacing w:before="0"/>
        <w:ind w:firstLine="480"/>
        <w:rPr>
          <w:rFonts w:hint="eastAsia" w:ascii="宋体" w:hAnsi="宋体" w:cs="宋体"/>
          <w:b/>
        </w:rPr>
      </w:pPr>
      <w:r>
        <w:rPr>
          <w:rFonts w:hint="eastAsia" w:ascii="宋体" w:hAnsi="宋体" w:cs="宋体"/>
          <w:szCs w:val="24"/>
        </w:rPr>
        <w:t>13.1响应文件按照交易文件第五部分格式要</w:t>
      </w:r>
      <w:r>
        <w:rPr>
          <w:rFonts w:hint="eastAsia" w:ascii="宋体" w:hAnsi="宋体" w:cs="宋体"/>
        </w:rPr>
        <w:t>求进行签署、盖章。</w:t>
      </w:r>
      <w:r>
        <w:rPr>
          <w:rFonts w:hint="eastAsia" w:ascii="宋体" w:hAnsi="宋体" w:cs="宋体"/>
          <w:b/>
        </w:rPr>
        <w:t>▲供应商的响应文件未按照交易文件要求签署、盖章的，其交易无效</w:t>
      </w:r>
      <w:r>
        <w:rPr>
          <w:rFonts w:hint="eastAsia" w:ascii="宋体" w:hAnsi="宋体" w:cs="宋体"/>
          <w:szCs w:val="24"/>
        </w:rPr>
        <w:t>。</w:t>
      </w:r>
    </w:p>
    <w:p w14:paraId="2C67B290">
      <w:pPr>
        <w:pStyle w:val="130"/>
        <w:snapToGrid w:val="0"/>
        <w:spacing w:before="0"/>
        <w:ind w:firstLine="480"/>
        <w:rPr>
          <w:rFonts w:hint="eastAsia" w:ascii="宋体" w:hAnsi="宋体" w:cs="宋体"/>
        </w:rPr>
      </w:pPr>
      <w:r>
        <w:rPr>
          <w:rFonts w:hint="eastAsia" w:ascii="宋体" w:hAnsi="宋体" w:cs="宋体"/>
        </w:rPr>
        <w:t>13.2为确保网上操作合法、有效和安全，供应商应当在交易截止时间前完成在“政府采购云平台”的身份认证，确保在电子交易（投标）过程中能够对相关数据电文进行加密和使用电子签名。</w:t>
      </w:r>
    </w:p>
    <w:p w14:paraId="2139F683">
      <w:pPr>
        <w:pStyle w:val="130"/>
        <w:snapToGrid w:val="0"/>
        <w:spacing w:before="0"/>
        <w:ind w:firstLine="480"/>
        <w:rPr>
          <w:rFonts w:hint="eastAsia" w:ascii="宋体" w:hAnsi="宋体" w:cs="宋体"/>
          <w:szCs w:val="24"/>
        </w:rPr>
      </w:pPr>
      <w:r>
        <w:rPr>
          <w:rFonts w:hint="eastAsia" w:ascii="宋体" w:hAnsi="宋体" w:cs="宋体"/>
        </w:rPr>
        <w:t>13.3交易文件对响应文件签署、盖章的要求适用于电子签名。</w:t>
      </w:r>
    </w:p>
    <w:p w14:paraId="47B2BBE8">
      <w:pPr>
        <w:pStyle w:val="130"/>
        <w:spacing w:before="0"/>
        <w:ind w:firstLine="0" w:firstLineChars="0"/>
        <w:rPr>
          <w:rFonts w:hint="eastAsia" w:ascii="宋体" w:hAnsi="宋体" w:cs="宋体"/>
          <w:b/>
          <w:szCs w:val="24"/>
        </w:rPr>
      </w:pPr>
      <w:r>
        <w:rPr>
          <w:rFonts w:hint="eastAsia" w:ascii="宋体" w:hAnsi="宋体" w:cs="宋体"/>
          <w:b/>
          <w:szCs w:val="24"/>
        </w:rPr>
        <w:t>14. 响应文件的提交、补充、修改、撤回</w:t>
      </w:r>
    </w:p>
    <w:p w14:paraId="2EDF9597">
      <w:pPr>
        <w:pStyle w:val="130"/>
        <w:spacing w:before="0"/>
        <w:ind w:firstLine="480"/>
        <w:rPr>
          <w:rFonts w:hint="eastAsia" w:ascii="宋体" w:hAnsi="宋体" w:cs="宋体"/>
          <w:szCs w:val="24"/>
        </w:rPr>
      </w:pPr>
      <w:r>
        <w:rPr>
          <w:rFonts w:hint="eastAsia" w:ascii="宋体" w:hAnsi="宋体" w:cs="宋体"/>
          <w:szCs w:val="24"/>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527A8152">
      <w:pPr>
        <w:pStyle w:val="130"/>
        <w:spacing w:before="0"/>
        <w:ind w:firstLine="480"/>
        <w:rPr>
          <w:rFonts w:hint="eastAsia" w:ascii="宋体" w:hAnsi="宋体" w:cs="宋体"/>
          <w:szCs w:val="24"/>
        </w:rPr>
      </w:pPr>
      <w:r>
        <w:rPr>
          <w:rFonts w:hint="eastAsia" w:ascii="宋体" w:hAnsi="宋体" w:cs="宋体"/>
          <w:szCs w:val="24"/>
        </w:rPr>
        <w:t>14.2电子交易平台收到响应文件，将妥善保存并即时向供应商发出确认回执通知。在交易截止时间前，除供应商补充、修改或者撤回响应文件外，任何单位和个人不得解密或提取响应文件。</w:t>
      </w:r>
    </w:p>
    <w:p w14:paraId="40BFFADC">
      <w:pPr>
        <w:pStyle w:val="130"/>
        <w:spacing w:before="0"/>
        <w:ind w:firstLine="480"/>
        <w:rPr>
          <w:rFonts w:hint="eastAsia" w:ascii="宋体" w:hAnsi="宋体" w:cs="宋体"/>
          <w:szCs w:val="24"/>
        </w:rPr>
      </w:pPr>
      <w:r>
        <w:rPr>
          <w:rFonts w:hint="eastAsia" w:ascii="宋体" w:hAnsi="宋体" w:cs="宋体"/>
          <w:szCs w:val="24"/>
        </w:rPr>
        <w:t>14.3采购人、采购机构可以视情况延长响应文件提交的截止时间。在上述情况下，采购机构与供应商以前在交易截止期方面的全部权利、责任和义务，将适用于延长至新的交易截止期。</w:t>
      </w:r>
    </w:p>
    <w:p w14:paraId="20079C1F">
      <w:pPr>
        <w:pStyle w:val="32"/>
        <w:spacing w:line="360" w:lineRule="auto"/>
        <w:rPr>
          <w:rFonts w:hint="eastAsia" w:hAnsi="宋体" w:cs="宋体"/>
          <w:b/>
          <w:sz w:val="24"/>
          <w:szCs w:val="24"/>
        </w:rPr>
      </w:pPr>
      <w:r>
        <w:rPr>
          <w:rFonts w:hint="eastAsia" w:hAnsi="宋体" w:cs="宋体"/>
          <w:b/>
          <w:sz w:val="24"/>
          <w:szCs w:val="24"/>
        </w:rPr>
        <w:t>15.备份响应文件</w:t>
      </w:r>
    </w:p>
    <w:p w14:paraId="5EFD0EB4">
      <w:pPr>
        <w:pStyle w:val="32"/>
        <w:spacing w:line="360" w:lineRule="auto"/>
        <w:ind w:firstLine="480" w:firstLineChars="200"/>
        <w:rPr>
          <w:rFonts w:hint="eastAsia" w:hAnsi="宋体" w:cs="宋体"/>
          <w:bCs/>
          <w:sz w:val="24"/>
          <w:szCs w:val="24"/>
        </w:rPr>
      </w:pPr>
      <w:r>
        <w:rPr>
          <w:rFonts w:hint="eastAsia" w:hAnsi="宋体" w:cs="宋体"/>
          <w:bCs/>
          <w:sz w:val="24"/>
          <w:szCs w:val="24"/>
        </w:rPr>
        <w:t>本项目不收取备份响应文件</w:t>
      </w:r>
    </w:p>
    <w:p w14:paraId="2D29E722">
      <w:pPr>
        <w:pStyle w:val="130"/>
        <w:spacing w:before="0"/>
        <w:ind w:firstLine="0" w:firstLineChars="0"/>
        <w:rPr>
          <w:rFonts w:hint="eastAsia" w:ascii="宋体" w:hAnsi="宋体" w:cs="宋体"/>
          <w:b/>
          <w:szCs w:val="24"/>
        </w:rPr>
      </w:pPr>
      <w:r>
        <w:rPr>
          <w:rFonts w:hint="eastAsia" w:ascii="宋体" w:hAnsi="宋体" w:cs="宋体"/>
          <w:b/>
          <w:szCs w:val="24"/>
        </w:rPr>
        <w:t>16.响应文件的无效处理</w:t>
      </w:r>
    </w:p>
    <w:p w14:paraId="3B94D1BA">
      <w:pPr>
        <w:pStyle w:val="24"/>
        <w:spacing w:line="360" w:lineRule="auto"/>
        <w:ind w:firstLine="360" w:firstLineChars="150"/>
        <w:rPr>
          <w:rFonts w:hint="eastAsia" w:cs="宋体"/>
          <w:szCs w:val="21"/>
        </w:rPr>
      </w:pPr>
      <w:r>
        <w:rPr>
          <w:rFonts w:hint="eastAsia" w:cs="宋体"/>
          <w:szCs w:val="21"/>
        </w:rPr>
        <w:t>有交易文件第四部分</w:t>
      </w:r>
      <w:r>
        <w:rPr>
          <w:rFonts w:hint="eastAsia" w:cs="宋体"/>
        </w:rPr>
        <w:t>4.2规定</w:t>
      </w:r>
      <w:r>
        <w:rPr>
          <w:rFonts w:hint="eastAsia" w:cs="宋体"/>
          <w:szCs w:val="21"/>
        </w:rPr>
        <w:t>的情形之一的，交易无效。</w:t>
      </w:r>
    </w:p>
    <w:p w14:paraId="573EA642">
      <w:pPr>
        <w:pStyle w:val="130"/>
        <w:spacing w:before="0"/>
        <w:ind w:firstLine="0" w:firstLineChars="0"/>
        <w:rPr>
          <w:rFonts w:hint="eastAsia" w:ascii="宋体" w:hAnsi="宋体" w:cs="宋体"/>
          <w:b/>
          <w:szCs w:val="24"/>
        </w:rPr>
      </w:pPr>
      <w:r>
        <w:rPr>
          <w:rFonts w:hint="eastAsia" w:ascii="宋体" w:hAnsi="宋体" w:cs="宋体"/>
          <w:b/>
          <w:szCs w:val="24"/>
        </w:rPr>
        <w:t>17.交易有效期</w:t>
      </w:r>
    </w:p>
    <w:p w14:paraId="197D1C14">
      <w:pPr>
        <w:spacing w:line="360" w:lineRule="auto"/>
        <w:ind w:firstLine="480" w:firstLineChars="200"/>
        <w:rPr>
          <w:rFonts w:hint="eastAsia" w:ascii="宋体" w:hAnsi="宋体" w:cs="宋体"/>
          <w:b/>
          <w:sz w:val="24"/>
          <w:szCs w:val="21"/>
        </w:rPr>
      </w:pPr>
      <w:r>
        <w:rPr>
          <w:rFonts w:hint="eastAsia" w:ascii="宋体" w:hAnsi="宋体" w:cs="宋体"/>
          <w:sz w:val="24"/>
          <w:szCs w:val="20"/>
        </w:rPr>
        <w:t>17.1交易有效期为从提交响应文件的截止之日起90天。▲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诺的交易有效期少于交易文件中载明的交易有效期的，交易无效。</w:t>
      </w:r>
    </w:p>
    <w:p w14:paraId="6FAAE688">
      <w:pPr>
        <w:pStyle w:val="130"/>
        <w:spacing w:before="0"/>
        <w:ind w:firstLine="480"/>
        <w:rPr>
          <w:rFonts w:hint="eastAsia" w:ascii="宋体" w:hAnsi="宋体" w:cs="宋体"/>
        </w:rPr>
      </w:pPr>
      <w:r>
        <w:rPr>
          <w:rFonts w:hint="eastAsia" w:ascii="宋体" w:hAnsi="宋体" w:cs="宋体"/>
        </w:rPr>
        <w:t>17.2响应文件合格投递后，自交易截止日期起，在交易有效期内有效。</w:t>
      </w:r>
    </w:p>
    <w:p w14:paraId="0A5AE340">
      <w:pPr>
        <w:pStyle w:val="130"/>
        <w:spacing w:before="0"/>
        <w:ind w:firstLine="480"/>
        <w:rPr>
          <w:rFonts w:hint="eastAsia" w:ascii="宋体" w:hAnsi="宋体" w:cs="宋体"/>
        </w:rPr>
      </w:pPr>
      <w:r>
        <w:rPr>
          <w:rFonts w:hint="eastAsia" w:ascii="宋体" w:hAnsi="宋体" w:cs="宋体"/>
        </w:rPr>
        <w:t>17.3在原定交易有效期满之前，如果出现特殊情况，采购机构可以以书面形式通知供应商延长交易有效期。供应商同意延长的，不得要求或被允许修改其响应文件，供应商拒绝延长的，其交易无效。</w:t>
      </w:r>
    </w:p>
    <w:p w14:paraId="5BCCBAD5">
      <w:pPr>
        <w:pStyle w:val="130"/>
        <w:spacing w:before="0"/>
        <w:ind w:firstLine="480"/>
        <w:rPr>
          <w:rFonts w:hint="eastAsia" w:ascii="宋体" w:hAnsi="宋体" w:cs="宋体"/>
        </w:rPr>
      </w:pPr>
    </w:p>
    <w:p w14:paraId="58285A24">
      <w:pPr>
        <w:pStyle w:val="130"/>
        <w:spacing w:before="0"/>
        <w:ind w:firstLine="0" w:firstLineChars="0"/>
        <w:jc w:val="center"/>
        <w:rPr>
          <w:rFonts w:hint="eastAsia" w:ascii="宋体" w:hAnsi="宋体" w:cs="宋体"/>
          <w:b/>
          <w:sz w:val="32"/>
        </w:rPr>
      </w:pPr>
      <w:r>
        <w:rPr>
          <w:rFonts w:hint="eastAsia" w:ascii="宋体" w:hAnsi="宋体" w:cs="宋体"/>
          <w:b/>
          <w:sz w:val="32"/>
        </w:rPr>
        <w:t>四、交易、资格审查</w:t>
      </w:r>
    </w:p>
    <w:p w14:paraId="1F16EBF9">
      <w:pPr>
        <w:pStyle w:val="556"/>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18.交易</w:t>
      </w:r>
      <w:r>
        <w:rPr>
          <w:rFonts w:hint="eastAsia" w:ascii="宋体" w:hAnsi="宋体" w:cs="宋体"/>
          <w:sz w:val="24"/>
        </w:rPr>
        <w:t xml:space="preserve"> </w:t>
      </w:r>
    </w:p>
    <w:p w14:paraId="4D678194">
      <w:pPr>
        <w:pStyle w:val="556"/>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18.1采购机构按照交易文件规定的时间通过电子交易平台组织交易，所有供应商均应当准时在线参加。供应商不足3家的，不得交易。</w:t>
      </w:r>
    </w:p>
    <w:p w14:paraId="16E2E79B">
      <w:pPr>
        <w:pStyle w:val="556"/>
        <w:spacing w:before="0" w:line="360" w:lineRule="auto"/>
        <w:ind w:left="0" w:firstLine="240" w:firstLineChars="100"/>
        <w:contextualSpacing/>
        <w:rPr>
          <w:rFonts w:hint="eastAsia" w:ascii="宋体" w:hAnsi="宋体" w:cs="宋体"/>
          <w:sz w:val="24"/>
        </w:rPr>
      </w:pPr>
      <w:r>
        <w:rPr>
          <w:rFonts w:hint="eastAsia" w:ascii="宋体" w:hAnsi="宋体" w:cs="宋体"/>
          <w:sz w:val="24"/>
        </w:rPr>
        <w:t>　18.2交易时，电子交易平台按交易时间自动提取所有响应文件。采购机构依托电子交易平台发起开始解密指令，供应商按照平台提示和交易文件的规定在半小时内完成在线解密。</w:t>
      </w:r>
    </w:p>
    <w:p w14:paraId="19DBDACF">
      <w:pPr>
        <w:pStyle w:val="556"/>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22660534">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3EE252BD">
      <w:pPr>
        <w:pStyle w:val="130"/>
        <w:spacing w:before="0"/>
        <w:ind w:firstLine="480"/>
        <w:rPr>
          <w:rFonts w:hint="eastAsia" w:ascii="宋体" w:hAnsi="宋体" w:cs="宋体"/>
          <w:kern w:val="0"/>
          <w:szCs w:val="24"/>
        </w:rPr>
      </w:pPr>
      <w:r>
        <w:rPr>
          <w:rFonts w:hint="eastAsia" w:ascii="宋体" w:hAnsi="宋体" w:cs="宋体"/>
          <w:kern w:val="0"/>
          <w:szCs w:val="24"/>
        </w:rPr>
        <w:t>19.1</w:t>
      </w:r>
      <w:r>
        <w:rPr>
          <w:rFonts w:hint="eastAsia" w:cs="宋体"/>
          <w:szCs w:val="21"/>
        </w:rPr>
        <w:t>交易</w:t>
      </w:r>
      <w:r>
        <w:rPr>
          <w:rFonts w:hint="eastAsia" w:ascii="宋体" w:hAnsi="宋体" w:cs="宋体"/>
          <w:kern w:val="0"/>
          <w:szCs w:val="24"/>
        </w:rPr>
        <w:t>后，采购人或采购机构将依法对供应商的资格进行审查。</w:t>
      </w:r>
    </w:p>
    <w:p w14:paraId="0B8CF501">
      <w:pPr>
        <w:snapToGrid w:val="0"/>
        <w:spacing w:line="360" w:lineRule="auto"/>
        <w:ind w:firstLine="480" w:firstLineChars="200"/>
        <w:rPr>
          <w:rFonts w:hint="eastAsia"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采购人或采购机构依据法律法规和交易文件的规定，对供应商的基本资格条件、特定资格条件进行审查。</w:t>
      </w:r>
    </w:p>
    <w:p w14:paraId="399FE0C2">
      <w:pPr>
        <w:pStyle w:val="130"/>
        <w:spacing w:before="0"/>
        <w:ind w:firstLine="480"/>
        <w:rPr>
          <w:rFonts w:hint="eastAsia" w:ascii="宋体" w:hAnsi="宋体" w:cs="宋体"/>
        </w:rPr>
      </w:pPr>
      <w:r>
        <w:rPr>
          <w:rFonts w:hint="eastAsia" w:ascii="宋体" w:hAnsi="宋体" w:cs="宋体"/>
          <w:kern w:val="0"/>
          <w:szCs w:val="24"/>
        </w:rPr>
        <w:t>18.3供应商未按照交易文件要求提供与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供应商不具备交易文件中规定的资格要求，其响应无效。</w:t>
      </w:r>
    </w:p>
    <w:p w14:paraId="457E5190">
      <w:pPr>
        <w:pStyle w:val="1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4对未通过资格审查的供应商，采购人或采购机构告知其未通过的原因。</w:t>
      </w:r>
    </w:p>
    <w:p w14:paraId="1A0BC80C">
      <w:pPr>
        <w:pStyle w:val="1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5合格供应商不足3家的，不再评标。</w:t>
      </w:r>
    </w:p>
    <w:p w14:paraId="510639D1">
      <w:pPr>
        <w:pStyle w:val="32"/>
        <w:widowControl/>
        <w:adjustRightInd/>
        <w:spacing w:line="600" w:lineRule="exact"/>
        <w:ind w:hanging="6"/>
        <w:rPr>
          <w:rFonts w:hint="eastAsia" w:hAnsi="宋体" w:cs="宋体"/>
          <w:b/>
          <w:bCs/>
          <w:sz w:val="24"/>
          <w:szCs w:val="24"/>
        </w:rPr>
      </w:pPr>
      <w:r>
        <w:rPr>
          <w:rFonts w:hint="eastAsia" w:hAnsi="宋体" w:cs="宋体"/>
          <w:b/>
          <w:bCs/>
          <w:sz w:val="24"/>
          <w:szCs w:val="24"/>
        </w:rPr>
        <w:t>20、信用信息查询</w:t>
      </w:r>
    </w:p>
    <w:p w14:paraId="76E4EF5F">
      <w:pPr>
        <w:pStyle w:val="32"/>
        <w:widowControl/>
        <w:adjustRightInd/>
        <w:spacing w:line="460" w:lineRule="exact"/>
        <w:ind w:firstLine="420"/>
        <w:rPr>
          <w:rFonts w:hint="eastAsia" w:hAnsi="宋体" w:cs="宋体"/>
          <w:sz w:val="24"/>
          <w:szCs w:val="24"/>
        </w:rPr>
      </w:pPr>
      <w:r>
        <w:rPr>
          <w:rFonts w:hint="eastAsia" w:hAnsi="宋体" w:cs="宋体"/>
          <w:sz w:val="24"/>
          <w:szCs w:val="24"/>
        </w:rPr>
        <w:t>20.1信用信息查询渠道及截止时间：采购机构将通过“信用中国”网站(www.creditchina.gov.cn)、中国政府采购网(www.ccgp.gov.cn)渠道查询供应商交易截止时间当天的信用记录。</w:t>
      </w:r>
    </w:p>
    <w:p w14:paraId="47C017A8">
      <w:pPr>
        <w:pStyle w:val="32"/>
        <w:widowControl/>
        <w:adjustRightInd/>
        <w:spacing w:line="460" w:lineRule="exact"/>
        <w:ind w:firstLine="420"/>
        <w:rPr>
          <w:rFonts w:hint="eastAsia" w:hAnsi="宋体" w:cs="宋体"/>
          <w:sz w:val="24"/>
          <w:szCs w:val="24"/>
        </w:rPr>
      </w:pPr>
      <w:r>
        <w:rPr>
          <w:rFonts w:hint="eastAsia" w:hAnsi="宋体" w:cs="宋体"/>
          <w:sz w:val="24"/>
          <w:szCs w:val="24"/>
        </w:rPr>
        <w:t>20.2信用信息查询记录和证据留存的具体方式：现场查询的供应商的信用记录、查询结果经确认后将与交易文件一起存档。</w:t>
      </w:r>
    </w:p>
    <w:p w14:paraId="2F586385">
      <w:pPr>
        <w:pStyle w:val="32"/>
        <w:widowControl/>
        <w:adjustRightInd/>
        <w:spacing w:line="460" w:lineRule="exact"/>
        <w:ind w:firstLine="420"/>
        <w:rPr>
          <w:rFonts w:hint="eastAsia" w:hAnsi="宋体" w:cs="宋体"/>
          <w:sz w:val="24"/>
          <w:szCs w:val="24"/>
        </w:rPr>
      </w:pPr>
      <w:r>
        <w:rPr>
          <w:rFonts w:hint="eastAsia" w:hAnsi="宋体" w:cs="宋体"/>
          <w:sz w:val="24"/>
          <w:szCs w:val="24"/>
        </w:rPr>
        <w:t>20.3信用信息的使用规则：经查询列入失信被执行人名单、重大税收违法案件当事人名单（税收违法黑名单）、政府采购严重违法失信行为记录名单的供应商将被拒绝参与采购活动。</w:t>
      </w:r>
    </w:p>
    <w:p w14:paraId="6CEEB6D6">
      <w:pPr>
        <w:pStyle w:val="32"/>
        <w:widowControl/>
        <w:adjustRightInd/>
        <w:spacing w:line="460" w:lineRule="exact"/>
        <w:ind w:firstLine="420"/>
        <w:rPr>
          <w:rFonts w:hint="eastAsia" w:hAnsi="宋体" w:cs="宋体"/>
          <w:sz w:val="24"/>
          <w:szCs w:val="24"/>
        </w:rPr>
      </w:pPr>
      <w:r>
        <w:rPr>
          <w:rFonts w:hint="eastAsia" w:hAnsi="宋体" w:cs="宋体"/>
          <w:sz w:val="24"/>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1CE92190">
      <w:pPr>
        <w:pStyle w:val="130"/>
        <w:spacing w:before="0"/>
        <w:ind w:firstLine="480"/>
        <w:rPr>
          <w:rFonts w:hint="eastAsia" w:ascii="宋体" w:hAnsi="宋体" w:cs="宋体"/>
        </w:rPr>
      </w:pPr>
    </w:p>
    <w:p w14:paraId="36B9417E">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7C1250BE">
      <w:pPr>
        <w:spacing w:line="360" w:lineRule="auto"/>
        <w:rPr>
          <w:rFonts w:hint="eastAsia"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rPr>
        <w:t>详见交易文件第四部分评标办法。</w:t>
      </w:r>
    </w:p>
    <w:p w14:paraId="65B07E49">
      <w:pPr>
        <w:pStyle w:val="130"/>
        <w:spacing w:before="0"/>
        <w:ind w:firstLine="480"/>
        <w:rPr>
          <w:rFonts w:hint="eastAsia" w:ascii="宋体" w:hAnsi="宋体" w:cs="宋体"/>
        </w:rPr>
      </w:pPr>
    </w:p>
    <w:p w14:paraId="3EE99AB3">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22E09940">
      <w:pPr>
        <w:pStyle w:val="24"/>
        <w:spacing w:line="360" w:lineRule="auto"/>
        <w:ind w:left="479" w:hanging="479" w:hangingChars="199"/>
        <w:rPr>
          <w:rFonts w:hint="eastAsia" w:cs="宋体"/>
          <w:b/>
        </w:rPr>
      </w:pPr>
      <w:r>
        <w:rPr>
          <w:rFonts w:hint="eastAsia" w:cs="宋体"/>
          <w:b/>
        </w:rPr>
        <w:t>22. 确定成交供应商</w:t>
      </w:r>
    </w:p>
    <w:p w14:paraId="1D63E606">
      <w:pPr>
        <w:pStyle w:val="130"/>
        <w:snapToGrid w:val="0"/>
        <w:spacing w:before="0"/>
        <w:ind w:firstLine="480"/>
        <w:rPr>
          <w:rFonts w:hint="eastAsia" w:ascii="宋体" w:hAnsi="宋体" w:cs="宋体"/>
          <w:b/>
          <w:szCs w:val="24"/>
        </w:rPr>
      </w:pPr>
      <w:r>
        <w:rPr>
          <w:rFonts w:hint="eastAsia" w:ascii="宋体" w:hAnsi="宋体" w:cs="宋体"/>
          <w:szCs w:val="24"/>
        </w:rPr>
        <w:t>采购人将自收到评审报告之日起5个工作日内通过电子交易平台在评审报告推荐的成交候选人中按顺序确定成交供应商。</w:t>
      </w:r>
    </w:p>
    <w:p w14:paraId="1C7C2962">
      <w:pPr>
        <w:pStyle w:val="130"/>
        <w:snapToGrid w:val="0"/>
        <w:spacing w:before="0"/>
        <w:ind w:firstLine="0" w:firstLineChars="0"/>
        <w:rPr>
          <w:rFonts w:hint="eastAsia" w:ascii="宋体" w:hAnsi="宋体" w:cs="宋体"/>
          <w:b/>
          <w:szCs w:val="24"/>
        </w:rPr>
      </w:pPr>
      <w:r>
        <w:rPr>
          <w:rFonts w:hint="eastAsia" w:ascii="宋体" w:hAnsi="宋体" w:cs="宋体"/>
          <w:b/>
          <w:szCs w:val="24"/>
        </w:rPr>
        <w:t>23. 成交通知与成交结果公告</w:t>
      </w:r>
    </w:p>
    <w:p w14:paraId="624C46BA">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23.1自成交人确定之日起2个工作日内，采购机构通过电子交易平台向成交人发出成交通知书，同时编制发布采购结果公告。采购机构或采购人也可以以纸质形式进行成交通知。</w:t>
      </w:r>
    </w:p>
    <w:p w14:paraId="23423B44">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23.2成交结果公告内容包括采购人及其委托的采购机构的名称、地址、联系方式，项目名称和项目编号，成交人名称、地址和成交金额。</w:t>
      </w:r>
    </w:p>
    <w:p w14:paraId="3EE8768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7718A057">
      <w:pPr>
        <w:pStyle w:val="130"/>
        <w:spacing w:before="0"/>
        <w:ind w:firstLine="480"/>
        <w:rPr>
          <w:rFonts w:hint="eastAsia" w:ascii="宋体" w:hAnsi="宋体" w:cs="宋体"/>
        </w:rPr>
      </w:pPr>
    </w:p>
    <w:p w14:paraId="06CC0E63">
      <w:pPr>
        <w:snapToGrid w:val="0"/>
        <w:spacing w:line="360" w:lineRule="auto"/>
        <w:ind w:left="120" w:leftChars="57" w:firstLine="482" w:firstLineChars="150"/>
        <w:jc w:val="center"/>
        <w:rPr>
          <w:rFonts w:hint="eastAsia" w:ascii="宋体" w:hAnsi="宋体" w:cs="宋体"/>
          <w:b/>
        </w:rPr>
      </w:pPr>
      <w:r>
        <w:rPr>
          <w:rFonts w:hint="eastAsia" w:ascii="宋体" w:hAnsi="宋体" w:cs="宋体"/>
          <w:b/>
          <w:sz w:val="32"/>
        </w:rPr>
        <w:t>七、合同授予</w:t>
      </w:r>
    </w:p>
    <w:p w14:paraId="5D50AB47">
      <w:pPr>
        <w:pStyle w:val="24"/>
        <w:spacing w:line="360" w:lineRule="auto"/>
        <w:ind w:left="479" w:hanging="479" w:hangingChars="199"/>
        <w:rPr>
          <w:rFonts w:hint="eastAsia" w:cs="宋体"/>
          <w:b/>
        </w:rPr>
      </w:pPr>
      <w:r>
        <w:rPr>
          <w:rFonts w:hint="eastAsia" w:cs="宋体"/>
          <w:b/>
        </w:rPr>
        <w:t>24. 合同的签订</w:t>
      </w:r>
    </w:p>
    <w:p w14:paraId="7AC7AF49">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24.1</w:t>
      </w:r>
      <w:r>
        <w:rPr>
          <w:rFonts w:hint="eastAsia" w:ascii="宋体" w:hAnsi="宋体" w:cs="宋体"/>
          <w:kern w:val="0"/>
          <w:sz w:val="24"/>
        </w:rPr>
        <w:t xml:space="preserve"> 采购人与成交人应当通过电子交易平台在成交通知书发出之日起三十日内，按照交易文件确定的事项签订采购合同。</w:t>
      </w:r>
    </w:p>
    <w:p w14:paraId="599C8452">
      <w:pPr>
        <w:widowControl/>
        <w:shd w:val="clear" w:color="auto" w:fill="FFFFFF"/>
        <w:spacing w:line="360" w:lineRule="auto"/>
        <w:ind w:firstLine="480"/>
        <w:jc w:val="left"/>
        <w:rPr>
          <w:rFonts w:hint="eastAsia" w:ascii="宋体" w:hAnsi="宋体" w:cs="宋体"/>
          <w:kern w:val="0"/>
        </w:rPr>
      </w:pPr>
      <w:r>
        <w:rPr>
          <w:rFonts w:hint="eastAsia" w:ascii="宋体" w:hAnsi="宋体" w:cs="宋体"/>
          <w:sz w:val="24"/>
          <w:lang w:val="zh-CN"/>
        </w:rPr>
        <w:t>2</w:t>
      </w:r>
      <w:r>
        <w:rPr>
          <w:rFonts w:hint="eastAsia" w:ascii="宋体" w:hAnsi="宋体" w:cs="宋体"/>
          <w:sz w:val="24"/>
        </w:rPr>
        <w:t>4</w:t>
      </w:r>
      <w:r>
        <w:rPr>
          <w:rFonts w:hint="eastAsia" w:ascii="宋体" w:hAnsi="宋体" w:cs="宋体"/>
          <w:sz w:val="24"/>
          <w:lang w:val="zh-CN"/>
        </w:rPr>
        <w:t>.2</w:t>
      </w:r>
      <w:r>
        <w:rPr>
          <w:rFonts w:hint="eastAsia" w:ascii="宋体" w:hAnsi="宋体" w:cs="宋体"/>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648D20EB">
      <w:pPr>
        <w:pStyle w:val="130"/>
        <w:snapToGrid w:val="0"/>
        <w:spacing w:before="0"/>
        <w:ind w:firstLine="480"/>
        <w:rPr>
          <w:rFonts w:hint="eastAsia" w:ascii="宋体" w:hAnsi="宋体" w:cs="宋体"/>
        </w:rPr>
      </w:pPr>
      <w:r>
        <w:rPr>
          <w:rFonts w:hint="eastAsia" w:ascii="宋体" w:hAnsi="宋体" w:cs="宋体"/>
        </w:rPr>
        <w:t>24.3如签订合同并生效后，供应商无故拒绝或延期，除按照合同条款处理外，列入不良行为记录一次，并给予通报。</w:t>
      </w:r>
    </w:p>
    <w:p w14:paraId="1534BD20">
      <w:pPr>
        <w:pStyle w:val="130"/>
        <w:snapToGrid w:val="0"/>
        <w:spacing w:before="0"/>
        <w:ind w:firstLine="480"/>
        <w:rPr>
          <w:rFonts w:hint="eastAsia" w:ascii="宋体" w:hAnsi="宋体" w:cs="宋体"/>
          <w:kern w:val="0"/>
          <w:szCs w:val="24"/>
        </w:rPr>
      </w:pPr>
      <w:r>
        <w:rPr>
          <w:rFonts w:hint="eastAsia" w:ascii="宋体" w:hAnsi="宋体" w:cs="宋体"/>
        </w:rPr>
        <w:t>24.4成交</w:t>
      </w:r>
      <w:r>
        <w:rPr>
          <w:rFonts w:hint="eastAsia" w:ascii="宋体" w:hAnsi="宋体" w:cs="宋体"/>
          <w:kern w:val="0"/>
          <w:szCs w:val="24"/>
        </w:rPr>
        <w:t>供应商拒绝与采购人签订合同的，采购人可以按照评审报告推荐的成交或者成交候选人名单排序，确定下一候选人为成交供应商，也可以重新开展采购活动。</w:t>
      </w:r>
    </w:p>
    <w:p w14:paraId="234841BA">
      <w:pPr>
        <w:pStyle w:val="130"/>
        <w:snapToGrid w:val="0"/>
        <w:spacing w:before="0"/>
        <w:ind w:firstLine="480"/>
        <w:rPr>
          <w:rFonts w:hint="eastAsia" w:ascii="宋体" w:hAnsi="宋体" w:cs="宋体"/>
          <w:kern w:val="0"/>
          <w:szCs w:val="24"/>
        </w:rPr>
      </w:pPr>
      <w:r>
        <w:rPr>
          <w:rFonts w:hint="eastAsia" w:ascii="宋体" w:hAnsi="宋体" w:cs="宋体"/>
          <w:kern w:val="0"/>
          <w:szCs w:val="24"/>
        </w:rPr>
        <w:t>24.5采购合同由采购人与成交供应商根据交易文件、响应文件等内容进行签订。</w:t>
      </w:r>
    </w:p>
    <w:p w14:paraId="260E52E4">
      <w:pPr>
        <w:pStyle w:val="24"/>
        <w:spacing w:line="360" w:lineRule="auto"/>
        <w:ind w:left="479" w:hanging="479" w:hangingChars="199"/>
        <w:rPr>
          <w:rFonts w:hint="eastAsia" w:cs="宋体"/>
          <w:b/>
        </w:rPr>
      </w:pPr>
      <w:r>
        <w:rPr>
          <w:rFonts w:hint="eastAsia" w:cs="宋体"/>
          <w:b/>
        </w:rPr>
        <w:t>25. 履约保证金</w:t>
      </w:r>
    </w:p>
    <w:p w14:paraId="0E8EB1E6">
      <w:pPr>
        <w:pStyle w:val="58"/>
        <w:spacing w:line="360" w:lineRule="auto"/>
        <w:ind w:firstLine="480" w:firstLineChars="200"/>
        <w:jc w:val="left"/>
        <w:rPr>
          <w:rFonts w:hint="eastAsia" w:ascii="宋体" w:hAnsi="宋体" w:cs="宋体"/>
          <w:b w:val="0"/>
          <w:szCs w:val="24"/>
          <w:lang w:val="en-US"/>
        </w:rPr>
      </w:pPr>
      <w:r>
        <w:rPr>
          <w:rFonts w:hint="eastAsia" w:ascii="宋体" w:hAnsi="宋体" w:cs="宋体"/>
          <w:b w:val="0"/>
          <w:szCs w:val="24"/>
          <w:lang w:val="en-US"/>
        </w:rPr>
        <w:t>拟签订的合同文本要求成交供应商提交履约保证金的，供应商应当以支票、汇票、本票或者金融机构、担保机构出具的保函等非现金形式提交。履约保证金的数额为采购合同金额的1%。</w:t>
      </w:r>
    </w:p>
    <w:p w14:paraId="134B7975">
      <w:pPr>
        <w:pStyle w:val="130"/>
        <w:spacing w:before="0"/>
        <w:ind w:firstLine="480"/>
        <w:rPr>
          <w:rFonts w:hint="eastAsia" w:ascii="宋体" w:hAnsi="宋体" w:cs="宋体"/>
        </w:rPr>
      </w:pPr>
    </w:p>
    <w:p w14:paraId="517F3A1F">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18E58F15">
      <w:pPr>
        <w:pStyle w:val="130"/>
        <w:snapToGrid w:val="0"/>
        <w:spacing w:before="0"/>
        <w:ind w:firstLine="0" w:firstLineChars="0"/>
        <w:rPr>
          <w:rFonts w:hint="eastAsia" w:ascii="宋体" w:hAnsi="宋体" w:cs="宋体"/>
        </w:rPr>
      </w:pPr>
      <w:r>
        <w:rPr>
          <w:rFonts w:hint="eastAsia" w:ascii="宋体" w:hAnsi="宋体" w:cs="宋体"/>
        </w:rPr>
        <w:t>2</w:t>
      </w:r>
      <w:r>
        <w:rPr>
          <w:rFonts w:hint="eastAsia" w:ascii="宋体" w:hAnsi="宋体" w:cs="宋体"/>
          <w:bCs/>
          <w:szCs w:val="24"/>
        </w:rPr>
        <w:t>6.</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39AEC79C">
      <w:pPr>
        <w:pStyle w:val="130"/>
        <w:snapToGrid w:val="0"/>
        <w:spacing w:before="0"/>
        <w:ind w:firstLine="480"/>
        <w:rPr>
          <w:rFonts w:hint="eastAsia" w:ascii="宋体" w:hAnsi="宋体" w:cs="宋体"/>
        </w:rPr>
      </w:pPr>
      <w:r>
        <w:rPr>
          <w:rFonts w:hint="eastAsia" w:ascii="宋体" w:hAnsi="宋体" w:cs="宋体"/>
        </w:rPr>
        <w:t xml:space="preserve">26.1电子交易平台发生故障而无法登录访问的； </w:t>
      </w:r>
    </w:p>
    <w:p w14:paraId="012C813F">
      <w:pPr>
        <w:pStyle w:val="130"/>
        <w:snapToGrid w:val="0"/>
        <w:spacing w:before="0"/>
        <w:ind w:firstLine="480"/>
        <w:rPr>
          <w:rFonts w:hint="eastAsia" w:ascii="宋体" w:hAnsi="宋体" w:cs="宋体"/>
        </w:rPr>
      </w:pPr>
      <w:r>
        <w:rPr>
          <w:rFonts w:hint="eastAsia" w:ascii="宋体" w:hAnsi="宋体" w:cs="宋体"/>
        </w:rPr>
        <w:t>26.2电子交易平台应用或数据库出现错误，不能进行正常操作的；</w:t>
      </w:r>
    </w:p>
    <w:p w14:paraId="2366EBA3">
      <w:pPr>
        <w:pStyle w:val="130"/>
        <w:snapToGrid w:val="0"/>
        <w:spacing w:before="0"/>
        <w:ind w:firstLine="480"/>
        <w:rPr>
          <w:rFonts w:hint="eastAsia" w:ascii="宋体" w:hAnsi="宋体" w:cs="宋体"/>
        </w:rPr>
      </w:pPr>
      <w:r>
        <w:rPr>
          <w:rFonts w:hint="eastAsia" w:ascii="宋体" w:hAnsi="宋体" w:cs="宋体"/>
        </w:rPr>
        <w:t>26.3电子交易平台发现严重安全漏洞，有潜在泄密危险的；</w:t>
      </w:r>
    </w:p>
    <w:p w14:paraId="3E6A83F7">
      <w:pPr>
        <w:pStyle w:val="130"/>
        <w:snapToGrid w:val="0"/>
        <w:spacing w:before="0"/>
        <w:ind w:firstLine="480"/>
        <w:rPr>
          <w:rFonts w:hint="eastAsia" w:ascii="宋体" w:hAnsi="宋体" w:cs="宋体"/>
        </w:rPr>
      </w:pPr>
      <w:r>
        <w:rPr>
          <w:rFonts w:hint="eastAsia" w:ascii="宋体" w:hAnsi="宋体" w:cs="宋体"/>
        </w:rPr>
        <w:t xml:space="preserve">26.4病毒发作导致不能进行正常操作的； </w:t>
      </w:r>
    </w:p>
    <w:p w14:paraId="17555F1B">
      <w:pPr>
        <w:pStyle w:val="130"/>
        <w:snapToGrid w:val="0"/>
        <w:spacing w:before="0"/>
        <w:ind w:firstLine="480"/>
        <w:rPr>
          <w:rFonts w:hint="eastAsia" w:ascii="宋体" w:hAnsi="宋体" w:cs="宋体"/>
        </w:rPr>
      </w:pPr>
      <w:r>
        <w:rPr>
          <w:rFonts w:hint="eastAsia" w:ascii="宋体" w:hAnsi="宋体" w:cs="宋体"/>
        </w:rPr>
        <w:t>26.5其他无法保证电子交易的公平、公正和安全的情况。</w:t>
      </w:r>
    </w:p>
    <w:p w14:paraId="412E4BCD">
      <w:pPr>
        <w:pStyle w:val="130"/>
        <w:snapToGrid w:val="0"/>
        <w:spacing w:before="0"/>
        <w:ind w:firstLine="0" w:firstLineChars="0"/>
        <w:rPr>
          <w:rFonts w:hint="eastAsia" w:ascii="宋体" w:hAnsi="宋体" w:cs="宋体"/>
        </w:rPr>
      </w:pPr>
      <w:r>
        <w:rPr>
          <w:rFonts w:hint="eastAsia" w:ascii="宋体" w:hAnsi="宋体" w:cs="宋体"/>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281ECBC5">
      <w:pPr>
        <w:pStyle w:val="130"/>
        <w:spacing w:before="0"/>
        <w:ind w:firstLine="480"/>
        <w:rPr>
          <w:rFonts w:hint="eastAsia" w:ascii="宋体" w:hAnsi="宋体" w:cs="宋体"/>
        </w:rPr>
      </w:pPr>
    </w:p>
    <w:p w14:paraId="407C054E">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70E458C6">
      <w:pPr>
        <w:pStyle w:val="24"/>
        <w:spacing w:line="360" w:lineRule="auto"/>
        <w:ind w:firstLine="0" w:firstLineChars="0"/>
        <w:rPr>
          <w:rFonts w:hint="eastAsia" w:cs="宋体"/>
          <w:b/>
        </w:rPr>
      </w:pPr>
      <w:r>
        <w:rPr>
          <w:rFonts w:hint="eastAsia" w:cs="宋体"/>
          <w:b/>
        </w:rPr>
        <w:t>28.验收</w:t>
      </w:r>
    </w:p>
    <w:p w14:paraId="032EA329">
      <w:pPr>
        <w:tabs>
          <w:tab w:val="left" w:pos="0"/>
        </w:tabs>
        <w:spacing w:line="360" w:lineRule="auto"/>
        <w:ind w:firstLine="480"/>
        <w:rPr>
          <w:rFonts w:hint="eastAsia" w:ascii="宋体" w:hAnsi="宋体" w:cs="宋体"/>
          <w:b/>
          <w:sz w:val="36"/>
          <w:szCs w:val="36"/>
        </w:rPr>
      </w:pPr>
      <w:r>
        <w:rPr>
          <w:rFonts w:hint="eastAsia" w:ascii="宋体" w:hAnsi="宋体" w:cs="宋体"/>
          <w:kern w:val="0"/>
          <w:sz w:val="24"/>
        </w:rPr>
        <w:t>28.1采购人应当组织对供应商履约的验收。</w:t>
      </w:r>
      <w:bookmarkEnd w:id="13"/>
      <w:bookmarkEnd w:id="14"/>
      <w:bookmarkEnd w:id="15"/>
      <w:bookmarkStart w:id="16" w:name="第四部分"/>
    </w:p>
    <w:p w14:paraId="2F361FDB">
      <w:pPr>
        <w:rPr>
          <w:rFonts w:hint="eastAsia" w:ascii="宋体" w:hAnsi="宋体" w:cs="宋体"/>
          <w:b/>
          <w:sz w:val="36"/>
          <w:szCs w:val="36"/>
        </w:rPr>
      </w:pPr>
      <w:r>
        <w:rPr>
          <w:rFonts w:hint="eastAsia" w:ascii="宋体" w:hAnsi="宋体" w:cs="宋体"/>
          <w:b/>
          <w:sz w:val="36"/>
          <w:szCs w:val="36"/>
        </w:rPr>
        <w:br w:type="page"/>
      </w:r>
    </w:p>
    <w:p w14:paraId="4A70E4BC">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p>
    <w:p w14:paraId="6803D869">
      <w:pPr>
        <w:spacing w:line="360" w:lineRule="auto"/>
        <w:jc w:val="center"/>
        <w:rPr>
          <w:rFonts w:hint="eastAsia" w:ascii="宋体" w:hAnsi="宋体"/>
          <w:b/>
          <w:sz w:val="24"/>
        </w:rPr>
      </w:pPr>
    </w:p>
    <w:p w14:paraId="7692255C">
      <w:pPr>
        <w:spacing w:line="360" w:lineRule="auto"/>
        <w:jc w:val="center"/>
        <w:rPr>
          <w:rFonts w:ascii="宋体"/>
          <w:b/>
          <w:sz w:val="24"/>
        </w:rPr>
      </w:pPr>
      <w:r>
        <w:rPr>
          <w:rFonts w:hint="eastAsia" w:ascii="宋体" w:hAnsi="宋体"/>
          <w:b/>
          <w:sz w:val="24"/>
        </w:rPr>
        <w:t>一、交易一览表</w:t>
      </w:r>
    </w:p>
    <w:p w14:paraId="5FB025DE">
      <w:pPr>
        <w:ind w:firstLine="590" w:firstLineChars="245"/>
        <w:rPr>
          <w:rFonts w:hint="eastAsia" w:ascii="宋体" w:hAnsi="宋体"/>
          <w:b/>
          <w:sz w:val="24"/>
        </w:rPr>
      </w:pPr>
      <w:r>
        <w:rPr>
          <w:rFonts w:hint="eastAsia" w:ascii="宋体" w:hAnsi="宋体"/>
          <w:b/>
          <w:sz w:val="24"/>
        </w:rPr>
        <w:t>标项：一</w:t>
      </w:r>
    </w:p>
    <w:tbl>
      <w:tblPr>
        <w:tblStyle w:val="62"/>
        <w:tblW w:w="0" w:type="auto"/>
        <w:jc w:val="center"/>
        <w:tblLayout w:type="fixed"/>
        <w:tblCellMar>
          <w:top w:w="0" w:type="dxa"/>
          <w:left w:w="0" w:type="dxa"/>
          <w:bottom w:w="0" w:type="dxa"/>
          <w:right w:w="0" w:type="dxa"/>
        </w:tblCellMar>
      </w:tblPr>
      <w:tblGrid>
        <w:gridCol w:w="705"/>
        <w:gridCol w:w="3713"/>
        <w:gridCol w:w="1765"/>
        <w:gridCol w:w="720"/>
        <w:gridCol w:w="720"/>
        <w:gridCol w:w="1271"/>
      </w:tblGrid>
      <w:tr w14:paraId="43AFC124">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A9A1C6">
            <w:pPr>
              <w:jc w:val="center"/>
              <w:rPr>
                <w:rFonts w:hint="eastAsia" w:ascii="宋体" w:hAnsi="宋体"/>
                <w:bCs/>
                <w:sz w:val="24"/>
              </w:rPr>
            </w:pPr>
            <w:r>
              <w:rPr>
                <w:rFonts w:hint="eastAsia" w:ascii="宋体" w:hAnsi="宋体"/>
                <w:bCs/>
                <w:sz w:val="24"/>
              </w:rPr>
              <w:t>序号</w:t>
            </w:r>
          </w:p>
        </w:tc>
        <w:tc>
          <w:tcPr>
            <w:tcW w:w="37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DAFE087">
            <w:pPr>
              <w:jc w:val="center"/>
              <w:rPr>
                <w:rFonts w:hint="eastAsia" w:ascii="宋体" w:hAnsi="宋体"/>
                <w:bCs/>
                <w:sz w:val="24"/>
              </w:rPr>
            </w:pPr>
            <w:r>
              <w:rPr>
                <w:rFonts w:hint="eastAsia" w:ascii="宋体" w:hAnsi="宋体"/>
                <w:bCs/>
                <w:sz w:val="24"/>
              </w:rPr>
              <w:t>名称</w:t>
            </w:r>
          </w:p>
        </w:tc>
        <w:tc>
          <w:tcPr>
            <w:tcW w:w="17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456C56">
            <w:pPr>
              <w:jc w:val="center"/>
              <w:rPr>
                <w:rFonts w:hint="eastAsia" w:ascii="宋体" w:hAnsi="宋体"/>
                <w:bCs/>
                <w:sz w:val="24"/>
              </w:rPr>
            </w:pPr>
            <w:r>
              <w:rPr>
                <w:rFonts w:hint="eastAsia" w:ascii="宋体" w:hAnsi="宋体"/>
                <w:bCs/>
                <w:sz w:val="24"/>
              </w:rPr>
              <w:t>规格型号与参数</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5A2285">
            <w:pPr>
              <w:jc w:val="center"/>
              <w:rPr>
                <w:rFonts w:hint="eastAsia" w:ascii="宋体" w:hAnsi="宋体"/>
                <w:bCs/>
                <w:sz w:val="24"/>
              </w:rPr>
            </w:pPr>
            <w:r>
              <w:rPr>
                <w:rFonts w:hint="eastAsia" w:ascii="宋体" w:hAnsi="宋体"/>
                <w:bCs/>
                <w:sz w:val="24"/>
              </w:rPr>
              <w:t>单位</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EB04C9">
            <w:pPr>
              <w:jc w:val="center"/>
              <w:rPr>
                <w:rFonts w:hint="eastAsia" w:ascii="宋体" w:hAnsi="宋体"/>
                <w:bCs/>
                <w:sz w:val="24"/>
              </w:rPr>
            </w:pPr>
            <w:r>
              <w:rPr>
                <w:rFonts w:hint="eastAsia" w:ascii="宋体" w:hAnsi="宋体"/>
                <w:bCs/>
                <w:sz w:val="24"/>
              </w:rPr>
              <w:t>数量</w:t>
            </w:r>
          </w:p>
        </w:tc>
        <w:tc>
          <w:tcPr>
            <w:tcW w:w="1271" w:type="dxa"/>
            <w:tcBorders>
              <w:top w:val="single" w:color="auto" w:sz="4" w:space="0"/>
              <w:left w:val="nil"/>
              <w:bottom w:val="single" w:color="auto" w:sz="4" w:space="0"/>
              <w:right w:val="single" w:color="auto" w:sz="4" w:space="0"/>
            </w:tcBorders>
            <w:vAlign w:val="center"/>
          </w:tcPr>
          <w:p w14:paraId="0C235CE7">
            <w:pPr>
              <w:jc w:val="center"/>
              <w:rPr>
                <w:rFonts w:hint="eastAsia" w:ascii="宋体" w:hAnsi="宋体"/>
                <w:bCs/>
                <w:sz w:val="24"/>
              </w:rPr>
            </w:pPr>
            <w:r>
              <w:rPr>
                <w:rFonts w:hint="eastAsia" w:ascii="宋体" w:hAnsi="宋体"/>
                <w:bCs/>
                <w:sz w:val="24"/>
              </w:rPr>
              <w:t>备注</w:t>
            </w:r>
          </w:p>
        </w:tc>
      </w:tr>
      <w:tr w14:paraId="19A311BD">
        <w:tblPrEx>
          <w:tblCellMar>
            <w:top w:w="0" w:type="dxa"/>
            <w:left w:w="0" w:type="dxa"/>
            <w:bottom w:w="0" w:type="dxa"/>
            <w:right w:w="0" w:type="dxa"/>
          </w:tblCellMar>
        </w:tblPrEx>
        <w:trPr>
          <w:cantSplit/>
          <w:trHeight w:val="1078"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9156E6">
            <w:pPr>
              <w:jc w:val="center"/>
              <w:rPr>
                <w:rFonts w:hint="eastAsia" w:ascii="宋体" w:hAnsi="宋体"/>
                <w:sz w:val="24"/>
              </w:rPr>
            </w:pPr>
            <w:r>
              <w:rPr>
                <w:rFonts w:hint="eastAsia" w:ascii="宋体" w:hAnsi="宋体"/>
                <w:sz w:val="24"/>
              </w:rPr>
              <w:t>1</w:t>
            </w:r>
          </w:p>
        </w:tc>
        <w:tc>
          <w:tcPr>
            <w:tcW w:w="37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BF80B6">
            <w:pPr>
              <w:jc w:val="center"/>
              <w:rPr>
                <w:rFonts w:hint="eastAsia" w:ascii="宋体" w:hAnsi="宋体" w:cs="宋体"/>
                <w:bCs/>
                <w:kern w:val="0"/>
                <w:sz w:val="24"/>
              </w:rPr>
            </w:pPr>
            <w:r>
              <w:rPr>
                <w:rFonts w:hint="eastAsia" w:ascii="宋体" w:hAnsi="宋体" w:cs="宋体"/>
                <w:bCs/>
                <w:kern w:val="0"/>
                <w:sz w:val="24"/>
              </w:rPr>
              <w:t>机场高速公司机电维保服务采购项目</w:t>
            </w:r>
          </w:p>
        </w:tc>
        <w:tc>
          <w:tcPr>
            <w:tcW w:w="17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B980B5">
            <w:pPr>
              <w:jc w:val="center"/>
              <w:rPr>
                <w:rFonts w:hint="eastAsia" w:ascii="宋体" w:hAnsi="宋体" w:cs="宋体"/>
                <w:bCs/>
                <w:kern w:val="0"/>
                <w:sz w:val="24"/>
              </w:rPr>
            </w:pPr>
            <w:r>
              <w:rPr>
                <w:rFonts w:hint="eastAsia" w:ascii="宋体" w:hAnsi="宋体" w:cs="宋体"/>
                <w:bCs/>
                <w:kern w:val="0"/>
                <w:sz w:val="24"/>
              </w:rPr>
              <w:t>详见交易需求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8BA19B">
            <w:pPr>
              <w:jc w:val="center"/>
              <w:rPr>
                <w:rFonts w:hint="eastAsia" w:ascii="宋体" w:hAnsi="宋体"/>
                <w:sz w:val="24"/>
              </w:rPr>
            </w:pPr>
            <w:r>
              <w:rPr>
                <w:rFonts w:hint="eastAsia" w:ascii="宋体" w:hAnsi="宋体"/>
                <w:sz w:val="24"/>
              </w:rPr>
              <w:t>项</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C388E8">
            <w:pPr>
              <w:jc w:val="center"/>
              <w:rPr>
                <w:rFonts w:hint="eastAsia" w:ascii="宋体" w:hAnsi="宋体"/>
                <w:sz w:val="24"/>
              </w:rPr>
            </w:pPr>
            <w:r>
              <w:rPr>
                <w:rFonts w:hint="eastAsia" w:ascii="宋体" w:hAnsi="宋体"/>
                <w:sz w:val="24"/>
              </w:rPr>
              <w:t>1</w:t>
            </w:r>
          </w:p>
        </w:tc>
        <w:tc>
          <w:tcPr>
            <w:tcW w:w="1271" w:type="dxa"/>
            <w:tcBorders>
              <w:top w:val="single" w:color="auto" w:sz="4" w:space="0"/>
              <w:left w:val="nil"/>
              <w:bottom w:val="single" w:color="auto" w:sz="4" w:space="0"/>
              <w:right w:val="single" w:color="auto" w:sz="4" w:space="0"/>
            </w:tcBorders>
            <w:vAlign w:val="center"/>
          </w:tcPr>
          <w:p w14:paraId="7D67FEB3">
            <w:pPr>
              <w:rPr>
                <w:rFonts w:hint="eastAsia" w:ascii="宋体" w:hAnsi="宋体"/>
                <w:sz w:val="24"/>
              </w:rPr>
            </w:pPr>
            <w:r>
              <w:rPr>
                <w:rFonts w:hint="eastAsia" w:ascii="宋体" w:hAnsi="宋体"/>
                <w:sz w:val="24"/>
              </w:rPr>
              <w:t xml:space="preserve"> </w:t>
            </w:r>
          </w:p>
        </w:tc>
      </w:tr>
    </w:tbl>
    <w:p w14:paraId="1FEC4B1D">
      <w:pPr>
        <w:autoSpaceDE w:val="0"/>
        <w:autoSpaceDN w:val="0"/>
        <w:spacing w:after="120" w:afterLines="50" w:line="300" w:lineRule="exact"/>
        <w:jc w:val="center"/>
        <w:rPr>
          <w:rFonts w:hint="eastAsia" w:ascii="宋体" w:hAnsi="宋体"/>
          <w:b/>
          <w:sz w:val="18"/>
          <w:szCs w:val="18"/>
        </w:rPr>
      </w:pPr>
    </w:p>
    <w:p w14:paraId="470A6E01">
      <w:pPr>
        <w:autoSpaceDE w:val="0"/>
        <w:autoSpaceDN w:val="0"/>
        <w:spacing w:after="120" w:afterLines="50" w:line="440" w:lineRule="exact"/>
        <w:jc w:val="center"/>
        <w:rPr>
          <w:rFonts w:hint="eastAsia" w:ascii="宋体" w:hAnsi="宋体"/>
          <w:b/>
          <w:sz w:val="28"/>
          <w:szCs w:val="28"/>
        </w:rPr>
      </w:pPr>
      <w:r>
        <w:rPr>
          <w:rFonts w:hint="eastAsia" w:ascii="宋体" w:hAnsi="宋体"/>
          <w:b/>
          <w:sz w:val="28"/>
          <w:szCs w:val="28"/>
        </w:rPr>
        <w:t>二、交易需求</w:t>
      </w:r>
    </w:p>
    <w:p w14:paraId="762AE75D">
      <w:pPr>
        <w:pStyle w:val="23"/>
        <w:numPr>
          <w:ilvl w:val="0"/>
          <w:numId w:val="1"/>
        </w:numPr>
        <w:spacing w:line="360" w:lineRule="exact"/>
        <w:rPr>
          <w:rFonts w:hint="eastAsia" w:hAnsi="宋体" w:cs="仿宋"/>
          <w:b/>
          <w:bCs/>
        </w:rPr>
      </w:pPr>
      <w:r>
        <w:rPr>
          <w:rFonts w:hint="eastAsia" w:hAnsi="宋体" w:cs="仿宋"/>
          <w:b/>
          <w:bCs/>
        </w:rPr>
        <w:t>技术需求</w:t>
      </w:r>
    </w:p>
    <w:p w14:paraId="66FAD42B">
      <w:pPr>
        <w:spacing w:line="360" w:lineRule="auto"/>
        <w:rPr>
          <w:rFonts w:hint="eastAsia" w:ascii="宋体" w:hAnsi="宋体" w:cs="宋体"/>
          <w:b/>
          <w:bCs/>
          <w:sz w:val="24"/>
        </w:rPr>
      </w:pPr>
      <w:r>
        <w:rPr>
          <w:rFonts w:hint="eastAsia" w:ascii="宋体" w:hAnsi="宋体" w:cs="宋体"/>
          <w:b/>
          <w:bCs/>
          <w:sz w:val="24"/>
        </w:rPr>
        <w:t>一、项目概况</w:t>
      </w:r>
    </w:p>
    <w:p w14:paraId="3FAA595A">
      <w:pPr>
        <w:pStyle w:val="798"/>
        <w:rPr>
          <w:rFonts w:hint="eastAsia" w:hAnsi="宋体" w:cs="宋体"/>
        </w:rPr>
      </w:pPr>
      <w:r>
        <w:rPr>
          <w:rFonts w:hint="eastAsia" w:hAnsi="宋体" w:cs="宋体"/>
        </w:rPr>
        <w:t>萧山机场高速路是连接杭州主城区、江南副城与杭州萧山国际机场及大江东产业集聚区、空港新城间的骨架道路，也是与杭甬高速公路、杭金衢高速公路及杭州“三纵五横”城市快速路网紧密相连的重要通道，全长19.55公里。</w:t>
      </w:r>
    </w:p>
    <w:p w14:paraId="0532A279">
      <w:pPr>
        <w:pStyle w:val="798"/>
        <w:rPr>
          <w:rFonts w:hint="eastAsia" w:hAnsi="宋体" w:cs="宋体"/>
        </w:rPr>
      </w:pPr>
      <w:r>
        <w:rPr>
          <w:rFonts w:hint="eastAsia" w:hAnsi="宋体" w:cs="宋体"/>
        </w:rPr>
        <w:t>本项目维护范围为萧山机场高速路全路段内的智能化设备，为保证智能交通、收费、通信、监控稳定地运行，以便在道路规划建设、交通管理、公众出行中继续发挥应有的作用，需要持续对上述设施进行日常维护。</w:t>
      </w:r>
    </w:p>
    <w:p w14:paraId="028FA818">
      <w:pPr>
        <w:pStyle w:val="798"/>
        <w:ind w:firstLine="0" w:firstLineChars="0"/>
        <w:rPr>
          <w:rFonts w:hint="eastAsia" w:hAnsi="宋体" w:cs="宋体"/>
          <w:b/>
          <w:bCs/>
        </w:rPr>
      </w:pPr>
      <w:r>
        <w:rPr>
          <w:rFonts w:hint="eastAsia" w:hAnsi="宋体" w:cs="宋体"/>
          <w:b/>
          <w:bCs/>
        </w:rPr>
        <w:t>二、</w:t>
      </w:r>
      <w:r>
        <w:rPr>
          <w:b/>
          <w:bCs/>
          <w:spacing w:val="12"/>
        </w:rPr>
        <w:t>工作内容和范围</w:t>
      </w:r>
    </w:p>
    <w:tbl>
      <w:tblPr>
        <w:tblStyle w:val="965"/>
        <w:tblW w:w="8321"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2406"/>
        <w:gridCol w:w="4950"/>
      </w:tblGrid>
      <w:tr w14:paraId="0E783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65" w:type="dxa"/>
          </w:tcPr>
          <w:p w14:paraId="5C3053AB">
            <w:pPr>
              <w:pStyle w:val="339"/>
              <w:spacing w:before="262" w:line="229" w:lineRule="auto"/>
              <w:ind w:left="264"/>
            </w:pPr>
          </w:p>
        </w:tc>
        <w:tc>
          <w:tcPr>
            <w:tcW w:w="2406" w:type="dxa"/>
          </w:tcPr>
          <w:p w14:paraId="4506B4BE">
            <w:pPr>
              <w:pStyle w:val="339"/>
              <w:spacing w:before="262" w:line="229" w:lineRule="auto"/>
              <w:jc w:val="center"/>
            </w:pPr>
            <w:r>
              <w:rPr>
                <w:b/>
                <w:bCs/>
                <w:spacing w:val="10"/>
              </w:rPr>
              <w:t>名</w:t>
            </w:r>
            <w:r>
              <w:rPr>
                <w:rFonts w:hint="eastAsia"/>
                <w:b/>
                <w:bCs/>
                <w:spacing w:val="10"/>
              </w:rPr>
              <w:t xml:space="preserve"> </w:t>
            </w:r>
            <w:r>
              <w:rPr>
                <w:b/>
                <w:bCs/>
                <w:spacing w:val="10"/>
              </w:rPr>
              <w:t>称</w:t>
            </w:r>
          </w:p>
        </w:tc>
        <w:tc>
          <w:tcPr>
            <w:tcW w:w="4950" w:type="dxa"/>
          </w:tcPr>
          <w:p w14:paraId="2D50C3E7">
            <w:pPr>
              <w:pStyle w:val="339"/>
              <w:spacing w:before="262" w:line="228" w:lineRule="auto"/>
              <w:jc w:val="center"/>
            </w:pPr>
            <w:r>
              <w:rPr>
                <w:b/>
                <w:bCs/>
                <w:spacing w:val="12"/>
              </w:rPr>
              <w:t>工作内容和范围</w:t>
            </w:r>
          </w:p>
        </w:tc>
      </w:tr>
      <w:tr w14:paraId="34170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65" w:type="dxa"/>
          </w:tcPr>
          <w:p w14:paraId="34F4425F">
            <w:pPr>
              <w:pStyle w:val="339"/>
              <w:spacing w:before="73" w:line="190" w:lineRule="auto"/>
              <w:ind w:left="337"/>
            </w:pPr>
            <w:r>
              <w:rPr>
                <w:spacing w:val="1"/>
              </w:rPr>
              <w:t>201</w:t>
            </w:r>
          </w:p>
        </w:tc>
        <w:tc>
          <w:tcPr>
            <w:tcW w:w="2406" w:type="dxa"/>
          </w:tcPr>
          <w:p w14:paraId="19A2F933">
            <w:pPr>
              <w:pStyle w:val="339"/>
              <w:spacing w:before="43" w:line="228" w:lineRule="auto"/>
              <w:ind w:left="4" w:hanging="4"/>
              <w:jc w:val="center"/>
            </w:pPr>
            <w:r>
              <w:rPr>
                <w:spacing w:val="-3"/>
              </w:rPr>
              <w:t>日常</w:t>
            </w:r>
            <w:r>
              <w:rPr>
                <w:rFonts w:hint="eastAsia"/>
                <w:spacing w:val="-3"/>
              </w:rPr>
              <w:t>巡检维修</w:t>
            </w:r>
          </w:p>
        </w:tc>
        <w:tc>
          <w:tcPr>
            <w:tcW w:w="4950" w:type="dxa"/>
          </w:tcPr>
          <w:p w14:paraId="1C3EE655">
            <w:pPr>
              <w:rPr>
                <w:rFonts w:ascii="Arial"/>
              </w:rPr>
            </w:pPr>
          </w:p>
        </w:tc>
      </w:tr>
      <w:tr w14:paraId="50C49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65" w:type="dxa"/>
          </w:tcPr>
          <w:p w14:paraId="72340EB3">
            <w:pPr>
              <w:pStyle w:val="339"/>
              <w:spacing w:before="276" w:line="190" w:lineRule="auto"/>
              <w:ind w:left="232"/>
            </w:pPr>
            <w:r>
              <w:rPr>
                <w:spacing w:val="3"/>
              </w:rPr>
              <w:t>201-1</w:t>
            </w:r>
          </w:p>
        </w:tc>
        <w:tc>
          <w:tcPr>
            <w:tcW w:w="2406" w:type="dxa"/>
          </w:tcPr>
          <w:p w14:paraId="5224E927">
            <w:pPr>
              <w:pStyle w:val="339"/>
              <w:spacing w:before="245" w:line="228" w:lineRule="auto"/>
            </w:pPr>
            <w:r>
              <w:rPr>
                <w:spacing w:val="8"/>
              </w:rPr>
              <w:t>智能交通系统</w:t>
            </w:r>
          </w:p>
        </w:tc>
        <w:tc>
          <w:tcPr>
            <w:tcW w:w="4950" w:type="dxa"/>
          </w:tcPr>
          <w:p w14:paraId="6D116E62">
            <w:pPr>
              <w:pStyle w:val="339"/>
              <w:spacing w:before="211" w:line="277" w:lineRule="auto"/>
              <w:ind w:left="128" w:right="339" w:hanging="10"/>
            </w:pPr>
            <w:r>
              <w:rPr>
                <w:spacing w:val="8"/>
              </w:rPr>
              <w:t>含外场摄像机、情报板、视频车检器、抓拍系统、匝道违停系统、匝道抓拍系统等</w:t>
            </w:r>
          </w:p>
        </w:tc>
      </w:tr>
      <w:tr w14:paraId="7AE52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965" w:type="dxa"/>
          </w:tcPr>
          <w:p w14:paraId="1FFD657C">
            <w:pPr>
              <w:pStyle w:val="339"/>
              <w:spacing w:before="237" w:line="190" w:lineRule="auto"/>
              <w:ind w:left="232"/>
            </w:pPr>
            <w:r>
              <w:rPr>
                <w:spacing w:val="4"/>
              </w:rPr>
              <w:t>201-2</w:t>
            </w:r>
          </w:p>
        </w:tc>
        <w:tc>
          <w:tcPr>
            <w:tcW w:w="2406" w:type="dxa"/>
          </w:tcPr>
          <w:p w14:paraId="572AFDA5">
            <w:pPr>
              <w:pStyle w:val="339"/>
              <w:spacing w:before="207" w:line="228" w:lineRule="auto"/>
            </w:pPr>
            <w:r>
              <w:rPr>
                <w:spacing w:val="14"/>
              </w:rPr>
              <w:t>监控系统</w:t>
            </w:r>
          </w:p>
        </w:tc>
        <w:tc>
          <w:tcPr>
            <w:tcW w:w="4950" w:type="dxa"/>
          </w:tcPr>
          <w:p w14:paraId="2751743E">
            <w:pPr>
              <w:pStyle w:val="339"/>
              <w:spacing w:before="175" w:line="272" w:lineRule="auto"/>
              <w:ind w:left="117" w:right="305"/>
            </w:pPr>
            <w:r>
              <w:rPr>
                <w:spacing w:val="9"/>
              </w:rPr>
              <w:t>摄像机、光平台、云平台、客户端、监控大屏、存储与分发服务器</w:t>
            </w:r>
            <w:r>
              <w:rPr>
                <w:rFonts w:hint="eastAsia"/>
                <w:spacing w:val="9"/>
              </w:rPr>
              <w:t>、网络交换</w:t>
            </w:r>
            <w:r>
              <w:rPr>
                <w:spacing w:val="9"/>
              </w:rPr>
              <w:t>等</w:t>
            </w:r>
          </w:p>
        </w:tc>
      </w:tr>
      <w:tr w14:paraId="641BF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965" w:type="dxa"/>
          </w:tcPr>
          <w:p w14:paraId="43CC065F">
            <w:pPr>
              <w:pStyle w:val="339"/>
              <w:spacing w:before="241" w:line="190" w:lineRule="auto"/>
              <w:ind w:left="232"/>
            </w:pPr>
            <w:r>
              <w:rPr>
                <w:spacing w:val="4"/>
              </w:rPr>
              <w:t>201-3</w:t>
            </w:r>
          </w:p>
        </w:tc>
        <w:tc>
          <w:tcPr>
            <w:tcW w:w="2406" w:type="dxa"/>
          </w:tcPr>
          <w:p w14:paraId="051D3478">
            <w:pPr>
              <w:pStyle w:val="339"/>
              <w:spacing w:before="210" w:line="228" w:lineRule="auto"/>
            </w:pPr>
            <w:r>
              <w:rPr>
                <w:spacing w:val="9"/>
              </w:rPr>
              <w:t>收费系统</w:t>
            </w:r>
          </w:p>
        </w:tc>
        <w:tc>
          <w:tcPr>
            <w:tcW w:w="4950" w:type="dxa"/>
          </w:tcPr>
          <w:p w14:paraId="4C729DC9">
            <w:pPr>
              <w:pStyle w:val="339"/>
              <w:spacing w:before="189" w:line="267" w:lineRule="auto"/>
              <w:ind w:left="125" w:right="204" w:hanging="7"/>
            </w:pPr>
            <w:r>
              <w:rPr>
                <w:spacing w:val="10"/>
              </w:rPr>
              <w:t>服务器、</w:t>
            </w:r>
            <w:r>
              <w:t>ETC</w:t>
            </w:r>
            <w:r>
              <w:rPr>
                <w:spacing w:val="10"/>
              </w:rPr>
              <w:t>车道天线、栏杆</w:t>
            </w:r>
            <w:r>
              <w:rPr>
                <w:rFonts w:hint="eastAsia"/>
                <w:spacing w:val="10"/>
              </w:rPr>
              <w:t>机</w:t>
            </w:r>
            <w:r>
              <w:rPr>
                <w:spacing w:val="10"/>
              </w:rPr>
              <w:t>、车牌识别、</w:t>
            </w:r>
            <w:r>
              <w:rPr>
                <w:rFonts w:hint="eastAsia"/>
                <w:spacing w:val="10"/>
              </w:rPr>
              <w:t>缴费机、车道控制系统、</w:t>
            </w:r>
            <w:r>
              <w:rPr>
                <w:spacing w:val="10"/>
              </w:rPr>
              <w:t>治超</w:t>
            </w:r>
            <w:r>
              <w:rPr>
                <w:spacing w:val="8"/>
              </w:rPr>
              <w:t>设备</w:t>
            </w:r>
            <w:r>
              <w:rPr>
                <w:rFonts w:hint="eastAsia"/>
                <w:spacing w:val="8"/>
              </w:rPr>
              <w:t>、网络交换</w:t>
            </w:r>
            <w:r>
              <w:rPr>
                <w:spacing w:val="8"/>
              </w:rPr>
              <w:t>等</w:t>
            </w:r>
          </w:p>
        </w:tc>
      </w:tr>
      <w:tr w14:paraId="40CAB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965" w:type="dxa"/>
          </w:tcPr>
          <w:p w14:paraId="20217660">
            <w:pPr>
              <w:pStyle w:val="339"/>
              <w:spacing w:before="240" w:line="190" w:lineRule="auto"/>
              <w:ind w:left="232"/>
            </w:pPr>
            <w:r>
              <w:rPr>
                <w:spacing w:val="4"/>
              </w:rPr>
              <w:t>201-4</w:t>
            </w:r>
          </w:p>
        </w:tc>
        <w:tc>
          <w:tcPr>
            <w:tcW w:w="2406" w:type="dxa"/>
          </w:tcPr>
          <w:p w14:paraId="3EC6F7F3">
            <w:pPr>
              <w:pStyle w:val="339"/>
              <w:spacing w:before="210" w:line="228" w:lineRule="auto"/>
              <w:ind w:left="582"/>
            </w:pPr>
            <w:r>
              <w:rPr>
                <w:spacing w:val="15"/>
              </w:rPr>
              <w:t>通信系统</w:t>
            </w:r>
          </w:p>
        </w:tc>
        <w:tc>
          <w:tcPr>
            <w:tcW w:w="4950" w:type="dxa"/>
          </w:tcPr>
          <w:p w14:paraId="7222EC28">
            <w:pPr>
              <w:pStyle w:val="339"/>
              <w:spacing w:before="191" w:line="266" w:lineRule="auto"/>
              <w:ind w:left="157" w:right="296" w:hanging="39"/>
            </w:pPr>
            <w:r>
              <w:rPr>
                <w:spacing w:val="10"/>
              </w:rPr>
              <w:t>含接入传输通信网设备、网络设备、物理链路等</w:t>
            </w:r>
          </w:p>
        </w:tc>
      </w:tr>
      <w:tr w14:paraId="35BC5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65" w:type="dxa"/>
          </w:tcPr>
          <w:p w14:paraId="3B735B2B">
            <w:pPr>
              <w:pStyle w:val="339"/>
              <w:spacing w:before="242" w:line="190" w:lineRule="auto"/>
              <w:ind w:left="232"/>
            </w:pPr>
            <w:r>
              <w:rPr>
                <w:spacing w:val="4"/>
              </w:rPr>
              <w:t>201-5</w:t>
            </w:r>
          </w:p>
        </w:tc>
        <w:tc>
          <w:tcPr>
            <w:tcW w:w="2406" w:type="dxa"/>
          </w:tcPr>
          <w:p w14:paraId="537D43C2">
            <w:pPr>
              <w:pStyle w:val="339"/>
              <w:spacing w:before="212" w:line="228" w:lineRule="auto"/>
              <w:ind w:left="301"/>
            </w:pPr>
            <w:r>
              <w:rPr>
                <w:spacing w:val="9"/>
              </w:rPr>
              <w:t>分中心控制系统</w:t>
            </w:r>
          </w:p>
        </w:tc>
        <w:tc>
          <w:tcPr>
            <w:tcW w:w="4950" w:type="dxa"/>
          </w:tcPr>
          <w:p w14:paraId="079D39BB">
            <w:pPr>
              <w:pStyle w:val="339"/>
              <w:spacing w:before="192" w:line="266" w:lineRule="auto"/>
              <w:ind w:left="120" w:right="298" w:hanging="2"/>
            </w:pPr>
            <w:r>
              <w:rPr>
                <w:spacing w:val="9"/>
              </w:rPr>
              <w:t>监控、广播、紧急电话控制系统、监视等</w:t>
            </w:r>
          </w:p>
        </w:tc>
      </w:tr>
      <w:tr w14:paraId="064F4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965" w:type="dxa"/>
          </w:tcPr>
          <w:p w14:paraId="163B4278">
            <w:pPr>
              <w:pStyle w:val="339"/>
              <w:spacing w:before="246" w:line="190" w:lineRule="auto"/>
              <w:ind w:left="232"/>
            </w:pPr>
            <w:r>
              <w:rPr>
                <w:spacing w:val="4"/>
              </w:rPr>
              <w:t>201-6</w:t>
            </w:r>
          </w:p>
        </w:tc>
        <w:tc>
          <w:tcPr>
            <w:tcW w:w="2406" w:type="dxa"/>
          </w:tcPr>
          <w:p w14:paraId="7A71BA3A">
            <w:pPr>
              <w:pStyle w:val="339"/>
              <w:spacing w:before="215" w:line="228" w:lineRule="auto"/>
              <w:jc w:val="center"/>
            </w:pPr>
            <w:r>
              <w:rPr>
                <w:spacing w:val="13"/>
              </w:rPr>
              <w:t>备品备件管理</w:t>
            </w:r>
          </w:p>
        </w:tc>
        <w:tc>
          <w:tcPr>
            <w:tcW w:w="4950" w:type="dxa"/>
          </w:tcPr>
          <w:p w14:paraId="78022B98">
            <w:pPr>
              <w:pStyle w:val="339"/>
              <w:spacing w:before="199" w:line="266" w:lineRule="auto"/>
              <w:ind w:left="153" w:right="142" w:hanging="33"/>
            </w:pPr>
            <w:r>
              <w:rPr>
                <w:spacing w:val="20"/>
              </w:rPr>
              <w:t>承包人协助业主做好相关备品备件</w:t>
            </w:r>
            <w:r>
              <w:rPr>
                <w:spacing w:val="10"/>
              </w:rPr>
              <w:t>的保管、维护工作。</w:t>
            </w:r>
          </w:p>
        </w:tc>
      </w:tr>
      <w:tr w14:paraId="4C223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965" w:type="dxa"/>
          </w:tcPr>
          <w:p w14:paraId="2B983755">
            <w:pPr>
              <w:pStyle w:val="339"/>
              <w:spacing w:before="246" w:line="190" w:lineRule="auto"/>
              <w:ind w:left="232"/>
              <w:rPr>
                <w:spacing w:val="4"/>
              </w:rPr>
            </w:pPr>
            <w:r>
              <w:rPr>
                <w:rFonts w:hint="eastAsia"/>
                <w:spacing w:val="4"/>
              </w:rPr>
              <w:t>201-7</w:t>
            </w:r>
          </w:p>
        </w:tc>
        <w:tc>
          <w:tcPr>
            <w:tcW w:w="2406" w:type="dxa"/>
          </w:tcPr>
          <w:p w14:paraId="098F85A8">
            <w:pPr>
              <w:pStyle w:val="339"/>
              <w:spacing w:before="215" w:line="228" w:lineRule="auto"/>
              <w:jc w:val="center"/>
              <w:rPr>
                <w:spacing w:val="13"/>
              </w:rPr>
            </w:pPr>
            <w:r>
              <w:rPr>
                <w:spacing w:val="9"/>
              </w:rPr>
              <w:t>沿线电缆</w:t>
            </w:r>
          </w:p>
        </w:tc>
        <w:tc>
          <w:tcPr>
            <w:tcW w:w="4950" w:type="dxa"/>
          </w:tcPr>
          <w:p w14:paraId="62074656">
            <w:pPr>
              <w:pStyle w:val="339"/>
              <w:spacing w:before="199" w:line="266" w:lineRule="auto"/>
              <w:ind w:left="153" w:right="142" w:hanging="33"/>
              <w:rPr>
                <w:spacing w:val="20"/>
              </w:rPr>
            </w:pPr>
            <w:r>
              <w:rPr>
                <w:spacing w:val="9"/>
              </w:rPr>
              <w:t>沿线电缆、光缆的日常检查、应急抢修</w:t>
            </w:r>
          </w:p>
        </w:tc>
      </w:tr>
      <w:tr w14:paraId="2DC8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965" w:type="dxa"/>
          </w:tcPr>
          <w:p w14:paraId="577C638C">
            <w:pPr>
              <w:pStyle w:val="339"/>
              <w:spacing w:before="246" w:line="190" w:lineRule="auto"/>
              <w:ind w:left="232"/>
              <w:rPr>
                <w:spacing w:val="4"/>
              </w:rPr>
            </w:pPr>
            <w:r>
              <w:rPr>
                <w:rFonts w:hint="eastAsia"/>
                <w:spacing w:val="4"/>
              </w:rPr>
              <w:t>201-8</w:t>
            </w:r>
          </w:p>
        </w:tc>
        <w:tc>
          <w:tcPr>
            <w:tcW w:w="2406" w:type="dxa"/>
          </w:tcPr>
          <w:p w14:paraId="5A03DB82">
            <w:pPr>
              <w:pStyle w:val="339"/>
              <w:spacing w:before="215" w:line="228" w:lineRule="auto"/>
              <w:jc w:val="center"/>
              <w:rPr>
                <w:spacing w:val="13"/>
              </w:rPr>
            </w:pPr>
            <w:r>
              <w:rPr>
                <w:rFonts w:hint="eastAsia"/>
                <w:spacing w:val="8"/>
              </w:rPr>
              <w:t>其它附属设备</w:t>
            </w:r>
          </w:p>
        </w:tc>
        <w:tc>
          <w:tcPr>
            <w:tcW w:w="4950" w:type="dxa"/>
          </w:tcPr>
          <w:p w14:paraId="6108E869">
            <w:pPr>
              <w:pStyle w:val="339"/>
              <w:spacing w:before="199" w:line="266" w:lineRule="auto"/>
              <w:ind w:left="153" w:right="142" w:hanging="33"/>
              <w:rPr>
                <w:spacing w:val="20"/>
              </w:rPr>
            </w:pPr>
            <w:r>
              <w:rPr>
                <w:spacing w:val="8"/>
              </w:rPr>
              <w:t>防雷系统、</w:t>
            </w:r>
            <w:r>
              <w:rPr>
                <w:spacing w:val="9"/>
              </w:rPr>
              <w:t>低压线路</w:t>
            </w:r>
            <w:r>
              <w:rPr>
                <w:rFonts w:hint="eastAsia"/>
                <w:spacing w:val="-2"/>
              </w:rPr>
              <w:t>等</w:t>
            </w:r>
            <w:r>
              <w:rPr>
                <w:spacing w:val="9"/>
              </w:rPr>
              <w:t>日常维保</w:t>
            </w:r>
          </w:p>
        </w:tc>
      </w:tr>
      <w:tr w14:paraId="75CCB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965" w:type="dxa"/>
          </w:tcPr>
          <w:p w14:paraId="0FD328E2">
            <w:pPr>
              <w:pStyle w:val="339"/>
              <w:spacing w:before="246" w:line="190" w:lineRule="auto"/>
              <w:ind w:left="232"/>
              <w:rPr>
                <w:spacing w:val="4"/>
              </w:rPr>
            </w:pPr>
            <w:r>
              <w:rPr>
                <w:rFonts w:hint="eastAsia"/>
                <w:spacing w:val="4"/>
              </w:rPr>
              <w:t>201-9</w:t>
            </w:r>
          </w:p>
        </w:tc>
        <w:tc>
          <w:tcPr>
            <w:tcW w:w="2406" w:type="dxa"/>
          </w:tcPr>
          <w:p w14:paraId="32D423B2">
            <w:pPr>
              <w:pStyle w:val="339"/>
              <w:spacing w:before="215" w:line="228" w:lineRule="auto"/>
              <w:jc w:val="center"/>
              <w:rPr>
                <w:spacing w:val="8"/>
              </w:rPr>
            </w:pPr>
            <w:r>
              <w:rPr>
                <w:rFonts w:hint="eastAsia"/>
                <w:spacing w:val="8"/>
              </w:rPr>
              <w:t>技术支持</w:t>
            </w:r>
          </w:p>
        </w:tc>
        <w:tc>
          <w:tcPr>
            <w:tcW w:w="4950" w:type="dxa"/>
          </w:tcPr>
          <w:p w14:paraId="0F6A22FB">
            <w:pPr>
              <w:pStyle w:val="339"/>
              <w:spacing w:before="199" w:line="266" w:lineRule="auto"/>
              <w:ind w:left="153" w:right="142" w:hanging="33"/>
              <w:rPr>
                <w:spacing w:val="8"/>
              </w:rPr>
            </w:pPr>
            <w:r>
              <w:rPr>
                <w:rFonts w:hint="eastAsia"/>
                <w:spacing w:val="8"/>
              </w:rPr>
              <w:t>各系统间协调及其它相关</w:t>
            </w:r>
            <w:r>
              <w:rPr>
                <w:spacing w:val="8"/>
              </w:rPr>
              <w:t>技术支持</w:t>
            </w:r>
          </w:p>
        </w:tc>
      </w:tr>
    </w:tbl>
    <w:p w14:paraId="4A87A6DD">
      <w:pPr>
        <w:pStyle w:val="798"/>
        <w:ind w:firstLine="0" w:firstLineChars="0"/>
        <w:rPr>
          <w:rFonts w:hint="eastAsia" w:hAnsi="宋体" w:cs="宋体"/>
          <w:b/>
          <w:bCs/>
        </w:rPr>
      </w:pPr>
    </w:p>
    <w:p w14:paraId="51194F6A">
      <w:pPr>
        <w:pStyle w:val="798"/>
        <w:ind w:firstLine="0" w:firstLineChars="0"/>
        <w:rPr>
          <w:rFonts w:hint="eastAsia" w:hAnsi="宋体" w:cs="宋体"/>
          <w:b/>
          <w:bCs/>
        </w:rPr>
      </w:pPr>
      <w:r>
        <w:rPr>
          <w:rFonts w:hint="eastAsia" w:hAnsi="宋体" w:cs="宋体"/>
          <w:b/>
          <w:bCs/>
        </w:rPr>
        <w:t>三、维护范围</w:t>
      </w:r>
    </w:p>
    <w:p w14:paraId="53087B42">
      <w:pPr>
        <w:pStyle w:val="798"/>
        <w:rPr>
          <w:rFonts w:hint="eastAsia" w:hAnsi="宋体" w:cs="宋体"/>
        </w:rPr>
      </w:pPr>
      <w:r>
        <w:rPr>
          <w:rFonts w:hint="eastAsia" w:hAnsi="宋体" w:cs="宋体"/>
        </w:rPr>
        <w:t>萧山机场高速公司所辖机场高速路全线S4k0-250--k18+750，路段互通区、下辖收费站和分中心。本次进行萧山机场高速路智能交通、收费、通信、监控维护项目，包括萧山机场高速路范围内的交通诱导、交通监视、交通信号、智能卡口等智能交通系统外场设备维护；收费站广场监控及公司自建路段监控、情报板、机电设施；公司所辖收费站的联网收费系统、通信系统、监控系统、治超系统、视频云系统等。</w:t>
      </w:r>
    </w:p>
    <w:p w14:paraId="076D8672">
      <w:pPr>
        <w:pStyle w:val="798"/>
        <w:rPr>
          <w:rFonts w:hint="eastAsia" w:hAnsi="宋体" w:cs="宋体"/>
        </w:rPr>
      </w:pPr>
      <w:r>
        <w:rPr>
          <w:rFonts w:hint="eastAsia" w:hAnsi="宋体" w:cs="宋体"/>
        </w:rPr>
        <w:t>确保路段内各平台设备运行情况完好，由于S4道路的特殊性，内含各类部省、市区级的平台与设备，在响应与保障力量上要加强。</w:t>
      </w:r>
    </w:p>
    <w:p w14:paraId="0FCB735F">
      <w:pPr>
        <w:pStyle w:val="798"/>
        <w:ind w:firstLine="482"/>
        <w:rPr>
          <w:rFonts w:hint="eastAsia" w:hAnsi="宋体" w:cs="宋体"/>
          <w:b/>
        </w:rPr>
      </w:pPr>
      <w:r>
        <w:rPr>
          <w:rFonts w:hint="eastAsia" w:hAnsi="宋体" w:cs="宋体"/>
          <w:b/>
        </w:rPr>
        <w:t>注：如清单中未包含的设备，在服务期内，由供应商负责维护（仍在质保期内设备除外）。</w:t>
      </w:r>
    </w:p>
    <w:p w14:paraId="0B15C095">
      <w:pPr>
        <w:pStyle w:val="798"/>
        <w:numPr>
          <w:ilvl w:val="0"/>
          <w:numId w:val="2"/>
        </w:numPr>
        <w:ind w:firstLine="0" w:firstLineChars="0"/>
        <w:rPr>
          <w:rFonts w:hint="eastAsia" w:hAnsi="宋体" w:cs="宋体"/>
          <w:b/>
        </w:rPr>
      </w:pPr>
      <w:r>
        <w:rPr>
          <w:rFonts w:hint="eastAsia" w:hAnsi="宋体" w:cs="宋体"/>
          <w:b/>
        </w:rPr>
        <w:t>人员及岗位</w:t>
      </w:r>
      <w:r>
        <w:rPr>
          <w:rFonts w:hAnsi="宋体" w:cs="宋体"/>
          <w:b/>
          <w:bCs/>
          <w:spacing w:val="-8"/>
          <w:szCs w:val="24"/>
        </w:rPr>
        <w:t>职责</w:t>
      </w:r>
      <w:r>
        <w:rPr>
          <w:rFonts w:hint="eastAsia" w:hAnsi="宋体" w:cs="宋体"/>
          <w:b/>
        </w:rPr>
        <w:t>要求</w:t>
      </w:r>
    </w:p>
    <w:p w14:paraId="5C89C907">
      <w:pPr>
        <w:pStyle w:val="798"/>
        <w:ind w:firstLine="420" w:firstLineChars="0"/>
        <w:rPr>
          <w:rFonts w:hint="eastAsia" w:hAnsi="宋体" w:cs="宋体"/>
          <w:spacing w:val="-3"/>
          <w:szCs w:val="24"/>
        </w:rPr>
      </w:pPr>
      <w:r>
        <w:rPr>
          <w:rFonts w:hAnsi="宋体" w:cs="宋体"/>
          <w:spacing w:val="-2"/>
          <w:szCs w:val="24"/>
        </w:rPr>
        <w:t>本投标人将按照业主要求的数量配备项目部人员，人员数量</w:t>
      </w:r>
      <w:r>
        <w:rPr>
          <w:rFonts w:hAnsi="宋体" w:cs="宋体"/>
          <w:spacing w:val="-3"/>
          <w:szCs w:val="24"/>
        </w:rPr>
        <w:t>与资格保证满足合同范</w:t>
      </w:r>
      <w:r>
        <w:rPr>
          <w:rFonts w:hAnsi="宋体" w:cs="宋体"/>
          <w:spacing w:val="-2"/>
          <w:szCs w:val="24"/>
        </w:rPr>
        <w:t>围内</w:t>
      </w:r>
      <w:r>
        <w:rPr>
          <w:rFonts w:hint="eastAsia" w:hAnsi="宋体" w:cs="宋体"/>
          <w:spacing w:val="-2"/>
          <w:szCs w:val="24"/>
        </w:rPr>
        <w:t>维护</w:t>
      </w:r>
      <w:r>
        <w:rPr>
          <w:rFonts w:hAnsi="宋体" w:cs="宋体"/>
          <w:spacing w:val="-2"/>
          <w:szCs w:val="24"/>
        </w:rPr>
        <w:t>工作的需要，</w:t>
      </w:r>
      <w:r>
        <w:rPr>
          <w:rFonts w:hint="eastAsia" w:hAnsi="宋体" w:cs="宋体"/>
          <w:spacing w:val="-2"/>
          <w:szCs w:val="24"/>
        </w:rPr>
        <w:t>维护团队人员</w:t>
      </w:r>
      <w:r>
        <w:rPr>
          <w:rFonts w:hAnsi="宋体" w:cs="宋体"/>
          <w:spacing w:val="-2"/>
          <w:szCs w:val="24"/>
        </w:rPr>
        <w:t>数量不少于5人，</w:t>
      </w:r>
      <w:r>
        <w:rPr>
          <w:rFonts w:hAnsi="宋体" w:cs="宋体"/>
          <w:spacing w:val="-3"/>
          <w:szCs w:val="24"/>
        </w:rPr>
        <w:t>主要技术人员</w:t>
      </w:r>
      <w:r>
        <w:rPr>
          <w:rFonts w:hint="eastAsia" w:hAnsi="宋体" w:cs="宋体"/>
          <w:spacing w:val="-3"/>
          <w:szCs w:val="24"/>
        </w:rPr>
        <w:t>不少于4</w:t>
      </w:r>
      <w:r>
        <w:rPr>
          <w:rFonts w:hAnsi="宋体" w:cs="宋体"/>
          <w:spacing w:val="-3"/>
          <w:szCs w:val="24"/>
        </w:rPr>
        <w:t>人</w:t>
      </w:r>
      <w:r>
        <w:rPr>
          <w:rFonts w:hint="eastAsia" w:hAnsi="宋体" w:cs="宋体"/>
          <w:spacing w:val="-3"/>
          <w:szCs w:val="24"/>
        </w:rPr>
        <w:t>(</w:t>
      </w:r>
      <w:r>
        <w:rPr>
          <w:rFonts w:hint="eastAsia" w:hAnsi="宋体" w:cs="宋体"/>
          <w:spacing w:val="-2"/>
          <w:szCs w:val="24"/>
        </w:rPr>
        <w:t>其中</w:t>
      </w:r>
      <w:r>
        <w:rPr>
          <w:rFonts w:hAnsi="宋体" w:cs="宋体"/>
          <w:spacing w:val="-2"/>
          <w:szCs w:val="24"/>
        </w:rPr>
        <w:t>包括项目负责人1人</w:t>
      </w:r>
      <w:r>
        <w:rPr>
          <w:rFonts w:hint="eastAsia" w:hAnsi="宋体" w:cs="宋体"/>
          <w:spacing w:val="-2"/>
          <w:szCs w:val="24"/>
        </w:rPr>
        <w:t>)</w:t>
      </w:r>
      <w:r>
        <w:rPr>
          <w:rFonts w:hAnsi="宋体" w:cs="宋体"/>
          <w:spacing w:val="-2"/>
          <w:szCs w:val="24"/>
        </w:rPr>
        <w:t>、安全人</w:t>
      </w:r>
      <w:r>
        <w:rPr>
          <w:rFonts w:hint="eastAsia" w:hAnsi="宋体" w:cs="宋体"/>
          <w:spacing w:val="-2"/>
          <w:szCs w:val="24"/>
        </w:rPr>
        <w:t>员</w:t>
      </w:r>
      <w:r>
        <w:rPr>
          <w:rFonts w:hint="eastAsia" w:hAnsi="宋体" w:cs="宋体"/>
          <w:spacing w:val="-3"/>
          <w:szCs w:val="24"/>
        </w:rPr>
        <w:t>不少于</w:t>
      </w:r>
      <w:r>
        <w:rPr>
          <w:rFonts w:hAnsi="宋体" w:cs="宋体"/>
          <w:spacing w:val="-2"/>
          <w:szCs w:val="24"/>
        </w:rPr>
        <w:t>1人</w:t>
      </w:r>
      <w:r>
        <w:rPr>
          <w:rFonts w:hint="eastAsia" w:hAnsi="宋体" w:cs="宋体"/>
          <w:spacing w:val="-3"/>
          <w:szCs w:val="24"/>
        </w:rPr>
        <w:t>。要求：人员相关证件齐全，技术人员能涉及智能交通系统、通信系统、供配电系统、收费系统等方面。</w:t>
      </w:r>
      <w:r>
        <w:rPr>
          <w:rFonts w:hAnsi="宋体" w:cs="宋体"/>
          <w:spacing w:val="-2"/>
          <w:szCs w:val="24"/>
        </w:rPr>
        <w:t>现场常驻人员</w:t>
      </w:r>
      <w:r>
        <w:rPr>
          <w:rFonts w:hint="eastAsia" w:hAnsi="宋体" w:cs="宋体"/>
          <w:spacing w:val="-2"/>
          <w:szCs w:val="24"/>
        </w:rPr>
        <w:t>响应速度与配备车辆要能符合本项目需求</w:t>
      </w:r>
      <w:r>
        <w:rPr>
          <w:rFonts w:hint="eastAsia" w:hAnsi="宋体" w:cs="宋体"/>
          <w:spacing w:val="-3"/>
          <w:szCs w:val="24"/>
        </w:rPr>
        <w:t>。</w:t>
      </w:r>
    </w:p>
    <w:p w14:paraId="2CF1F486">
      <w:pPr>
        <w:pStyle w:val="798"/>
        <w:ind w:firstLine="420" w:firstLineChars="0"/>
        <w:rPr>
          <w:rFonts w:hint="eastAsia" w:hAnsi="宋体" w:cs="宋体"/>
          <w:spacing w:val="-2"/>
          <w:szCs w:val="24"/>
        </w:rPr>
      </w:pPr>
      <w:r>
        <w:rPr>
          <w:rFonts w:hint="eastAsia" w:hAnsi="宋体" w:cs="宋体"/>
          <w:spacing w:val="-3"/>
          <w:szCs w:val="24"/>
        </w:rPr>
        <w:t>同时，</w:t>
      </w:r>
      <w:r>
        <w:rPr>
          <w:rFonts w:hAnsi="宋体" w:cs="宋体"/>
          <w:spacing w:val="-2"/>
          <w:szCs w:val="24"/>
        </w:rPr>
        <w:t>针对本</w:t>
      </w:r>
      <w:r>
        <w:rPr>
          <w:rFonts w:hint="eastAsia" w:hAnsi="宋体" w:cs="宋体"/>
          <w:spacing w:val="-2"/>
          <w:szCs w:val="24"/>
        </w:rPr>
        <w:t>维保项目</w:t>
      </w:r>
      <w:r>
        <w:rPr>
          <w:rFonts w:hAnsi="宋体" w:cs="宋体"/>
          <w:spacing w:val="-2"/>
          <w:szCs w:val="24"/>
        </w:rPr>
        <w:t>的特点，本投标人</w:t>
      </w:r>
      <w:r>
        <w:rPr>
          <w:rFonts w:hint="eastAsia" w:hAnsi="宋体" w:cs="宋体"/>
          <w:spacing w:val="-2"/>
          <w:szCs w:val="24"/>
        </w:rPr>
        <w:t>需</w:t>
      </w:r>
      <w:r>
        <w:rPr>
          <w:rFonts w:hAnsi="宋体" w:cs="宋体"/>
          <w:spacing w:val="-2"/>
          <w:szCs w:val="24"/>
        </w:rPr>
        <w:t>经过认真研讨，派出精干队伍</w:t>
      </w:r>
      <w:r>
        <w:rPr>
          <w:rFonts w:hAnsi="宋体" w:cs="宋体"/>
          <w:spacing w:val="-3"/>
          <w:szCs w:val="24"/>
        </w:rPr>
        <w:t>，组建一个以有着丰</w:t>
      </w:r>
      <w:r>
        <w:rPr>
          <w:rFonts w:hAnsi="宋体" w:cs="宋体"/>
          <w:spacing w:val="-2"/>
          <w:szCs w:val="24"/>
        </w:rPr>
        <w:t>富的机电养维护实践经验的管理人员与技术人员为主的</w:t>
      </w:r>
      <w:r>
        <w:rPr>
          <w:rFonts w:hAnsi="宋体" w:cs="宋体"/>
          <w:spacing w:val="-3"/>
          <w:szCs w:val="24"/>
        </w:rPr>
        <w:t>高素质管理队伍和工程维护技术人</w:t>
      </w:r>
      <w:r>
        <w:rPr>
          <w:rFonts w:hAnsi="宋体" w:cs="宋体"/>
          <w:spacing w:val="-6"/>
          <w:szCs w:val="24"/>
        </w:rPr>
        <w:t>员队伍</w:t>
      </w:r>
      <w:r>
        <w:rPr>
          <w:rFonts w:hint="eastAsia" w:hAnsi="宋体" w:cs="宋体"/>
          <w:spacing w:val="-6"/>
          <w:szCs w:val="24"/>
        </w:rPr>
        <w:t>。所有</w:t>
      </w:r>
      <w:r>
        <w:rPr>
          <w:rFonts w:hAnsi="宋体" w:cs="宋体"/>
          <w:spacing w:val="-2"/>
          <w:szCs w:val="24"/>
        </w:rPr>
        <w:t>参与本项目的主要人员</w:t>
      </w:r>
      <w:r>
        <w:rPr>
          <w:rFonts w:hint="eastAsia" w:hAnsi="宋体" w:cs="宋体"/>
          <w:spacing w:val="-2"/>
          <w:szCs w:val="24"/>
        </w:rPr>
        <w:t>应</w:t>
      </w:r>
      <w:r>
        <w:rPr>
          <w:rFonts w:hAnsi="宋体" w:cs="宋体"/>
          <w:spacing w:val="-2"/>
          <w:szCs w:val="24"/>
        </w:rPr>
        <w:t>具备施工上岗证，对于特种作业的人员均</w:t>
      </w:r>
      <w:r>
        <w:rPr>
          <w:rFonts w:hAnsi="宋体" w:cs="宋体"/>
          <w:spacing w:val="-3"/>
          <w:szCs w:val="24"/>
        </w:rPr>
        <w:t>持证上岗</w:t>
      </w:r>
      <w:r>
        <w:rPr>
          <w:rFonts w:hint="eastAsia" w:hAnsi="宋体" w:cs="宋体"/>
          <w:spacing w:val="-3"/>
          <w:szCs w:val="24"/>
        </w:rPr>
        <w:t>。</w:t>
      </w:r>
      <w:r>
        <w:rPr>
          <w:rFonts w:hAnsi="宋体" w:cs="宋体"/>
          <w:spacing w:val="-1"/>
          <w:szCs w:val="24"/>
        </w:rPr>
        <w:t>所有</w:t>
      </w:r>
      <w:r>
        <w:rPr>
          <w:rFonts w:hint="eastAsia" w:hAnsi="宋体" w:cs="宋体"/>
          <w:spacing w:val="-1"/>
          <w:szCs w:val="24"/>
        </w:rPr>
        <w:t>现场</w:t>
      </w:r>
      <w:r>
        <w:rPr>
          <w:rFonts w:hAnsi="宋体" w:cs="宋体"/>
          <w:spacing w:val="-1"/>
          <w:szCs w:val="24"/>
        </w:rPr>
        <w:t>施工人员</w:t>
      </w:r>
      <w:r>
        <w:rPr>
          <w:rFonts w:hint="eastAsia" w:hAnsi="宋体" w:cs="宋体"/>
          <w:spacing w:val="-1"/>
          <w:szCs w:val="24"/>
        </w:rPr>
        <w:t>需</w:t>
      </w:r>
      <w:r>
        <w:rPr>
          <w:rFonts w:hAnsi="宋体" w:cs="宋体"/>
          <w:spacing w:val="-1"/>
          <w:szCs w:val="24"/>
        </w:rPr>
        <w:t>统一着装（反光标志服</w:t>
      </w:r>
      <w:r>
        <w:rPr>
          <w:rFonts w:hAnsi="宋体" w:cs="宋体"/>
          <w:spacing w:val="17"/>
          <w:szCs w:val="24"/>
        </w:rPr>
        <w:t>）</w:t>
      </w:r>
      <w:r>
        <w:rPr>
          <w:rFonts w:hint="eastAsia" w:hAnsi="宋体" w:cs="宋体"/>
          <w:spacing w:val="17"/>
          <w:szCs w:val="24"/>
        </w:rPr>
        <w:t>，投</w:t>
      </w:r>
      <w:r>
        <w:rPr>
          <w:rFonts w:hint="eastAsia" w:hAnsi="宋体" w:cs="宋体"/>
          <w:spacing w:val="-2"/>
          <w:szCs w:val="24"/>
        </w:rPr>
        <w:t>标人需</w:t>
      </w:r>
      <w:r>
        <w:rPr>
          <w:rFonts w:hAnsi="宋体" w:cs="宋体"/>
          <w:spacing w:val="-1"/>
          <w:szCs w:val="24"/>
        </w:rPr>
        <w:t>为</w:t>
      </w:r>
      <w:r>
        <w:rPr>
          <w:rFonts w:hAnsi="宋体" w:cs="宋体"/>
          <w:spacing w:val="-2"/>
          <w:szCs w:val="24"/>
        </w:rPr>
        <w:t>所有</w:t>
      </w:r>
      <w:r>
        <w:rPr>
          <w:rFonts w:hint="eastAsia" w:hAnsi="宋体" w:cs="宋体"/>
          <w:spacing w:val="-2"/>
          <w:szCs w:val="24"/>
        </w:rPr>
        <w:t>施工</w:t>
      </w:r>
      <w:r>
        <w:rPr>
          <w:rFonts w:hAnsi="宋体" w:cs="宋体"/>
          <w:spacing w:val="-2"/>
          <w:szCs w:val="24"/>
        </w:rPr>
        <w:t>人员</w:t>
      </w:r>
      <w:r>
        <w:rPr>
          <w:rFonts w:hint="eastAsia" w:hAnsi="宋体" w:cs="宋体"/>
          <w:spacing w:val="-2"/>
          <w:szCs w:val="24"/>
        </w:rPr>
        <w:t>、场地、一切等</w:t>
      </w:r>
      <w:r>
        <w:rPr>
          <w:rFonts w:hAnsi="宋体" w:cs="宋体"/>
          <w:spacing w:val="-2"/>
          <w:szCs w:val="24"/>
        </w:rPr>
        <w:t>购买</w:t>
      </w:r>
      <w:r>
        <w:rPr>
          <w:rFonts w:hint="eastAsia" w:hAnsi="宋体" w:cs="宋体"/>
          <w:spacing w:val="-2"/>
          <w:szCs w:val="24"/>
        </w:rPr>
        <w:t>相关</w:t>
      </w:r>
      <w:r>
        <w:rPr>
          <w:rFonts w:hAnsi="宋体" w:cs="宋体"/>
          <w:spacing w:val="-2"/>
          <w:szCs w:val="24"/>
        </w:rPr>
        <w:t>保险。</w:t>
      </w:r>
    </w:p>
    <w:p w14:paraId="593E907F">
      <w:pPr>
        <w:pStyle w:val="798"/>
        <w:ind w:firstLine="420" w:firstLineChars="0"/>
        <w:rPr>
          <w:rFonts w:hint="eastAsia" w:hAnsi="宋体" w:cs="宋体"/>
          <w:spacing w:val="-2"/>
          <w:szCs w:val="24"/>
        </w:rPr>
      </w:pPr>
      <w:r>
        <w:rPr>
          <w:rFonts w:hAnsi="宋体" w:cs="宋体"/>
          <w:spacing w:val="1"/>
          <w:szCs w:val="24"/>
        </w:rPr>
        <w:t>对于不能胜任本项目</w:t>
      </w:r>
      <w:r>
        <w:rPr>
          <w:rFonts w:hAnsi="宋体" w:cs="宋体"/>
          <w:spacing w:val="-2"/>
          <w:szCs w:val="24"/>
        </w:rPr>
        <w:t>工作的人员</w:t>
      </w:r>
      <w:r>
        <w:rPr>
          <w:rFonts w:hint="eastAsia" w:hAnsi="宋体" w:cs="宋体"/>
          <w:spacing w:val="-2"/>
          <w:szCs w:val="24"/>
        </w:rPr>
        <w:t>或团队</w:t>
      </w:r>
      <w:r>
        <w:rPr>
          <w:rFonts w:hAnsi="宋体" w:cs="宋体"/>
          <w:spacing w:val="-2"/>
          <w:szCs w:val="24"/>
        </w:rPr>
        <w:t>，业主有权</w:t>
      </w:r>
      <w:r>
        <w:rPr>
          <w:rFonts w:hint="eastAsia" w:hAnsi="宋体" w:cs="宋体"/>
          <w:spacing w:val="-2"/>
          <w:szCs w:val="24"/>
        </w:rPr>
        <w:t>要求</w:t>
      </w:r>
      <w:r>
        <w:rPr>
          <w:rFonts w:hAnsi="宋体" w:cs="宋体"/>
          <w:spacing w:val="-2"/>
          <w:szCs w:val="24"/>
        </w:rPr>
        <w:t>给予清退与更换。</w:t>
      </w:r>
    </w:p>
    <w:p w14:paraId="503A2D7B">
      <w:pPr>
        <w:spacing w:before="235" w:line="219" w:lineRule="auto"/>
        <w:ind w:left="518"/>
        <w:rPr>
          <w:rFonts w:hint="eastAsia" w:ascii="宋体" w:hAnsi="宋体" w:cs="宋体"/>
          <w:spacing w:val="-4"/>
          <w:sz w:val="24"/>
        </w:rPr>
      </w:pPr>
      <w:r>
        <w:rPr>
          <w:rFonts w:hint="eastAsia" w:ascii="宋体" w:hAnsi="宋体" w:cs="宋体"/>
          <w:spacing w:val="-6"/>
          <w:sz w:val="24"/>
        </w:rPr>
        <w:t>4.1</w:t>
      </w:r>
      <w:r>
        <w:rPr>
          <w:rFonts w:ascii="宋体" w:hAnsi="宋体" w:cs="宋体"/>
          <w:spacing w:val="-4"/>
          <w:sz w:val="24"/>
        </w:rPr>
        <w:t>、</w:t>
      </w:r>
      <w:r>
        <w:rPr>
          <w:rFonts w:ascii="宋体" w:hAnsi="宋体" w:cs="宋体"/>
          <w:b/>
          <w:bCs/>
          <w:spacing w:val="-8"/>
          <w:sz w:val="24"/>
        </w:rPr>
        <w:t>项目负责人职责</w:t>
      </w:r>
    </w:p>
    <w:p w14:paraId="62EF9D40">
      <w:pPr>
        <w:spacing w:before="235" w:line="219" w:lineRule="auto"/>
        <w:ind w:left="518"/>
        <w:rPr>
          <w:rFonts w:hint="eastAsia" w:ascii="宋体" w:hAnsi="宋体" w:cs="宋体"/>
          <w:sz w:val="24"/>
        </w:rPr>
      </w:pPr>
      <w:r>
        <w:rPr>
          <w:rFonts w:hint="eastAsia" w:ascii="宋体" w:hAnsi="宋体" w:cs="宋体"/>
          <w:spacing w:val="-4"/>
          <w:sz w:val="24"/>
        </w:rPr>
        <w:t>1、</w:t>
      </w:r>
      <w:r>
        <w:rPr>
          <w:rFonts w:ascii="宋体" w:hAnsi="宋体" w:cs="宋体"/>
          <w:spacing w:val="-4"/>
          <w:sz w:val="24"/>
        </w:rPr>
        <w:t>经授权组建项目部，</w:t>
      </w:r>
      <w:r>
        <w:rPr>
          <w:rFonts w:hint="eastAsia" w:ascii="宋体" w:hAnsi="宋体" w:cs="宋体"/>
          <w:spacing w:val="-4"/>
          <w:sz w:val="24"/>
        </w:rPr>
        <w:t>合理安排人员，落实相关责任</w:t>
      </w:r>
      <w:r>
        <w:rPr>
          <w:rFonts w:ascii="宋体" w:hAnsi="宋体" w:cs="宋体"/>
          <w:spacing w:val="-4"/>
          <w:sz w:val="24"/>
        </w:rPr>
        <w:t>；</w:t>
      </w:r>
    </w:p>
    <w:p w14:paraId="1D708ABA">
      <w:pPr>
        <w:spacing w:before="216"/>
        <w:ind w:left="2" w:right="14" w:firstLine="483"/>
        <w:rPr>
          <w:rFonts w:hint="eastAsia" w:ascii="宋体" w:hAnsi="宋体" w:cs="宋体"/>
          <w:sz w:val="24"/>
        </w:rPr>
      </w:pPr>
      <w:r>
        <w:rPr>
          <w:rFonts w:ascii="宋体" w:hAnsi="宋体" w:cs="宋体"/>
          <w:spacing w:val="1"/>
          <w:sz w:val="24"/>
        </w:rPr>
        <w:t>2、负责在本项目内贯彻落实公司质量/环境/职业健康安全方针和总体目标，主持制定</w:t>
      </w:r>
      <w:r>
        <w:rPr>
          <w:rFonts w:ascii="宋体" w:hAnsi="宋体" w:cs="宋体"/>
          <w:spacing w:val="-2"/>
          <w:sz w:val="24"/>
        </w:rPr>
        <w:t>项目质量/环境/职业健康安全目标；</w:t>
      </w:r>
    </w:p>
    <w:p w14:paraId="0186B952">
      <w:pPr>
        <w:spacing w:before="229" w:line="219" w:lineRule="auto"/>
        <w:ind w:left="491"/>
        <w:rPr>
          <w:rFonts w:hint="eastAsia" w:ascii="宋体" w:hAnsi="宋体" w:cs="宋体"/>
          <w:sz w:val="24"/>
        </w:rPr>
      </w:pPr>
      <w:r>
        <w:rPr>
          <w:rFonts w:ascii="宋体" w:hAnsi="宋体" w:cs="宋体"/>
          <w:spacing w:val="-1"/>
          <w:sz w:val="24"/>
        </w:rPr>
        <w:t>3、负责对项目实施全过程、全面管理，组</w:t>
      </w:r>
      <w:r>
        <w:rPr>
          <w:rFonts w:ascii="宋体" w:hAnsi="宋体" w:cs="宋体"/>
          <w:spacing w:val="-2"/>
          <w:sz w:val="24"/>
        </w:rPr>
        <w:t>织制定项目部的各项管理制度；</w:t>
      </w:r>
    </w:p>
    <w:p w14:paraId="288037A9">
      <w:pPr>
        <w:spacing w:before="200" w:line="220" w:lineRule="auto"/>
        <w:ind w:left="480"/>
        <w:rPr>
          <w:rFonts w:hint="eastAsia" w:ascii="宋体" w:hAnsi="宋体" w:cs="宋体"/>
          <w:sz w:val="24"/>
        </w:rPr>
      </w:pPr>
      <w:r>
        <w:rPr>
          <w:rFonts w:ascii="宋体" w:hAnsi="宋体" w:cs="宋体"/>
          <w:spacing w:val="-2"/>
          <w:sz w:val="24"/>
        </w:rPr>
        <w:t>4、进行阶段性目标控制，确保项目目标的实现；</w:t>
      </w:r>
    </w:p>
    <w:p w14:paraId="59E42310">
      <w:pPr>
        <w:spacing w:before="196" w:line="219" w:lineRule="auto"/>
        <w:ind w:left="491"/>
        <w:rPr>
          <w:rFonts w:hint="eastAsia" w:ascii="宋体" w:hAnsi="宋体" w:cs="宋体"/>
          <w:sz w:val="24"/>
        </w:rPr>
      </w:pPr>
      <w:r>
        <w:rPr>
          <w:rFonts w:ascii="宋体" w:hAnsi="宋体" w:cs="宋体"/>
          <w:spacing w:val="-1"/>
          <w:sz w:val="24"/>
        </w:rPr>
        <w:t>5、严格财务制度，建立成本控制体系，加强成本管理，搞好经济分析与核算；</w:t>
      </w:r>
    </w:p>
    <w:p w14:paraId="20220BE5">
      <w:pPr>
        <w:spacing w:before="198" w:line="219" w:lineRule="auto"/>
        <w:ind w:left="485"/>
        <w:rPr>
          <w:rFonts w:hint="eastAsia" w:ascii="宋体" w:hAnsi="宋体" w:cs="宋体"/>
          <w:sz w:val="24"/>
        </w:rPr>
      </w:pPr>
      <w:r>
        <w:rPr>
          <w:rFonts w:ascii="宋体" w:hAnsi="宋体" w:cs="宋体"/>
          <w:spacing w:val="-1"/>
          <w:sz w:val="24"/>
        </w:rPr>
        <w:t>6、强化现场文明、安全施工，及时发现和</w:t>
      </w:r>
      <w:r>
        <w:rPr>
          <w:rFonts w:ascii="宋体" w:hAnsi="宋体" w:cs="宋体"/>
          <w:spacing w:val="-2"/>
          <w:sz w:val="24"/>
        </w:rPr>
        <w:t>妥善处理突发性事件；</w:t>
      </w:r>
    </w:p>
    <w:p w14:paraId="552F21B6">
      <w:pPr>
        <w:spacing w:before="200" w:line="219" w:lineRule="auto"/>
        <w:ind w:left="494"/>
        <w:rPr>
          <w:rFonts w:hint="eastAsia" w:ascii="宋体" w:hAnsi="宋体" w:cs="宋体"/>
          <w:sz w:val="24"/>
        </w:rPr>
      </w:pPr>
      <w:r>
        <w:rPr>
          <w:rFonts w:ascii="宋体" w:hAnsi="宋体" w:cs="宋体"/>
          <w:spacing w:val="-2"/>
          <w:sz w:val="24"/>
        </w:rPr>
        <w:t>7、负责</w:t>
      </w:r>
      <w:r>
        <w:rPr>
          <w:rFonts w:hint="eastAsia" w:ascii="宋体" w:hAnsi="宋体" w:cs="宋体"/>
          <w:spacing w:val="-2"/>
          <w:sz w:val="24"/>
        </w:rPr>
        <w:t>完成各项审批并</w:t>
      </w:r>
      <w:r>
        <w:rPr>
          <w:rFonts w:ascii="宋体" w:hAnsi="宋体" w:cs="宋体"/>
          <w:spacing w:val="-2"/>
          <w:sz w:val="24"/>
        </w:rPr>
        <w:t>协调处理项目部的内部与外部事项；</w:t>
      </w:r>
    </w:p>
    <w:p w14:paraId="0C2D34F0">
      <w:pPr>
        <w:spacing w:before="198" w:line="219" w:lineRule="auto"/>
        <w:ind w:left="484"/>
        <w:rPr>
          <w:rFonts w:hint="eastAsia" w:ascii="宋体" w:hAnsi="宋体" w:cs="宋体"/>
          <w:spacing w:val="-2"/>
          <w:sz w:val="24"/>
        </w:rPr>
      </w:pPr>
      <w:r>
        <w:rPr>
          <w:rFonts w:ascii="宋体" w:hAnsi="宋体" w:cs="宋体"/>
          <w:spacing w:val="-2"/>
          <w:sz w:val="24"/>
        </w:rPr>
        <w:t>8、完成公司领导交办的其它工作。</w:t>
      </w:r>
    </w:p>
    <w:p w14:paraId="3D548B4B">
      <w:pPr>
        <w:spacing w:before="79" w:line="219" w:lineRule="auto"/>
        <w:ind w:left="33"/>
        <w:outlineLvl w:val="5"/>
        <w:rPr>
          <w:rFonts w:hint="eastAsia" w:ascii="宋体" w:hAnsi="宋体" w:cs="宋体"/>
          <w:sz w:val="24"/>
        </w:rPr>
      </w:pPr>
      <w:r>
        <w:rPr>
          <w:rFonts w:hint="eastAsia" w:ascii="宋体" w:hAnsi="宋体" w:cs="宋体"/>
          <w:spacing w:val="-2"/>
          <w:sz w:val="24"/>
        </w:rPr>
        <w:t>4.2</w:t>
      </w:r>
      <w:r>
        <w:rPr>
          <w:rFonts w:ascii="宋体" w:hAnsi="宋体" w:cs="宋体"/>
          <w:b/>
          <w:bCs/>
          <w:spacing w:val="-9"/>
          <w:sz w:val="24"/>
        </w:rPr>
        <w:t>安全</w:t>
      </w:r>
      <w:r>
        <w:rPr>
          <w:rFonts w:hint="eastAsia" w:ascii="宋体" w:hAnsi="宋体" w:cs="宋体"/>
          <w:b/>
          <w:bCs/>
          <w:spacing w:val="-9"/>
          <w:sz w:val="24"/>
        </w:rPr>
        <w:t>员</w:t>
      </w:r>
      <w:r>
        <w:rPr>
          <w:rFonts w:ascii="宋体" w:hAnsi="宋体" w:cs="宋体"/>
          <w:b/>
          <w:bCs/>
          <w:spacing w:val="-9"/>
          <w:sz w:val="24"/>
        </w:rPr>
        <w:t>职责</w:t>
      </w:r>
    </w:p>
    <w:p w14:paraId="6F70873F">
      <w:pPr>
        <w:spacing w:before="232" w:line="219" w:lineRule="auto"/>
        <w:ind w:left="518"/>
        <w:rPr>
          <w:rFonts w:hint="eastAsia" w:ascii="宋体" w:hAnsi="宋体" w:cs="宋体"/>
          <w:sz w:val="24"/>
        </w:rPr>
      </w:pPr>
      <w:r>
        <w:rPr>
          <w:rFonts w:ascii="宋体" w:hAnsi="宋体" w:cs="宋体"/>
          <w:spacing w:val="-2"/>
          <w:sz w:val="24"/>
        </w:rPr>
        <w:t>1、在项目负责人的领导下，全面负责本项目的安全保障任务；</w:t>
      </w:r>
    </w:p>
    <w:p w14:paraId="4B017545">
      <w:pPr>
        <w:spacing w:before="201" w:line="219" w:lineRule="auto"/>
        <w:ind w:left="486"/>
        <w:rPr>
          <w:rFonts w:hint="eastAsia" w:ascii="宋体" w:hAnsi="宋体" w:cs="宋体"/>
          <w:sz w:val="24"/>
        </w:rPr>
      </w:pPr>
      <w:r>
        <w:rPr>
          <w:rFonts w:ascii="宋体" w:hAnsi="宋体" w:cs="宋体"/>
          <w:spacing w:val="-1"/>
          <w:sz w:val="24"/>
        </w:rPr>
        <w:t>2、负责收集、整理、编写安全资料，安全施工方案与措施等；</w:t>
      </w:r>
    </w:p>
    <w:p w14:paraId="11FCBBCD">
      <w:pPr>
        <w:spacing w:before="201" w:line="219" w:lineRule="auto"/>
        <w:ind w:left="491"/>
        <w:rPr>
          <w:rFonts w:hint="eastAsia" w:ascii="宋体" w:hAnsi="宋体" w:cs="宋体"/>
          <w:sz w:val="24"/>
        </w:rPr>
      </w:pPr>
      <w:r>
        <w:rPr>
          <w:rFonts w:ascii="宋体" w:hAnsi="宋体" w:cs="宋体"/>
          <w:spacing w:val="-2"/>
          <w:sz w:val="24"/>
        </w:rPr>
        <w:t>3、负责培训、检查、监督、现场作业人员的安全施工与措施；</w:t>
      </w:r>
    </w:p>
    <w:p w14:paraId="27BD51E2">
      <w:pPr>
        <w:spacing w:before="197" w:line="219" w:lineRule="auto"/>
        <w:ind w:left="480"/>
        <w:rPr>
          <w:rFonts w:hint="eastAsia" w:ascii="宋体" w:hAnsi="宋体" w:cs="宋体"/>
          <w:spacing w:val="-2"/>
          <w:sz w:val="24"/>
        </w:rPr>
      </w:pPr>
      <w:r>
        <w:rPr>
          <w:rFonts w:ascii="宋体" w:hAnsi="宋体" w:cs="宋体"/>
          <w:spacing w:val="-2"/>
          <w:sz w:val="24"/>
        </w:rPr>
        <w:t>4、</w:t>
      </w:r>
      <w:r>
        <w:rPr>
          <w:rFonts w:hint="eastAsia" w:ascii="宋体" w:hAnsi="宋体" w:cs="宋体"/>
          <w:spacing w:val="-2"/>
          <w:sz w:val="24"/>
        </w:rPr>
        <w:t>做好相关安全审批材料、记录等；</w:t>
      </w:r>
    </w:p>
    <w:p w14:paraId="24FB1D99">
      <w:pPr>
        <w:spacing w:before="197" w:line="219" w:lineRule="auto"/>
        <w:ind w:left="480"/>
        <w:rPr>
          <w:rFonts w:hint="eastAsia" w:ascii="宋体" w:hAnsi="宋体" w:cs="宋体"/>
          <w:sz w:val="24"/>
        </w:rPr>
      </w:pPr>
      <w:r>
        <w:rPr>
          <w:rFonts w:hint="eastAsia" w:ascii="宋体" w:hAnsi="宋体" w:cs="宋体"/>
          <w:spacing w:val="-2"/>
          <w:sz w:val="24"/>
        </w:rPr>
        <w:t>5、</w:t>
      </w:r>
      <w:r>
        <w:rPr>
          <w:rFonts w:ascii="宋体" w:hAnsi="宋体" w:cs="宋体"/>
          <w:spacing w:val="-2"/>
          <w:sz w:val="24"/>
        </w:rPr>
        <w:t>完成项目负责人交办的其它工作。</w:t>
      </w:r>
    </w:p>
    <w:p w14:paraId="50AB4FE5">
      <w:pPr>
        <w:spacing w:before="79" w:line="219" w:lineRule="auto"/>
        <w:ind w:left="33"/>
        <w:outlineLvl w:val="5"/>
        <w:rPr>
          <w:rFonts w:hint="eastAsia" w:ascii="宋体" w:hAnsi="宋体" w:cs="宋体"/>
          <w:sz w:val="24"/>
        </w:rPr>
      </w:pPr>
      <w:r>
        <w:rPr>
          <w:rFonts w:hint="eastAsia" w:ascii="宋体" w:hAnsi="宋体" w:cs="宋体"/>
          <w:spacing w:val="-2"/>
          <w:sz w:val="24"/>
        </w:rPr>
        <w:t>4.3</w:t>
      </w:r>
      <w:r>
        <w:rPr>
          <w:rFonts w:ascii="宋体" w:hAnsi="宋体" w:cs="宋体"/>
          <w:b/>
          <w:bCs/>
          <w:spacing w:val="-6"/>
          <w:sz w:val="24"/>
        </w:rPr>
        <w:t>主要技术人员（维护工程师）职责</w:t>
      </w:r>
    </w:p>
    <w:p w14:paraId="5724F1CF">
      <w:pPr>
        <w:spacing w:before="257"/>
        <w:ind w:right="11" w:firstLine="518"/>
        <w:rPr>
          <w:rFonts w:hint="eastAsia" w:ascii="宋体" w:hAnsi="宋体" w:cs="宋体"/>
          <w:sz w:val="24"/>
        </w:rPr>
      </w:pPr>
      <w:r>
        <w:rPr>
          <w:rFonts w:ascii="宋体" w:hAnsi="宋体" w:cs="宋体"/>
          <w:sz w:val="24"/>
        </w:rPr>
        <w:t>1、在项目负责人的领导下，全面负责本专业或系统的养维护任务，负责编制本专业的</w:t>
      </w:r>
      <w:r>
        <w:rPr>
          <w:rFonts w:ascii="宋体" w:hAnsi="宋体" w:cs="宋体"/>
          <w:spacing w:val="-1"/>
          <w:sz w:val="24"/>
        </w:rPr>
        <w:t>养护技术方案，并分析、解决养护过程中出现的相关技术问题；</w:t>
      </w:r>
    </w:p>
    <w:p w14:paraId="3F5D8870">
      <w:pPr>
        <w:spacing w:before="229" w:line="219" w:lineRule="auto"/>
        <w:ind w:left="486"/>
        <w:rPr>
          <w:rFonts w:hint="eastAsia" w:ascii="宋体" w:hAnsi="宋体" w:cs="宋体"/>
          <w:sz w:val="24"/>
        </w:rPr>
      </w:pPr>
      <w:r>
        <w:rPr>
          <w:rFonts w:ascii="宋体" w:hAnsi="宋体" w:cs="宋体"/>
          <w:spacing w:val="-2"/>
          <w:sz w:val="24"/>
        </w:rPr>
        <w:t>2、负责收集、整理</w:t>
      </w:r>
      <w:r>
        <w:rPr>
          <w:rFonts w:hint="eastAsia" w:ascii="宋体" w:hAnsi="宋体" w:cs="宋体"/>
          <w:spacing w:val="-2"/>
          <w:sz w:val="24"/>
        </w:rPr>
        <w:t>相关</w:t>
      </w:r>
      <w:r>
        <w:rPr>
          <w:rFonts w:ascii="宋体" w:hAnsi="宋体" w:cs="宋体"/>
          <w:spacing w:val="-2"/>
          <w:sz w:val="24"/>
        </w:rPr>
        <w:t>设备的资料，</w:t>
      </w:r>
      <w:r>
        <w:rPr>
          <w:rFonts w:hint="eastAsia" w:ascii="宋体" w:hAnsi="宋体" w:cs="宋体"/>
          <w:spacing w:val="-2"/>
          <w:sz w:val="24"/>
        </w:rPr>
        <w:t>台帐记录</w:t>
      </w:r>
      <w:r>
        <w:rPr>
          <w:rFonts w:ascii="宋体" w:hAnsi="宋体" w:cs="宋体"/>
          <w:spacing w:val="-2"/>
          <w:sz w:val="24"/>
        </w:rPr>
        <w:t>等；</w:t>
      </w:r>
    </w:p>
    <w:p w14:paraId="0247FC4B">
      <w:pPr>
        <w:spacing w:before="219"/>
        <w:ind w:left="3" w:right="16" w:firstLine="487"/>
        <w:rPr>
          <w:rFonts w:hint="eastAsia" w:ascii="宋体" w:hAnsi="宋体" w:cs="宋体"/>
          <w:sz w:val="24"/>
        </w:rPr>
      </w:pPr>
      <w:r>
        <w:rPr>
          <w:rFonts w:ascii="宋体" w:hAnsi="宋体" w:cs="宋体"/>
          <w:spacing w:val="1"/>
          <w:sz w:val="24"/>
        </w:rPr>
        <w:t>3、负责设备维护管理时各种数据的统计，分析设备的工作状况及日常维修保养</w:t>
      </w:r>
      <w:r>
        <w:rPr>
          <w:rFonts w:ascii="宋体" w:hAnsi="宋体" w:cs="宋体"/>
          <w:sz w:val="24"/>
        </w:rPr>
        <w:t>工作的</w:t>
      </w:r>
      <w:r>
        <w:rPr>
          <w:rFonts w:ascii="宋体" w:hAnsi="宋体" w:cs="宋体"/>
          <w:spacing w:val="-5"/>
          <w:sz w:val="24"/>
        </w:rPr>
        <w:t>登记记录；</w:t>
      </w:r>
    </w:p>
    <w:p w14:paraId="1EA6874A">
      <w:pPr>
        <w:spacing w:before="228" w:line="219" w:lineRule="auto"/>
        <w:ind w:left="480"/>
        <w:rPr>
          <w:rFonts w:hint="eastAsia" w:ascii="宋体" w:hAnsi="宋体" w:cs="宋体"/>
          <w:sz w:val="24"/>
        </w:rPr>
      </w:pPr>
      <w:r>
        <w:rPr>
          <w:rFonts w:ascii="宋体" w:hAnsi="宋体" w:cs="宋体"/>
          <w:spacing w:val="-2"/>
          <w:sz w:val="24"/>
        </w:rPr>
        <w:t>4、对设备维修及巡查</w:t>
      </w:r>
      <w:r>
        <w:rPr>
          <w:rFonts w:hint="eastAsia" w:ascii="宋体" w:hAnsi="宋体" w:cs="宋体"/>
          <w:spacing w:val="-2"/>
          <w:sz w:val="24"/>
        </w:rPr>
        <w:t>工作</w:t>
      </w:r>
      <w:r>
        <w:rPr>
          <w:rFonts w:ascii="宋体" w:hAnsi="宋体" w:cs="宋体"/>
          <w:spacing w:val="-2"/>
          <w:sz w:val="24"/>
        </w:rPr>
        <w:t>进行业</w:t>
      </w:r>
      <w:r>
        <w:rPr>
          <w:rFonts w:hint="eastAsia" w:ascii="宋体" w:hAnsi="宋体" w:cs="宋体"/>
          <w:spacing w:val="-2"/>
          <w:sz w:val="24"/>
        </w:rPr>
        <w:t>务</w:t>
      </w:r>
      <w:r>
        <w:rPr>
          <w:rFonts w:ascii="宋体" w:hAnsi="宋体" w:cs="宋体"/>
          <w:spacing w:val="-2"/>
          <w:sz w:val="24"/>
        </w:rPr>
        <w:t>技术</w:t>
      </w:r>
      <w:r>
        <w:rPr>
          <w:rFonts w:hint="eastAsia" w:ascii="宋体" w:hAnsi="宋体" w:cs="宋体"/>
          <w:spacing w:val="-2"/>
          <w:sz w:val="24"/>
        </w:rPr>
        <w:t>提升、指导工作</w:t>
      </w:r>
      <w:r>
        <w:rPr>
          <w:rFonts w:ascii="宋体" w:hAnsi="宋体" w:cs="宋体"/>
          <w:spacing w:val="-2"/>
          <w:sz w:val="24"/>
        </w:rPr>
        <w:t>；</w:t>
      </w:r>
    </w:p>
    <w:p w14:paraId="75A0E4A5">
      <w:pPr>
        <w:spacing w:before="197" w:line="219" w:lineRule="auto"/>
        <w:ind w:left="491"/>
        <w:rPr>
          <w:rFonts w:hint="eastAsia" w:ascii="宋体" w:hAnsi="宋体" w:cs="宋体"/>
          <w:sz w:val="24"/>
        </w:rPr>
      </w:pPr>
      <w:r>
        <w:rPr>
          <w:rFonts w:ascii="宋体" w:hAnsi="宋体" w:cs="宋体"/>
          <w:spacing w:val="-2"/>
          <w:sz w:val="24"/>
        </w:rPr>
        <w:t>5、</w:t>
      </w:r>
      <w:r>
        <w:rPr>
          <w:rFonts w:hint="eastAsia" w:ascii="宋体" w:hAnsi="宋体" w:cs="宋体"/>
          <w:spacing w:val="-2"/>
          <w:sz w:val="24"/>
        </w:rPr>
        <w:t>做好</w:t>
      </w:r>
      <w:r>
        <w:rPr>
          <w:rFonts w:ascii="宋体" w:hAnsi="宋体" w:cs="宋体"/>
          <w:spacing w:val="-7"/>
          <w:sz w:val="24"/>
        </w:rPr>
        <w:t>运行设备设施的维修、保养、日常检查工作</w:t>
      </w:r>
      <w:r>
        <w:rPr>
          <w:rFonts w:ascii="宋体" w:hAnsi="宋体" w:cs="宋体"/>
          <w:spacing w:val="-2"/>
          <w:sz w:val="24"/>
        </w:rPr>
        <w:t>；</w:t>
      </w:r>
    </w:p>
    <w:p w14:paraId="387078B7">
      <w:pPr>
        <w:spacing w:before="198" w:line="219" w:lineRule="auto"/>
        <w:ind w:firstLine="420"/>
        <w:rPr>
          <w:rFonts w:hint="eastAsia" w:ascii="宋体" w:hAnsi="宋体" w:cs="宋体"/>
          <w:spacing w:val="-2"/>
          <w:sz w:val="24"/>
        </w:rPr>
      </w:pPr>
      <w:r>
        <w:rPr>
          <w:rFonts w:ascii="宋体" w:hAnsi="宋体" w:cs="宋体"/>
          <w:spacing w:val="-2"/>
          <w:sz w:val="24"/>
        </w:rPr>
        <w:t>6、完成项目部领导交办的其它工作。</w:t>
      </w:r>
    </w:p>
    <w:p w14:paraId="4DD3D82D">
      <w:pPr>
        <w:spacing w:before="198" w:line="219" w:lineRule="auto"/>
        <w:rPr>
          <w:rFonts w:hint="eastAsia" w:ascii="宋体" w:hAnsi="宋体" w:cs="宋体"/>
          <w:b/>
          <w:bCs/>
          <w:spacing w:val="-11"/>
          <w:position w:val="2"/>
          <w:sz w:val="28"/>
          <w:szCs w:val="28"/>
        </w:rPr>
      </w:pPr>
      <w:r>
        <w:rPr>
          <w:rFonts w:hint="eastAsia" w:ascii="宋体" w:hAnsi="宋体" w:cs="宋体"/>
          <w:spacing w:val="-2"/>
          <w:sz w:val="24"/>
        </w:rPr>
        <w:t>五、</w:t>
      </w:r>
      <w:r>
        <w:rPr>
          <w:rFonts w:ascii="宋体" w:hAnsi="宋体" w:cs="宋体"/>
          <w:b/>
          <w:bCs/>
          <w:spacing w:val="-11"/>
          <w:position w:val="2"/>
          <w:sz w:val="28"/>
          <w:szCs w:val="28"/>
        </w:rPr>
        <w:t>组织设备情况</w:t>
      </w:r>
    </w:p>
    <w:p w14:paraId="53190C11">
      <w:pPr>
        <w:pStyle w:val="798"/>
        <w:rPr>
          <w:rFonts w:hint="eastAsia" w:hAnsi="宋体" w:cs="宋体"/>
        </w:rPr>
      </w:pPr>
      <w:r>
        <w:rPr>
          <w:rFonts w:hint="eastAsia" w:hAnsi="宋体" w:cs="宋体"/>
        </w:rPr>
        <w:t>①须配备巡查警示车、15米以上高空作业车等，专用工程车辆按标准涂以桔黄色，具备示警功能。其它可涉及项目需要的相关车辆可按需调用。</w:t>
      </w:r>
    </w:p>
    <w:p w14:paraId="02F0BA3A">
      <w:pPr>
        <w:pStyle w:val="798"/>
        <w:rPr>
          <w:rFonts w:hint="eastAsia" w:hAnsi="宋体" w:cs="宋体"/>
        </w:rPr>
      </w:pPr>
      <w:r>
        <w:rPr>
          <w:rFonts w:hint="eastAsia" w:hAnsi="宋体" w:cs="宋体"/>
        </w:rPr>
        <w:t>②具有一定的公路交通工程机电专项试验检测能力，具备常用检测设备有：万用电表、兆欧、接地电阻测试仪、光时域反射仪、光功率计、视频信号发生器、视频测试仪、光缆测试仪、及其他仪器仪表若干；</w:t>
      </w:r>
    </w:p>
    <w:p w14:paraId="6824F293">
      <w:pPr>
        <w:pStyle w:val="798"/>
        <w:rPr>
          <w:rFonts w:hint="eastAsia" w:hAnsi="宋体" w:cs="宋体"/>
        </w:rPr>
      </w:pPr>
      <w:r>
        <w:rPr>
          <w:rFonts w:hint="eastAsia" w:hAnsi="宋体" w:cs="宋体"/>
        </w:rPr>
        <w:t>③本投标人根据维护、维修实际需要，首先使用采购人已有的备品备件，所有参考设备附清单。若无明确列出可参考京东价格或原厂报价，协商处理。同时维护所需的工具及交通等由投标人自行解决。</w:t>
      </w:r>
    </w:p>
    <w:p w14:paraId="6C7AD163">
      <w:pPr>
        <w:pStyle w:val="798"/>
        <w:rPr>
          <w:rFonts w:hint="eastAsia" w:hAnsi="宋体" w:cs="宋体"/>
        </w:rPr>
      </w:pPr>
      <w:r>
        <w:rPr>
          <w:rFonts w:hint="eastAsia" w:hAnsi="宋体" w:cs="宋体"/>
        </w:rPr>
        <w:t>本投标人须确保服务期间所用机械设备、车辆性能保持优良。</w:t>
      </w:r>
    </w:p>
    <w:p w14:paraId="3EBFA798">
      <w:pPr>
        <w:pStyle w:val="798"/>
        <w:rPr>
          <w:rFonts w:hint="eastAsia" w:hAnsi="宋体" w:cs="宋体"/>
        </w:rPr>
      </w:pPr>
      <w:r>
        <w:rPr>
          <w:rFonts w:hint="eastAsia" w:hAnsi="宋体" w:cs="宋体"/>
        </w:rPr>
        <w:t>附：自有车辆需提供行驶证复印件备查；无自有车辆投标人需提供承诺在合同签订时，配备（租赁）相关车辆。具有公路交通工程机电专项试验检测能力，需投标人或其子公司提供相关资质等级证书，无相关资质等级证书的投标人需在合同签订后10日内，与具备资质等级证书的企业签订合作协议。</w:t>
      </w:r>
    </w:p>
    <w:p w14:paraId="598D49F5">
      <w:pPr>
        <w:pStyle w:val="798"/>
        <w:ind w:firstLine="0" w:firstLineChars="0"/>
        <w:rPr>
          <w:rFonts w:hint="eastAsia" w:hAnsi="宋体" w:cs="宋体"/>
          <w:b/>
        </w:rPr>
      </w:pPr>
      <w:r>
        <w:rPr>
          <w:rFonts w:hint="eastAsia" w:hAnsi="宋体" w:cs="宋体"/>
          <w:b/>
        </w:rPr>
        <w:t>五、技术标准</w:t>
      </w:r>
    </w:p>
    <w:p w14:paraId="1C5B30BF">
      <w:pPr>
        <w:pStyle w:val="798"/>
        <w:rPr>
          <w:rFonts w:hint="eastAsia" w:hAnsi="宋体" w:cs="宋体"/>
          <w:bCs/>
        </w:rPr>
      </w:pPr>
      <w:r>
        <w:rPr>
          <w:rFonts w:hint="eastAsia" w:hAnsi="宋体" w:cs="宋体"/>
          <w:bCs/>
        </w:rPr>
        <w:t>1.主要执行标准</w:t>
      </w:r>
    </w:p>
    <w:p w14:paraId="7169C2B6">
      <w:pPr>
        <w:pStyle w:val="798"/>
        <w:rPr>
          <w:rFonts w:hint="eastAsia" w:hAnsi="宋体" w:cs="宋体"/>
          <w:bCs/>
        </w:rPr>
      </w:pPr>
      <w:r>
        <w:rPr>
          <w:rFonts w:hint="eastAsia" w:hAnsi="宋体" w:cs="宋体"/>
          <w:bCs/>
        </w:rPr>
        <w:t>《中华人民共和国道路交通安全法》；</w:t>
      </w:r>
    </w:p>
    <w:p w14:paraId="015FAA38">
      <w:pPr>
        <w:pStyle w:val="798"/>
        <w:rPr>
          <w:rFonts w:hint="eastAsia" w:hAnsi="宋体" w:cs="宋体"/>
          <w:bCs/>
        </w:rPr>
      </w:pPr>
      <w:r>
        <w:rPr>
          <w:rFonts w:hint="eastAsia" w:hAnsi="宋体" w:cs="宋体"/>
          <w:bCs/>
        </w:rPr>
        <w:t>《中华人民共和国道路交通安全法实施条例》；</w:t>
      </w:r>
    </w:p>
    <w:p w14:paraId="4E11E19D">
      <w:pPr>
        <w:pStyle w:val="798"/>
        <w:rPr>
          <w:rFonts w:hint="eastAsia" w:hAnsi="宋体" w:cs="宋体"/>
          <w:bCs/>
        </w:rPr>
      </w:pPr>
      <w:r>
        <w:rPr>
          <w:rFonts w:hint="eastAsia" w:hAnsi="宋体" w:cs="宋体"/>
          <w:bCs/>
        </w:rPr>
        <w:t>《道路交通技术监控设备运行维护规范》（GA/T 1043-2013）；</w:t>
      </w:r>
    </w:p>
    <w:p w14:paraId="1F091184">
      <w:pPr>
        <w:pStyle w:val="798"/>
        <w:rPr>
          <w:rFonts w:hint="eastAsia" w:hAnsi="宋体" w:cs="宋体"/>
          <w:bCs/>
        </w:rPr>
      </w:pPr>
      <w:r>
        <w:rPr>
          <w:rFonts w:hint="eastAsia" w:hAnsi="宋体" w:cs="宋体"/>
          <w:bCs/>
        </w:rPr>
        <w:t>《城市道路施工作业交通组织规范》（GD/T 900-2010）；</w:t>
      </w:r>
    </w:p>
    <w:p w14:paraId="39F1ACDA">
      <w:pPr>
        <w:pStyle w:val="798"/>
        <w:rPr>
          <w:rFonts w:hint="eastAsia" w:hAnsi="宋体" w:cs="宋体"/>
          <w:bCs/>
        </w:rPr>
      </w:pPr>
      <w:r>
        <w:rPr>
          <w:rFonts w:hint="eastAsia" w:hAnsi="宋体" w:cs="宋体"/>
          <w:bCs/>
        </w:rPr>
        <w:t>《城市道路交通运行状态评价规范》（DB33/T 998-2016）；</w:t>
      </w:r>
    </w:p>
    <w:p w14:paraId="0780EE02">
      <w:pPr>
        <w:pStyle w:val="798"/>
        <w:rPr>
          <w:rFonts w:hint="eastAsia" w:hAnsi="宋体" w:cs="宋体"/>
          <w:bCs/>
        </w:rPr>
      </w:pPr>
      <w:r>
        <w:rPr>
          <w:rFonts w:hint="eastAsia" w:hAnsi="宋体" w:cs="宋体"/>
          <w:bCs/>
        </w:rPr>
        <w:t>《道路交通安全违法行为图像取证技术规范》（GA/T 832-2014）；</w:t>
      </w:r>
    </w:p>
    <w:p w14:paraId="783768C9">
      <w:pPr>
        <w:pStyle w:val="798"/>
        <w:rPr>
          <w:rFonts w:hint="eastAsia" w:hAnsi="宋体" w:cs="宋体"/>
          <w:bCs/>
        </w:rPr>
      </w:pPr>
      <w:r>
        <w:rPr>
          <w:rFonts w:hint="eastAsia" w:hAnsi="宋体" w:cs="宋体"/>
          <w:bCs/>
        </w:rPr>
        <w:t>《道路交通信号控制机》（GB 25280-2010）；</w:t>
      </w:r>
    </w:p>
    <w:p w14:paraId="00BBF1B7">
      <w:pPr>
        <w:pStyle w:val="798"/>
        <w:rPr>
          <w:rFonts w:hint="eastAsia" w:hAnsi="宋体" w:cs="宋体"/>
          <w:bCs/>
        </w:rPr>
      </w:pPr>
      <w:r>
        <w:rPr>
          <w:rFonts w:hint="eastAsia" w:hAnsi="宋体" w:cs="宋体"/>
          <w:bCs/>
        </w:rPr>
        <w:t>《道路交通信号灯设置与安装规范》（GB 14886-2006）；</w:t>
      </w:r>
    </w:p>
    <w:p w14:paraId="4534B559">
      <w:pPr>
        <w:pStyle w:val="798"/>
        <w:rPr>
          <w:rFonts w:hint="eastAsia" w:hAnsi="宋体" w:cs="宋体"/>
          <w:bCs/>
        </w:rPr>
      </w:pPr>
      <w:r>
        <w:rPr>
          <w:rFonts w:hint="eastAsia" w:hAnsi="宋体" w:cs="宋体"/>
          <w:bCs/>
        </w:rPr>
        <w:t>《道路车辆智能监测记录系统通用技术条件》（GA/T 497-2016）；</w:t>
      </w:r>
    </w:p>
    <w:p w14:paraId="121DF632">
      <w:pPr>
        <w:pStyle w:val="798"/>
        <w:rPr>
          <w:rFonts w:hint="eastAsia" w:hAnsi="宋体" w:cs="宋体"/>
          <w:bCs/>
        </w:rPr>
      </w:pPr>
      <w:r>
        <w:rPr>
          <w:rFonts w:hint="eastAsia" w:hAnsi="宋体" w:cs="宋体"/>
          <w:bCs/>
        </w:rPr>
        <w:t>《道路通行状态信息发布规范》（GA/T 994-2012）；</w:t>
      </w:r>
    </w:p>
    <w:p w14:paraId="227A9975">
      <w:pPr>
        <w:pStyle w:val="798"/>
        <w:rPr>
          <w:rFonts w:hint="eastAsia" w:hAnsi="宋体" w:cs="宋体"/>
          <w:bCs/>
        </w:rPr>
      </w:pPr>
      <w:r>
        <w:rPr>
          <w:rFonts w:hint="eastAsia" w:hAnsi="宋体" w:cs="宋体"/>
          <w:bCs/>
        </w:rPr>
        <w:t>《机动车号牌图像自动识别技术规范》（GA/T 833-2016）；</w:t>
      </w:r>
    </w:p>
    <w:p w14:paraId="545DE74F">
      <w:pPr>
        <w:pStyle w:val="798"/>
        <w:rPr>
          <w:rFonts w:hint="eastAsia" w:hAnsi="宋体" w:cs="宋体"/>
          <w:bCs/>
        </w:rPr>
      </w:pPr>
      <w:r>
        <w:rPr>
          <w:rFonts w:hint="eastAsia" w:hAnsi="宋体" w:cs="宋体"/>
          <w:bCs/>
        </w:rPr>
        <w:t>《道路交通信号灯》（GB 14887—2011）；</w:t>
      </w:r>
    </w:p>
    <w:p w14:paraId="317F9851">
      <w:pPr>
        <w:pStyle w:val="798"/>
        <w:rPr>
          <w:rFonts w:hint="eastAsia" w:hAnsi="宋体" w:cs="宋体"/>
          <w:bCs/>
        </w:rPr>
      </w:pPr>
      <w:r>
        <w:rPr>
          <w:rFonts w:hint="eastAsia" w:hAnsi="宋体" w:cs="宋体"/>
          <w:bCs/>
        </w:rPr>
        <w:t>《计算机信息系统安全保护等级划分准则》（GB 17859—1999）；</w:t>
      </w:r>
    </w:p>
    <w:p w14:paraId="0703345F">
      <w:pPr>
        <w:pStyle w:val="798"/>
        <w:rPr>
          <w:rFonts w:hint="eastAsia" w:hAnsi="宋体" w:cs="宋体"/>
          <w:bCs/>
        </w:rPr>
      </w:pPr>
      <w:r>
        <w:rPr>
          <w:rFonts w:hint="eastAsia" w:hAnsi="宋体" w:cs="宋体"/>
          <w:bCs/>
        </w:rPr>
        <w:t>《民用闭路监视电视系统工程技术规范》（GB 50198—2011）；</w:t>
      </w:r>
    </w:p>
    <w:p w14:paraId="20FCC4EE">
      <w:pPr>
        <w:pStyle w:val="798"/>
        <w:rPr>
          <w:rFonts w:hint="eastAsia" w:hAnsi="宋体" w:cs="宋体"/>
          <w:bCs/>
        </w:rPr>
      </w:pPr>
      <w:r>
        <w:rPr>
          <w:rFonts w:hint="eastAsia" w:hAnsi="宋体" w:cs="宋体"/>
          <w:bCs/>
        </w:rPr>
        <w:t>《全国道路交通管理信息数据库规范》（GA329—2006）；</w:t>
      </w:r>
    </w:p>
    <w:p w14:paraId="1C1B9C94">
      <w:pPr>
        <w:pStyle w:val="798"/>
        <w:rPr>
          <w:rFonts w:hint="eastAsia" w:hAnsi="宋体" w:cs="宋体"/>
          <w:bCs/>
        </w:rPr>
      </w:pPr>
      <w:r>
        <w:rPr>
          <w:rFonts w:hint="eastAsia" w:hAnsi="宋体" w:cs="宋体"/>
          <w:bCs/>
        </w:rPr>
        <w:t>《道路交通违法管理信息代码》（GA408—2006）；</w:t>
      </w:r>
    </w:p>
    <w:p w14:paraId="6A52A37E">
      <w:pPr>
        <w:pStyle w:val="798"/>
        <w:rPr>
          <w:rFonts w:hint="eastAsia" w:hAnsi="宋体" w:cs="宋体"/>
          <w:bCs/>
        </w:rPr>
      </w:pPr>
      <w:r>
        <w:rPr>
          <w:rFonts w:hint="eastAsia" w:hAnsi="宋体" w:cs="宋体"/>
          <w:bCs/>
        </w:rPr>
        <w:t>《道路交通流量调查》（GA /T 299—2001）；</w:t>
      </w:r>
    </w:p>
    <w:p w14:paraId="7F570EC8">
      <w:pPr>
        <w:pStyle w:val="798"/>
        <w:rPr>
          <w:rFonts w:hint="eastAsia" w:hAnsi="宋体" w:cs="宋体"/>
          <w:bCs/>
        </w:rPr>
      </w:pPr>
      <w:r>
        <w:rPr>
          <w:rFonts w:hint="eastAsia" w:hAnsi="宋体" w:cs="宋体"/>
          <w:bCs/>
        </w:rPr>
        <w:t>《道路交通堵塞度及评价方法》（GA/T 115—1995）；</w:t>
      </w:r>
    </w:p>
    <w:p w14:paraId="49DF1215">
      <w:pPr>
        <w:pStyle w:val="798"/>
        <w:rPr>
          <w:rFonts w:hint="eastAsia" w:hAnsi="宋体" w:cs="宋体"/>
          <w:bCs/>
        </w:rPr>
      </w:pPr>
      <w:r>
        <w:rPr>
          <w:rFonts w:hint="eastAsia" w:hAnsi="宋体" w:cs="宋体"/>
          <w:bCs/>
        </w:rPr>
        <w:t>《城市道路交通秩序评价方法》（GA/T 175—1998）；</w:t>
      </w:r>
    </w:p>
    <w:p w14:paraId="0DC57A30">
      <w:pPr>
        <w:pStyle w:val="798"/>
        <w:rPr>
          <w:rFonts w:hint="eastAsia" w:hAnsi="宋体" w:cs="宋体"/>
          <w:bCs/>
        </w:rPr>
      </w:pPr>
      <w:r>
        <w:rPr>
          <w:rFonts w:hint="eastAsia" w:hAnsi="宋体" w:cs="宋体"/>
          <w:bCs/>
        </w:rPr>
        <w:t>《安防视频监控系统技术要求》（GA/T 367—2001）；</w:t>
      </w:r>
    </w:p>
    <w:p w14:paraId="6BED2CA5">
      <w:pPr>
        <w:pStyle w:val="798"/>
        <w:rPr>
          <w:rFonts w:hint="eastAsia" w:hAnsi="宋体" w:cs="宋体"/>
          <w:bCs/>
        </w:rPr>
      </w:pPr>
      <w:r>
        <w:rPr>
          <w:rFonts w:hint="eastAsia" w:hAnsi="宋体" w:cs="宋体"/>
          <w:bCs/>
        </w:rPr>
        <w:t>《公安交通指挥系统建设技术规范》（GA/T 445—2010）；</w:t>
      </w:r>
    </w:p>
    <w:p w14:paraId="04D6B267">
      <w:pPr>
        <w:pStyle w:val="798"/>
        <w:rPr>
          <w:rFonts w:hint="eastAsia" w:hAnsi="宋体" w:cs="宋体"/>
          <w:bCs/>
        </w:rPr>
      </w:pPr>
      <w:r>
        <w:rPr>
          <w:rFonts w:hint="eastAsia" w:hAnsi="宋体" w:cs="宋体"/>
          <w:bCs/>
        </w:rPr>
        <w:t>《LED 道路交通诱导可变信息标志》（GA/T 484—2010）；</w:t>
      </w:r>
    </w:p>
    <w:p w14:paraId="3B86C1A8">
      <w:pPr>
        <w:pStyle w:val="798"/>
        <w:rPr>
          <w:rFonts w:hint="eastAsia" w:hAnsi="宋体" w:cs="宋体"/>
          <w:bCs/>
        </w:rPr>
      </w:pPr>
      <w:r>
        <w:rPr>
          <w:rFonts w:hint="eastAsia" w:hAnsi="宋体" w:cs="宋体"/>
          <w:bCs/>
        </w:rPr>
        <w:t>《道路交通信号控制机安装规范》（GA/T 489—2016）；</w:t>
      </w:r>
    </w:p>
    <w:p w14:paraId="3BC01243">
      <w:pPr>
        <w:pStyle w:val="798"/>
        <w:rPr>
          <w:rFonts w:hint="eastAsia" w:hAnsi="宋体" w:cs="宋体"/>
          <w:bCs/>
        </w:rPr>
      </w:pPr>
      <w:r>
        <w:rPr>
          <w:rFonts w:hint="eastAsia" w:hAnsi="宋体" w:cs="宋体"/>
          <w:bCs/>
        </w:rPr>
        <w:t>《交通电视监控系统验收规范》（GA/T 514—2004）；</w:t>
      </w:r>
    </w:p>
    <w:p w14:paraId="52897213">
      <w:pPr>
        <w:pStyle w:val="798"/>
        <w:rPr>
          <w:rFonts w:hint="eastAsia" w:hAnsi="宋体" w:cs="宋体"/>
          <w:bCs/>
        </w:rPr>
      </w:pPr>
      <w:r>
        <w:rPr>
          <w:rFonts w:hint="eastAsia" w:hAnsi="宋体" w:cs="宋体"/>
          <w:bCs/>
        </w:rPr>
        <w:t>《城市道路交通信号控制方式适用规范》（GA/T 527—2005）；</w:t>
      </w:r>
    </w:p>
    <w:p w14:paraId="7DEA25A8">
      <w:pPr>
        <w:pStyle w:val="798"/>
        <w:rPr>
          <w:rFonts w:hint="eastAsia" w:hAnsi="宋体" w:cs="宋体"/>
          <w:bCs/>
        </w:rPr>
      </w:pPr>
      <w:r>
        <w:rPr>
          <w:rFonts w:hint="eastAsia" w:hAnsi="宋体" w:cs="宋体"/>
          <w:bCs/>
        </w:rPr>
        <w:t>《公安交通指挥系统工程建设程序与要求》（GA/T 651—2014）；</w:t>
      </w:r>
    </w:p>
    <w:p w14:paraId="1AB3874F">
      <w:pPr>
        <w:pStyle w:val="798"/>
        <w:rPr>
          <w:rFonts w:hint="eastAsia" w:hAnsi="宋体" w:cs="宋体"/>
          <w:bCs/>
        </w:rPr>
      </w:pPr>
      <w:r>
        <w:rPr>
          <w:rFonts w:hint="eastAsia" w:hAnsi="宋体" w:cs="宋体"/>
          <w:bCs/>
        </w:rPr>
        <w:t>《公安交通管理设备外场设备施工要求》（GA/T 652—2006）；</w:t>
      </w:r>
    </w:p>
    <w:p w14:paraId="745A9D1D">
      <w:pPr>
        <w:pStyle w:val="798"/>
        <w:rPr>
          <w:rFonts w:hint="eastAsia" w:hAnsi="宋体" w:cs="宋体"/>
          <w:bCs/>
        </w:rPr>
      </w:pPr>
      <w:r>
        <w:rPr>
          <w:rFonts w:hint="eastAsia" w:hAnsi="宋体" w:cs="宋体"/>
          <w:bCs/>
        </w:rPr>
        <w:t>《公路工程技术标准》（JTG B01-2014）；</w:t>
      </w:r>
    </w:p>
    <w:p w14:paraId="534A634F">
      <w:pPr>
        <w:pStyle w:val="798"/>
        <w:rPr>
          <w:rFonts w:hint="eastAsia" w:hAnsi="宋体" w:cs="宋体"/>
          <w:bCs/>
        </w:rPr>
      </w:pPr>
      <w:r>
        <w:rPr>
          <w:rFonts w:hint="eastAsia" w:hAnsi="宋体" w:cs="宋体"/>
          <w:bCs/>
        </w:rPr>
        <w:t>《道路交通安全违法行为视频取证设备技术规范》（GA/T995—2012）</w:t>
      </w:r>
    </w:p>
    <w:p w14:paraId="67D0BE9D">
      <w:pPr>
        <w:pStyle w:val="798"/>
        <w:rPr>
          <w:rFonts w:hint="eastAsia" w:hAnsi="宋体" w:cs="宋体"/>
          <w:bCs/>
        </w:rPr>
      </w:pPr>
      <w:r>
        <w:rPr>
          <w:rFonts w:hint="eastAsia" w:hAnsi="宋体" w:cs="宋体"/>
          <w:bCs/>
        </w:rPr>
        <w:t>《高速公路联网运行收费、监控、通信系统技术要求》（DB33-T747-2009）</w:t>
      </w:r>
    </w:p>
    <w:p w14:paraId="4E2D82F9">
      <w:pPr>
        <w:pStyle w:val="798"/>
        <w:rPr>
          <w:rFonts w:hint="eastAsia" w:hAnsi="宋体" w:cs="宋体"/>
          <w:bCs/>
        </w:rPr>
      </w:pPr>
      <w:r>
        <w:rPr>
          <w:rFonts w:hint="eastAsia" w:hAnsi="宋体" w:cs="宋体"/>
          <w:bCs/>
        </w:rPr>
        <w:t>《高速公路计重收费系统技术要求》（DB33-T945-2014）</w:t>
      </w:r>
    </w:p>
    <w:p w14:paraId="4306608D">
      <w:pPr>
        <w:widowControl/>
        <w:ind w:firstLine="420"/>
        <w:jc w:val="left"/>
        <w:rPr>
          <w:rFonts w:hint="eastAsia" w:ascii="宋体" w:hAnsi="宋体" w:cs="宋体"/>
          <w:bCs/>
          <w:sz w:val="24"/>
          <w:szCs w:val="22"/>
        </w:rPr>
      </w:pPr>
      <w:r>
        <w:rPr>
          <w:rFonts w:hint="eastAsia" w:ascii="宋体" w:hAnsi="宋体" w:cs="宋体"/>
          <w:bCs/>
          <w:sz w:val="24"/>
          <w:szCs w:val="22"/>
        </w:rPr>
        <w:t>《取消高速公路省界收费站联网收费系统建设改造技术要求》</w:t>
      </w:r>
    </w:p>
    <w:p w14:paraId="66B2CFBF">
      <w:pPr>
        <w:widowControl/>
        <w:ind w:firstLine="420"/>
        <w:jc w:val="left"/>
        <w:rPr>
          <w:rFonts w:hint="eastAsia" w:ascii="宋体" w:hAnsi="宋体" w:cs="宋体"/>
          <w:b/>
          <w:sz w:val="24"/>
          <w:szCs w:val="22"/>
        </w:rPr>
      </w:pPr>
      <w:r>
        <w:rPr>
          <w:rFonts w:hint="eastAsia" w:ascii="宋体" w:hAnsi="宋体" w:cs="宋体"/>
          <w:b/>
          <w:sz w:val="24"/>
          <w:szCs w:val="22"/>
        </w:rPr>
        <w:t>包括但不限于以上标准要求。</w:t>
      </w:r>
    </w:p>
    <w:p w14:paraId="74D8BA02">
      <w:pPr>
        <w:widowControl/>
        <w:ind w:firstLine="420"/>
        <w:jc w:val="left"/>
        <w:rPr>
          <w:rFonts w:hint="eastAsia" w:ascii="宋体" w:hAnsi="宋体" w:cs="宋体"/>
          <w:bCs/>
          <w:sz w:val="24"/>
          <w:szCs w:val="22"/>
        </w:rPr>
      </w:pPr>
    </w:p>
    <w:p w14:paraId="3964E6F2">
      <w:pPr>
        <w:numPr>
          <w:ilvl w:val="0"/>
          <w:numId w:val="2"/>
        </w:numPr>
        <w:spacing w:line="360" w:lineRule="auto"/>
        <w:ind w:right="-458" w:rightChars="-218"/>
        <w:rPr>
          <w:rFonts w:hint="eastAsia" w:ascii="宋体" w:hAnsi="宋体" w:cs="宋体"/>
          <w:b/>
          <w:bCs/>
          <w:sz w:val="24"/>
        </w:rPr>
      </w:pPr>
      <w:r>
        <w:rPr>
          <w:rFonts w:hint="eastAsia" w:ascii="宋体" w:hAnsi="宋体" w:cs="宋体"/>
          <w:b/>
          <w:bCs/>
          <w:sz w:val="24"/>
        </w:rPr>
        <w:t>维护工作内容及要求</w:t>
      </w:r>
    </w:p>
    <w:p w14:paraId="6EFCB471">
      <w:pPr>
        <w:pStyle w:val="798"/>
        <w:rPr>
          <w:rFonts w:hint="eastAsia" w:hAnsi="宋体" w:cs="宋体"/>
          <w:bCs/>
        </w:rPr>
      </w:pPr>
      <w:r>
        <w:rPr>
          <w:rFonts w:hint="eastAsia" w:hAnsi="宋体" w:cs="宋体"/>
          <w:bCs/>
        </w:rPr>
        <w:t>因承包人所负责维护的机电系统具有不可停止运行的特性（无节假日和双休日），一般性故障设备维修， 承包人必须在接到发包人的系统故障维修指令后需赴现场修复完毕。对影响正常收费和运行秩序的系统、设备故障，必须在规定时间内修复完毕。 如遇系统故障严重、备品备件采购困难等特殊情况造成修复时间需适当延长时，必须用书面形式报请相关部门书面同意。</w:t>
      </w:r>
    </w:p>
    <w:p w14:paraId="6FA34DC8">
      <w:pPr>
        <w:spacing w:line="360" w:lineRule="auto"/>
        <w:ind w:right="-458" w:rightChars="-218" w:firstLine="420"/>
        <w:rPr>
          <w:rFonts w:hint="eastAsia" w:ascii="宋体" w:hAnsi="宋体" w:cs="宋体"/>
          <w:b/>
          <w:bCs/>
          <w:sz w:val="24"/>
        </w:rPr>
      </w:pPr>
      <w:r>
        <w:rPr>
          <w:rFonts w:hint="eastAsia" w:ascii="宋体" w:hAnsi="宋体" w:cs="宋体"/>
          <w:b/>
          <w:bCs/>
          <w:sz w:val="24"/>
        </w:rPr>
        <w:t>一般要求</w:t>
      </w:r>
    </w:p>
    <w:p w14:paraId="66EBDFE0">
      <w:pPr>
        <w:pStyle w:val="798"/>
        <w:rPr>
          <w:rFonts w:hint="eastAsia" w:hAnsi="宋体" w:cs="宋体"/>
        </w:rPr>
      </w:pPr>
      <w:r>
        <w:rPr>
          <w:rFonts w:hint="eastAsia" w:hAnsi="宋体" w:cs="宋体"/>
        </w:rPr>
        <w:t>（1）将对维护范围内的设施、设备及配套开展经常性的巡查、检修和保养工作，以确保设备处于良好的运行状态，并按业主要求进行维护记录的编制与归档。</w:t>
      </w:r>
    </w:p>
    <w:p w14:paraId="01F875B6">
      <w:pPr>
        <w:pStyle w:val="798"/>
        <w:rPr>
          <w:rFonts w:hint="eastAsia" w:hAnsi="宋体" w:cs="宋体"/>
        </w:rPr>
      </w:pPr>
      <w:r>
        <w:rPr>
          <w:rFonts w:hint="eastAsia" w:hAnsi="宋体" w:cs="宋体"/>
        </w:rPr>
        <w:t>（2）将满足但不仅限于本技术规范内明确的工作内容开展日常巡检工作，同时还将满足国家及行业相关规范中所涉及的设备维护保养要求。</w:t>
      </w:r>
    </w:p>
    <w:p w14:paraId="33C878B9">
      <w:pPr>
        <w:pStyle w:val="798"/>
        <w:rPr>
          <w:rFonts w:hint="eastAsia" w:hAnsi="宋体" w:cs="宋体"/>
        </w:rPr>
      </w:pPr>
      <w:r>
        <w:rPr>
          <w:rFonts w:hint="eastAsia" w:hAnsi="宋体" w:cs="宋体"/>
        </w:rPr>
        <w:t>（3）将对维护范围内的设施、设备及配套的故障负有维修的责任，包括维修过程中所涉及的人工、维护车辆、工具、耗材及必要的技术支持等。</w:t>
      </w:r>
    </w:p>
    <w:p w14:paraId="2CCC0E21">
      <w:pPr>
        <w:pStyle w:val="798"/>
        <w:rPr>
          <w:rFonts w:hint="eastAsia" w:hAnsi="宋体" w:cs="宋体"/>
        </w:rPr>
      </w:pPr>
      <w:r>
        <w:rPr>
          <w:rFonts w:hint="eastAsia" w:hAnsi="宋体" w:cs="宋体"/>
        </w:rPr>
        <w:t>（4）对于专业资质能力范围内无法解决的故障，经业主同意后，可另行委托相关单位进行处理，承包人负有配合、辅助及验证的义务。</w:t>
      </w:r>
    </w:p>
    <w:p w14:paraId="2B46C5F5">
      <w:pPr>
        <w:spacing w:line="360" w:lineRule="auto"/>
        <w:ind w:firstLine="420" w:firstLineChars="200"/>
        <w:rPr>
          <w:rFonts w:hint="eastAsia" w:ascii="宋体" w:hAnsi="宋体" w:cs="宋体"/>
          <w:sz w:val="24"/>
        </w:rPr>
      </w:pPr>
      <w:r>
        <w:rPr>
          <w:rFonts w:hint="eastAsia" w:hAnsi="宋体" w:cs="宋体"/>
        </w:rPr>
        <w:t>（5）每年将根据季节、气候、环境等条件的不同对系统进行有针对性的专项检查，并制定相应的检查计划上报业主。定期</w:t>
      </w:r>
      <w:r>
        <w:rPr>
          <w:rFonts w:hint="eastAsia" w:ascii="宋体" w:hAnsi="宋体" w:cs="宋体"/>
          <w:sz w:val="24"/>
        </w:rPr>
        <w:t>检查外场设备的完整性和牢固性，消除人为或自然原因影响安全和功能使用的隐患。</w:t>
      </w:r>
    </w:p>
    <w:p w14:paraId="552503CC">
      <w:pPr>
        <w:pStyle w:val="798"/>
        <w:rPr>
          <w:rFonts w:hint="eastAsia" w:hAnsi="宋体" w:cs="宋体"/>
        </w:rPr>
      </w:pPr>
      <w:r>
        <w:rPr>
          <w:rFonts w:hint="eastAsia" w:hAnsi="宋体" w:cs="宋体"/>
        </w:rPr>
        <w:t>（6）将按照计划执行各类专项检查，在一些突发性情况发生后，业主可根据实际情况要求承包人进行针对性的检查。</w:t>
      </w:r>
    </w:p>
    <w:p w14:paraId="080F8101">
      <w:pPr>
        <w:pStyle w:val="798"/>
        <w:rPr>
          <w:rFonts w:hint="eastAsia" w:hAnsi="宋体" w:cs="宋体"/>
        </w:rPr>
      </w:pPr>
      <w:r>
        <w:rPr>
          <w:rFonts w:hint="eastAsia" w:hAnsi="宋体" w:cs="宋体"/>
        </w:rPr>
        <w:t>（7）对于其它交叉系统、设备的检查、维修负有配合的义务，包括为其他专业维修单位提供车辆、示警、人员、安全设施等方面的协助，积极配合业主组织的相关活动，所涉费用包含在合同内。</w:t>
      </w:r>
    </w:p>
    <w:p w14:paraId="55D4B950">
      <w:pPr>
        <w:pStyle w:val="798"/>
        <w:rPr>
          <w:rFonts w:hint="eastAsia" w:hAnsi="宋体" w:cs="宋体"/>
        </w:rPr>
      </w:pPr>
      <w:r>
        <w:rPr>
          <w:rFonts w:hint="eastAsia" w:hAnsi="宋体" w:cs="宋体"/>
        </w:rPr>
        <w:t>（8）对于项目的交接工作，需要在承接与移交时做好全面检查，了解各系统、设备运行情况，并出具相应书面材料。</w:t>
      </w:r>
    </w:p>
    <w:p w14:paraId="5CD60382">
      <w:pPr>
        <w:spacing w:line="360" w:lineRule="auto"/>
        <w:ind w:firstLine="480" w:firstLineChars="200"/>
        <w:rPr>
          <w:rFonts w:hint="eastAsia" w:ascii="宋体" w:hAnsi="宋体" w:cs="宋体"/>
          <w:sz w:val="24"/>
        </w:rPr>
      </w:pPr>
      <w:r>
        <w:rPr>
          <w:rFonts w:hint="eastAsia" w:ascii="宋体" w:hAnsi="宋体" w:cs="宋体"/>
          <w:sz w:val="24"/>
        </w:rPr>
        <w:t>（9）确保交易范围内维护点7×24小时正常运行，根据需要进行数据的安全存储、备份。遇偷盗、人为破坏等外力因素，造成设备丢失或无法继续使用，应及时报警备案（属地派出所）。</w:t>
      </w:r>
    </w:p>
    <w:p w14:paraId="19517D14">
      <w:pPr>
        <w:spacing w:line="360" w:lineRule="auto"/>
        <w:ind w:firstLine="480" w:firstLineChars="200"/>
        <w:rPr>
          <w:rFonts w:hint="eastAsia" w:ascii="宋体" w:hAnsi="宋体" w:cs="宋体"/>
          <w:sz w:val="24"/>
        </w:rPr>
      </w:pPr>
    </w:p>
    <w:p w14:paraId="66381C7D">
      <w:pPr>
        <w:spacing w:line="360" w:lineRule="auto"/>
        <w:ind w:firstLine="480" w:firstLineChars="200"/>
        <w:rPr>
          <w:rFonts w:hint="eastAsia" w:ascii="宋体" w:hAnsi="宋体" w:cs="宋体"/>
          <w:sz w:val="24"/>
        </w:rPr>
      </w:pPr>
      <w:r>
        <w:rPr>
          <w:rFonts w:hint="eastAsia" w:ascii="宋体" w:hAnsi="宋体" w:cs="宋体"/>
          <w:sz w:val="24"/>
        </w:rPr>
        <w:t>具体要求：</w:t>
      </w:r>
    </w:p>
    <w:p w14:paraId="11A9D868">
      <w:pPr>
        <w:spacing w:line="360" w:lineRule="auto"/>
        <w:ind w:firstLine="480" w:firstLineChars="200"/>
        <w:rPr>
          <w:rFonts w:hint="eastAsia" w:ascii="宋体" w:hAnsi="宋体" w:cs="宋体"/>
          <w:sz w:val="24"/>
        </w:rPr>
      </w:pPr>
      <w:r>
        <w:rPr>
          <w:rFonts w:hint="eastAsia" w:ascii="宋体" w:hAnsi="宋体" w:cs="宋体"/>
          <w:sz w:val="24"/>
        </w:rPr>
        <w:t>(1）所有监控系统设备连续存在故障运行的时间不得超过48小时；摄像机视距保证在良好天气时，能清晰地监视相应的外场情况确保能够正常使用。光端机发送功率与接收灵敏度符合视频信号传输的要求。</w:t>
      </w:r>
    </w:p>
    <w:p w14:paraId="3BDFBDF6">
      <w:pPr>
        <w:spacing w:line="360" w:lineRule="auto"/>
        <w:ind w:firstLine="480" w:firstLineChars="200"/>
        <w:rPr>
          <w:rFonts w:hint="eastAsia" w:ascii="宋体" w:hAnsi="宋体" w:cs="宋体"/>
          <w:sz w:val="24"/>
        </w:rPr>
      </w:pPr>
      <w:r>
        <w:rPr>
          <w:rFonts w:hint="eastAsia" w:ascii="宋体" w:hAnsi="宋体" w:cs="宋体"/>
          <w:sz w:val="24"/>
        </w:rPr>
        <w:t xml:space="preserve"> (2)对项目施工更换的设备及敷设在人井、手井、槽道、桥架、机箱、机柜等外场和室内线缆进行整理，配齐吊牌标记；</w:t>
      </w:r>
    </w:p>
    <w:p w14:paraId="11875858">
      <w:pPr>
        <w:spacing w:line="360" w:lineRule="auto"/>
        <w:ind w:firstLine="480" w:firstLineChars="200"/>
        <w:rPr>
          <w:rFonts w:hint="eastAsia" w:ascii="宋体" w:hAnsi="宋体" w:cs="宋体"/>
          <w:sz w:val="24"/>
        </w:rPr>
      </w:pPr>
      <w:r>
        <w:rPr>
          <w:rFonts w:hint="eastAsia" w:ascii="宋体" w:hAnsi="宋体" w:cs="宋体"/>
          <w:sz w:val="24"/>
        </w:rPr>
        <w:t>(3)定期对各类设备的工作环境、状态和性能进行检查和测试，确保这些设备正常运行。设备均应可靠接地，并符合要求。雷雨季节应及时组织检查浪涌保护器和系统设备。</w:t>
      </w:r>
    </w:p>
    <w:p w14:paraId="1054D082">
      <w:pPr>
        <w:spacing w:line="360" w:lineRule="auto"/>
        <w:ind w:firstLine="480" w:firstLineChars="200"/>
        <w:rPr>
          <w:rFonts w:hint="eastAsia" w:ascii="宋体" w:hAnsi="宋体" w:cs="宋体"/>
          <w:sz w:val="24"/>
        </w:rPr>
      </w:pPr>
      <w:r>
        <w:rPr>
          <w:rFonts w:hint="eastAsia" w:ascii="宋体" w:hAnsi="宋体" w:cs="宋体"/>
          <w:sz w:val="24"/>
        </w:rPr>
        <w:t>（4）定期对进行除尘保洁，严格按照系统有关操作维护手册的要求对通讯设备进行维护保养；根据设备的电气特性进行检测，并做好完整的维护测试和检修记录；</w:t>
      </w:r>
    </w:p>
    <w:p w14:paraId="20CFC8F8">
      <w:pPr>
        <w:spacing w:line="360" w:lineRule="auto"/>
        <w:ind w:firstLine="480" w:firstLineChars="200"/>
        <w:rPr>
          <w:rFonts w:hint="eastAsia" w:ascii="宋体" w:hAnsi="宋体" w:cs="宋体"/>
          <w:sz w:val="24"/>
        </w:rPr>
      </w:pPr>
      <w:r>
        <w:rPr>
          <w:rFonts w:hint="eastAsia" w:ascii="宋体" w:hAnsi="宋体" w:cs="宋体"/>
          <w:sz w:val="24"/>
        </w:rPr>
        <w:t>(5）供应商应确保设备的正常运行，管区内光、电缆的种类，布放路径、接头位置、接地地点、人井位置和编号等情况明确；接头盒排放整齐、绑扎牢固，不宜浸泡在水中；对光电缆的缺陷、故障等按故障测寻、故障检查、原因分析、故障修理和修理后的试验等步骤，及时排除。焊接时，不使用有腐蚀性的焊剂；</w:t>
      </w:r>
    </w:p>
    <w:p w14:paraId="5E5D9F58">
      <w:pPr>
        <w:spacing w:line="360" w:lineRule="auto"/>
        <w:ind w:firstLine="480" w:firstLineChars="200"/>
        <w:rPr>
          <w:rFonts w:hint="eastAsia" w:ascii="宋体" w:hAnsi="宋体" w:cs="宋体"/>
          <w:sz w:val="24"/>
        </w:rPr>
      </w:pPr>
      <w:r>
        <w:rPr>
          <w:rFonts w:hint="eastAsia" w:ascii="宋体" w:hAnsi="宋体" w:cs="宋体"/>
          <w:sz w:val="24"/>
        </w:rPr>
        <w:t>(6）应确保各类软件系统的正常运行，根据系统硬件设备的更新，及时更新程序；.定期做好软件与数据的备份，清除系统运行中发生的故障和错误，软、硬件维护人员要对系统进行必要的修改与完善；</w:t>
      </w:r>
    </w:p>
    <w:p w14:paraId="48B6D739">
      <w:pPr>
        <w:spacing w:line="360" w:lineRule="auto"/>
        <w:ind w:firstLine="480" w:firstLineChars="200"/>
        <w:rPr>
          <w:rFonts w:hint="eastAsia" w:ascii="宋体" w:hAnsi="宋体" w:cs="宋体"/>
          <w:sz w:val="24"/>
        </w:rPr>
      </w:pPr>
      <w:r>
        <w:rPr>
          <w:rFonts w:hint="eastAsia" w:ascii="宋体" w:hAnsi="宋体" w:cs="宋体"/>
          <w:sz w:val="24"/>
        </w:rPr>
        <w:t>（7）对运行中的特性设备进行维护时，不应随意变动其软件设置，不应随意插拔机盘和接插件，不应随意拨动按键开关，需要插拔机盘和接插件时佩戴防静电装备；做好通信网络配置备份，配合业主修改相关配置。</w:t>
      </w:r>
    </w:p>
    <w:p w14:paraId="296B80E5">
      <w:pPr>
        <w:spacing w:line="360" w:lineRule="auto"/>
        <w:ind w:firstLine="480" w:firstLineChars="200"/>
        <w:rPr>
          <w:rFonts w:hint="eastAsia" w:ascii="宋体" w:hAnsi="宋体" w:cs="宋体"/>
          <w:sz w:val="24"/>
        </w:rPr>
      </w:pPr>
      <w:r>
        <w:rPr>
          <w:rFonts w:hint="eastAsia" w:ascii="宋体" w:hAnsi="宋体" w:cs="宋体"/>
          <w:sz w:val="24"/>
        </w:rPr>
        <w:t>（8）改正系统在使用过程中发现的隐含错误，扩充在使用过程中用户提出的新的功能及性能要求，其目的是维护系统的"正常运作"，同时完善记录问题报告和修改报告。</w:t>
      </w:r>
    </w:p>
    <w:p w14:paraId="1C3CAD35">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（9）所有设备、系统运行达到联网收费、监控相关要求指标要求。</w:t>
      </w:r>
    </w:p>
    <w:p w14:paraId="5ECD7FD3">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（10）经常检查降温风扇运转是否正常，主要位路有:工控机、计算机、稳压器、硬盘录像机等。</w:t>
      </w:r>
    </w:p>
    <w:p w14:paraId="0CADBCFD">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（11）外场设备由于雨淋日晒易被氧化生锈，要定期进行防锈处理。如:手动栏杆的转轴、设备的地脚固定螺栓、设备与固定装珞的连接螺栓等要涂抹防锈油。</w:t>
      </w:r>
    </w:p>
    <w:p w14:paraId="0037E8A4">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12）易损部件的及时检查处理，机电设备有些部件是易损的，如:电源保护器、避雷器、CPU降温风扇等，在日常维护中发现致命性易损部件，要予以充分的注意，如:设备的防雷器和电源保护器，在雷雨过后要检查，如果坏了要及时予以更换，否则下次雷击就可能设备被打坏。</w:t>
      </w:r>
    </w:p>
    <w:p w14:paraId="7BE48DED">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（13）耗材的及时检查和更换，掌控好站内耗材备件的库存，防止急需耗材时才发现站内没有备件了的事情发生。</w:t>
      </w:r>
    </w:p>
    <w:p w14:paraId="0A25BFB4">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（14）计重设备维护，对光栅及称台进行除尘；清理掉入秤台基坑内的渣土；完成检定的调整工作；</w:t>
      </w:r>
    </w:p>
    <w:p w14:paraId="65380EF7">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（15）卡机使用中的卡机应每隔一段时间在滑块（卡机内部滑动部分）上油。卡机的光电传感器必须定期除尘。排除日常系统问题。</w:t>
      </w:r>
    </w:p>
    <w:p w14:paraId="32A30AE0">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其它具体要求将后续完善。</w:t>
      </w:r>
    </w:p>
    <w:p w14:paraId="33E4F17E">
      <w:pPr>
        <w:spacing w:line="360" w:lineRule="auto"/>
        <w:ind w:firstLine="482" w:firstLineChars="200"/>
        <w:rPr>
          <w:rFonts w:hint="eastAsia" w:ascii="宋体" w:hAnsi="宋体" w:cs="宋体"/>
          <w:b/>
          <w:bCs/>
          <w:snapToGrid w:val="0"/>
          <w:kern w:val="28"/>
          <w:sz w:val="24"/>
        </w:rPr>
      </w:pPr>
      <w:r>
        <w:rPr>
          <w:rFonts w:hint="eastAsia" w:ascii="宋体" w:hAnsi="宋体" w:cs="宋体"/>
          <w:b/>
          <w:bCs/>
          <w:snapToGrid w:val="0"/>
          <w:kern w:val="28"/>
          <w:sz w:val="24"/>
        </w:rPr>
        <w:t>六、应急抢修工作</w:t>
      </w:r>
    </w:p>
    <w:p w14:paraId="71113880">
      <w:pPr>
        <w:spacing w:line="360" w:lineRule="auto"/>
        <w:ind w:firstLine="482" w:firstLineChars="200"/>
        <w:rPr>
          <w:rFonts w:hint="eastAsia" w:ascii="宋体" w:hAnsi="宋体" w:cs="宋体"/>
          <w:b/>
          <w:bCs/>
          <w:snapToGrid w:val="0"/>
          <w:kern w:val="28"/>
          <w:sz w:val="24"/>
        </w:rPr>
      </w:pPr>
      <w:r>
        <w:rPr>
          <w:rFonts w:hint="eastAsia" w:ascii="宋体" w:hAnsi="宋体" w:cs="宋体"/>
          <w:b/>
          <w:bCs/>
          <w:snapToGrid w:val="0"/>
          <w:kern w:val="28"/>
          <w:sz w:val="24"/>
        </w:rPr>
        <w:t>抢修范围：实际工作中不可中断、限期要求的相关工作。如收费、通信、传输、UPS\供电等</w:t>
      </w:r>
    </w:p>
    <w:p w14:paraId="3CB17C83">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供应商应设立7×24小时服务专用电话，接受采购人的维修指令（或保通保畅紧急通知后，到现场配合工作人员完成保通保畅任务），抢修各种原因引起的故障。抢修过程中所涉及其它专业人员、使用设备工具均需供应商落实。当系统发生重大故障，或影响采购人业务正常运作的故障，必须白天在1小时、夜间1.5小时内到达现场，4小时内解决问题。</w:t>
      </w:r>
    </w:p>
    <w:p w14:paraId="00028ABB">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应急保障工作中允许经请示后从非关键点拆除设备以进行应急以保障正常运营工作。外场设施遇偷盗、人为破坏等外力因素，造成设备丢失或无法继续使用，应及时报警备案（属地派出所）。同时采取有效应急保障机制。</w:t>
      </w:r>
    </w:p>
    <w:p w14:paraId="7C90D2F0">
      <w:pPr>
        <w:spacing w:line="360" w:lineRule="auto"/>
        <w:ind w:firstLine="420"/>
        <w:rPr>
          <w:rFonts w:hint="eastAsia" w:ascii="宋体" w:hAnsi="宋体" w:cs="宋体"/>
          <w:b/>
          <w:bCs/>
          <w:snapToGrid w:val="0"/>
          <w:kern w:val="28"/>
          <w:sz w:val="24"/>
        </w:rPr>
      </w:pPr>
      <w:r>
        <w:rPr>
          <w:rFonts w:hint="eastAsia" w:ascii="宋体" w:hAnsi="宋体" w:cs="宋体"/>
          <w:b/>
          <w:bCs/>
          <w:snapToGrid w:val="0"/>
          <w:kern w:val="28"/>
          <w:sz w:val="24"/>
        </w:rPr>
        <w:t>七、建立联动机制</w:t>
      </w:r>
    </w:p>
    <w:p w14:paraId="5AF94B6E">
      <w:pPr>
        <w:spacing w:line="360" w:lineRule="auto"/>
        <w:ind w:firstLine="420"/>
        <w:rPr>
          <w:rFonts w:hint="eastAsia" w:ascii="宋体" w:hAnsi="宋体" w:cs="宋体"/>
          <w:snapToGrid w:val="0"/>
          <w:kern w:val="28"/>
          <w:sz w:val="24"/>
        </w:rPr>
      </w:pPr>
      <w:r>
        <w:rPr>
          <w:rFonts w:hint="eastAsia" w:ascii="宋体" w:hAnsi="宋体" w:cs="宋体"/>
          <w:snapToGrid w:val="0"/>
          <w:kern w:val="28"/>
          <w:sz w:val="24"/>
        </w:rPr>
        <w:t>考虑到机场公路的特殊性，需要与沿线相关管理部门及系统进行对接与交叉。要求中标方建立相关联动保障工作机制。</w:t>
      </w:r>
    </w:p>
    <w:p w14:paraId="28CFA789">
      <w:pPr>
        <w:pStyle w:val="798"/>
        <w:ind w:firstLine="420" w:firstLineChars="0"/>
        <w:rPr>
          <w:rFonts w:hint="eastAsia" w:hAnsi="宋体" w:cs="宋体"/>
        </w:rPr>
      </w:pPr>
      <w:r>
        <w:rPr>
          <w:rFonts w:hint="eastAsia" w:hAnsi="宋体" w:cs="宋体"/>
          <w:b/>
          <w:bCs/>
        </w:rPr>
        <w:t>八、维护质量要求：</w:t>
      </w:r>
    </w:p>
    <w:p w14:paraId="415AEDD0">
      <w:pPr>
        <w:pStyle w:val="798"/>
        <w:rPr>
          <w:rFonts w:hint="eastAsia" w:hAnsi="宋体" w:cs="宋体"/>
        </w:rPr>
      </w:pPr>
      <w:r>
        <w:rPr>
          <w:rFonts w:hint="eastAsia" w:hAnsi="宋体" w:cs="宋体"/>
        </w:rPr>
        <w:t>（1）高度重视安全生产，加强安全生产教育和培训工作，遵守机电系统维护工作中的操作规范，遵守 交通法规和有关规定，确保维护工作中的人员、机电设施和系统的绝对安全。如承包人在维护质量、安全等方面发生较大问题时，发包人可加大考核扣分力度，上不封顶。</w:t>
      </w:r>
    </w:p>
    <w:p w14:paraId="5862237F">
      <w:pPr>
        <w:pStyle w:val="798"/>
        <w:rPr>
          <w:rFonts w:hint="eastAsia" w:hAnsi="宋体" w:cs="宋体"/>
        </w:rPr>
      </w:pPr>
      <w:r>
        <w:rPr>
          <w:rFonts w:hint="eastAsia" w:hAnsi="宋体" w:cs="宋体"/>
        </w:rPr>
        <w:t>（2）所负责机电系统设备年度完好率要求达 98%以上，设备完好率计算方式=（1-设备故障台数*故障天数 /（设备总台数*日历天数））*100%，“设备台数”参照招标文件中提供的总工程量清单，达不到完好率要求，按季度考核进行扣分。如果承包人不能在规定时 间内完成工作任务，发包人将发出《系统维护整改通知单》，催促承包人在通知单要求的时间内完成工作任务，并根据考核办法进行考核扣分。</w:t>
      </w:r>
    </w:p>
    <w:p w14:paraId="47F89E4C">
      <w:pPr>
        <w:pStyle w:val="798"/>
        <w:rPr>
          <w:rFonts w:hint="eastAsia" w:hAnsi="宋体" w:cs="宋体"/>
        </w:rPr>
      </w:pPr>
      <w:r>
        <w:rPr>
          <w:rFonts w:hint="eastAsia" w:hAnsi="宋体" w:cs="宋体"/>
        </w:rPr>
        <w:t>供应商所提供主要材料均需能够提供质保或产品质量合格证或权威机构的产品质量报告。所采购备品备件在替换使用后，应有 12 个月的质量保修期；经承包人维修返还的设备或零部件在使 用后应有6个月的质量保修期。质量保修期内若出现问题，承包人免费负责更换或维修，维修 2 次以上仍未能解决问题，应该立即更换，并保证机电系统的正常运行不受影响。</w:t>
      </w:r>
    </w:p>
    <w:p w14:paraId="27DD9750">
      <w:pPr>
        <w:pStyle w:val="798"/>
        <w:rPr>
          <w:rFonts w:hint="eastAsia" w:hAnsi="宋体" w:cs="宋体"/>
        </w:rPr>
      </w:pPr>
      <w:r>
        <w:rPr>
          <w:rFonts w:hint="eastAsia" w:hAnsi="宋体" w:cs="宋体"/>
        </w:rPr>
        <w:t>（3）在执行维护过程中，所涉及系统均需达到联网收费、监控等技术要求规范、运行标准。所有维护指标要求不得低于上级有关部门要求标准。其中：车牌识别正常率 100%、门架 ETC 交易成功率≥99.5%、CPC 交易成 功率≥99%;收费站 ETC 车道交易成功率≥99.5%、混合车道交易成功率≥99%、出入口车牌识别率≥99%。</w:t>
      </w:r>
    </w:p>
    <w:p w14:paraId="7B029966">
      <w:pPr>
        <w:pStyle w:val="798"/>
        <w:rPr>
          <w:rFonts w:hint="eastAsia" w:hAnsi="宋体" w:cs="宋体"/>
        </w:rPr>
      </w:pPr>
      <w:r>
        <w:rPr>
          <w:rFonts w:hint="eastAsia" w:hAnsi="宋体" w:cs="宋体"/>
        </w:rPr>
        <w:t>（4）需确保道路美观。所有交通安全设施基座均应埋入地面以下，不外露。如基座在绿化带中，其上必须有20cm的覆土；如基座在人行道上，其上应满足铺设地砖的厚度要求，立柱钢管在制作时应确保道路净空满足规范要求等。地下管线、包括地下管道的费用与破路和恢复路面等施工费用。所有管线需遵照相关项目及质量要求执行。外场设施需建设可靠的接地安全装置和漏电保护装置。具体要求可参照相关文件。</w:t>
      </w:r>
    </w:p>
    <w:p w14:paraId="2DC3C6E1">
      <w:pPr>
        <w:pStyle w:val="798"/>
        <w:rPr>
          <w:rFonts w:hint="eastAsia" w:hAnsi="宋体" w:cs="宋体"/>
        </w:rPr>
      </w:pPr>
      <w:r>
        <w:rPr>
          <w:rFonts w:hint="eastAsia" w:hAnsi="宋体" w:cs="宋体"/>
        </w:rPr>
        <w:t>（5）在系统维护和新增、移位、拆迁等施工过程中，供应商应当做好人员和设备的安全工作，因供应商原因导致人员安全问题或设备损坏或失窃等，由供应商负责,与采购人无关。非供应商原因导致设备损坏或失窃的在未找到责任人前，无特殊情况，供应商可以经业主同意后先行修复。</w:t>
      </w:r>
    </w:p>
    <w:p w14:paraId="4AB18413">
      <w:pPr>
        <w:pStyle w:val="798"/>
        <w:rPr>
          <w:rFonts w:hint="eastAsia" w:hAnsi="宋体" w:cs="宋体"/>
        </w:rPr>
      </w:pPr>
      <w:r>
        <w:rPr>
          <w:rFonts w:hint="eastAsia" w:hAnsi="宋体" w:cs="宋体"/>
        </w:rPr>
        <w:t>（6）所有故障解除后，就解决的过程及结果，如实填写维修单，经现场管理人员及维保单位双方复核后，各自留存一份，作为维保考评的基本依据。所有台帐定期核验、检查，并按期进行封存装订。</w:t>
      </w:r>
    </w:p>
    <w:p w14:paraId="17249AAE">
      <w:pPr>
        <w:pStyle w:val="798"/>
        <w:rPr>
          <w:rFonts w:hint="eastAsia" w:hAnsi="宋体" w:cs="宋体"/>
        </w:rPr>
      </w:pPr>
      <w:r>
        <w:rPr>
          <w:rFonts w:hint="eastAsia" w:hAnsi="宋体" w:cs="宋体"/>
        </w:rPr>
        <w:t>（7）供应商承担设备运送至采购人指点存放仓库，并提供详细入库清单、签收记录和现场照片。未能提供相关记录，产生问题由供应商负责。</w:t>
      </w:r>
    </w:p>
    <w:p w14:paraId="724ECD84">
      <w:pPr>
        <w:pStyle w:val="798"/>
        <w:rPr>
          <w:rFonts w:hint="eastAsia" w:hAnsi="宋体" w:cs="宋体"/>
        </w:rPr>
      </w:pPr>
      <w:r>
        <w:rPr>
          <w:rFonts w:hint="eastAsia" w:hAnsi="宋体" w:cs="宋体"/>
        </w:rPr>
        <w:t>（8）设备更新维护是指厂家对原设备或软件运行环境做出修正或补充时，若这些修补有利于消除运行中潜在隐患的作用，供应商应提供同等的配套服务。</w:t>
      </w:r>
    </w:p>
    <w:p w14:paraId="542F25A8">
      <w:pPr>
        <w:pStyle w:val="798"/>
        <w:rPr>
          <w:rFonts w:hint="eastAsia" w:hAnsi="宋体" w:cs="宋体"/>
        </w:rPr>
      </w:pPr>
      <w:r>
        <w:rPr>
          <w:rFonts w:hint="eastAsia" w:hAnsi="宋体" w:cs="宋体"/>
        </w:rPr>
        <w:t>（9）维护期内，维保单位需根据系统的运行状况，有针对性的协助采购人开展培训工作。</w:t>
      </w:r>
    </w:p>
    <w:p w14:paraId="2FC47CAB">
      <w:pPr>
        <w:pStyle w:val="798"/>
        <w:spacing w:before="120" w:beforeLines="50"/>
        <w:rPr>
          <w:rFonts w:hint="eastAsia" w:hAnsi="宋体" w:cs="宋体"/>
        </w:rPr>
      </w:pPr>
      <w:r>
        <w:rPr>
          <w:rFonts w:hint="eastAsia" w:hAnsi="宋体" w:cs="宋体"/>
        </w:rPr>
        <w:t>（10）配备人员及技术力量支持不得出现脱节及推诿现象。</w:t>
      </w:r>
    </w:p>
    <w:p w14:paraId="1FEF6F69">
      <w:pPr>
        <w:snapToGrid w:val="0"/>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九、现有设备清单：</w:t>
      </w:r>
    </w:p>
    <w:tbl>
      <w:tblPr>
        <w:tblStyle w:val="62"/>
        <w:tblW w:w="9089" w:type="dxa"/>
        <w:tblInd w:w="93" w:type="dxa"/>
        <w:tblLayout w:type="fixed"/>
        <w:tblCellMar>
          <w:top w:w="0" w:type="dxa"/>
          <w:left w:w="108" w:type="dxa"/>
          <w:bottom w:w="0" w:type="dxa"/>
          <w:right w:w="108" w:type="dxa"/>
        </w:tblCellMar>
      </w:tblPr>
      <w:tblGrid>
        <w:gridCol w:w="2190"/>
        <w:gridCol w:w="1813"/>
        <w:gridCol w:w="1459"/>
        <w:gridCol w:w="1282"/>
        <w:gridCol w:w="1213"/>
        <w:gridCol w:w="1132"/>
      </w:tblGrid>
      <w:tr w14:paraId="027EC2BC">
        <w:tblPrEx>
          <w:tblCellMar>
            <w:top w:w="0" w:type="dxa"/>
            <w:left w:w="108" w:type="dxa"/>
            <w:bottom w:w="0" w:type="dxa"/>
            <w:right w:w="108" w:type="dxa"/>
          </w:tblCellMar>
        </w:tblPrEx>
        <w:trPr>
          <w:trHeight w:val="420" w:hRule="atLeast"/>
        </w:trPr>
        <w:tc>
          <w:tcPr>
            <w:tcW w:w="2190" w:type="dxa"/>
            <w:tcBorders>
              <w:top w:val="nil"/>
              <w:left w:val="nil"/>
              <w:bottom w:val="nil"/>
              <w:right w:val="nil"/>
            </w:tcBorders>
            <w:shd w:val="clear" w:color="auto" w:fill="auto"/>
            <w:vAlign w:val="center"/>
          </w:tcPr>
          <w:p w14:paraId="3F91C6F7">
            <w:pPr>
              <w:widowControl/>
              <w:jc w:val="left"/>
              <w:textAlignment w:val="center"/>
              <w:rPr>
                <w:rFonts w:hint="eastAsia" w:ascii="宋体" w:hAnsi="宋体" w:cs="宋体"/>
                <w:b/>
                <w:bCs/>
                <w:color w:val="0070C0"/>
                <w:sz w:val="24"/>
              </w:rPr>
            </w:pPr>
          </w:p>
        </w:tc>
        <w:tc>
          <w:tcPr>
            <w:tcW w:w="1813" w:type="dxa"/>
            <w:tcBorders>
              <w:top w:val="nil"/>
              <w:left w:val="nil"/>
              <w:bottom w:val="nil"/>
              <w:right w:val="nil"/>
            </w:tcBorders>
            <w:shd w:val="clear" w:color="auto" w:fill="auto"/>
            <w:vAlign w:val="center"/>
          </w:tcPr>
          <w:p w14:paraId="568AD7EE">
            <w:pPr>
              <w:jc w:val="left"/>
              <w:rPr>
                <w:rFonts w:hint="eastAsia" w:ascii="宋体" w:hAnsi="宋体" w:cs="宋体"/>
                <w:b/>
                <w:bCs/>
                <w:color w:val="000000"/>
                <w:sz w:val="24"/>
              </w:rPr>
            </w:pPr>
          </w:p>
        </w:tc>
        <w:tc>
          <w:tcPr>
            <w:tcW w:w="1459" w:type="dxa"/>
            <w:tcBorders>
              <w:top w:val="nil"/>
              <w:left w:val="nil"/>
              <w:bottom w:val="nil"/>
              <w:right w:val="nil"/>
            </w:tcBorders>
            <w:shd w:val="clear" w:color="auto" w:fill="auto"/>
            <w:vAlign w:val="center"/>
          </w:tcPr>
          <w:p w14:paraId="278ABC60">
            <w:pPr>
              <w:jc w:val="center"/>
              <w:rPr>
                <w:rFonts w:hint="eastAsia" w:ascii="宋体" w:hAnsi="宋体" w:cs="宋体"/>
                <w:color w:val="000000"/>
                <w:sz w:val="22"/>
                <w:szCs w:val="22"/>
              </w:rPr>
            </w:pPr>
          </w:p>
        </w:tc>
        <w:tc>
          <w:tcPr>
            <w:tcW w:w="1282" w:type="dxa"/>
            <w:tcBorders>
              <w:top w:val="nil"/>
              <w:left w:val="nil"/>
              <w:bottom w:val="nil"/>
              <w:right w:val="nil"/>
            </w:tcBorders>
            <w:shd w:val="clear" w:color="auto" w:fill="auto"/>
            <w:vAlign w:val="center"/>
          </w:tcPr>
          <w:p w14:paraId="10696C78">
            <w:pPr>
              <w:jc w:val="center"/>
              <w:rPr>
                <w:rFonts w:hint="eastAsia" w:ascii="宋体" w:hAnsi="宋体" w:cs="宋体"/>
                <w:color w:val="000000"/>
                <w:sz w:val="22"/>
                <w:szCs w:val="22"/>
              </w:rPr>
            </w:pPr>
          </w:p>
        </w:tc>
        <w:tc>
          <w:tcPr>
            <w:tcW w:w="1213" w:type="dxa"/>
            <w:tcBorders>
              <w:top w:val="nil"/>
              <w:left w:val="nil"/>
              <w:bottom w:val="nil"/>
              <w:right w:val="nil"/>
            </w:tcBorders>
            <w:shd w:val="clear" w:color="auto" w:fill="auto"/>
            <w:vAlign w:val="center"/>
          </w:tcPr>
          <w:p w14:paraId="3772F6E9">
            <w:pPr>
              <w:jc w:val="center"/>
              <w:rPr>
                <w:rFonts w:hint="eastAsia" w:ascii="宋体" w:hAnsi="宋体" w:cs="宋体"/>
                <w:color w:val="000000"/>
                <w:sz w:val="22"/>
                <w:szCs w:val="22"/>
              </w:rPr>
            </w:pPr>
          </w:p>
        </w:tc>
        <w:tc>
          <w:tcPr>
            <w:tcW w:w="1132" w:type="dxa"/>
            <w:tcBorders>
              <w:top w:val="nil"/>
              <w:left w:val="nil"/>
              <w:bottom w:val="nil"/>
              <w:right w:val="nil"/>
            </w:tcBorders>
            <w:shd w:val="clear" w:color="auto" w:fill="auto"/>
            <w:vAlign w:val="center"/>
          </w:tcPr>
          <w:p w14:paraId="50770EC7">
            <w:pPr>
              <w:jc w:val="center"/>
              <w:rPr>
                <w:rFonts w:hint="eastAsia" w:ascii="宋体" w:hAnsi="宋体" w:cs="宋体"/>
                <w:color w:val="000000"/>
                <w:sz w:val="22"/>
                <w:szCs w:val="22"/>
              </w:rPr>
            </w:pPr>
          </w:p>
        </w:tc>
      </w:tr>
      <w:tr w14:paraId="7A9E45DC">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62F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品牌</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62B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型号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2EE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在用数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ADB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备用数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BA2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位置</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CD0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备注</w:t>
            </w:r>
          </w:p>
        </w:tc>
      </w:tr>
      <w:tr w14:paraId="556E8BB9">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F678">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22A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MSR 26-30</w:t>
            </w:r>
          </w:p>
        </w:tc>
        <w:tc>
          <w:tcPr>
            <w:tcW w:w="1459" w:type="dxa"/>
            <w:tcBorders>
              <w:top w:val="nil"/>
              <w:left w:val="single" w:color="000000" w:sz="4" w:space="0"/>
              <w:bottom w:val="single" w:color="000000" w:sz="4" w:space="0"/>
              <w:right w:val="single" w:color="000000" w:sz="4" w:space="0"/>
            </w:tcBorders>
            <w:shd w:val="clear" w:color="auto" w:fill="auto"/>
            <w:vAlign w:val="center"/>
          </w:tcPr>
          <w:p w14:paraId="048417F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nil"/>
              <w:left w:val="single" w:color="000000" w:sz="4" w:space="0"/>
              <w:bottom w:val="single" w:color="000000" w:sz="4" w:space="0"/>
              <w:right w:val="single" w:color="000000" w:sz="4" w:space="0"/>
            </w:tcBorders>
            <w:shd w:val="clear" w:color="auto" w:fill="auto"/>
            <w:vAlign w:val="center"/>
          </w:tcPr>
          <w:p w14:paraId="5A983A8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C75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01-41U</w:t>
            </w:r>
          </w:p>
        </w:tc>
        <w:tc>
          <w:tcPr>
            <w:tcW w:w="1132" w:type="dxa"/>
            <w:tcBorders>
              <w:top w:val="nil"/>
              <w:left w:val="single" w:color="000000" w:sz="4" w:space="0"/>
              <w:bottom w:val="single" w:color="000000" w:sz="4" w:space="0"/>
              <w:right w:val="single" w:color="000000" w:sz="4" w:space="0"/>
            </w:tcBorders>
            <w:shd w:val="clear" w:color="auto" w:fill="auto"/>
            <w:vAlign w:val="center"/>
          </w:tcPr>
          <w:p w14:paraId="1B3182A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w:t>
            </w:r>
          </w:p>
        </w:tc>
      </w:tr>
      <w:tr w14:paraId="4F38F2A9">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1B7E">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57B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S3600V2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B28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6F6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DF2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01-39U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281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w:t>
            </w:r>
          </w:p>
        </w:tc>
      </w:tr>
      <w:tr w14:paraId="4579311D">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191B">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073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6E4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64F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32A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01-36U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E42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w:t>
            </w:r>
          </w:p>
        </w:tc>
      </w:tr>
      <w:tr w14:paraId="2BE277B2">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FEEC">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联想</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985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X3850 X6</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73E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574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5FD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01-21U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4F7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服务器</w:t>
            </w:r>
          </w:p>
        </w:tc>
      </w:tr>
      <w:tr w14:paraId="62579F28">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B2BE">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FD0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DS-VM21S-B</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3BB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132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745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01-15U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590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流媒体服务器3</w:t>
            </w:r>
          </w:p>
        </w:tc>
      </w:tr>
      <w:tr w14:paraId="31D4E9C7">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9DEB">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18C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DS-VM21S-B</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BDB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235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FAC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01-14U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72C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流媒体服务器4</w:t>
            </w:r>
          </w:p>
        </w:tc>
      </w:tr>
      <w:tr w14:paraId="0DA713F8">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34A9">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082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TDS-TSP500-C/128</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2C1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544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692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01-12U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02C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上云网关</w:t>
            </w:r>
          </w:p>
        </w:tc>
      </w:tr>
      <w:tr w14:paraId="132A29CC">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CBFC">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华为</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79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S7706</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A0A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268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D16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01-02U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07E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w:t>
            </w:r>
          </w:p>
        </w:tc>
      </w:tr>
      <w:tr w14:paraId="19233269">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3AC5">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微创</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723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X3650 M5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130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EC5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24D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02-13U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FDA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视频服务器</w:t>
            </w:r>
          </w:p>
        </w:tc>
      </w:tr>
      <w:tr w14:paraId="3D5456C9">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9CD7">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IBM</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D4E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X3850 X6</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571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CC4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494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02-08U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7E6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高清抓拍服务器</w:t>
            </w:r>
          </w:p>
        </w:tc>
      </w:tr>
      <w:tr w14:paraId="68BDCD95">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270C">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安华金和</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E2E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DBA-C-BG-1000S</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C4A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134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D94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03-35U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DD1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数据库监控与审计</w:t>
            </w:r>
          </w:p>
        </w:tc>
      </w:tr>
      <w:tr w14:paraId="3C921D84">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C96F">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8E4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DS-6716HW</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034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5BB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64E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03-33U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E19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视频服务器</w:t>
            </w:r>
          </w:p>
        </w:tc>
      </w:tr>
      <w:tr w14:paraId="6299D099">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2060">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F16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DS-8116HC-SH</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867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1D6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FB2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03-29U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52F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硬盘录像机</w:t>
            </w:r>
          </w:p>
        </w:tc>
      </w:tr>
      <w:tr w14:paraId="21FB15F2">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70B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303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610L</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BBB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55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5C7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03-23U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F46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分中心通讯机</w:t>
            </w:r>
          </w:p>
        </w:tc>
      </w:tr>
      <w:tr w14:paraId="7F491B44">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A86D">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2A5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DS-VM21S-B</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8BF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610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D2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03-06U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D17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流媒体服务器2</w:t>
            </w:r>
          </w:p>
        </w:tc>
      </w:tr>
      <w:tr w14:paraId="35E04561">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EE86">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570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DS-VM21S-B</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AB4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362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757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03-03U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47A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流媒体服务器1</w:t>
            </w:r>
          </w:p>
        </w:tc>
      </w:tr>
      <w:tr w14:paraId="16175D9F">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7C2B">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66F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20E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B5A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CEA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04-39U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F5D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收费交换机</w:t>
            </w:r>
          </w:p>
        </w:tc>
      </w:tr>
      <w:tr w14:paraId="4293BF6C">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588F">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信安世纪</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177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NETOPTI6600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7FA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3B4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BD7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04-34U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C1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数据审计 负载均衡</w:t>
            </w:r>
          </w:p>
        </w:tc>
      </w:tr>
      <w:tr w14:paraId="4F36378F">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6FBF">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联想</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C03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X3850 X6</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B36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89E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85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04-20U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A4E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分中心收费服务器1</w:t>
            </w:r>
          </w:p>
        </w:tc>
      </w:tr>
      <w:tr w14:paraId="724CE375">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5166">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联想</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97D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X3850 X6</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C83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50F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927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04-12U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68F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分中心收费服务器2</w:t>
            </w:r>
          </w:p>
        </w:tc>
      </w:tr>
      <w:tr w14:paraId="3CE5C2DE">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F8E4">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华为</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003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RH2288HV2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4EE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1FA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5E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04-04U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D31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服务器</w:t>
            </w:r>
          </w:p>
        </w:tc>
      </w:tr>
      <w:tr w14:paraId="4EA72F4F">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8A40">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9DA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   收费交换机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F8C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579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1F8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05-40U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AE6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模块光纤双5只</w:t>
            </w:r>
          </w:p>
        </w:tc>
      </w:tr>
      <w:tr w14:paraId="406BC163">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C2A3">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研华</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D8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610C</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FFA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DA9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33D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05-22U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910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通讯机</w:t>
            </w:r>
          </w:p>
        </w:tc>
      </w:tr>
      <w:tr w14:paraId="7A195864">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8DF">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浪潮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97B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NF5280M5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090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A7C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136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05-07U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69D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计费服务器</w:t>
            </w:r>
          </w:p>
        </w:tc>
      </w:tr>
      <w:tr w14:paraId="03D20231">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E00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3A9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DS-8632N-K8</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7D7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D49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76D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07-16U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71E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道路硬盘录像机</w:t>
            </w:r>
          </w:p>
        </w:tc>
      </w:tr>
      <w:tr w14:paraId="17F9C0F4">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BFB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500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DS-8632N-K8</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40B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5F0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8D3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07-11U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CE8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道路硬盘录像机</w:t>
            </w:r>
          </w:p>
        </w:tc>
      </w:tr>
      <w:tr w14:paraId="76C80940">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204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93F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DS-8008HF-ST</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755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8C6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0FE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7-02U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119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硬盘录像机</w:t>
            </w:r>
          </w:p>
        </w:tc>
      </w:tr>
      <w:tr w14:paraId="1F328186">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C107">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0F3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FW1000-GS-E</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C3E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C97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A65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08-24U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261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外联防火墙</w:t>
            </w:r>
          </w:p>
        </w:tc>
      </w:tr>
      <w:tr w14:paraId="4F923E77">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AF7E">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SANGFOR</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6F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GAP-1000 A600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D63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F15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554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08-21U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4C1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网闸</w:t>
            </w:r>
          </w:p>
        </w:tc>
      </w:tr>
      <w:tr w14:paraId="1335FFFD">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913">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LOGBASE</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42A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LOUBASE-AH560S</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F2D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FB1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7FE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08-14U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16D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日志审计</w:t>
            </w:r>
          </w:p>
        </w:tc>
      </w:tr>
      <w:tr w14:paraId="634049A2">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4423">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A12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FW1000-GS-E</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E02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7FA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C4F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08-12U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55F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上云防火墙</w:t>
            </w:r>
          </w:p>
        </w:tc>
      </w:tr>
      <w:tr w14:paraId="069F8EAA">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C8AF">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AC9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DAC-XS</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7CC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0EC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AC8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08-08U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632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视频准入</w:t>
            </w:r>
          </w:p>
        </w:tc>
      </w:tr>
      <w:tr w14:paraId="5CC901E1">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D704">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845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DS-96128N-124</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561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A14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F01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10-08U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C2D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硬盘录像机</w:t>
            </w:r>
          </w:p>
        </w:tc>
      </w:tr>
      <w:tr w14:paraId="16F48B3A">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0907">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LOGBASE</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27C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LOGBASE-AH760S</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267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1C1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9AC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10-11U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C5F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运行安全 堡垒机</w:t>
            </w:r>
          </w:p>
        </w:tc>
      </w:tr>
      <w:tr w14:paraId="61D2D46E">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DD8D">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LOGBASE</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4DE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LOGBASE-AH760S</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7A8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FD1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1A7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10-13U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852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运行安全 堡垒机</w:t>
            </w:r>
          </w:p>
        </w:tc>
      </w:tr>
      <w:tr w14:paraId="098F1297">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6BEE">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7FD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VPN1000-GA</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815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F5B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913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10-15U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4D3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智能安全网关</w:t>
            </w:r>
          </w:p>
        </w:tc>
      </w:tr>
      <w:tr w14:paraId="482F748B">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F0C3">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54B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VPN1000-GA</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9FB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0D2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F9D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10-17U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80A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模块光双1只</w:t>
            </w:r>
          </w:p>
        </w:tc>
      </w:tr>
      <w:tr w14:paraId="54A1E73C">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D089">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020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DS-8616N-K8</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430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026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700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10-20U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A7D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机房监控录像机</w:t>
            </w:r>
          </w:p>
        </w:tc>
      </w:tr>
      <w:tr w14:paraId="0FE9D89C">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BEBD">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3F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    监控交换机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338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63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22A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10-24U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AF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模块光双2只</w:t>
            </w:r>
          </w:p>
        </w:tc>
      </w:tr>
      <w:tr w14:paraId="5F6EDFD5">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8FF9">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F8E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DS-8632N-K8</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BD2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A2A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EB8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10-35U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F06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监控硬盘录像机</w:t>
            </w:r>
          </w:p>
        </w:tc>
      </w:tr>
      <w:tr w14:paraId="5F3F398C">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D99A">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C00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DS-8632N-K8</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0F7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93B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7A0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10-39U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132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监控硬盘录像机</w:t>
            </w:r>
          </w:p>
        </w:tc>
      </w:tr>
      <w:tr w14:paraId="17F56905">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982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华为</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30B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S12708  交换机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A65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3B6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CC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11-17U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287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模块光双6只 网6只</w:t>
            </w:r>
          </w:p>
        </w:tc>
      </w:tr>
      <w:tr w14:paraId="5304173D">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A2D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94A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IPS2000-GS-E</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D15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F9A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700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11-21U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C01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w:t>
            </w:r>
          </w:p>
        </w:tc>
      </w:tr>
      <w:tr w14:paraId="332F0573">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5EE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3C7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FW1000-GA-E</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1B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B89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6DD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11-23U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FF9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应用防火墙</w:t>
            </w:r>
          </w:p>
        </w:tc>
      </w:tr>
      <w:tr w14:paraId="0746CE2B">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D75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A77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 xml:space="preserve">FW1000-GA-E  </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E3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435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886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11-25U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2C5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模块光双1只</w:t>
            </w:r>
          </w:p>
        </w:tc>
      </w:tr>
      <w:tr w14:paraId="2516D520">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0E2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北信源</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DEE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VRV-BMG</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38B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3EA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ECB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11-29U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934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网络控制</w:t>
            </w:r>
          </w:p>
        </w:tc>
      </w:tr>
      <w:tr w14:paraId="1740188E">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E74A">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0AB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SW5662-28GT4XGS</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68F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BF6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310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11-35U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A66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镜像交换机</w:t>
            </w:r>
          </w:p>
        </w:tc>
      </w:tr>
      <w:tr w14:paraId="482E21DC">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CB57">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949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SCANNER 1000-GA-X</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F90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BC9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90B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12-03U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0FA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慧眼安全检测平台</w:t>
            </w:r>
          </w:p>
        </w:tc>
      </w:tr>
      <w:tr w14:paraId="540F6B4C">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CFBD">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3ED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SAC3000-P-GA</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3B9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B00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80B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12-05U</w:t>
            </w:r>
          </w:p>
        </w:tc>
        <w:tc>
          <w:tcPr>
            <w:tcW w:w="1132" w:type="dxa"/>
            <w:tcBorders>
              <w:top w:val="single" w:color="000000" w:sz="4" w:space="0"/>
              <w:left w:val="single" w:color="000000" w:sz="4" w:space="0"/>
              <w:bottom w:val="nil"/>
              <w:right w:val="single" w:color="000000" w:sz="4" w:space="0"/>
            </w:tcBorders>
            <w:shd w:val="clear" w:color="auto" w:fill="auto"/>
            <w:vAlign w:val="center"/>
          </w:tcPr>
          <w:p w14:paraId="1BDEF95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太势感知 1</w:t>
            </w:r>
          </w:p>
        </w:tc>
      </w:tr>
      <w:tr w14:paraId="44C5B723">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1866">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006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SAC3000-S-GC</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741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B6E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5FA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12-09U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A28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太势感知 2</w:t>
            </w:r>
          </w:p>
        </w:tc>
      </w:tr>
      <w:tr w14:paraId="16F6CC87">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85FD">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37A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DS-6504D-T</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5F3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388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0BB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12-13U</w:t>
            </w:r>
          </w:p>
        </w:tc>
        <w:tc>
          <w:tcPr>
            <w:tcW w:w="1132" w:type="dxa"/>
            <w:tcBorders>
              <w:top w:val="nil"/>
              <w:left w:val="single" w:color="000000" w:sz="4" w:space="0"/>
              <w:bottom w:val="single" w:color="000000" w:sz="4" w:space="0"/>
              <w:right w:val="single" w:color="000000" w:sz="4" w:space="0"/>
            </w:tcBorders>
            <w:shd w:val="clear" w:color="auto" w:fill="auto"/>
            <w:vAlign w:val="center"/>
          </w:tcPr>
          <w:p w14:paraId="37A6D99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解码器</w:t>
            </w:r>
          </w:p>
        </w:tc>
      </w:tr>
      <w:tr w14:paraId="15BFFEE7">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19E2">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A77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DS-6504D-T</w:t>
            </w:r>
          </w:p>
        </w:tc>
        <w:tc>
          <w:tcPr>
            <w:tcW w:w="1459" w:type="dxa"/>
            <w:tcBorders>
              <w:top w:val="nil"/>
              <w:left w:val="single" w:color="000000" w:sz="4" w:space="0"/>
              <w:bottom w:val="single" w:color="000000" w:sz="4" w:space="0"/>
              <w:right w:val="single" w:color="000000" w:sz="4" w:space="0"/>
            </w:tcBorders>
            <w:shd w:val="clear" w:color="auto" w:fill="auto"/>
            <w:vAlign w:val="center"/>
          </w:tcPr>
          <w:p w14:paraId="3597CBE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nil"/>
              <w:left w:val="single" w:color="000000" w:sz="4" w:space="0"/>
              <w:bottom w:val="single" w:color="000000" w:sz="4" w:space="0"/>
              <w:right w:val="single" w:color="000000" w:sz="4" w:space="0"/>
            </w:tcBorders>
            <w:shd w:val="clear" w:color="auto" w:fill="auto"/>
            <w:vAlign w:val="center"/>
          </w:tcPr>
          <w:p w14:paraId="1B7591C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DEE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12-19U</w:t>
            </w:r>
          </w:p>
        </w:tc>
        <w:tc>
          <w:tcPr>
            <w:tcW w:w="1132" w:type="dxa"/>
            <w:tcBorders>
              <w:top w:val="nil"/>
              <w:left w:val="single" w:color="000000" w:sz="4" w:space="0"/>
              <w:bottom w:val="single" w:color="000000" w:sz="4" w:space="0"/>
              <w:right w:val="single" w:color="000000" w:sz="4" w:space="0"/>
            </w:tcBorders>
            <w:shd w:val="clear" w:color="auto" w:fill="auto"/>
            <w:vAlign w:val="center"/>
          </w:tcPr>
          <w:p w14:paraId="4725F1F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解码器</w:t>
            </w:r>
          </w:p>
        </w:tc>
      </w:tr>
      <w:tr w14:paraId="503A3DFB">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8E8E">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TP-Link</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9E9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8口交换机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2D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2C1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11D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12-29U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BBD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交警小交换机</w:t>
            </w:r>
          </w:p>
        </w:tc>
      </w:tr>
      <w:tr w14:paraId="7856F5BF">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A617">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联想</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AD5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ThinkStation P300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20B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6C4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423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12-30U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81C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系统员管理电脑</w:t>
            </w:r>
          </w:p>
        </w:tc>
      </w:tr>
      <w:tr w14:paraId="4A64825B">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8D68">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B3B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DS-8632N-116</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1A4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8C8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1CB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12-37U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741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市局硬盘录像机</w:t>
            </w:r>
          </w:p>
        </w:tc>
      </w:tr>
      <w:tr w14:paraId="09571F3D">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C6A3">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0C1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DS-8632N-116</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D27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48B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B5E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13-13U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5C0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高速交警治超录像机</w:t>
            </w:r>
          </w:p>
        </w:tc>
      </w:tr>
      <w:tr w14:paraId="4440C14F">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29C5">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微创</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56C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WAMPRO-OF6X4   交警光平台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5BC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61D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732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13-21U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870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光纤模块双12只</w:t>
            </w:r>
          </w:p>
        </w:tc>
      </w:tr>
      <w:tr w14:paraId="045EFEE0">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DE67">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微创</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BBB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WAMPRO-HA-TG3012-S</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E1A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A3E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08B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13-32U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EEE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光端机</w:t>
            </w:r>
          </w:p>
        </w:tc>
      </w:tr>
      <w:tr w14:paraId="6334AD08">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85C1">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itcom</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27A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it168-G101-120A</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637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F41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2B9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13-32U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D32F">
            <w:pPr>
              <w:jc w:val="center"/>
              <w:rPr>
                <w:rFonts w:hint="eastAsia" w:asciiTheme="minorEastAsia" w:hAnsiTheme="minorEastAsia" w:eastAsiaTheme="minorEastAsia" w:cstheme="minorEastAsia"/>
                <w:color w:val="000000"/>
                <w:sz w:val="22"/>
                <w:szCs w:val="22"/>
              </w:rPr>
            </w:pPr>
          </w:p>
        </w:tc>
      </w:tr>
      <w:tr w14:paraId="37922DC5">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E897">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DD2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AAA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D80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B0A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13-35U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D94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交警交换机</w:t>
            </w:r>
          </w:p>
        </w:tc>
      </w:tr>
      <w:tr w14:paraId="63B047F3">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A226">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915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115E">
            <w:pPr>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126C">
            <w:pPr>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99D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14-06U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C5E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汇聚交换机</w:t>
            </w:r>
          </w:p>
        </w:tc>
      </w:tr>
      <w:tr w14:paraId="172FBEA3">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254B">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9D4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S6520   交换机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0137">
            <w:pPr>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72F2">
            <w:pPr>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913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14-08U</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F87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模块光纤单10只双2只</w:t>
            </w:r>
          </w:p>
        </w:tc>
      </w:tr>
      <w:tr w14:paraId="5D84D9E4">
        <w:tblPrEx>
          <w:tblCellMar>
            <w:top w:w="0" w:type="dxa"/>
            <w:left w:w="108" w:type="dxa"/>
            <w:bottom w:w="0" w:type="dxa"/>
            <w:right w:w="108" w:type="dxa"/>
          </w:tblCellMar>
        </w:tblPrEx>
        <w:trPr>
          <w:trHeight w:val="420" w:hRule="atLeast"/>
        </w:trPr>
        <w:tc>
          <w:tcPr>
            <w:tcW w:w="2190" w:type="dxa"/>
            <w:tcBorders>
              <w:top w:val="nil"/>
              <w:left w:val="nil"/>
              <w:bottom w:val="nil"/>
              <w:right w:val="nil"/>
            </w:tcBorders>
            <w:shd w:val="clear" w:color="auto" w:fill="auto"/>
            <w:noWrap/>
            <w:vAlign w:val="center"/>
          </w:tcPr>
          <w:p w14:paraId="1DB123EC">
            <w:pPr>
              <w:widowControl/>
              <w:jc w:val="left"/>
              <w:textAlignment w:val="center"/>
              <w:rPr>
                <w:rFonts w:hint="eastAsia" w:asciiTheme="minorEastAsia" w:hAnsiTheme="minorEastAsia" w:eastAsiaTheme="minorEastAsia" w:cstheme="minorEastAsia"/>
                <w:b/>
                <w:bCs/>
                <w:color w:val="0070C0"/>
                <w:sz w:val="24"/>
              </w:rPr>
            </w:pPr>
          </w:p>
        </w:tc>
        <w:tc>
          <w:tcPr>
            <w:tcW w:w="1813" w:type="dxa"/>
            <w:tcBorders>
              <w:top w:val="nil"/>
              <w:left w:val="nil"/>
              <w:bottom w:val="nil"/>
              <w:right w:val="nil"/>
            </w:tcBorders>
            <w:shd w:val="clear" w:color="auto" w:fill="auto"/>
            <w:noWrap/>
            <w:vAlign w:val="center"/>
          </w:tcPr>
          <w:p w14:paraId="2FBBCAC2">
            <w:pPr>
              <w:jc w:val="left"/>
              <w:rPr>
                <w:rFonts w:hint="eastAsia" w:asciiTheme="minorEastAsia" w:hAnsiTheme="minorEastAsia" w:eastAsiaTheme="minorEastAsia" w:cstheme="minorEastAsia"/>
                <w:b/>
                <w:bCs/>
                <w:color w:val="000000"/>
                <w:sz w:val="24"/>
              </w:rPr>
            </w:pPr>
          </w:p>
        </w:tc>
        <w:tc>
          <w:tcPr>
            <w:tcW w:w="1459" w:type="dxa"/>
            <w:tcBorders>
              <w:top w:val="nil"/>
              <w:left w:val="nil"/>
              <w:bottom w:val="nil"/>
              <w:right w:val="nil"/>
            </w:tcBorders>
            <w:shd w:val="clear" w:color="auto" w:fill="auto"/>
            <w:noWrap/>
            <w:vAlign w:val="center"/>
          </w:tcPr>
          <w:p w14:paraId="525E4CE4">
            <w:pPr>
              <w:jc w:val="center"/>
              <w:rPr>
                <w:rFonts w:hint="eastAsia" w:asciiTheme="minorEastAsia" w:hAnsiTheme="minorEastAsia" w:eastAsiaTheme="minorEastAsia" w:cstheme="minorEastAsia"/>
                <w:color w:val="000000"/>
                <w:sz w:val="22"/>
                <w:szCs w:val="22"/>
              </w:rPr>
            </w:pPr>
          </w:p>
        </w:tc>
        <w:tc>
          <w:tcPr>
            <w:tcW w:w="1282" w:type="dxa"/>
            <w:tcBorders>
              <w:top w:val="nil"/>
              <w:left w:val="nil"/>
              <w:bottom w:val="nil"/>
              <w:right w:val="nil"/>
            </w:tcBorders>
            <w:shd w:val="clear" w:color="auto" w:fill="auto"/>
            <w:noWrap/>
            <w:vAlign w:val="center"/>
          </w:tcPr>
          <w:p w14:paraId="06B8AD8F">
            <w:pPr>
              <w:jc w:val="center"/>
              <w:rPr>
                <w:rFonts w:hint="eastAsia" w:asciiTheme="minorEastAsia" w:hAnsiTheme="minorEastAsia" w:eastAsiaTheme="minorEastAsia" w:cstheme="minorEastAsia"/>
                <w:color w:val="000000"/>
                <w:sz w:val="22"/>
                <w:szCs w:val="22"/>
              </w:rPr>
            </w:pPr>
          </w:p>
        </w:tc>
        <w:tc>
          <w:tcPr>
            <w:tcW w:w="1213" w:type="dxa"/>
            <w:tcBorders>
              <w:top w:val="nil"/>
              <w:left w:val="nil"/>
              <w:bottom w:val="nil"/>
              <w:right w:val="nil"/>
            </w:tcBorders>
            <w:shd w:val="clear" w:color="auto" w:fill="auto"/>
            <w:noWrap/>
            <w:vAlign w:val="center"/>
          </w:tcPr>
          <w:p w14:paraId="75E6FB8C">
            <w:pPr>
              <w:jc w:val="center"/>
              <w:rPr>
                <w:rFonts w:hint="eastAsia" w:asciiTheme="minorEastAsia" w:hAnsiTheme="minorEastAsia" w:eastAsiaTheme="minorEastAsia" w:cstheme="minorEastAsia"/>
                <w:color w:val="000000"/>
                <w:sz w:val="22"/>
                <w:szCs w:val="22"/>
              </w:rPr>
            </w:pPr>
          </w:p>
        </w:tc>
        <w:tc>
          <w:tcPr>
            <w:tcW w:w="1132" w:type="dxa"/>
            <w:tcBorders>
              <w:top w:val="nil"/>
              <w:left w:val="nil"/>
              <w:bottom w:val="nil"/>
              <w:right w:val="nil"/>
            </w:tcBorders>
            <w:shd w:val="clear" w:color="auto" w:fill="auto"/>
            <w:noWrap/>
            <w:vAlign w:val="center"/>
          </w:tcPr>
          <w:p w14:paraId="394D1755">
            <w:pPr>
              <w:jc w:val="center"/>
              <w:rPr>
                <w:rFonts w:hint="eastAsia" w:asciiTheme="minorEastAsia" w:hAnsiTheme="minorEastAsia" w:eastAsiaTheme="minorEastAsia" w:cstheme="minorEastAsia"/>
                <w:color w:val="000000"/>
                <w:sz w:val="22"/>
                <w:szCs w:val="22"/>
              </w:rPr>
            </w:pPr>
          </w:p>
        </w:tc>
      </w:tr>
      <w:tr w14:paraId="22F6FBF4">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DAA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巴可</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A51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液晶显示单元</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13B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269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C01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电视墙</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721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电视墙</w:t>
            </w:r>
          </w:p>
        </w:tc>
      </w:tr>
      <w:tr w14:paraId="6F686CEA">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956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9C56">
            <w:pPr>
              <w:jc w:val="left"/>
              <w:rPr>
                <w:rFonts w:hint="eastAsia" w:asciiTheme="minorEastAsia" w:hAnsiTheme="minorEastAsia" w:eastAsiaTheme="minorEastAsia" w:cstheme="minorEastAsia"/>
                <w:color w:val="000000"/>
                <w:sz w:val="22"/>
                <w:szCs w:val="22"/>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875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680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AB3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电视墙机柜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42E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视频矩阵</w:t>
            </w:r>
          </w:p>
        </w:tc>
      </w:tr>
      <w:tr w14:paraId="42941C60">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3FA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99D9">
            <w:pPr>
              <w:jc w:val="left"/>
              <w:rPr>
                <w:rFonts w:hint="eastAsia" w:asciiTheme="minorEastAsia" w:hAnsiTheme="minorEastAsia" w:eastAsiaTheme="minorEastAsia" w:cstheme="minorEastAsia"/>
                <w:color w:val="000000"/>
                <w:sz w:val="22"/>
                <w:szCs w:val="22"/>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EBC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0CB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6C6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墙面</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78A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监控摄像头</w:t>
            </w:r>
          </w:p>
        </w:tc>
      </w:tr>
      <w:tr w14:paraId="58C3B161">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6A3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惠普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839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Laser Jet ProMFP M435nw</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255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833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577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操作台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FD0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打印一体机</w:t>
            </w:r>
          </w:p>
        </w:tc>
      </w:tr>
      <w:tr w14:paraId="145B1EF6">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C1E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三思</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E22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LED显示板</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028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C4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54D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道路</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DB4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LED显示板</w:t>
            </w:r>
          </w:p>
        </w:tc>
      </w:tr>
      <w:tr w14:paraId="2089A50C">
        <w:tblPrEx>
          <w:tblCellMar>
            <w:top w:w="0" w:type="dxa"/>
            <w:left w:w="108" w:type="dxa"/>
            <w:bottom w:w="0" w:type="dxa"/>
            <w:right w:w="108" w:type="dxa"/>
          </w:tblCellMar>
        </w:tblPrEx>
        <w:trPr>
          <w:trHeight w:val="420" w:hRule="atLeast"/>
        </w:trPr>
        <w:tc>
          <w:tcPr>
            <w:tcW w:w="2190" w:type="dxa"/>
            <w:tcBorders>
              <w:top w:val="nil"/>
              <w:left w:val="nil"/>
              <w:bottom w:val="nil"/>
              <w:right w:val="nil"/>
            </w:tcBorders>
            <w:shd w:val="clear" w:color="auto" w:fill="auto"/>
            <w:noWrap/>
            <w:vAlign w:val="center"/>
          </w:tcPr>
          <w:p w14:paraId="06BF8ED3">
            <w:pPr>
              <w:widowControl/>
              <w:jc w:val="left"/>
              <w:textAlignment w:val="center"/>
              <w:rPr>
                <w:rFonts w:hint="eastAsia" w:asciiTheme="minorEastAsia" w:hAnsiTheme="minorEastAsia" w:eastAsiaTheme="minorEastAsia" w:cstheme="minorEastAsia"/>
                <w:b/>
                <w:bCs/>
                <w:color w:val="0070C0"/>
                <w:sz w:val="24"/>
              </w:rPr>
            </w:pPr>
          </w:p>
        </w:tc>
        <w:tc>
          <w:tcPr>
            <w:tcW w:w="1813" w:type="dxa"/>
            <w:tcBorders>
              <w:top w:val="nil"/>
              <w:left w:val="nil"/>
              <w:bottom w:val="nil"/>
              <w:right w:val="nil"/>
            </w:tcBorders>
            <w:shd w:val="clear" w:color="auto" w:fill="auto"/>
            <w:noWrap/>
            <w:vAlign w:val="center"/>
          </w:tcPr>
          <w:p w14:paraId="7DD6E4C1">
            <w:pPr>
              <w:jc w:val="left"/>
              <w:rPr>
                <w:rFonts w:hint="eastAsia" w:asciiTheme="minorEastAsia" w:hAnsiTheme="minorEastAsia" w:eastAsiaTheme="minorEastAsia" w:cstheme="minorEastAsia"/>
                <w:b/>
                <w:bCs/>
                <w:color w:val="000000"/>
                <w:sz w:val="24"/>
              </w:rPr>
            </w:pPr>
          </w:p>
        </w:tc>
        <w:tc>
          <w:tcPr>
            <w:tcW w:w="1459" w:type="dxa"/>
            <w:tcBorders>
              <w:top w:val="nil"/>
              <w:left w:val="nil"/>
              <w:bottom w:val="nil"/>
              <w:right w:val="nil"/>
            </w:tcBorders>
            <w:shd w:val="clear" w:color="auto" w:fill="auto"/>
            <w:noWrap/>
            <w:vAlign w:val="center"/>
          </w:tcPr>
          <w:p w14:paraId="3812B17B">
            <w:pPr>
              <w:jc w:val="center"/>
              <w:rPr>
                <w:rFonts w:hint="eastAsia" w:asciiTheme="minorEastAsia" w:hAnsiTheme="minorEastAsia" w:eastAsiaTheme="minorEastAsia" w:cstheme="minorEastAsia"/>
                <w:b/>
                <w:bCs/>
                <w:color w:val="000000"/>
                <w:sz w:val="24"/>
              </w:rPr>
            </w:pPr>
          </w:p>
        </w:tc>
        <w:tc>
          <w:tcPr>
            <w:tcW w:w="1282" w:type="dxa"/>
            <w:tcBorders>
              <w:top w:val="nil"/>
              <w:left w:val="nil"/>
              <w:bottom w:val="nil"/>
              <w:right w:val="nil"/>
            </w:tcBorders>
            <w:shd w:val="clear" w:color="auto" w:fill="auto"/>
            <w:noWrap/>
            <w:vAlign w:val="center"/>
          </w:tcPr>
          <w:p w14:paraId="402F8EC8">
            <w:pPr>
              <w:jc w:val="center"/>
              <w:rPr>
                <w:rFonts w:hint="eastAsia" w:asciiTheme="minorEastAsia" w:hAnsiTheme="minorEastAsia" w:eastAsiaTheme="minorEastAsia" w:cstheme="minorEastAsia"/>
                <w:b/>
                <w:bCs/>
                <w:color w:val="000000"/>
                <w:sz w:val="24"/>
              </w:rPr>
            </w:pPr>
          </w:p>
        </w:tc>
        <w:tc>
          <w:tcPr>
            <w:tcW w:w="1213" w:type="dxa"/>
            <w:tcBorders>
              <w:top w:val="nil"/>
              <w:left w:val="nil"/>
              <w:bottom w:val="nil"/>
              <w:right w:val="nil"/>
            </w:tcBorders>
            <w:shd w:val="clear" w:color="auto" w:fill="auto"/>
            <w:noWrap/>
            <w:vAlign w:val="center"/>
          </w:tcPr>
          <w:p w14:paraId="7B8552FD">
            <w:pPr>
              <w:jc w:val="center"/>
              <w:rPr>
                <w:rFonts w:hint="eastAsia" w:asciiTheme="minorEastAsia" w:hAnsiTheme="minorEastAsia" w:eastAsiaTheme="minorEastAsia" w:cstheme="minorEastAsia"/>
                <w:b/>
                <w:bCs/>
                <w:color w:val="000000"/>
                <w:sz w:val="24"/>
              </w:rPr>
            </w:pPr>
          </w:p>
        </w:tc>
        <w:tc>
          <w:tcPr>
            <w:tcW w:w="1132" w:type="dxa"/>
            <w:tcBorders>
              <w:top w:val="nil"/>
              <w:left w:val="nil"/>
              <w:bottom w:val="nil"/>
              <w:right w:val="nil"/>
            </w:tcBorders>
            <w:shd w:val="clear" w:color="auto" w:fill="auto"/>
            <w:noWrap/>
            <w:vAlign w:val="center"/>
          </w:tcPr>
          <w:p w14:paraId="44CDA6ED">
            <w:pPr>
              <w:jc w:val="center"/>
              <w:rPr>
                <w:rFonts w:hint="eastAsia" w:asciiTheme="minorEastAsia" w:hAnsiTheme="minorEastAsia" w:eastAsiaTheme="minorEastAsia" w:cstheme="minorEastAsia"/>
                <w:b/>
                <w:bCs/>
                <w:color w:val="000000"/>
                <w:sz w:val="24"/>
              </w:rPr>
            </w:pPr>
          </w:p>
        </w:tc>
      </w:tr>
      <w:tr w14:paraId="6FA8332A">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73C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AE5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44A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D7B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56C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1-38U</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C47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w:t>
            </w:r>
          </w:p>
        </w:tc>
      </w:tr>
      <w:tr w14:paraId="63EA1F7A">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D0F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浪潮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4D3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NF5280M5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839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ADB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17E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1-33U</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F15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计费服务器</w:t>
            </w:r>
          </w:p>
        </w:tc>
      </w:tr>
      <w:tr w14:paraId="3E447D90">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68F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40F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610L</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577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37B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62F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1-17U</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847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主线通讯机</w:t>
            </w:r>
          </w:p>
        </w:tc>
      </w:tr>
      <w:tr w14:paraId="39718FCF">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C22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E90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DS-96128N-124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741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2E9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173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1-1U</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9A5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硬盘录像机</w:t>
            </w:r>
          </w:p>
        </w:tc>
      </w:tr>
      <w:tr w14:paraId="2162A3D8">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BA2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A49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DS-8632N-K8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E59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351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703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2-30~40U</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40F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硬盘录像机</w:t>
            </w:r>
          </w:p>
        </w:tc>
      </w:tr>
      <w:tr w14:paraId="65206858">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53F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迪普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CA9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VPN100-GS-E</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4AC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C62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E59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2-26U</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803C">
            <w:pPr>
              <w:jc w:val="center"/>
              <w:rPr>
                <w:rFonts w:hint="eastAsia" w:asciiTheme="minorEastAsia" w:hAnsiTheme="minorEastAsia" w:eastAsiaTheme="minorEastAsia" w:cstheme="minorEastAsia"/>
                <w:color w:val="000000"/>
                <w:sz w:val="22"/>
                <w:szCs w:val="22"/>
              </w:rPr>
            </w:pPr>
          </w:p>
        </w:tc>
      </w:tr>
      <w:tr w14:paraId="65F3CCF0">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DD3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B03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FAC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AB7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C1C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2-22U</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EF6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  33段</w:t>
            </w:r>
          </w:p>
        </w:tc>
      </w:tr>
      <w:tr w14:paraId="589545E7">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F0B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D0E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外网硬盘录像机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170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AED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9B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3-33U</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2AA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外网硬盘录像机</w:t>
            </w:r>
          </w:p>
        </w:tc>
      </w:tr>
      <w:tr w14:paraId="1AB07469">
        <w:tblPrEx>
          <w:tblCellMar>
            <w:top w:w="0" w:type="dxa"/>
            <w:left w:w="108" w:type="dxa"/>
            <w:bottom w:w="0" w:type="dxa"/>
            <w:right w:w="108" w:type="dxa"/>
          </w:tblCellMar>
        </w:tblPrEx>
        <w:trPr>
          <w:trHeight w:val="420" w:hRule="atLeast"/>
        </w:trPr>
        <w:tc>
          <w:tcPr>
            <w:tcW w:w="2190" w:type="dxa"/>
            <w:tcBorders>
              <w:top w:val="nil"/>
              <w:left w:val="nil"/>
              <w:bottom w:val="nil"/>
              <w:right w:val="nil"/>
            </w:tcBorders>
            <w:shd w:val="clear" w:color="auto" w:fill="auto"/>
            <w:noWrap/>
            <w:vAlign w:val="center"/>
          </w:tcPr>
          <w:p w14:paraId="71A78FF3">
            <w:pPr>
              <w:jc w:val="center"/>
              <w:rPr>
                <w:rFonts w:hint="eastAsia" w:asciiTheme="minorEastAsia" w:hAnsiTheme="minorEastAsia" w:eastAsiaTheme="minorEastAsia" w:cstheme="minorEastAsia"/>
                <w:color w:val="000000"/>
                <w:sz w:val="22"/>
                <w:szCs w:val="22"/>
              </w:rPr>
            </w:pPr>
          </w:p>
        </w:tc>
        <w:tc>
          <w:tcPr>
            <w:tcW w:w="1813" w:type="dxa"/>
            <w:tcBorders>
              <w:top w:val="nil"/>
              <w:left w:val="nil"/>
              <w:bottom w:val="nil"/>
              <w:right w:val="nil"/>
            </w:tcBorders>
            <w:shd w:val="clear" w:color="auto" w:fill="auto"/>
            <w:noWrap/>
            <w:vAlign w:val="center"/>
          </w:tcPr>
          <w:p w14:paraId="444A3FBC">
            <w:pPr>
              <w:jc w:val="left"/>
              <w:rPr>
                <w:rFonts w:hint="eastAsia" w:asciiTheme="minorEastAsia" w:hAnsiTheme="minorEastAsia" w:eastAsiaTheme="minorEastAsia" w:cstheme="minorEastAsia"/>
                <w:color w:val="000000"/>
                <w:sz w:val="22"/>
                <w:szCs w:val="22"/>
              </w:rPr>
            </w:pPr>
          </w:p>
        </w:tc>
        <w:tc>
          <w:tcPr>
            <w:tcW w:w="1459" w:type="dxa"/>
            <w:tcBorders>
              <w:top w:val="nil"/>
              <w:left w:val="nil"/>
              <w:bottom w:val="nil"/>
              <w:right w:val="nil"/>
            </w:tcBorders>
            <w:shd w:val="clear" w:color="auto" w:fill="auto"/>
            <w:noWrap/>
            <w:vAlign w:val="center"/>
          </w:tcPr>
          <w:p w14:paraId="6F7BDCD8">
            <w:pPr>
              <w:jc w:val="center"/>
              <w:rPr>
                <w:rFonts w:hint="eastAsia" w:asciiTheme="minorEastAsia" w:hAnsiTheme="minorEastAsia" w:eastAsiaTheme="minorEastAsia" w:cstheme="minorEastAsia"/>
                <w:color w:val="000000"/>
                <w:sz w:val="22"/>
                <w:szCs w:val="22"/>
              </w:rPr>
            </w:pPr>
          </w:p>
        </w:tc>
        <w:tc>
          <w:tcPr>
            <w:tcW w:w="1282" w:type="dxa"/>
            <w:tcBorders>
              <w:top w:val="nil"/>
              <w:left w:val="nil"/>
              <w:bottom w:val="nil"/>
              <w:right w:val="nil"/>
            </w:tcBorders>
            <w:shd w:val="clear" w:color="auto" w:fill="auto"/>
            <w:noWrap/>
            <w:vAlign w:val="center"/>
          </w:tcPr>
          <w:p w14:paraId="7DD44A98">
            <w:pPr>
              <w:jc w:val="center"/>
              <w:rPr>
                <w:rFonts w:hint="eastAsia" w:asciiTheme="minorEastAsia" w:hAnsiTheme="minorEastAsia" w:eastAsiaTheme="minorEastAsia" w:cstheme="minorEastAsia"/>
                <w:color w:val="000000"/>
                <w:sz w:val="22"/>
                <w:szCs w:val="22"/>
              </w:rPr>
            </w:pPr>
          </w:p>
        </w:tc>
        <w:tc>
          <w:tcPr>
            <w:tcW w:w="1213" w:type="dxa"/>
            <w:tcBorders>
              <w:top w:val="nil"/>
              <w:left w:val="nil"/>
              <w:bottom w:val="nil"/>
              <w:right w:val="nil"/>
            </w:tcBorders>
            <w:shd w:val="clear" w:color="auto" w:fill="auto"/>
            <w:noWrap/>
            <w:vAlign w:val="center"/>
          </w:tcPr>
          <w:p w14:paraId="543E9A6F">
            <w:pPr>
              <w:jc w:val="center"/>
              <w:rPr>
                <w:rFonts w:hint="eastAsia" w:asciiTheme="minorEastAsia" w:hAnsiTheme="minorEastAsia" w:eastAsiaTheme="minorEastAsia" w:cstheme="minorEastAsia"/>
                <w:color w:val="000000"/>
                <w:sz w:val="22"/>
                <w:szCs w:val="22"/>
              </w:rPr>
            </w:pPr>
          </w:p>
        </w:tc>
        <w:tc>
          <w:tcPr>
            <w:tcW w:w="1132" w:type="dxa"/>
            <w:tcBorders>
              <w:top w:val="nil"/>
              <w:left w:val="nil"/>
              <w:bottom w:val="nil"/>
              <w:right w:val="nil"/>
            </w:tcBorders>
            <w:shd w:val="clear" w:color="auto" w:fill="auto"/>
            <w:noWrap/>
            <w:vAlign w:val="center"/>
          </w:tcPr>
          <w:p w14:paraId="00B77FDA">
            <w:pPr>
              <w:jc w:val="center"/>
              <w:rPr>
                <w:rFonts w:hint="eastAsia" w:asciiTheme="minorEastAsia" w:hAnsiTheme="minorEastAsia" w:eastAsiaTheme="minorEastAsia" w:cstheme="minorEastAsia"/>
                <w:color w:val="000000"/>
                <w:sz w:val="22"/>
                <w:szCs w:val="22"/>
              </w:rPr>
            </w:pPr>
          </w:p>
        </w:tc>
      </w:tr>
      <w:tr w14:paraId="5CCC990B">
        <w:tblPrEx>
          <w:tblCellMar>
            <w:top w:w="0" w:type="dxa"/>
            <w:left w:w="108" w:type="dxa"/>
            <w:bottom w:w="0" w:type="dxa"/>
            <w:right w:w="108" w:type="dxa"/>
          </w:tblCellMar>
        </w:tblPrEx>
        <w:trPr>
          <w:trHeight w:val="420" w:hRule="atLeast"/>
        </w:trPr>
        <w:tc>
          <w:tcPr>
            <w:tcW w:w="2190" w:type="dxa"/>
            <w:tcBorders>
              <w:top w:val="nil"/>
              <w:left w:val="nil"/>
              <w:bottom w:val="nil"/>
              <w:right w:val="nil"/>
            </w:tcBorders>
            <w:shd w:val="clear" w:color="auto" w:fill="auto"/>
            <w:noWrap/>
            <w:vAlign w:val="center"/>
          </w:tcPr>
          <w:p w14:paraId="7E6EAC0B">
            <w:pPr>
              <w:widowControl/>
              <w:jc w:val="left"/>
              <w:textAlignment w:val="center"/>
              <w:rPr>
                <w:rFonts w:hint="eastAsia" w:asciiTheme="minorEastAsia" w:hAnsiTheme="minorEastAsia" w:eastAsiaTheme="minorEastAsia" w:cstheme="minorEastAsia"/>
                <w:b/>
                <w:bCs/>
                <w:color w:val="0070C0"/>
                <w:sz w:val="24"/>
              </w:rPr>
            </w:pPr>
          </w:p>
        </w:tc>
        <w:tc>
          <w:tcPr>
            <w:tcW w:w="1813" w:type="dxa"/>
            <w:tcBorders>
              <w:top w:val="nil"/>
              <w:left w:val="nil"/>
              <w:bottom w:val="nil"/>
              <w:right w:val="nil"/>
            </w:tcBorders>
            <w:shd w:val="clear" w:color="auto" w:fill="auto"/>
            <w:noWrap/>
            <w:vAlign w:val="center"/>
          </w:tcPr>
          <w:p w14:paraId="76CB2DC6">
            <w:pPr>
              <w:jc w:val="left"/>
              <w:rPr>
                <w:rFonts w:hint="eastAsia" w:asciiTheme="minorEastAsia" w:hAnsiTheme="minorEastAsia" w:eastAsiaTheme="minorEastAsia" w:cstheme="minorEastAsia"/>
                <w:b/>
                <w:bCs/>
                <w:color w:val="000000"/>
                <w:sz w:val="24"/>
              </w:rPr>
            </w:pPr>
          </w:p>
        </w:tc>
        <w:tc>
          <w:tcPr>
            <w:tcW w:w="1459" w:type="dxa"/>
            <w:tcBorders>
              <w:top w:val="nil"/>
              <w:left w:val="nil"/>
              <w:bottom w:val="nil"/>
              <w:right w:val="nil"/>
            </w:tcBorders>
            <w:shd w:val="clear" w:color="auto" w:fill="auto"/>
            <w:noWrap/>
            <w:vAlign w:val="center"/>
          </w:tcPr>
          <w:p w14:paraId="6BA7EC41">
            <w:pPr>
              <w:jc w:val="center"/>
              <w:rPr>
                <w:rFonts w:hint="eastAsia" w:asciiTheme="minorEastAsia" w:hAnsiTheme="minorEastAsia" w:eastAsiaTheme="minorEastAsia" w:cstheme="minorEastAsia"/>
                <w:b/>
                <w:bCs/>
                <w:color w:val="000000"/>
                <w:sz w:val="24"/>
              </w:rPr>
            </w:pPr>
          </w:p>
        </w:tc>
        <w:tc>
          <w:tcPr>
            <w:tcW w:w="1282" w:type="dxa"/>
            <w:tcBorders>
              <w:top w:val="nil"/>
              <w:left w:val="nil"/>
              <w:bottom w:val="nil"/>
              <w:right w:val="nil"/>
            </w:tcBorders>
            <w:shd w:val="clear" w:color="auto" w:fill="auto"/>
            <w:noWrap/>
            <w:vAlign w:val="center"/>
          </w:tcPr>
          <w:p w14:paraId="241F6609">
            <w:pPr>
              <w:jc w:val="center"/>
              <w:rPr>
                <w:rFonts w:hint="eastAsia" w:asciiTheme="minorEastAsia" w:hAnsiTheme="minorEastAsia" w:eastAsiaTheme="minorEastAsia" w:cstheme="minorEastAsia"/>
                <w:b/>
                <w:bCs/>
                <w:color w:val="000000"/>
                <w:sz w:val="24"/>
              </w:rPr>
            </w:pPr>
          </w:p>
        </w:tc>
        <w:tc>
          <w:tcPr>
            <w:tcW w:w="1213" w:type="dxa"/>
            <w:tcBorders>
              <w:top w:val="nil"/>
              <w:left w:val="nil"/>
              <w:bottom w:val="nil"/>
              <w:right w:val="nil"/>
            </w:tcBorders>
            <w:shd w:val="clear" w:color="auto" w:fill="auto"/>
            <w:noWrap/>
            <w:vAlign w:val="center"/>
          </w:tcPr>
          <w:p w14:paraId="639A3AD0">
            <w:pPr>
              <w:jc w:val="center"/>
              <w:rPr>
                <w:rFonts w:hint="eastAsia" w:asciiTheme="minorEastAsia" w:hAnsiTheme="minorEastAsia" w:eastAsiaTheme="minorEastAsia" w:cstheme="minorEastAsia"/>
                <w:b/>
                <w:bCs/>
                <w:color w:val="000000"/>
                <w:sz w:val="24"/>
              </w:rPr>
            </w:pPr>
          </w:p>
        </w:tc>
        <w:tc>
          <w:tcPr>
            <w:tcW w:w="1132" w:type="dxa"/>
            <w:tcBorders>
              <w:top w:val="nil"/>
              <w:left w:val="nil"/>
              <w:bottom w:val="nil"/>
              <w:right w:val="nil"/>
            </w:tcBorders>
            <w:shd w:val="clear" w:color="auto" w:fill="auto"/>
            <w:noWrap/>
            <w:vAlign w:val="center"/>
          </w:tcPr>
          <w:p w14:paraId="2ECF2BB5">
            <w:pPr>
              <w:jc w:val="center"/>
              <w:rPr>
                <w:rFonts w:hint="eastAsia" w:asciiTheme="minorEastAsia" w:hAnsiTheme="minorEastAsia" w:eastAsiaTheme="minorEastAsia" w:cstheme="minorEastAsia"/>
                <w:b/>
                <w:bCs/>
                <w:color w:val="000000"/>
                <w:sz w:val="24"/>
              </w:rPr>
            </w:pPr>
          </w:p>
        </w:tc>
      </w:tr>
      <w:tr w14:paraId="6E76F12C">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101E">
            <w:pPr>
              <w:jc w:val="center"/>
              <w:rPr>
                <w:rFonts w:hint="eastAsia" w:asciiTheme="minorEastAsia" w:hAnsiTheme="minorEastAsia" w:eastAsiaTheme="minorEastAsia" w:cstheme="minorEastAsia"/>
                <w:color w:val="000000"/>
                <w:sz w:val="22"/>
                <w:szCs w:val="22"/>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0F9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光纤收发器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D7C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170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6B3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车道机柜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CFF6">
            <w:pPr>
              <w:jc w:val="center"/>
              <w:rPr>
                <w:rFonts w:hint="eastAsia" w:asciiTheme="minorEastAsia" w:hAnsiTheme="minorEastAsia" w:eastAsiaTheme="minorEastAsia" w:cstheme="minorEastAsia"/>
                <w:color w:val="000000"/>
                <w:sz w:val="22"/>
                <w:szCs w:val="22"/>
              </w:rPr>
            </w:pPr>
          </w:p>
        </w:tc>
      </w:tr>
      <w:tr w14:paraId="408FD395">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18E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096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S5110交换机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395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7E2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529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车道机柜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9D28">
            <w:pPr>
              <w:jc w:val="center"/>
              <w:rPr>
                <w:rFonts w:hint="eastAsia" w:asciiTheme="minorEastAsia" w:hAnsiTheme="minorEastAsia" w:eastAsiaTheme="minorEastAsia" w:cstheme="minorEastAsia"/>
                <w:color w:val="000000"/>
                <w:sz w:val="22"/>
                <w:szCs w:val="22"/>
              </w:rPr>
            </w:pPr>
          </w:p>
        </w:tc>
      </w:tr>
      <w:tr w14:paraId="7F85B158">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E2F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879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大球机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352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BA5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472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广场摄像头</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1E1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内外广场南北</w:t>
            </w:r>
          </w:p>
        </w:tc>
      </w:tr>
      <w:tr w14:paraId="4EF0B0CF">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7E5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爱特斯</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D0A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MC240L 雾灯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CE8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7A9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F9C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各车道岛头</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0C7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雾灯</w:t>
            </w:r>
          </w:p>
        </w:tc>
      </w:tr>
      <w:tr w14:paraId="5D4E4C3D">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E52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7E2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顶棚车道指示灯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837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99B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E1E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各车道顶棚</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78F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前后各一</w:t>
            </w:r>
          </w:p>
        </w:tc>
      </w:tr>
      <w:tr w14:paraId="214D7147">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A13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B74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2C6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512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ABF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车道岛头上方</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07E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上方屏</w:t>
            </w:r>
          </w:p>
        </w:tc>
      </w:tr>
      <w:tr w14:paraId="476C9AE6">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7F6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0D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F47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825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799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车道岛头上方</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110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上方屏</w:t>
            </w:r>
          </w:p>
        </w:tc>
      </w:tr>
      <w:tr w14:paraId="476D95D6">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383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FEA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G2-RSU4411 ETC天线+控制器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667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C65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9D2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车道上方、亭内</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949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ETC天线</w:t>
            </w:r>
          </w:p>
        </w:tc>
      </w:tr>
      <w:tr w14:paraId="4775D594">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0DE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3F7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G2-RSU4411 ETC天线+控制器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E0E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862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ABF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车道上方、亭内</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BB4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ETC天线</w:t>
            </w:r>
          </w:p>
        </w:tc>
      </w:tr>
      <w:tr w14:paraId="64D00FDF">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595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6E5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G2-A ETC天线+控制器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BBE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754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72F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车道上方、亭内</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4F9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ETC天线</w:t>
            </w:r>
          </w:p>
        </w:tc>
      </w:tr>
      <w:tr w14:paraId="00D3C3C5">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CAE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170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TZ-FX-D192X96</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E94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B65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CD6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岗亭前方</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A41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ETC综合费显</w:t>
            </w:r>
          </w:p>
        </w:tc>
      </w:tr>
      <w:tr w14:paraId="294976BC">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1AC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552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KY-P10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765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BD0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6BB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岗亭前方</w:t>
            </w:r>
          </w:p>
        </w:tc>
        <w:tc>
          <w:tcPr>
            <w:tcW w:w="1132" w:type="dxa"/>
            <w:tcBorders>
              <w:top w:val="single" w:color="000000" w:sz="4" w:space="0"/>
              <w:left w:val="single" w:color="000000" w:sz="4" w:space="0"/>
              <w:bottom w:val="nil"/>
              <w:right w:val="single" w:color="000000" w:sz="4" w:space="0"/>
            </w:tcBorders>
            <w:shd w:val="clear" w:color="auto" w:fill="auto"/>
            <w:noWrap/>
            <w:vAlign w:val="center"/>
          </w:tcPr>
          <w:p w14:paraId="71AA31E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ETC综合费显</w:t>
            </w:r>
          </w:p>
        </w:tc>
      </w:tr>
      <w:tr w14:paraId="48AFE996">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E20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信路威</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680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PC200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EE6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599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nil"/>
            </w:tcBorders>
            <w:shd w:val="clear" w:color="auto" w:fill="auto"/>
            <w:noWrap/>
            <w:vAlign w:val="center"/>
          </w:tcPr>
          <w:p w14:paraId="15AF8E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887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摄像头</w:t>
            </w:r>
          </w:p>
        </w:tc>
      </w:tr>
      <w:tr w14:paraId="006AE4D6">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0DB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信路威</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E06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PC200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93D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B96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13" w:type="dxa"/>
            <w:tcBorders>
              <w:top w:val="single" w:color="000000" w:sz="4" w:space="0"/>
              <w:left w:val="single" w:color="000000" w:sz="4" w:space="0"/>
              <w:bottom w:val="single" w:color="000000" w:sz="4" w:space="0"/>
              <w:right w:val="nil"/>
            </w:tcBorders>
            <w:shd w:val="clear" w:color="auto" w:fill="auto"/>
            <w:noWrap/>
            <w:vAlign w:val="center"/>
          </w:tcPr>
          <w:p w14:paraId="0F15EFE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177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摄像头</w:t>
            </w:r>
          </w:p>
        </w:tc>
      </w:tr>
      <w:tr w14:paraId="5AC8738B">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867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2B5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车道枪机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D4A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E34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693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w:t>
            </w:r>
          </w:p>
        </w:tc>
        <w:tc>
          <w:tcPr>
            <w:tcW w:w="1132" w:type="dxa"/>
            <w:tcBorders>
              <w:top w:val="nil"/>
              <w:left w:val="single" w:color="000000" w:sz="4" w:space="0"/>
              <w:bottom w:val="single" w:color="000000" w:sz="4" w:space="0"/>
              <w:right w:val="single" w:color="000000" w:sz="4" w:space="0"/>
            </w:tcBorders>
            <w:shd w:val="clear" w:color="auto" w:fill="auto"/>
            <w:noWrap/>
            <w:vAlign w:val="center"/>
          </w:tcPr>
          <w:p w14:paraId="2E324D3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1、5车道录像</w:t>
            </w:r>
          </w:p>
        </w:tc>
      </w:tr>
      <w:tr w14:paraId="721B66E8">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896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934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KYDFX-5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061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AC9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2AC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岗亭后方</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C89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MTC费显</w:t>
            </w:r>
          </w:p>
        </w:tc>
      </w:tr>
      <w:tr w14:paraId="2024052F">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C8B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019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IPC 6608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765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E78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FC2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BF5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车道工控机(旧）</w:t>
            </w:r>
          </w:p>
        </w:tc>
      </w:tr>
      <w:tr w14:paraId="38E484D4">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A5B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BF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MIC-75M13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CB3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ED7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20F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0C9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w:t>
            </w:r>
          </w:p>
        </w:tc>
      </w:tr>
      <w:tr w14:paraId="192F894D">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8FC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感想</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D28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canopus-l</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944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599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D25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069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w:t>
            </w:r>
          </w:p>
        </w:tc>
      </w:tr>
      <w:tr w14:paraId="203FEB3B">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1C8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1A7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S1008A</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521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266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580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A0E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车道交换机</w:t>
            </w:r>
          </w:p>
        </w:tc>
      </w:tr>
      <w:tr w14:paraId="3AD15ACE">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EF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B86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iSpeedy-K2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C44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734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D11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7A2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读卡器</w:t>
            </w:r>
          </w:p>
        </w:tc>
      </w:tr>
      <w:tr w14:paraId="1E6352A4">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62B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8E3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KY51D1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2F4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437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D3D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0F2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收费专用键盘</w:t>
            </w:r>
          </w:p>
        </w:tc>
      </w:tr>
      <w:tr w14:paraId="53C832BD">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20A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FCD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SLE-903R（485）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501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AB0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D9E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638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电明上方屏切换器</w:t>
            </w:r>
          </w:p>
        </w:tc>
      </w:tr>
      <w:tr w14:paraId="3643BA04">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658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YUMDATTO</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042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YD-511D-A</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1B6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E50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461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65A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科野上方屏切换器</w:t>
            </w:r>
          </w:p>
        </w:tc>
      </w:tr>
      <w:tr w14:paraId="33A2F61E">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EDD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ZEBEX</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286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Z-3172GHD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9BF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DE9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7B8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019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移动支付扫码枪</w:t>
            </w:r>
          </w:p>
        </w:tc>
      </w:tr>
      <w:tr w14:paraId="48031B65">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B05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7D6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亭内球机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329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ABE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2C0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岗亭操作台上方</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608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亭内录像</w:t>
            </w:r>
          </w:p>
        </w:tc>
      </w:tr>
      <w:tr w14:paraId="0439346D">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D14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特微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481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TR-200-T 车道智能支付终端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9C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94D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F82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岗亭外侧面</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61B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移动支付壁挂</w:t>
            </w:r>
          </w:p>
        </w:tc>
      </w:tr>
      <w:tr w14:paraId="7DB3F91A">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DAA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特微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A36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TR-200-T 车道智能支付终端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F6B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A31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8B7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机房</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189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移动支付壁挂故障</w:t>
            </w:r>
          </w:p>
        </w:tc>
      </w:tr>
      <w:tr w14:paraId="52DA4D91">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51E1">
            <w:pPr>
              <w:jc w:val="center"/>
              <w:rPr>
                <w:rFonts w:hint="eastAsia" w:asciiTheme="minorEastAsia" w:hAnsiTheme="minorEastAsia" w:eastAsiaTheme="minorEastAsia" w:cstheme="minorEastAsia"/>
                <w:color w:val="000000"/>
                <w:sz w:val="22"/>
                <w:szCs w:val="22"/>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134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拾音器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A1D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BCC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B65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岗亭台板下墙面</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339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录音</w:t>
            </w:r>
          </w:p>
        </w:tc>
      </w:tr>
      <w:tr w14:paraId="373963DE">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92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EA7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IPC-6608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2CA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DBF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F3B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仓库、101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5F5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旧工控机</w:t>
            </w:r>
          </w:p>
        </w:tc>
      </w:tr>
      <w:tr w14:paraId="0607AD48">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136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得实</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B1B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DS5300Z</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20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895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966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545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打印机</w:t>
            </w:r>
          </w:p>
        </w:tc>
      </w:tr>
      <w:tr w14:paraId="682D1B54">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598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汇豪</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717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HHSCJ3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4DE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948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70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A29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手持机</w:t>
            </w:r>
          </w:p>
        </w:tc>
      </w:tr>
      <w:tr w14:paraId="337F91AB">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4BA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信路威</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C28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补光灯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506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18</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F1B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7D6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w:t>
            </w:r>
          </w:p>
        </w:tc>
        <w:tc>
          <w:tcPr>
            <w:tcW w:w="1132" w:type="dxa"/>
            <w:tcBorders>
              <w:top w:val="single" w:color="000000" w:sz="4" w:space="0"/>
              <w:left w:val="single" w:color="000000" w:sz="4" w:space="0"/>
              <w:bottom w:val="single" w:color="000000" w:sz="4" w:space="0"/>
              <w:right w:val="nil"/>
            </w:tcBorders>
            <w:shd w:val="clear" w:color="auto" w:fill="auto"/>
            <w:noWrap/>
            <w:vAlign w:val="center"/>
          </w:tcPr>
          <w:p w14:paraId="4466B6C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7#、9#无补光灯</w:t>
            </w:r>
          </w:p>
        </w:tc>
      </w:tr>
      <w:tr w14:paraId="0A135EA0">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13A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信路威</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DE6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PC300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0A3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5A2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EA3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14#16#车道</w:t>
            </w:r>
          </w:p>
        </w:tc>
        <w:tc>
          <w:tcPr>
            <w:tcW w:w="1132" w:type="dxa"/>
            <w:tcBorders>
              <w:top w:val="single" w:color="000000" w:sz="4" w:space="0"/>
              <w:left w:val="single" w:color="000000" w:sz="4" w:space="0"/>
              <w:bottom w:val="single" w:color="000000" w:sz="4" w:space="0"/>
              <w:right w:val="nil"/>
            </w:tcBorders>
            <w:shd w:val="clear" w:color="auto" w:fill="auto"/>
            <w:noWrap/>
            <w:vAlign w:val="center"/>
          </w:tcPr>
          <w:p w14:paraId="163BAAC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摄像头</w:t>
            </w:r>
          </w:p>
        </w:tc>
      </w:tr>
      <w:tr w14:paraId="7DD7E11C">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DAC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华天成</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8034">
            <w:pPr>
              <w:jc w:val="left"/>
              <w:rPr>
                <w:rFonts w:hint="eastAsia" w:asciiTheme="minorEastAsia" w:hAnsiTheme="minorEastAsia" w:eastAsiaTheme="minorEastAsia" w:cstheme="minorEastAsia"/>
                <w:color w:val="000000"/>
                <w:sz w:val="22"/>
                <w:szCs w:val="22"/>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184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C11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C8D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32" w:type="dxa"/>
            <w:tcBorders>
              <w:top w:val="single" w:color="000000" w:sz="4" w:space="0"/>
              <w:left w:val="single" w:color="000000" w:sz="4" w:space="0"/>
              <w:bottom w:val="single" w:color="000000" w:sz="4" w:space="0"/>
              <w:right w:val="nil"/>
            </w:tcBorders>
            <w:shd w:val="clear" w:color="auto" w:fill="auto"/>
            <w:noWrap/>
            <w:vAlign w:val="center"/>
          </w:tcPr>
          <w:p w14:paraId="3B17099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对讲机</w:t>
            </w:r>
          </w:p>
        </w:tc>
      </w:tr>
      <w:tr w14:paraId="4F60829A">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E7A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华天成</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F4D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HNAB-111GW/2G-20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C48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A39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B52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车道机柜</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056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对讲交换机</w:t>
            </w:r>
          </w:p>
        </w:tc>
      </w:tr>
      <w:tr w14:paraId="13128676">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nil"/>
              <w:right w:val="single" w:color="000000" w:sz="4" w:space="0"/>
            </w:tcBorders>
            <w:shd w:val="clear" w:color="auto" w:fill="auto"/>
            <w:noWrap/>
            <w:vAlign w:val="center"/>
          </w:tcPr>
          <w:p w14:paraId="447F2D6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AS</w:t>
            </w:r>
          </w:p>
        </w:tc>
        <w:tc>
          <w:tcPr>
            <w:tcW w:w="1813" w:type="dxa"/>
            <w:tcBorders>
              <w:top w:val="single" w:color="000000" w:sz="4" w:space="0"/>
              <w:left w:val="single" w:color="000000" w:sz="4" w:space="0"/>
              <w:bottom w:val="nil"/>
              <w:right w:val="single" w:color="000000" w:sz="4" w:space="0"/>
            </w:tcBorders>
            <w:shd w:val="clear" w:color="auto" w:fill="auto"/>
            <w:noWrap/>
            <w:vAlign w:val="center"/>
          </w:tcPr>
          <w:p w14:paraId="5DFDB1F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双杆栏杆机（主副机）</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14:paraId="68A2347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4套</w:t>
            </w:r>
          </w:p>
        </w:tc>
        <w:tc>
          <w:tcPr>
            <w:tcW w:w="1282" w:type="dxa"/>
            <w:tcBorders>
              <w:top w:val="single" w:color="000000" w:sz="4" w:space="0"/>
              <w:left w:val="single" w:color="000000" w:sz="4" w:space="0"/>
              <w:bottom w:val="nil"/>
              <w:right w:val="single" w:color="000000" w:sz="4" w:space="0"/>
            </w:tcBorders>
            <w:shd w:val="clear" w:color="auto" w:fill="auto"/>
            <w:noWrap/>
            <w:vAlign w:val="center"/>
          </w:tcPr>
          <w:p w14:paraId="31C489B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nil"/>
              <w:right w:val="single" w:color="000000" w:sz="4" w:space="0"/>
            </w:tcBorders>
            <w:shd w:val="clear" w:color="auto" w:fill="auto"/>
            <w:noWrap/>
            <w:vAlign w:val="center"/>
          </w:tcPr>
          <w:p w14:paraId="5BE4C17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32" w:type="dxa"/>
            <w:tcBorders>
              <w:top w:val="single" w:color="000000" w:sz="4" w:space="0"/>
              <w:left w:val="single" w:color="000000" w:sz="4" w:space="0"/>
              <w:bottom w:val="nil"/>
              <w:right w:val="single" w:color="000000" w:sz="4" w:space="0"/>
            </w:tcBorders>
            <w:shd w:val="clear" w:color="auto" w:fill="auto"/>
            <w:noWrap/>
            <w:vAlign w:val="center"/>
          </w:tcPr>
          <w:p w14:paraId="71DF001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4#6#8#10#</w:t>
            </w:r>
          </w:p>
        </w:tc>
      </w:tr>
      <w:tr w14:paraId="3374234F">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212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B4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017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7AB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813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419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12#14#栏杆机</w:t>
            </w:r>
          </w:p>
        </w:tc>
      </w:tr>
      <w:tr w14:paraId="3343C017">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654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AEA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 GZJ1200-19AR</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518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AB3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1F4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509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16#18#20#栏杆机</w:t>
            </w:r>
          </w:p>
        </w:tc>
      </w:tr>
      <w:tr w14:paraId="3ACFBBAE">
        <w:tblPrEx>
          <w:tblCellMar>
            <w:top w:w="0" w:type="dxa"/>
            <w:left w:w="108" w:type="dxa"/>
            <w:bottom w:w="0" w:type="dxa"/>
            <w:right w:w="108" w:type="dxa"/>
          </w:tblCellMar>
        </w:tblPrEx>
        <w:trPr>
          <w:trHeight w:val="42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FE0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644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iDS-TCH500-HIK/HD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DCC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524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60C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922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9#14#车道录像</w:t>
            </w:r>
          </w:p>
        </w:tc>
      </w:tr>
      <w:tr w14:paraId="599A65A2">
        <w:tblPrEx>
          <w:tblCellMar>
            <w:top w:w="0" w:type="dxa"/>
            <w:left w:w="108" w:type="dxa"/>
            <w:bottom w:w="0" w:type="dxa"/>
            <w:right w:w="108" w:type="dxa"/>
          </w:tblCellMar>
        </w:tblPrEx>
        <w:trPr>
          <w:trHeight w:val="420" w:hRule="atLeast"/>
        </w:trPr>
        <w:tc>
          <w:tcPr>
            <w:tcW w:w="2190" w:type="dxa"/>
            <w:tcBorders>
              <w:top w:val="nil"/>
              <w:left w:val="nil"/>
              <w:bottom w:val="nil"/>
              <w:right w:val="nil"/>
            </w:tcBorders>
            <w:shd w:val="clear" w:color="auto" w:fill="auto"/>
            <w:noWrap/>
            <w:vAlign w:val="center"/>
          </w:tcPr>
          <w:p w14:paraId="4E5FC4D2">
            <w:pPr>
              <w:widowControl/>
              <w:jc w:val="left"/>
              <w:textAlignment w:val="center"/>
              <w:rPr>
                <w:rFonts w:hint="eastAsia" w:asciiTheme="minorEastAsia" w:hAnsiTheme="minorEastAsia" w:eastAsiaTheme="minorEastAsia" w:cstheme="minorEastAsia"/>
                <w:b/>
                <w:bCs/>
                <w:color w:val="0070C0"/>
                <w:sz w:val="24"/>
              </w:rPr>
            </w:pPr>
          </w:p>
        </w:tc>
        <w:tc>
          <w:tcPr>
            <w:tcW w:w="1813" w:type="dxa"/>
            <w:tcBorders>
              <w:top w:val="nil"/>
              <w:left w:val="nil"/>
              <w:bottom w:val="nil"/>
              <w:right w:val="nil"/>
            </w:tcBorders>
            <w:shd w:val="clear" w:color="auto" w:fill="auto"/>
            <w:noWrap/>
            <w:vAlign w:val="center"/>
          </w:tcPr>
          <w:p w14:paraId="4B0E987C">
            <w:pPr>
              <w:jc w:val="left"/>
              <w:rPr>
                <w:rFonts w:hint="eastAsia" w:asciiTheme="minorEastAsia" w:hAnsiTheme="minorEastAsia" w:eastAsiaTheme="minorEastAsia" w:cstheme="minorEastAsia"/>
                <w:color w:val="000000"/>
                <w:sz w:val="22"/>
                <w:szCs w:val="22"/>
              </w:rPr>
            </w:pPr>
          </w:p>
        </w:tc>
        <w:tc>
          <w:tcPr>
            <w:tcW w:w="1459" w:type="dxa"/>
            <w:tcBorders>
              <w:top w:val="nil"/>
              <w:left w:val="nil"/>
              <w:bottom w:val="nil"/>
              <w:right w:val="nil"/>
            </w:tcBorders>
            <w:shd w:val="clear" w:color="auto" w:fill="auto"/>
            <w:noWrap/>
            <w:vAlign w:val="center"/>
          </w:tcPr>
          <w:p w14:paraId="09FCB1FB">
            <w:pPr>
              <w:jc w:val="center"/>
              <w:rPr>
                <w:rFonts w:hint="eastAsia" w:asciiTheme="minorEastAsia" w:hAnsiTheme="minorEastAsia" w:eastAsiaTheme="minorEastAsia" w:cstheme="minorEastAsia"/>
                <w:color w:val="000000"/>
                <w:sz w:val="22"/>
                <w:szCs w:val="22"/>
              </w:rPr>
            </w:pPr>
          </w:p>
        </w:tc>
        <w:tc>
          <w:tcPr>
            <w:tcW w:w="1282" w:type="dxa"/>
            <w:tcBorders>
              <w:top w:val="nil"/>
              <w:left w:val="nil"/>
              <w:bottom w:val="nil"/>
              <w:right w:val="nil"/>
            </w:tcBorders>
            <w:shd w:val="clear" w:color="auto" w:fill="auto"/>
            <w:noWrap/>
            <w:vAlign w:val="center"/>
          </w:tcPr>
          <w:p w14:paraId="3E4490FF">
            <w:pPr>
              <w:jc w:val="center"/>
              <w:rPr>
                <w:rFonts w:hint="eastAsia" w:asciiTheme="minorEastAsia" w:hAnsiTheme="minorEastAsia" w:eastAsiaTheme="minorEastAsia" w:cstheme="minorEastAsia"/>
                <w:color w:val="000000"/>
                <w:sz w:val="22"/>
                <w:szCs w:val="22"/>
              </w:rPr>
            </w:pPr>
          </w:p>
        </w:tc>
        <w:tc>
          <w:tcPr>
            <w:tcW w:w="1213" w:type="dxa"/>
            <w:tcBorders>
              <w:top w:val="nil"/>
              <w:left w:val="nil"/>
              <w:bottom w:val="nil"/>
              <w:right w:val="nil"/>
            </w:tcBorders>
            <w:shd w:val="clear" w:color="auto" w:fill="auto"/>
            <w:noWrap/>
            <w:vAlign w:val="center"/>
          </w:tcPr>
          <w:p w14:paraId="677B63EC">
            <w:pPr>
              <w:jc w:val="center"/>
              <w:rPr>
                <w:rFonts w:hint="eastAsia" w:asciiTheme="minorEastAsia" w:hAnsiTheme="minorEastAsia" w:eastAsiaTheme="minorEastAsia" w:cstheme="minorEastAsia"/>
                <w:color w:val="000000"/>
                <w:sz w:val="22"/>
                <w:szCs w:val="22"/>
              </w:rPr>
            </w:pPr>
          </w:p>
        </w:tc>
        <w:tc>
          <w:tcPr>
            <w:tcW w:w="1132" w:type="dxa"/>
            <w:tcBorders>
              <w:top w:val="nil"/>
              <w:left w:val="nil"/>
              <w:bottom w:val="nil"/>
              <w:right w:val="nil"/>
            </w:tcBorders>
            <w:shd w:val="clear" w:color="auto" w:fill="auto"/>
            <w:noWrap/>
            <w:vAlign w:val="center"/>
          </w:tcPr>
          <w:p w14:paraId="03B5340C">
            <w:pPr>
              <w:jc w:val="center"/>
              <w:rPr>
                <w:rFonts w:hint="eastAsia" w:asciiTheme="minorEastAsia" w:hAnsiTheme="minorEastAsia" w:eastAsiaTheme="minorEastAsia" w:cstheme="minorEastAsia"/>
                <w:color w:val="000000"/>
                <w:sz w:val="22"/>
                <w:szCs w:val="22"/>
              </w:rPr>
            </w:pPr>
          </w:p>
        </w:tc>
      </w:tr>
    </w:tbl>
    <w:p w14:paraId="1339D750">
      <w:pPr>
        <w:pStyle w:val="23"/>
        <w:rPr>
          <w:rFonts w:hint="eastAsia" w:asciiTheme="minorEastAsia" w:hAnsiTheme="minorEastAsia" w:eastAsiaTheme="minorEastAsia" w:cstheme="minorEastAsia"/>
        </w:rPr>
      </w:pPr>
    </w:p>
    <w:tbl>
      <w:tblPr>
        <w:tblStyle w:val="62"/>
        <w:tblW w:w="9089" w:type="dxa"/>
        <w:tblInd w:w="93" w:type="dxa"/>
        <w:tblLayout w:type="fixed"/>
        <w:tblCellMar>
          <w:top w:w="0" w:type="dxa"/>
          <w:left w:w="108" w:type="dxa"/>
          <w:bottom w:w="0" w:type="dxa"/>
          <w:right w:w="108" w:type="dxa"/>
        </w:tblCellMar>
      </w:tblPr>
      <w:tblGrid>
        <w:gridCol w:w="2315"/>
        <w:gridCol w:w="1674"/>
        <w:gridCol w:w="1459"/>
        <w:gridCol w:w="1282"/>
        <w:gridCol w:w="1241"/>
        <w:gridCol w:w="1118"/>
      </w:tblGrid>
      <w:tr w14:paraId="51087CF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DB4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E3A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DS-96128N-124</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1B4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CFE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AC0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1-25U</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5DD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硬盘录像机</w:t>
            </w:r>
          </w:p>
        </w:tc>
      </w:tr>
      <w:tr w14:paraId="11883503">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EFF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667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DS-8632N-K8</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E8B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480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6AC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1-21U、1-13U</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D7D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硬盘录像机</w:t>
            </w:r>
          </w:p>
        </w:tc>
      </w:tr>
      <w:tr w14:paraId="207160B7">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5D8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迪普</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C8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VPN1000-GS-E</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7D6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8E4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77A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2-24U</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4CC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w:t>
            </w:r>
          </w:p>
        </w:tc>
      </w:tr>
      <w:tr w14:paraId="1E026853">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FE9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6E0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F33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FFB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B43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2-22U</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E23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  33段</w:t>
            </w:r>
          </w:p>
        </w:tc>
      </w:tr>
      <w:tr w14:paraId="423D0321">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FF1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华为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AF8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S5710-28C-EI</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F6D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127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30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2-20U</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48B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  10段</w:t>
            </w:r>
          </w:p>
        </w:tc>
      </w:tr>
      <w:tr w14:paraId="04A0C993">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D0B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0FF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0FC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78A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327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2-17U</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63E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  10段</w:t>
            </w:r>
          </w:p>
        </w:tc>
      </w:tr>
      <w:tr w14:paraId="0E7DD02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BD6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10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610L</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AB2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6C4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B93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346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通讯机</w:t>
            </w:r>
          </w:p>
        </w:tc>
      </w:tr>
      <w:tr w14:paraId="3B70F2AE">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0F6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联想</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A99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X3650 M5 服务器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41D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17F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564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5-16U</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7D9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收费服务器</w:t>
            </w:r>
          </w:p>
        </w:tc>
      </w:tr>
      <w:tr w14:paraId="1656B90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DB7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浪潮</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77C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NF5280M5 服务器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66B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F2B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27F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5-13U</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53B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计费服务器</w:t>
            </w:r>
          </w:p>
        </w:tc>
      </w:tr>
      <w:tr w14:paraId="1C3DEBBF">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F1D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联想</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C8D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SR550 计重治超服务器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534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3BC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87A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6-23U</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B78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治超服务器</w:t>
            </w:r>
          </w:p>
        </w:tc>
      </w:tr>
      <w:tr w14:paraId="34BC469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nil"/>
              <w:right w:val="single" w:color="000000" w:sz="4" w:space="0"/>
            </w:tcBorders>
            <w:shd w:val="clear" w:color="auto" w:fill="auto"/>
            <w:vAlign w:val="center"/>
          </w:tcPr>
          <w:p w14:paraId="0E89C43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联想</w:t>
            </w:r>
          </w:p>
        </w:tc>
        <w:tc>
          <w:tcPr>
            <w:tcW w:w="1674" w:type="dxa"/>
            <w:tcBorders>
              <w:top w:val="single" w:color="000000" w:sz="4" w:space="0"/>
              <w:left w:val="single" w:color="000000" w:sz="4" w:space="0"/>
              <w:bottom w:val="nil"/>
              <w:right w:val="single" w:color="000000" w:sz="4" w:space="0"/>
            </w:tcBorders>
            <w:shd w:val="clear" w:color="auto" w:fill="auto"/>
            <w:vAlign w:val="center"/>
          </w:tcPr>
          <w:p w14:paraId="56397D4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X3650 M5 服务器</w:t>
            </w:r>
          </w:p>
        </w:tc>
        <w:tc>
          <w:tcPr>
            <w:tcW w:w="1459" w:type="dxa"/>
            <w:tcBorders>
              <w:top w:val="single" w:color="000000" w:sz="4" w:space="0"/>
              <w:left w:val="single" w:color="000000" w:sz="4" w:space="0"/>
              <w:bottom w:val="nil"/>
              <w:right w:val="single" w:color="000000" w:sz="4" w:space="0"/>
            </w:tcBorders>
            <w:shd w:val="clear" w:color="auto" w:fill="auto"/>
            <w:vAlign w:val="center"/>
          </w:tcPr>
          <w:p w14:paraId="7687B39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nil"/>
              <w:right w:val="single" w:color="000000" w:sz="4" w:space="0"/>
            </w:tcBorders>
            <w:shd w:val="clear" w:color="auto" w:fill="auto"/>
            <w:vAlign w:val="center"/>
          </w:tcPr>
          <w:p w14:paraId="4F021E9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nil"/>
              <w:right w:val="single" w:color="000000" w:sz="4" w:space="0"/>
            </w:tcBorders>
            <w:shd w:val="clear" w:color="auto" w:fill="auto"/>
            <w:vAlign w:val="center"/>
          </w:tcPr>
          <w:p w14:paraId="1F5C8C9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6-16U</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D28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收费服务器</w:t>
            </w:r>
          </w:p>
        </w:tc>
      </w:tr>
      <w:tr w14:paraId="3BEB4A2E">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C5E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DC4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球机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58F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F42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DEF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监控室天花板</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C9E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监控球机</w:t>
            </w:r>
          </w:p>
        </w:tc>
      </w:tr>
      <w:tr w14:paraId="786F342B">
        <w:tblPrEx>
          <w:tblCellMar>
            <w:top w:w="0" w:type="dxa"/>
            <w:left w:w="108" w:type="dxa"/>
            <w:bottom w:w="0" w:type="dxa"/>
            <w:right w:w="108" w:type="dxa"/>
          </w:tblCellMar>
        </w:tblPrEx>
        <w:trPr>
          <w:trHeight w:val="420" w:hRule="atLeast"/>
        </w:trPr>
        <w:tc>
          <w:tcPr>
            <w:tcW w:w="2315" w:type="dxa"/>
            <w:tcBorders>
              <w:top w:val="nil"/>
              <w:left w:val="nil"/>
              <w:bottom w:val="nil"/>
              <w:right w:val="nil"/>
            </w:tcBorders>
            <w:shd w:val="clear" w:color="auto" w:fill="auto"/>
            <w:noWrap/>
            <w:vAlign w:val="center"/>
          </w:tcPr>
          <w:p w14:paraId="4C89A771">
            <w:pPr>
              <w:jc w:val="center"/>
              <w:rPr>
                <w:rFonts w:hint="eastAsia" w:asciiTheme="minorEastAsia" w:hAnsiTheme="minorEastAsia" w:eastAsiaTheme="minorEastAsia" w:cstheme="minorEastAsia"/>
                <w:color w:val="000000"/>
                <w:sz w:val="22"/>
                <w:szCs w:val="22"/>
              </w:rPr>
            </w:pPr>
          </w:p>
        </w:tc>
        <w:tc>
          <w:tcPr>
            <w:tcW w:w="1674" w:type="dxa"/>
            <w:tcBorders>
              <w:top w:val="nil"/>
              <w:left w:val="nil"/>
              <w:bottom w:val="nil"/>
              <w:right w:val="nil"/>
            </w:tcBorders>
            <w:shd w:val="clear" w:color="auto" w:fill="auto"/>
            <w:noWrap/>
            <w:vAlign w:val="center"/>
          </w:tcPr>
          <w:p w14:paraId="57E986FF">
            <w:pPr>
              <w:jc w:val="left"/>
              <w:rPr>
                <w:rFonts w:hint="eastAsia" w:asciiTheme="minorEastAsia" w:hAnsiTheme="minorEastAsia" w:eastAsiaTheme="minorEastAsia" w:cstheme="minorEastAsia"/>
                <w:color w:val="000000"/>
                <w:sz w:val="22"/>
                <w:szCs w:val="22"/>
              </w:rPr>
            </w:pPr>
          </w:p>
        </w:tc>
        <w:tc>
          <w:tcPr>
            <w:tcW w:w="1459" w:type="dxa"/>
            <w:tcBorders>
              <w:top w:val="nil"/>
              <w:left w:val="nil"/>
              <w:bottom w:val="nil"/>
              <w:right w:val="nil"/>
            </w:tcBorders>
            <w:shd w:val="clear" w:color="auto" w:fill="auto"/>
            <w:noWrap/>
            <w:vAlign w:val="center"/>
          </w:tcPr>
          <w:p w14:paraId="34ECC286">
            <w:pPr>
              <w:jc w:val="center"/>
              <w:rPr>
                <w:rFonts w:hint="eastAsia" w:asciiTheme="minorEastAsia" w:hAnsiTheme="minorEastAsia" w:eastAsiaTheme="minorEastAsia" w:cstheme="minorEastAsia"/>
                <w:color w:val="000000"/>
                <w:sz w:val="22"/>
                <w:szCs w:val="22"/>
              </w:rPr>
            </w:pPr>
          </w:p>
        </w:tc>
        <w:tc>
          <w:tcPr>
            <w:tcW w:w="1282" w:type="dxa"/>
            <w:tcBorders>
              <w:top w:val="nil"/>
              <w:left w:val="nil"/>
              <w:bottom w:val="nil"/>
              <w:right w:val="nil"/>
            </w:tcBorders>
            <w:shd w:val="clear" w:color="auto" w:fill="auto"/>
            <w:noWrap/>
            <w:vAlign w:val="center"/>
          </w:tcPr>
          <w:p w14:paraId="79EF5901">
            <w:pPr>
              <w:jc w:val="center"/>
              <w:rPr>
                <w:rFonts w:hint="eastAsia" w:asciiTheme="minorEastAsia" w:hAnsiTheme="minorEastAsia" w:eastAsiaTheme="minorEastAsia" w:cstheme="minorEastAsia"/>
                <w:color w:val="000000"/>
                <w:sz w:val="22"/>
                <w:szCs w:val="22"/>
              </w:rPr>
            </w:pPr>
          </w:p>
        </w:tc>
        <w:tc>
          <w:tcPr>
            <w:tcW w:w="1241" w:type="dxa"/>
            <w:tcBorders>
              <w:top w:val="nil"/>
              <w:left w:val="nil"/>
              <w:bottom w:val="nil"/>
              <w:right w:val="nil"/>
            </w:tcBorders>
            <w:shd w:val="clear" w:color="auto" w:fill="auto"/>
            <w:noWrap/>
            <w:vAlign w:val="center"/>
          </w:tcPr>
          <w:p w14:paraId="6E3682C2">
            <w:pPr>
              <w:jc w:val="center"/>
              <w:rPr>
                <w:rFonts w:hint="eastAsia" w:asciiTheme="minorEastAsia" w:hAnsiTheme="minorEastAsia" w:eastAsiaTheme="minorEastAsia" w:cstheme="minorEastAsia"/>
                <w:color w:val="000000"/>
                <w:sz w:val="22"/>
                <w:szCs w:val="22"/>
              </w:rPr>
            </w:pPr>
          </w:p>
        </w:tc>
        <w:tc>
          <w:tcPr>
            <w:tcW w:w="1118" w:type="dxa"/>
            <w:tcBorders>
              <w:top w:val="nil"/>
              <w:left w:val="nil"/>
              <w:bottom w:val="nil"/>
              <w:right w:val="nil"/>
            </w:tcBorders>
            <w:shd w:val="clear" w:color="auto" w:fill="auto"/>
            <w:noWrap/>
            <w:vAlign w:val="center"/>
          </w:tcPr>
          <w:p w14:paraId="3C432F02">
            <w:pPr>
              <w:jc w:val="center"/>
              <w:rPr>
                <w:rFonts w:hint="eastAsia" w:asciiTheme="minorEastAsia" w:hAnsiTheme="minorEastAsia" w:eastAsiaTheme="minorEastAsia" w:cstheme="minorEastAsia"/>
                <w:color w:val="000000"/>
                <w:sz w:val="22"/>
                <w:szCs w:val="22"/>
              </w:rPr>
            </w:pPr>
          </w:p>
        </w:tc>
      </w:tr>
      <w:tr w14:paraId="03B788A7">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4AA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04B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S5110交换机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D49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E64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8B6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1B06">
            <w:pPr>
              <w:jc w:val="center"/>
              <w:rPr>
                <w:rFonts w:hint="eastAsia" w:asciiTheme="minorEastAsia" w:hAnsiTheme="minorEastAsia" w:eastAsiaTheme="minorEastAsia" w:cstheme="minorEastAsia"/>
                <w:color w:val="000000"/>
                <w:sz w:val="22"/>
                <w:szCs w:val="22"/>
              </w:rPr>
            </w:pPr>
          </w:p>
        </w:tc>
      </w:tr>
      <w:tr w14:paraId="33B9598E">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2F7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601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S1008A</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4D7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927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B17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AC8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车道交换机</w:t>
            </w:r>
          </w:p>
        </w:tc>
      </w:tr>
      <w:tr w14:paraId="06882E74">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791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大华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809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DH-S3000C-8GT</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E58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FB0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21F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0C8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交换机5#、6#</w:t>
            </w:r>
          </w:p>
        </w:tc>
      </w:tr>
      <w:tr w14:paraId="6EDCDC55">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D89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9EB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大球机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BD5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63F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88E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广场摄像头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9F6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进出口内外广场</w:t>
            </w:r>
          </w:p>
        </w:tc>
      </w:tr>
      <w:tr w14:paraId="18CF3F98">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8A8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爱特斯</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912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MC240L 雾灯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EBD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885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D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各车道岛头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F2C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雾灯</w:t>
            </w:r>
          </w:p>
        </w:tc>
      </w:tr>
      <w:tr w14:paraId="4D92CE03">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5D6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C7D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顶棚车道指示灯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01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DF4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0D8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各车道顶棚</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5F2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前后各一</w:t>
            </w:r>
          </w:p>
        </w:tc>
      </w:tr>
      <w:tr w14:paraId="6353798C">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175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4A2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92B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4AD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2ED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车道岛头上方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90D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上方屏</w:t>
            </w:r>
          </w:p>
        </w:tc>
      </w:tr>
      <w:tr w14:paraId="48742B58">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CA0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292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B8F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44E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5C5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车道岛头上方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2F5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上方屏</w:t>
            </w:r>
          </w:p>
        </w:tc>
      </w:tr>
      <w:tr w14:paraId="10BB7679">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A9C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3D3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G2-RSU4411 ETC天线+控制器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4AF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524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587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车道上方、亭内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A66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ETC天线</w:t>
            </w:r>
          </w:p>
        </w:tc>
      </w:tr>
      <w:tr w14:paraId="6CD96411">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AF6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41F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G2-RSU4411 ETC天线+控制器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0BF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A0D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7FB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车道上方、亭内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764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ETC天线</w:t>
            </w:r>
          </w:p>
        </w:tc>
      </w:tr>
      <w:tr w14:paraId="423E42F2">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D2D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727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G2-A ETC天线+控制器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37A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647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496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车道上方、亭内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9BA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ETC天线</w:t>
            </w:r>
          </w:p>
        </w:tc>
      </w:tr>
      <w:tr w14:paraId="7F5CBCA4">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049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39E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TZ-FX-D192X96</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CC6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468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DBC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岗亭前方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106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ETC综合费显</w:t>
            </w:r>
          </w:p>
        </w:tc>
      </w:tr>
      <w:tr w14:paraId="637C3EAD">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EA7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DAF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KY-P10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CF0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7B4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672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岗亭前方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0F8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ETC综合费显</w:t>
            </w:r>
          </w:p>
        </w:tc>
      </w:tr>
      <w:tr w14:paraId="1D431F13">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592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F82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KY-ETC</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5CE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3CB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61A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岗亭后方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966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治超综合费显</w:t>
            </w:r>
          </w:p>
        </w:tc>
      </w:tr>
      <w:tr w14:paraId="346639C8">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E9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优创</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81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自助缴费车牌识别</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DD8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860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337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岗亭后方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DE4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自助缴费牌识</w:t>
            </w:r>
          </w:p>
        </w:tc>
      </w:tr>
      <w:tr w14:paraId="26963AE5">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832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信路威</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2C4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PCC200 车牌识别+补光灯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B4E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ED6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1AD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EAE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MTC牌识</w:t>
            </w:r>
          </w:p>
        </w:tc>
      </w:tr>
      <w:tr w14:paraId="77094CC6">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25A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信路威</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55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PCC300 车牌识别+补光灯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526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AD4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92C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D4E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MTC牌识</w:t>
            </w:r>
          </w:p>
        </w:tc>
      </w:tr>
      <w:tr w14:paraId="6EE9EE7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44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98D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ETC车牌识别+补光灯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A72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539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717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F4B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ETC牌识</w:t>
            </w:r>
          </w:p>
        </w:tc>
      </w:tr>
      <w:tr w14:paraId="4C5D9E1E">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368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910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DS-2CD4A24ZUV 车道录像</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CE0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E93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79B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2FE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车道录像</w:t>
            </w:r>
          </w:p>
        </w:tc>
      </w:tr>
      <w:tr w14:paraId="1AF38BF8">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CAE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D56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KYDFX-5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DA8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5E3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3BB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岗亭后方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F69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MTC费显</w:t>
            </w:r>
          </w:p>
        </w:tc>
      </w:tr>
      <w:tr w14:paraId="6C1C30BF">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7AC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8A9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MIC-7700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B77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5C2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A99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337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w:t>
            </w:r>
          </w:p>
        </w:tc>
      </w:tr>
      <w:tr w14:paraId="3D43E224">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0B6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EC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MIC-75M13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FB6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601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FD9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5C4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71#73#5#74#</w:t>
            </w:r>
          </w:p>
        </w:tc>
      </w:tr>
      <w:tr w14:paraId="521E888E">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4A8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感想</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19D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canopus-l</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718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29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A05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B6D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w:t>
            </w:r>
          </w:p>
        </w:tc>
      </w:tr>
      <w:tr w14:paraId="65948432">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899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AC0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ARK 3500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C0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B32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0A6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C0B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w:t>
            </w:r>
          </w:p>
        </w:tc>
      </w:tr>
      <w:tr w14:paraId="39FB8F1A">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704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D57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IPC 6608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29B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21C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F11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8CA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车道工控机(旧）</w:t>
            </w:r>
          </w:p>
        </w:tc>
      </w:tr>
      <w:tr w14:paraId="1E405913">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A75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AOC</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BF1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E952SM190LM0008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092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186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DFB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72A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r>
      <w:tr w14:paraId="3987E199">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FBE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Dell</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AA2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E17155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8C5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525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066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C69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r>
      <w:tr w14:paraId="5E0BAD85">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8F8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联想</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61C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T2014D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797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8FB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617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8B3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r>
      <w:tr w14:paraId="44B5F231">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C0C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621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iSpeedy-K2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F75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2BA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B94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D24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读卡器</w:t>
            </w:r>
          </w:p>
        </w:tc>
      </w:tr>
      <w:tr w14:paraId="633C3817">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1A1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D6F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iSpeedy-K2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A4F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518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30D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机房小房间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7EC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读卡器</w:t>
            </w:r>
          </w:p>
        </w:tc>
      </w:tr>
      <w:tr w14:paraId="7BE7470E">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BE6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F69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KY51D1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27D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278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ECA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28A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收费专用键盘</w:t>
            </w:r>
          </w:p>
        </w:tc>
      </w:tr>
      <w:tr w14:paraId="74BD9665">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E87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B56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SLE-903R（485）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76C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562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4BD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6FD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电明上方屏切换器</w:t>
            </w:r>
          </w:p>
        </w:tc>
      </w:tr>
      <w:tr w14:paraId="2FD67A52">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943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YUMDATTO</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78D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YD-511D-A</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C9E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299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3FB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988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科野上方屏切换器</w:t>
            </w:r>
          </w:p>
        </w:tc>
      </w:tr>
      <w:tr w14:paraId="4F7FAF97">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637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ZEBEX</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D27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Z-3172GHD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ABB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7EA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86D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D7B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移动支付扫码枪</w:t>
            </w:r>
          </w:p>
        </w:tc>
      </w:tr>
      <w:tr w14:paraId="552F611A">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0B3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汉鼎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5B9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HD-OBURD300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115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195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A19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74F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ETC手持机</w:t>
            </w:r>
          </w:p>
        </w:tc>
      </w:tr>
      <w:tr w14:paraId="14746A3A">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61F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CDB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亭内球机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0FA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F3E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98E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岗亭操作台上方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4B9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亭内录像</w:t>
            </w:r>
          </w:p>
        </w:tc>
      </w:tr>
      <w:tr w14:paraId="64FFC5E9">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02A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4A0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IDS-TCV300-MJ</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09C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986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565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368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治超</w:t>
            </w:r>
          </w:p>
        </w:tc>
      </w:tr>
      <w:tr w14:paraId="27AB2A7D">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78E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特微</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EA8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TR-200-T 车道智能支付终端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DD8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F6E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EA7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岗亭外侧面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C78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移动支付壁挂</w:t>
            </w:r>
          </w:p>
        </w:tc>
      </w:tr>
      <w:tr w14:paraId="32B6081D">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D526">
            <w:pPr>
              <w:jc w:val="center"/>
              <w:rPr>
                <w:rFonts w:hint="eastAsia" w:asciiTheme="minorEastAsia" w:hAnsiTheme="minorEastAsia" w:eastAsiaTheme="minorEastAsia" w:cstheme="minorEastAsia"/>
                <w:color w:val="000000"/>
                <w:sz w:val="22"/>
                <w:szCs w:val="22"/>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078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拾音器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395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69F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EF4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岗亭台板下墙面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F42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录音</w:t>
            </w:r>
          </w:p>
        </w:tc>
      </w:tr>
      <w:tr w14:paraId="3FEA57A8">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08F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C4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IPC-6608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2B9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106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497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2#4#6#3#亭内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3DA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旧工控机</w:t>
            </w:r>
          </w:p>
        </w:tc>
      </w:tr>
      <w:tr w14:paraId="34EF99DE">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AB0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69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IPC-6608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BEA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D5B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D1C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会议室1、仓库3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770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旧工控机</w:t>
            </w:r>
          </w:p>
        </w:tc>
      </w:tr>
      <w:tr w14:paraId="5A5154CB">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AE5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得实</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3D0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5300Z</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389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C70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164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E32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打印机</w:t>
            </w:r>
          </w:p>
        </w:tc>
      </w:tr>
      <w:tr w14:paraId="7F6A70A4">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DDF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华天成</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2DFE">
            <w:pPr>
              <w:jc w:val="left"/>
              <w:rPr>
                <w:rFonts w:hint="eastAsia" w:asciiTheme="minorEastAsia" w:hAnsiTheme="minorEastAsia" w:eastAsiaTheme="minorEastAsia" w:cstheme="minorEastAsia"/>
                <w:color w:val="000000"/>
                <w:sz w:val="22"/>
                <w:szCs w:val="22"/>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140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526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E44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nil"/>
            </w:tcBorders>
            <w:shd w:val="clear" w:color="auto" w:fill="auto"/>
            <w:noWrap/>
            <w:vAlign w:val="center"/>
          </w:tcPr>
          <w:p w14:paraId="2AEA73D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对讲机</w:t>
            </w:r>
          </w:p>
        </w:tc>
      </w:tr>
      <w:tr w14:paraId="6D36E81C">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nil"/>
              <w:right w:val="single" w:color="000000" w:sz="4" w:space="0"/>
            </w:tcBorders>
            <w:shd w:val="clear" w:color="auto" w:fill="auto"/>
            <w:noWrap/>
            <w:vAlign w:val="center"/>
          </w:tcPr>
          <w:p w14:paraId="3170419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华天成</w:t>
            </w:r>
          </w:p>
        </w:tc>
        <w:tc>
          <w:tcPr>
            <w:tcW w:w="1674" w:type="dxa"/>
            <w:tcBorders>
              <w:top w:val="single" w:color="000000" w:sz="4" w:space="0"/>
              <w:left w:val="single" w:color="000000" w:sz="4" w:space="0"/>
              <w:bottom w:val="nil"/>
              <w:right w:val="single" w:color="000000" w:sz="4" w:space="0"/>
            </w:tcBorders>
            <w:shd w:val="clear" w:color="auto" w:fill="auto"/>
            <w:noWrap/>
            <w:vAlign w:val="center"/>
          </w:tcPr>
          <w:p w14:paraId="3A91C53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HNAB-111GW/2G-20</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14:paraId="05482DD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nil"/>
              <w:right w:val="single" w:color="000000" w:sz="4" w:space="0"/>
            </w:tcBorders>
            <w:shd w:val="clear" w:color="auto" w:fill="auto"/>
            <w:noWrap/>
            <w:vAlign w:val="center"/>
          </w:tcPr>
          <w:p w14:paraId="3D128C6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nil"/>
              <w:right w:val="single" w:color="000000" w:sz="4" w:space="0"/>
            </w:tcBorders>
            <w:shd w:val="clear" w:color="auto" w:fill="auto"/>
            <w:noWrap/>
            <w:vAlign w:val="center"/>
          </w:tcPr>
          <w:p w14:paraId="0BA157B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车道机柜</w:t>
            </w:r>
          </w:p>
        </w:tc>
        <w:tc>
          <w:tcPr>
            <w:tcW w:w="1118" w:type="dxa"/>
            <w:tcBorders>
              <w:top w:val="single" w:color="000000" w:sz="4" w:space="0"/>
              <w:left w:val="single" w:color="000000" w:sz="4" w:space="0"/>
              <w:bottom w:val="nil"/>
              <w:right w:val="single" w:color="000000" w:sz="4" w:space="0"/>
            </w:tcBorders>
            <w:shd w:val="clear" w:color="auto" w:fill="auto"/>
            <w:noWrap/>
            <w:vAlign w:val="center"/>
          </w:tcPr>
          <w:p w14:paraId="47ADAF9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对讲交换机</w:t>
            </w:r>
          </w:p>
        </w:tc>
      </w:tr>
      <w:tr w14:paraId="5B1E5C21">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nil"/>
              <w:right w:val="single" w:color="000000" w:sz="4" w:space="0"/>
            </w:tcBorders>
            <w:shd w:val="clear" w:color="auto" w:fill="auto"/>
            <w:noWrap/>
            <w:vAlign w:val="center"/>
          </w:tcPr>
          <w:p w14:paraId="6E735E5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恒富威</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76F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 MAG-25</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14:paraId="629CAF1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2套</w:t>
            </w:r>
          </w:p>
        </w:tc>
        <w:tc>
          <w:tcPr>
            <w:tcW w:w="1282" w:type="dxa"/>
            <w:tcBorders>
              <w:top w:val="single" w:color="000000" w:sz="4" w:space="0"/>
              <w:left w:val="single" w:color="000000" w:sz="4" w:space="0"/>
              <w:bottom w:val="nil"/>
              <w:right w:val="single" w:color="000000" w:sz="4" w:space="0"/>
            </w:tcBorders>
            <w:shd w:val="clear" w:color="auto" w:fill="auto"/>
            <w:noWrap/>
            <w:vAlign w:val="center"/>
          </w:tcPr>
          <w:p w14:paraId="2FF5BD6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nil"/>
              <w:right w:val="single" w:color="000000" w:sz="4" w:space="0"/>
            </w:tcBorders>
            <w:shd w:val="clear" w:color="auto" w:fill="auto"/>
            <w:noWrap/>
            <w:vAlign w:val="center"/>
          </w:tcPr>
          <w:p w14:paraId="016FED2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nil"/>
              <w:right w:val="single" w:color="000000" w:sz="4" w:space="0"/>
            </w:tcBorders>
            <w:shd w:val="clear" w:color="auto" w:fill="auto"/>
            <w:noWrap/>
            <w:vAlign w:val="center"/>
          </w:tcPr>
          <w:p w14:paraId="3DEA287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2#4#栏杆机</w:t>
            </w:r>
          </w:p>
        </w:tc>
      </w:tr>
      <w:tr w14:paraId="0B8909DD">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449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AS</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3BB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37B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353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33A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822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12#1#栏杆机</w:t>
            </w:r>
          </w:p>
        </w:tc>
      </w:tr>
      <w:tr w14:paraId="27851D36">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0D0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595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9D3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4B0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FAE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41B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6#8#10#3#栏杆机</w:t>
            </w:r>
          </w:p>
        </w:tc>
      </w:tr>
      <w:tr w14:paraId="762C2872">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nil"/>
              <w:right w:val="single" w:color="000000" w:sz="4" w:space="0"/>
            </w:tcBorders>
            <w:shd w:val="clear" w:color="auto" w:fill="auto"/>
            <w:noWrap/>
            <w:vAlign w:val="center"/>
          </w:tcPr>
          <w:p w14:paraId="38BE686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1674" w:type="dxa"/>
            <w:tcBorders>
              <w:top w:val="single" w:color="000000" w:sz="4" w:space="0"/>
              <w:left w:val="single" w:color="000000" w:sz="4" w:space="0"/>
              <w:bottom w:val="nil"/>
              <w:right w:val="single" w:color="000000" w:sz="4" w:space="0"/>
            </w:tcBorders>
            <w:shd w:val="clear" w:color="auto" w:fill="auto"/>
            <w:noWrap/>
            <w:vAlign w:val="center"/>
          </w:tcPr>
          <w:p w14:paraId="7BB7EB5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14:paraId="59CC641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nil"/>
              <w:right w:val="single" w:color="000000" w:sz="4" w:space="0"/>
            </w:tcBorders>
            <w:shd w:val="clear" w:color="auto" w:fill="auto"/>
            <w:noWrap/>
            <w:vAlign w:val="center"/>
          </w:tcPr>
          <w:p w14:paraId="1128870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nil"/>
              <w:right w:val="single" w:color="000000" w:sz="4" w:space="0"/>
            </w:tcBorders>
            <w:shd w:val="clear" w:color="auto" w:fill="auto"/>
            <w:noWrap/>
            <w:vAlign w:val="center"/>
          </w:tcPr>
          <w:p w14:paraId="5AD09B4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nil"/>
              <w:right w:val="single" w:color="000000" w:sz="4" w:space="0"/>
            </w:tcBorders>
            <w:shd w:val="clear" w:color="auto" w:fill="auto"/>
            <w:noWrap/>
            <w:vAlign w:val="center"/>
          </w:tcPr>
          <w:p w14:paraId="0FE242D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5#栏杆机 主机</w:t>
            </w:r>
          </w:p>
        </w:tc>
      </w:tr>
      <w:tr w14:paraId="270DE63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898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AS</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2AC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F91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333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680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B4B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5#栏杆机 副机</w:t>
            </w:r>
          </w:p>
        </w:tc>
      </w:tr>
      <w:tr w14:paraId="59D779E5">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962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4FE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 GZJ1200-19AR</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F13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898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8D0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6F8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16#栏杆机</w:t>
            </w:r>
          </w:p>
        </w:tc>
      </w:tr>
      <w:tr w14:paraId="4882ACBC">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21D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A17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 GZJ1200-19AR</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888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A0A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DE1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C22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14#栏杆机</w:t>
            </w:r>
          </w:p>
        </w:tc>
      </w:tr>
      <w:tr w14:paraId="0179A19F">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7C4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四方</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147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ZDG-60-DZ</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4DE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AE7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037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C0B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5#地磅</w:t>
            </w:r>
          </w:p>
        </w:tc>
      </w:tr>
      <w:tr w14:paraId="02F7DCC5">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F74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四方</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203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ZDG-61-DZ</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662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01E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B2E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A29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16#地磅</w:t>
            </w:r>
          </w:p>
        </w:tc>
      </w:tr>
      <w:tr w14:paraId="307200A5">
        <w:tblPrEx>
          <w:tblCellMar>
            <w:top w:w="0" w:type="dxa"/>
            <w:left w:w="108" w:type="dxa"/>
            <w:bottom w:w="0" w:type="dxa"/>
            <w:right w:w="108" w:type="dxa"/>
          </w:tblCellMar>
        </w:tblPrEx>
        <w:trPr>
          <w:trHeight w:val="420" w:hRule="atLeast"/>
        </w:trPr>
        <w:tc>
          <w:tcPr>
            <w:tcW w:w="2315" w:type="dxa"/>
            <w:tcBorders>
              <w:top w:val="nil"/>
              <w:left w:val="nil"/>
              <w:bottom w:val="nil"/>
              <w:right w:val="nil"/>
            </w:tcBorders>
            <w:shd w:val="clear" w:color="auto" w:fill="auto"/>
            <w:noWrap/>
            <w:vAlign w:val="center"/>
          </w:tcPr>
          <w:p w14:paraId="79DD177A">
            <w:pPr>
              <w:jc w:val="center"/>
              <w:rPr>
                <w:rFonts w:hint="eastAsia" w:asciiTheme="minorEastAsia" w:hAnsiTheme="minorEastAsia" w:eastAsiaTheme="minorEastAsia" w:cstheme="minorEastAsia"/>
                <w:color w:val="000000"/>
                <w:sz w:val="28"/>
                <w:szCs w:val="28"/>
              </w:rPr>
            </w:pPr>
          </w:p>
        </w:tc>
        <w:tc>
          <w:tcPr>
            <w:tcW w:w="1674" w:type="dxa"/>
            <w:tcBorders>
              <w:top w:val="nil"/>
              <w:left w:val="nil"/>
              <w:bottom w:val="nil"/>
              <w:right w:val="nil"/>
            </w:tcBorders>
            <w:shd w:val="clear" w:color="auto" w:fill="auto"/>
            <w:noWrap/>
            <w:vAlign w:val="center"/>
          </w:tcPr>
          <w:p w14:paraId="31DAA014">
            <w:pPr>
              <w:jc w:val="center"/>
              <w:rPr>
                <w:rFonts w:hint="eastAsia" w:asciiTheme="minorEastAsia" w:hAnsiTheme="minorEastAsia" w:eastAsiaTheme="minorEastAsia" w:cstheme="minorEastAsia"/>
                <w:color w:val="000000"/>
                <w:sz w:val="28"/>
                <w:szCs w:val="28"/>
              </w:rPr>
            </w:pPr>
          </w:p>
        </w:tc>
        <w:tc>
          <w:tcPr>
            <w:tcW w:w="1459" w:type="dxa"/>
            <w:tcBorders>
              <w:top w:val="nil"/>
              <w:left w:val="nil"/>
              <w:bottom w:val="nil"/>
              <w:right w:val="nil"/>
            </w:tcBorders>
            <w:shd w:val="clear" w:color="auto" w:fill="auto"/>
            <w:noWrap/>
            <w:vAlign w:val="center"/>
          </w:tcPr>
          <w:p w14:paraId="2B3BFA4E">
            <w:pPr>
              <w:jc w:val="center"/>
              <w:rPr>
                <w:rFonts w:hint="eastAsia" w:asciiTheme="minorEastAsia" w:hAnsiTheme="minorEastAsia" w:eastAsiaTheme="minorEastAsia" w:cstheme="minorEastAsia"/>
                <w:color w:val="000000"/>
                <w:sz w:val="28"/>
                <w:szCs w:val="28"/>
              </w:rPr>
            </w:pPr>
          </w:p>
        </w:tc>
        <w:tc>
          <w:tcPr>
            <w:tcW w:w="1282" w:type="dxa"/>
            <w:tcBorders>
              <w:top w:val="nil"/>
              <w:left w:val="nil"/>
              <w:bottom w:val="nil"/>
              <w:right w:val="nil"/>
            </w:tcBorders>
            <w:shd w:val="clear" w:color="auto" w:fill="auto"/>
            <w:noWrap/>
            <w:vAlign w:val="center"/>
          </w:tcPr>
          <w:p w14:paraId="36FE5069">
            <w:pPr>
              <w:jc w:val="center"/>
              <w:rPr>
                <w:rFonts w:hint="eastAsia" w:asciiTheme="minorEastAsia" w:hAnsiTheme="minorEastAsia" w:eastAsiaTheme="minorEastAsia" w:cstheme="minorEastAsia"/>
                <w:color w:val="000000"/>
                <w:sz w:val="28"/>
                <w:szCs w:val="28"/>
              </w:rPr>
            </w:pPr>
          </w:p>
        </w:tc>
        <w:tc>
          <w:tcPr>
            <w:tcW w:w="1241" w:type="dxa"/>
            <w:tcBorders>
              <w:top w:val="nil"/>
              <w:left w:val="nil"/>
              <w:bottom w:val="nil"/>
              <w:right w:val="nil"/>
            </w:tcBorders>
            <w:shd w:val="clear" w:color="auto" w:fill="auto"/>
            <w:noWrap/>
            <w:vAlign w:val="center"/>
          </w:tcPr>
          <w:p w14:paraId="555FB053">
            <w:pPr>
              <w:jc w:val="center"/>
              <w:rPr>
                <w:rFonts w:hint="eastAsia" w:asciiTheme="minorEastAsia" w:hAnsiTheme="minorEastAsia" w:eastAsiaTheme="minorEastAsia" w:cstheme="minorEastAsia"/>
                <w:color w:val="000000"/>
                <w:sz w:val="28"/>
                <w:szCs w:val="28"/>
              </w:rPr>
            </w:pPr>
          </w:p>
        </w:tc>
        <w:tc>
          <w:tcPr>
            <w:tcW w:w="1118" w:type="dxa"/>
            <w:tcBorders>
              <w:top w:val="nil"/>
              <w:left w:val="nil"/>
              <w:bottom w:val="nil"/>
              <w:right w:val="nil"/>
            </w:tcBorders>
            <w:shd w:val="clear" w:color="auto" w:fill="auto"/>
            <w:noWrap/>
            <w:vAlign w:val="center"/>
          </w:tcPr>
          <w:p w14:paraId="52FC345F">
            <w:pPr>
              <w:jc w:val="center"/>
              <w:rPr>
                <w:rFonts w:hint="eastAsia" w:asciiTheme="minorEastAsia" w:hAnsiTheme="minorEastAsia" w:eastAsiaTheme="minorEastAsia" w:cstheme="minorEastAsia"/>
                <w:color w:val="000000"/>
                <w:sz w:val="28"/>
                <w:szCs w:val="28"/>
              </w:rPr>
            </w:pPr>
          </w:p>
        </w:tc>
      </w:tr>
      <w:tr w14:paraId="25F6A439">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958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4E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DS-8632N-K8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C06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932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C68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1-33U</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87E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硬盘录像机</w:t>
            </w:r>
          </w:p>
        </w:tc>
      </w:tr>
      <w:tr w14:paraId="6C3FC61A">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DE4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F1E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DF2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962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BAC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1-24U</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1EE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监控交换机</w:t>
            </w:r>
          </w:p>
        </w:tc>
      </w:tr>
      <w:tr w14:paraId="280415D9">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B2E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31A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45B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F90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DF5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1-22U</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464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收费交换机</w:t>
            </w:r>
          </w:p>
        </w:tc>
      </w:tr>
      <w:tr w14:paraId="31E2337C">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F4C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华为</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6D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S5710-28C-EI</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4CC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C8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41B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1-18U</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F1B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 10段</w:t>
            </w:r>
          </w:p>
        </w:tc>
      </w:tr>
      <w:tr w14:paraId="2C7753E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E2B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迪普</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F83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VPN1000-GS-E</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4F1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2D2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038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1-16U</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641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 33段</w:t>
            </w:r>
          </w:p>
        </w:tc>
      </w:tr>
      <w:tr w14:paraId="5991647A">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79B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联想</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23F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SR550 计重治超服务器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B2E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7C3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1ED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2-38U</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8FB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治超服务器</w:t>
            </w:r>
          </w:p>
        </w:tc>
      </w:tr>
      <w:tr w14:paraId="31CF42D7">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85F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浪潮</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594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NF5280M5 服务器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DF0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AD3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C80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2-26U</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9A3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计费服务器</w:t>
            </w:r>
          </w:p>
        </w:tc>
      </w:tr>
      <w:tr w14:paraId="0DCE82DB">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0C8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138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DS-96128N-124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E72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C8B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FC0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2-22U</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73B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硬盘录像机</w:t>
            </w:r>
          </w:p>
        </w:tc>
      </w:tr>
      <w:tr w14:paraId="52E0495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C37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265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610L 通讯机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977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7AB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86D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2-19U</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D7D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通讯机</w:t>
            </w:r>
          </w:p>
        </w:tc>
      </w:tr>
      <w:tr w14:paraId="12DD74E6">
        <w:tblPrEx>
          <w:tblCellMar>
            <w:top w:w="0" w:type="dxa"/>
            <w:left w:w="108" w:type="dxa"/>
            <w:bottom w:w="0" w:type="dxa"/>
            <w:right w:w="108" w:type="dxa"/>
          </w:tblCellMar>
        </w:tblPrEx>
        <w:trPr>
          <w:trHeight w:val="420" w:hRule="atLeast"/>
        </w:trPr>
        <w:tc>
          <w:tcPr>
            <w:tcW w:w="2315" w:type="dxa"/>
            <w:tcBorders>
              <w:top w:val="nil"/>
              <w:left w:val="nil"/>
              <w:bottom w:val="nil"/>
              <w:right w:val="nil"/>
            </w:tcBorders>
            <w:shd w:val="clear" w:color="auto" w:fill="auto"/>
            <w:noWrap/>
            <w:vAlign w:val="center"/>
          </w:tcPr>
          <w:p w14:paraId="01695A7B">
            <w:pPr>
              <w:widowControl/>
              <w:jc w:val="left"/>
              <w:textAlignment w:val="center"/>
              <w:rPr>
                <w:rFonts w:hint="eastAsia" w:asciiTheme="minorEastAsia" w:hAnsiTheme="minorEastAsia" w:eastAsiaTheme="minorEastAsia" w:cstheme="minorEastAsia"/>
                <w:b/>
                <w:bCs/>
                <w:color w:val="0070C0"/>
                <w:sz w:val="24"/>
              </w:rPr>
            </w:pPr>
          </w:p>
        </w:tc>
        <w:tc>
          <w:tcPr>
            <w:tcW w:w="1674" w:type="dxa"/>
            <w:tcBorders>
              <w:top w:val="nil"/>
              <w:left w:val="nil"/>
              <w:bottom w:val="nil"/>
              <w:right w:val="nil"/>
            </w:tcBorders>
            <w:shd w:val="clear" w:color="auto" w:fill="auto"/>
            <w:noWrap/>
            <w:vAlign w:val="center"/>
          </w:tcPr>
          <w:p w14:paraId="41C0E10C">
            <w:pPr>
              <w:jc w:val="left"/>
              <w:rPr>
                <w:rFonts w:hint="eastAsia" w:asciiTheme="minorEastAsia" w:hAnsiTheme="minorEastAsia" w:eastAsiaTheme="minorEastAsia" w:cstheme="minorEastAsia"/>
                <w:b/>
                <w:bCs/>
                <w:color w:val="000000"/>
                <w:sz w:val="24"/>
              </w:rPr>
            </w:pPr>
          </w:p>
        </w:tc>
        <w:tc>
          <w:tcPr>
            <w:tcW w:w="1459" w:type="dxa"/>
            <w:tcBorders>
              <w:top w:val="nil"/>
              <w:left w:val="nil"/>
              <w:bottom w:val="nil"/>
              <w:right w:val="nil"/>
            </w:tcBorders>
            <w:shd w:val="clear" w:color="auto" w:fill="auto"/>
            <w:noWrap/>
            <w:vAlign w:val="center"/>
          </w:tcPr>
          <w:p w14:paraId="1F866453">
            <w:pPr>
              <w:jc w:val="right"/>
              <w:rPr>
                <w:rFonts w:hint="eastAsia" w:asciiTheme="minorEastAsia" w:hAnsiTheme="minorEastAsia" w:eastAsiaTheme="minorEastAsia" w:cstheme="minorEastAsia"/>
                <w:b/>
                <w:bCs/>
                <w:color w:val="000000"/>
                <w:sz w:val="24"/>
              </w:rPr>
            </w:pPr>
          </w:p>
        </w:tc>
        <w:tc>
          <w:tcPr>
            <w:tcW w:w="1282" w:type="dxa"/>
            <w:tcBorders>
              <w:top w:val="nil"/>
              <w:left w:val="nil"/>
              <w:bottom w:val="nil"/>
              <w:right w:val="nil"/>
            </w:tcBorders>
            <w:shd w:val="clear" w:color="auto" w:fill="auto"/>
            <w:noWrap/>
            <w:vAlign w:val="center"/>
          </w:tcPr>
          <w:p w14:paraId="01C396BA">
            <w:pPr>
              <w:jc w:val="right"/>
              <w:rPr>
                <w:rFonts w:hint="eastAsia" w:asciiTheme="minorEastAsia" w:hAnsiTheme="minorEastAsia" w:eastAsiaTheme="minorEastAsia" w:cstheme="minorEastAsia"/>
                <w:b/>
                <w:bCs/>
                <w:color w:val="000000"/>
                <w:sz w:val="24"/>
              </w:rPr>
            </w:pPr>
          </w:p>
        </w:tc>
        <w:tc>
          <w:tcPr>
            <w:tcW w:w="1241" w:type="dxa"/>
            <w:tcBorders>
              <w:top w:val="nil"/>
              <w:left w:val="nil"/>
              <w:bottom w:val="nil"/>
              <w:right w:val="nil"/>
            </w:tcBorders>
            <w:shd w:val="clear" w:color="auto" w:fill="auto"/>
            <w:noWrap/>
            <w:vAlign w:val="center"/>
          </w:tcPr>
          <w:p w14:paraId="477A177D">
            <w:pPr>
              <w:jc w:val="right"/>
              <w:rPr>
                <w:rFonts w:hint="eastAsia" w:asciiTheme="minorEastAsia" w:hAnsiTheme="minorEastAsia" w:eastAsiaTheme="minorEastAsia" w:cstheme="minorEastAsia"/>
                <w:b/>
                <w:bCs/>
                <w:color w:val="000000"/>
                <w:sz w:val="24"/>
              </w:rPr>
            </w:pPr>
          </w:p>
        </w:tc>
        <w:tc>
          <w:tcPr>
            <w:tcW w:w="1118" w:type="dxa"/>
            <w:tcBorders>
              <w:top w:val="nil"/>
              <w:left w:val="nil"/>
              <w:bottom w:val="nil"/>
              <w:right w:val="nil"/>
            </w:tcBorders>
            <w:shd w:val="clear" w:color="auto" w:fill="auto"/>
            <w:noWrap/>
            <w:vAlign w:val="center"/>
          </w:tcPr>
          <w:p w14:paraId="31E3FFEA">
            <w:pPr>
              <w:jc w:val="right"/>
              <w:rPr>
                <w:rFonts w:hint="eastAsia" w:asciiTheme="minorEastAsia" w:hAnsiTheme="minorEastAsia" w:eastAsiaTheme="minorEastAsia" w:cstheme="minorEastAsia"/>
                <w:b/>
                <w:bCs/>
                <w:color w:val="000000"/>
                <w:sz w:val="24"/>
              </w:rPr>
            </w:pPr>
          </w:p>
        </w:tc>
      </w:tr>
      <w:tr w14:paraId="4EFED7D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5A9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63A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S5110交换机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355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45F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9B0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3F0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w:t>
            </w:r>
          </w:p>
        </w:tc>
      </w:tr>
      <w:tr w14:paraId="59A7305C">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273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755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S1008A</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CC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D81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C25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60D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车道交换机</w:t>
            </w:r>
          </w:p>
        </w:tc>
      </w:tr>
      <w:tr w14:paraId="414C9BE5">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16D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大华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BCC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DH-S3000C-8GT</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FE6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BD6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32E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359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w:t>
            </w:r>
          </w:p>
        </w:tc>
      </w:tr>
      <w:tr w14:paraId="5A574B92">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7E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8F9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大球机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9B4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C8C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750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广场摄像头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554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进出口内外广场</w:t>
            </w:r>
          </w:p>
        </w:tc>
      </w:tr>
      <w:tr w14:paraId="5F2DF813">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F94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爱特斯</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FF7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MC240L 雾灯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8C6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637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FB6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各车道岛头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B8D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雾灯</w:t>
            </w:r>
          </w:p>
        </w:tc>
      </w:tr>
      <w:tr w14:paraId="4E814199">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DC0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AED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顶棚车道指示灯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8EC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0BB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483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各车道顶棚</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215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前后各一</w:t>
            </w:r>
          </w:p>
        </w:tc>
      </w:tr>
      <w:tr w14:paraId="400ABFC7">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594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082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7FF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E38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64E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车道岛头上方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4BE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上方屏</w:t>
            </w:r>
          </w:p>
        </w:tc>
      </w:tr>
      <w:tr w14:paraId="0A84B902">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18B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4C7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7AB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F0F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DA9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车道岛头上方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C3A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上方屏</w:t>
            </w:r>
          </w:p>
        </w:tc>
      </w:tr>
      <w:tr w14:paraId="16C29BD7">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456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C1A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KY-ETC</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0F1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916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61D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岗亭后方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D9E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治超综合费显</w:t>
            </w:r>
          </w:p>
        </w:tc>
      </w:tr>
      <w:tr w14:paraId="0B55D72F">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3DC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D23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G2-RSU4411 ETC天线+控制器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562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413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423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车道上方、亭内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DA1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ETC天线</w:t>
            </w:r>
          </w:p>
        </w:tc>
      </w:tr>
      <w:tr w14:paraId="07E87EF6">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D64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4D9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G2-RSU4411 ETC天线+控制器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428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9A2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755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车道上方、亭内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090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ETC天线</w:t>
            </w:r>
          </w:p>
        </w:tc>
      </w:tr>
      <w:tr w14:paraId="116C1979">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562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8F4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G2-A ETC天线+控制器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7B8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BBD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F49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车道上方、亭内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F10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ETC天线71#</w:t>
            </w:r>
          </w:p>
        </w:tc>
      </w:tr>
      <w:tr w14:paraId="4F972617">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E37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220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G2-A ETC天线</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194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44C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88E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坎山仓库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83A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ETC天线70#</w:t>
            </w:r>
          </w:p>
        </w:tc>
      </w:tr>
      <w:tr w14:paraId="45D4BCE5">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261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5D4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TZ-FX-D192X96</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280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018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D32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岗亭前方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8EB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ETC综合费显</w:t>
            </w:r>
          </w:p>
        </w:tc>
      </w:tr>
      <w:tr w14:paraId="1F95691C">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778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5E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KY-P10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CF6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002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97D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岗亭前方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DBC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ETC综合费显</w:t>
            </w:r>
          </w:p>
        </w:tc>
      </w:tr>
      <w:tr w14:paraId="73E3059B">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238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A90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KYDFX-5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CAE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242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18B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岗亭后方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7DB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MTC费显</w:t>
            </w:r>
          </w:p>
        </w:tc>
      </w:tr>
      <w:tr w14:paraId="0C51559B">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F38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信路威</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9BB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PCC200 车牌识别+补光灯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D09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F62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83C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122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MTC牌识</w:t>
            </w:r>
          </w:p>
        </w:tc>
      </w:tr>
      <w:tr w14:paraId="7635ED3A">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D8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信路威</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36A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PCC300 车牌识别+补光灯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982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26B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316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D35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MTC牌识</w:t>
            </w:r>
          </w:p>
        </w:tc>
      </w:tr>
      <w:tr w14:paraId="56E9FD3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C4E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BA7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ETC车牌识别+补光灯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239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BA4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597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BCE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ETC牌识</w:t>
            </w:r>
          </w:p>
        </w:tc>
      </w:tr>
      <w:tr w14:paraId="526AFBCD">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07F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177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DS-2CD4A24ZUV 车道录像</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8CD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DE5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8FB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FB2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车道录像</w:t>
            </w:r>
          </w:p>
        </w:tc>
      </w:tr>
      <w:tr w14:paraId="5B2E8367">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C70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61E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MIC-7700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D48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115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14D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297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w:t>
            </w:r>
          </w:p>
        </w:tc>
      </w:tr>
      <w:tr w14:paraId="72B5CDB5">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FED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感想</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E0E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canopus-l</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1E1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FF9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312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ABE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w:t>
            </w:r>
          </w:p>
        </w:tc>
      </w:tr>
      <w:tr w14:paraId="03DEAB43">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898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9B6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ARK 3500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30A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808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C3E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7C7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w:t>
            </w:r>
          </w:p>
        </w:tc>
      </w:tr>
      <w:tr w14:paraId="74048D1B">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EE8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爱特斯</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711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MC602 视频字符叠加器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D82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C38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376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8C6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视频字符叠加器</w:t>
            </w:r>
          </w:p>
        </w:tc>
      </w:tr>
      <w:tr w14:paraId="1ED27C65">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336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D42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iSpeedy-K2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BEF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2CE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917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B1B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读卡器</w:t>
            </w:r>
          </w:p>
        </w:tc>
      </w:tr>
      <w:tr w14:paraId="6EEFDEBC">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EA0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2FB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KY51D1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4E2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23B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968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5BF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收费专用键盘</w:t>
            </w:r>
          </w:p>
        </w:tc>
      </w:tr>
      <w:tr w14:paraId="04C27F11">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CCB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AIPHONE</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F44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NA-A</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398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234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FA7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60E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监控对讲客户端</w:t>
            </w:r>
          </w:p>
        </w:tc>
      </w:tr>
      <w:tr w14:paraId="03F5C0B6">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752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726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SLE-903R（485）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77F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02F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D62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7B8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电明上方屏切换器</w:t>
            </w:r>
          </w:p>
        </w:tc>
      </w:tr>
      <w:tr w14:paraId="41D37FEE">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A61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YUMDATTO</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6F8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YD-511D-A</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F1A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26D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3FD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730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科野上方屏切换器</w:t>
            </w:r>
          </w:p>
        </w:tc>
      </w:tr>
      <w:tr w14:paraId="10C9BE72">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AED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ZEBEX</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599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Z-3172GHD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884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4C9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D7D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C8D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移动支付扫码枪</w:t>
            </w:r>
          </w:p>
        </w:tc>
      </w:tr>
      <w:tr w14:paraId="48A243AB">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C2E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汉鼎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E73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HD-OBURD300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236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459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57C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1D2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ETC手持机</w:t>
            </w:r>
          </w:p>
        </w:tc>
      </w:tr>
      <w:tr w14:paraId="17FD3C9D">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EFC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74B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亭内球机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58E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956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4D3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岗亭操作台上方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A39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亭内录像</w:t>
            </w:r>
          </w:p>
        </w:tc>
      </w:tr>
      <w:tr w14:paraId="43070684">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1B9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特微</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5CE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TR-200-T 车道智能支付终端</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9C0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BD2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BB5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岗亭侧面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A0F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移动支付壁挂</w:t>
            </w:r>
          </w:p>
        </w:tc>
      </w:tr>
      <w:tr w14:paraId="2CD63FB8">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D269">
            <w:pPr>
              <w:jc w:val="center"/>
              <w:rPr>
                <w:rFonts w:hint="eastAsia" w:asciiTheme="minorEastAsia" w:hAnsiTheme="minorEastAsia" w:eastAsiaTheme="minorEastAsia" w:cstheme="minorEastAsia"/>
                <w:color w:val="000000"/>
                <w:sz w:val="22"/>
                <w:szCs w:val="22"/>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0BE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拾音器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0C8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B98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7C3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岗亭墙面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DDF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台板下窗台边</w:t>
            </w:r>
          </w:p>
        </w:tc>
      </w:tr>
      <w:tr w14:paraId="37D53D4D">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2F2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365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IPC-6608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CBB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8A0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A76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2#1#3#备用机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D09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旧工控机</w:t>
            </w:r>
          </w:p>
        </w:tc>
      </w:tr>
      <w:tr w14:paraId="0246CD81">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8F3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D51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IPC-6608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E8B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822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E05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会议室1、仓库2</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6E9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旧工控机</w:t>
            </w:r>
          </w:p>
        </w:tc>
      </w:tr>
      <w:tr w14:paraId="49D0E53D">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88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汇豪</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6CA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HHSCJ3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A66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44B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054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nil"/>
            </w:tcBorders>
            <w:shd w:val="clear" w:color="auto" w:fill="auto"/>
            <w:noWrap/>
            <w:vAlign w:val="center"/>
          </w:tcPr>
          <w:p w14:paraId="6E839AA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手持机出口</w:t>
            </w:r>
          </w:p>
        </w:tc>
      </w:tr>
      <w:tr w14:paraId="346B2F0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36A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得实</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177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5300Z</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A4B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1B4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7D5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207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打印机</w:t>
            </w:r>
          </w:p>
        </w:tc>
      </w:tr>
      <w:tr w14:paraId="2C03DD1A">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EEA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华天成</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C2AD">
            <w:pPr>
              <w:jc w:val="left"/>
              <w:rPr>
                <w:rFonts w:hint="eastAsia" w:asciiTheme="minorEastAsia" w:hAnsiTheme="minorEastAsia" w:eastAsiaTheme="minorEastAsia" w:cstheme="minorEastAsia"/>
                <w:color w:val="000000"/>
                <w:sz w:val="22"/>
                <w:szCs w:val="22"/>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2A1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58A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5C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118" w:type="dxa"/>
            <w:tcBorders>
              <w:top w:val="single" w:color="000000" w:sz="4" w:space="0"/>
              <w:left w:val="single" w:color="000000" w:sz="4" w:space="0"/>
              <w:bottom w:val="single" w:color="000000" w:sz="4" w:space="0"/>
              <w:right w:val="nil"/>
            </w:tcBorders>
            <w:shd w:val="clear" w:color="auto" w:fill="auto"/>
            <w:noWrap/>
            <w:vAlign w:val="center"/>
          </w:tcPr>
          <w:p w14:paraId="689B61C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对讲机</w:t>
            </w:r>
          </w:p>
        </w:tc>
      </w:tr>
      <w:tr w14:paraId="0E83E89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E9F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华天成</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7E9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HNAB-111GW/2G-20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6D7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8AE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B8D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车道机柜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63A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对讲交换机</w:t>
            </w:r>
          </w:p>
        </w:tc>
      </w:tr>
      <w:tr w14:paraId="18C95C8C">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A47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AS</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665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BE7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125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DE1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977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8#1#栏杆机</w:t>
            </w:r>
          </w:p>
        </w:tc>
      </w:tr>
      <w:tr w14:paraId="5C412A9E">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1AE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25E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07A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30A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F7A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364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2#4#6#3#栏杆机</w:t>
            </w:r>
          </w:p>
        </w:tc>
      </w:tr>
      <w:tr w14:paraId="5853F234">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CDA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933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FE5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4DC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C75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59D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5#栏杆机 主机</w:t>
            </w:r>
          </w:p>
        </w:tc>
      </w:tr>
      <w:tr w14:paraId="0E3AE724">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nil"/>
              <w:right w:val="single" w:color="000000" w:sz="4" w:space="0"/>
            </w:tcBorders>
            <w:shd w:val="clear" w:color="auto" w:fill="auto"/>
            <w:noWrap/>
            <w:vAlign w:val="center"/>
          </w:tcPr>
          <w:p w14:paraId="277FAD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AS</w:t>
            </w:r>
          </w:p>
        </w:tc>
        <w:tc>
          <w:tcPr>
            <w:tcW w:w="1674" w:type="dxa"/>
            <w:tcBorders>
              <w:top w:val="single" w:color="000000" w:sz="4" w:space="0"/>
              <w:left w:val="single" w:color="000000" w:sz="4" w:space="0"/>
              <w:bottom w:val="nil"/>
              <w:right w:val="single" w:color="000000" w:sz="4" w:space="0"/>
            </w:tcBorders>
            <w:shd w:val="clear" w:color="auto" w:fill="auto"/>
            <w:noWrap/>
            <w:vAlign w:val="center"/>
          </w:tcPr>
          <w:p w14:paraId="681F993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14:paraId="1F46326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nil"/>
              <w:right w:val="single" w:color="000000" w:sz="4" w:space="0"/>
            </w:tcBorders>
            <w:shd w:val="clear" w:color="auto" w:fill="auto"/>
            <w:noWrap/>
            <w:vAlign w:val="center"/>
          </w:tcPr>
          <w:p w14:paraId="6308FF5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nil"/>
              <w:right w:val="single" w:color="000000" w:sz="4" w:space="0"/>
            </w:tcBorders>
            <w:shd w:val="clear" w:color="auto" w:fill="auto"/>
            <w:noWrap/>
            <w:vAlign w:val="center"/>
          </w:tcPr>
          <w:p w14:paraId="6B39CAC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nil"/>
              <w:right w:val="single" w:color="000000" w:sz="4" w:space="0"/>
            </w:tcBorders>
            <w:shd w:val="clear" w:color="auto" w:fill="auto"/>
            <w:noWrap/>
            <w:vAlign w:val="center"/>
          </w:tcPr>
          <w:p w14:paraId="2326453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5#栏杆机 副机</w:t>
            </w:r>
          </w:p>
        </w:tc>
      </w:tr>
      <w:tr w14:paraId="41D60D51">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097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460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 GZJ1200-19AR</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DAB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FD6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CDC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2D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12#栏杆机</w:t>
            </w:r>
          </w:p>
        </w:tc>
      </w:tr>
      <w:tr w14:paraId="4367F561">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nil"/>
              <w:right w:val="single" w:color="000000" w:sz="4" w:space="0"/>
            </w:tcBorders>
            <w:shd w:val="clear" w:color="auto" w:fill="auto"/>
            <w:noWrap/>
            <w:vAlign w:val="center"/>
          </w:tcPr>
          <w:p w14:paraId="4BC9A6F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1674" w:type="dxa"/>
            <w:tcBorders>
              <w:top w:val="single" w:color="000000" w:sz="4" w:space="0"/>
              <w:left w:val="single" w:color="000000" w:sz="4" w:space="0"/>
              <w:bottom w:val="nil"/>
              <w:right w:val="single" w:color="000000" w:sz="4" w:space="0"/>
            </w:tcBorders>
            <w:shd w:val="clear" w:color="auto" w:fill="auto"/>
            <w:noWrap/>
            <w:vAlign w:val="center"/>
          </w:tcPr>
          <w:p w14:paraId="1217BAC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 GZJ1200-19AR</w:t>
            </w:r>
          </w:p>
        </w:tc>
        <w:tc>
          <w:tcPr>
            <w:tcW w:w="1459" w:type="dxa"/>
            <w:tcBorders>
              <w:top w:val="single" w:color="000000" w:sz="4" w:space="0"/>
              <w:left w:val="single" w:color="000000" w:sz="4" w:space="0"/>
              <w:bottom w:val="nil"/>
              <w:right w:val="single" w:color="000000" w:sz="4" w:space="0"/>
            </w:tcBorders>
            <w:shd w:val="clear" w:color="auto" w:fill="auto"/>
            <w:noWrap/>
            <w:vAlign w:val="center"/>
          </w:tcPr>
          <w:p w14:paraId="33647A9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nil"/>
              <w:right w:val="single" w:color="000000" w:sz="4" w:space="0"/>
            </w:tcBorders>
            <w:shd w:val="clear" w:color="auto" w:fill="auto"/>
            <w:noWrap/>
            <w:vAlign w:val="center"/>
          </w:tcPr>
          <w:p w14:paraId="30BF019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nil"/>
              <w:right w:val="single" w:color="000000" w:sz="4" w:space="0"/>
            </w:tcBorders>
            <w:shd w:val="clear" w:color="auto" w:fill="auto"/>
            <w:noWrap/>
            <w:vAlign w:val="center"/>
          </w:tcPr>
          <w:p w14:paraId="2AABD8F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nil"/>
              <w:right w:val="single" w:color="000000" w:sz="4" w:space="0"/>
            </w:tcBorders>
            <w:shd w:val="clear" w:color="auto" w:fill="auto"/>
            <w:noWrap/>
            <w:vAlign w:val="center"/>
          </w:tcPr>
          <w:p w14:paraId="1DAE510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10#栏杆机</w:t>
            </w:r>
          </w:p>
        </w:tc>
      </w:tr>
      <w:tr w14:paraId="18205D9B">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50A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四方</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A66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ZDG-60-DZ</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C2E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ABA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EA3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6E8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5#地磅</w:t>
            </w:r>
          </w:p>
        </w:tc>
      </w:tr>
      <w:tr w14:paraId="099B4B36">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C31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四方</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797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ZDG-61-DZ</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4BC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36C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605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A5B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12#地磅</w:t>
            </w:r>
          </w:p>
        </w:tc>
      </w:tr>
      <w:tr w14:paraId="1D1E2400">
        <w:tblPrEx>
          <w:tblCellMar>
            <w:top w:w="0" w:type="dxa"/>
            <w:left w:w="108" w:type="dxa"/>
            <w:bottom w:w="0" w:type="dxa"/>
            <w:right w:w="108" w:type="dxa"/>
          </w:tblCellMar>
        </w:tblPrEx>
        <w:trPr>
          <w:trHeight w:val="420"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FA4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87A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iDS-TCH500-HIK/HD</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EAC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134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B16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C7F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8#后置</w:t>
            </w:r>
          </w:p>
        </w:tc>
      </w:tr>
      <w:tr w14:paraId="30C20EBA">
        <w:tblPrEx>
          <w:tblCellMar>
            <w:top w:w="0" w:type="dxa"/>
            <w:left w:w="108" w:type="dxa"/>
            <w:bottom w:w="0" w:type="dxa"/>
            <w:right w:w="108" w:type="dxa"/>
          </w:tblCellMar>
        </w:tblPrEx>
        <w:trPr>
          <w:trHeight w:val="90" w:hRule="atLeast"/>
        </w:trPr>
        <w:tc>
          <w:tcPr>
            <w:tcW w:w="2315" w:type="dxa"/>
            <w:tcBorders>
              <w:top w:val="nil"/>
              <w:left w:val="nil"/>
              <w:bottom w:val="nil"/>
              <w:right w:val="nil"/>
            </w:tcBorders>
            <w:shd w:val="clear" w:color="auto" w:fill="auto"/>
            <w:noWrap/>
            <w:vAlign w:val="center"/>
          </w:tcPr>
          <w:p w14:paraId="2857E29A">
            <w:pPr>
              <w:jc w:val="center"/>
              <w:rPr>
                <w:rFonts w:hint="eastAsia" w:asciiTheme="minorEastAsia" w:hAnsiTheme="minorEastAsia" w:eastAsiaTheme="minorEastAsia" w:cstheme="minorEastAsia"/>
                <w:color w:val="000000"/>
                <w:sz w:val="22"/>
                <w:szCs w:val="22"/>
              </w:rPr>
            </w:pPr>
          </w:p>
        </w:tc>
        <w:tc>
          <w:tcPr>
            <w:tcW w:w="1674" w:type="dxa"/>
            <w:tcBorders>
              <w:top w:val="nil"/>
              <w:left w:val="nil"/>
              <w:bottom w:val="nil"/>
              <w:right w:val="nil"/>
            </w:tcBorders>
            <w:shd w:val="clear" w:color="auto" w:fill="auto"/>
            <w:noWrap/>
            <w:vAlign w:val="center"/>
          </w:tcPr>
          <w:p w14:paraId="4E9CF62D">
            <w:pPr>
              <w:jc w:val="left"/>
              <w:rPr>
                <w:rFonts w:hint="eastAsia" w:asciiTheme="minorEastAsia" w:hAnsiTheme="minorEastAsia" w:eastAsiaTheme="minorEastAsia" w:cstheme="minorEastAsia"/>
                <w:color w:val="000000"/>
                <w:sz w:val="22"/>
                <w:szCs w:val="22"/>
              </w:rPr>
            </w:pPr>
          </w:p>
        </w:tc>
        <w:tc>
          <w:tcPr>
            <w:tcW w:w="1459" w:type="dxa"/>
            <w:tcBorders>
              <w:top w:val="nil"/>
              <w:left w:val="nil"/>
              <w:bottom w:val="nil"/>
              <w:right w:val="nil"/>
            </w:tcBorders>
            <w:shd w:val="clear" w:color="auto" w:fill="auto"/>
            <w:noWrap/>
            <w:vAlign w:val="center"/>
          </w:tcPr>
          <w:p w14:paraId="769CFA14">
            <w:pPr>
              <w:jc w:val="center"/>
              <w:rPr>
                <w:rFonts w:hint="eastAsia" w:asciiTheme="minorEastAsia" w:hAnsiTheme="minorEastAsia" w:eastAsiaTheme="minorEastAsia" w:cstheme="minorEastAsia"/>
                <w:color w:val="000000"/>
                <w:sz w:val="22"/>
                <w:szCs w:val="22"/>
              </w:rPr>
            </w:pPr>
          </w:p>
        </w:tc>
        <w:tc>
          <w:tcPr>
            <w:tcW w:w="1282" w:type="dxa"/>
            <w:tcBorders>
              <w:top w:val="nil"/>
              <w:left w:val="nil"/>
              <w:bottom w:val="nil"/>
              <w:right w:val="nil"/>
            </w:tcBorders>
            <w:shd w:val="clear" w:color="auto" w:fill="auto"/>
            <w:noWrap/>
            <w:vAlign w:val="center"/>
          </w:tcPr>
          <w:p w14:paraId="7F32DA62">
            <w:pPr>
              <w:jc w:val="center"/>
              <w:rPr>
                <w:rFonts w:hint="eastAsia" w:asciiTheme="minorEastAsia" w:hAnsiTheme="minorEastAsia" w:eastAsiaTheme="minorEastAsia" w:cstheme="minorEastAsia"/>
                <w:color w:val="000000"/>
                <w:sz w:val="22"/>
                <w:szCs w:val="22"/>
              </w:rPr>
            </w:pPr>
          </w:p>
        </w:tc>
        <w:tc>
          <w:tcPr>
            <w:tcW w:w="1241" w:type="dxa"/>
            <w:tcBorders>
              <w:top w:val="nil"/>
              <w:left w:val="nil"/>
              <w:bottom w:val="nil"/>
              <w:right w:val="nil"/>
            </w:tcBorders>
            <w:shd w:val="clear" w:color="auto" w:fill="auto"/>
            <w:noWrap/>
            <w:vAlign w:val="center"/>
          </w:tcPr>
          <w:p w14:paraId="5CF0CB06">
            <w:pPr>
              <w:jc w:val="center"/>
              <w:rPr>
                <w:rFonts w:hint="eastAsia" w:asciiTheme="minorEastAsia" w:hAnsiTheme="minorEastAsia" w:eastAsiaTheme="minorEastAsia" w:cstheme="minorEastAsia"/>
                <w:color w:val="000000"/>
                <w:sz w:val="22"/>
                <w:szCs w:val="22"/>
              </w:rPr>
            </w:pPr>
          </w:p>
        </w:tc>
        <w:tc>
          <w:tcPr>
            <w:tcW w:w="1118" w:type="dxa"/>
            <w:tcBorders>
              <w:top w:val="nil"/>
              <w:left w:val="nil"/>
              <w:bottom w:val="nil"/>
              <w:right w:val="nil"/>
            </w:tcBorders>
            <w:shd w:val="clear" w:color="auto" w:fill="auto"/>
            <w:noWrap/>
            <w:vAlign w:val="center"/>
          </w:tcPr>
          <w:p w14:paraId="1CA994E6">
            <w:pPr>
              <w:jc w:val="center"/>
              <w:rPr>
                <w:rFonts w:hint="eastAsia" w:asciiTheme="minorEastAsia" w:hAnsiTheme="minorEastAsia" w:eastAsiaTheme="minorEastAsia" w:cstheme="minorEastAsia"/>
                <w:color w:val="000000"/>
                <w:sz w:val="22"/>
                <w:szCs w:val="22"/>
              </w:rPr>
            </w:pPr>
          </w:p>
        </w:tc>
      </w:tr>
    </w:tbl>
    <w:p w14:paraId="1FBBC0E0">
      <w:pPr>
        <w:pStyle w:val="23"/>
        <w:rPr>
          <w:rFonts w:hint="eastAsia" w:asciiTheme="minorEastAsia" w:hAnsiTheme="minorEastAsia" w:eastAsiaTheme="minorEastAsia" w:cstheme="minorEastAsia"/>
        </w:rPr>
      </w:pPr>
    </w:p>
    <w:tbl>
      <w:tblPr>
        <w:tblStyle w:val="62"/>
        <w:tblW w:w="9178" w:type="dxa"/>
        <w:tblInd w:w="93" w:type="dxa"/>
        <w:tblLayout w:type="fixed"/>
        <w:tblCellMar>
          <w:top w:w="0" w:type="dxa"/>
          <w:left w:w="108" w:type="dxa"/>
          <w:bottom w:w="0" w:type="dxa"/>
          <w:right w:w="108" w:type="dxa"/>
        </w:tblCellMar>
      </w:tblPr>
      <w:tblGrid>
        <w:gridCol w:w="1760"/>
        <w:gridCol w:w="2498"/>
        <w:gridCol w:w="990"/>
        <w:gridCol w:w="1095"/>
        <w:gridCol w:w="1500"/>
        <w:gridCol w:w="1335"/>
      </w:tblGrid>
      <w:tr w14:paraId="473AA42D">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19E9">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lang w:bidi="ar"/>
              </w:rPr>
              <w:t>品牌</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AC87">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lang w:bidi="ar"/>
              </w:rPr>
              <w:t>型号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8952">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lang w:bidi="ar"/>
              </w:rPr>
              <w:t>在用数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B857">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lang w:bidi="ar"/>
              </w:rPr>
              <w:t>备用数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9D82">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lang w:bidi="ar"/>
              </w:rPr>
              <w:t>位置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79C1">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lang w:bidi="ar"/>
              </w:rPr>
              <w:t>备注</w:t>
            </w:r>
          </w:p>
        </w:tc>
      </w:tr>
      <w:tr w14:paraId="3CD576E0">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1BA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微创</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BBB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语音光端机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44B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5BB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C55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车道机柜</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40955B1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主付站各2</w:t>
            </w:r>
          </w:p>
        </w:tc>
      </w:tr>
      <w:tr w14:paraId="10537561">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353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172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S5110交换机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334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FB8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961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车道机柜</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208458E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主付站各2</w:t>
            </w:r>
          </w:p>
        </w:tc>
      </w:tr>
      <w:tr w14:paraId="60DCEB0D">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CD72">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胜蓝</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8BF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SL400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799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B2C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7D9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车道机柜</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45A4DDC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主付站各2</w:t>
            </w:r>
          </w:p>
        </w:tc>
      </w:tr>
      <w:tr w14:paraId="0C83CD1E">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4C75">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胜蓝</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EC3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SL400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A6F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1E6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224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广场监控柱</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1508C53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主付站各2</w:t>
            </w:r>
          </w:p>
        </w:tc>
      </w:tr>
      <w:tr w14:paraId="0B9EE1A9">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B97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BB3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大球机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BEB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7A9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017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广场摄像头</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260E3F4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主付站前后广场</w:t>
            </w:r>
          </w:p>
        </w:tc>
      </w:tr>
      <w:tr w14:paraId="5EC9F226">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D9D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爱特斯</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4DC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MC240L 雾灯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2BE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128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2F9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各车道岛头</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0F1975D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雾灯</w:t>
            </w:r>
          </w:p>
        </w:tc>
      </w:tr>
      <w:tr w14:paraId="257F5448">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752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ED8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顶棚车道指示灯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D73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3E6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D9D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各车道顶棚</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70C7366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前后各一</w:t>
            </w:r>
          </w:p>
        </w:tc>
      </w:tr>
      <w:tr w14:paraId="03F9C160">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5D0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C14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KY-ETC</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155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76B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18F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岗亭前方</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30B3FCE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计重综合费显</w:t>
            </w:r>
          </w:p>
        </w:tc>
      </w:tr>
      <w:tr w14:paraId="05F380DC">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2DB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3F1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TZ-FX-D192X96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4AB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0D4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18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岗亭前方</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20D0D12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ETC综合费显</w:t>
            </w:r>
          </w:p>
        </w:tc>
      </w:tr>
      <w:tr w14:paraId="643A2D3D">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2F4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330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KYDFX-5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704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0F2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862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岗亭后方</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1763A19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MTC费显</w:t>
            </w:r>
          </w:p>
        </w:tc>
      </w:tr>
      <w:tr w14:paraId="675BE730">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56C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信路威</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CD0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PCC200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9E3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FE2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8F5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岗亭前方</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2DD88B1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ETC牌识+补光灯</w:t>
            </w:r>
          </w:p>
        </w:tc>
      </w:tr>
      <w:tr w14:paraId="56ECC981">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F86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信路威</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4FD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PCC200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EA8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48A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7DF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岗亭后方</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0A4D6A1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MTC牌识+补光灯</w:t>
            </w:r>
          </w:p>
        </w:tc>
      </w:tr>
      <w:tr w14:paraId="46491599">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341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研华</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B16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MIC-7700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1AA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6F2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257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463A512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w:t>
            </w:r>
          </w:p>
        </w:tc>
      </w:tr>
      <w:tr w14:paraId="24F05881">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57C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感想</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A59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canopus-l</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71F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18B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3EF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19DBEBC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车道工控机</w:t>
            </w:r>
          </w:p>
        </w:tc>
      </w:tr>
      <w:tr w14:paraId="3371A669">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1D5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H3C</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493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S1008A</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1FD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73C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2A9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4FD82E3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车道交换机</w:t>
            </w:r>
          </w:p>
        </w:tc>
      </w:tr>
      <w:tr w14:paraId="6FDAF9F8">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C6F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爱特斯</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9E4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MC602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860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510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3FB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岗亭机柜</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0AA4D06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视频字符叠加器</w:t>
            </w:r>
          </w:p>
        </w:tc>
      </w:tr>
      <w:tr w14:paraId="6057F4C9">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8C0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39A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iSpeedy-K2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2D6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07C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5A5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7FCFC22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读卡器</w:t>
            </w:r>
          </w:p>
        </w:tc>
      </w:tr>
      <w:tr w14:paraId="2B1563C2">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99D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7AC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KY51D1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95F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A3D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1B6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5590B24F">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收费专用键盘</w:t>
            </w:r>
          </w:p>
        </w:tc>
      </w:tr>
      <w:tr w14:paraId="69294644">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C1E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电明</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65C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SLE-903R（485）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59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39C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444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5F2352B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上方屏切换器</w:t>
            </w:r>
          </w:p>
        </w:tc>
      </w:tr>
      <w:tr w14:paraId="140F0224">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8E5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YUMDATTO</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B88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YD-511D-A</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2F4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393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DF7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4E5AFFA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上方屏切换器</w:t>
            </w:r>
          </w:p>
        </w:tc>
      </w:tr>
      <w:tr w14:paraId="18D00557">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C95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ZEBEX</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D32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Z-3172GHD</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D3D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BF9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9BF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3A2AD8E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移动支付扫码枪</w:t>
            </w:r>
          </w:p>
        </w:tc>
      </w:tr>
      <w:tr w14:paraId="793F178A">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91E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海康威视</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26B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球机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B4D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443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128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岗亭操作台上方</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2D5D8EE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亭内摄像头</w:t>
            </w:r>
          </w:p>
        </w:tc>
      </w:tr>
      <w:tr w14:paraId="083A8B15">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061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爱特斯</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5F7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MC16AK报警按钮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961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219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5B0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岗亭地板</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6FB184A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脚踏报警</w:t>
            </w:r>
          </w:p>
        </w:tc>
      </w:tr>
      <w:tr w14:paraId="67DCF9E1">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4FB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特微</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E3F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TR-200-T 车道智能支付终端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555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F56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E06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岗亭外侧面</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62BC2B7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移动支付壁挂</w:t>
            </w:r>
          </w:p>
        </w:tc>
      </w:tr>
      <w:tr w14:paraId="28E8DB31">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1D22">
            <w:pPr>
              <w:jc w:val="center"/>
              <w:rPr>
                <w:rFonts w:hint="eastAsia" w:asciiTheme="minorEastAsia" w:hAnsiTheme="minorEastAsia" w:eastAsiaTheme="minorEastAsia" w:cstheme="minorEastAsia"/>
                <w:color w:val="000000"/>
                <w:sz w:val="22"/>
                <w:szCs w:val="22"/>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668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拾音器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7C2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498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739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岗亭墙面</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6D1A66D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录音</w:t>
            </w:r>
          </w:p>
        </w:tc>
      </w:tr>
      <w:tr w14:paraId="7F0A3491">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9E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得实</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717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DS5300Z</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8E6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855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53D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6B5034E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打印机</w:t>
            </w:r>
          </w:p>
        </w:tc>
      </w:tr>
      <w:tr w14:paraId="5A7A8E71">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96C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汇豪</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7D7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HHSCJ3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9C3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B1F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FFB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5569E4C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ETC手持机付站</w:t>
            </w:r>
          </w:p>
        </w:tc>
      </w:tr>
      <w:tr w14:paraId="73C8E628">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715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汉鼎</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42A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HD-OBURD300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22F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47E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77C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48E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ETC手持机主站</w:t>
            </w:r>
          </w:p>
        </w:tc>
      </w:tr>
      <w:tr w14:paraId="0D221612">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877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华天成</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A319">
            <w:pPr>
              <w:jc w:val="left"/>
              <w:rPr>
                <w:rFonts w:hint="eastAsia" w:asciiTheme="minorEastAsia" w:hAnsiTheme="minorEastAsia" w:eastAsiaTheme="minorEastAsia" w:cstheme="minorEastAsia"/>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C41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36D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AE72">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岗亭操作台</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06412B2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对讲机</w:t>
            </w:r>
          </w:p>
        </w:tc>
      </w:tr>
      <w:tr w14:paraId="3256CBB4">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774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华天成</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7DE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HNAB-111GW/2G-20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55F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B3A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31B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车道机柜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F7D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对讲交换机</w:t>
            </w:r>
          </w:p>
        </w:tc>
      </w:tr>
      <w:tr w14:paraId="2514102C">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297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金溢</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9E9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iSpeedy-K2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6FE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073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D7B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付6#岗亭操作台</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702A629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读卡器</w:t>
            </w:r>
          </w:p>
        </w:tc>
      </w:tr>
      <w:tr w14:paraId="3B4FB430">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242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科野</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C08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KY51D1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35D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4C6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CAD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付6#岗亭操作台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5A6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收费专用键盘</w:t>
            </w:r>
          </w:p>
        </w:tc>
      </w:tr>
      <w:tr w14:paraId="01A02DB5">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6F59">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恒富威</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A85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 MAG-25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C09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101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F9EC">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352FB0D8">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主2#</w:t>
            </w:r>
          </w:p>
        </w:tc>
      </w:tr>
      <w:tr w14:paraId="5A1B35BF">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270E">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TRANSPEED德亚</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4E0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 A6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575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1EC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1855">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65932C6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主6#，付6#</w:t>
            </w:r>
          </w:p>
        </w:tc>
      </w:tr>
      <w:tr w14:paraId="6850632B">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C16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085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 xml:space="preserve">单杆栏杆机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4BE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423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887B">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335" w:type="dxa"/>
            <w:tcBorders>
              <w:top w:val="single" w:color="000000" w:sz="4" w:space="0"/>
              <w:left w:val="single" w:color="000000" w:sz="4" w:space="0"/>
              <w:bottom w:val="single" w:color="000000" w:sz="4" w:space="0"/>
              <w:right w:val="nil"/>
            </w:tcBorders>
            <w:shd w:val="clear" w:color="auto" w:fill="auto"/>
            <w:noWrap/>
            <w:vAlign w:val="center"/>
          </w:tcPr>
          <w:p w14:paraId="31B78404">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主4#，付4#</w:t>
            </w:r>
          </w:p>
        </w:tc>
      </w:tr>
      <w:tr w14:paraId="5118A3BA">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610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亥迪</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45C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单杆栏杆机 GZJ1200-19AR</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9D11">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4A73">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FD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车道岛尾</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D060">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付2#栏杆机</w:t>
            </w:r>
          </w:p>
        </w:tc>
      </w:tr>
      <w:tr w14:paraId="0F60E2A3">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00E5">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华邦</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215E">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打票按纽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D444">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E243">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F41B">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主4#付4#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5DD0">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自助车道</w:t>
            </w:r>
          </w:p>
        </w:tc>
      </w:tr>
      <w:tr w14:paraId="54B0063F">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3440">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宇航</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3519">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AFUG-FC20/A</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BC40">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B79E">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1679">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主站广场车道柜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CCEA">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光收发</w:t>
            </w:r>
          </w:p>
        </w:tc>
      </w:tr>
      <w:tr w14:paraId="7A212FBA">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8589">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锦昊安</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D321">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FT-FW02-SC20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644B">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59C8">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FA89">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付站广场车道柜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5268">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光收发</w:t>
            </w:r>
          </w:p>
        </w:tc>
      </w:tr>
      <w:tr w14:paraId="37885EB6">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EB81">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H3C</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944B">
            <w:pPr>
              <w:widowControl/>
              <w:jc w:val="center"/>
              <w:textAlignment w:val="center"/>
              <w:rPr>
                <w:rFonts w:hint="eastAsia" w:asciiTheme="minorEastAsia" w:hAnsiTheme="minorEastAsia" w:eastAsiaTheme="minorEastAsia" w:cstheme="minorEastAsia"/>
                <w:color w:val="000000"/>
                <w:kern w:val="0"/>
                <w:sz w:val="22"/>
                <w:szCs w:val="22"/>
                <w:lang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F8AE">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19BC">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F1C7">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车道机柜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26C7">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付站车道机柜</w:t>
            </w:r>
          </w:p>
        </w:tc>
      </w:tr>
      <w:tr w14:paraId="3E712B14">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2B5C">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海康威视</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2796">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DS-2DY9185-AI5</w:t>
            </w:r>
          </w:p>
          <w:p w14:paraId="162D840E">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iDS-2CD9396-AES</w:t>
            </w:r>
          </w:p>
          <w:p w14:paraId="6B2FC967">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iDS-2VS435-F8XYZL</w:t>
            </w:r>
          </w:p>
          <w:p w14:paraId="234E56BA">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DS-2CD9131-S</w:t>
            </w:r>
          </w:p>
          <w:p w14:paraId="0F61DD0A">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DH-SD-6A9230F-HNI-T</w:t>
            </w:r>
          </w:p>
          <w:p w14:paraId="38697657">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DS-2DF8236I5-A</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B9CD">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131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D146">
            <w:pPr>
              <w:widowControl/>
              <w:jc w:val="center"/>
              <w:textAlignment w:val="center"/>
              <w:rPr>
                <w:rFonts w:hint="eastAsia" w:asciiTheme="minorEastAsia" w:hAnsiTheme="minorEastAsia" w:eastAsiaTheme="minorEastAsia" w:cstheme="minorEastAsia"/>
                <w:color w:val="000000"/>
                <w:kern w:val="0"/>
                <w:sz w:val="22"/>
                <w:szCs w:val="22"/>
                <w:lang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6888">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沿线</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1E38">
            <w:pPr>
              <w:widowControl/>
              <w:jc w:val="center"/>
              <w:textAlignment w:val="center"/>
              <w:rPr>
                <w:rFonts w:hint="eastAsia" w:asciiTheme="minorEastAsia" w:hAnsiTheme="minorEastAsia" w:eastAsiaTheme="minorEastAsia" w:cstheme="minorEastAsia"/>
                <w:color w:val="000000"/>
                <w:kern w:val="0"/>
                <w:sz w:val="22"/>
                <w:szCs w:val="22"/>
                <w:lang w:bidi="ar"/>
              </w:rPr>
            </w:pPr>
          </w:p>
        </w:tc>
      </w:tr>
      <w:tr w14:paraId="7B84CB2F">
        <w:tblPrEx>
          <w:tblCellMar>
            <w:top w:w="0" w:type="dxa"/>
            <w:left w:w="108" w:type="dxa"/>
            <w:bottom w:w="0" w:type="dxa"/>
            <w:right w:w="108" w:type="dxa"/>
          </w:tblCellMar>
        </w:tblPrEx>
        <w:trPr>
          <w:trHeight w:val="42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64DA">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测速仪</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B6B7">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PZTZ-288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7B2D">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2805">
            <w:pPr>
              <w:widowControl/>
              <w:jc w:val="center"/>
              <w:textAlignment w:val="center"/>
              <w:rPr>
                <w:rFonts w:hint="eastAsia" w:asciiTheme="minorEastAsia" w:hAnsiTheme="minorEastAsia" w:eastAsiaTheme="minorEastAsia" w:cstheme="minorEastAsia"/>
                <w:color w:val="000000"/>
                <w:kern w:val="0"/>
                <w:sz w:val="22"/>
                <w:szCs w:val="22"/>
                <w:lang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03E9">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沿线</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CF0C">
            <w:pPr>
              <w:widowControl/>
              <w:jc w:val="center"/>
              <w:textAlignment w:val="center"/>
              <w:rPr>
                <w:rFonts w:hint="eastAsia" w:asciiTheme="minorEastAsia" w:hAnsiTheme="minorEastAsia" w:eastAsiaTheme="minorEastAsia" w:cstheme="minorEastAsia"/>
                <w:color w:val="000000"/>
                <w:kern w:val="0"/>
                <w:sz w:val="22"/>
                <w:szCs w:val="22"/>
                <w:lang w:bidi="ar"/>
              </w:rPr>
            </w:pPr>
          </w:p>
        </w:tc>
      </w:tr>
    </w:tbl>
    <w:p w14:paraId="3073C362">
      <w:pPr>
        <w:widowControl/>
        <w:jc w:val="center"/>
        <w:textAlignment w:val="center"/>
        <w:rPr>
          <w:rFonts w:hint="eastAsia" w:ascii="宋体" w:hAnsi="宋体" w:cs="宋体"/>
          <w:color w:val="000000"/>
          <w:kern w:val="0"/>
          <w:sz w:val="22"/>
          <w:szCs w:val="22"/>
          <w:lang w:bidi="ar"/>
        </w:rPr>
      </w:pPr>
    </w:p>
    <w:p w14:paraId="641B6370">
      <w:pPr>
        <w:pStyle w:val="23"/>
      </w:pPr>
    </w:p>
    <w:p w14:paraId="09D63E3A">
      <w:pPr>
        <w:snapToGrid w:val="0"/>
        <w:spacing w:line="360" w:lineRule="auto"/>
        <w:rPr>
          <w:rFonts w:hint="eastAsia" w:ascii="宋体" w:hAnsi="宋体" w:cs="宋体"/>
          <w:b/>
          <w:sz w:val="24"/>
        </w:rPr>
      </w:pPr>
      <w:r>
        <w:rPr>
          <w:rFonts w:hint="eastAsia" w:ascii="宋体" w:hAnsi="宋体" w:cs="宋体"/>
          <w:b/>
          <w:sz w:val="24"/>
        </w:rPr>
        <w:t>注：①如清单中未包含的设备，在服务期内，由供应商负责维护。</w:t>
      </w:r>
    </w:p>
    <w:p w14:paraId="7B1DEDEA">
      <w:pPr>
        <w:pStyle w:val="798"/>
        <w:ind w:firstLine="482"/>
        <w:rPr>
          <w:rFonts w:hint="eastAsia" w:hAnsi="宋体" w:cs="宋体"/>
          <w:b/>
        </w:rPr>
      </w:pPr>
      <w:r>
        <w:rPr>
          <w:rFonts w:hint="eastAsia" w:hAnsi="宋体" w:cs="宋体"/>
          <w:b/>
        </w:rPr>
        <w:t>②本清单中涉及品牌的为现使用的品牌，如果维护过程中涉及需要更换的，更换后的设备需相当于或优于现有设备。</w:t>
      </w:r>
    </w:p>
    <w:p w14:paraId="463D28B6">
      <w:pPr>
        <w:pStyle w:val="798"/>
        <w:ind w:firstLine="482"/>
        <w:rPr>
          <w:rFonts w:hint="eastAsia" w:hAnsi="宋体" w:cs="宋体"/>
          <w:b/>
        </w:rPr>
      </w:pPr>
      <w:r>
        <w:rPr>
          <w:rFonts w:hint="eastAsia" w:hAnsi="宋体" w:cs="宋体"/>
          <w:b/>
        </w:rPr>
        <w:t>③处于质保期内的设备由采购人联系厂家维修，供应商配合。</w:t>
      </w:r>
    </w:p>
    <w:p w14:paraId="334FADF4">
      <w:pPr>
        <w:pStyle w:val="798"/>
        <w:ind w:firstLine="482"/>
        <w:rPr>
          <w:b/>
        </w:rPr>
      </w:pPr>
      <w:r>
        <w:rPr>
          <w:rFonts w:hint="eastAsia" w:hAnsi="宋体" w:cs="宋体"/>
          <w:b/>
        </w:rPr>
        <w:t>④</w:t>
      </w:r>
      <w:r>
        <w:rPr>
          <w:b/>
        </w:rPr>
        <w:t>零星维修或设施设备非核心件损坏由中标方全权负责，如设施设备核心件损坏且无法修复只能更换的情况下，需要出具检验报告经采购方审核再行决定。</w:t>
      </w:r>
    </w:p>
    <w:p w14:paraId="7D2B647D">
      <w:pPr>
        <w:pStyle w:val="798"/>
        <w:numPr>
          <w:ilvl w:val="0"/>
          <w:numId w:val="3"/>
        </w:numPr>
        <w:ind w:firstLine="482"/>
        <w:rPr>
          <w:b/>
          <w:color w:val="FF0000"/>
        </w:rPr>
      </w:pPr>
      <w:r>
        <w:rPr>
          <w:rFonts w:hint="eastAsia"/>
          <w:b/>
          <w:color w:val="FF0000"/>
        </w:rPr>
        <w:t>配件清单：</w:t>
      </w:r>
    </w:p>
    <w:p w14:paraId="04BAFB9C">
      <w:pPr>
        <w:pStyle w:val="798"/>
        <w:ind w:firstLine="0" w:firstLineChars="0"/>
        <w:rPr>
          <w:b/>
          <w:color w:val="FF0000"/>
        </w:rPr>
      </w:pPr>
      <w:r>
        <w:rPr>
          <w:rFonts w:hint="eastAsia"/>
          <w:b/>
          <w:color w:val="FF0000"/>
        </w:rPr>
        <w:t>此项目投标价中含配件预留金20万元，按实计量。</w:t>
      </w:r>
    </w:p>
    <w:tbl>
      <w:tblPr>
        <w:tblStyle w:val="62"/>
        <w:tblW w:w="8910" w:type="dxa"/>
        <w:tblInd w:w="93" w:type="dxa"/>
        <w:tblLayout w:type="fixed"/>
        <w:tblCellMar>
          <w:top w:w="0" w:type="dxa"/>
          <w:left w:w="108" w:type="dxa"/>
          <w:bottom w:w="0" w:type="dxa"/>
          <w:right w:w="108" w:type="dxa"/>
        </w:tblCellMar>
      </w:tblPr>
      <w:tblGrid>
        <w:gridCol w:w="2060"/>
        <w:gridCol w:w="1433"/>
        <w:gridCol w:w="1067"/>
        <w:gridCol w:w="650"/>
        <w:gridCol w:w="1400"/>
        <w:gridCol w:w="2300"/>
      </w:tblGrid>
      <w:tr w14:paraId="21408DD1">
        <w:tblPrEx>
          <w:tblCellMar>
            <w:top w:w="0" w:type="dxa"/>
            <w:left w:w="108" w:type="dxa"/>
            <w:bottom w:w="0" w:type="dxa"/>
            <w:right w:w="108" w:type="dxa"/>
          </w:tblCellMar>
        </w:tblPrEx>
        <w:trPr>
          <w:trHeight w:val="555"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34E3D">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名称</w:t>
            </w:r>
          </w:p>
        </w:tc>
        <w:tc>
          <w:tcPr>
            <w:tcW w:w="14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D475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设备名称</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68B87">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参考类型</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3995A">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单位</w:t>
            </w:r>
          </w:p>
        </w:tc>
        <w:tc>
          <w:tcPr>
            <w:tcW w:w="1400" w:type="dxa"/>
            <w:tcBorders>
              <w:top w:val="single" w:color="000000" w:sz="8" w:space="0"/>
              <w:left w:val="nil"/>
              <w:bottom w:val="single" w:color="000000" w:sz="8" w:space="0"/>
              <w:right w:val="single" w:color="000000" w:sz="8" w:space="0"/>
            </w:tcBorders>
            <w:shd w:val="clear" w:color="auto" w:fill="auto"/>
            <w:vAlign w:val="center"/>
          </w:tcPr>
          <w:p w14:paraId="150EED56">
            <w:pPr>
              <w:widowControl/>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限价（元）</w:t>
            </w:r>
          </w:p>
        </w:tc>
        <w:tc>
          <w:tcPr>
            <w:tcW w:w="2300" w:type="dxa"/>
            <w:tcBorders>
              <w:top w:val="single" w:color="000000" w:sz="8" w:space="0"/>
              <w:left w:val="nil"/>
              <w:bottom w:val="single" w:color="000000" w:sz="8" w:space="0"/>
              <w:right w:val="single" w:color="000000" w:sz="8" w:space="0"/>
            </w:tcBorders>
            <w:shd w:val="clear" w:color="auto" w:fill="auto"/>
            <w:vAlign w:val="center"/>
          </w:tcPr>
          <w:p w14:paraId="78B3B556">
            <w:pPr>
              <w:widowControl/>
              <w:jc w:val="center"/>
              <w:textAlignment w:val="center"/>
              <w:rPr>
                <w:rFonts w:hint="eastAsia"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报价（元）</w:t>
            </w:r>
          </w:p>
        </w:tc>
      </w:tr>
      <w:tr w14:paraId="73E5AA2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48D623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光纤跳线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EFDC94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DDF配线柜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91F4E7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112AC9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474B40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C2BB5A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7E1472D">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CBD811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数字单元体（75Ω)</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D0F4BE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DDF配线柜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EE03F0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BDFB6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078AC6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438.33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07A1E1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D209C2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87455B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16系统安装板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208916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DDF配线柜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BE693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CD8470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02A2A7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CABFD4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8434BAF">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7128A2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FC/pc光纤尾纤</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D4C120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DDF配线柜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A5B7D8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2EBF4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10C8C4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96D7C3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584432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8BB3C2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机柜接地铜排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1FFC49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DDF配线柜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C25AA9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C0D9B7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11177A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627F23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2B9269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E11363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散热风扇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558B56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DDF配线柜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734858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4F2E2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4F7C2D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FFA5C7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D038A8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409D93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理线槽</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8DE66C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DDF配线柜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7198D7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A55491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4E244B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773B56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7348EE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BE67A3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ETC室外天线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3EC798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ETC车道天线全套附属</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1FE5A0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5D0844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B705BE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178140.33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083B14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41D6BA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65B819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立柱</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F87A0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ETC车道天线</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12BDB6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A8BB32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C64279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4140.67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94EEE6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E3963C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7B84F1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零部件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4BE38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ETC车道天线</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07B6A7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9AFCDA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870DCD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CD4792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A5E07D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AB4A3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天线数据接收盒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EF61A0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ETC读写设备</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2513D6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1ADA7D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E0C632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19229.33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C45BC8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1DB250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460A96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PSAM卡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B50123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ETC读写设备</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9D77F2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B34E2D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6EF216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EE066F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79A6CFF">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F28CEA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逆变器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B8D4E6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UPS电源</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7051BC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A06BB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F58639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996.67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CF1140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919661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A54304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蓄电池组2块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ACDE69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UPS电源</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81523C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E0A3DB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组</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9EF818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596.33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44A152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2B9931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E6E1E5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整流器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18E492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UPS电源</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A99C99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8D69C6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C3C499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3719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FDFAB3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6A7DD6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44C8E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静态开关</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814156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UPS电源</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586F60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59A297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63489E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3428.67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89C139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F64102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0E45FB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电池柜</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43930B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UPS电源</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10EEE1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4CFD93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4CDFBE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2431.33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D45F21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F1DD46E">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CCD694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VGA信号分配器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F4DE95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VGA信号分配器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AFCBEB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D2E2B3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F3D56B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1459.33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F3493F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010C7BD">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66B6E6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踏板面</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2775B9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安全报警踏板</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80127C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F5F4C5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601748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0E0830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6E2C647">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ECB901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BNC接头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26310C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半球型摄像机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D868C8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DC9539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F994F3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7814FE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6A7BB7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4DD739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摄像机防护罩</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EA7A9D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半球型摄像机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12A817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6B61B4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340891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379.67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DD7461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0AD165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BCE998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镜头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FE54BE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半球型摄像机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A9CBD3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A14F0C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066DD4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955.67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5441A2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63240E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B3E502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解码器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095FED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半球型摄像机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55EAF6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C7B39A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E5FFA4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3722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3119FF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2ADAD4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0F017D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摄像机接口板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5D04A2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半球型摄像机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2B8D3D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7A2CE4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BD002A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572.33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601EB5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A149B9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BDCC29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摄像机电源板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F21561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半球型摄像机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CEFD44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7AF2BD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631A99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615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A44524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D33244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3A20C7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PELCD摄像机主板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AC4B01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半球型摄像机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6A4E03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E3A60B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09E2CC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545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F29447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BD1AF0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E02817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12E9B3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半球型摄像机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4062C5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BDF832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8B6896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DC28E1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E21B25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634222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防雷接地</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90F8CE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半球型摄像机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49C9BF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717E88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B40A42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9E5C0C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26C774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DC38C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摄像机立柱</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1FF211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半球型摄像机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3A6764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4138D3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D1CEBD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996.67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98F884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153DB7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6294E1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报警开关</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9A68E8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报警开关</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5B6520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E754B2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4D0FFF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0F9919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8C1404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916931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2157CD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D62CDA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278F52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560F54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3AEECD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BBF88F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8CC093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68B1F0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23266C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29C9C5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D27294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1127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267309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D42885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DF728F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DEBDB3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C4558A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B677ED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C7A25C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763.33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508CA3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0DD04B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C75E5D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信号输入模块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2007B8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790740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BC076B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197A84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763.33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21F2BB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44C580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A0AC1C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9B8B0B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报警信号采集单元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5FD92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11BBA3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FC3973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1113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D8DCF0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07AB50D">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FD9AA2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通信或程序主芯片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C61A16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报警信号采集单元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87A340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32AC63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B01EA9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566.67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39183D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C4E497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E80A28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7E87AD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报警信号解码单元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CBDB43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4B6A21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D74B0C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1116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0AEC87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C3FEDFE">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2651CD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通信或程序主芯片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C10504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报警信号解码单元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8E57EE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742311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162430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574.67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1B15CB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55697E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B9A04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EAFBE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报警主机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730AD9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180F6F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B8F2B8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1120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E85FD6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3762D4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60E6A1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207A5E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报警主机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A75653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4B7D87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BF790D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1737.33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37C528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D59503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7B4C84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信号输入模块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D74157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报警主机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967A57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8435AB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AFADBF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766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4D57E4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E45148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66633B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9DA5A4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便携式车道收费机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8C73AF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E2E5E1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3DC66F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509.67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9668D3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16BF7C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B31882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641762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便携式车道收费机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85F315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6F437F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213A70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2773.67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6FC203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008692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60D706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电源适配器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C9EC4F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便携式车道收费机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1F7F68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0B8E4A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0294F3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210.33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BD185D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ECADDA7">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DB744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电池和电池板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AD93BC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便携式车道收费机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AD83B2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46247E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96CF86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1072.33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4835E7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054A03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7A6505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便携机机箱</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2642EF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便携式车道收费机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86B414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5B32DE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5F6031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5396.67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9E0637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C5AAAE1">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9939C4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便携机读卡器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EDFF78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便携式车道收费机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1281A2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A7F82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8C288F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3464.67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A0D53F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BB5A90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D5A61A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扫描仪与主板之间数据线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F618E3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便携式车道收费机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C99137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78CAD5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AE3F9F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6FA4F0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FD10F3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321B52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外部接口单元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F2F639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便携式车道收费机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80BC00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5D31DF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F3180D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9425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929B35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FDB5002">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241237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显示屏</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7FB7E4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便携式车道收费机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6292E8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4EB111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8FB789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5418.33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24E45E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01C736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9927F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BIOS(基本输入输出系统)</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D9EBA9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便携式车道收费机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68417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3A5392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48E071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7B32EF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D951B6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E83CB1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电压表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1135D0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参数稳压器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EE441A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5B8D1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E4E0B0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30A4F6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E46C2B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C4A0B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稳压器线圈</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FB5695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参数稳压器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D97CCF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39F9BD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D2B4F9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568.33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19939A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3EFFDF2">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BA8E60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接触式自耦调压器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98CBA6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参数稳压器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6D8264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D40A33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3C17A3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649.67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07BAED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283605A">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8EE067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自动控制电路</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E7A6C4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参数稳压器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999AFD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7FBE48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57C1BC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180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542E62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F2CE9C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514007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伺服式电动机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B6194D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参数稳压器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996F56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F503E5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473661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2000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A216BA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E6417F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9120D0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车道线圈</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48B92A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车道线圈</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986C05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18E1DC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41A2AE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1245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AEC82D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A1B4DA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0F76E5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工控机主板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F50C7C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车道专用键盘</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90C5A9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9FCD33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33E9AF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3688.67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3CC27A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769F54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47DBFE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箱体</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738C7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车道专用键盘</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859DCD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A79B12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98DA34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9BE5FB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2686D0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6F34E7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镜头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F1591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车牌自动识别设备</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9829C5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2B5D28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45AAC8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1785.67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598CFC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34A55A1">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B2C381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A70457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车牌自动识别设备</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026874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1218C5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F11804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8862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D73171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B25973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5C3CDC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闪光灯灯泡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3B9AE9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车牌自动识别设备</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56BE79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7A16F8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740E47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727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F8A63D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A04543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C27A7F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护罩</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864BB4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车牌自动识别设备</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B70696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28793F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645446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1556.67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A5CED3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B6FC8E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32036B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5DF2DA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车速反馈仪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E6EAC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EC8E9D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CBEF2E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2858.33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47A85E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22EDD2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A7B4BE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立杆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71B3AF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车速反馈仪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AB257C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6DEF1D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1EFCE6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180.67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7CEC38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86DC1C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AE7820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显示模块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E7424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车速反馈仪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8A37A6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29C400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F51084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5864.33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2B6C34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52BEBB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5AF9A1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CB6C03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车速反馈仪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9F9CF3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F8FF9E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173DDB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1916.33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50E003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79C011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0FEB73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防雷接地</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6C80D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车速反馈仪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3BCC02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B23722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9DE220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309.33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9CCF9E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68C05C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6E19D4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继电器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85A834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称重数据采集处理器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36C261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6FF447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9F31EF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41.33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EF8B6D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2E89CC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4C6F77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数据板卡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0115FD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称重数据采集处理器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5965E0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4A1D86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FF6F70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768.33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06F8FB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CFBD73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0D3FE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FDC0E2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称重数据采集处理器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816BED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BA3F01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B3E356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2592.67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C92F63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B8D079A">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47B7CE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0732DF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串口服务器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B72F3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79B9D6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7F1A63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2321.67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C82A8A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FD2319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C697F6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主处理器模块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6487D4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串口服务器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5FC2E1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680315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EF2D24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703.67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47962D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7D82FB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DC64DF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以太网接口模块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BA904C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串口服务器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E28DAE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062819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E128E7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212.33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8F05AC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1EE961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BAB064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控制模块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B1D7FC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串口服务器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5BAE96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E98E98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B4413C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DB849A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194156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8FFAA2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33022F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磁盘阵列</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8BA346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A79F32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371991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2483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80B38E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435BA3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905A51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89B8F0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磁盘阵列</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2CA6B9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A8F33B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2C09AF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496.33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207117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4978EA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C352AA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板卡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EB2AA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磁盘阵列</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740FC4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31BF4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283C7F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1318.33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49AE03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5F9915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548177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磁盘阵列单元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9BA4EF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磁盘阵列</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B73F58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A9F24C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653570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25295.67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63EE59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EC2FAC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24A84A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5×146GSAS硬盘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FCF31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磁盘阵列</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AAF2A0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CED22A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056D95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19401.33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EDC26A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13E71BF">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91A992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2*短波光纤模块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C723B3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磁盘阵列</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5579DB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D49D6A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4BDDEA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5083.33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3146A4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72AE59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39E969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2*5m光纤线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602D48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磁盘阵列</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5A0EE9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9ED76E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5F8A07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2031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E31CA4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D73FED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3B6576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2×4GB光纤通道</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543CED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磁盘阵列</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5626EA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C3B31F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5F8A6E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3095.33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F279B0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CEA6DA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605468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CPU风扇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36F14E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刀片式服务器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78127A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0D9F2D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445705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635.67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6F4158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41732E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87D6D7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EDC76E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刀片式服务器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AC9154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F428E4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758FDD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2257.33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C0E852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C5424B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90802C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CPU</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35EB39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刀片式服务器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31C0C3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60D261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17C371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4448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559AD2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DC2E4A1">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311ED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内存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1E18EB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刀片式服务器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52BDDD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EEB3EB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1D23E8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8129.33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9B4F25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C5034D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8C9BE3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19显示器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E9339F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刀片式服务器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124A26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577679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0CDF6B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947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87E31F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EE6DEE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C06E61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SAS硬盘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FB66BC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刀片式服务器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451A6B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B75396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B291C7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9722.67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3368DB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484FBC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A01F35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RAID-1卡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7E176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刀片式服务器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F88E5F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1EA778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AF7CD6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3395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F90E3E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6E7527F">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CBAC9D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4DF30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导改信号灯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15B2D6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1E95FA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107229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9C7F3F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F1E903A">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354D77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8D99C9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导改信号灯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F57EE9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B6A06F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D9A8E0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D47308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778C6F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28FD65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变压器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31E963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导改信号灯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775379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6E14DA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C6CDE4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799199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372D79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F75181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地磁线圈</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A2B077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地磁线圈</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FC9845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0E7EFD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CE85E2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955.33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970B23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411E393">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7C527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灯泡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18B1D7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地灯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0F5745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37DAE0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789729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EFE125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3AA4DA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D546E1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控制电缆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B116E8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电力电缆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6C9439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23229C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979AD2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BF4A6A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7BEDBD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772CD1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电缆穿管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A331D7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电力电缆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5FE087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D988E5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099347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07D735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807489A">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003F3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电缆托架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2AF205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电力电缆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378157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0DBC9C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AD80C0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D5243F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BE3BB5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A793A4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电缆接头盒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7BD72B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电力电缆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9E67D8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A6A232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4D3156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0E853C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90221A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A96A03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电缆人孔口圈</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F8E47B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电力人孔</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062CFA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9C47FF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26E52B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676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D6724F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C7577D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1D2ACC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人孔主体</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A3A704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电力人孔</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EF16F6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F4B19E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处</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F2CC2A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3353D1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CE1DCD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1826C5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电缆接头盒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381F54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电力人孔</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BAC8CA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59D8C6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821520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1545F8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45F7F9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FE113C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8C132E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电视墙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6C9BD6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472EB6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7BDE55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45851.67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B13743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8B6A45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EAE6A2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42AE05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电视墙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BEC32D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F67D49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D52DD2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4499.67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EFADB2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D24D09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1CC4F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软边融合拼接处理器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6228C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电视墙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6737D8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7A2BA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8DE29C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963.67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DF64E4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EAB648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8639E9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信号处理设备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0C8610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电视墙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23FE0C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79FF15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DFA5A6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4456.33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86B7D1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EF214D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03C624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屏幕</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793832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电视墙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11B59F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156462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5CED4B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5356.33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AC411F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B71A3D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81622F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集中控制设备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4494E8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电视墙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B566C3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D82EF7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328C45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4933.33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E0185A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9378D9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1A794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接插件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4FA9B1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电视墙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1CD88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6ACD4E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件</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F7115A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31.33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058C98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B7F794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340B6F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4B745D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二层以太网交换机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6003B5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1F0E2A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133F20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716.33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0D94D8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3B46C0F">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45D54B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B86DC5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二层以太网交换机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FC0183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76D3C8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4B73B3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900.67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4678DB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A536E2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A27FB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接口板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409C06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二层以太网交换机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528240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FFB529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79B9B0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1100.33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798572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02412A1">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DB6580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75B56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二层以太网交换机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61691A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ADFDFD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999DDF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321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EE6324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40881E2">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2EB8A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主处理器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13A70E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二层以太网交换机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A0B735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453B2E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A02546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922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66BE3A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35B2B8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56BB89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交换网板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095F5A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二层以太网交换机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3FE4F0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E2B8CD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7C65D9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943.67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00177B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C66520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BA162B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蓄电池</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955A2D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阀控式蓄电池</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554ABB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C4D03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188FB9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2094.67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F28698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688E23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C662CC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6D01A9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899065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1944E1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185453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2050.33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0BE106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81F419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C5B2FC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1457A7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17789B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1EACF3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81CC22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751.33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2523DF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99CEE8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223D4B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光接口板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3A40CF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791C76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E9AACC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EE4292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2057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20AF67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AC8C3F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4782BC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电接口板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1335C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A61859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A4E25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2FBDC7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2000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344A05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0B6F33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31191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CPU主板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4150C7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68D35B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2533FB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EC0483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1431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19E4B2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980A6C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59D2DB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防火墙机架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9F0B02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1A357A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265BEE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459E16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8287.67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729612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743FC7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78AEE1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防火墙软件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7DBF0D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BB3732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E563D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D86C00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4198.33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5826AB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9153EA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63843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防火墙电路主板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77CDEC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防火墙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C7ABD7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BC3B4A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DF75C5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3053.67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59F3DD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404FFBD">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F11275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避雷针/避雷带</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01F27E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防雷接地装置</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64B511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273B13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B6218C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D5D013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C827C01">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ED3BE4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视频防雷器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C3710E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防雷接地装置</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790D58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A5C3A7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F3BB77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534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0FAB1C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50BAA7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4DBF70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引下线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59F88A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防雷接地装置</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44AB2C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0B9ED7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7D732F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5CAEDA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50A5D5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B972A5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接地端子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1400B4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防雷接地装置</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0FE253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0E6C18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F9BB01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2BE2E7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C179921">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9ABD8B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分线盒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0A4C6A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防雷接地装置</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C66ECE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39A74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778950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7FB3B1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56BBFC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05A7F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机房接地分汇集铜排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AE7813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防雷接地装置</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E5535E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602DD9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6FB42B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306.67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03C53E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004A32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1A9F1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电源适配器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F93D6F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非接触式读卡器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5AB0EF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E69BA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9267C2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474CDB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D58320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CF3AF1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读写器天线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B90C75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非接触式读卡器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C3D3BF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4322BE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3CB071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795.67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EDC1D2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52FB20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B84C30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读写器串口线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F3A1CF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非接触式读卡器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375DF2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BFF00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0D2BC6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F9228A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E60620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1CE1C3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PSAM卡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B1C9FF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非接触式读卡器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4311BC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B0437E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BE0734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CB2472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368A011">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29DB5F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读处理单元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75A44C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非接触式读卡器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D0E73A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E774E7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20B118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1425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DACA5F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B08A9E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FD19F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写处理单元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7D20DC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非接触式读卡器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0684B7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C23CD7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48E927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1046.33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C95D49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4EFE223">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66AB39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679B72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费额显示器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674053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BF91C1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EB6B98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2F7511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6A7CAB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1C3245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费额显示器显示板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6551BD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费额显示器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A197D2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EE2A1E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76ABE6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3164.33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516CC4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180868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E1878D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费额显示器主板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BDFB57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费额显示器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041009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8BFF4B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71C379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517.67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08CB82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748D62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AB5E04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E69029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风向风速检测器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D94CB9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053E7B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DED36F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30516.67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0617EC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AB2AE5F">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04BA14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支架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077133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风向风速检测器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328C01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D5E9C3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19B734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640.33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3A20BF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F206C3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3D834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感应探头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869933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风向风速检测器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5423C1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908094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459019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9663.67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59E25E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5E0286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9E4C31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风向检测部分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81D10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风向风速检测器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E1EA67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8E50BA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5FDF42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25424.33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A8BF26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970ABF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37B957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风速检测部分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722EFF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风向风速检测器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25BE35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A2D64E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A8606F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18624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2C6A33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898F1E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2819F3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控制单元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1C59FD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风向风速检测器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59241B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6F0DDC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17A022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9427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0B05AD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F36F7A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E85B71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并沟线夹</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ACDA45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杆上变压器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E26F71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7E345C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4F9350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773C41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592D70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AC6C1B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铜弯头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60173D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杆上变压器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0C62FC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E2417B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9ADF42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17CA35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C0E97F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D4F4D7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电力变压器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65C34C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杆上变压器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A61D95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6DB9B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1EFF0C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34406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CF3B25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180A53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6E8B41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跌落式熔断器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851127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杆上变压器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93E701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B5E1A4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组</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42341C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425.33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79E5DC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492A71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F4FD7F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氧化锌避雷器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51E2C5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杆上变压器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199378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DF3983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523915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08A4C0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A0BFBA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92015C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接地装置</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EF18F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杆上变压器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428560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A78BDA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510A69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380.33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AD35FB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ACEC2D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8C2C9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高压引下线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3BB1EC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杆上变压器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C98C28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B6BE07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48F98F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3EB094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513CB5F">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9150C1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低压绝缘电缆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77EB13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杆上变压器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2616E6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ED58D6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19EB1C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0165DA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0898463">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36DF77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高压针式绝缘子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CBA948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杆上变压器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CE0B6C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3D1429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DF57C1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DA57BC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002D79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6A8ABB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低压蝶式绝缘子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FD199C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杆上变压器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706180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FD494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94318F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E2296E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3446AD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816330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铜接线端子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6B10FC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杆上变压器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1B6220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34421E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7D4D5E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B1F1A6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F2D4B9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2C44F6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称重平台称体</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027790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钢秤式计重传感器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55A4A5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3E221A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531D2C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14763.33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370886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BB1B81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7B9522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称重平台框架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B91262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钢秤式计重传感器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A70FE9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BE45DB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2ED2F4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03B3D7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90F06B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BEF936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称重平台限位装置</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0F7DDB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钢秤式计重传感器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000BD6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76DB8D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7589C9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D7D400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645F53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0818C1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压力传感器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4E776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钢秤式计重传感器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EB88A9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8A9E17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83BF39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EFDB64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3C2B17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4DD26C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电路板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324A9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功率放大器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097036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C6B0D6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1EE8AC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932.67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74EC40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EFEA83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F1FA86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机壳</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C8C66C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功率放大器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14F1DA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3328A2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4E9FFB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1699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004B0C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DDC1E2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A87613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旋钮</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6A8D60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功率放大器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62828C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DB150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6799C5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2706B9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E03752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07C9A2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7328C8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光强检测器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946FAE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31354A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7A3F02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21657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741AFD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85BB81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5B1BC1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感应探头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E89D2A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光强检测器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862A2F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B1298D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37EA2D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4597.33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C38C14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F88A1A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1B1B7B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光强检测器支架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9E11F1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光强检测器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C72F07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07F5B0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0D4AB1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666.67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9B428A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B7F854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7AF523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电源适配器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BF22F9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光网络单元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518C0B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1A63F4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1D5E72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6126A2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303245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629D61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主控交叉光接口合一板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E06A7D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光网络单元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060BBA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A0B5DB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116245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10660.33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97D326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D4FB7C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A96A4D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电源接入板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03E36D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光网络单元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DCA266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F2F160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C6CECA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266.67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9BE870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B0BE4E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64AB7D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以太网处理板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B7ABB4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光网络单元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E701B7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DD986C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D1574F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5426.33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B35D3D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DD92B0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2591BA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告警板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F86B62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光网络单元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E07B46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8A0243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29A1B3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917.67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D11C5A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65518A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F5499B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系统辅助接口板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B98CF3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光网络单元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052B93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0974D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7839EB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1344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F6C3C6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B253E3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9A06A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业务处理板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A269A4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光网络单元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5F91A5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0753EB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CF3157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2649.33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48C730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6F0A49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ECF9A3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电接口倒换出线板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D5B331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光网络单元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EC3419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3B8D2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46197A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600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F03917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CFADDAF">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8E7730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用户测试板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234872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光网络单元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4325C4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B0BF47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4ADD0F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1390.67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B378BC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E87204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F1774D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模拟用户板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1EA361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光网络单元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12A165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6A765A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EF410B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11783.33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432DE4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C0AA7C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0EE9B6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子架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CCDE86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光网络单元</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258E99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805441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D119C6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529.67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7A97C1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CA90B3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FD2FE7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C79FE0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光纤收发器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F12BBF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CC2BF4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6304BD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5D9B95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D76716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C1FFC1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216164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光纤收发器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461968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ED8B91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B41B7D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335AE8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35F60A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3EA356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光电模块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B0F328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光纤收发器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111CF1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34276B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7D1A17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02B977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E4C7A0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D0C33D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光接口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82CE5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光纤收发器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D7B42C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CBC961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9D5ED9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F092E9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C03477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6F1E9A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主控板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99CC13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光线路终端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DAC70B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B6DA06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7AF93E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1051.33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5C9711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56FB49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4DA1D4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OPFA业务板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EA17C8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光线路终端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43394D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9E307A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5A966E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1963.67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EDED3C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0634A2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970C8C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GPBD业务板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6D3105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光线路终端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A26031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F505E8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946E8C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05C4F8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F0EDC0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C2093C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EPBD业务板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8D242C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光线路终端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558FEC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232BF0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FD76C3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2335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65FAA2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DD36F8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81CC8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TDM接口板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34B422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光线路终端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936B46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2B4B20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91DCC9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4427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73EC33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4FFCE2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369FBB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CSPA业务板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3E9558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光线路终端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982AD3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53B6E3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4003B6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4773.67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7F2B46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78E9B5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49475D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SPUB业务板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E7AE5B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光线路终端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BCAB6E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AD7A2A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D876EE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7766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FB6816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CF6576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4EA33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以太网级联及上行板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7C36F6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光线路终端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F95B2F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CFF5A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B3E4B9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934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FE5C65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07D5D13">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18346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电源接入板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444193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光线路终端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388DC7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47E16D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43E577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266.67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6AE86F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391EAB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46848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电源时钟板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FA372C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光线路终端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C7807D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3D206D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B5C6AD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15100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37BE87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A0D8B9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FE5F4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子架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3E3940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光线路终端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CB36D8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A7C728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341C91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528.67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DCCEF8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32FD08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4B03A1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探测器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7B1DE2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红外报警探测器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DA5190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1BDC94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8DEA6F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1729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0B74DC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B2497F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C5F302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AC6CD4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红外线车辆分离器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7BD81A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C24606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A931CB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354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8C2903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9F91A71">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5E6480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发射器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E660CF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红外线车辆分离器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C0BF9B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27855E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D841FC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414.33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0C53E6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02595D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4782D0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接收器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164466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红外线车辆分离器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EEE981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24E8C8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A727BA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415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4FE704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E18637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CF1B78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画面分割器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01AF49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画面分割器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525F4F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C334C6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705AB8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3749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F92642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6082B5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8AD84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黄闪报警器灯泡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3D0919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黄色闪光报警器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36E61D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CAC44F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7DF1CC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5602F6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1B49C9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2743C3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黄闪报警器蜂鸣器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036007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黄色闪光报警器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2BD895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C4A7E7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0E3378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7D56C9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903181D">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8E78FA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CPU风扇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67E511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机架式服务器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6F8750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4AF744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A0D7C2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606.67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25F9C7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FB970DF">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6C0ECE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24DF22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机架式服务器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34F828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C4F765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F7CE19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2356.67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4E852B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638AF87">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82BFEA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CPU（不含风扇）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AD5AFE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机架式服务器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2CAEDB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E0E5E6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849201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9892.33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860D78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3ABA6D7">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7B2C04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服务器主板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F8870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机架式服务器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0550FA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A4735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8CD8E7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4294.33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0E09B1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3AA248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B2C50E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19显示器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E27DE0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机架式服务器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A7E341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6A07BD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5BBD72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968.67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238AF4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09352B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147CC5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SAS硬盘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A77377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机架式服务器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A98A96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DA88D7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6480A8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9690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4C910B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6852A0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ED8F13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32G内存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3AB012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机架式服务器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2573EA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80A990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99E7D9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8162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044B29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7605FD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DAACF4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RAID-1卡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CDD97A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机架式服务器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C0FAD7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07FB41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E2C666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3421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860DF3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0C2DB6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74924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C179B0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监控操作台</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0A45C9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C8144B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6368A0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55A357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287AAF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E687DF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框架角铁</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9B68F9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监控操作台</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BAF08F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4F8C52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6B02A9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F5E5FA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D079F5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9B6626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盖板门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4EADF3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监控操作台</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18319B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D7EC3F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331D5C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9E3A39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A49A04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878A20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插销</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6EC9CB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监控操作台</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E44FED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7F10F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5FA6D0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334591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202FB5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596287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拉手</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C9A6BC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监控操作台</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B25FE1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B90E2A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05368D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0.41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AEA1A6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639DFA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7720FD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低压避雷器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DD6FBB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监控操作台</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B831C9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FED359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A2D75B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D09A63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7BD3B1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544C29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9E9B69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监视器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60E2DB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8FBEF0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40D2EC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8C7E58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F36620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190D36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监视器屏幕</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C0AB50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监视器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1D10BD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BBF251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EFDFCB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4929.67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0D4651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7843D6A">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45B24A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主电路板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79A9F9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监视器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1E869A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C29D56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BECB0E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963.67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24C632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5AC8283">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734BD1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高压包</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D47BE7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监视器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462358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6ACE15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14D001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321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2099BD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96D6CD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617BBA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显象管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786A3E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监视器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34A8B2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DC9B79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E94832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662.33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277651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919B9B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5F4120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F652FD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交通信号灯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7E886D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E89FA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E5A739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1581.33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F10F87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1AC44E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AF56C7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44E7DF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交通信号灯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2439F8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74B273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92BBBB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770.33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DCD8D2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1E767E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8DBBC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开关板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0CC83D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交通信号灯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0EAD11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B64D84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6C9924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571.67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DFD851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B2DCAC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58A94C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继电器输出板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07ACAD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交通信号灯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1C59D8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53A5AE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ABE359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E1AF4C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7054FB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6C9865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C32B0A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节点光端机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FB0181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198016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F7A428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1550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0570FC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4A4EF5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1CED93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77021B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节点光端机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3CA6AA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76A8E9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DEC1AD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3400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5CF16A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6EEA20C">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67FB5C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情报板电源模块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C6E4C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可变信息标志（室内LED显示 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E7681B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35AD8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F34F36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423.67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D6A6D4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656BAA6">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BCB5FD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主控板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4282E1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可变信息标志（室内LED显示 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47C2B2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A903D0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A810DE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2354.33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40030A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7C4399F">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8435F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主控板电源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BB5779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可变信息标志（室内LED显示 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BBAC89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7AEC4D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6C2408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5332FF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6A31C26">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DE384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LED显示模组</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C6384F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可变信息标志（室内LED显示 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0F1540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5311E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86E063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2095.67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FF1B46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E5F7817">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A7BCF4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数据传输板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ACA7DE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可变信息标志（室内LED显示 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54BD9F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9F669B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D41A0A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5429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9BC784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8DF86A7">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F8ECF9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显示屏电源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4BEA76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可变信息标志（室内LED显示 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128E23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87A98D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2455F0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750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A5C100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DFC487A">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23D91C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F0F5D3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可变信息标志（室内LED显示 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B779E4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7001CC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A5DCCD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551.67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B887BA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CE4B5F8">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2753A8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可变信息标志显示屏</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652139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可变信息标志（室内LED显示 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5C698E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EE53C0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B3C850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4757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BC9198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BEF62E7">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D25BCD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可变信息标志控制单元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BCA64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可变信息标志（室内LED显示 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E7CF35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A8FF65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FEB62F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6810.67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440905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DC942C2">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9B2225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可变信息标志立柱</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1DB549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可变信息标志（室内LED显示 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648220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84E613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1F3DFA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1218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3D7183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67937AD">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D12F69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LED屏</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B8A470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可变信息标志（室内LED显示 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2D3F1B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7EDFF2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0637CE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224481.33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3BB60B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0C2380D">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359A55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通讯板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129BF7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可变信息标志（室外门架式）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9A4356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BA1176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E0B3DE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746.67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052BA5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7017E68">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5ED0BE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感光器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1EED2E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可变信息标志（室外门架式）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21DE49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FD7A50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EE23F5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8A542D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B1FDA84">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F5B28E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显示电源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73C3C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可变信息标志（室外门架式）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CE6B84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A393D3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0EF09C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766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D56EF1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673E32B">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00ECF8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CMS电源供应器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33C0BC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可变信息标志（室外门架式）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19D227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44128A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2C118D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1379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4E37E6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069C1C5">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6DECE9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终端控制器电源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CA8A5A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可变信息标志（室外门架式）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CE83BA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44662A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B43250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9EFD27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E4DA8A1">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43B98A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供应器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D5C22B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可变信息标志（室外门架式）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2ABF35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9A2061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7CFE1B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D13090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B498689">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44B21F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门架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1622BB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可变信息标志（室外门架式）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E32D28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EC486B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470573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2862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4CDEEA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DE676C7">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EBB180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A9496D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可变信息标志（室外悬臂式）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16C4E1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2FD805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2320A6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4C53DF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1CFC8EE">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D67B8E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感光器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F2CBB6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可变信息标志（室外悬臂式）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21E173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76D66A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B0908E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4A7BB7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3C612E5">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B5C203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显示电源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84D8C7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可变信息标志（室外悬臂式）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21295E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E0ED07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960022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745.33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33F705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433B4DD">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0CFD21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CMS电源供应器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FBC137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可变信息标志（室外悬臂式）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D43F59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331FD5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FD00D9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1427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BA6AC7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9954D41">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EAE556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终端控制器电源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10E54E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可变信息标志（室外悬臂式）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DD47D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D19D5F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332ADC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292.33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A40F8C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75743B3">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FC171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供应器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B26997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可变信息标志（室外悬臂式）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2DAF35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4B5A9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842870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B423E2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2603BE0">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9CCE23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立柱</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40F876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可变信息标志（室外悬臂式）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2C9C34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15513E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7E90C4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3962.33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2884F8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043F5E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0E5B29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控制码分配器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700A61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控制码分配器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EEFACE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BC8BB6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ECA8C6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6413.67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B791C6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2D2111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A3DB89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数据线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CDF8E0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758E1F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7E25D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239738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1130C7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AD398B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FE578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15AAAB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E545F6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5DC2D2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ABE4FB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204BD0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6203FB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2969E1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73BAA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70DA6E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1C8992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7A9221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E8DEF4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BB959E7">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E3A3F8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路由交换扩展单元RSEU</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BA4004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AB5C5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2033AF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0F923C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1672.67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0DDE57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9D071E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0BAD1E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路由交换单元RSU</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A14573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96315A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942696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3D1938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4950.67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A16052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98847D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CAF52E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路由交换热插拔控制单元RSHC</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D0B945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047EC6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245413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5E31F3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7858.67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530506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09C59B2">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C39028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第4代通用接口单元前处理板RT-NE- VIU4B</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22400A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A3A55F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B01E23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24F415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3513.67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58BD5F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D3AE38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929C9E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通用接口单元VIU4</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33333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E5BEDD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7C0AD7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5CBB64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1792.67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31D7C6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05046C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738410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通用接口扩展单元VIEU</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424B61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F6966F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99F114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667AA7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1000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202610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FDF8C32">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2B8B50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高可靠控制单元HAU</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304F0B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F9327A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B64C14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356AC0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4063.33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F13A64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D0CB37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E124B2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告警单元ALU</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EDA141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路由器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F40EEF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91BB62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727896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11356.67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2CFE83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0DBADD1">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B4CBCA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电力变压器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9ED70B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落地式变压器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50ACCF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A66E6F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8B68E0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34644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E72B02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47C910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6A7FDE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高压电缆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5C330C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落地式变压器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C32F0D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94DA0C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21DA8C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6E0432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3F116AE">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9D5527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接地装置</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7C8DE7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落地式变压器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00C640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665919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18E56A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383.33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C9ED22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75E195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2FFFC5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181258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气象检测仪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2893FD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66259B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617D10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29889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ABA47B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68D2DE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FFEDA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控制器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F15F29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气象检测仪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80727E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592752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EA42CE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1442.33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B5BA9C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1F234C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126E56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气象监测器传感器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C3CD07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气象检测仪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415D92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539172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A3AB09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39190.33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894DD1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FA81A7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3DEF74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连接件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BC141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气象检测仪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008009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E0C7EB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0654FA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9AD7D2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60509A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F0B148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数据处理单元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71F50B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气象检测仪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76855E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8B31A5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A0541C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1153.67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6B983E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598344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A4F5CD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浪涌保护器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1A9D83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气象检测仪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BD942C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8E2882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58D45A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187.67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7B63EE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7DFE0B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1B6EF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工控机风扇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67E24C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嵌入式车道控制器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05493D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7B7B05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CF5A7C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732EDF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98537D7">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2BBB67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继电器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654276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嵌入式车道控制器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579A13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62BB22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55E217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347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7378F6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44A9EC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6BBE94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1F12F2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嵌入式车道控制器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CAA7CE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3876BD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D3FE1A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511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6BFB9D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3D6756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DBA92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开关板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984172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嵌入式车道控制器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B7860D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427409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0E5B4B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583.33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7521AB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D050A9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561EC5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车控器开关电源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8B546B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嵌入式车道控制器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65896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B56235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296AD7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306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989F83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BDC0ED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574E35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工控机电源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041F37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嵌入式车道控制器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D270AC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DD564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E81993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398.67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CE016E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DC6F91F">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431FCF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工控机CPU</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CC14AE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嵌入式车道控制器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E63068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7FDA8D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942B3A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1600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EF37B1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FA7C68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55028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车控器电源线或空开</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F3080A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嵌入式车道控制器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2C4D2A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3D1081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530042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E1CBDB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7B928A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2777B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输入端子单元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CBAD41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嵌入式车道控制器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668287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4E42AA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0460E7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188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AA56FA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225933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55906A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BNC接头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360FDC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枪型摄像机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AF55FB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266AD5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81436E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A8BD98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768F77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68DB07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4B8DA3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枪型摄像机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2987E4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F30F46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41E183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7795.67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1940AA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9CB840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0E976E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外壳</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784556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枪型摄像机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ACC1BF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35945B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2D3804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377.33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6ECE9A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82622A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F95DA4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2E319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枪型摄像机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D5AEE8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47CD3D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3D76DB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A98EF6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A69CF6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A0C5CC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74F03C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枪型摄像机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517EF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A811CC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63AD88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A91E77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05F278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8471A2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防雷接地</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AC2512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枪型摄像机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BB05E6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82233F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3314EF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5AE722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9C8FE7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D7B53B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摄像机立柱</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F472A6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枪型摄像机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832C7F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F2D8BE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15CA92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1020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AD1482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ED7880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ED70B6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云台继电器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ADD1EC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枪型摄像机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FF1654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AC7DB4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033A48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617.67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83CC82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0F9EC5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D89C0F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摄像机解码器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8BDAB5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枪型摄像机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F61EA2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A6024E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574396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3770.33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6CB514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28D4422">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EED378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扬声器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D78E3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强指向扬声器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1BE956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777648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A5807B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857.33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E2C3F8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2A3642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07B810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BNC接头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D11B7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BBE239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8679CC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9F63C5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675720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9B50CA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145490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防护罩</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A0FD29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C0D8E3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F14CA4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BA04BE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F8B9A8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55F3DC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1B459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镜头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EEA0C4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3E6927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F8E4E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16B371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636.33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92CC3C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489EE6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1D0B8C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解码器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F4D95D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E793F8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C8603C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C4B501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2738.33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04D678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5FFBE8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A8BB40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C85EC0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8BD661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502897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D60D03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621492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178223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F3CE9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防雷接地</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ED1174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676189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B9A3BF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6FC184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03D0F1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E4256A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8C5A1C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摄像机立柱</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0DC129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球型摄像机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5C195F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EA2717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8E84C3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1023.33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2C1576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D0FC3B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202BE1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PLC主控模块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E42B95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区域控制器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0CD21B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8940F2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31512B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26421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A7B08D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2354E0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0D48E5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模拟量模块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564616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区域控制器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6FADF6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1584FF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400E51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8933.67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16170E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6DE59E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1FFED1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输出模块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2365C5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区域控制器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A80AA0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506B7A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DBFC8C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1730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187193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F30CAF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2B920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输入模块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18D658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区域控制器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87D411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835EC2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7B1D51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1063.67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C47F28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1CED98A">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DE8159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箱体</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B90246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区域控制器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3D2781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C56B67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5A1F8F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832.67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1D84B5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E9D2CD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77C5EE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95261C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三层以太网交换机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87D9AD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5A9B62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ABE72D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747F55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49D9A9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ECEA43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8800B2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三层以太网交换机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338EA8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98B081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5C1AD7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973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228DC7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134481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D406DE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交换机风扇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BC4B84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三层以太网交换机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4DDECE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0D56E5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6F61FE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763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B337C4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9EB5F9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DBED4C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光接口板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CF5AD2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三层以太网交换机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7FFDF4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E2545D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6F41E0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2060.33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E3171E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CE0A53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5BF184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电接口板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F13D96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三层以太网交换机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788FED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DA4780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99EB30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1963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84652B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3846C6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12E8A7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主处理器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183CC1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三层以太网交换机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838FFF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DC0ABB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388F3A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943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7F956D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CE70AD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A3EF15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交换网板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BBDC5E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三层以太网交换机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A5F638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879F5B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9D3D50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973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EA14BD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4943F3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6969EA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报警监听按钮</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B509B3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声光报警器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E5FA28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5EB50E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F8AFC9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209FF4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CBCABE3">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64AA9D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962EDD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拾音器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34BC65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D050B5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591D01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5E9FDD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4F4A473">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D1B062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数据线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0C90BA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视频编码器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BD0996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C98C8F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C61DA4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31.33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0FFEB5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F1695C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855B7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B7DF6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视频编码器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A760D2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DE2859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62B496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5AB7E3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D242A9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07C757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1B33A5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视频编码器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3D1C27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11F4B7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89FF3F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B5E565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B6A5AB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F83BA6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视频解码模块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B92D47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视频编码器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AECB06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538C9B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E9F716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366.33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5CD98C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ACE8D3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A26EB3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数据接口模块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21A2A1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视频编码器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0CDAC6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D5B51B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35ACE1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2518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DA0544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16AB97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10CA49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D13096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视频分配器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E5B7D8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6EB226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59356A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07130D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CA177DA">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658CCA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视频接口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7B065F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视频分配器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544B2E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79069F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A3EE47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2515.33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9D006C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404202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97FEBC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视频分配器模块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B859F7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视频分配器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04468F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B7B641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7BB54D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771.67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8B1B1F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BC1B6D3">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D51409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数据线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127E04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视频解码器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1D50F6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5BD31B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62A36D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C87AB4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1A7C61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18FB12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08C837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视频解码器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99CDCC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1CD99A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78BD24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A0EB7A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3B1BF6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C679DC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E1C95F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视频解码器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9B1EC5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9C4082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07A0F3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237.33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5A5C63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4C781E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508148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208578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视频矩阵主机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512EA1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1ABBE4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4AFE45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2958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AD8A89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6DFF4AF">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4CFD38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矩阵控制线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3F30D5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视频矩阵主机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E53323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8B98A7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102036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54A1A4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D96F3F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8BAA90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矩阵控制器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BF3480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视频矩阵主机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F1E661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C3F79B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A2E2B6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1955.67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8436C1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85E1EEF">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3193D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视频输入板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A6734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视频矩阵主机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465782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3BF622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02496C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5464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6B8533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8D64BEC">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DD56D2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CPU风扇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FC918B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视频事件检测器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0C6942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D2F5EC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D550A9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283E43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CABD9B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02B7CF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检测器散热风扇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F650C1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视频事件检测器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28D560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32905B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7CCC41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640.33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58AE62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2ADFFF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7CCAE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检测器主机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25FABB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视频事件检测器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B4A66D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05903A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1EE069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5572.67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37ECDE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7EEEAB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84199E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检测器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7B9C6F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视频事件检测器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D14188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6FEB2F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4255E9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6603.67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8AB8A8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95F936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3AF176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视频采集卡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F2137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视频事件检测器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86AC4A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30720C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张</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381FBB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912.33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CA1770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B171F2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2A6535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检测器芯片散热器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1D8460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视频事件检测器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102C24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1E3C17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981910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650.33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AA5861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DFF1A3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113682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09038A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手持式收费机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7D9277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0CBFC2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C959B5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276434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447D3A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E9D5E4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板卡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636FA4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手持式收费机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62B3A0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35DCAA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035283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2557A7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657E45F">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28FEF9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键盘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6E7044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手持式收费机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79B761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20D9AC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EF7C97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2F7C54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B2CE54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4E0F77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显示屏幕</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58270D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手持式收费机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82EBA9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3B8592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241903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845DC9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DB16B2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46391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手动栏杆销钉</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AE139F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手动栏杆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D79738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752B24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A8D2CC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4FB748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5F7B71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A67AA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装饰球或防雨帽</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614389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手动栏杆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0CA9B3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7B181F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FD2E92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9470E2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ED87CF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B3849B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手动栏杆立柱</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970F9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手动栏杆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E226AA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962F0C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3BC917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452.67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4251D0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AD01E0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23F42F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横臂</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FF89D6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手动栏杆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FBC321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1D9B4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7E8DC6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393.67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B5C30F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53AC87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D1C83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拉铆钉</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9FDFA5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手动栏杆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F79638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EECD57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EC512E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972693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078F30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B28FEC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手动栏杆卡头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EC3F78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手动栏杆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EFCF0C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8AEF01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A3D99B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83EE8E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47133C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B1128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转向轴承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C4A48E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手动栏杆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8DBA08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CA965D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9B5591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D280C6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A17B9D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5DBF0A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禁行标志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1ACC3B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手动栏杆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BDDE78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B08E76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FA29A2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C00E9D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D068577">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B424E8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模拟用户端口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9CBFC9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数字程控交换机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1A7163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20CD7B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1BD1C4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389.67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EF235C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A165FDE">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E3ADC1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数字用户端口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31AC24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数字程控交换机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49C597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D21EA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932CA4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10007.33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C86CA9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AE7DC1E">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76881C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数字中继线端口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F4820C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数字程控交换机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D1EA94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C50854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81593A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544.67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ECEB44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FC1A36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F4452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模拟中继线端口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50F178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数字程控交换机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F07899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F371C8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04D845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995.67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8DBB52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85EC52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2A6D1D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维护终端，计费终端端口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4CD88D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数字程控交换机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C066DA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DA890B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6C433B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4923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000C3A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47B4913">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6BDF05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维护终端，计费终端（含告警装置）</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FBAE40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数字程控交换机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FCB660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9168AF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0DEE15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8961.67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177300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EF9433F">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8AF3C6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话务台</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5AC7DA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数字程控交换机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55E3C4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B3B2EE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8826BB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10663.33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E6A4C2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1D2252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95AD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112测试系统</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81F1AA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数字程控交换机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C4E993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E599CD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EE1C7B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17833.33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6B8278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D3021A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5E8870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手柄</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49148B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数字电话机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4A0B77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4ABB95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AF1CEF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99CBDF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FF765F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A876EE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手柄连接线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8B6D4C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数字电话机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90DEB5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609B3D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D45B73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691BC7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EE81EE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10F749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电话机连接线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8F7D59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数字电话机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6C9BF7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4C25E1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FA084D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C1579A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3B3A97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9F6891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电话机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1F5226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数字电话机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43578F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26FB59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2962B5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864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60A498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A85E25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E7929D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主控板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948429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数字复用设备</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42EF74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8D0BAD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A9C29A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1085.67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3F71FA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5E6F3DD">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D48346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60F8B1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数字复用设备</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56ECB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AC4AEC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672EBD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7256.33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1CDF96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609758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826255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中继板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A73ACC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数字复用设备</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2B8729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911B17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6D250E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3454.33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D7614D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4511A7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3EED9E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用户板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D2ADB6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数字复用设备</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03089E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1279B0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772CD7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1435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A40D5A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7EABE2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6714D4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3AE74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数字光端机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6C7D98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BEFC89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8EEE81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04AFD7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33759E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38CFA8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视频数字光端机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2735D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数字光端机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ED56AF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C7512D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260BA2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14370.67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3D1D07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CDABA5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D8078E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视频接口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4AB70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数字光端机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015AF8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AFC387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910212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AD5884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383B26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E2BFA5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自动空气开关</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830C2A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天棚照明灯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1A8B76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0915E8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3E47F5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FF70B9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4F6529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E5F4B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传感器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8DD1E6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条码识读仪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5E49A7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E072F9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4B94B3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3880A0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86EBAE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8CC2C3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BC962B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条码识读仪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7DD08C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5A6B5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792943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2803.67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D4CDAB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1707C4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B04FA6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接口板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906E3A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条码识读仪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858A49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BAFC2D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0D1DD7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339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E28E1F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8FFC61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35C32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电源适配器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318334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条码识读仪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27439A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FD5B0F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3F2A4A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337.67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EA3B26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EC3BBE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75EAAA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CIS头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5C4D9B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条码识读仪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BE0817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ED493F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C3D58C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1759.67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88483D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FC3BB0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60D82F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微电机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F65E7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条码识读仪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373607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C491E7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C233FA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F4EDEB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531C7E3">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2EB92A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传动机构</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265DBA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条码识读仪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8A9288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C83C09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58057F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390.33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7BC7DC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26FFB7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1CDF0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48AC94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通行信号灯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B59343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834E00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F8308F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0FAD95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C1F64F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D0F453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DE0582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通行信号灯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2A1C67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347092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7374C8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1008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F7EBCD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1420F0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B72126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变压器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239DB9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通行信号灯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0AA946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B0B73F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16C374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607.33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F90636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71D5F8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E4776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其他材料费</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68B34B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通行信号灯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57225D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721E53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元</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A637FD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62B530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80ADB4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CE5AC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4芯单模铠装光缆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21BA0E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通信光缆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8F9B68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EDB703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36CE9C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450BA6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C07EE05">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38BFE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8芯单模铠装光缆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CAC733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通信光缆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ECBDF5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E42E8F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7F00A9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ED3524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11E030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742FE3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24芯单模铠装光缆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01EAFD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通信光缆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44C7F5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5BDAA8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84313C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05A3E8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15B4B3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7672E1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16芯单模铠装光缆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C5FD63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通信光缆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3A9B5C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0AE625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CFE6F8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80A61E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A1D3CE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66144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32芯单模非铠装光缆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C8C47A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通信光缆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CA56A8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0F53C0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B0C90B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C19855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E6FFD1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EB69C7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光缆接续盒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E9DA20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通信光缆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05DB8B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6850E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988C2F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EAC98D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139A15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94C5F5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光缆终端盒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1F2C1E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通信光缆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906B72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1AE32E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2E2D36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2D5055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7EF99F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AEE25F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电缆托架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D3385D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通信光缆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CA374C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5C386E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91C188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5E5B22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E0D793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DF1995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电缆托架穿钉</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894F3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通信光缆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5532A7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2914CC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B3B72E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2B4682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ECF34E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5EFF7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承重支撑板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206AA0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4B6405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ECF02F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6B2F61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A9770C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406FEB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E2D3FE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机柜螺丝</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8F8A34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59BF2D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AC10B0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AD130C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0.22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648704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A6D41CA">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B65DC6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荧幕挂架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DC4A71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C4C0BF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C746D2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98D651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06CD67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3A0AEDA">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C81CE0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机柜电源组</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ACAC99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0A4DC9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FB0010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E2501E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CC7AF6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914059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660B01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滑轨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6506CD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66BA7E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B152D2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672CC2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D0F8FF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D75A64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026AD7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理线槽</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6D8CE7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675CC8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03519D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02CEDB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6A7C67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EE303A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5791D4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散热风扇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2660A8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FAFE5E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A1342D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FF89C0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F86BBE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84AD00D">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60EFD3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机柜门锁</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81637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769512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E5A3BE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6B8C96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A12A4D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B47B77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91C7D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门合页</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516F86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D459B4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262F4C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955EF3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0C6877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97F9D7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9557AB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机柜接地铜排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F5274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95BD6B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3496D5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2F59A2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32765F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295591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FC94EF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接地线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8E797B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7B56CC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61BDC5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5E02C8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419F33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B117449">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687400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UTP跳线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DAF949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通信机柜</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3E3A1F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EC892F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FBABD3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9FA86C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48BCE5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7A6CEE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人孔口圈</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55BC76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通信人孔</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CFDE50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3482E3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32294D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686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0B46B7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E5C9350">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2786B4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人孔主体</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0B7493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通信人孔</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27FDFE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EBE5C2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处</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7E1B12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855605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3B2ED16">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08C2B0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光缆接续盒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C5B392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通信人孔</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2AD75C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38CF61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1C9A82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045755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A1B8E42">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23E291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称重平台称体</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5BBA88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弯板式计重传感器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B3E2ED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B9702F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B59549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14752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D0EC15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2545FD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E2D2C2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称重平台框架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604AF0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弯板式计重传感器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CBAD8C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71C6B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851C93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4A0A7D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C3BDA1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9ED886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称重平台限位装置</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897CF3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弯板式计重传感器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2F4152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8DBE2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68BC7A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B76EBA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21E4857">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F2A451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压力传感器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3A9B87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弯板式计重传感器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1163B5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CEE71F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296B48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A9931F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2D0AB3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EC9FE4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网络视频编码器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62BFC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网络视频编码器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08FE6A1">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B8F612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68E73D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15494.67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1FE460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3C5615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A44694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控制盒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D882AB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微波/超声波车辆检测器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BDB1EA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03479D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831E56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1960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D3B374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818F338">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634DED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数据口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5559E7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微波/超声波车辆检测器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0AD3CA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0FBE0E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9F0C84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540200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2AB29A7">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037AD4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检测器CPU风扇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2FF08B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微波/超声波车辆检测器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CFDDD1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217DDA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89F13C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631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9C6976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833FEA7">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69C05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30486D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微波/超声波车辆检测器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FB50F90">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022E90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652394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3195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B6B8E0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18201D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DBD264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控制器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C727B4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微波/超声波车辆检测器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EF0855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C387B6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DE2F09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1777.33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6359AD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C61AE4D">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38DB03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底座</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DADBAF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微波/超声波车辆检测器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CE999A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8B856E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2EC02B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331E66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9EDBF5F">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A689D7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调制解调器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A6E6BE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微波/超声波车辆检测器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92E25D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A6E16B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C6B8A6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3577.33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4A99CB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CADC894">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0D35D7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发射探头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7B5F37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微波/超声波车辆检测器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A4A673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3665EE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954A1E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1461.67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ED42C2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FC208C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1F4A06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变压器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0BA193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雾灯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E66E4C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C63287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314416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B1E2D7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3B7370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1D81BD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雾灯光纤灯泡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AB063D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雾灯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BF20D8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FFF0F7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7017DB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F40603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21DCCF2">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6C6F1D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雾灯发光二极管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939A1D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雾灯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301DCC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97F1F2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CD9D2E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B7C142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5D69003">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C4C435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LED电源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4C0623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雾灯</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385546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D043E5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6D7CB7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588.67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FA69CB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403210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35FAF2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检测器CPU风扇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8CEA8B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线圈车辆检测器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B2AFD2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B3F5D8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8F39DA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642.67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4F4879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256589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716A33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检测卡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A8166F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线圈车辆检测器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1585C6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5DE0EF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2F03BD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6569.67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534B6D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E30BF1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591DC4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道路线圈</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7BC121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线圈车辆检测器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50FD493">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B5AF6C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BB9EF0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1243.67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712FAE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E309D25">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F1FDE9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4AC70F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线圈车辆检测器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676D9FF">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895E7C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9EA66F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3140.33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07D9E5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637939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A093B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机架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F41694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线圈车辆检测器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B6FAD78">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65E99A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63A6DD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1484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A93E15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A316A7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D26571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底座</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2E890D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线圈车辆检测器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F09160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A9F759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26F1AA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B5DD7E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BAC2B1D">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4CE99F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中央处理器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4F59C2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线圈车辆检测器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D7474E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7B6DCD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D4268F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4842.33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7C27FC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0FF0886">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6FED81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接线端子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9B5D5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线圈车辆检测器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FDC0B6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7AE84B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D26954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C39D07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80991C1">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2F6C55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接收器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FFE3B9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遥控报警接收器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7417356">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4F295C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9684CD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159406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C49E378">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229722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B0C393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音频分配器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EFB31D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5B5086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D101E3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E64637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49B714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9A82E7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音频分配器模块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40B43B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音频分配器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F320EC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E6D20A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B8ADAB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382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8F5B13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6F4B0B4">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A56825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音频接口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3D34EF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音频分配器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C897A9B">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1313F1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94EF4D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5144DA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6F1DDF7">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42BAE7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AD143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音频矩阵</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927D17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79C5B9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47265A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1332.67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3B2A1B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84DD41F">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7DD1E7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矩阵控制器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8E70E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音频矩阵</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32AF35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1C5368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5CAAE0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1019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B83BF4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C6BCA89">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CCF6E2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市话电缆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CC0725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音频市话电缆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DEEDCE7">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F9D625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3D23D9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3923E4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1E4543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E45D22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室内电话缆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79BB04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音频市话电缆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AC58D25">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7C4B4F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05FFAC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D25100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55D2097">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F8008B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高密度PE管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DDA3D0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音频市话电缆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864F1E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3A08D7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160260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0A0014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B10E2A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0B7EBA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电缆托架</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AD7C18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音频市话电缆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229294C">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02211B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60F644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787428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4E40CA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1D3184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电缆托架穿钉</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A58055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音频市话电缆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DD17309">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736DBF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EA249D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2F750D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796AFD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BC5913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分线盒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561008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音频市话电缆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55E76E4">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403CA9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080D54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983FD3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D8EB8B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AE51BD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26A7C5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硬盘录像机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A31295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B0CB6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1B374D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C9725B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E615AAB">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752340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硬盘2t</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7A1E22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硬盘录像机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86ED40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EC9F2A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46EDB2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510.67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BD9D22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7133333">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7E04D3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防撞卡头</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2FF94B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自动栏杆机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1F8365A">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A49CB5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C0A049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405</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75E489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DAA162C">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6A018C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大簧</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6E3375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自动栏杆机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5CE4B5D">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62DEAF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A9B670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343.67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6CBA5F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400D1A1">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12166F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变频器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978929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自动栏杆机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19C517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4ED4AC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E5B396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563.33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CB6986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70CA96F">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E76C1C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栏杆机电机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CF533F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自动栏杆机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5D7F6AE">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91F4A8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07AE44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480.33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5952DD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DA7D27E">
        <w:tblPrEx>
          <w:tblCellMar>
            <w:top w:w="0" w:type="dxa"/>
            <w:left w:w="108" w:type="dxa"/>
            <w:bottom w:w="0" w:type="dxa"/>
            <w:right w:w="108" w:type="dxa"/>
          </w:tblCellMar>
        </w:tblPrEx>
        <w:trPr>
          <w:trHeight w:val="2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CCEBB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栏杆臂</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F7C27B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自动栏杆机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90BAB82">
            <w:pPr>
              <w:widowControl/>
              <w:jc w:val="left"/>
              <w:textAlignment w:val="center"/>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FBF7DE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04D10E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776.67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78E6AE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E811A6E">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A431CE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收费广场高清球机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BB921A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84C41E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WTDC-IP0623MR206-A</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088428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66C530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11883.67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4BA69F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7F23D0B">
        <w:tblPrEx>
          <w:tblCellMar>
            <w:top w:w="0" w:type="dxa"/>
            <w:left w:w="108" w:type="dxa"/>
            <w:bottom w:w="0" w:type="dxa"/>
            <w:right w:w="108" w:type="dxa"/>
          </w:tblCellMar>
        </w:tblPrEx>
        <w:trPr>
          <w:trHeight w:val="87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9DFA9A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高清遥控云台一体机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47D492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56B7DC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WTDC-IP0623MR306</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7C5591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8F7B5B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10994.67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203697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F79F49F">
        <w:tblPrEx>
          <w:tblCellMar>
            <w:top w:w="0" w:type="dxa"/>
            <w:left w:w="108" w:type="dxa"/>
            <w:bottom w:w="0" w:type="dxa"/>
            <w:right w:w="108" w:type="dxa"/>
          </w:tblCellMar>
        </w:tblPrEx>
        <w:trPr>
          <w:trHeight w:val="87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31CB30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高淸固定摄像机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F0CF0D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E7FD45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WTDC-IP0620M0F10-S</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90166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5D4300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2760.33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842A32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A334312">
        <w:tblPrEx>
          <w:tblCellMar>
            <w:top w:w="0" w:type="dxa"/>
            <w:left w:w="108" w:type="dxa"/>
            <w:bottom w:w="0" w:type="dxa"/>
            <w:right w:w="108" w:type="dxa"/>
          </w:tblCellMar>
        </w:tblPrEx>
        <w:trPr>
          <w:trHeight w:val="87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4AA4F8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亭内(金库)高清半球型高清网络 摄像机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4B8D63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1FFBC0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WTDC-IP0621MRZ21-A</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ADC1DA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96B28D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1937.67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F0BFE9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31C4049">
        <w:tblPrEx>
          <w:tblCellMar>
            <w:top w:w="0" w:type="dxa"/>
            <w:left w:w="108" w:type="dxa"/>
            <w:bottom w:w="0" w:type="dxa"/>
            <w:right w:w="108" w:type="dxa"/>
          </w:tblCellMar>
        </w:tblPrEx>
        <w:trPr>
          <w:trHeight w:val="5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BA0DD5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外场摄像机立柱</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556FC6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51D2FE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标准摄像机立柱</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BC3141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5E5D2F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6717.67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CDC866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AAFFA5B">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DDAEC7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外场摄像机基础</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2AE50B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45AA7B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标准尺寸</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4E1C6C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4942F1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5436.33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3DF5AE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0BEC28C">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C24612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摄像机配电箱</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AB0FF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34D3AC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不锈钢</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4D4E79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6C4888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1979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CB5AD1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3F10243">
        <w:tblPrEx>
          <w:tblCellMar>
            <w:top w:w="0" w:type="dxa"/>
            <w:left w:w="108" w:type="dxa"/>
            <w:bottom w:w="0" w:type="dxa"/>
            <w:right w:w="108" w:type="dxa"/>
          </w:tblCellMar>
        </w:tblPrEx>
        <w:trPr>
          <w:trHeight w:val="87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13A315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高清远端接入模块（1 路高清，20 km）</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0832D6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371594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VAMpro-HA-NG1012y-D</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E7AD91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9E8075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9063.67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56E4F9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97C4C20">
        <w:tblPrEx>
          <w:tblCellMar>
            <w:top w:w="0" w:type="dxa"/>
            <w:left w:w="108" w:type="dxa"/>
            <w:bottom w:w="0" w:type="dxa"/>
            <w:right w:w="108" w:type="dxa"/>
          </w:tblCellMar>
        </w:tblPrEx>
        <w:trPr>
          <w:trHeight w:val="87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FF0C86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高清远端接入模块（4 路高清，20 km）</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346538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BFEDF4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VAMpro-HA-NG40021-D</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BC83E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C172A7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14422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FC4BC6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1DF6AD4">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08154D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远端模块电源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CA1C28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4B1AFB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VAMpro-P305-4</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FAF735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8E9E69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03F279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1057DA8">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3123B1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高清智能摄像机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D7155F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FFBCD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IDS-TCV900(20MM)</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A099EE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E22919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4432.33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F37F6D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64C2780">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AB2711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高清智能摄像机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AA88D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F4DA43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IDS-TCV900(50MM)</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0A1A63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471D2A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4432.33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DAB78F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248A6EB">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293FA7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高清智能摄像机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1FCA46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43D242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IDS-TCV900(70MM)</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8A16A8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381706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4432.33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7C1D65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F6E71A6">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8383AA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毫米波雷达</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02EAB6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监控设备（大华 海康 宇视 华为）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97251A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ACC7322</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1B264B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3CE461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2881.67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B6366D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2BBBE8F">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B0AB1B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毫米波雷达</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4508D1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监控设备（大华 海康 宇视 华为）</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141ED3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ACC7322</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9356D5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1B02B6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2881.67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E7CBF1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E769165">
        <w:tblPrEx>
          <w:tblCellMar>
            <w:top w:w="0" w:type="dxa"/>
            <w:left w:w="108" w:type="dxa"/>
            <w:bottom w:w="0" w:type="dxa"/>
            <w:right w:w="108" w:type="dxa"/>
          </w:tblCellMar>
        </w:tblPrEx>
        <w:trPr>
          <w:trHeight w:val="109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78A285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接收光盘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A39D0B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视频网络平台（海康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709083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VAMpro-HA-RF08200</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08D435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65CD87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20462.33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2E8223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7B4DBF8">
        <w:tblPrEx>
          <w:tblCellMar>
            <w:top w:w="0" w:type="dxa"/>
            <w:left w:w="108" w:type="dxa"/>
            <w:bottom w:w="0" w:type="dxa"/>
            <w:right w:w="108" w:type="dxa"/>
          </w:tblCellMar>
        </w:tblPrEx>
        <w:trPr>
          <w:trHeight w:val="109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5B4A69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电交换盘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E687D1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视频网络平台（海康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994EEE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VAMpro-RF00500</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19E935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B879F5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6914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CF8968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729D539">
        <w:tblPrEx>
          <w:tblCellMar>
            <w:top w:w="0" w:type="dxa"/>
            <w:left w:w="108" w:type="dxa"/>
            <w:bottom w:w="0" w:type="dxa"/>
            <w:right w:w="108" w:type="dxa"/>
          </w:tblCellMar>
        </w:tblPrEx>
        <w:trPr>
          <w:trHeight w:val="109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06781C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电路由接口卡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DEA6A1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视频网络平台（海康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4F5A49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VAMpro-CI0005</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EB7223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2A8AC7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990.33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BEE11B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06F84C1">
        <w:tblPrEx>
          <w:tblCellMar>
            <w:top w:w="0" w:type="dxa"/>
            <w:left w:w="108" w:type="dxa"/>
            <w:bottom w:w="0" w:type="dxa"/>
            <w:right w:w="108" w:type="dxa"/>
          </w:tblCellMar>
        </w:tblPrEx>
        <w:trPr>
          <w:trHeight w:val="109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AE5B35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高清视频解码盘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91DDCF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视频网络平台（海康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9B2807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VAMpro-D8022</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FF635E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37FE53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46457.67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C89758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578A5CC">
        <w:tblPrEx>
          <w:tblCellMar>
            <w:top w:w="0" w:type="dxa"/>
            <w:left w:w="108" w:type="dxa"/>
            <w:bottom w:w="0" w:type="dxa"/>
            <w:right w:w="108" w:type="dxa"/>
          </w:tblCellMar>
        </w:tblPrEx>
        <w:trPr>
          <w:trHeight w:val="11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144B47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主监视器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3CCC0C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视频网络平台（海康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10B7F6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42”，分辨率 1920*108 0</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1249E9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4E3E0F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6804.33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53A37B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512A903">
        <w:tblPrEx>
          <w:tblCellMar>
            <w:top w:w="0" w:type="dxa"/>
            <w:left w:w="108" w:type="dxa"/>
            <w:bottom w:w="0" w:type="dxa"/>
            <w:right w:w="108" w:type="dxa"/>
          </w:tblCellMar>
        </w:tblPrEx>
        <w:trPr>
          <w:trHeight w:val="109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07D6B0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工业级硬盘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6800FA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视频网络平台（海康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9E4B21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8T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591CA7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5111F7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1959.33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CF0986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9B5B5D1">
        <w:tblPrEx>
          <w:tblCellMar>
            <w:top w:w="0" w:type="dxa"/>
            <w:left w:w="108" w:type="dxa"/>
            <w:bottom w:w="0" w:type="dxa"/>
            <w:right w:w="108" w:type="dxa"/>
          </w:tblCellMar>
        </w:tblPrEx>
        <w:trPr>
          <w:trHeight w:val="109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7EAC7E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控制键盘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503033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视频网络平台（海康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FA028B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E4670A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F5CD31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10658.33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71C09E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F595987">
        <w:tblPrEx>
          <w:tblCellMar>
            <w:top w:w="0" w:type="dxa"/>
            <w:left w:w="108" w:type="dxa"/>
            <w:bottom w:w="0" w:type="dxa"/>
            <w:right w:w="108" w:type="dxa"/>
          </w:tblCellMar>
        </w:tblPrEx>
        <w:trPr>
          <w:trHeight w:val="5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B0D024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视频网络平台深度维护</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D1CE7E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8F99D2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B0DB96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次</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88E8A0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44746.67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F51C75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817E1BF">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1CC72B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协议转换器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B5A058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情报板（三思 科野 电明 moxa）</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792586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456D50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236D39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495.67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C61341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8AF5505">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73C273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直流开关电源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9BA3A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情报板（三思 科野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867384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5V10A</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AE6F22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8E5A84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388.67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D747B6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FB527B3">
        <w:tblPrEx>
          <w:tblCellMar>
            <w:top w:w="0" w:type="dxa"/>
            <w:left w:w="108" w:type="dxa"/>
            <w:bottom w:w="0" w:type="dxa"/>
            <w:right w:w="108" w:type="dxa"/>
          </w:tblCellMar>
        </w:tblPrEx>
        <w:trPr>
          <w:trHeight w:val="825"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D6D8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直流开关电源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040475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情报板（三思 科野 电明）</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FD7FE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5V100A</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10D6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30BD04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639.33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74225E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60A8ABA">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3C0BF8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工控机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47FFB5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情报板（三思 科野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CDA81B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工控机-V5</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5AF110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82D720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7782.67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27BE4F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70076B5">
        <w:tblPrEx>
          <w:tblCellMar>
            <w:top w:w="0" w:type="dxa"/>
            <w:left w:w="108" w:type="dxa"/>
            <w:bottom w:w="0" w:type="dxa"/>
            <w:right w:w="108" w:type="dxa"/>
          </w:tblCellMar>
        </w:tblPrEx>
        <w:trPr>
          <w:trHeight w:val="825"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8DC9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12V60A 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0B41AB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情报板（三思 科野 电明）</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2F5B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情报板电源</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94FA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080F81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507.33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EBB001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5247EF7">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7D6E89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扫描板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AA636A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情报板（三思 科野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58CB02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14E236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DB012F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2274.33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6D42F3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FE20F47">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4279AB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显示板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E67B8F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情报板（三思 科野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C2FF56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6E6858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49D515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1432.33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246C43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CB5B387">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E70F17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亮度传感器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DEBE71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情报板（三思 科野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E0DA2D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CLD 1XHM</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C2DF0F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983321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334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92572E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5E84B13">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1B5111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情报板防雷器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A5D916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情报板（三思 科野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29FBB1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三相电源防雷</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4D839D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62EDB1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E971AB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93A60A8">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B94F00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情报板主控板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BC8BAA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情报板（三思 科野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EAE1D9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8B12FC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083831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0481AD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8DF3637">
        <w:tblPrEx>
          <w:tblCellMar>
            <w:top w:w="0" w:type="dxa"/>
            <w:left w:w="108" w:type="dxa"/>
            <w:bottom w:w="0" w:type="dxa"/>
            <w:right w:w="108" w:type="dxa"/>
          </w:tblCellMar>
        </w:tblPrEx>
        <w:trPr>
          <w:trHeight w:val="300"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AC97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光纤收发器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030FD6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2754FF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989E63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A518EE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771.67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5E3A28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53C92BD">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62FAAA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协议转换器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DB2BE3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D38B70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3D32A7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711E32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311.67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4448F5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EE679FB">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FD6401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 口串口服务器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9658D9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7F6C96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MOXA</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198660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E8FFC6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4402.67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4D3DD8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0C4ED1D">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AE2684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光端机电源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AC73A5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8151D0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DC 12V2A/DC 5V2A</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D085D9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4FAD92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6694D3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60A2178">
        <w:tblPrEx>
          <w:tblCellMar>
            <w:top w:w="0" w:type="dxa"/>
            <w:left w:w="108" w:type="dxa"/>
            <w:bottom w:w="0" w:type="dxa"/>
            <w:right w:w="108" w:type="dxa"/>
          </w:tblCellMar>
        </w:tblPrEx>
        <w:trPr>
          <w:trHeight w:val="300"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91DB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光端机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786E24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4BF5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1D</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D251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5952EA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1696.33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72AF51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AFE93A8">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DB2BA7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光端机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CA7E76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0645C0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2D</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ACEE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64F8E3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2757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510A7B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5C7ED55">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3738A1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光端机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28684E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DA664B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4D</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3B56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902E4D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4278.33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F12F82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7BC79C1">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1E889A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尾纤</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0F5B93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DCF3BE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239433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9D36C7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EF4FDE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A8D798B">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497B2D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电源防雷器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AB5824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易龙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053CE4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EPP   20S</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A1CAC7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911400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5D2FF0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4E00B6C">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07C9B7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数据防雷器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765197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易龙</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C8FDAE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EPL</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5CCB6F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994EC2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134E27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5D8D86A">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223308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公牛插座</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B09CCD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203279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6  插</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E13D3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9A026A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FF85B7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459CAAA">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AF3369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公牛插座</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F82481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415C47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10   插</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21F2F8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16DF76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2B7E85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A3D2ED2">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3C099D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五口小交换机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EDBF01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6970B7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B9F649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CE1D93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F577C0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C004C39">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839FCD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摄像机电源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3A49F3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D7BD64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86A245000</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2D8DDA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4BB2FE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C2A40A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0A460EF">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278E79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补光灯</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359979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其他设备（海康 威创 大华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F19993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CXBG-1-PS-DS-TL2000A</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41761E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013474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1688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EA2A51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C87EF1B">
        <w:tblPrEx>
          <w:tblCellMar>
            <w:top w:w="0" w:type="dxa"/>
            <w:left w:w="108" w:type="dxa"/>
            <w:bottom w:w="0" w:type="dxa"/>
            <w:right w:w="108" w:type="dxa"/>
          </w:tblCellMar>
        </w:tblPrEx>
        <w:trPr>
          <w:trHeight w:val="585"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279B2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小挂箱及内部配套设备</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377D10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69BCE3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XIN-SHB-V6</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243F74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472B8C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772.33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026D36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A734A90">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5ECA17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通信电缆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1FC51E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7E044F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HYAT10*2*0.5mm</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1C3B82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C7DE34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484EC8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30E8EE1">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4006DC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通信电缆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F7F26E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C04690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HYAT15×2×0.5</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03ED83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5FA5EB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10FB7E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1748AD3">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08C1A8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通信电缆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9E300F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4A7EB1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BV16mm²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8F31E3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1DAC85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13.18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143CF4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13EA8C7">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EFE8FE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地线线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6E457A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1048D3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BV10mm²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6AA837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682828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8.08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7D6A9D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79D8693">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BDD7D9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检测线圈电缆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B27AC2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C0500A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RV-105 1.5</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6F608D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7BEE11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3.24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0CE5B9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37AFA42">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140AED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信号电缆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981189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89A586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RVVP9×0.75mm²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43EAD6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38E382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11.62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20E23A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87C80FB">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FDFBD7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信号电缆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573BEE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470048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RVV5×0.75mm²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86B847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FC6A57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5.03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2C7DD2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5AF615A">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6CE62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信号电缆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BC6C6F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3CB557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RVVP3×0.75mm²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A9B3D8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09448D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3BA85E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39BDF41">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436BE9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信号缆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33B963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FFF1F5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RVV-2*0.5</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9611DA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DBB3E1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34B1CC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1661233">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DD075E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信号缆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14764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AF79B5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RVV-3*2.5</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80DFCE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BAC875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7.18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4D0980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7DBED3A">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3D5027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信号缆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DCBBA0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BACD75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RVV-2*2.5</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0CD156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6BB7F4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20F166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75B7C12">
        <w:tblPrEx>
          <w:tblCellMar>
            <w:top w:w="0" w:type="dxa"/>
            <w:left w:w="108" w:type="dxa"/>
            <w:bottom w:w="0" w:type="dxa"/>
            <w:right w:w="108" w:type="dxa"/>
          </w:tblCellMar>
        </w:tblPrEx>
        <w:trPr>
          <w:trHeight w:val="825"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28823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屏蔽信号缆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C17848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3996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RVV-2*2.5</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0583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C24E32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E2B8A0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C2CC3F5">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B3A19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4 芯屏蔽信号缆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54B230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E8AAEA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RVVP 4*1.0</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95B664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270A12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6.13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5E3B89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7B099CF">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C665ED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控制信号缆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E51AAA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E0CEA9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RVVP 5*0.75</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0906A7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F5209C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94D5B3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E7C533E">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D094B5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低压电力电缆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89C9B8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B07701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YJV-2*6mm²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76431B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9D33F9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83AAFF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011A619">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2924F3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低压电力电缆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1F499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FBF7A5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YJV-2*10mm²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FC456C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A41288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0BC3A3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D67B707">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01DD25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低压电力电缆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31A40F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13B583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YJV-2*16mm²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CB4F67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55F6EE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29.1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92E39A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D04C584">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EE57A2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低压电力电缆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48D33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7FC46B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YJV-4*10mm²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431459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146FE9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BA250D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093706D">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B1A23C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低压电力电缆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4DB116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336CE1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YJV-4*16mm²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88E35D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2B4EE0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21D13F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9EBFA4F">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34CEF0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低压电力电缆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97A82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BEBB51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YJV-4*25mm²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C8E42F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8ABC5E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90.7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0D36C3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B09D110">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CEE919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低压电力电缆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7547FC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FB8113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YJV-4*35mm²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37A913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021405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6AE629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8486095">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2A63D3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电力电缆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E8717C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FA750D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RVV3*1.5mm²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0D4CFA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F2FE0A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ACA91C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A96F8D3">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BADF85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电力电缆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C1BFA2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其他设备（中策 万博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858123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RVV3*2.5mm²</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5BEB6D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0795C8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7.11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ADF7BA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F60DC96">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CD4AF7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65B2E0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其他设备（富通 中策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301DAA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GYTA-4B1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92DE1C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03C6AF6">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8E0491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9BE70D2">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1FB292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B67968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其他设备（富通 中策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006006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GYTA-8B1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14A169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252121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18C2D9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140D4A1">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9FAF62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BC1925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其他设备（富通 中策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C18674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GYTA-16B1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F3EEDC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C35B79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3D1589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BA93E5F">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F29DF4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468A3B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其他设备（富通 中策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D5E021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GYTA-32B1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A831F4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354728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9B9E59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B838A12">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6CABA0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A4F472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其他设备（富通 中策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E698E3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GYTA-38B1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282A9A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9B3504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F1C4B5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0025F6A">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054AE3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BACD12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其他设备（富通 中策 远方）</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FE1404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GYTA-48B2</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F6ACB1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EFE042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1F21AF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8FC0AAA">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613108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光缆熔接（主线）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46D7BD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73486F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529F9B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65C8D8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1103.33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7AD936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0CF8082">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832037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光缆熔接(收费广场）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1BB885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269DCD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24A64F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B106CC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992.67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029708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9A491A3">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381A00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光缆熔接芯数</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EE49A6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304952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A198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芯</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711F59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7072F0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7B29BC3">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973EF7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光缆熔接包</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FB736A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2B8469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3M</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279B37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1E6286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383.67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5A7F6C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98E8477">
        <w:tblPrEx>
          <w:tblCellMar>
            <w:top w:w="0" w:type="dxa"/>
            <w:left w:w="108" w:type="dxa"/>
            <w:bottom w:w="0" w:type="dxa"/>
            <w:right w:w="108" w:type="dxa"/>
          </w:tblCellMar>
        </w:tblPrEx>
        <w:trPr>
          <w:trHeight w:val="5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A0E6A8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电缆沟开挖及回填</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61952A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483839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50 公分深度</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45C0BE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A42554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DCF020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B857DAD">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B7C97A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光电缆敷设</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5D3CED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9B400A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988DC2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271CE4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3046AE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7E3396D">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B332F5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水泥包封</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5AAE54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829DC9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901190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A29D89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267EC5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D84A556">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31EC07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电缆接续包</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DCAAC6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3460D4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178E77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654856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707.33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38E19E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C552619">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4C795B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Φ114 镀锌钢管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7C7F75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D684DE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厚度 3mm</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581381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95275E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B8299D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7946660">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9A3681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Φ75 镀锌钢管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CDE3B5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497369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厚度 3mm</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815613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73E930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69C5C78">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4FACF9B">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328313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Φ50 镀锌钢管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7F5CC2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BA4AEB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厚度 3mm</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7D0243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70AE5A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818A83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E1AF063">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4FB1D8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Φ110 双壁波纹管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0A9F64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358E67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48E4EA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26D2EF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1AFBE0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1C32481">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A84BC8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光缆子管</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140D0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E88891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700FB1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BAEA92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69C35A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A5FC73C">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65C44B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手井水泥盖板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CC5619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B3CFB5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1m*1m</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D827E7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23A508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874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22F446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ED14C43">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76B1BE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人工工资/天</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319E48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360DBB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90E8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30F739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385.67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2D1345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B1BFA54">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E6786C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车辆费用/天</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4AA2B0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F408D5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A7C3E5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天</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B707EB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5BA675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9DA586F">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B5F546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施工封道</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3362F9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0CB84F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AB9203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次</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B16D7E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7992.33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66633B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FFFFCFA">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87F5E3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网元主控板板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94E06D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其他设备（中兴 华为 华三）</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16891E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NCP</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3B1850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C488BF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8222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62DA42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D9BBBB1">
        <w:tblPrEx>
          <w:tblCellMar>
            <w:top w:w="0" w:type="dxa"/>
            <w:left w:w="108" w:type="dxa"/>
            <w:bottom w:w="0" w:type="dxa"/>
            <w:right w:w="108" w:type="dxa"/>
          </w:tblCellMar>
        </w:tblPrEx>
        <w:trPr>
          <w:trHeight w:val="825"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9109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光板（接口板）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D1E177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其他设备（中兴 华为 华三）</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638C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OIS4x1 (L-4.1)</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DAF9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AF5362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11810.33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C2A4B6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343AC37">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A7C74E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光板（线路处理板）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39DA8A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其他设备（中兴 华为 华三）</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25B9CE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LP4x1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F9F378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A22790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20589.67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789245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231FEC6">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632A3E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6 路以太网电接口板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FC7B54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其他设备（中兴 华为 华三）</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B8354F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EIFEx6</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8605E1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405FBE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2878.67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49CE60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8EEE572">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307D66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增强型以太网交换单板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EB943F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其他设备（中兴 华为 华三）</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47097E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SED</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E801C2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3C42C6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31706.33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7E936F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36C6169">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FE50AF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电源板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0E2D40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8EC641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PWR</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FC96B0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D1BB1C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983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A7EF43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FB00B0E">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FE1DB2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电话机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6A1312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0E656E4">
            <w:pPr>
              <w:jc w:val="left"/>
              <w:rPr>
                <w:rFonts w:hint="eastAsia" w:asciiTheme="minorEastAsia" w:hAnsiTheme="minorEastAsia" w:eastAsiaTheme="minorEastAsia" w:cstheme="minorEastAsia"/>
                <w:color w:val="000000"/>
                <w:sz w:val="24"/>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FA0407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1D70F8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370.33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27C254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72A64AF">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FA5239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传真机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D53AD2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E277635">
            <w:pPr>
              <w:jc w:val="left"/>
              <w:rPr>
                <w:rFonts w:hint="eastAsia" w:asciiTheme="minorEastAsia" w:hAnsiTheme="minorEastAsia" w:eastAsiaTheme="minorEastAsia" w:cstheme="minorEastAsia"/>
                <w:color w:val="000000"/>
                <w:sz w:val="24"/>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AEEA77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09A923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894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4E8EF1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C4F84D4">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065611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语音光端机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C4BAA0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其他设备（中兴 华为 华三）</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74249">
            <w:pPr>
              <w:jc w:val="left"/>
              <w:rPr>
                <w:rFonts w:hint="eastAsia" w:asciiTheme="minorEastAsia" w:hAnsiTheme="minorEastAsia" w:eastAsiaTheme="minorEastAsia" w:cstheme="minorEastAsia"/>
                <w:color w:val="000000"/>
                <w:sz w:val="24"/>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6BFB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535971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8343.67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3F2FFE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58A0165">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1A778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 口以太网交换机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0D719F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其他设备（中兴 华为 华三）</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70C6BA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5720-28P-SI-AC</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28ACBC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1B91AB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4442.67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541BA0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F3B614C">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A6466A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光缆终端盒</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8C2917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B52A386">
            <w:pPr>
              <w:jc w:val="left"/>
              <w:rPr>
                <w:rFonts w:hint="eastAsia" w:asciiTheme="minorEastAsia" w:hAnsiTheme="minorEastAsia" w:eastAsiaTheme="minorEastAsia" w:cstheme="minorEastAsia"/>
                <w:color w:val="000000"/>
                <w:sz w:val="24"/>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C580EB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93A584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373.67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E5A74B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620071F">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41086E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光网络单元（ONU）</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91389F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其他设备（中兴 华为 华三）</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DA1420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FD40E</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E6E798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F3832D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1148.67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A0327F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0E60A10">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5BDD71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蓄电池65A</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EF0D13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其他设备（北京 飞达）</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795FDBF">
            <w:pPr>
              <w:jc w:val="left"/>
              <w:rPr>
                <w:rFonts w:hint="eastAsia" w:asciiTheme="minorEastAsia" w:hAnsiTheme="minorEastAsia" w:eastAsiaTheme="minorEastAsia" w:cstheme="minorEastAsia"/>
                <w:color w:val="000000"/>
                <w:sz w:val="24"/>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034640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4EE19A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D5A6BC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418B30D">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41CCE0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018773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其他设备（北京 飞达）</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5A2A4A3">
            <w:pPr>
              <w:jc w:val="left"/>
              <w:rPr>
                <w:rFonts w:hint="eastAsia" w:asciiTheme="minorEastAsia" w:hAnsiTheme="minorEastAsia" w:eastAsiaTheme="minorEastAsia" w:cstheme="minorEastAsia"/>
                <w:color w:val="000000"/>
                <w:sz w:val="24"/>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B9306C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2792E4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DF250F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D792B71">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299D0B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扬声器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1E8D1E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其他设备（北京 飞达）</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BC94118">
            <w:pPr>
              <w:jc w:val="left"/>
              <w:rPr>
                <w:rFonts w:hint="eastAsia" w:asciiTheme="minorEastAsia" w:hAnsiTheme="minorEastAsia" w:eastAsiaTheme="minorEastAsia" w:cstheme="minorEastAsia"/>
                <w:color w:val="000000"/>
                <w:sz w:val="24"/>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2D2F5B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228FF3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186</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9D4A2E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EAE7660">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C844D2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24V 4.5A 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A9035A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其他设备（伟明）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967C7ED">
            <w:pPr>
              <w:jc w:val="left"/>
              <w:rPr>
                <w:rFonts w:hint="eastAsia" w:asciiTheme="minorEastAsia" w:hAnsiTheme="minorEastAsia" w:eastAsiaTheme="minorEastAsia" w:cstheme="minorEastAsia"/>
                <w:color w:val="000000"/>
                <w:sz w:val="24"/>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D6D8AA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E6D851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A98457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770EECA">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5FFE98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麦克</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5B004F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其他设备（北京 飞达）</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CBC4948">
            <w:pPr>
              <w:jc w:val="left"/>
              <w:rPr>
                <w:rFonts w:hint="eastAsia" w:asciiTheme="minorEastAsia" w:hAnsiTheme="minorEastAsia" w:eastAsiaTheme="minorEastAsia" w:cstheme="minorEastAsia"/>
                <w:color w:val="000000"/>
                <w:sz w:val="24"/>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E54342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F61DD0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869A1C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15CF66B">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285B9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继电器（含底座）</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F381E24">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6E91029">
            <w:pPr>
              <w:jc w:val="left"/>
              <w:rPr>
                <w:rFonts w:hint="eastAsia" w:asciiTheme="minorEastAsia" w:hAnsiTheme="minorEastAsia" w:eastAsiaTheme="minorEastAsia" w:cstheme="minorEastAsia"/>
                <w:color w:val="000000"/>
                <w:sz w:val="24"/>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61DE0D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34874A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DB0C40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90C968B">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666315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功放放大器 150W</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980124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其他设备（北京 飞达）</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14AEE3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ETGB-IA</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2A0759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0CBE6A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1890.33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95BFD2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C48196E">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2F81B4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扬声器 50W</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33A4E6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其他设备（北京 飞达）</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EDE8B5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FDSP-50</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A93DB0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5474AC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663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B0C91F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B309F7E">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50457F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车道指示器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2B08C9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其他设备（三思 科野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A0EEE4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双向</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9D7D6B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854D17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5658.67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8F3C74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5A30CE5">
        <w:tblPrEx>
          <w:tblCellMar>
            <w:top w:w="0" w:type="dxa"/>
            <w:left w:w="108" w:type="dxa"/>
            <w:bottom w:w="0" w:type="dxa"/>
            <w:right w:w="108" w:type="dxa"/>
          </w:tblCellMar>
        </w:tblPrEx>
        <w:trPr>
          <w:trHeight w:val="109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363A78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工业以太网交换机（8 对单模光口，8 个 RJ45 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11E982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DC09751">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079D54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CF77F8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32191.67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DE502A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64F4F69">
        <w:tblPrEx>
          <w:tblCellMar>
            <w:top w:w="0" w:type="dxa"/>
            <w:left w:w="108" w:type="dxa"/>
            <w:bottom w:w="0" w:type="dxa"/>
            <w:right w:w="108" w:type="dxa"/>
          </w:tblCellMar>
        </w:tblPrEx>
        <w:trPr>
          <w:trHeight w:val="109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B32735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工业以太网交换机（4 对单模光口，4 个 RJ45 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97F119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AD2B0EA">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FD9B96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EAB823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16405.33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4AE1B0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C1CF81A">
        <w:tblPrEx>
          <w:tblCellMar>
            <w:top w:w="0" w:type="dxa"/>
            <w:left w:w="108" w:type="dxa"/>
            <w:bottom w:w="0" w:type="dxa"/>
            <w:right w:w="108" w:type="dxa"/>
          </w:tblCellMar>
        </w:tblPrEx>
        <w:trPr>
          <w:trHeight w:val="109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BA6124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工业以太网交换机（2 对单模光口，4 个 RJ45 口）</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D185BA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A7FF28C">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988D48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14D251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9488.33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793CC9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A21AE4D">
        <w:tblPrEx>
          <w:tblCellMar>
            <w:top w:w="0" w:type="dxa"/>
            <w:left w:w="108" w:type="dxa"/>
            <w:bottom w:w="0" w:type="dxa"/>
            <w:right w:w="108" w:type="dxa"/>
          </w:tblCellMar>
        </w:tblPrEx>
        <w:trPr>
          <w:trHeight w:val="55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E66DFB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隧道遥控云台一体机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BA13E9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3EB92F5">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F7181E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090ED3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10000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2E8DAE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2AC0E63">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9287B2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RS485 光端机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109E72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3F4B3E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WOO1LDC</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DA699B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B647B9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3070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8E635D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1A4989E">
        <w:tblPrEx>
          <w:tblCellMar>
            <w:top w:w="0" w:type="dxa"/>
            <w:left w:w="108" w:type="dxa"/>
            <w:bottom w:w="0" w:type="dxa"/>
            <w:right w:w="108" w:type="dxa"/>
          </w:tblCellMar>
        </w:tblPrEx>
        <w:trPr>
          <w:trHeight w:val="5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DB0B5E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 口千兆交换机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F3FDCE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00B40C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TL-SG1005+</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AC19DA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0C953A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69AF48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0DBB2BD">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27FC59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网线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ACCADD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935E57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CAT-5E</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3B1412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21E3C9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D07D74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9982973">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764C99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光缆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097546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88E522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GYTA-4B1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6F3893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米</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7E4453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B3F61D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F0A5956">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D7B062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PLC 控制单元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3A7FD2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其他设备（欧姆龙 西普 ABB）</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EA7AC1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PM554-TP-ETH</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181CFE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C120A8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3773.33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B2A40F1">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2DD4184">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11EE6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PLC 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9F43ED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其他设备（欧姆龙 西普 ABB）</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A1C5C8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CJ1W-PA205R</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D179D3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DF7E4F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584.67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A18576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8CF0DFE">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D27228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软起动器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165142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其他设备（欧姆龙 西普 ABB）</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DC3C87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STR030L-3</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AEEF11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BA520D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3439.33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8E8DF6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69779DF">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A589D1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PLC 控制单元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4906B8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其他设备（欧姆龙 西普 ABB）</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37AF06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CJ2M-CPU31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E6502F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42ED6D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4110.33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3F55A5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695E16D">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C2B37A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PLC 输入模块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103D59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其他设备（欧姆龙 西普 ABB）</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B26EC4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ID211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F4376D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A3343D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1270</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BBF57B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FF9C24D">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EF5DE6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PLC 输出模块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962CE8C">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其他设备（欧姆龙 西普 ABB）</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E9A874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OC211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943C3D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7BE142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1740.33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217393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C36695C">
        <w:tblPrEx>
          <w:tblCellMar>
            <w:top w:w="0" w:type="dxa"/>
            <w:left w:w="108" w:type="dxa"/>
            <w:bottom w:w="0" w:type="dxa"/>
            <w:right w:w="108" w:type="dxa"/>
          </w:tblCellMar>
        </w:tblPrEx>
        <w:trPr>
          <w:trHeight w:val="825"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FD1F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PLC 控制单元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D471AA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其他设备（欧姆龙 西普 ABB）</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6EA7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CP1L-EL</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D90B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AD5091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2759.67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9CA2D3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2807D4E">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E74ACF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PLC 输入模块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D1D331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其他设备（欧姆龙 西普 ABB）</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43DB06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DI561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DA632D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BF95BD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1569.33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8460D7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9108C5E">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653EDB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PLC 输出模块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CD3007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其他设备（欧姆龙 西普 ABB）</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5C5823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DO561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52044A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1F7878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2435.67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0160D7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C11C155">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AE5CAB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费额显示器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C9E9CC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收费设备（科野 金晓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BF17761">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97D8C1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07455F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7327.67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A1328D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6344EF6">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0328BF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自动栏杆机（低速）</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5E30801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收费设备（德亚 恒富威 亥迪）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5B01163">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E97BA9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DDCF79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10624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113F896">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12A8186">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FC5FD3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显示器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991377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309F1C6">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F8D2A7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5A2385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879.67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B59700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BA3EFA4">
        <w:tblPrEx>
          <w:tblCellMar>
            <w:top w:w="0" w:type="dxa"/>
            <w:left w:w="108" w:type="dxa"/>
            <w:bottom w:w="0" w:type="dxa"/>
            <w:right w:w="108" w:type="dxa"/>
          </w:tblCellMar>
        </w:tblPrEx>
        <w:trPr>
          <w:trHeight w:val="109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6B7BD2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车辆检测器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1DF97D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收费设备（德亚 恒富威 亥迪 南非</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9D01E70">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02CB60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E4F5D4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1442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5BAD5A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CD97C5D">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B2D3D5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高速自动栏杆机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1973FD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收费设备（德亚 恒富威 亥迪）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2792A5F">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D5B3D6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04E74E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21195.33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CE874E7">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735AB69">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E84C95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综合信息显示屏</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72CC20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收费设备（科野 金晓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B1B916D">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BA7067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1B01DD0">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23759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C745D8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3976682">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0FDCD0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可变信息屏 ETC/混合</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3AFAFB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收费设备（科野 金晓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5F479A4">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EEB359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07481E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26996.33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0A7774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00C82DD">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2447E4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可变信息屏控制键盘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8ACC60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收费设备（科野 金晓 电明）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736C846">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BAE005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D4F09E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263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C3CB584">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4260826">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B05201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线圈切割</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EAC067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880D85A">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1F8B55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D525AE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1990.67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B75E02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4AF39F8">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2135F9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高清视频远端接入模块(20KM)</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C45F546">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收费设备（威创 华三 海康）</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2DF4FB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8 路视频输入</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C026F7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47BA48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15622</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66325D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B1AAE27">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14F8D8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车道摄像机基础</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3F6256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504B4D6">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09A2AD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56B582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1164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2225B6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0A800F1">
        <w:tblPrEx>
          <w:tblCellMar>
            <w:top w:w="0" w:type="dxa"/>
            <w:left w:w="108" w:type="dxa"/>
            <w:bottom w:w="0" w:type="dxa"/>
            <w:right w:w="108" w:type="dxa"/>
          </w:tblCellMar>
        </w:tblPrEx>
        <w:trPr>
          <w:trHeight w:val="300"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2997FF8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车道摄像机立杆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732FDC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A3F121E">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0A6B34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639B03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974.33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E29477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2A55CA0">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838ED8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硬盘录像机 4T 硬盘企业级</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AFC1A1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收费设备（西捷 西数 海康 ）</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48104D3">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4A2D5C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5F076A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1189.33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503ECF0">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3E0B1CF">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1CDF2AC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ETC  RSU 单元</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8783D0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收费设备（金溢 聚力 埃特思）</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7C928C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SHINE-P30</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B2D425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1256CF5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29673.67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75DC87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0E9B5B1">
        <w:tblPrEx>
          <w:tblCellMar>
            <w:top w:w="0" w:type="dxa"/>
            <w:left w:w="108" w:type="dxa"/>
            <w:bottom w:w="0" w:type="dxa"/>
            <w:right w:w="108" w:type="dxa"/>
          </w:tblCellMar>
        </w:tblPrEx>
        <w:trPr>
          <w:trHeight w:val="825"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2229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ETC RSU 控制器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8C61D9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收费设备（金溢 聚力 埃特思）</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A648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Mt10</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E6E3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FF84884">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7665.67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302E3C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40DDB24">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30EC242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ETC 车牌识别摄像机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E332E9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收费设备（大华 海康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C8EB1C4">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946897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2155FB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8439.67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905F17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C90F025">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529CDDC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LED 频闪灯</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6F5E6B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收费设备（大华 海康 宇视）</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2A04A15">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A46AE1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490A2F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1458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BC9821A">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1F769ED">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F5986F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工业以太网交换机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89BB58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收费设备（微创 华三 海康）</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88FE95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环网交换机</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3F86F2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CCCE10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4989.67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AE22D7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E4A69D2">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BA7834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工业以太网交换机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1465623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收费设备（微创 华三 海康）</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0759CD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24 口交换机</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B0EBB2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F2F635F">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7313.67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8040BE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E7D8E1D">
        <w:tblPrEx>
          <w:tblCellMar>
            <w:top w:w="0" w:type="dxa"/>
            <w:left w:w="108" w:type="dxa"/>
            <w:bottom w:w="0" w:type="dxa"/>
            <w:right w:w="108" w:type="dxa"/>
          </w:tblCellMar>
        </w:tblPrEx>
        <w:trPr>
          <w:trHeight w:val="58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07CA9E9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胶体蓄电池（8节）</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333DAA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收费设备（NPP）</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7582EE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12V、200Ah</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D0C45E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AE1EA83">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17645.33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7EE5D4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E6D5F68">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41C1CB2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车道 ETC 天线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29B37C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收费设备（金溢 聚力 埃特思）</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7B70E3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SHINE-G2</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24A8BCF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866A5B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29648.67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14F0A16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5A3BAB3">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74F21B4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车牌识别摄像机</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70E695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收费设备（信路威 海康 大华）</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EECC929">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CEE027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套</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1E1372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10756.67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80E3F6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B4A72CD">
        <w:tblPrEx>
          <w:tblCellMar>
            <w:top w:w="0" w:type="dxa"/>
            <w:left w:w="108" w:type="dxa"/>
            <w:bottom w:w="0" w:type="dxa"/>
            <w:right w:w="108" w:type="dxa"/>
          </w:tblCellMar>
        </w:tblPrEx>
        <w:trPr>
          <w:trHeight w:val="825" w:hRule="atLeast"/>
        </w:trPr>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E32C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手持机线缆</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E2FD123">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收费设备（铭创 汉鼎 汇豪）</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736C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定制</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D754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3098189">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316.33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3EBB1CBE">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6235832">
        <w:tblPrEx>
          <w:tblCellMar>
            <w:top w:w="0" w:type="dxa"/>
            <w:left w:w="108" w:type="dxa"/>
            <w:bottom w:w="0" w:type="dxa"/>
            <w:right w:w="108" w:type="dxa"/>
          </w:tblCellMar>
        </w:tblPrEx>
        <w:trPr>
          <w:trHeight w:val="825" w:hRule="atLeast"/>
        </w:trPr>
        <w:tc>
          <w:tcPr>
            <w:tcW w:w="2060" w:type="dxa"/>
            <w:tcBorders>
              <w:top w:val="nil"/>
              <w:left w:val="single" w:color="000000" w:sz="8" w:space="0"/>
              <w:bottom w:val="single" w:color="000000" w:sz="8" w:space="0"/>
              <w:right w:val="single" w:color="000000" w:sz="8" w:space="0"/>
            </w:tcBorders>
            <w:shd w:val="clear" w:color="auto" w:fill="auto"/>
            <w:vAlign w:val="center"/>
          </w:tcPr>
          <w:p w14:paraId="6222EAC7">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手持机外壳</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095B8F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收费设备（铭创 汉鼎 汇豪）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AE6ED4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定制</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482959C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75667F88">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396.33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8378CD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D23F560">
        <w:tblPrEx>
          <w:tblCellMar>
            <w:top w:w="0" w:type="dxa"/>
            <w:left w:w="108" w:type="dxa"/>
            <w:bottom w:w="0" w:type="dxa"/>
            <w:right w:w="108" w:type="dxa"/>
          </w:tblCellMar>
        </w:tblPrEx>
        <w:trPr>
          <w:trHeight w:val="825" w:hRule="atLeast"/>
        </w:trPr>
        <w:tc>
          <w:tcPr>
            <w:tcW w:w="2060" w:type="dxa"/>
            <w:tcBorders>
              <w:top w:val="nil"/>
              <w:left w:val="nil"/>
              <w:bottom w:val="single" w:color="000000" w:sz="8" w:space="0"/>
              <w:right w:val="single" w:color="000000" w:sz="8" w:space="0"/>
            </w:tcBorders>
            <w:shd w:val="clear" w:color="auto" w:fill="auto"/>
            <w:vAlign w:val="center"/>
          </w:tcPr>
          <w:p w14:paraId="14FB374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手持机卡槽</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48472B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收费设备（铭创 汉鼎 汇豪）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68319AB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定制</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20A30B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BFB66BE">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200.67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6A182C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F7AC9D4">
        <w:tblPrEx>
          <w:tblCellMar>
            <w:top w:w="0" w:type="dxa"/>
            <w:left w:w="108" w:type="dxa"/>
            <w:bottom w:w="0" w:type="dxa"/>
            <w:right w:w="108" w:type="dxa"/>
          </w:tblCellMar>
        </w:tblPrEx>
        <w:trPr>
          <w:trHeight w:val="825" w:hRule="atLeast"/>
        </w:trPr>
        <w:tc>
          <w:tcPr>
            <w:tcW w:w="2060" w:type="dxa"/>
            <w:tcBorders>
              <w:top w:val="nil"/>
              <w:left w:val="nil"/>
              <w:bottom w:val="single" w:color="000000" w:sz="8" w:space="0"/>
              <w:right w:val="single" w:color="000000" w:sz="8" w:space="0"/>
            </w:tcBorders>
            <w:shd w:val="clear" w:color="auto" w:fill="auto"/>
            <w:vAlign w:val="center"/>
          </w:tcPr>
          <w:p w14:paraId="078923D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手持机适配器</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331B3C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收费设备（铭创 汉鼎 汇豪）</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4CA684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定制</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340F523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AD213C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381.67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84E50B3">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E484C38">
        <w:tblPrEx>
          <w:tblCellMar>
            <w:top w:w="0" w:type="dxa"/>
            <w:left w:w="108" w:type="dxa"/>
            <w:bottom w:w="0" w:type="dxa"/>
            <w:right w:w="108" w:type="dxa"/>
          </w:tblCellMar>
        </w:tblPrEx>
        <w:trPr>
          <w:trHeight w:val="825" w:hRule="atLeast"/>
        </w:trPr>
        <w:tc>
          <w:tcPr>
            <w:tcW w:w="2060" w:type="dxa"/>
            <w:tcBorders>
              <w:top w:val="single" w:color="000000" w:sz="8" w:space="0"/>
              <w:left w:val="nil"/>
              <w:bottom w:val="single" w:color="000000" w:sz="8" w:space="0"/>
              <w:right w:val="single" w:color="000000" w:sz="8" w:space="0"/>
            </w:tcBorders>
            <w:shd w:val="clear" w:color="auto" w:fill="auto"/>
            <w:vAlign w:val="center"/>
          </w:tcPr>
          <w:p w14:paraId="549DABF2">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手持机主板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FDA4C57">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收费设备（铭创 汉鼎 汇豪）</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F6EE3">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定制</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DC6A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1FB5D8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2541.67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3408C0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5BF65DFD">
        <w:tblPrEx>
          <w:tblCellMar>
            <w:top w:w="0" w:type="dxa"/>
            <w:left w:w="108" w:type="dxa"/>
            <w:bottom w:w="0" w:type="dxa"/>
            <w:right w:w="108" w:type="dxa"/>
          </w:tblCellMar>
        </w:tblPrEx>
        <w:trPr>
          <w:trHeight w:val="300" w:hRule="atLeast"/>
        </w:trPr>
        <w:tc>
          <w:tcPr>
            <w:tcW w:w="2060" w:type="dxa"/>
            <w:tcBorders>
              <w:top w:val="nil"/>
              <w:left w:val="nil"/>
              <w:bottom w:val="single" w:color="000000" w:sz="8" w:space="0"/>
              <w:right w:val="single" w:color="000000" w:sz="8" w:space="0"/>
            </w:tcBorders>
            <w:shd w:val="clear" w:color="auto" w:fill="auto"/>
            <w:vAlign w:val="center"/>
          </w:tcPr>
          <w:p w14:paraId="16A0E73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栏杆机支架焊接</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5D34F3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694000D">
            <w:pPr>
              <w:jc w:val="left"/>
              <w:rPr>
                <w:rFonts w:hint="eastAsia" w:asciiTheme="minorEastAsia" w:hAnsiTheme="minorEastAsia" w:eastAsiaTheme="minorEastAsia" w:cstheme="minorEastAsia"/>
                <w:color w:val="000000"/>
                <w:sz w:val="22"/>
                <w:szCs w:val="22"/>
              </w:rPr>
            </w:pP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6D2B63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CA5E887">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488</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3D6368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84C9645">
        <w:tblPrEx>
          <w:tblCellMar>
            <w:top w:w="0" w:type="dxa"/>
            <w:left w:w="108" w:type="dxa"/>
            <w:bottom w:w="0" w:type="dxa"/>
            <w:right w:w="108" w:type="dxa"/>
          </w:tblCellMar>
        </w:tblPrEx>
        <w:trPr>
          <w:trHeight w:val="555" w:hRule="atLeast"/>
        </w:trPr>
        <w:tc>
          <w:tcPr>
            <w:tcW w:w="2060" w:type="dxa"/>
            <w:tcBorders>
              <w:top w:val="nil"/>
              <w:left w:val="nil"/>
              <w:bottom w:val="single" w:color="000000" w:sz="8" w:space="0"/>
              <w:right w:val="single" w:color="000000" w:sz="8" w:space="0"/>
            </w:tcBorders>
            <w:shd w:val="clear" w:color="auto" w:fill="auto"/>
            <w:vAlign w:val="center"/>
          </w:tcPr>
          <w:p w14:paraId="15808C4D">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车道摄像机外壳及万向节</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7F933432">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65448">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定制</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E1C1A3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37264B1B">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911.67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31C1B3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15C4D56B">
        <w:tblPrEx>
          <w:tblCellMar>
            <w:top w:w="0" w:type="dxa"/>
            <w:left w:w="108" w:type="dxa"/>
            <w:bottom w:w="0" w:type="dxa"/>
            <w:right w:w="108" w:type="dxa"/>
          </w:tblCellMar>
        </w:tblPrEx>
        <w:trPr>
          <w:trHeight w:val="825" w:hRule="atLeast"/>
        </w:trPr>
        <w:tc>
          <w:tcPr>
            <w:tcW w:w="2060" w:type="dxa"/>
            <w:tcBorders>
              <w:top w:val="nil"/>
              <w:left w:val="nil"/>
              <w:bottom w:val="single" w:color="000000" w:sz="8" w:space="0"/>
              <w:right w:val="single" w:color="000000" w:sz="8" w:space="0"/>
            </w:tcBorders>
            <w:shd w:val="clear" w:color="auto" w:fill="auto"/>
            <w:vAlign w:val="center"/>
          </w:tcPr>
          <w:p w14:paraId="2D2DC2F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栏杆机盖帽及底座</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F9E295E">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收费设备（德亚 恒富威 亥迪）</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A5E39A">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定制</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419465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68AD3932">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1457.67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58782F8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60269ADA">
        <w:tblPrEx>
          <w:tblCellMar>
            <w:top w:w="0" w:type="dxa"/>
            <w:left w:w="108" w:type="dxa"/>
            <w:bottom w:w="0" w:type="dxa"/>
            <w:right w:w="108" w:type="dxa"/>
          </w:tblCellMar>
        </w:tblPrEx>
        <w:trPr>
          <w:trHeight w:val="825" w:hRule="atLeast"/>
        </w:trPr>
        <w:tc>
          <w:tcPr>
            <w:tcW w:w="2060" w:type="dxa"/>
            <w:tcBorders>
              <w:top w:val="nil"/>
              <w:left w:val="nil"/>
              <w:bottom w:val="single" w:color="000000" w:sz="8" w:space="0"/>
              <w:right w:val="single" w:color="000000" w:sz="8" w:space="0"/>
            </w:tcBorders>
            <w:shd w:val="clear" w:color="auto" w:fill="auto"/>
            <w:vAlign w:val="center"/>
          </w:tcPr>
          <w:p w14:paraId="3B3C2F4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缴费机上工位托盘</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0EEDB21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收费设备（朗为 优创 汇豪）</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6289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定制</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5E136C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0C00248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576.67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7C86F309">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48890519">
        <w:tblPrEx>
          <w:tblCellMar>
            <w:top w:w="0" w:type="dxa"/>
            <w:left w:w="108" w:type="dxa"/>
            <w:bottom w:w="0" w:type="dxa"/>
            <w:right w:w="108" w:type="dxa"/>
          </w:tblCellMar>
        </w:tblPrEx>
        <w:trPr>
          <w:trHeight w:val="300" w:hRule="atLeast"/>
        </w:trPr>
        <w:tc>
          <w:tcPr>
            <w:tcW w:w="2060" w:type="dxa"/>
            <w:tcBorders>
              <w:top w:val="nil"/>
              <w:left w:val="nil"/>
              <w:bottom w:val="single" w:color="000000" w:sz="8" w:space="0"/>
              <w:right w:val="single" w:color="000000" w:sz="8" w:space="0"/>
            </w:tcBorders>
            <w:shd w:val="clear" w:color="auto" w:fill="auto"/>
            <w:vAlign w:val="center"/>
          </w:tcPr>
          <w:p w14:paraId="440F7D5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24V 电源</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2147DB15">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CAC66C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24V2.5A</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CEEE7CF">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个</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43FC70A">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205.67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DC3B87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6CFF88C">
        <w:tblPrEx>
          <w:tblCellMar>
            <w:top w:w="0" w:type="dxa"/>
            <w:left w:w="108" w:type="dxa"/>
            <w:bottom w:w="0" w:type="dxa"/>
            <w:right w:w="108" w:type="dxa"/>
          </w:tblCellMar>
        </w:tblPrEx>
        <w:trPr>
          <w:trHeight w:val="825" w:hRule="atLeast"/>
        </w:trPr>
        <w:tc>
          <w:tcPr>
            <w:tcW w:w="2060" w:type="dxa"/>
            <w:tcBorders>
              <w:top w:val="nil"/>
              <w:left w:val="nil"/>
              <w:bottom w:val="single" w:color="000000" w:sz="8" w:space="0"/>
              <w:right w:val="single" w:color="000000" w:sz="8" w:space="0"/>
            </w:tcBorders>
            <w:shd w:val="clear" w:color="auto" w:fill="auto"/>
            <w:vAlign w:val="center"/>
          </w:tcPr>
          <w:p w14:paraId="4B9575A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车道天线控制器（电源模块）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FD0A01A">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收费设备（金溢 聚力 埃特思）</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19AE40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SHINE-G2</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6E29DD0B">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711D14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3214</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61975CCC">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CC3B6E3">
        <w:tblPrEx>
          <w:tblCellMar>
            <w:top w:w="0" w:type="dxa"/>
            <w:left w:w="108" w:type="dxa"/>
            <w:bottom w:w="0" w:type="dxa"/>
            <w:right w:w="108" w:type="dxa"/>
          </w:tblCellMar>
        </w:tblPrEx>
        <w:trPr>
          <w:trHeight w:val="870" w:hRule="atLeast"/>
        </w:trPr>
        <w:tc>
          <w:tcPr>
            <w:tcW w:w="2060" w:type="dxa"/>
            <w:tcBorders>
              <w:top w:val="nil"/>
              <w:left w:val="nil"/>
              <w:bottom w:val="single" w:color="000000" w:sz="8" w:space="0"/>
              <w:right w:val="single" w:color="000000" w:sz="8" w:space="0"/>
            </w:tcBorders>
            <w:shd w:val="clear" w:color="auto" w:fill="auto"/>
            <w:vAlign w:val="center"/>
          </w:tcPr>
          <w:p w14:paraId="737EBEB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车道天线（5.8GHZ 射频模块）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066701B">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收费设备（金溢 聚力 埃特思）</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54E7938C">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SHINE-G2</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53145699">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E4B0545">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4672.33</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F16122B">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78DEB26B">
        <w:tblPrEx>
          <w:tblCellMar>
            <w:top w:w="0" w:type="dxa"/>
            <w:left w:w="108" w:type="dxa"/>
            <w:bottom w:w="0" w:type="dxa"/>
            <w:right w:w="108" w:type="dxa"/>
          </w:tblCellMar>
        </w:tblPrEx>
        <w:trPr>
          <w:trHeight w:val="870" w:hRule="atLeast"/>
        </w:trPr>
        <w:tc>
          <w:tcPr>
            <w:tcW w:w="2060" w:type="dxa"/>
            <w:tcBorders>
              <w:top w:val="nil"/>
              <w:left w:val="nil"/>
              <w:bottom w:val="single" w:color="000000" w:sz="8" w:space="0"/>
              <w:right w:val="single" w:color="000000" w:sz="8" w:space="0"/>
            </w:tcBorders>
            <w:shd w:val="clear" w:color="auto" w:fill="auto"/>
            <w:vAlign w:val="center"/>
          </w:tcPr>
          <w:p w14:paraId="7B4C164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ETC 电源控制器（专用充电模 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31008148">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收费设备（金溢 聚力 埃特思）</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B6C83F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GX-PC1</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0D108324">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4D83A3D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2979</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4E32406F">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150C2D9">
        <w:tblPrEx>
          <w:tblCellMar>
            <w:top w:w="0" w:type="dxa"/>
            <w:left w:w="108" w:type="dxa"/>
            <w:bottom w:w="0" w:type="dxa"/>
            <w:right w:w="108" w:type="dxa"/>
          </w:tblCellMar>
        </w:tblPrEx>
        <w:trPr>
          <w:trHeight w:val="870" w:hRule="atLeast"/>
        </w:trPr>
        <w:tc>
          <w:tcPr>
            <w:tcW w:w="2060" w:type="dxa"/>
            <w:tcBorders>
              <w:top w:val="nil"/>
              <w:left w:val="single" w:color="auto" w:sz="4" w:space="0"/>
              <w:bottom w:val="single" w:color="000000" w:sz="8" w:space="0"/>
              <w:right w:val="single" w:color="000000" w:sz="8" w:space="0"/>
            </w:tcBorders>
            <w:shd w:val="clear" w:color="auto" w:fill="auto"/>
            <w:vAlign w:val="center"/>
          </w:tcPr>
          <w:p w14:paraId="126FB9BF">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ETC  RSU 单元（5.8GHZ 射频 模块）</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63358610">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收费设备（金溢 聚力 埃特思）</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764FE1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SHINE-P30</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1873750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205D060D">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3204.67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2BBDF445">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3E07A038">
        <w:tblPrEx>
          <w:tblCellMar>
            <w:top w:w="0" w:type="dxa"/>
            <w:left w:w="108" w:type="dxa"/>
            <w:bottom w:w="0" w:type="dxa"/>
            <w:right w:w="108" w:type="dxa"/>
          </w:tblCellMar>
        </w:tblPrEx>
        <w:trPr>
          <w:trHeight w:val="1155" w:hRule="atLeast"/>
        </w:trPr>
        <w:tc>
          <w:tcPr>
            <w:tcW w:w="2060" w:type="dxa"/>
            <w:tcBorders>
              <w:top w:val="nil"/>
              <w:left w:val="single" w:color="auto" w:sz="4" w:space="0"/>
              <w:bottom w:val="single" w:color="000000" w:sz="8" w:space="0"/>
              <w:right w:val="single" w:color="000000" w:sz="8" w:space="0"/>
            </w:tcBorders>
            <w:shd w:val="clear" w:color="auto" w:fill="auto"/>
            <w:vAlign w:val="center"/>
          </w:tcPr>
          <w:p w14:paraId="024FD920">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ETC RSU 单元（天线阵列模 块，上壳和主板）</w:t>
            </w:r>
          </w:p>
        </w:tc>
        <w:tc>
          <w:tcPr>
            <w:tcW w:w="1433" w:type="dxa"/>
            <w:tcBorders>
              <w:top w:val="nil"/>
              <w:left w:val="single" w:color="000000" w:sz="8" w:space="0"/>
              <w:bottom w:val="single" w:color="000000" w:sz="8" w:space="0"/>
              <w:right w:val="single" w:color="000000" w:sz="8" w:space="0"/>
            </w:tcBorders>
            <w:shd w:val="clear" w:color="auto" w:fill="auto"/>
            <w:vAlign w:val="center"/>
          </w:tcPr>
          <w:p w14:paraId="4C494F61">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收费设备（金溢 聚力 埃特思）</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3772345">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SHINE-P30</w:t>
            </w:r>
          </w:p>
        </w:tc>
        <w:tc>
          <w:tcPr>
            <w:tcW w:w="650" w:type="dxa"/>
            <w:tcBorders>
              <w:top w:val="nil"/>
              <w:left w:val="single" w:color="000000" w:sz="8" w:space="0"/>
              <w:bottom w:val="single" w:color="000000" w:sz="8" w:space="0"/>
              <w:right w:val="single" w:color="000000" w:sz="8" w:space="0"/>
            </w:tcBorders>
            <w:shd w:val="clear" w:color="auto" w:fill="auto"/>
            <w:vAlign w:val="center"/>
          </w:tcPr>
          <w:p w14:paraId="7C90CF2D">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台</w:t>
            </w:r>
          </w:p>
        </w:tc>
        <w:tc>
          <w:tcPr>
            <w:tcW w:w="1400" w:type="dxa"/>
            <w:tcBorders>
              <w:top w:val="nil"/>
              <w:left w:val="single" w:color="000000" w:sz="8" w:space="0"/>
              <w:bottom w:val="single" w:color="000000" w:sz="8" w:space="0"/>
              <w:right w:val="single" w:color="000000" w:sz="8" w:space="0"/>
            </w:tcBorders>
            <w:shd w:val="clear" w:color="auto" w:fill="auto"/>
            <w:vAlign w:val="center"/>
          </w:tcPr>
          <w:p w14:paraId="5A68EBA1">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5728.67</w:t>
            </w:r>
          </w:p>
        </w:tc>
        <w:tc>
          <w:tcPr>
            <w:tcW w:w="2300" w:type="dxa"/>
            <w:tcBorders>
              <w:top w:val="nil"/>
              <w:left w:val="single" w:color="000000" w:sz="8" w:space="0"/>
              <w:bottom w:val="single" w:color="000000" w:sz="8" w:space="0"/>
              <w:right w:val="single" w:color="000000" w:sz="8" w:space="0"/>
            </w:tcBorders>
            <w:shd w:val="clear" w:color="auto" w:fill="auto"/>
            <w:vAlign w:val="center"/>
          </w:tcPr>
          <w:p w14:paraId="06246A1D">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01C2E4F8">
        <w:tblPrEx>
          <w:tblCellMar>
            <w:top w:w="0" w:type="dxa"/>
            <w:left w:w="108" w:type="dxa"/>
            <w:bottom w:w="0" w:type="dxa"/>
            <w:right w:w="108" w:type="dxa"/>
          </w:tblCellMar>
        </w:tblPrEx>
        <w:trPr>
          <w:trHeight w:val="300" w:hRule="atLeast"/>
        </w:trPr>
        <w:tc>
          <w:tcPr>
            <w:tcW w:w="2060" w:type="dxa"/>
            <w:tcBorders>
              <w:top w:val="single" w:color="000000" w:sz="8" w:space="0"/>
              <w:left w:val="nil"/>
              <w:bottom w:val="single" w:color="000000" w:sz="8" w:space="0"/>
              <w:right w:val="single" w:color="000000" w:sz="8" w:space="0"/>
            </w:tcBorders>
            <w:shd w:val="clear" w:color="auto" w:fill="auto"/>
            <w:vAlign w:val="center"/>
          </w:tcPr>
          <w:p w14:paraId="459A5B56">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专用自助按键</w:t>
            </w:r>
          </w:p>
        </w:tc>
        <w:tc>
          <w:tcPr>
            <w:tcW w:w="1433" w:type="dxa"/>
            <w:tcBorders>
              <w:top w:val="single" w:color="000000" w:sz="8" w:space="0"/>
              <w:left w:val="nil"/>
              <w:bottom w:val="single" w:color="000000" w:sz="8" w:space="0"/>
              <w:right w:val="single" w:color="000000" w:sz="8" w:space="0"/>
            </w:tcBorders>
            <w:shd w:val="clear" w:color="auto" w:fill="auto"/>
            <w:vAlign w:val="center"/>
          </w:tcPr>
          <w:p w14:paraId="4DAEC7A9">
            <w:pPr>
              <w:widowControl/>
              <w:jc w:val="lef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收费设备</w:t>
            </w:r>
          </w:p>
        </w:tc>
        <w:tc>
          <w:tcPr>
            <w:tcW w:w="1067" w:type="dxa"/>
            <w:tcBorders>
              <w:top w:val="single" w:color="000000" w:sz="8" w:space="0"/>
              <w:left w:val="nil"/>
              <w:bottom w:val="single" w:color="000000" w:sz="8" w:space="0"/>
              <w:right w:val="nil"/>
            </w:tcBorders>
            <w:shd w:val="clear" w:color="auto" w:fill="auto"/>
            <w:vAlign w:val="center"/>
          </w:tcPr>
          <w:p w14:paraId="452E7AEE">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华邦</w:t>
            </w:r>
          </w:p>
        </w:tc>
        <w:tc>
          <w:tcPr>
            <w:tcW w:w="650" w:type="dxa"/>
            <w:tcBorders>
              <w:top w:val="single" w:color="000000" w:sz="8" w:space="0"/>
              <w:left w:val="single" w:color="000000" w:sz="8" w:space="0"/>
              <w:bottom w:val="single" w:color="000000" w:sz="8" w:space="0"/>
              <w:right w:val="nil"/>
            </w:tcBorders>
            <w:shd w:val="clear" w:color="auto" w:fill="auto"/>
            <w:vAlign w:val="center"/>
          </w:tcPr>
          <w:p w14:paraId="232EE2D1">
            <w:pPr>
              <w:widowControl/>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个</w:t>
            </w:r>
          </w:p>
        </w:tc>
        <w:tc>
          <w:tcPr>
            <w:tcW w:w="1400" w:type="dxa"/>
            <w:tcBorders>
              <w:top w:val="nil"/>
              <w:left w:val="single" w:color="000000" w:sz="8" w:space="0"/>
              <w:bottom w:val="single" w:color="auto" w:sz="4" w:space="0"/>
              <w:right w:val="single" w:color="000000" w:sz="8" w:space="0"/>
            </w:tcBorders>
            <w:shd w:val="clear" w:color="auto" w:fill="auto"/>
            <w:vAlign w:val="center"/>
          </w:tcPr>
          <w:p w14:paraId="58C0240C">
            <w:pPr>
              <w:widowControl/>
              <w:jc w:val="right"/>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70</w:t>
            </w:r>
          </w:p>
        </w:tc>
        <w:tc>
          <w:tcPr>
            <w:tcW w:w="2300" w:type="dxa"/>
            <w:tcBorders>
              <w:top w:val="nil"/>
              <w:left w:val="single" w:color="000000" w:sz="8" w:space="0"/>
              <w:bottom w:val="single" w:color="auto" w:sz="4" w:space="0"/>
              <w:right w:val="single" w:color="000000" w:sz="8" w:space="0"/>
            </w:tcBorders>
            <w:shd w:val="clear" w:color="auto" w:fill="auto"/>
            <w:vAlign w:val="center"/>
          </w:tcPr>
          <w:p w14:paraId="5E33BC12">
            <w:pPr>
              <w:widowControl/>
              <w:jc w:val="right"/>
              <w:textAlignment w:val="center"/>
              <w:rPr>
                <w:rFonts w:hint="eastAsia" w:asciiTheme="minorEastAsia" w:hAnsiTheme="minorEastAsia" w:eastAsiaTheme="minorEastAsia" w:cstheme="minorEastAsia"/>
                <w:color w:val="000000"/>
                <w:kern w:val="0"/>
                <w:sz w:val="22"/>
                <w:szCs w:val="22"/>
                <w:lang w:bidi="ar"/>
              </w:rPr>
            </w:pPr>
          </w:p>
        </w:tc>
      </w:tr>
      <w:tr w14:paraId="2715CB2E">
        <w:tblPrEx>
          <w:tblCellMar>
            <w:top w:w="0" w:type="dxa"/>
            <w:left w:w="108" w:type="dxa"/>
            <w:bottom w:w="0" w:type="dxa"/>
            <w:right w:w="108" w:type="dxa"/>
          </w:tblCellMar>
        </w:tblPrEx>
        <w:trPr>
          <w:trHeight w:val="2295" w:hRule="atLeast"/>
        </w:trPr>
        <w:tc>
          <w:tcPr>
            <w:tcW w:w="5210" w:type="dxa"/>
            <w:gridSpan w:val="4"/>
            <w:tcBorders>
              <w:top w:val="single" w:color="000000" w:sz="8" w:space="0"/>
              <w:left w:val="nil"/>
              <w:bottom w:val="single" w:color="auto" w:sz="4" w:space="0"/>
              <w:right w:val="nil"/>
            </w:tcBorders>
            <w:shd w:val="clear" w:color="auto" w:fill="auto"/>
            <w:vAlign w:val="center"/>
          </w:tcPr>
          <w:p w14:paraId="2CD6BD2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合计：</w:t>
            </w:r>
          </w:p>
        </w:tc>
        <w:tc>
          <w:tcPr>
            <w:tcW w:w="1400" w:type="dxa"/>
            <w:tcBorders>
              <w:top w:val="single" w:color="auto" w:sz="4" w:space="0"/>
              <w:left w:val="single" w:color="000000" w:sz="8" w:space="0"/>
              <w:bottom w:val="single" w:color="auto" w:sz="4" w:space="0"/>
              <w:right w:val="single" w:color="auto" w:sz="4" w:space="0"/>
            </w:tcBorders>
            <w:shd w:val="clear" w:color="auto" w:fill="auto"/>
            <w:vAlign w:val="center"/>
          </w:tcPr>
          <w:p w14:paraId="45248BAB">
            <w:pPr>
              <w:widowControl/>
              <w:jc w:val="righ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2218056.12</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14:paraId="260EF690">
            <w:pPr>
              <w:widowControl/>
              <w:jc w:val="right"/>
              <w:textAlignment w:val="center"/>
              <w:rPr>
                <w:rFonts w:hint="eastAsia" w:ascii="宋体" w:hAnsi="宋体" w:cs="宋体"/>
                <w:color w:val="000000"/>
                <w:kern w:val="0"/>
                <w:sz w:val="22"/>
                <w:szCs w:val="22"/>
                <w:lang w:bidi="ar"/>
              </w:rPr>
            </w:pPr>
          </w:p>
        </w:tc>
      </w:tr>
    </w:tbl>
    <w:p w14:paraId="0A206786">
      <w:pPr>
        <w:pStyle w:val="798"/>
        <w:ind w:firstLine="0" w:firstLineChars="0"/>
        <w:rPr>
          <w:b/>
          <w:color w:val="FF0000"/>
        </w:rPr>
      </w:pPr>
    </w:p>
    <w:p w14:paraId="183041EB">
      <w:pPr>
        <w:pStyle w:val="798"/>
        <w:ind w:firstLine="0" w:firstLineChars="0"/>
        <w:rPr>
          <w:b/>
        </w:rPr>
      </w:pPr>
    </w:p>
    <w:p w14:paraId="0E5D9DBB">
      <w:pPr>
        <w:pStyle w:val="798"/>
        <w:ind w:firstLine="482"/>
        <w:rPr>
          <w:b/>
        </w:rPr>
      </w:pPr>
    </w:p>
    <w:p w14:paraId="3878BBBE">
      <w:pPr>
        <w:pStyle w:val="798"/>
        <w:spacing w:after="120"/>
        <w:ind w:firstLine="462"/>
        <w:rPr>
          <w:rFonts w:hint="eastAsia" w:hAnsi="宋体" w:cs="宋体"/>
          <w:b/>
        </w:rPr>
      </w:pPr>
      <w:r>
        <w:rPr>
          <w:rFonts w:hint="eastAsia" w:ascii="仿宋_GB2312" w:hAnsi="宋体" w:eastAsia="仿宋_GB2312"/>
          <w:b/>
          <w:spacing w:val="-5"/>
          <w:kern w:val="20"/>
        </w:rPr>
        <w:br w:type="page"/>
      </w:r>
    </w:p>
    <w:p w14:paraId="0AC73354">
      <w:pPr>
        <w:pStyle w:val="798"/>
        <w:rPr>
          <w:rFonts w:hint="eastAsia" w:hAnsi="宋体" w:cs="宋体"/>
        </w:rPr>
      </w:pPr>
    </w:p>
    <w:p w14:paraId="1708E60D">
      <w:pPr>
        <w:pStyle w:val="798"/>
        <w:numPr>
          <w:ilvl w:val="0"/>
          <w:numId w:val="3"/>
        </w:numPr>
        <w:ind w:firstLine="482"/>
        <w:rPr>
          <w:rFonts w:hint="eastAsia" w:hAnsi="宋体" w:cs="宋体"/>
          <w:b/>
          <w:bCs/>
        </w:rPr>
      </w:pPr>
      <w:r>
        <w:rPr>
          <w:rFonts w:hint="eastAsia" w:hAnsi="宋体" w:cs="宋体"/>
          <w:b/>
          <w:bCs/>
        </w:rPr>
        <w:t>参照考核内容：（具体以合同签订考核要求为准）</w:t>
      </w:r>
    </w:p>
    <w:tbl>
      <w:tblPr>
        <w:tblStyle w:val="965"/>
        <w:tblW w:w="93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722"/>
        <w:gridCol w:w="991"/>
        <w:gridCol w:w="4534"/>
        <w:gridCol w:w="1418"/>
        <w:gridCol w:w="995"/>
      </w:tblGrid>
      <w:tr w14:paraId="2B3AB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1" w:type="dxa"/>
          </w:tcPr>
          <w:p w14:paraId="4B6E2D9B">
            <w:pPr>
              <w:pStyle w:val="339"/>
              <w:spacing w:before="137" w:line="221" w:lineRule="auto"/>
              <w:ind w:left="169"/>
              <w:rPr>
                <w:sz w:val="18"/>
                <w:szCs w:val="18"/>
              </w:rPr>
            </w:pPr>
            <w:r>
              <w:rPr>
                <w:b/>
                <w:bCs/>
                <w:spacing w:val="-3"/>
                <w:sz w:val="18"/>
                <w:szCs w:val="18"/>
              </w:rPr>
              <w:t>序号</w:t>
            </w:r>
          </w:p>
        </w:tc>
        <w:tc>
          <w:tcPr>
            <w:tcW w:w="1713" w:type="dxa"/>
            <w:gridSpan w:val="2"/>
          </w:tcPr>
          <w:p w14:paraId="5CD86594">
            <w:pPr>
              <w:pStyle w:val="339"/>
              <w:spacing w:before="137" w:line="220" w:lineRule="auto"/>
              <w:ind w:left="587"/>
              <w:rPr>
                <w:sz w:val="18"/>
                <w:szCs w:val="18"/>
              </w:rPr>
            </w:pPr>
            <w:r>
              <w:rPr>
                <w:b/>
                <w:bCs/>
                <w:spacing w:val="-4"/>
                <w:sz w:val="18"/>
                <w:szCs w:val="18"/>
              </w:rPr>
              <w:t>考核内容</w:t>
            </w:r>
          </w:p>
        </w:tc>
        <w:tc>
          <w:tcPr>
            <w:tcW w:w="4534" w:type="dxa"/>
          </w:tcPr>
          <w:p w14:paraId="74BDC989">
            <w:pPr>
              <w:pStyle w:val="339"/>
              <w:spacing w:before="137" w:line="220" w:lineRule="auto"/>
              <w:ind w:left="1909"/>
              <w:rPr>
                <w:sz w:val="18"/>
                <w:szCs w:val="18"/>
              </w:rPr>
            </w:pPr>
            <w:r>
              <w:rPr>
                <w:b/>
                <w:bCs/>
                <w:spacing w:val="-4"/>
                <w:sz w:val="18"/>
                <w:szCs w:val="18"/>
              </w:rPr>
              <w:t>考核标准</w:t>
            </w:r>
          </w:p>
        </w:tc>
        <w:tc>
          <w:tcPr>
            <w:tcW w:w="1418" w:type="dxa"/>
          </w:tcPr>
          <w:p w14:paraId="2FE986C1">
            <w:pPr>
              <w:pStyle w:val="339"/>
              <w:spacing w:before="137" w:line="220" w:lineRule="auto"/>
              <w:ind w:left="351"/>
              <w:rPr>
                <w:sz w:val="18"/>
                <w:szCs w:val="18"/>
              </w:rPr>
            </w:pPr>
            <w:r>
              <w:rPr>
                <w:b/>
                <w:bCs/>
                <w:spacing w:val="-4"/>
                <w:sz w:val="18"/>
                <w:szCs w:val="18"/>
              </w:rPr>
              <w:t>考核情况</w:t>
            </w:r>
          </w:p>
        </w:tc>
        <w:tc>
          <w:tcPr>
            <w:tcW w:w="995" w:type="dxa"/>
          </w:tcPr>
          <w:p w14:paraId="2CE368DD">
            <w:pPr>
              <w:pStyle w:val="339"/>
              <w:spacing w:before="137" w:line="221" w:lineRule="auto"/>
              <w:ind w:left="320"/>
              <w:rPr>
                <w:sz w:val="18"/>
                <w:szCs w:val="18"/>
              </w:rPr>
            </w:pPr>
            <w:r>
              <w:rPr>
                <w:b/>
                <w:bCs/>
                <w:spacing w:val="-4"/>
                <w:sz w:val="18"/>
                <w:szCs w:val="18"/>
              </w:rPr>
              <w:t>备注</w:t>
            </w:r>
          </w:p>
        </w:tc>
      </w:tr>
      <w:tr w14:paraId="36CED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701" w:type="dxa"/>
            <w:vMerge w:val="restart"/>
            <w:tcBorders>
              <w:bottom w:val="nil"/>
            </w:tcBorders>
          </w:tcPr>
          <w:p w14:paraId="075C83A3">
            <w:pPr>
              <w:spacing w:line="245" w:lineRule="auto"/>
              <w:rPr>
                <w:rFonts w:ascii="Arial"/>
              </w:rPr>
            </w:pPr>
          </w:p>
          <w:p w14:paraId="0332C15C">
            <w:pPr>
              <w:spacing w:line="245" w:lineRule="auto"/>
              <w:rPr>
                <w:rFonts w:ascii="Arial"/>
              </w:rPr>
            </w:pPr>
          </w:p>
          <w:p w14:paraId="4D30A24A">
            <w:pPr>
              <w:spacing w:line="245" w:lineRule="auto"/>
              <w:rPr>
                <w:rFonts w:ascii="Arial"/>
              </w:rPr>
            </w:pPr>
          </w:p>
          <w:p w14:paraId="5DCECFBE">
            <w:pPr>
              <w:spacing w:line="245" w:lineRule="auto"/>
              <w:rPr>
                <w:rFonts w:ascii="Arial"/>
              </w:rPr>
            </w:pPr>
          </w:p>
          <w:p w14:paraId="62049B37">
            <w:pPr>
              <w:spacing w:line="245" w:lineRule="auto"/>
              <w:rPr>
                <w:rFonts w:ascii="Arial"/>
              </w:rPr>
            </w:pPr>
          </w:p>
          <w:p w14:paraId="65C37C19">
            <w:pPr>
              <w:spacing w:line="245" w:lineRule="auto"/>
              <w:rPr>
                <w:rFonts w:ascii="Arial"/>
              </w:rPr>
            </w:pPr>
          </w:p>
          <w:p w14:paraId="177CB33C">
            <w:pPr>
              <w:spacing w:line="246" w:lineRule="auto"/>
              <w:rPr>
                <w:rFonts w:ascii="Arial"/>
              </w:rPr>
            </w:pPr>
          </w:p>
          <w:p w14:paraId="25F4CAB5">
            <w:pPr>
              <w:pStyle w:val="339"/>
              <w:spacing w:before="58" w:line="182" w:lineRule="auto"/>
              <w:ind w:left="320"/>
              <w:rPr>
                <w:sz w:val="18"/>
                <w:szCs w:val="18"/>
              </w:rPr>
            </w:pPr>
            <w:r>
              <w:rPr>
                <w:sz w:val="18"/>
                <w:szCs w:val="18"/>
              </w:rPr>
              <w:t>1</w:t>
            </w:r>
          </w:p>
        </w:tc>
        <w:tc>
          <w:tcPr>
            <w:tcW w:w="722" w:type="dxa"/>
            <w:vMerge w:val="restart"/>
            <w:tcBorders>
              <w:bottom w:val="nil"/>
            </w:tcBorders>
          </w:tcPr>
          <w:p w14:paraId="3B11474A">
            <w:pPr>
              <w:spacing w:line="261" w:lineRule="auto"/>
              <w:rPr>
                <w:rFonts w:ascii="Arial"/>
              </w:rPr>
            </w:pPr>
          </w:p>
          <w:p w14:paraId="20E8AAF1">
            <w:pPr>
              <w:spacing w:line="261" w:lineRule="auto"/>
              <w:rPr>
                <w:rFonts w:ascii="Arial"/>
              </w:rPr>
            </w:pPr>
          </w:p>
          <w:p w14:paraId="18F296DA">
            <w:pPr>
              <w:spacing w:line="262" w:lineRule="auto"/>
              <w:rPr>
                <w:rFonts w:ascii="Arial"/>
              </w:rPr>
            </w:pPr>
          </w:p>
          <w:p w14:paraId="2D91DE9F">
            <w:pPr>
              <w:spacing w:line="262" w:lineRule="auto"/>
              <w:rPr>
                <w:rFonts w:ascii="Arial"/>
              </w:rPr>
            </w:pPr>
          </w:p>
          <w:p w14:paraId="501640CB">
            <w:pPr>
              <w:spacing w:line="262" w:lineRule="auto"/>
              <w:rPr>
                <w:rFonts w:ascii="Arial"/>
              </w:rPr>
            </w:pPr>
          </w:p>
          <w:p w14:paraId="00C08D15">
            <w:pPr>
              <w:spacing w:line="262" w:lineRule="auto"/>
              <w:rPr>
                <w:rFonts w:ascii="Arial"/>
              </w:rPr>
            </w:pPr>
          </w:p>
          <w:p w14:paraId="75F1103A">
            <w:pPr>
              <w:pStyle w:val="339"/>
              <w:spacing w:before="59" w:line="230" w:lineRule="auto"/>
              <w:ind w:left="184" w:right="184" w:firstLine="26"/>
              <w:rPr>
                <w:sz w:val="18"/>
                <w:szCs w:val="18"/>
              </w:rPr>
            </w:pPr>
            <w:r>
              <w:rPr>
                <w:spacing w:val="-19"/>
                <w:sz w:val="18"/>
                <w:szCs w:val="18"/>
              </w:rPr>
              <w:t>日常</w:t>
            </w:r>
            <w:r>
              <w:rPr>
                <w:sz w:val="18"/>
                <w:szCs w:val="18"/>
              </w:rPr>
              <w:t xml:space="preserve"> </w:t>
            </w:r>
            <w:r>
              <w:rPr>
                <w:spacing w:val="-6"/>
                <w:sz w:val="18"/>
                <w:szCs w:val="18"/>
              </w:rPr>
              <w:t>管理</w:t>
            </w:r>
          </w:p>
        </w:tc>
        <w:tc>
          <w:tcPr>
            <w:tcW w:w="991" w:type="dxa"/>
            <w:vMerge w:val="restart"/>
            <w:tcBorders>
              <w:bottom w:val="nil"/>
            </w:tcBorders>
          </w:tcPr>
          <w:p w14:paraId="3C088AB7">
            <w:pPr>
              <w:spacing w:line="247" w:lineRule="auto"/>
              <w:rPr>
                <w:rFonts w:ascii="Arial"/>
              </w:rPr>
            </w:pPr>
          </w:p>
          <w:p w14:paraId="2EBE676C">
            <w:pPr>
              <w:spacing w:line="247" w:lineRule="auto"/>
              <w:rPr>
                <w:rFonts w:ascii="Arial"/>
              </w:rPr>
            </w:pPr>
          </w:p>
          <w:p w14:paraId="59926503">
            <w:pPr>
              <w:spacing w:line="248" w:lineRule="auto"/>
              <w:rPr>
                <w:rFonts w:ascii="Arial"/>
              </w:rPr>
            </w:pPr>
          </w:p>
          <w:p w14:paraId="603A0891">
            <w:pPr>
              <w:pStyle w:val="339"/>
              <w:spacing w:before="58" w:line="221" w:lineRule="auto"/>
              <w:ind w:left="138"/>
              <w:rPr>
                <w:sz w:val="18"/>
                <w:szCs w:val="18"/>
              </w:rPr>
            </w:pPr>
            <w:r>
              <w:rPr>
                <w:spacing w:val="-2"/>
                <w:sz w:val="18"/>
                <w:szCs w:val="18"/>
              </w:rPr>
              <w:t>人员配备</w:t>
            </w:r>
          </w:p>
        </w:tc>
        <w:tc>
          <w:tcPr>
            <w:tcW w:w="4534" w:type="dxa"/>
          </w:tcPr>
          <w:p w14:paraId="2D6792C5">
            <w:pPr>
              <w:pStyle w:val="339"/>
              <w:spacing w:before="84" w:line="232" w:lineRule="auto"/>
              <w:ind w:left="110" w:right="104" w:firstLine="13"/>
              <w:rPr>
                <w:sz w:val="18"/>
                <w:szCs w:val="18"/>
              </w:rPr>
            </w:pPr>
            <w:r>
              <w:rPr>
                <w:spacing w:val="-1"/>
                <w:sz w:val="18"/>
                <w:szCs w:val="18"/>
              </w:rPr>
              <w:t>1、项目部负责人必须具有中级或中级以上职称</w:t>
            </w:r>
            <w:r>
              <w:rPr>
                <w:spacing w:val="-2"/>
                <w:sz w:val="18"/>
                <w:szCs w:val="18"/>
              </w:rPr>
              <w:t>，不符</w:t>
            </w:r>
            <w:r>
              <w:rPr>
                <w:sz w:val="18"/>
                <w:szCs w:val="18"/>
              </w:rPr>
              <w:t xml:space="preserve">  </w:t>
            </w:r>
            <w:r>
              <w:rPr>
                <w:spacing w:val="-2"/>
                <w:sz w:val="18"/>
                <w:szCs w:val="18"/>
              </w:rPr>
              <w:t>要求扣</w:t>
            </w:r>
            <w:r>
              <w:rPr>
                <w:spacing w:val="-16"/>
                <w:sz w:val="18"/>
                <w:szCs w:val="18"/>
              </w:rPr>
              <w:t xml:space="preserve"> </w:t>
            </w:r>
            <w:r>
              <w:rPr>
                <w:spacing w:val="-2"/>
                <w:sz w:val="18"/>
                <w:szCs w:val="18"/>
              </w:rPr>
              <w:t>1</w:t>
            </w:r>
            <w:r>
              <w:rPr>
                <w:spacing w:val="-34"/>
                <w:sz w:val="18"/>
                <w:szCs w:val="18"/>
              </w:rPr>
              <w:t xml:space="preserve"> </w:t>
            </w:r>
            <w:r>
              <w:rPr>
                <w:spacing w:val="-2"/>
                <w:sz w:val="18"/>
                <w:szCs w:val="18"/>
              </w:rPr>
              <w:t>分；驻点人员须具有电工证、登高作业证、特种设备作业上岗证等证件，不符要求作业的，扣</w:t>
            </w:r>
            <w:r>
              <w:rPr>
                <w:spacing w:val="-22"/>
                <w:sz w:val="18"/>
                <w:szCs w:val="18"/>
              </w:rPr>
              <w:t xml:space="preserve"> </w:t>
            </w:r>
            <w:r>
              <w:rPr>
                <w:spacing w:val="-2"/>
                <w:sz w:val="18"/>
                <w:szCs w:val="18"/>
              </w:rPr>
              <w:t>1</w:t>
            </w:r>
            <w:r>
              <w:rPr>
                <w:spacing w:val="-34"/>
                <w:sz w:val="18"/>
                <w:szCs w:val="18"/>
              </w:rPr>
              <w:t xml:space="preserve"> </w:t>
            </w:r>
            <w:r>
              <w:rPr>
                <w:spacing w:val="-2"/>
                <w:sz w:val="18"/>
                <w:szCs w:val="18"/>
              </w:rPr>
              <w:t>分。</w:t>
            </w:r>
          </w:p>
        </w:tc>
        <w:tc>
          <w:tcPr>
            <w:tcW w:w="1418" w:type="dxa"/>
            <w:vMerge w:val="restart"/>
            <w:tcBorders>
              <w:bottom w:val="nil"/>
            </w:tcBorders>
          </w:tcPr>
          <w:p w14:paraId="79765F36">
            <w:pPr>
              <w:rPr>
                <w:rFonts w:ascii="Arial"/>
              </w:rPr>
            </w:pPr>
          </w:p>
        </w:tc>
        <w:tc>
          <w:tcPr>
            <w:tcW w:w="995" w:type="dxa"/>
            <w:vMerge w:val="restart"/>
            <w:tcBorders>
              <w:bottom w:val="nil"/>
            </w:tcBorders>
          </w:tcPr>
          <w:p w14:paraId="4D2F9E0A">
            <w:pPr>
              <w:rPr>
                <w:rFonts w:ascii="Arial"/>
              </w:rPr>
            </w:pPr>
          </w:p>
        </w:tc>
      </w:tr>
      <w:tr w14:paraId="12584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01" w:type="dxa"/>
            <w:vMerge w:val="continue"/>
            <w:tcBorders>
              <w:top w:val="nil"/>
              <w:bottom w:val="nil"/>
            </w:tcBorders>
          </w:tcPr>
          <w:p w14:paraId="3809AECC">
            <w:pPr>
              <w:rPr>
                <w:rFonts w:ascii="Arial"/>
              </w:rPr>
            </w:pPr>
          </w:p>
        </w:tc>
        <w:tc>
          <w:tcPr>
            <w:tcW w:w="722" w:type="dxa"/>
            <w:vMerge w:val="continue"/>
            <w:tcBorders>
              <w:top w:val="nil"/>
              <w:bottom w:val="nil"/>
            </w:tcBorders>
          </w:tcPr>
          <w:p w14:paraId="66839E33">
            <w:pPr>
              <w:rPr>
                <w:rFonts w:ascii="Arial"/>
              </w:rPr>
            </w:pPr>
          </w:p>
        </w:tc>
        <w:tc>
          <w:tcPr>
            <w:tcW w:w="991" w:type="dxa"/>
            <w:vMerge w:val="continue"/>
            <w:tcBorders>
              <w:top w:val="nil"/>
              <w:bottom w:val="nil"/>
            </w:tcBorders>
          </w:tcPr>
          <w:p w14:paraId="6258FF6A">
            <w:pPr>
              <w:rPr>
                <w:rFonts w:ascii="Arial"/>
              </w:rPr>
            </w:pPr>
          </w:p>
        </w:tc>
        <w:tc>
          <w:tcPr>
            <w:tcW w:w="4534" w:type="dxa"/>
          </w:tcPr>
          <w:p w14:paraId="0B4B6D23">
            <w:pPr>
              <w:pStyle w:val="339"/>
              <w:spacing w:before="36" w:line="230" w:lineRule="auto"/>
              <w:ind w:left="112" w:right="233"/>
              <w:rPr>
                <w:sz w:val="18"/>
                <w:szCs w:val="18"/>
              </w:rPr>
            </w:pPr>
            <w:r>
              <w:rPr>
                <w:spacing w:val="-2"/>
                <w:sz w:val="18"/>
                <w:szCs w:val="18"/>
              </w:rPr>
              <w:t>2、维护人员的个人资料及相关证件应在营运部备案，</w:t>
            </w:r>
            <w:r>
              <w:rPr>
                <w:sz w:val="18"/>
                <w:szCs w:val="18"/>
              </w:rPr>
              <w:t xml:space="preserve"> </w:t>
            </w:r>
            <w:r>
              <w:rPr>
                <w:spacing w:val="-5"/>
                <w:sz w:val="18"/>
                <w:szCs w:val="18"/>
              </w:rPr>
              <w:t>未备案的，扣</w:t>
            </w:r>
            <w:r>
              <w:rPr>
                <w:spacing w:val="-22"/>
                <w:sz w:val="18"/>
                <w:szCs w:val="18"/>
              </w:rPr>
              <w:t xml:space="preserve"> </w:t>
            </w:r>
            <w:r>
              <w:rPr>
                <w:spacing w:val="-5"/>
                <w:sz w:val="18"/>
                <w:szCs w:val="18"/>
              </w:rPr>
              <w:t>1</w:t>
            </w:r>
            <w:r>
              <w:rPr>
                <w:spacing w:val="-34"/>
                <w:sz w:val="18"/>
                <w:szCs w:val="18"/>
              </w:rPr>
              <w:t xml:space="preserve"> </w:t>
            </w:r>
            <w:r>
              <w:rPr>
                <w:spacing w:val="-5"/>
                <w:sz w:val="18"/>
                <w:szCs w:val="18"/>
              </w:rPr>
              <w:t>分/人。</w:t>
            </w:r>
          </w:p>
        </w:tc>
        <w:tc>
          <w:tcPr>
            <w:tcW w:w="1418" w:type="dxa"/>
            <w:vMerge w:val="continue"/>
            <w:tcBorders>
              <w:top w:val="nil"/>
              <w:bottom w:val="nil"/>
            </w:tcBorders>
          </w:tcPr>
          <w:p w14:paraId="67A69335">
            <w:pPr>
              <w:rPr>
                <w:rFonts w:ascii="Arial"/>
              </w:rPr>
            </w:pPr>
          </w:p>
        </w:tc>
        <w:tc>
          <w:tcPr>
            <w:tcW w:w="995" w:type="dxa"/>
            <w:vMerge w:val="continue"/>
            <w:tcBorders>
              <w:top w:val="nil"/>
              <w:bottom w:val="nil"/>
            </w:tcBorders>
          </w:tcPr>
          <w:p w14:paraId="7C6A3AA2">
            <w:pPr>
              <w:rPr>
                <w:rFonts w:ascii="Arial"/>
              </w:rPr>
            </w:pPr>
          </w:p>
        </w:tc>
      </w:tr>
      <w:tr w14:paraId="72CED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01" w:type="dxa"/>
            <w:vMerge w:val="continue"/>
            <w:tcBorders>
              <w:top w:val="nil"/>
              <w:bottom w:val="nil"/>
            </w:tcBorders>
          </w:tcPr>
          <w:p w14:paraId="5F74C140">
            <w:pPr>
              <w:rPr>
                <w:rFonts w:ascii="Arial"/>
              </w:rPr>
            </w:pPr>
          </w:p>
        </w:tc>
        <w:tc>
          <w:tcPr>
            <w:tcW w:w="722" w:type="dxa"/>
            <w:vMerge w:val="continue"/>
            <w:tcBorders>
              <w:top w:val="nil"/>
              <w:bottom w:val="nil"/>
            </w:tcBorders>
          </w:tcPr>
          <w:p w14:paraId="1D26AD30">
            <w:pPr>
              <w:rPr>
                <w:rFonts w:ascii="Arial"/>
              </w:rPr>
            </w:pPr>
          </w:p>
        </w:tc>
        <w:tc>
          <w:tcPr>
            <w:tcW w:w="991" w:type="dxa"/>
            <w:vMerge w:val="continue"/>
            <w:tcBorders>
              <w:top w:val="nil"/>
            </w:tcBorders>
          </w:tcPr>
          <w:p w14:paraId="6FCEC45B">
            <w:pPr>
              <w:rPr>
                <w:rFonts w:ascii="Arial"/>
              </w:rPr>
            </w:pPr>
          </w:p>
        </w:tc>
        <w:tc>
          <w:tcPr>
            <w:tcW w:w="4534" w:type="dxa"/>
          </w:tcPr>
          <w:p w14:paraId="6A4FC08E">
            <w:pPr>
              <w:pStyle w:val="339"/>
              <w:spacing w:before="27" w:line="222" w:lineRule="auto"/>
              <w:ind w:left="113" w:right="141"/>
              <w:rPr>
                <w:sz w:val="18"/>
                <w:szCs w:val="18"/>
              </w:rPr>
            </w:pPr>
            <w:r>
              <w:rPr>
                <w:spacing w:val="-4"/>
                <w:sz w:val="18"/>
                <w:szCs w:val="18"/>
              </w:rPr>
              <w:t>3、维护人员电话需</w:t>
            </w:r>
            <w:r>
              <w:rPr>
                <w:spacing w:val="-24"/>
                <w:sz w:val="18"/>
                <w:szCs w:val="18"/>
              </w:rPr>
              <w:t xml:space="preserve"> </w:t>
            </w:r>
            <w:r>
              <w:rPr>
                <w:spacing w:val="-4"/>
                <w:sz w:val="18"/>
                <w:szCs w:val="18"/>
              </w:rPr>
              <w:t>24</w:t>
            </w:r>
            <w:r>
              <w:rPr>
                <w:spacing w:val="-31"/>
                <w:sz w:val="18"/>
                <w:szCs w:val="18"/>
              </w:rPr>
              <w:t xml:space="preserve"> </w:t>
            </w:r>
            <w:r>
              <w:rPr>
                <w:spacing w:val="-4"/>
                <w:sz w:val="18"/>
                <w:szCs w:val="18"/>
              </w:rPr>
              <w:t>小时开通，连续</w:t>
            </w:r>
            <w:r>
              <w:rPr>
                <w:spacing w:val="-34"/>
                <w:sz w:val="18"/>
                <w:szCs w:val="18"/>
              </w:rPr>
              <w:t xml:space="preserve"> </w:t>
            </w:r>
            <w:r>
              <w:rPr>
                <w:spacing w:val="-4"/>
                <w:sz w:val="18"/>
                <w:szCs w:val="18"/>
              </w:rPr>
              <w:t>3</w:t>
            </w:r>
            <w:r>
              <w:rPr>
                <w:spacing w:val="-36"/>
                <w:sz w:val="18"/>
                <w:szCs w:val="18"/>
              </w:rPr>
              <w:t xml:space="preserve"> </w:t>
            </w:r>
            <w:r>
              <w:rPr>
                <w:spacing w:val="-4"/>
                <w:sz w:val="18"/>
                <w:szCs w:val="18"/>
              </w:rPr>
              <w:t>通无</w:t>
            </w:r>
            <w:r>
              <w:rPr>
                <w:spacing w:val="-5"/>
                <w:sz w:val="18"/>
                <w:szCs w:val="18"/>
              </w:rPr>
              <w:t>人接听，</w:t>
            </w:r>
            <w:r>
              <w:rPr>
                <w:sz w:val="18"/>
                <w:szCs w:val="18"/>
              </w:rPr>
              <w:t xml:space="preserve"> </w:t>
            </w:r>
            <w:r>
              <w:rPr>
                <w:spacing w:val="-9"/>
                <w:sz w:val="18"/>
                <w:szCs w:val="18"/>
              </w:rPr>
              <w:t>扣</w:t>
            </w:r>
            <w:r>
              <w:rPr>
                <w:spacing w:val="-23"/>
                <w:sz w:val="18"/>
                <w:szCs w:val="18"/>
              </w:rPr>
              <w:t xml:space="preserve"> </w:t>
            </w:r>
            <w:r>
              <w:rPr>
                <w:spacing w:val="-9"/>
                <w:sz w:val="18"/>
                <w:szCs w:val="18"/>
              </w:rPr>
              <w:t>1</w:t>
            </w:r>
            <w:r>
              <w:rPr>
                <w:spacing w:val="-34"/>
                <w:sz w:val="18"/>
                <w:szCs w:val="18"/>
              </w:rPr>
              <w:t xml:space="preserve"> </w:t>
            </w:r>
            <w:r>
              <w:rPr>
                <w:spacing w:val="-9"/>
                <w:sz w:val="18"/>
                <w:szCs w:val="18"/>
              </w:rPr>
              <w:t>分/次。</w:t>
            </w:r>
          </w:p>
        </w:tc>
        <w:tc>
          <w:tcPr>
            <w:tcW w:w="1418" w:type="dxa"/>
            <w:vMerge w:val="continue"/>
            <w:tcBorders>
              <w:top w:val="nil"/>
            </w:tcBorders>
          </w:tcPr>
          <w:p w14:paraId="109AFE33">
            <w:pPr>
              <w:rPr>
                <w:rFonts w:ascii="Arial"/>
              </w:rPr>
            </w:pPr>
          </w:p>
        </w:tc>
        <w:tc>
          <w:tcPr>
            <w:tcW w:w="995" w:type="dxa"/>
            <w:vMerge w:val="continue"/>
            <w:tcBorders>
              <w:top w:val="nil"/>
            </w:tcBorders>
          </w:tcPr>
          <w:p w14:paraId="2516B29C">
            <w:pPr>
              <w:rPr>
                <w:rFonts w:ascii="Arial"/>
              </w:rPr>
            </w:pPr>
          </w:p>
        </w:tc>
      </w:tr>
      <w:tr w14:paraId="6CBA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701" w:type="dxa"/>
            <w:vMerge w:val="continue"/>
            <w:tcBorders>
              <w:top w:val="nil"/>
              <w:bottom w:val="nil"/>
            </w:tcBorders>
          </w:tcPr>
          <w:p w14:paraId="04A01898">
            <w:pPr>
              <w:rPr>
                <w:rFonts w:ascii="Arial"/>
              </w:rPr>
            </w:pPr>
          </w:p>
        </w:tc>
        <w:tc>
          <w:tcPr>
            <w:tcW w:w="722" w:type="dxa"/>
            <w:vMerge w:val="continue"/>
            <w:tcBorders>
              <w:top w:val="nil"/>
              <w:bottom w:val="nil"/>
            </w:tcBorders>
          </w:tcPr>
          <w:p w14:paraId="0CDC4162">
            <w:pPr>
              <w:rPr>
                <w:rFonts w:ascii="Arial"/>
              </w:rPr>
            </w:pPr>
          </w:p>
        </w:tc>
        <w:tc>
          <w:tcPr>
            <w:tcW w:w="991" w:type="dxa"/>
            <w:vMerge w:val="restart"/>
            <w:tcBorders>
              <w:bottom w:val="nil"/>
            </w:tcBorders>
          </w:tcPr>
          <w:p w14:paraId="78C50EFC">
            <w:pPr>
              <w:spacing w:line="264" w:lineRule="auto"/>
              <w:rPr>
                <w:rFonts w:ascii="Arial"/>
              </w:rPr>
            </w:pPr>
          </w:p>
          <w:p w14:paraId="3ADCD734">
            <w:pPr>
              <w:spacing w:line="265" w:lineRule="auto"/>
              <w:rPr>
                <w:rFonts w:ascii="Arial"/>
              </w:rPr>
            </w:pPr>
          </w:p>
          <w:p w14:paraId="4538B0E5">
            <w:pPr>
              <w:spacing w:line="265" w:lineRule="auto"/>
              <w:rPr>
                <w:rFonts w:ascii="Arial"/>
              </w:rPr>
            </w:pPr>
          </w:p>
          <w:p w14:paraId="2AE71437">
            <w:pPr>
              <w:pStyle w:val="339"/>
              <w:spacing w:before="58" w:line="220" w:lineRule="auto"/>
              <w:ind w:left="139"/>
              <w:rPr>
                <w:sz w:val="18"/>
                <w:szCs w:val="18"/>
              </w:rPr>
            </w:pPr>
            <w:r>
              <w:rPr>
                <w:spacing w:val="-2"/>
                <w:sz w:val="18"/>
                <w:szCs w:val="18"/>
              </w:rPr>
              <w:t>工作态度</w:t>
            </w:r>
          </w:p>
        </w:tc>
        <w:tc>
          <w:tcPr>
            <w:tcW w:w="4534" w:type="dxa"/>
          </w:tcPr>
          <w:p w14:paraId="7DFF3F58">
            <w:pPr>
              <w:pStyle w:val="339"/>
              <w:spacing w:before="30" w:line="230" w:lineRule="auto"/>
              <w:ind w:left="110" w:right="233" w:firstLine="14"/>
              <w:jc w:val="both"/>
              <w:rPr>
                <w:sz w:val="18"/>
                <w:szCs w:val="18"/>
              </w:rPr>
            </w:pPr>
            <w:r>
              <w:rPr>
                <w:spacing w:val="-3"/>
                <w:sz w:val="18"/>
                <w:szCs w:val="18"/>
              </w:rPr>
              <w:t>1、在国家规定的公休日需每天安排</w:t>
            </w:r>
            <w:r>
              <w:rPr>
                <w:rFonts w:hint="eastAsia"/>
                <w:spacing w:val="-3"/>
                <w:sz w:val="18"/>
                <w:szCs w:val="18"/>
              </w:rPr>
              <w:t>人员</w:t>
            </w:r>
            <w:r>
              <w:rPr>
                <w:spacing w:val="-3"/>
                <w:sz w:val="18"/>
                <w:szCs w:val="18"/>
              </w:rPr>
              <w:t>值班，</w:t>
            </w:r>
            <w:r>
              <w:rPr>
                <w:spacing w:val="12"/>
                <w:sz w:val="18"/>
                <w:szCs w:val="18"/>
              </w:rPr>
              <w:t xml:space="preserve"> </w:t>
            </w:r>
            <w:r>
              <w:rPr>
                <w:spacing w:val="-1"/>
                <w:sz w:val="18"/>
                <w:szCs w:val="18"/>
              </w:rPr>
              <w:t>遇重大节日或重要政治任务，应根据业主要求驻点值</w:t>
            </w:r>
            <w:r>
              <w:rPr>
                <w:spacing w:val="15"/>
                <w:sz w:val="18"/>
                <w:szCs w:val="18"/>
              </w:rPr>
              <w:t xml:space="preserve"> </w:t>
            </w:r>
            <w:r>
              <w:rPr>
                <w:spacing w:val="-5"/>
                <w:sz w:val="18"/>
                <w:szCs w:val="18"/>
              </w:rPr>
              <w:t>班，未执行扣</w:t>
            </w:r>
            <w:r>
              <w:rPr>
                <w:spacing w:val="-18"/>
                <w:sz w:val="18"/>
                <w:szCs w:val="18"/>
              </w:rPr>
              <w:t xml:space="preserve"> </w:t>
            </w:r>
            <w:r>
              <w:rPr>
                <w:spacing w:val="-5"/>
                <w:sz w:val="18"/>
                <w:szCs w:val="18"/>
              </w:rPr>
              <w:t>1</w:t>
            </w:r>
            <w:r>
              <w:rPr>
                <w:spacing w:val="-34"/>
                <w:sz w:val="18"/>
                <w:szCs w:val="18"/>
              </w:rPr>
              <w:t xml:space="preserve"> </w:t>
            </w:r>
            <w:r>
              <w:rPr>
                <w:spacing w:val="-5"/>
                <w:sz w:val="18"/>
                <w:szCs w:val="18"/>
              </w:rPr>
              <w:t>分/次。</w:t>
            </w:r>
          </w:p>
        </w:tc>
        <w:tc>
          <w:tcPr>
            <w:tcW w:w="1418" w:type="dxa"/>
            <w:vMerge w:val="restart"/>
            <w:tcBorders>
              <w:bottom w:val="nil"/>
            </w:tcBorders>
          </w:tcPr>
          <w:p w14:paraId="442E0A1B">
            <w:pPr>
              <w:rPr>
                <w:rFonts w:ascii="Arial"/>
              </w:rPr>
            </w:pPr>
          </w:p>
        </w:tc>
        <w:tc>
          <w:tcPr>
            <w:tcW w:w="995" w:type="dxa"/>
            <w:vMerge w:val="restart"/>
            <w:tcBorders>
              <w:bottom w:val="nil"/>
            </w:tcBorders>
          </w:tcPr>
          <w:p w14:paraId="35468075">
            <w:pPr>
              <w:rPr>
                <w:rFonts w:ascii="Arial"/>
              </w:rPr>
            </w:pPr>
          </w:p>
        </w:tc>
      </w:tr>
      <w:tr w14:paraId="5A203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01" w:type="dxa"/>
            <w:vMerge w:val="continue"/>
            <w:tcBorders>
              <w:top w:val="nil"/>
              <w:bottom w:val="nil"/>
            </w:tcBorders>
          </w:tcPr>
          <w:p w14:paraId="54CCE6B5">
            <w:pPr>
              <w:rPr>
                <w:rFonts w:ascii="Arial"/>
              </w:rPr>
            </w:pPr>
          </w:p>
        </w:tc>
        <w:tc>
          <w:tcPr>
            <w:tcW w:w="722" w:type="dxa"/>
            <w:vMerge w:val="continue"/>
            <w:tcBorders>
              <w:top w:val="nil"/>
              <w:bottom w:val="nil"/>
            </w:tcBorders>
          </w:tcPr>
          <w:p w14:paraId="53BB7E73">
            <w:pPr>
              <w:rPr>
                <w:rFonts w:ascii="Arial"/>
              </w:rPr>
            </w:pPr>
          </w:p>
        </w:tc>
        <w:tc>
          <w:tcPr>
            <w:tcW w:w="991" w:type="dxa"/>
            <w:vMerge w:val="continue"/>
            <w:tcBorders>
              <w:top w:val="nil"/>
              <w:bottom w:val="nil"/>
            </w:tcBorders>
          </w:tcPr>
          <w:p w14:paraId="5AEEF3AB">
            <w:pPr>
              <w:rPr>
                <w:rFonts w:ascii="Arial"/>
              </w:rPr>
            </w:pPr>
          </w:p>
        </w:tc>
        <w:tc>
          <w:tcPr>
            <w:tcW w:w="4534" w:type="dxa"/>
          </w:tcPr>
          <w:p w14:paraId="1C06C48F">
            <w:pPr>
              <w:pStyle w:val="339"/>
              <w:spacing w:before="27" w:line="222" w:lineRule="auto"/>
              <w:ind w:left="114" w:right="100" w:hanging="2"/>
              <w:rPr>
                <w:sz w:val="18"/>
                <w:szCs w:val="18"/>
              </w:rPr>
            </w:pPr>
            <w:r>
              <w:rPr>
                <w:spacing w:val="-2"/>
                <w:sz w:val="18"/>
                <w:szCs w:val="18"/>
              </w:rPr>
              <w:t>2、在维保过程中，不服从业主管理的，发</w:t>
            </w:r>
            <w:r>
              <w:rPr>
                <w:spacing w:val="-3"/>
                <w:sz w:val="18"/>
                <w:szCs w:val="18"/>
              </w:rPr>
              <w:t>现扣 1-3</w:t>
            </w:r>
            <w:r>
              <w:rPr>
                <w:spacing w:val="-34"/>
                <w:sz w:val="18"/>
                <w:szCs w:val="18"/>
              </w:rPr>
              <w:t xml:space="preserve"> </w:t>
            </w:r>
            <w:r>
              <w:rPr>
                <w:spacing w:val="-3"/>
                <w:sz w:val="18"/>
                <w:szCs w:val="18"/>
              </w:rPr>
              <w:t>分/</w:t>
            </w:r>
            <w:r>
              <w:rPr>
                <w:sz w:val="18"/>
                <w:szCs w:val="18"/>
              </w:rPr>
              <w:t xml:space="preserve"> </w:t>
            </w:r>
            <w:r>
              <w:rPr>
                <w:spacing w:val="-10"/>
                <w:sz w:val="18"/>
                <w:szCs w:val="18"/>
              </w:rPr>
              <w:t>次。</w:t>
            </w:r>
          </w:p>
        </w:tc>
        <w:tc>
          <w:tcPr>
            <w:tcW w:w="1418" w:type="dxa"/>
            <w:vMerge w:val="continue"/>
            <w:tcBorders>
              <w:top w:val="nil"/>
              <w:bottom w:val="nil"/>
            </w:tcBorders>
          </w:tcPr>
          <w:p w14:paraId="4AAF68D5">
            <w:pPr>
              <w:rPr>
                <w:rFonts w:ascii="Arial"/>
              </w:rPr>
            </w:pPr>
          </w:p>
        </w:tc>
        <w:tc>
          <w:tcPr>
            <w:tcW w:w="995" w:type="dxa"/>
            <w:vMerge w:val="continue"/>
            <w:tcBorders>
              <w:top w:val="nil"/>
              <w:bottom w:val="nil"/>
            </w:tcBorders>
          </w:tcPr>
          <w:p w14:paraId="465586C6">
            <w:pPr>
              <w:rPr>
                <w:rFonts w:ascii="Arial"/>
              </w:rPr>
            </w:pPr>
          </w:p>
        </w:tc>
      </w:tr>
      <w:tr w14:paraId="0D8EF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01" w:type="dxa"/>
            <w:vMerge w:val="continue"/>
            <w:tcBorders>
              <w:top w:val="nil"/>
            </w:tcBorders>
          </w:tcPr>
          <w:p w14:paraId="2163333F">
            <w:pPr>
              <w:rPr>
                <w:rFonts w:ascii="Arial"/>
              </w:rPr>
            </w:pPr>
          </w:p>
        </w:tc>
        <w:tc>
          <w:tcPr>
            <w:tcW w:w="722" w:type="dxa"/>
            <w:vMerge w:val="continue"/>
            <w:tcBorders>
              <w:top w:val="nil"/>
            </w:tcBorders>
          </w:tcPr>
          <w:p w14:paraId="75B1CC41">
            <w:pPr>
              <w:rPr>
                <w:rFonts w:ascii="Arial"/>
              </w:rPr>
            </w:pPr>
          </w:p>
        </w:tc>
        <w:tc>
          <w:tcPr>
            <w:tcW w:w="991" w:type="dxa"/>
            <w:vMerge w:val="continue"/>
            <w:tcBorders>
              <w:top w:val="nil"/>
            </w:tcBorders>
          </w:tcPr>
          <w:p w14:paraId="40F5C7AF">
            <w:pPr>
              <w:rPr>
                <w:rFonts w:ascii="Arial"/>
              </w:rPr>
            </w:pPr>
          </w:p>
        </w:tc>
        <w:tc>
          <w:tcPr>
            <w:tcW w:w="4534" w:type="dxa"/>
          </w:tcPr>
          <w:p w14:paraId="2FFA57F9">
            <w:pPr>
              <w:pStyle w:val="339"/>
              <w:spacing w:before="28" w:line="228" w:lineRule="auto"/>
              <w:ind w:left="112" w:right="105" w:firstLine="2"/>
              <w:rPr>
                <w:sz w:val="18"/>
                <w:szCs w:val="18"/>
              </w:rPr>
            </w:pPr>
            <w:r>
              <w:rPr>
                <w:spacing w:val="-1"/>
                <w:sz w:val="18"/>
                <w:szCs w:val="18"/>
              </w:rPr>
              <w:t>3、如遇偷盗、雷击、火灾、交通事故、洪水等突发情</w:t>
            </w:r>
            <w:r>
              <w:rPr>
                <w:spacing w:val="2"/>
                <w:sz w:val="18"/>
                <w:szCs w:val="18"/>
              </w:rPr>
              <w:t xml:space="preserve">  </w:t>
            </w:r>
            <w:r>
              <w:rPr>
                <w:spacing w:val="-1"/>
                <w:sz w:val="18"/>
                <w:szCs w:val="18"/>
              </w:rPr>
              <w:t>况时，需配合业主做好报警、现场查勘和配合保险公司</w:t>
            </w:r>
            <w:r>
              <w:rPr>
                <w:spacing w:val="14"/>
                <w:sz w:val="18"/>
                <w:szCs w:val="18"/>
              </w:rPr>
              <w:t xml:space="preserve"> </w:t>
            </w:r>
            <w:r>
              <w:rPr>
                <w:spacing w:val="-3"/>
                <w:sz w:val="18"/>
                <w:szCs w:val="18"/>
              </w:rPr>
              <w:t>调查等工作，如有违反扣</w:t>
            </w:r>
            <w:r>
              <w:rPr>
                <w:spacing w:val="-29"/>
                <w:sz w:val="18"/>
                <w:szCs w:val="18"/>
              </w:rPr>
              <w:t xml:space="preserve"> </w:t>
            </w:r>
            <w:r>
              <w:rPr>
                <w:spacing w:val="-3"/>
                <w:sz w:val="18"/>
                <w:szCs w:val="18"/>
              </w:rPr>
              <w:t>3</w:t>
            </w:r>
            <w:r>
              <w:rPr>
                <w:spacing w:val="-34"/>
                <w:sz w:val="18"/>
                <w:szCs w:val="18"/>
              </w:rPr>
              <w:t xml:space="preserve"> </w:t>
            </w:r>
            <w:r>
              <w:rPr>
                <w:spacing w:val="-3"/>
                <w:sz w:val="18"/>
                <w:szCs w:val="18"/>
              </w:rPr>
              <w:t>分/次。</w:t>
            </w:r>
          </w:p>
        </w:tc>
        <w:tc>
          <w:tcPr>
            <w:tcW w:w="1418" w:type="dxa"/>
            <w:vMerge w:val="continue"/>
            <w:tcBorders>
              <w:top w:val="nil"/>
            </w:tcBorders>
          </w:tcPr>
          <w:p w14:paraId="320DA54E">
            <w:pPr>
              <w:rPr>
                <w:rFonts w:ascii="Arial"/>
              </w:rPr>
            </w:pPr>
          </w:p>
        </w:tc>
        <w:tc>
          <w:tcPr>
            <w:tcW w:w="995" w:type="dxa"/>
            <w:vMerge w:val="continue"/>
            <w:tcBorders>
              <w:top w:val="nil"/>
            </w:tcBorders>
          </w:tcPr>
          <w:p w14:paraId="508B5D81">
            <w:pPr>
              <w:rPr>
                <w:rFonts w:ascii="Arial"/>
              </w:rPr>
            </w:pPr>
          </w:p>
        </w:tc>
      </w:tr>
      <w:tr w14:paraId="0F961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01" w:type="dxa"/>
            <w:vMerge w:val="restart"/>
            <w:tcBorders>
              <w:bottom w:val="nil"/>
            </w:tcBorders>
          </w:tcPr>
          <w:p w14:paraId="3FEFAF81">
            <w:pPr>
              <w:spacing w:line="243" w:lineRule="auto"/>
              <w:rPr>
                <w:rFonts w:ascii="Arial"/>
              </w:rPr>
            </w:pPr>
          </w:p>
          <w:p w14:paraId="692CBB2E">
            <w:pPr>
              <w:spacing w:line="243" w:lineRule="auto"/>
              <w:rPr>
                <w:rFonts w:ascii="Arial"/>
              </w:rPr>
            </w:pPr>
          </w:p>
          <w:p w14:paraId="7415D350">
            <w:pPr>
              <w:spacing w:line="243" w:lineRule="auto"/>
              <w:rPr>
                <w:rFonts w:ascii="Arial"/>
              </w:rPr>
            </w:pPr>
          </w:p>
          <w:p w14:paraId="04588AB8">
            <w:pPr>
              <w:spacing w:line="243" w:lineRule="auto"/>
              <w:rPr>
                <w:rFonts w:ascii="Arial"/>
              </w:rPr>
            </w:pPr>
          </w:p>
          <w:p w14:paraId="53CE62A0">
            <w:pPr>
              <w:spacing w:line="243" w:lineRule="auto"/>
              <w:rPr>
                <w:rFonts w:ascii="Arial"/>
              </w:rPr>
            </w:pPr>
          </w:p>
          <w:p w14:paraId="2FAA6D4A">
            <w:pPr>
              <w:spacing w:line="243" w:lineRule="auto"/>
              <w:rPr>
                <w:rFonts w:ascii="Arial"/>
              </w:rPr>
            </w:pPr>
          </w:p>
          <w:p w14:paraId="382F8F91">
            <w:pPr>
              <w:spacing w:line="244" w:lineRule="auto"/>
              <w:rPr>
                <w:rFonts w:ascii="Arial"/>
              </w:rPr>
            </w:pPr>
          </w:p>
          <w:p w14:paraId="13A385CB">
            <w:pPr>
              <w:spacing w:line="244" w:lineRule="auto"/>
              <w:rPr>
                <w:rFonts w:ascii="Arial"/>
              </w:rPr>
            </w:pPr>
          </w:p>
          <w:p w14:paraId="0350879A">
            <w:pPr>
              <w:spacing w:line="244" w:lineRule="auto"/>
              <w:rPr>
                <w:rFonts w:ascii="Arial"/>
              </w:rPr>
            </w:pPr>
          </w:p>
          <w:p w14:paraId="436EE408">
            <w:pPr>
              <w:spacing w:line="244" w:lineRule="auto"/>
              <w:rPr>
                <w:rFonts w:ascii="Arial"/>
              </w:rPr>
            </w:pPr>
          </w:p>
          <w:p w14:paraId="102ECC85">
            <w:pPr>
              <w:spacing w:line="244" w:lineRule="auto"/>
              <w:rPr>
                <w:rFonts w:ascii="Arial"/>
              </w:rPr>
            </w:pPr>
          </w:p>
          <w:p w14:paraId="6E68CAFA">
            <w:pPr>
              <w:spacing w:line="244" w:lineRule="auto"/>
              <w:rPr>
                <w:rFonts w:ascii="Arial"/>
              </w:rPr>
            </w:pPr>
          </w:p>
          <w:p w14:paraId="453FCFA8">
            <w:pPr>
              <w:spacing w:line="244" w:lineRule="auto"/>
              <w:rPr>
                <w:rFonts w:ascii="Arial"/>
              </w:rPr>
            </w:pPr>
          </w:p>
          <w:p w14:paraId="3C0E3D2B">
            <w:pPr>
              <w:spacing w:line="244" w:lineRule="auto"/>
              <w:rPr>
                <w:rFonts w:ascii="Arial"/>
              </w:rPr>
            </w:pPr>
          </w:p>
          <w:p w14:paraId="094D6BFF">
            <w:pPr>
              <w:spacing w:line="244" w:lineRule="auto"/>
              <w:rPr>
                <w:rFonts w:ascii="Arial"/>
              </w:rPr>
            </w:pPr>
          </w:p>
          <w:p w14:paraId="7A34D326">
            <w:pPr>
              <w:spacing w:line="244" w:lineRule="auto"/>
              <w:rPr>
                <w:rFonts w:ascii="Arial"/>
              </w:rPr>
            </w:pPr>
          </w:p>
          <w:p w14:paraId="57955DE0">
            <w:pPr>
              <w:spacing w:line="244" w:lineRule="auto"/>
              <w:rPr>
                <w:rFonts w:ascii="Arial"/>
              </w:rPr>
            </w:pPr>
          </w:p>
          <w:p w14:paraId="183F4AFF">
            <w:pPr>
              <w:pStyle w:val="339"/>
              <w:spacing w:before="59" w:line="181" w:lineRule="auto"/>
              <w:ind w:left="309"/>
              <w:rPr>
                <w:sz w:val="18"/>
                <w:szCs w:val="18"/>
              </w:rPr>
            </w:pPr>
            <w:r>
              <w:rPr>
                <w:sz w:val="18"/>
                <w:szCs w:val="18"/>
              </w:rPr>
              <w:t>2</w:t>
            </w:r>
          </w:p>
        </w:tc>
        <w:tc>
          <w:tcPr>
            <w:tcW w:w="722" w:type="dxa"/>
            <w:vMerge w:val="restart"/>
            <w:tcBorders>
              <w:bottom w:val="nil"/>
            </w:tcBorders>
          </w:tcPr>
          <w:p w14:paraId="4F2CCC56">
            <w:pPr>
              <w:spacing w:line="249" w:lineRule="auto"/>
              <w:rPr>
                <w:rFonts w:ascii="Arial"/>
              </w:rPr>
            </w:pPr>
          </w:p>
          <w:p w14:paraId="04A7E5D3">
            <w:pPr>
              <w:spacing w:line="249" w:lineRule="auto"/>
              <w:rPr>
                <w:rFonts w:ascii="Arial"/>
              </w:rPr>
            </w:pPr>
          </w:p>
          <w:p w14:paraId="38287651">
            <w:pPr>
              <w:spacing w:line="249" w:lineRule="auto"/>
              <w:rPr>
                <w:rFonts w:ascii="Arial"/>
              </w:rPr>
            </w:pPr>
          </w:p>
          <w:p w14:paraId="034FD0C7">
            <w:pPr>
              <w:spacing w:line="249" w:lineRule="auto"/>
              <w:rPr>
                <w:rFonts w:ascii="Arial"/>
              </w:rPr>
            </w:pPr>
          </w:p>
          <w:p w14:paraId="2809237B">
            <w:pPr>
              <w:spacing w:line="250" w:lineRule="auto"/>
              <w:rPr>
                <w:rFonts w:ascii="Arial"/>
              </w:rPr>
            </w:pPr>
          </w:p>
          <w:p w14:paraId="01A30094">
            <w:pPr>
              <w:spacing w:line="250" w:lineRule="auto"/>
              <w:rPr>
                <w:rFonts w:ascii="Arial"/>
              </w:rPr>
            </w:pPr>
          </w:p>
          <w:p w14:paraId="6559DE8B">
            <w:pPr>
              <w:spacing w:line="250" w:lineRule="auto"/>
              <w:rPr>
                <w:rFonts w:ascii="Arial"/>
              </w:rPr>
            </w:pPr>
          </w:p>
          <w:p w14:paraId="43BB5DDA">
            <w:pPr>
              <w:spacing w:line="250" w:lineRule="auto"/>
              <w:rPr>
                <w:rFonts w:ascii="Arial"/>
              </w:rPr>
            </w:pPr>
          </w:p>
          <w:p w14:paraId="060C53F5">
            <w:pPr>
              <w:spacing w:line="250" w:lineRule="auto"/>
              <w:rPr>
                <w:rFonts w:ascii="Arial"/>
              </w:rPr>
            </w:pPr>
          </w:p>
          <w:p w14:paraId="21FD96BA">
            <w:pPr>
              <w:spacing w:line="250" w:lineRule="auto"/>
              <w:rPr>
                <w:rFonts w:ascii="Arial"/>
              </w:rPr>
            </w:pPr>
          </w:p>
          <w:p w14:paraId="188C244E">
            <w:pPr>
              <w:spacing w:line="250" w:lineRule="auto"/>
              <w:rPr>
                <w:rFonts w:ascii="Arial"/>
              </w:rPr>
            </w:pPr>
          </w:p>
          <w:p w14:paraId="535989CB">
            <w:pPr>
              <w:spacing w:line="250" w:lineRule="auto"/>
              <w:rPr>
                <w:rFonts w:ascii="Arial"/>
              </w:rPr>
            </w:pPr>
          </w:p>
          <w:p w14:paraId="2D081933">
            <w:pPr>
              <w:spacing w:line="250" w:lineRule="auto"/>
              <w:rPr>
                <w:rFonts w:ascii="Arial"/>
              </w:rPr>
            </w:pPr>
          </w:p>
          <w:p w14:paraId="2ABB74F2">
            <w:pPr>
              <w:spacing w:line="250" w:lineRule="auto"/>
              <w:rPr>
                <w:rFonts w:ascii="Arial"/>
              </w:rPr>
            </w:pPr>
          </w:p>
          <w:p w14:paraId="74824353">
            <w:pPr>
              <w:spacing w:line="250" w:lineRule="auto"/>
              <w:rPr>
                <w:rFonts w:ascii="Arial"/>
              </w:rPr>
            </w:pPr>
          </w:p>
          <w:p w14:paraId="445DB812">
            <w:pPr>
              <w:spacing w:line="250" w:lineRule="auto"/>
              <w:rPr>
                <w:rFonts w:ascii="Arial"/>
              </w:rPr>
            </w:pPr>
          </w:p>
          <w:p w14:paraId="5A6B5A30">
            <w:pPr>
              <w:pStyle w:val="339"/>
              <w:spacing w:before="58" w:line="230" w:lineRule="auto"/>
              <w:ind w:left="183" w:right="184" w:hanging="1"/>
              <w:rPr>
                <w:sz w:val="18"/>
                <w:szCs w:val="18"/>
              </w:rPr>
            </w:pPr>
            <w:r>
              <w:rPr>
                <w:spacing w:val="-5"/>
                <w:sz w:val="18"/>
                <w:szCs w:val="18"/>
              </w:rPr>
              <w:t>维护</w:t>
            </w:r>
            <w:r>
              <w:rPr>
                <w:sz w:val="18"/>
                <w:szCs w:val="18"/>
              </w:rPr>
              <w:t xml:space="preserve"> </w:t>
            </w:r>
            <w:r>
              <w:rPr>
                <w:spacing w:val="-6"/>
                <w:sz w:val="18"/>
                <w:szCs w:val="18"/>
              </w:rPr>
              <w:t>管理</w:t>
            </w:r>
          </w:p>
        </w:tc>
        <w:tc>
          <w:tcPr>
            <w:tcW w:w="991" w:type="dxa"/>
            <w:vMerge w:val="restart"/>
            <w:tcBorders>
              <w:bottom w:val="nil"/>
            </w:tcBorders>
          </w:tcPr>
          <w:p w14:paraId="636FC07F">
            <w:pPr>
              <w:spacing w:line="252" w:lineRule="auto"/>
              <w:rPr>
                <w:rFonts w:ascii="Arial"/>
              </w:rPr>
            </w:pPr>
          </w:p>
          <w:p w14:paraId="5138B8E7">
            <w:pPr>
              <w:spacing w:line="252" w:lineRule="auto"/>
              <w:rPr>
                <w:rFonts w:ascii="Arial"/>
              </w:rPr>
            </w:pPr>
          </w:p>
          <w:p w14:paraId="081A5DEC">
            <w:pPr>
              <w:spacing w:line="253" w:lineRule="auto"/>
              <w:rPr>
                <w:rFonts w:ascii="Arial"/>
              </w:rPr>
            </w:pPr>
          </w:p>
          <w:p w14:paraId="7691DEB4">
            <w:pPr>
              <w:spacing w:line="253" w:lineRule="auto"/>
              <w:rPr>
                <w:rFonts w:ascii="Arial"/>
              </w:rPr>
            </w:pPr>
          </w:p>
          <w:p w14:paraId="55199387">
            <w:pPr>
              <w:spacing w:line="253" w:lineRule="auto"/>
              <w:rPr>
                <w:rFonts w:ascii="Arial"/>
              </w:rPr>
            </w:pPr>
          </w:p>
          <w:p w14:paraId="513D90DC">
            <w:pPr>
              <w:spacing w:line="253" w:lineRule="auto"/>
              <w:rPr>
                <w:rFonts w:ascii="Arial"/>
              </w:rPr>
            </w:pPr>
          </w:p>
          <w:p w14:paraId="41EB3A90">
            <w:pPr>
              <w:spacing w:line="253" w:lineRule="auto"/>
              <w:rPr>
                <w:rFonts w:ascii="Arial"/>
              </w:rPr>
            </w:pPr>
          </w:p>
          <w:p w14:paraId="78327CB4">
            <w:pPr>
              <w:spacing w:line="253" w:lineRule="auto"/>
              <w:rPr>
                <w:rFonts w:ascii="Arial"/>
              </w:rPr>
            </w:pPr>
          </w:p>
          <w:p w14:paraId="43E6EFCA">
            <w:pPr>
              <w:spacing w:line="253" w:lineRule="auto"/>
              <w:rPr>
                <w:rFonts w:ascii="Arial"/>
              </w:rPr>
            </w:pPr>
          </w:p>
          <w:p w14:paraId="0D89EF87">
            <w:pPr>
              <w:spacing w:line="253" w:lineRule="auto"/>
              <w:rPr>
                <w:rFonts w:ascii="Arial"/>
              </w:rPr>
            </w:pPr>
          </w:p>
          <w:p w14:paraId="7FB6CB08">
            <w:pPr>
              <w:pStyle w:val="339"/>
              <w:spacing w:before="58" w:line="219" w:lineRule="auto"/>
              <w:ind w:left="137"/>
              <w:rPr>
                <w:sz w:val="18"/>
                <w:szCs w:val="18"/>
              </w:rPr>
            </w:pPr>
            <w:r>
              <w:rPr>
                <w:spacing w:val="-2"/>
                <w:sz w:val="18"/>
                <w:szCs w:val="18"/>
              </w:rPr>
              <w:t>材料报送</w:t>
            </w:r>
          </w:p>
        </w:tc>
        <w:tc>
          <w:tcPr>
            <w:tcW w:w="4534" w:type="dxa"/>
          </w:tcPr>
          <w:p w14:paraId="2297EC91">
            <w:pPr>
              <w:pStyle w:val="339"/>
              <w:spacing w:before="56" w:line="229" w:lineRule="auto"/>
              <w:ind w:left="110" w:right="104" w:firstLine="14"/>
              <w:rPr>
                <w:sz w:val="18"/>
                <w:szCs w:val="18"/>
              </w:rPr>
            </w:pPr>
            <w:r>
              <w:rPr>
                <w:spacing w:val="-4"/>
                <w:sz w:val="18"/>
                <w:szCs w:val="18"/>
              </w:rPr>
              <w:t>1、</w:t>
            </w:r>
            <w:r>
              <w:rPr>
                <w:rFonts w:hint="eastAsia"/>
                <w:spacing w:val="-4"/>
                <w:sz w:val="18"/>
                <w:szCs w:val="18"/>
              </w:rPr>
              <w:t>定期提交</w:t>
            </w:r>
            <w:r>
              <w:rPr>
                <w:spacing w:val="-4"/>
                <w:sz w:val="18"/>
                <w:szCs w:val="18"/>
              </w:rPr>
              <w:t>维保工作总结和下月</w:t>
            </w:r>
            <w:r>
              <w:rPr>
                <w:spacing w:val="-5"/>
                <w:sz w:val="18"/>
                <w:szCs w:val="18"/>
              </w:rPr>
              <w:t>维保计</w:t>
            </w:r>
            <w:r>
              <w:rPr>
                <w:sz w:val="18"/>
                <w:szCs w:val="18"/>
              </w:rPr>
              <w:t xml:space="preserve"> </w:t>
            </w:r>
            <w:r>
              <w:rPr>
                <w:spacing w:val="-4"/>
                <w:sz w:val="18"/>
                <w:szCs w:val="18"/>
              </w:rPr>
              <w:t>划，未及时提交扣</w:t>
            </w:r>
            <w:r>
              <w:rPr>
                <w:spacing w:val="-21"/>
                <w:sz w:val="18"/>
                <w:szCs w:val="18"/>
              </w:rPr>
              <w:t xml:space="preserve"> </w:t>
            </w:r>
            <w:r>
              <w:rPr>
                <w:spacing w:val="-4"/>
                <w:sz w:val="18"/>
                <w:szCs w:val="18"/>
              </w:rPr>
              <w:t>1</w:t>
            </w:r>
            <w:r>
              <w:rPr>
                <w:spacing w:val="-34"/>
                <w:sz w:val="18"/>
                <w:szCs w:val="18"/>
              </w:rPr>
              <w:t xml:space="preserve"> </w:t>
            </w:r>
            <w:r>
              <w:rPr>
                <w:spacing w:val="-4"/>
                <w:sz w:val="18"/>
                <w:szCs w:val="18"/>
              </w:rPr>
              <w:t>分/次。</w:t>
            </w:r>
          </w:p>
        </w:tc>
        <w:tc>
          <w:tcPr>
            <w:tcW w:w="1418" w:type="dxa"/>
            <w:vMerge w:val="restart"/>
            <w:tcBorders>
              <w:bottom w:val="nil"/>
            </w:tcBorders>
          </w:tcPr>
          <w:p w14:paraId="395B377D">
            <w:pPr>
              <w:rPr>
                <w:rFonts w:ascii="Arial"/>
              </w:rPr>
            </w:pPr>
          </w:p>
        </w:tc>
        <w:tc>
          <w:tcPr>
            <w:tcW w:w="995" w:type="dxa"/>
            <w:vMerge w:val="restart"/>
            <w:tcBorders>
              <w:bottom w:val="nil"/>
            </w:tcBorders>
          </w:tcPr>
          <w:p w14:paraId="7B6C94D1">
            <w:pPr>
              <w:rPr>
                <w:rFonts w:ascii="Arial"/>
              </w:rPr>
            </w:pPr>
          </w:p>
        </w:tc>
      </w:tr>
      <w:tr w14:paraId="567EF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01" w:type="dxa"/>
            <w:vMerge w:val="continue"/>
            <w:tcBorders>
              <w:top w:val="nil"/>
              <w:bottom w:val="nil"/>
            </w:tcBorders>
          </w:tcPr>
          <w:p w14:paraId="0B184A88">
            <w:pPr>
              <w:rPr>
                <w:rFonts w:ascii="Arial"/>
              </w:rPr>
            </w:pPr>
          </w:p>
        </w:tc>
        <w:tc>
          <w:tcPr>
            <w:tcW w:w="722" w:type="dxa"/>
            <w:vMerge w:val="continue"/>
            <w:tcBorders>
              <w:top w:val="nil"/>
              <w:bottom w:val="nil"/>
            </w:tcBorders>
          </w:tcPr>
          <w:p w14:paraId="3DF00917">
            <w:pPr>
              <w:rPr>
                <w:rFonts w:ascii="Arial"/>
              </w:rPr>
            </w:pPr>
          </w:p>
        </w:tc>
        <w:tc>
          <w:tcPr>
            <w:tcW w:w="991" w:type="dxa"/>
            <w:vMerge w:val="continue"/>
            <w:tcBorders>
              <w:top w:val="nil"/>
              <w:bottom w:val="nil"/>
            </w:tcBorders>
          </w:tcPr>
          <w:p w14:paraId="3C998E59">
            <w:pPr>
              <w:rPr>
                <w:rFonts w:ascii="Arial"/>
              </w:rPr>
            </w:pPr>
          </w:p>
        </w:tc>
        <w:tc>
          <w:tcPr>
            <w:tcW w:w="4534" w:type="dxa"/>
          </w:tcPr>
          <w:p w14:paraId="69F6C1C0">
            <w:pPr>
              <w:pStyle w:val="339"/>
              <w:spacing w:before="29" w:line="227" w:lineRule="auto"/>
              <w:ind w:left="110" w:right="101" w:firstLine="2"/>
              <w:jc w:val="both"/>
              <w:rPr>
                <w:sz w:val="18"/>
                <w:szCs w:val="18"/>
              </w:rPr>
            </w:pPr>
            <w:r>
              <w:rPr>
                <w:spacing w:val="3"/>
                <w:sz w:val="18"/>
                <w:szCs w:val="18"/>
              </w:rPr>
              <w:t>2、如遇特殊情况，修复时间需适当延长，必须上报业</w:t>
            </w:r>
            <w:r>
              <w:rPr>
                <w:spacing w:val="7"/>
                <w:sz w:val="18"/>
                <w:szCs w:val="18"/>
              </w:rPr>
              <w:t xml:space="preserve"> </w:t>
            </w:r>
            <w:r>
              <w:rPr>
                <w:spacing w:val="-1"/>
                <w:sz w:val="18"/>
                <w:szCs w:val="18"/>
              </w:rPr>
              <w:t>主同意，无故延长修复时间又没有书面报告的扣</w:t>
            </w:r>
            <w:r>
              <w:rPr>
                <w:spacing w:val="-35"/>
                <w:sz w:val="18"/>
                <w:szCs w:val="18"/>
              </w:rPr>
              <w:t xml:space="preserve"> </w:t>
            </w:r>
            <w:r>
              <w:rPr>
                <w:spacing w:val="-1"/>
                <w:sz w:val="18"/>
                <w:szCs w:val="18"/>
              </w:rPr>
              <w:t>0.5</w:t>
            </w:r>
            <w:r>
              <w:rPr>
                <w:spacing w:val="-34"/>
                <w:sz w:val="18"/>
                <w:szCs w:val="18"/>
              </w:rPr>
              <w:t xml:space="preserve"> </w:t>
            </w:r>
            <w:r>
              <w:rPr>
                <w:spacing w:val="-1"/>
                <w:sz w:val="18"/>
                <w:szCs w:val="18"/>
              </w:rPr>
              <w:t>分</w:t>
            </w:r>
            <w:r>
              <w:rPr>
                <w:sz w:val="18"/>
                <w:szCs w:val="18"/>
              </w:rPr>
              <w:t xml:space="preserve"> </w:t>
            </w:r>
            <w:r>
              <w:rPr>
                <w:spacing w:val="-7"/>
                <w:sz w:val="18"/>
                <w:szCs w:val="18"/>
              </w:rPr>
              <w:t>/次。</w:t>
            </w:r>
          </w:p>
        </w:tc>
        <w:tc>
          <w:tcPr>
            <w:tcW w:w="1418" w:type="dxa"/>
            <w:vMerge w:val="continue"/>
            <w:tcBorders>
              <w:top w:val="nil"/>
              <w:bottom w:val="nil"/>
            </w:tcBorders>
          </w:tcPr>
          <w:p w14:paraId="3A73BF49">
            <w:pPr>
              <w:rPr>
                <w:rFonts w:ascii="Arial"/>
              </w:rPr>
            </w:pPr>
          </w:p>
        </w:tc>
        <w:tc>
          <w:tcPr>
            <w:tcW w:w="995" w:type="dxa"/>
            <w:vMerge w:val="continue"/>
            <w:tcBorders>
              <w:top w:val="nil"/>
              <w:bottom w:val="nil"/>
            </w:tcBorders>
          </w:tcPr>
          <w:p w14:paraId="057E39E0">
            <w:pPr>
              <w:rPr>
                <w:rFonts w:ascii="Arial"/>
              </w:rPr>
            </w:pPr>
          </w:p>
        </w:tc>
      </w:tr>
      <w:tr w14:paraId="2640D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1" w:type="dxa"/>
            <w:vMerge w:val="continue"/>
            <w:tcBorders>
              <w:top w:val="nil"/>
              <w:bottom w:val="nil"/>
            </w:tcBorders>
          </w:tcPr>
          <w:p w14:paraId="60F629D9">
            <w:pPr>
              <w:rPr>
                <w:rFonts w:ascii="Arial"/>
              </w:rPr>
            </w:pPr>
          </w:p>
        </w:tc>
        <w:tc>
          <w:tcPr>
            <w:tcW w:w="722" w:type="dxa"/>
            <w:vMerge w:val="continue"/>
            <w:tcBorders>
              <w:top w:val="nil"/>
              <w:bottom w:val="nil"/>
            </w:tcBorders>
          </w:tcPr>
          <w:p w14:paraId="5EB05042">
            <w:pPr>
              <w:rPr>
                <w:rFonts w:ascii="Arial"/>
              </w:rPr>
            </w:pPr>
          </w:p>
        </w:tc>
        <w:tc>
          <w:tcPr>
            <w:tcW w:w="991" w:type="dxa"/>
            <w:vMerge w:val="continue"/>
            <w:tcBorders>
              <w:top w:val="nil"/>
              <w:bottom w:val="nil"/>
            </w:tcBorders>
          </w:tcPr>
          <w:p w14:paraId="2D03D96E">
            <w:pPr>
              <w:rPr>
                <w:rFonts w:ascii="Arial"/>
              </w:rPr>
            </w:pPr>
          </w:p>
        </w:tc>
        <w:tc>
          <w:tcPr>
            <w:tcW w:w="4534" w:type="dxa"/>
          </w:tcPr>
          <w:p w14:paraId="07B9288E">
            <w:pPr>
              <w:pStyle w:val="339"/>
              <w:spacing w:before="71" w:line="230" w:lineRule="auto"/>
              <w:ind w:left="124" w:right="112" w:hanging="10"/>
              <w:rPr>
                <w:sz w:val="18"/>
                <w:szCs w:val="18"/>
              </w:rPr>
            </w:pPr>
            <w:r>
              <w:rPr>
                <w:spacing w:val="3"/>
                <w:sz w:val="18"/>
                <w:szCs w:val="18"/>
              </w:rPr>
              <w:t>3、备品备件应性能良好，并建立相应台账，没有</w:t>
            </w:r>
            <w:r>
              <w:rPr>
                <w:spacing w:val="2"/>
                <w:sz w:val="18"/>
                <w:szCs w:val="18"/>
              </w:rPr>
              <w:t>建立</w:t>
            </w:r>
            <w:r>
              <w:rPr>
                <w:sz w:val="18"/>
                <w:szCs w:val="18"/>
              </w:rPr>
              <w:t xml:space="preserve"> </w:t>
            </w:r>
            <w:r>
              <w:rPr>
                <w:spacing w:val="-4"/>
                <w:sz w:val="18"/>
                <w:szCs w:val="18"/>
              </w:rPr>
              <w:t>台账的扣</w:t>
            </w:r>
            <w:r>
              <w:rPr>
                <w:spacing w:val="-27"/>
                <w:sz w:val="18"/>
                <w:szCs w:val="18"/>
              </w:rPr>
              <w:t xml:space="preserve"> </w:t>
            </w:r>
            <w:r>
              <w:rPr>
                <w:spacing w:val="-4"/>
                <w:sz w:val="18"/>
                <w:szCs w:val="18"/>
              </w:rPr>
              <w:t>2</w:t>
            </w:r>
            <w:r>
              <w:rPr>
                <w:spacing w:val="-34"/>
                <w:sz w:val="18"/>
                <w:szCs w:val="18"/>
              </w:rPr>
              <w:t xml:space="preserve"> </w:t>
            </w:r>
            <w:r>
              <w:rPr>
                <w:spacing w:val="-4"/>
                <w:sz w:val="18"/>
                <w:szCs w:val="18"/>
              </w:rPr>
              <w:t>分/次；台帐不符合要求的扣</w:t>
            </w:r>
            <w:r>
              <w:rPr>
                <w:spacing w:val="-23"/>
                <w:sz w:val="18"/>
                <w:szCs w:val="18"/>
              </w:rPr>
              <w:t xml:space="preserve"> </w:t>
            </w:r>
            <w:r>
              <w:rPr>
                <w:spacing w:val="-4"/>
                <w:sz w:val="18"/>
                <w:szCs w:val="18"/>
              </w:rPr>
              <w:t>1</w:t>
            </w:r>
            <w:r>
              <w:rPr>
                <w:spacing w:val="-34"/>
                <w:sz w:val="18"/>
                <w:szCs w:val="18"/>
              </w:rPr>
              <w:t xml:space="preserve"> </w:t>
            </w:r>
            <w:r>
              <w:rPr>
                <w:spacing w:val="-4"/>
                <w:sz w:val="18"/>
                <w:szCs w:val="18"/>
              </w:rPr>
              <w:t>分/次。</w:t>
            </w:r>
          </w:p>
        </w:tc>
        <w:tc>
          <w:tcPr>
            <w:tcW w:w="1418" w:type="dxa"/>
            <w:vMerge w:val="continue"/>
            <w:tcBorders>
              <w:top w:val="nil"/>
              <w:bottom w:val="nil"/>
            </w:tcBorders>
          </w:tcPr>
          <w:p w14:paraId="65559006">
            <w:pPr>
              <w:rPr>
                <w:rFonts w:ascii="Arial"/>
              </w:rPr>
            </w:pPr>
          </w:p>
        </w:tc>
        <w:tc>
          <w:tcPr>
            <w:tcW w:w="995" w:type="dxa"/>
            <w:vMerge w:val="continue"/>
            <w:tcBorders>
              <w:top w:val="nil"/>
              <w:bottom w:val="nil"/>
            </w:tcBorders>
          </w:tcPr>
          <w:p w14:paraId="1E83181D">
            <w:pPr>
              <w:rPr>
                <w:rFonts w:ascii="Arial"/>
              </w:rPr>
            </w:pPr>
          </w:p>
        </w:tc>
      </w:tr>
      <w:tr w14:paraId="27EA0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01" w:type="dxa"/>
            <w:vMerge w:val="continue"/>
            <w:tcBorders>
              <w:top w:val="nil"/>
              <w:bottom w:val="nil"/>
            </w:tcBorders>
          </w:tcPr>
          <w:p w14:paraId="1FFF7DFE">
            <w:pPr>
              <w:rPr>
                <w:rFonts w:ascii="Arial"/>
              </w:rPr>
            </w:pPr>
          </w:p>
        </w:tc>
        <w:tc>
          <w:tcPr>
            <w:tcW w:w="722" w:type="dxa"/>
            <w:vMerge w:val="continue"/>
            <w:tcBorders>
              <w:top w:val="nil"/>
              <w:bottom w:val="nil"/>
            </w:tcBorders>
          </w:tcPr>
          <w:p w14:paraId="27914999">
            <w:pPr>
              <w:rPr>
                <w:rFonts w:ascii="Arial"/>
              </w:rPr>
            </w:pPr>
          </w:p>
        </w:tc>
        <w:tc>
          <w:tcPr>
            <w:tcW w:w="991" w:type="dxa"/>
            <w:vMerge w:val="continue"/>
            <w:tcBorders>
              <w:top w:val="nil"/>
              <w:bottom w:val="nil"/>
            </w:tcBorders>
          </w:tcPr>
          <w:p w14:paraId="0BC141A3">
            <w:pPr>
              <w:rPr>
                <w:rFonts w:ascii="Arial"/>
              </w:rPr>
            </w:pPr>
          </w:p>
        </w:tc>
        <w:tc>
          <w:tcPr>
            <w:tcW w:w="4534" w:type="dxa"/>
          </w:tcPr>
          <w:p w14:paraId="0FFFAF88">
            <w:pPr>
              <w:pStyle w:val="339"/>
              <w:spacing w:before="28" w:line="228" w:lineRule="auto"/>
              <w:ind w:left="112" w:right="237" w:hanging="2"/>
              <w:jc w:val="both"/>
              <w:rPr>
                <w:sz w:val="18"/>
                <w:szCs w:val="18"/>
              </w:rPr>
            </w:pPr>
            <w:r>
              <w:rPr>
                <w:spacing w:val="-1"/>
                <w:sz w:val="18"/>
                <w:szCs w:val="18"/>
              </w:rPr>
              <w:t>4、按时参加业主会议，不迟到，不早退，违</w:t>
            </w:r>
            <w:r>
              <w:rPr>
                <w:spacing w:val="-2"/>
                <w:sz w:val="18"/>
                <w:szCs w:val="18"/>
              </w:rPr>
              <w:t>反扣</w:t>
            </w:r>
            <w:r>
              <w:rPr>
                <w:spacing w:val="-20"/>
                <w:sz w:val="18"/>
                <w:szCs w:val="18"/>
              </w:rPr>
              <w:t xml:space="preserve"> </w:t>
            </w:r>
            <w:r>
              <w:rPr>
                <w:spacing w:val="-2"/>
                <w:sz w:val="18"/>
                <w:szCs w:val="18"/>
              </w:rPr>
              <w:t>0.5</w:t>
            </w:r>
            <w:r>
              <w:rPr>
                <w:sz w:val="18"/>
                <w:szCs w:val="18"/>
              </w:rPr>
              <w:t xml:space="preserve"> </w:t>
            </w:r>
            <w:r>
              <w:rPr>
                <w:spacing w:val="-2"/>
                <w:sz w:val="18"/>
                <w:szCs w:val="18"/>
              </w:rPr>
              <w:t>分/次；会议前需提交书面汇报材料，未提交扣</w:t>
            </w:r>
            <w:r>
              <w:rPr>
                <w:spacing w:val="-14"/>
                <w:sz w:val="18"/>
                <w:szCs w:val="18"/>
              </w:rPr>
              <w:t xml:space="preserve"> </w:t>
            </w:r>
            <w:r>
              <w:rPr>
                <w:spacing w:val="-2"/>
                <w:sz w:val="18"/>
                <w:szCs w:val="18"/>
              </w:rPr>
              <w:t>1</w:t>
            </w:r>
            <w:r>
              <w:rPr>
                <w:spacing w:val="-34"/>
                <w:sz w:val="18"/>
                <w:szCs w:val="18"/>
              </w:rPr>
              <w:t xml:space="preserve"> </w:t>
            </w:r>
            <w:r>
              <w:rPr>
                <w:spacing w:val="-2"/>
                <w:sz w:val="18"/>
                <w:szCs w:val="18"/>
              </w:rPr>
              <w:t>分/</w:t>
            </w:r>
            <w:r>
              <w:rPr>
                <w:sz w:val="18"/>
                <w:szCs w:val="18"/>
              </w:rPr>
              <w:t xml:space="preserve"> </w:t>
            </w:r>
            <w:r>
              <w:rPr>
                <w:spacing w:val="-9"/>
                <w:sz w:val="18"/>
                <w:szCs w:val="18"/>
              </w:rPr>
              <w:t>次。</w:t>
            </w:r>
          </w:p>
        </w:tc>
        <w:tc>
          <w:tcPr>
            <w:tcW w:w="1418" w:type="dxa"/>
            <w:vMerge w:val="continue"/>
            <w:tcBorders>
              <w:top w:val="nil"/>
              <w:bottom w:val="nil"/>
            </w:tcBorders>
          </w:tcPr>
          <w:p w14:paraId="5EFDB96A">
            <w:pPr>
              <w:rPr>
                <w:rFonts w:ascii="Arial"/>
              </w:rPr>
            </w:pPr>
          </w:p>
        </w:tc>
        <w:tc>
          <w:tcPr>
            <w:tcW w:w="995" w:type="dxa"/>
            <w:vMerge w:val="continue"/>
            <w:tcBorders>
              <w:top w:val="nil"/>
              <w:bottom w:val="nil"/>
            </w:tcBorders>
          </w:tcPr>
          <w:p w14:paraId="46BEFC83">
            <w:pPr>
              <w:rPr>
                <w:rFonts w:ascii="Arial"/>
              </w:rPr>
            </w:pPr>
          </w:p>
        </w:tc>
      </w:tr>
      <w:tr w14:paraId="64C66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01" w:type="dxa"/>
            <w:vMerge w:val="continue"/>
            <w:tcBorders>
              <w:top w:val="nil"/>
              <w:bottom w:val="nil"/>
            </w:tcBorders>
          </w:tcPr>
          <w:p w14:paraId="57516276">
            <w:pPr>
              <w:rPr>
                <w:rFonts w:ascii="Arial"/>
              </w:rPr>
            </w:pPr>
          </w:p>
        </w:tc>
        <w:tc>
          <w:tcPr>
            <w:tcW w:w="722" w:type="dxa"/>
            <w:vMerge w:val="continue"/>
            <w:tcBorders>
              <w:top w:val="nil"/>
              <w:bottom w:val="nil"/>
            </w:tcBorders>
          </w:tcPr>
          <w:p w14:paraId="683B288C">
            <w:pPr>
              <w:rPr>
                <w:rFonts w:ascii="Arial"/>
              </w:rPr>
            </w:pPr>
          </w:p>
        </w:tc>
        <w:tc>
          <w:tcPr>
            <w:tcW w:w="991" w:type="dxa"/>
            <w:vMerge w:val="continue"/>
            <w:tcBorders>
              <w:top w:val="nil"/>
              <w:bottom w:val="nil"/>
            </w:tcBorders>
          </w:tcPr>
          <w:p w14:paraId="408F8157">
            <w:pPr>
              <w:rPr>
                <w:rFonts w:ascii="Arial"/>
              </w:rPr>
            </w:pPr>
          </w:p>
        </w:tc>
        <w:tc>
          <w:tcPr>
            <w:tcW w:w="4534" w:type="dxa"/>
          </w:tcPr>
          <w:p w14:paraId="5C61B175">
            <w:pPr>
              <w:pStyle w:val="339"/>
              <w:spacing w:before="42" w:line="232" w:lineRule="auto"/>
              <w:ind w:left="112" w:right="148" w:firstLine="1"/>
              <w:jc w:val="both"/>
              <w:rPr>
                <w:sz w:val="18"/>
                <w:szCs w:val="18"/>
              </w:rPr>
            </w:pPr>
            <w:r>
              <w:rPr>
                <w:spacing w:val="-3"/>
                <w:sz w:val="18"/>
                <w:szCs w:val="18"/>
              </w:rPr>
              <w:t>5、施工（临时性除外）需提前 1</w:t>
            </w:r>
            <w:r>
              <w:rPr>
                <w:spacing w:val="-23"/>
                <w:sz w:val="18"/>
                <w:szCs w:val="18"/>
              </w:rPr>
              <w:t xml:space="preserve"> </w:t>
            </w:r>
            <w:r>
              <w:rPr>
                <w:spacing w:val="-3"/>
                <w:sz w:val="18"/>
                <w:szCs w:val="18"/>
              </w:rPr>
              <w:t>天</w:t>
            </w:r>
            <w:r>
              <w:rPr>
                <w:rFonts w:hint="eastAsia"/>
                <w:spacing w:val="-3"/>
                <w:sz w:val="18"/>
                <w:szCs w:val="18"/>
              </w:rPr>
              <w:t>以上</w:t>
            </w:r>
            <w:r>
              <w:rPr>
                <w:spacing w:val="-3"/>
                <w:sz w:val="18"/>
                <w:szCs w:val="18"/>
              </w:rPr>
              <w:t>将施工计划上报</w:t>
            </w:r>
            <w:r>
              <w:rPr>
                <w:rFonts w:hint="eastAsia"/>
                <w:spacing w:val="-3"/>
                <w:sz w:val="18"/>
                <w:szCs w:val="18"/>
              </w:rPr>
              <w:t>相关部门</w:t>
            </w:r>
            <w:r>
              <w:rPr>
                <w:spacing w:val="-2"/>
                <w:sz w:val="18"/>
                <w:szCs w:val="18"/>
              </w:rPr>
              <w:t>，未及时提交的扣</w:t>
            </w:r>
            <w:r>
              <w:rPr>
                <w:spacing w:val="-6"/>
                <w:sz w:val="18"/>
                <w:szCs w:val="18"/>
              </w:rPr>
              <w:t xml:space="preserve"> </w:t>
            </w:r>
            <w:r>
              <w:rPr>
                <w:spacing w:val="-2"/>
                <w:sz w:val="18"/>
                <w:szCs w:val="18"/>
              </w:rPr>
              <w:t>1</w:t>
            </w:r>
            <w:r>
              <w:rPr>
                <w:sz w:val="18"/>
                <w:szCs w:val="18"/>
              </w:rPr>
              <w:t xml:space="preserve"> </w:t>
            </w:r>
            <w:r>
              <w:rPr>
                <w:spacing w:val="-2"/>
                <w:sz w:val="18"/>
                <w:szCs w:val="18"/>
              </w:rPr>
              <w:t>分/次。</w:t>
            </w:r>
          </w:p>
        </w:tc>
        <w:tc>
          <w:tcPr>
            <w:tcW w:w="1418" w:type="dxa"/>
            <w:vMerge w:val="continue"/>
            <w:tcBorders>
              <w:top w:val="nil"/>
              <w:bottom w:val="nil"/>
            </w:tcBorders>
          </w:tcPr>
          <w:p w14:paraId="2AE1C0F4">
            <w:pPr>
              <w:rPr>
                <w:rFonts w:ascii="Arial"/>
              </w:rPr>
            </w:pPr>
          </w:p>
        </w:tc>
        <w:tc>
          <w:tcPr>
            <w:tcW w:w="995" w:type="dxa"/>
            <w:vMerge w:val="continue"/>
            <w:tcBorders>
              <w:top w:val="nil"/>
              <w:bottom w:val="nil"/>
            </w:tcBorders>
          </w:tcPr>
          <w:p w14:paraId="31B41640">
            <w:pPr>
              <w:rPr>
                <w:rFonts w:ascii="Arial"/>
              </w:rPr>
            </w:pPr>
          </w:p>
        </w:tc>
      </w:tr>
      <w:tr w14:paraId="2BFCC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01" w:type="dxa"/>
            <w:vMerge w:val="continue"/>
            <w:tcBorders>
              <w:top w:val="nil"/>
              <w:bottom w:val="nil"/>
            </w:tcBorders>
          </w:tcPr>
          <w:p w14:paraId="2A2807F8">
            <w:pPr>
              <w:rPr>
                <w:rFonts w:ascii="Arial"/>
              </w:rPr>
            </w:pPr>
          </w:p>
        </w:tc>
        <w:tc>
          <w:tcPr>
            <w:tcW w:w="722" w:type="dxa"/>
            <w:vMerge w:val="continue"/>
            <w:tcBorders>
              <w:top w:val="nil"/>
              <w:bottom w:val="nil"/>
            </w:tcBorders>
          </w:tcPr>
          <w:p w14:paraId="5CC69141">
            <w:pPr>
              <w:rPr>
                <w:rFonts w:ascii="Arial"/>
              </w:rPr>
            </w:pPr>
          </w:p>
        </w:tc>
        <w:tc>
          <w:tcPr>
            <w:tcW w:w="991" w:type="dxa"/>
            <w:vMerge w:val="continue"/>
            <w:tcBorders>
              <w:top w:val="nil"/>
              <w:bottom w:val="nil"/>
            </w:tcBorders>
          </w:tcPr>
          <w:p w14:paraId="48BF547D">
            <w:pPr>
              <w:rPr>
                <w:rFonts w:ascii="Arial"/>
              </w:rPr>
            </w:pPr>
          </w:p>
        </w:tc>
        <w:tc>
          <w:tcPr>
            <w:tcW w:w="4534" w:type="dxa"/>
          </w:tcPr>
          <w:p w14:paraId="6F190C22">
            <w:pPr>
              <w:pStyle w:val="339"/>
              <w:spacing w:before="35" w:line="223" w:lineRule="auto"/>
              <w:ind w:left="112" w:right="201"/>
              <w:rPr>
                <w:sz w:val="18"/>
                <w:szCs w:val="18"/>
              </w:rPr>
            </w:pPr>
            <w:r>
              <w:rPr>
                <w:spacing w:val="-1"/>
                <w:sz w:val="18"/>
                <w:szCs w:val="18"/>
              </w:rPr>
              <w:t>6、每次维修更换设备前后，应及时向业主通报，未报</w:t>
            </w:r>
            <w:r>
              <w:rPr>
                <w:spacing w:val="7"/>
                <w:sz w:val="18"/>
                <w:szCs w:val="18"/>
              </w:rPr>
              <w:t xml:space="preserve"> </w:t>
            </w:r>
            <w:r>
              <w:rPr>
                <w:spacing w:val="-8"/>
                <w:sz w:val="18"/>
                <w:szCs w:val="18"/>
              </w:rPr>
              <w:t>备扣</w:t>
            </w:r>
            <w:r>
              <w:rPr>
                <w:spacing w:val="-20"/>
                <w:sz w:val="18"/>
                <w:szCs w:val="18"/>
              </w:rPr>
              <w:t xml:space="preserve"> </w:t>
            </w:r>
            <w:r>
              <w:rPr>
                <w:spacing w:val="-8"/>
                <w:sz w:val="18"/>
                <w:szCs w:val="18"/>
              </w:rPr>
              <w:t>1</w:t>
            </w:r>
            <w:r>
              <w:rPr>
                <w:spacing w:val="-34"/>
                <w:sz w:val="18"/>
                <w:szCs w:val="18"/>
              </w:rPr>
              <w:t xml:space="preserve"> </w:t>
            </w:r>
            <w:r>
              <w:rPr>
                <w:spacing w:val="-8"/>
                <w:sz w:val="18"/>
                <w:szCs w:val="18"/>
              </w:rPr>
              <w:t>分/次。</w:t>
            </w:r>
          </w:p>
        </w:tc>
        <w:tc>
          <w:tcPr>
            <w:tcW w:w="1418" w:type="dxa"/>
            <w:vMerge w:val="continue"/>
            <w:tcBorders>
              <w:top w:val="nil"/>
              <w:bottom w:val="nil"/>
            </w:tcBorders>
          </w:tcPr>
          <w:p w14:paraId="2EF3748E">
            <w:pPr>
              <w:rPr>
                <w:rFonts w:ascii="Arial"/>
              </w:rPr>
            </w:pPr>
          </w:p>
        </w:tc>
        <w:tc>
          <w:tcPr>
            <w:tcW w:w="995" w:type="dxa"/>
            <w:vMerge w:val="continue"/>
            <w:tcBorders>
              <w:top w:val="nil"/>
              <w:bottom w:val="nil"/>
            </w:tcBorders>
          </w:tcPr>
          <w:p w14:paraId="4CCB3D55">
            <w:pPr>
              <w:rPr>
                <w:rFonts w:ascii="Arial"/>
              </w:rPr>
            </w:pPr>
          </w:p>
        </w:tc>
      </w:tr>
      <w:tr w14:paraId="27B64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01" w:type="dxa"/>
            <w:vMerge w:val="continue"/>
            <w:tcBorders>
              <w:top w:val="nil"/>
              <w:bottom w:val="nil"/>
            </w:tcBorders>
          </w:tcPr>
          <w:p w14:paraId="1B4DDC44">
            <w:pPr>
              <w:rPr>
                <w:rFonts w:ascii="Arial"/>
              </w:rPr>
            </w:pPr>
          </w:p>
        </w:tc>
        <w:tc>
          <w:tcPr>
            <w:tcW w:w="722" w:type="dxa"/>
            <w:vMerge w:val="continue"/>
            <w:tcBorders>
              <w:top w:val="nil"/>
              <w:bottom w:val="nil"/>
            </w:tcBorders>
          </w:tcPr>
          <w:p w14:paraId="1507E8D5">
            <w:pPr>
              <w:rPr>
                <w:rFonts w:ascii="Arial"/>
              </w:rPr>
            </w:pPr>
          </w:p>
        </w:tc>
        <w:tc>
          <w:tcPr>
            <w:tcW w:w="991" w:type="dxa"/>
            <w:vMerge w:val="continue"/>
            <w:tcBorders>
              <w:top w:val="nil"/>
            </w:tcBorders>
          </w:tcPr>
          <w:p w14:paraId="6B7BFBD5">
            <w:pPr>
              <w:rPr>
                <w:rFonts w:ascii="Arial"/>
              </w:rPr>
            </w:pPr>
          </w:p>
        </w:tc>
        <w:tc>
          <w:tcPr>
            <w:tcW w:w="4534" w:type="dxa"/>
          </w:tcPr>
          <w:p w14:paraId="0E790D06">
            <w:pPr>
              <w:pStyle w:val="339"/>
              <w:spacing w:before="29" w:line="221" w:lineRule="auto"/>
              <w:ind w:left="109" w:right="144" w:firstLine="2"/>
              <w:rPr>
                <w:sz w:val="18"/>
                <w:szCs w:val="18"/>
              </w:rPr>
            </w:pPr>
            <w:r>
              <w:rPr>
                <w:rFonts w:hint="eastAsia"/>
                <w:spacing w:val="-4"/>
                <w:sz w:val="18"/>
                <w:szCs w:val="18"/>
              </w:rPr>
              <w:t>7</w:t>
            </w:r>
            <w:r>
              <w:rPr>
                <w:spacing w:val="-4"/>
                <w:sz w:val="18"/>
                <w:szCs w:val="18"/>
              </w:rPr>
              <w:t>、每季度后 10</w:t>
            </w:r>
            <w:r>
              <w:rPr>
                <w:spacing w:val="-35"/>
                <w:sz w:val="18"/>
                <w:szCs w:val="18"/>
              </w:rPr>
              <w:t xml:space="preserve"> </w:t>
            </w:r>
            <w:r>
              <w:rPr>
                <w:spacing w:val="-4"/>
                <w:sz w:val="18"/>
                <w:szCs w:val="18"/>
              </w:rPr>
              <w:t>个工作日内提交上季度计量结算资料，</w:t>
            </w:r>
            <w:r>
              <w:rPr>
                <w:sz w:val="18"/>
                <w:szCs w:val="18"/>
              </w:rPr>
              <w:t xml:space="preserve"> </w:t>
            </w:r>
            <w:r>
              <w:rPr>
                <w:spacing w:val="-4"/>
                <w:sz w:val="18"/>
                <w:szCs w:val="18"/>
              </w:rPr>
              <w:t>逾期非业主原因的扣</w:t>
            </w:r>
            <w:r>
              <w:rPr>
                <w:spacing w:val="-21"/>
                <w:sz w:val="18"/>
                <w:szCs w:val="18"/>
              </w:rPr>
              <w:t xml:space="preserve"> </w:t>
            </w:r>
            <w:r>
              <w:rPr>
                <w:spacing w:val="-4"/>
                <w:sz w:val="18"/>
                <w:szCs w:val="18"/>
              </w:rPr>
              <w:t>1</w:t>
            </w:r>
            <w:r>
              <w:rPr>
                <w:spacing w:val="-34"/>
                <w:sz w:val="18"/>
                <w:szCs w:val="18"/>
              </w:rPr>
              <w:t xml:space="preserve"> </w:t>
            </w:r>
            <w:r>
              <w:rPr>
                <w:spacing w:val="-4"/>
                <w:sz w:val="18"/>
                <w:szCs w:val="18"/>
              </w:rPr>
              <w:t>分。</w:t>
            </w:r>
          </w:p>
        </w:tc>
        <w:tc>
          <w:tcPr>
            <w:tcW w:w="1418" w:type="dxa"/>
            <w:vMerge w:val="continue"/>
            <w:tcBorders>
              <w:top w:val="nil"/>
            </w:tcBorders>
          </w:tcPr>
          <w:p w14:paraId="54F54F5C">
            <w:pPr>
              <w:rPr>
                <w:rFonts w:ascii="Arial"/>
              </w:rPr>
            </w:pPr>
          </w:p>
        </w:tc>
        <w:tc>
          <w:tcPr>
            <w:tcW w:w="995" w:type="dxa"/>
            <w:vMerge w:val="continue"/>
            <w:tcBorders>
              <w:top w:val="nil"/>
            </w:tcBorders>
          </w:tcPr>
          <w:p w14:paraId="61F24E64">
            <w:pPr>
              <w:rPr>
                <w:rFonts w:ascii="Arial"/>
              </w:rPr>
            </w:pPr>
          </w:p>
        </w:tc>
      </w:tr>
      <w:tr w14:paraId="39A90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01" w:type="dxa"/>
            <w:vMerge w:val="continue"/>
            <w:tcBorders>
              <w:top w:val="nil"/>
              <w:bottom w:val="nil"/>
            </w:tcBorders>
          </w:tcPr>
          <w:p w14:paraId="16E54FF6">
            <w:pPr>
              <w:rPr>
                <w:rFonts w:ascii="Arial"/>
              </w:rPr>
            </w:pPr>
          </w:p>
        </w:tc>
        <w:tc>
          <w:tcPr>
            <w:tcW w:w="722" w:type="dxa"/>
            <w:vMerge w:val="continue"/>
            <w:tcBorders>
              <w:top w:val="nil"/>
              <w:bottom w:val="nil"/>
            </w:tcBorders>
          </w:tcPr>
          <w:p w14:paraId="76395D9E">
            <w:pPr>
              <w:rPr>
                <w:rFonts w:ascii="Arial"/>
              </w:rPr>
            </w:pPr>
          </w:p>
        </w:tc>
        <w:tc>
          <w:tcPr>
            <w:tcW w:w="991" w:type="dxa"/>
            <w:vMerge w:val="restart"/>
            <w:tcBorders>
              <w:bottom w:val="nil"/>
            </w:tcBorders>
          </w:tcPr>
          <w:p w14:paraId="11C95AA8">
            <w:pPr>
              <w:spacing w:line="264" w:lineRule="auto"/>
              <w:rPr>
                <w:rFonts w:ascii="Arial"/>
              </w:rPr>
            </w:pPr>
          </w:p>
          <w:p w14:paraId="74A79401">
            <w:pPr>
              <w:spacing w:line="264" w:lineRule="auto"/>
              <w:rPr>
                <w:rFonts w:ascii="Arial"/>
              </w:rPr>
            </w:pPr>
          </w:p>
          <w:p w14:paraId="5BE5D44F">
            <w:pPr>
              <w:spacing w:line="264" w:lineRule="auto"/>
              <w:rPr>
                <w:rFonts w:ascii="Arial"/>
              </w:rPr>
            </w:pPr>
          </w:p>
          <w:p w14:paraId="1B0ED4E9">
            <w:pPr>
              <w:spacing w:line="264" w:lineRule="auto"/>
              <w:rPr>
                <w:rFonts w:ascii="Arial"/>
              </w:rPr>
            </w:pPr>
          </w:p>
          <w:p w14:paraId="230AABF0">
            <w:pPr>
              <w:spacing w:line="265" w:lineRule="auto"/>
              <w:rPr>
                <w:rFonts w:ascii="Arial"/>
              </w:rPr>
            </w:pPr>
          </w:p>
          <w:p w14:paraId="6B72DFFD">
            <w:pPr>
              <w:pStyle w:val="339"/>
              <w:spacing w:before="58" w:line="230" w:lineRule="auto"/>
              <w:ind w:left="226" w:right="227" w:firstLine="2"/>
              <w:rPr>
                <w:sz w:val="18"/>
                <w:szCs w:val="18"/>
              </w:rPr>
            </w:pPr>
            <w:r>
              <w:rPr>
                <w:spacing w:val="-4"/>
                <w:sz w:val="18"/>
                <w:szCs w:val="18"/>
              </w:rPr>
              <w:t>设备维</w:t>
            </w:r>
            <w:r>
              <w:rPr>
                <w:spacing w:val="1"/>
                <w:sz w:val="18"/>
                <w:szCs w:val="18"/>
              </w:rPr>
              <w:t xml:space="preserve"> </w:t>
            </w:r>
            <w:r>
              <w:rPr>
                <w:spacing w:val="-3"/>
                <w:sz w:val="18"/>
                <w:szCs w:val="18"/>
              </w:rPr>
              <w:t>保质量</w:t>
            </w:r>
          </w:p>
        </w:tc>
        <w:tc>
          <w:tcPr>
            <w:tcW w:w="4534" w:type="dxa"/>
          </w:tcPr>
          <w:p w14:paraId="3107E9E4">
            <w:pPr>
              <w:pStyle w:val="339"/>
              <w:spacing w:before="32" w:line="221" w:lineRule="auto"/>
              <w:ind w:left="111" w:right="236" w:firstLine="12"/>
              <w:rPr>
                <w:sz w:val="18"/>
                <w:szCs w:val="18"/>
              </w:rPr>
            </w:pPr>
            <w:r>
              <w:rPr>
                <w:spacing w:val="-1"/>
                <w:sz w:val="18"/>
                <w:szCs w:val="18"/>
              </w:rPr>
              <w:t>1、质量保证期内设备反复出现同类故障，3</w:t>
            </w:r>
            <w:r>
              <w:rPr>
                <w:spacing w:val="-36"/>
                <w:sz w:val="18"/>
                <w:szCs w:val="18"/>
              </w:rPr>
              <w:t xml:space="preserve"> </w:t>
            </w:r>
            <w:r>
              <w:rPr>
                <w:spacing w:val="-1"/>
                <w:sz w:val="18"/>
                <w:szCs w:val="18"/>
              </w:rPr>
              <w:t>个</w:t>
            </w:r>
            <w:r>
              <w:rPr>
                <w:spacing w:val="-2"/>
                <w:sz w:val="18"/>
                <w:szCs w:val="18"/>
              </w:rPr>
              <w:t>月内无</w:t>
            </w:r>
            <w:r>
              <w:rPr>
                <w:sz w:val="18"/>
                <w:szCs w:val="18"/>
              </w:rPr>
              <w:t xml:space="preserve"> </w:t>
            </w:r>
            <w:r>
              <w:rPr>
                <w:spacing w:val="-3"/>
                <w:sz w:val="18"/>
                <w:szCs w:val="18"/>
              </w:rPr>
              <w:t>法彻底排除故障，扣</w:t>
            </w:r>
            <w:r>
              <w:rPr>
                <w:spacing w:val="-33"/>
                <w:sz w:val="18"/>
                <w:szCs w:val="18"/>
              </w:rPr>
              <w:t xml:space="preserve"> </w:t>
            </w:r>
            <w:r>
              <w:rPr>
                <w:spacing w:val="-3"/>
                <w:sz w:val="18"/>
                <w:szCs w:val="18"/>
              </w:rPr>
              <w:t>2</w:t>
            </w:r>
            <w:r>
              <w:rPr>
                <w:spacing w:val="-34"/>
                <w:sz w:val="18"/>
                <w:szCs w:val="18"/>
              </w:rPr>
              <w:t xml:space="preserve"> </w:t>
            </w:r>
            <w:r>
              <w:rPr>
                <w:spacing w:val="-3"/>
                <w:sz w:val="18"/>
                <w:szCs w:val="18"/>
              </w:rPr>
              <w:t>分/次。</w:t>
            </w:r>
          </w:p>
        </w:tc>
        <w:tc>
          <w:tcPr>
            <w:tcW w:w="1418" w:type="dxa"/>
            <w:vMerge w:val="restart"/>
            <w:tcBorders>
              <w:bottom w:val="nil"/>
            </w:tcBorders>
          </w:tcPr>
          <w:p w14:paraId="17A4A8C5">
            <w:pPr>
              <w:rPr>
                <w:rFonts w:ascii="Arial"/>
              </w:rPr>
            </w:pPr>
          </w:p>
        </w:tc>
        <w:tc>
          <w:tcPr>
            <w:tcW w:w="995" w:type="dxa"/>
            <w:vMerge w:val="restart"/>
            <w:tcBorders>
              <w:bottom w:val="nil"/>
            </w:tcBorders>
          </w:tcPr>
          <w:p w14:paraId="22EB5859">
            <w:pPr>
              <w:rPr>
                <w:rFonts w:ascii="Arial"/>
              </w:rPr>
            </w:pPr>
          </w:p>
        </w:tc>
      </w:tr>
      <w:tr w14:paraId="0D9BB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1" w:type="dxa"/>
            <w:vMerge w:val="continue"/>
            <w:tcBorders>
              <w:top w:val="nil"/>
              <w:bottom w:val="nil"/>
            </w:tcBorders>
          </w:tcPr>
          <w:p w14:paraId="254F6182">
            <w:pPr>
              <w:rPr>
                <w:rFonts w:ascii="Arial"/>
              </w:rPr>
            </w:pPr>
          </w:p>
        </w:tc>
        <w:tc>
          <w:tcPr>
            <w:tcW w:w="722" w:type="dxa"/>
            <w:vMerge w:val="continue"/>
            <w:tcBorders>
              <w:top w:val="nil"/>
              <w:bottom w:val="nil"/>
            </w:tcBorders>
          </w:tcPr>
          <w:p w14:paraId="715C87DF">
            <w:pPr>
              <w:rPr>
                <w:rFonts w:ascii="Arial"/>
              </w:rPr>
            </w:pPr>
          </w:p>
        </w:tc>
        <w:tc>
          <w:tcPr>
            <w:tcW w:w="991" w:type="dxa"/>
            <w:vMerge w:val="continue"/>
            <w:tcBorders>
              <w:top w:val="nil"/>
              <w:bottom w:val="nil"/>
            </w:tcBorders>
          </w:tcPr>
          <w:p w14:paraId="05D57971">
            <w:pPr>
              <w:rPr>
                <w:rFonts w:ascii="Arial"/>
              </w:rPr>
            </w:pPr>
          </w:p>
        </w:tc>
        <w:tc>
          <w:tcPr>
            <w:tcW w:w="4534" w:type="dxa"/>
          </w:tcPr>
          <w:p w14:paraId="69A0883D">
            <w:pPr>
              <w:pStyle w:val="339"/>
              <w:spacing w:before="37" w:line="219" w:lineRule="auto"/>
              <w:ind w:left="112"/>
              <w:rPr>
                <w:sz w:val="18"/>
                <w:szCs w:val="18"/>
              </w:rPr>
            </w:pPr>
            <w:r>
              <w:rPr>
                <w:spacing w:val="-1"/>
                <w:sz w:val="18"/>
                <w:szCs w:val="18"/>
              </w:rPr>
              <w:t>2、进场材料、设备报验及时，如报验资料与实际不</w:t>
            </w:r>
          </w:p>
          <w:p w14:paraId="4E978219">
            <w:pPr>
              <w:pStyle w:val="339"/>
              <w:spacing w:before="19" w:line="224" w:lineRule="auto"/>
              <w:ind w:left="112" w:right="193"/>
              <w:rPr>
                <w:sz w:val="18"/>
                <w:szCs w:val="18"/>
              </w:rPr>
            </w:pPr>
            <w:r>
              <w:rPr>
                <w:spacing w:val="-1"/>
                <w:sz w:val="18"/>
                <w:szCs w:val="18"/>
              </w:rPr>
              <w:t>符，扣</w:t>
            </w:r>
            <w:r>
              <w:rPr>
                <w:spacing w:val="-35"/>
                <w:sz w:val="18"/>
                <w:szCs w:val="18"/>
              </w:rPr>
              <w:t xml:space="preserve"> </w:t>
            </w:r>
            <w:r>
              <w:rPr>
                <w:spacing w:val="-1"/>
                <w:sz w:val="18"/>
                <w:szCs w:val="18"/>
              </w:rPr>
              <w:t>2</w:t>
            </w:r>
            <w:r>
              <w:rPr>
                <w:spacing w:val="-34"/>
                <w:sz w:val="18"/>
                <w:szCs w:val="18"/>
              </w:rPr>
              <w:t xml:space="preserve"> </w:t>
            </w:r>
            <w:r>
              <w:rPr>
                <w:spacing w:val="-1"/>
                <w:sz w:val="18"/>
                <w:szCs w:val="18"/>
              </w:rPr>
              <w:t>分/次；所有材料设备先报验后使</w:t>
            </w:r>
            <w:r>
              <w:rPr>
                <w:spacing w:val="-2"/>
                <w:sz w:val="18"/>
                <w:szCs w:val="18"/>
              </w:rPr>
              <w:t>用，未报</w:t>
            </w:r>
            <w:r>
              <w:rPr>
                <w:rFonts w:hint="eastAsia"/>
                <w:spacing w:val="-2"/>
                <w:sz w:val="18"/>
                <w:szCs w:val="18"/>
              </w:rPr>
              <w:t xml:space="preserve"> </w:t>
            </w:r>
            <w:r>
              <w:rPr>
                <w:spacing w:val="-2"/>
                <w:sz w:val="18"/>
                <w:szCs w:val="18"/>
              </w:rPr>
              <w:t>验</w:t>
            </w:r>
            <w:r>
              <w:rPr>
                <w:spacing w:val="-4"/>
                <w:sz w:val="18"/>
                <w:szCs w:val="18"/>
              </w:rPr>
              <w:t>直接使用，扣</w:t>
            </w:r>
            <w:r>
              <w:rPr>
                <w:spacing w:val="-31"/>
                <w:sz w:val="18"/>
                <w:szCs w:val="18"/>
              </w:rPr>
              <w:t xml:space="preserve"> </w:t>
            </w:r>
            <w:r>
              <w:rPr>
                <w:spacing w:val="-4"/>
                <w:sz w:val="18"/>
                <w:szCs w:val="18"/>
              </w:rPr>
              <w:t>2</w:t>
            </w:r>
            <w:r>
              <w:rPr>
                <w:spacing w:val="-34"/>
                <w:sz w:val="18"/>
                <w:szCs w:val="18"/>
              </w:rPr>
              <w:t xml:space="preserve"> </w:t>
            </w:r>
            <w:r>
              <w:rPr>
                <w:spacing w:val="-4"/>
                <w:sz w:val="18"/>
                <w:szCs w:val="18"/>
              </w:rPr>
              <w:t>分/次。</w:t>
            </w:r>
          </w:p>
        </w:tc>
        <w:tc>
          <w:tcPr>
            <w:tcW w:w="1418" w:type="dxa"/>
            <w:vMerge w:val="continue"/>
            <w:tcBorders>
              <w:top w:val="nil"/>
              <w:bottom w:val="nil"/>
            </w:tcBorders>
          </w:tcPr>
          <w:p w14:paraId="2566CF2D">
            <w:pPr>
              <w:rPr>
                <w:rFonts w:ascii="Arial"/>
              </w:rPr>
            </w:pPr>
          </w:p>
        </w:tc>
        <w:tc>
          <w:tcPr>
            <w:tcW w:w="995" w:type="dxa"/>
            <w:vMerge w:val="continue"/>
            <w:tcBorders>
              <w:top w:val="nil"/>
              <w:bottom w:val="nil"/>
            </w:tcBorders>
          </w:tcPr>
          <w:p w14:paraId="7426BFDF">
            <w:pPr>
              <w:rPr>
                <w:rFonts w:ascii="Arial"/>
              </w:rPr>
            </w:pPr>
          </w:p>
        </w:tc>
      </w:tr>
      <w:tr w14:paraId="4F748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1" w:type="dxa"/>
            <w:vMerge w:val="continue"/>
            <w:tcBorders>
              <w:top w:val="nil"/>
              <w:bottom w:val="nil"/>
            </w:tcBorders>
          </w:tcPr>
          <w:p w14:paraId="29941026">
            <w:pPr>
              <w:rPr>
                <w:rFonts w:ascii="Arial"/>
              </w:rPr>
            </w:pPr>
          </w:p>
        </w:tc>
        <w:tc>
          <w:tcPr>
            <w:tcW w:w="722" w:type="dxa"/>
            <w:vMerge w:val="continue"/>
            <w:tcBorders>
              <w:top w:val="nil"/>
              <w:bottom w:val="nil"/>
            </w:tcBorders>
          </w:tcPr>
          <w:p w14:paraId="303C44CB">
            <w:pPr>
              <w:rPr>
                <w:rFonts w:ascii="Arial"/>
              </w:rPr>
            </w:pPr>
          </w:p>
        </w:tc>
        <w:tc>
          <w:tcPr>
            <w:tcW w:w="991" w:type="dxa"/>
            <w:vMerge w:val="continue"/>
            <w:tcBorders>
              <w:top w:val="nil"/>
              <w:bottom w:val="nil"/>
            </w:tcBorders>
          </w:tcPr>
          <w:p w14:paraId="1327E210">
            <w:pPr>
              <w:rPr>
                <w:rFonts w:ascii="Arial"/>
              </w:rPr>
            </w:pPr>
          </w:p>
        </w:tc>
        <w:tc>
          <w:tcPr>
            <w:tcW w:w="4534" w:type="dxa"/>
          </w:tcPr>
          <w:p w14:paraId="7C1829C5">
            <w:pPr>
              <w:pStyle w:val="339"/>
              <w:spacing w:before="34" w:line="232" w:lineRule="auto"/>
              <w:ind w:left="113" w:right="193"/>
              <w:rPr>
                <w:sz w:val="18"/>
                <w:szCs w:val="18"/>
              </w:rPr>
            </w:pPr>
            <w:r>
              <w:rPr>
                <w:spacing w:val="-1"/>
                <w:sz w:val="18"/>
                <w:szCs w:val="18"/>
              </w:rPr>
              <w:t>3、专项施工（含维修保养）应严格按施工图实施，隐</w:t>
            </w:r>
            <w:r>
              <w:rPr>
                <w:spacing w:val="14"/>
                <w:sz w:val="18"/>
                <w:szCs w:val="18"/>
              </w:rPr>
              <w:t xml:space="preserve"> </w:t>
            </w:r>
            <w:r>
              <w:rPr>
                <w:spacing w:val="-1"/>
                <w:sz w:val="18"/>
                <w:szCs w:val="18"/>
              </w:rPr>
              <w:t>蔽工程在下道工序实施前应及时通知业主方进行验收</w:t>
            </w:r>
            <w:r>
              <w:rPr>
                <w:spacing w:val="6"/>
                <w:sz w:val="18"/>
                <w:szCs w:val="18"/>
              </w:rPr>
              <w:t xml:space="preserve">  </w:t>
            </w:r>
            <w:r>
              <w:rPr>
                <w:spacing w:val="-2"/>
                <w:sz w:val="18"/>
                <w:szCs w:val="18"/>
              </w:rPr>
              <w:t>的未通知扣</w:t>
            </w:r>
            <w:r>
              <w:rPr>
                <w:spacing w:val="-19"/>
                <w:sz w:val="18"/>
                <w:szCs w:val="18"/>
              </w:rPr>
              <w:t xml:space="preserve"> </w:t>
            </w:r>
            <w:r>
              <w:rPr>
                <w:spacing w:val="-2"/>
                <w:sz w:val="18"/>
                <w:szCs w:val="18"/>
              </w:rPr>
              <w:t>2</w:t>
            </w:r>
            <w:r>
              <w:rPr>
                <w:spacing w:val="-34"/>
                <w:sz w:val="18"/>
                <w:szCs w:val="18"/>
              </w:rPr>
              <w:t xml:space="preserve"> </w:t>
            </w:r>
            <w:r>
              <w:rPr>
                <w:spacing w:val="-2"/>
                <w:sz w:val="18"/>
                <w:szCs w:val="18"/>
              </w:rPr>
              <w:t>分/次；按实计量的工程量有虚报</w:t>
            </w:r>
          </w:p>
          <w:p w14:paraId="46075FFB">
            <w:pPr>
              <w:pStyle w:val="339"/>
              <w:spacing w:before="18" w:line="204" w:lineRule="auto"/>
              <w:ind w:left="125"/>
              <w:rPr>
                <w:sz w:val="18"/>
                <w:szCs w:val="18"/>
              </w:rPr>
            </w:pPr>
            <w:r>
              <w:rPr>
                <w:spacing w:val="-5"/>
                <w:sz w:val="18"/>
                <w:szCs w:val="18"/>
              </w:rPr>
              <w:t>的，发现一次扣</w:t>
            </w:r>
            <w:r>
              <w:rPr>
                <w:spacing w:val="-29"/>
                <w:sz w:val="18"/>
                <w:szCs w:val="18"/>
              </w:rPr>
              <w:t xml:space="preserve"> </w:t>
            </w:r>
            <w:r>
              <w:rPr>
                <w:spacing w:val="-5"/>
                <w:sz w:val="18"/>
                <w:szCs w:val="18"/>
              </w:rPr>
              <w:t>3</w:t>
            </w:r>
            <w:r>
              <w:rPr>
                <w:spacing w:val="-34"/>
                <w:sz w:val="18"/>
                <w:szCs w:val="18"/>
              </w:rPr>
              <w:t xml:space="preserve"> </w:t>
            </w:r>
            <w:r>
              <w:rPr>
                <w:spacing w:val="-5"/>
                <w:sz w:val="18"/>
                <w:szCs w:val="18"/>
              </w:rPr>
              <w:t>分/次。</w:t>
            </w:r>
          </w:p>
        </w:tc>
        <w:tc>
          <w:tcPr>
            <w:tcW w:w="1418" w:type="dxa"/>
            <w:vMerge w:val="continue"/>
            <w:tcBorders>
              <w:top w:val="nil"/>
              <w:bottom w:val="nil"/>
            </w:tcBorders>
          </w:tcPr>
          <w:p w14:paraId="23F9EBF0">
            <w:pPr>
              <w:rPr>
                <w:rFonts w:ascii="Arial"/>
              </w:rPr>
            </w:pPr>
          </w:p>
        </w:tc>
        <w:tc>
          <w:tcPr>
            <w:tcW w:w="995" w:type="dxa"/>
            <w:vMerge w:val="continue"/>
            <w:tcBorders>
              <w:top w:val="nil"/>
              <w:bottom w:val="nil"/>
            </w:tcBorders>
          </w:tcPr>
          <w:p w14:paraId="45DD222A">
            <w:pPr>
              <w:rPr>
                <w:rFonts w:ascii="Arial"/>
              </w:rPr>
            </w:pPr>
          </w:p>
        </w:tc>
      </w:tr>
      <w:tr w14:paraId="6EF8D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701" w:type="dxa"/>
            <w:vMerge w:val="continue"/>
            <w:tcBorders>
              <w:top w:val="nil"/>
              <w:bottom w:val="nil"/>
            </w:tcBorders>
          </w:tcPr>
          <w:p w14:paraId="444AE799">
            <w:pPr>
              <w:rPr>
                <w:rFonts w:ascii="Arial"/>
              </w:rPr>
            </w:pPr>
          </w:p>
        </w:tc>
        <w:tc>
          <w:tcPr>
            <w:tcW w:w="722" w:type="dxa"/>
            <w:vMerge w:val="continue"/>
            <w:tcBorders>
              <w:top w:val="nil"/>
              <w:bottom w:val="nil"/>
            </w:tcBorders>
          </w:tcPr>
          <w:p w14:paraId="08A3AE3B">
            <w:pPr>
              <w:rPr>
                <w:rFonts w:ascii="Arial"/>
              </w:rPr>
            </w:pPr>
          </w:p>
        </w:tc>
        <w:tc>
          <w:tcPr>
            <w:tcW w:w="991" w:type="dxa"/>
            <w:vMerge w:val="continue"/>
            <w:tcBorders>
              <w:top w:val="nil"/>
              <w:bottom w:val="nil"/>
            </w:tcBorders>
          </w:tcPr>
          <w:p w14:paraId="0A5FB227">
            <w:pPr>
              <w:rPr>
                <w:rFonts w:ascii="Arial"/>
              </w:rPr>
            </w:pPr>
          </w:p>
        </w:tc>
        <w:tc>
          <w:tcPr>
            <w:tcW w:w="4534" w:type="dxa"/>
          </w:tcPr>
          <w:p w14:paraId="144235CC">
            <w:pPr>
              <w:pStyle w:val="339"/>
              <w:spacing w:before="61" w:line="220" w:lineRule="auto"/>
              <w:ind w:left="110"/>
              <w:rPr>
                <w:sz w:val="18"/>
                <w:szCs w:val="18"/>
              </w:rPr>
            </w:pPr>
            <w:r>
              <w:rPr>
                <w:spacing w:val="-3"/>
                <w:sz w:val="18"/>
                <w:szCs w:val="18"/>
              </w:rPr>
              <w:t>4、设备完好率达不到合同规定要求的，扣</w:t>
            </w:r>
            <w:r>
              <w:rPr>
                <w:sz w:val="18"/>
                <w:szCs w:val="18"/>
              </w:rPr>
              <w:t xml:space="preserve"> </w:t>
            </w:r>
            <w:r>
              <w:rPr>
                <w:spacing w:val="-3"/>
                <w:sz w:val="18"/>
                <w:szCs w:val="18"/>
              </w:rPr>
              <w:t>3</w:t>
            </w:r>
            <w:r>
              <w:rPr>
                <w:spacing w:val="-34"/>
                <w:sz w:val="18"/>
                <w:szCs w:val="18"/>
              </w:rPr>
              <w:t xml:space="preserve"> </w:t>
            </w:r>
            <w:r>
              <w:rPr>
                <w:spacing w:val="-3"/>
                <w:sz w:val="18"/>
                <w:szCs w:val="18"/>
              </w:rPr>
              <w:t>分/次。</w:t>
            </w:r>
          </w:p>
        </w:tc>
        <w:tc>
          <w:tcPr>
            <w:tcW w:w="1418" w:type="dxa"/>
            <w:vMerge w:val="continue"/>
            <w:tcBorders>
              <w:top w:val="nil"/>
              <w:bottom w:val="nil"/>
            </w:tcBorders>
          </w:tcPr>
          <w:p w14:paraId="4B168C5B">
            <w:pPr>
              <w:rPr>
                <w:rFonts w:ascii="Arial"/>
              </w:rPr>
            </w:pPr>
          </w:p>
        </w:tc>
        <w:tc>
          <w:tcPr>
            <w:tcW w:w="995" w:type="dxa"/>
            <w:vMerge w:val="continue"/>
            <w:tcBorders>
              <w:top w:val="nil"/>
              <w:bottom w:val="nil"/>
            </w:tcBorders>
          </w:tcPr>
          <w:p w14:paraId="3B135035">
            <w:pPr>
              <w:rPr>
                <w:rFonts w:ascii="Arial"/>
              </w:rPr>
            </w:pPr>
          </w:p>
        </w:tc>
      </w:tr>
      <w:tr w14:paraId="687BD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701" w:type="dxa"/>
            <w:vMerge w:val="continue"/>
            <w:tcBorders>
              <w:top w:val="nil"/>
            </w:tcBorders>
          </w:tcPr>
          <w:p w14:paraId="5A592C24">
            <w:pPr>
              <w:rPr>
                <w:rFonts w:ascii="Arial"/>
              </w:rPr>
            </w:pPr>
          </w:p>
        </w:tc>
        <w:tc>
          <w:tcPr>
            <w:tcW w:w="722" w:type="dxa"/>
            <w:vMerge w:val="continue"/>
            <w:tcBorders>
              <w:top w:val="nil"/>
            </w:tcBorders>
          </w:tcPr>
          <w:p w14:paraId="29FF50A6">
            <w:pPr>
              <w:rPr>
                <w:rFonts w:ascii="Arial"/>
              </w:rPr>
            </w:pPr>
          </w:p>
        </w:tc>
        <w:tc>
          <w:tcPr>
            <w:tcW w:w="991" w:type="dxa"/>
            <w:vMerge w:val="continue"/>
            <w:tcBorders>
              <w:top w:val="nil"/>
            </w:tcBorders>
          </w:tcPr>
          <w:p w14:paraId="42C5B58A">
            <w:pPr>
              <w:rPr>
                <w:rFonts w:ascii="Arial"/>
              </w:rPr>
            </w:pPr>
          </w:p>
        </w:tc>
        <w:tc>
          <w:tcPr>
            <w:tcW w:w="4534" w:type="dxa"/>
          </w:tcPr>
          <w:p w14:paraId="35D242AE">
            <w:pPr>
              <w:pStyle w:val="339"/>
              <w:spacing w:before="45" w:line="233" w:lineRule="auto"/>
              <w:ind w:left="114" w:right="120"/>
              <w:jc w:val="both"/>
              <w:rPr>
                <w:sz w:val="18"/>
                <w:szCs w:val="18"/>
              </w:rPr>
            </w:pPr>
            <w:r>
              <w:rPr>
                <w:spacing w:val="-1"/>
                <w:sz w:val="18"/>
                <w:szCs w:val="18"/>
              </w:rPr>
              <w:t>5、未征得业主同意，擅自改变原来设计功能或修改软</w:t>
            </w:r>
            <w:r>
              <w:rPr>
                <w:spacing w:val="2"/>
                <w:sz w:val="18"/>
                <w:szCs w:val="18"/>
              </w:rPr>
              <w:t xml:space="preserve">  </w:t>
            </w:r>
            <w:r>
              <w:rPr>
                <w:spacing w:val="-1"/>
                <w:sz w:val="18"/>
                <w:szCs w:val="18"/>
              </w:rPr>
              <w:t>（硬）件的功能和参数，导致设备不能正常运</w:t>
            </w:r>
            <w:r>
              <w:rPr>
                <w:spacing w:val="-2"/>
                <w:sz w:val="18"/>
                <w:szCs w:val="18"/>
              </w:rPr>
              <w:t>行的，扣</w:t>
            </w:r>
            <w:r>
              <w:rPr>
                <w:sz w:val="18"/>
                <w:szCs w:val="18"/>
              </w:rPr>
              <w:t xml:space="preserve"> </w:t>
            </w:r>
            <w:r>
              <w:rPr>
                <w:spacing w:val="-7"/>
                <w:sz w:val="18"/>
                <w:szCs w:val="18"/>
              </w:rPr>
              <w:t>3</w:t>
            </w:r>
            <w:r>
              <w:rPr>
                <w:spacing w:val="-32"/>
                <w:sz w:val="18"/>
                <w:szCs w:val="18"/>
              </w:rPr>
              <w:t xml:space="preserve"> </w:t>
            </w:r>
            <w:r>
              <w:rPr>
                <w:spacing w:val="-7"/>
                <w:sz w:val="18"/>
                <w:szCs w:val="18"/>
              </w:rPr>
              <w:t>分/次。</w:t>
            </w:r>
          </w:p>
        </w:tc>
        <w:tc>
          <w:tcPr>
            <w:tcW w:w="1418" w:type="dxa"/>
            <w:vMerge w:val="continue"/>
            <w:tcBorders>
              <w:top w:val="nil"/>
            </w:tcBorders>
          </w:tcPr>
          <w:p w14:paraId="5E54D4FE">
            <w:pPr>
              <w:rPr>
                <w:rFonts w:ascii="Arial"/>
              </w:rPr>
            </w:pPr>
          </w:p>
        </w:tc>
        <w:tc>
          <w:tcPr>
            <w:tcW w:w="995" w:type="dxa"/>
            <w:vMerge w:val="continue"/>
            <w:tcBorders>
              <w:top w:val="nil"/>
            </w:tcBorders>
          </w:tcPr>
          <w:p w14:paraId="777BEE8F">
            <w:pPr>
              <w:rPr>
                <w:rFonts w:ascii="Arial"/>
              </w:rPr>
            </w:pPr>
          </w:p>
        </w:tc>
      </w:tr>
    </w:tbl>
    <w:p w14:paraId="733765FC">
      <w:pPr>
        <w:pStyle w:val="798"/>
        <w:ind w:left="420" w:leftChars="200" w:firstLine="0" w:firstLineChars="0"/>
        <w:rPr>
          <w:rFonts w:hint="eastAsia" w:hAnsi="宋体" w:cs="宋体"/>
          <w:b/>
          <w:bCs/>
        </w:rPr>
      </w:pPr>
    </w:p>
    <w:tbl>
      <w:tblPr>
        <w:tblStyle w:val="965"/>
        <w:tblW w:w="93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722"/>
        <w:gridCol w:w="991"/>
        <w:gridCol w:w="4534"/>
        <w:gridCol w:w="1418"/>
        <w:gridCol w:w="995"/>
      </w:tblGrid>
      <w:tr w14:paraId="0E680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1" w:type="dxa"/>
          </w:tcPr>
          <w:p w14:paraId="2F506B62">
            <w:pPr>
              <w:pStyle w:val="339"/>
              <w:spacing w:before="138" w:line="221" w:lineRule="auto"/>
              <w:ind w:left="169"/>
              <w:rPr>
                <w:sz w:val="18"/>
                <w:szCs w:val="18"/>
              </w:rPr>
            </w:pPr>
            <w:r>
              <w:rPr>
                <w:b/>
                <w:bCs/>
                <w:spacing w:val="-3"/>
                <w:sz w:val="18"/>
                <w:szCs w:val="18"/>
              </w:rPr>
              <w:t>序号</w:t>
            </w:r>
          </w:p>
        </w:tc>
        <w:tc>
          <w:tcPr>
            <w:tcW w:w="1713" w:type="dxa"/>
            <w:gridSpan w:val="2"/>
          </w:tcPr>
          <w:p w14:paraId="3B346BBD">
            <w:pPr>
              <w:pStyle w:val="339"/>
              <w:spacing w:before="137" w:line="220" w:lineRule="auto"/>
              <w:ind w:left="587"/>
              <w:rPr>
                <w:sz w:val="18"/>
                <w:szCs w:val="18"/>
              </w:rPr>
            </w:pPr>
            <w:r>
              <w:rPr>
                <w:b/>
                <w:bCs/>
                <w:spacing w:val="-4"/>
                <w:sz w:val="18"/>
                <w:szCs w:val="18"/>
              </w:rPr>
              <w:t>考核内容</w:t>
            </w:r>
          </w:p>
        </w:tc>
        <w:tc>
          <w:tcPr>
            <w:tcW w:w="4534" w:type="dxa"/>
          </w:tcPr>
          <w:p w14:paraId="65160308">
            <w:pPr>
              <w:pStyle w:val="339"/>
              <w:spacing w:before="137" w:line="220" w:lineRule="auto"/>
              <w:ind w:left="1909"/>
              <w:rPr>
                <w:sz w:val="18"/>
                <w:szCs w:val="18"/>
              </w:rPr>
            </w:pPr>
            <w:r>
              <w:rPr>
                <w:b/>
                <w:bCs/>
                <w:spacing w:val="-4"/>
                <w:sz w:val="18"/>
                <w:szCs w:val="18"/>
              </w:rPr>
              <w:t>考核标准</w:t>
            </w:r>
          </w:p>
        </w:tc>
        <w:tc>
          <w:tcPr>
            <w:tcW w:w="1418" w:type="dxa"/>
          </w:tcPr>
          <w:p w14:paraId="187F2DCA">
            <w:pPr>
              <w:pStyle w:val="339"/>
              <w:spacing w:before="137" w:line="220" w:lineRule="auto"/>
              <w:ind w:left="351"/>
              <w:rPr>
                <w:sz w:val="18"/>
                <w:szCs w:val="18"/>
              </w:rPr>
            </w:pPr>
            <w:r>
              <w:rPr>
                <w:b/>
                <w:bCs/>
                <w:spacing w:val="-4"/>
                <w:sz w:val="18"/>
                <w:szCs w:val="18"/>
              </w:rPr>
              <w:t>考核情况</w:t>
            </w:r>
          </w:p>
        </w:tc>
        <w:tc>
          <w:tcPr>
            <w:tcW w:w="995" w:type="dxa"/>
          </w:tcPr>
          <w:p w14:paraId="620C56BA">
            <w:pPr>
              <w:pStyle w:val="339"/>
              <w:spacing w:before="138" w:line="221" w:lineRule="auto"/>
              <w:ind w:left="320"/>
              <w:rPr>
                <w:sz w:val="18"/>
                <w:szCs w:val="18"/>
              </w:rPr>
            </w:pPr>
            <w:r>
              <w:rPr>
                <w:b/>
                <w:bCs/>
                <w:spacing w:val="-4"/>
                <w:sz w:val="18"/>
                <w:szCs w:val="18"/>
              </w:rPr>
              <w:t>备注</w:t>
            </w:r>
          </w:p>
        </w:tc>
      </w:tr>
      <w:tr w14:paraId="45EE3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01" w:type="dxa"/>
            <w:vMerge w:val="restart"/>
            <w:tcBorders>
              <w:bottom w:val="nil"/>
            </w:tcBorders>
          </w:tcPr>
          <w:p w14:paraId="48F52180">
            <w:pPr>
              <w:rPr>
                <w:rFonts w:ascii="Arial"/>
              </w:rPr>
            </w:pPr>
          </w:p>
        </w:tc>
        <w:tc>
          <w:tcPr>
            <w:tcW w:w="722" w:type="dxa"/>
            <w:vMerge w:val="restart"/>
            <w:tcBorders>
              <w:bottom w:val="nil"/>
            </w:tcBorders>
          </w:tcPr>
          <w:p w14:paraId="7F131213">
            <w:pPr>
              <w:rPr>
                <w:rFonts w:ascii="Arial"/>
              </w:rPr>
            </w:pPr>
          </w:p>
        </w:tc>
        <w:tc>
          <w:tcPr>
            <w:tcW w:w="991" w:type="dxa"/>
            <w:vMerge w:val="restart"/>
            <w:tcBorders>
              <w:bottom w:val="nil"/>
            </w:tcBorders>
          </w:tcPr>
          <w:p w14:paraId="19A9564B">
            <w:pPr>
              <w:rPr>
                <w:rFonts w:ascii="Arial"/>
              </w:rPr>
            </w:pPr>
          </w:p>
        </w:tc>
        <w:tc>
          <w:tcPr>
            <w:tcW w:w="4534" w:type="dxa"/>
          </w:tcPr>
          <w:p w14:paraId="10604A99">
            <w:pPr>
              <w:pStyle w:val="339"/>
              <w:spacing w:before="31" w:line="225" w:lineRule="auto"/>
              <w:ind w:left="113" w:right="193" w:hanging="1"/>
              <w:rPr>
                <w:sz w:val="18"/>
                <w:szCs w:val="18"/>
              </w:rPr>
            </w:pPr>
            <w:r>
              <w:rPr>
                <w:spacing w:val="-1"/>
                <w:sz w:val="18"/>
                <w:szCs w:val="18"/>
              </w:rPr>
              <w:t>6、维护检修后对移动的线缆必须整理到位，线缆凌乱</w:t>
            </w:r>
            <w:r>
              <w:rPr>
                <w:spacing w:val="16"/>
                <w:sz w:val="18"/>
                <w:szCs w:val="18"/>
              </w:rPr>
              <w:t xml:space="preserve"> </w:t>
            </w:r>
            <w:r>
              <w:rPr>
                <w:spacing w:val="-3"/>
                <w:sz w:val="18"/>
                <w:szCs w:val="18"/>
              </w:rPr>
              <w:t>不整齐，无标签的，扣</w:t>
            </w:r>
            <w:r>
              <w:rPr>
                <w:spacing w:val="-27"/>
                <w:sz w:val="18"/>
                <w:szCs w:val="18"/>
              </w:rPr>
              <w:t xml:space="preserve"> </w:t>
            </w:r>
            <w:r>
              <w:rPr>
                <w:spacing w:val="-3"/>
                <w:sz w:val="18"/>
                <w:szCs w:val="18"/>
              </w:rPr>
              <w:t>0.5</w:t>
            </w:r>
            <w:r>
              <w:rPr>
                <w:spacing w:val="-34"/>
                <w:sz w:val="18"/>
                <w:szCs w:val="18"/>
              </w:rPr>
              <w:t xml:space="preserve"> </w:t>
            </w:r>
            <w:r>
              <w:rPr>
                <w:spacing w:val="-3"/>
                <w:sz w:val="18"/>
                <w:szCs w:val="18"/>
              </w:rPr>
              <w:t>分/处。</w:t>
            </w:r>
          </w:p>
        </w:tc>
        <w:tc>
          <w:tcPr>
            <w:tcW w:w="1418" w:type="dxa"/>
            <w:vMerge w:val="restart"/>
            <w:tcBorders>
              <w:bottom w:val="nil"/>
            </w:tcBorders>
          </w:tcPr>
          <w:p w14:paraId="591A90C5">
            <w:pPr>
              <w:rPr>
                <w:rFonts w:ascii="Arial"/>
              </w:rPr>
            </w:pPr>
          </w:p>
        </w:tc>
        <w:tc>
          <w:tcPr>
            <w:tcW w:w="995" w:type="dxa"/>
            <w:vMerge w:val="restart"/>
            <w:tcBorders>
              <w:bottom w:val="nil"/>
            </w:tcBorders>
          </w:tcPr>
          <w:p w14:paraId="6B30B074">
            <w:pPr>
              <w:rPr>
                <w:rFonts w:ascii="Arial"/>
              </w:rPr>
            </w:pPr>
          </w:p>
        </w:tc>
      </w:tr>
      <w:tr w14:paraId="53E84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01" w:type="dxa"/>
            <w:vMerge w:val="continue"/>
            <w:tcBorders>
              <w:top w:val="nil"/>
              <w:bottom w:val="nil"/>
            </w:tcBorders>
          </w:tcPr>
          <w:p w14:paraId="5EFFD7FF">
            <w:pPr>
              <w:rPr>
                <w:rFonts w:ascii="Arial"/>
              </w:rPr>
            </w:pPr>
          </w:p>
        </w:tc>
        <w:tc>
          <w:tcPr>
            <w:tcW w:w="722" w:type="dxa"/>
            <w:vMerge w:val="continue"/>
            <w:tcBorders>
              <w:top w:val="nil"/>
              <w:bottom w:val="nil"/>
            </w:tcBorders>
          </w:tcPr>
          <w:p w14:paraId="180E4B79">
            <w:pPr>
              <w:rPr>
                <w:rFonts w:ascii="Arial"/>
              </w:rPr>
            </w:pPr>
          </w:p>
        </w:tc>
        <w:tc>
          <w:tcPr>
            <w:tcW w:w="991" w:type="dxa"/>
            <w:vMerge w:val="continue"/>
            <w:tcBorders>
              <w:top w:val="nil"/>
            </w:tcBorders>
          </w:tcPr>
          <w:p w14:paraId="777221C4">
            <w:pPr>
              <w:rPr>
                <w:rFonts w:ascii="Arial"/>
              </w:rPr>
            </w:pPr>
          </w:p>
        </w:tc>
        <w:tc>
          <w:tcPr>
            <w:tcW w:w="4534" w:type="dxa"/>
          </w:tcPr>
          <w:p w14:paraId="708660F9">
            <w:pPr>
              <w:pStyle w:val="339"/>
              <w:spacing w:before="37" w:line="229" w:lineRule="auto"/>
              <w:ind w:left="113" w:right="199" w:firstLine="1"/>
              <w:rPr>
                <w:sz w:val="18"/>
                <w:szCs w:val="18"/>
              </w:rPr>
            </w:pPr>
            <w:r>
              <w:rPr>
                <w:spacing w:val="-1"/>
                <w:sz w:val="18"/>
                <w:szCs w:val="18"/>
              </w:rPr>
              <w:t>7、按技术规范、标准和合同要求进行设备维保，违反</w:t>
            </w:r>
            <w:r>
              <w:rPr>
                <w:spacing w:val="7"/>
                <w:sz w:val="18"/>
                <w:szCs w:val="18"/>
              </w:rPr>
              <w:t xml:space="preserve"> </w:t>
            </w:r>
            <w:r>
              <w:rPr>
                <w:spacing w:val="-6"/>
                <w:sz w:val="18"/>
                <w:szCs w:val="18"/>
              </w:rPr>
              <w:t>扣</w:t>
            </w:r>
            <w:r>
              <w:rPr>
                <w:spacing w:val="-29"/>
                <w:sz w:val="18"/>
                <w:szCs w:val="18"/>
              </w:rPr>
              <w:t xml:space="preserve"> </w:t>
            </w:r>
            <w:r>
              <w:rPr>
                <w:spacing w:val="-6"/>
                <w:sz w:val="18"/>
                <w:szCs w:val="18"/>
              </w:rPr>
              <w:t>2-5</w:t>
            </w:r>
            <w:r>
              <w:rPr>
                <w:spacing w:val="-34"/>
                <w:sz w:val="18"/>
                <w:szCs w:val="18"/>
              </w:rPr>
              <w:t xml:space="preserve"> </w:t>
            </w:r>
            <w:r>
              <w:rPr>
                <w:spacing w:val="-6"/>
                <w:sz w:val="18"/>
                <w:szCs w:val="18"/>
              </w:rPr>
              <w:t>分/次。</w:t>
            </w:r>
          </w:p>
        </w:tc>
        <w:tc>
          <w:tcPr>
            <w:tcW w:w="1418" w:type="dxa"/>
            <w:vMerge w:val="continue"/>
            <w:tcBorders>
              <w:top w:val="nil"/>
            </w:tcBorders>
          </w:tcPr>
          <w:p w14:paraId="6E432B90">
            <w:pPr>
              <w:rPr>
                <w:rFonts w:ascii="Arial"/>
              </w:rPr>
            </w:pPr>
          </w:p>
        </w:tc>
        <w:tc>
          <w:tcPr>
            <w:tcW w:w="995" w:type="dxa"/>
            <w:vMerge w:val="continue"/>
            <w:tcBorders>
              <w:top w:val="nil"/>
            </w:tcBorders>
          </w:tcPr>
          <w:p w14:paraId="21EB1DF0">
            <w:pPr>
              <w:rPr>
                <w:rFonts w:ascii="Arial"/>
              </w:rPr>
            </w:pPr>
          </w:p>
        </w:tc>
      </w:tr>
      <w:tr w14:paraId="54DB4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01" w:type="dxa"/>
            <w:vMerge w:val="continue"/>
            <w:tcBorders>
              <w:top w:val="nil"/>
              <w:bottom w:val="nil"/>
            </w:tcBorders>
          </w:tcPr>
          <w:p w14:paraId="10D032E1">
            <w:pPr>
              <w:rPr>
                <w:rFonts w:ascii="Arial"/>
              </w:rPr>
            </w:pPr>
          </w:p>
        </w:tc>
        <w:tc>
          <w:tcPr>
            <w:tcW w:w="722" w:type="dxa"/>
            <w:vMerge w:val="continue"/>
            <w:tcBorders>
              <w:top w:val="nil"/>
              <w:bottom w:val="nil"/>
            </w:tcBorders>
          </w:tcPr>
          <w:p w14:paraId="1E3C8CAD">
            <w:pPr>
              <w:rPr>
                <w:rFonts w:ascii="Arial"/>
              </w:rPr>
            </w:pPr>
          </w:p>
        </w:tc>
        <w:tc>
          <w:tcPr>
            <w:tcW w:w="991" w:type="dxa"/>
            <w:vMerge w:val="restart"/>
            <w:tcBorders>
              <w:bottom w:val="nil"/>
            </w:tcBorders>
          </w:tcPr>
          <w:p w14:paraId="13ED7F66">
            <w:pPr>
              <w:spacing w:line="251" w:lineRule="auto"/>
              <w:rPr>
                <w:rFonts w:ascii="Arial"/>
              </w:rPr>
            </w:pPr>
          </w:p>
          <w:p w14:paraId="193D2886">
            <w:pPr>
              <w:spacing w:line="251" w:lineRule="auto"/>
              <w:rPr>
                <w:rFonts w:ascii="Arial"/>
              </w:rPr>
            </w:pPr>
          </w:p>
          <w:p w14:paraId="5A48668F">
            <w:pPr>
              <w:spacing w:line="251" w:lineRule="auto"/>
              <w:rPr>
                <w:rFonts w:ascii="Arial"/>
              </w:rPr>
            </w:pPr>
          </w:p>
          <w:p w14:paraId="26935989">
            <w:pPr>
              <w:spacing w:line="251" w:lineRule="auto"/>
              <w:rPr>
                <w:rFonts w:ascii="Arial"/>
              </w:rPr>
            </w:pPr>
          </w:p>
          <w:p w14:paraId="7DDEB196">
            <w:pPr>
              <w:spacing w:line="251" w:lineRule="auto"/>
              <w:rPr>
                <w:rFonts w:ascii="Arial"/>
              </w:rPr>
            </w:pPr>
          </w:p>
          <w:p w14:paraId="634FB902">
            <w:pPr>
              <w:spacing w:line="251" w:lineRule="auto"/>
              <w:rPr>
                <w:rFonts w:ascii="Arial"/>
              </w:rPr>
            </w:pPr>
          </w:p>
          <w:p w14:paraId="047962C3">
            <w:pPr>
              <w:spacing w:line="252" w:lineRule="auto"/>
              <w:rPr>
                <w:rFonts w:ascii="Arial"/>
              </w:rPr>
            </w:pPr>
          </w:p>
          <w:p w14:paraId="3FCE8EEF">
            <w:pPr>
              <w:pStyle w:val="339"/>
              <w:spacing w:before="58" w:line="230" w:lineRule="auto"/>
              <w:ind w:left="233" w:right="136" w:hanging="94"/>
              <w:rPr>
                <w:sz w:val="18"/>
                <w:szCs w:val="18"/>
              </w:rPr>
            </w:pPr>
            <w:r>
              <w:rPr>
                <w:spacing w:val="-3"/>
                <w:sz w:val="18"/>
                <w:szCs w:val="18"/>
              </w:rPr>
              <w:t>设备运维</w:t>
            </w:r>
            <w:r>
              <w:rPr>
                <w:spacing w:val="1"/>
                <w:sz w:val="18"/>
                <w:szCs w:val="18"/>
              </w:rPr>
              <w:t xml:space="preserve"> </w:t>
            </w:r>
            <w:r>
              <w:rPr>
                <w:spacing w:val="-4"/>
                <w:sz w:val="18"/>
                <w:szCs w:val="18"/>
              </w:rPr>
              <w:t>时效性</w:t>
            </w:r>
          </w:p>
        </w:tc>
        <w:tc>
          <w:tcPr>
            <w:tcW w:w="4534" w:type="dxa"/>
          </w:tcPr>
          <w:p w14:paraId="724E3439">
            <w:pPr>
              <w:pStyle w:val="339"/>
              <w:spacing w:before="40" w:line="233" w:lineRule="auto"/>
              <w:ind w:left="112" w:right="99" w:firstLine="11"/>
              <w:rPr>
                <w:sz w:val="18"/>
                <w:szCs w:val="18"/>
              </w:rPr>
            </w:pPr>
            <w:r>
              <w:rPr>
                <w:spacing w:val="-4"/>
                <w:sz w:val="18"/>
                <w:szCs w:val="18"/>
              </w:rPr>
              <w:t>1、日常设备报修必须在</w:t>
            </w:r>
            <w:r>
              <w:rPr>
                <w:rFonts w:hint="eastAsia"/>
                <w:spacing w:val="-9"/>
                <w:sz w:val="18"/>
                <w:szCs w:val="18"/>
              </w:rPr>
              <w:t>规定时间</w:t>
            </w:r>
            <w:r>
              <w:rPr>
                <w:spacing w:val="-4"/>
                <w:sz w:val="18"/>
                <w:szCs w:val="18"/>
              </w:rPr>
              <w:t>内修复，逾期扣</w:t>
            </w:r>
            <w:r>
              <w:rPr>
                <w:spacing w:val="-23"/>
                <w:sz w:val="18"/>
                <w:szCs w:val="18"/>
              </w:rPr>
              <w:t xml:space="preserve"> </w:t>
            </w:r>
            <w:r>
              <w:rPr>
                <w:spacing w:val="-4"/>
                <w:sz w:val="18"/>
                <w:szCs w:val="18"/>
              </w:rPr>
              <w:t>1</w:t>
            </w:r>
            <w:r>
              <w:rPr>
                <w:spacing w:val="-34"/>
                <w:sz w:val="18"/>
                <w:szCs w:val="18"/>
              </w:rPr>
              <w:t xml:space="preserve"> </w:t>
            </w:r>
            <w:r>
              <w:rPr>
                <w:spacing w:val="-4"/>
                <w:sz w:val="18"/>
                <w:szCs w:val="18"/>
              </w:rPr>
              <w:t>分/</w:t>
            </w:r>
            <w:r>
              <w:rPr>
                <w:sz w:val="18"/>
                <w:szCs w:val="18"/>
              </w:rPr>
              <w:t xml:space="preserve">  </w:t>
            </w:r>
            <w:r>
              <w:rPr>
                <w:spacing w:val="-1"/>
                <w:sz w:val="18"/>
                <w:szCs w:val="18"/>
              </w:rPr>
              <w:t>单次；未按报修单反馈时限组织维修，扣</w:t>
            </w:r>
            <w:r>
              <w:rPr>
                <w:spacing w:val="-35"/>
                <w:sz w:val="18"/>
                <w:szCs w:val="18"/>
              </w:rPr>
              <w:t xml:space="preserve"> </w:t>
            </w:r>
            <w:r>
              <w:rPr>
                <w:spacing w:val="-1"/>
                <w:sz w:val="18"/>
                <w:szCs w:val="18"/>
              </w:rPr>
              <w:t>2</w:t>
            </w:r>
            <w:r>
              <w:rPr>
                <w:spacing w:val="-34"/>
                <w:sz w:val="18"/>
                <w:szCs w:val="18"/>
              </w:rPr>
              <w:t xml:space="preserve"> </w:t>
            </w:r>
            <w:r>
              <w:rPr>
                <w:spacing w:val="-1"/>
                <w:sz w:val="18"/>
                <w:szCs w:val="18"/>
              </w:rPr>
              <w:t>分/次（非</w:t>
            </w:r>
            <w:r>
              <w:rPr>
                <w:sz w:val="18"/>
                <w:szCs w:val="18"/>
              </w:rPr>
              <w:t xml:space="preserve"> </w:t>
            </w:r>
            <w:r>
              <w:rPr>
                <w:spacing w:val="-4"/>
                <w:sz w:val="18"/>
                <w:szCs w:val="18"/>
              </w:rPr>
              <w:t>乙方责任除外）。</w:t>
            </w:r>
          </w:p>
        </w:tc>
        <w:tc>
          <w:tcPr>
            <w:tcW w:w="1418" w:type="dxa"/>
            <w:vMerge w:val="restart"/>
            <w:tcBorders>
              <w:bottom w:val="nil"/>
            </w:tcBorders>
          </w:tcPr>
          <w:p w14:paraId="3D3660E6">
            <w:pPr>
              <w:rPr>
                <w:rFonts w:ascii="Arial"/>
              </w:rPr>
            </w:pPr>
          </w:p>
        </w:tc>
        <w:tc>
          <w:tcPr>
            <w:tcW w:w="995" w:type="dxa"/>
            <w:vMerge w:val="restart"/>
            <w:tcBorders>
              <w:bottom w:val="nil"/>
            </w:tcBorders>
          </w:tcPr>
          <w:p w14:paraId="6A302A80">
            <w:pPr>
              <w:rPr>
                <w:rFonts w:ascii="Arial"/>
              </w:rPr>
            </w:pPr>
          </w:p>
        </w:tc>
      </w:tr>
      <w:tr w14:paraId="05C17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701" w:type="dxa"/>
            <w:vMerge w:val="continue"/>
            <w:tcBorders>
              <w:top w:val="nil"/>
              <w:bottom w:val="nil"/>
            </w:tcBorders>
          </w:tcPr>
          <w:p w14:paraId="7C2FD83B">
            <w:pPr>
              <w:rPr>
                <w:rFonts w:ascii="Arial"/>
              </w:rPr>
            </w:pPr>
          </w:p>
        </w:tc>
        <w:tc>
          <w:tcPr>
            <w:tcW w:w="722" w:type="dxa"/>
            <w:vMerge w:val="continue"/>
            <w:tcBorders>
              <w:top w:val="nil"/>
              <w:bottom w:val="nil"/>
            </w:tcBorders>
          </w:tcPr>
          <w:p w14:paraId="528747EB">
            <w:pPr>
              <w:rPr>
                <w:rFonts w:ascii="Arial"/>
              </w:rPr>
            </w:pPr>
          </w:p>
        </w:tc>
        <w:tc>
          <w:tcPr>
            <w:tcW w:w="991" w:type="dxa"/>
            <w:vMerge w:val="continue"/>
            <w:tcBorders>
              <w:top w:val="nil"/>
              <w:bottom w:val="nil"/>
            </w:tcBorders>
          </w:tcPr>
          <w:p w14:paraId="2ADEDF35">
            <w:pPr>
              <w:rPr>
                <w:rFonts w:ascii="Arial"/>
              </w:rPr>
            </w:pPr>
          </w:p>
        </w:tc>
        <w:tc>
          <w:tcPr>
            <w:tcW w:w="4534" w:type="dxa"/>
          </w:tcPr>
          <w:p w14:paraId="4325D01E">
            <w:pPr>
              <w:pStyle w:val="339"/>
              <w:spacing w:before="24" w:line="235" w:lineRule="auto"/>
              <w:ind w:left="111" w:right="101" w:firstLine="1"/>
              <w:rPr>
                <w:sz w:val="18"/>
                <w:szCs w:val="18"/>
              </w:rPr>
            </w:pPr>
            <w:r>
              <w:rPr>
                <w:spacing w:val="-2"/>
                <w:sz w:val="18"/>
                <w:szCs w:val="18"/>
              </w:rPr>
              <w:t>2、遇应急抢修任务（光、电缆的抢修，交通事故或自</w:t>
            </w:r>
            <w:r>
              <w:rPr>
                <w:spacing w:val="4"/>
                <w:sz w:val="18"/>
                <w:szCs w:val="18"/>
              </w:rPr>
              <w:t xml:space="preserve"> </w:t>
            </w:r>
            <w:r>
              <w:rPr>
                <w:spacing w:val="-2"/>
                <w:sz w:val="18"/>
                <w:szCs w:val="18"/>
              </w:rPr>
              <w:t>然灾害等引起的突发事件的抢修等</w:t>
            </w:r>
            <w:r>
              <w:rPr>
                <w:spacing w:val="7"/>
                <w:sz w:val="18"/>
                <w:szCs w:val="18"/>
              </w:rPr>
              <w:t>），</w:t>
            </w:r>
            <w:r>
              <w:rPr>
                <w:rFonts w:hint="eastAsia"/>
                <w:spacing w:val="7"/>
                <w:sz w:val="18"/>
                <w:szCs w:val="18"/>
              </w:rPr>
              <w:t>抢</w:t>
            </w:r>
            <w:r>
              <w:rPr>
                <w:rFonts w:hint="eastAsia"/>
                <w:spacing w:val="-2"/>
                <w:sz w:val="18"/>
                <w:szCs w:val="18"/>
              </w:rPr>
              <w:t>修</w:t>
            </w:r>
            <w:r>
              <w:rPr>
                <w:spacing w:val="-2"/>
                <w:sz w:val="18"/>
                <w:szCs w:val="18"/>
              </w:rPr>
              <w:t>人员</w:t>
            </w:r>
            <w:r>
              <w:rPr>
                <w:spacing w:val="-35"/>
                <w:sz w:val="18"/>
                <w:szCs w:val="18"/>
              </w:rPr>
              <w:t xml:space="preserve"> </w:t>
            </w:r>
            <w:r>
              <w:rPr>
                <w:rFonts w:hint="eastAsia"/>
                <w:spacing w:val="-2"/>
                <w:sz w:val="18"/>
                <w:szCs w:val="18"/>
              </w:rPr>
              <w:t>1</w:t>
            </w:r>
            <w:r>
              <w:rPr>
                <w:spacing w:val="-31"/>
                <w:sz w:val="18"/>
                <w:szCs w:val="18"/>
              </w:rPr>
              <w:t xml:space="preserve"> </w:t>
            </w:r>
            <w:r>
              <w:rPr>
                <w:spacing w:val="-2"/>
                <w:sz w:val="18"/>
                <w:szCs w:val="18"/>
              </w:rPr>
              <w:t>小</w:t>
            </w:r>
            <w:r>
              <w:rPr>
                <w:sz w:val="18"/>
                <w:szCs w:val="18"/>
              </w:rPr>
              <w:t xml:space="preserve"> </w:t>
            </w:r>
            <w:r>
              <w:rPr>
                <w:spacing w:val="-2"/>
                <w:sz w:val="18"/>
                <w:szCs w:val="18"/>
              </w:rPr>
              <w:t>时内到达现场，</w:t>
            </w:r>
            <w:r>
              <w:rPr>
                <w:rFonts w:hint="eastAsia"/>
                <w:spacing w:val="-2"/>
                <w:sz w:val="18"/>
                <w:szCs w:val="18"/>
              </w:rPr>
              <w:t>8</w:t>
            </w:r>
            <w:r>
              <w:rPr>
                <w:spacing w:val="-32"/>
                <w:sz w:val="18"/>
                <w:szCs w:val="18"/>
              </w:rPr>
              <w:t xml:space="preserve"> </w:t>
            </w:r>
            <w:r>
              <w:rPr>
                <w:spacing w:val="-2"/>
                <w:sz w:val="18"/>
                <w:szCs w:val="18"/>
              </w:rPr>
              <w:t>小时内修复，逾时扣</w:t>
            </w:r>
            <w:r>
              <w:rPr>
                <w:spacing w:val="-19"/>
                <w:sz w:val="18"/>
                <w:szCs w:val="18"/>
              </w:rPr>
              <w:t xml:space="preserve"> </w:t>
            </w:r>
            <w:r>
              <w:rPr>
                <w:spacing w:val="-2"/>
                <w:sz w:val="18"/>
                <w:szCs w:val="18"/>
              </w:rPr>
              <w:t>2</w:t>
            </w:r>
            <w:r>
              <w:rPr>
                <w:spacing w:val="-34"/>
                <w:sz w:val="18"/>
                <w:szCs w:val="18"/>
              </w:rPr>
              <w:t xml:space="preserve"> </w:t>
            </w:r>
            <w:r>
              <w:rPr>
                <w:spacing w:val="-2"/>
                <w:sz w:val="18"/>
                <w:szCs w:val="18"/>
              </w:rPr>
              <w:t>分/</w:t>
            </w:r>
            <w:r>
              <w:rPr>
                <w:spacing w:val="-3"/>
                <w:sz w:val="18"/>
                <w:szCs w:val="18"/>
              </w:rPr>
              <w:t>次，特殊</w:t>
            </w:r>
            <w:r>
              <w:rPr>
                <w:sz w:val="18"/>
                <w:szCs w:val="18"/>
              </w:rPr>
              <w:t xml:space="preserve"> </w:t>
            </w:r>
            <w:r>
              <w:rPr>
                <w:spacing w:val="-2"/>
                <w:sz w:val="18"/>
                <w:szCs w:val="18"/>
              </w:rPr>
              <w:t>情况下，未能在协商时间内完成抢修任务，扣</w:t>
            </w:r>
            <w:r>
              <w:rPr>
                <w:spacing w:val="-16"/>
                <w:sz w:val="18"/>
                <w:szCs w:val="18"/>
              </w:rPr>
              <w:t xml:space="preserve"> </w:t>
            </w:r>
            <w:r>
              <w:rPr>
                <w:spacing w:val="-2"/>
                <w:sz w:val="18"/>
                <w:szCs w:val="18"/>
              </w:rPr>
              <w:t>3</w:t>
            </w:r>
            <w:r>
              <w:rPr>
                <w:spacing w:val="-34"/>
                <w:sz w:val="18"/>
                <w:szCs w:val="18"/>
              </w:rPr>
              <w:t xml:space="preserve"> </w:t>
            </w:r>
            <w:r>
              <w:rPr>
                <w:spacing w:val="-2"/>
                <w:sz w:val="18"/>
                <w:szCs w:val="18"/>
              </w:rPr>
              <w:t>分/</w:t>
            </w:r>
            <w:r>
              <w:rPr>
                <w:spacing w:val="-10"/>
                <w:sz w:val="18"/>
                <w:szCs w:val="18"/>
              </w:rPr>
              <w:t>次。</w:t>
            </w:r>
          </w:p>
        </w:tc>
        <w:tc>
          <w:tcPr>
            <w:tcW w:w="1418" w:type="dxa"/>
            <w:vMerge w:val="continue"/>
            <w:tcBorders>
              <w:top w:val="nil"/>
              <w:bottom w:val="nil"/>
            </w:tcBorders>
          </w:tcPr>
          <w:p w14:paraId="1CADDCE7">
            <w:pPr>
              <w:rPr>
                <w:rFonts w:ascii="Arial"/>
              </w:rPr>
            </w:pPr>
          </w:p>
        </w:tc>
        <w:tc>
          <w:tcPr>
            <w:tcW w:w="995" w:type="dxa"/>
            <w:vMerge w:val="continue"/>
            <w:tcBorders>
              <w:top w:val="nil"/>
              <w:bottom w:val="nil"/>
            </w:tcBorders>
          </w:tcPr>
          <w:p w14:paraId="550040C4">
            <w:pPr>
              <w:rPr>
                <w:rFonts w:ascii="Arial"/>
              </w:rPr>
            </w:pPr>
          </w:p>
        </w:tc>
      </w:tr>
      <w:tr w14:paraId="726FF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01" w:type="dxa"/>
            <w:vMerge w:val="continue"/>
            <w:tcBorders>
              <w:top w:val="nil"/>
              <w:bottom w:val="nil"/>
            </w:tcBorders>
          </w:tcPr>
          <w:p w14:paraId="6A13EF41">
            <w:pPr>
              <w:rPr>
                <w:rFonts w:ascii="Arial"/>
              </w:rPr>
            </w:pPr>
          </w:p>
        </w:tc>
        <w:tc>
          <w:tcPr>
            <w:tcW w:w="722" w:type="dxa"/>
            <w:vMerge w:val="continue"/>
            <w:tcBorders>
              <w:top w:val="nil"/>
              <w:bottom w:val="nil"/>
            </w:tcBorders>
          </w:tcPr>
          <w:p w14:paraId="19CE6FB3">
            <w:pPr>
              <w:rPr>
                <w:rFonts w:ascii="Arial"/>
              </w:rPr>
            </w:pPr>
          </w:p>
        </w:tc>
        <w:tc>
          <w:tcPr>
            <w:tcW w:w="991" w:type="dxa"/>
            <w:vMerge w:val="continue"/>
            <w:tcBorders>
              <w:top w:val="nil"/>
              <w:bottom w:val="nil"/>
            </w:tcBorders>
          </w:tcPr>
          <w:p w14:paraId="1F9FECC3">
            <w:pPr>
              <w:rPr>
                <w:rFonts w:ascii="Arial"/>
              </w:rPr>
            </w:pPr>
          </w:p>
        </w:tc>
        <w:tc>
          <w:tcPr>
            <w:tcW w:w="4534" w:type="dxa"/>
          </w:tcPr>
          <w:p w14:paraId="554ABA4C">
            <w:pPr>
              <w:pStyle w:val="339"/>
              <w:spacing w:before="26" w:line="229" w:lineRule="auto"/>
              <w:ind w:left="123" w:right="101" w:hanging="9"/>
              <w:jc w:val="both"/>
              <w:rPr>
                <w:sz w:val="18"/>
                <w:szCs w:val="18"/>
              </w:rPr>
            </w:pPr>
            <w:r>
              <w:rPr>
                <w:spacing w:val="-5"/>
                <w:sz w:val="18"/>
                <w:szCs w:val="18"/>
              </w:rPr>
              <w:t>3、维护巡检须完成</w:t>
            </w:r>
            <w:r>
              <w:rPr>
                <w:rFonts w:hint="eastAsia"/>
                <w:spacing w:val="-5"/>
                <w:sz w:val="18"/>
                <w:szCs w:val="18"/>
              </w:rPr>
              <w:t>后</w:t>
            </w:r>
            <w:r>
              <w:rPr>
                <w:spacing w:val="-5"/>
                <w:sz w:val="18"/>
                <w:szCs w:val="18"/>
              </w:rPr>
              <w:t>，并在</w:t>
            </w:r>
            <w:r>
              <w:rPr>
                <w:spacing w:val="-18"/>
                <w:sz w:val="18"/>
                <w:szCs w:val="18"/>
              </w:rPr>
              <w:t xml:space="preserve"> </w:t>
            </w:r>
            <w:r>
              <w:rPr>
                <w:spacing w:val="-5"/>
                <w:sz w:val="18"/>
                <w:szCs w:val="18"/>
              </w:rPr>
              <w:t>5</w:t>
            </w:r>
            <w:r>
              <w:rPr>
                <w:spacing w:val="-36"/>
                <w:sz w:val="18"/>
                <w:szCs w:val="18"/>
              </w:rPr>
              <w:t xml:space="preserve"> </w:t>
            </w:r>
            <w:r>
              <w:rPr>
                <w:spacing w:val="-5"/>
                <w:sz w:val="18"/>
                <w:szCs w:val="18"/>
              </w:rPr>
              <w:t>个工作</w:t>
            </w:r>
            <w:r>
              <w:rPr>
                <w:sz w:val="18"/>
                <w:szCs w:val="18"/>
              </w:rPr>
              <w:t xml:space="preserve"> </w:t>
            </w:r>
            <w:r>
              <w:rPr>
                <w:spacing w:val="-2"/>
                <w:sz w:val="18"/>
                <w:szCs w:val="18"/>
              </w:rPr>
              <w:t>日内提交维护巡检报告，逾期扣</w:t>
            </w:r>
            <w:r>
              <w:rPr>
                <w:spacing w:val="-25"/>
                <w:sz w:val="18"/>
                <w:szCs w:val="18"/>
              </w:rPr>
              <w:t xml:space="preserve"> </w:t>
            </w:r>
            <w:r>
              <w:rPr>
                <w:spacing w:val="-2"/>
                <w:sz w:val="18"/>
                <w:szCs w:val="18"/>
              </w:rPr>
              <w:t>2</w:t>
            </w:r>
            <w:r>
              <w:rPr>
                <w:spacing w:val="-34"/>
                <w:sz w:val="18"/>
                <w:szCs w:val="18"/>
              </w:rPr>
              <w:t xml:space="preserve"> </w:t>
            </w:r>
            <w:r>
              <w:rPr>
                <w:spacing w:val="-2"/>
                <w:sz w:val="18"/>
                <w:szCs w:val="18"/>
              </w:rPr>
              <w:t>分/次，记录不全扣</w:t>
            </w:r>
            <w:r>
              <w:rPr>
                <w:sz w:val="18"/>
                <w:szCs w:val="18"/>
              </w:rPr>
              <w:t xml:space="preserve">  </w:t>
            </w:r>
            <w:r>
              <w:rPr>
                <w:spacing w:val="-13"/>
                <w:sz w:val="18"/>
                <w:szCs w:val="18"/>
              </w:rPr>
              <w:t>1</w:t>
            </w:r>
            <w:r>
              <w:rPr>
                <w:spacing w:val="-34"/>
                <w:sz w:val="18"/>
                <w:szCs w:val="18"/>
              </w:rPr>
              <w:t xml:space="preserve"> </w:t>
            </w:r>
            <w:r>
              <w:rPr>
                <w:spacing w:val="-13"/>
                <w:sz w:val="18"/>
                <w:szCs w:val="18"/>
              </w:rPr>
              <w:t>分。</w:t>
            </w:r>
          </w:p>
        </w:tc>
        <w:tc>
          <w:tcPr>
            <w:tcW w:w="1418" w:type="dxa"/>
            <w:vMerge w:val="continue"/>
            <w:tcBorders>
              <w:top w:val="nil"/>
              <w:bottom w:val="nil"/>
            </w:tcBorders>
          </w:tcPr>
          <w:p w14:paraId="2ED9DE10">
            <w:pPr>
              <w:rPr>
                <w:rFonts w:ascii="Arial"/>
              </w:rPr>
            </w:pPr>
          </w:p>
        </w:tc>
        <w:tc>
          <w:tcPr>
            <w:tcW w:w="995" w:type="dxa"/>
            <w:vMerge w:val="continue"/>
            <w:tcBorders>
              <w:top w:val="nil"/>
              <w:bottom w:val="nil"/>
            </w:tcBorders>
          </w:tcPr>
          <w:p w14:paraId="7728C73A">
            <w:pPr>
              <w:rPr>
                <w:rFonts w:ascii="Arial"/>
              </w:rPr>
            </w:pPr>
          </w:p>
        </w:tc>
      </w:tr>
      <w:tr w14:paraId="1C418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1" w:type="dxa"/>
            <w:vMerge w:val="continue"/>
            <w:tcBorders>
              <w:top w:val="nil"/>
              <w:bottom w:val="nil"/>
            </w:tcBorders>
          </w:tcPr>
          <w:p w14:paraId="4D6A3863">
            <w:pPr>
              <w:rPr>
                <w:rFonts w:ascii="Arial"/>
              </w:rPr>
            </w:pPr>
          </w:p>
        </w:tc>
        <w:tc>
          <w:tcPr>
            <w:tcW w:w="722" w:type="dxa"/>
            <w:vMerge w:val="continue"/>
            <w:tcBorders>
              <w:top w:val="nil"/>
              <w:bottom w:val="nil"/>
            </w:tcBorders>
          </w:tcPr>
          <w:p w14:paraId="7F01FD9C">
            <w:pPr>
              <w:rPr>
                <w:rFonts w:ascii="Arial"/>
              </w:rPr>
            </w:pPr>
          </w:p>
        </w:tc>
        <w:tc>
          <w:tcPr>
            <w:tcW w:w="991" w:type="dxa"/>
            <w:vMerge w:val="continue"/>
            <w:tcBorders>
              <w:top w:val="nil"/>
              <w:bottom w:val="nil"/>
            </w:tcBorders>
          </w:tcPr>
          <w:p w14:paraId="0A6B4D1A">
            <w:pPr>
              <w:rPr>
                <w:rFonts w:ascii="Arial"/>
              </w:rPr>
            </w:pPr>
          </w:p>
        </w:tc>
        <w:tc>
          <w:tcPr>
            <w:tcW w:w="4534" w:type="dxa"/>
          </w:tcPr>
          <w:p w14:paraId="517982A3">
            <w:pPr>
              <w:pStyle w:val="339"/>
              <w:spacing w:before="25" w:line="224" w:lineRule="auto"/>
              <w:ind w:left="110" w:right="104"/>
              <w:rPr>
                <w:sz w:val="18"/>
                <w:szCs w:val="18"/>
              </w:rPr>
            </w:pPr>
            <w:r>
              <w:rPr>
                <w:spacing w:val="-3"/>
                <w:sz w:val="18"/>
                <w:szCs w:val="18"/>
              </w:rPr>
              <w:t>4、</w:t>
            </w:r>
            <w:r>
              <w:rPr>
                <w:rFonts w:hint="eastAsia"/>
                <w:spacing w:val="-3"/>
                <w:sz w:val="18"/>
                <w:szCs w:val="18"/>
              </w:rPr>
              <w:t>指定</w:t>
            </w:r>
            <w:r>
              <w:rPr>
                <w:spacing w:val="-3"/>
                <w:sz w:val="18"/>
                <w:szCs w:val="18"/>
              </w:rPr>
              <w:t>备品备件需在 15</w:t>
            </w:r>
            <w:r>
              <w:rPr>
                <w:spacing w:val="-19"/>
                <w:sz w:val="18"/>
                <w:szCs w:val="18"/>
              </w:rPr>
              <w:t xml:space="preserve"> </w:t>
            </w:r>
            <w:r>
              <w:rPr>
                <w:spacing w:val="-3"/>
                <w:sz w:val="18"/>
                <w:szCs w:val="18"/>
              </w:rPr>
              <w:t>天内完成采购、补库，并提供设备</w:t>
            </w:r>
            <w:r>
              <w:rPr>
                <w:sz w:val="18"/>
                <w:szCs w:val="18"/>
              </w:rPr>
              <w:t xml:space="preserve"> </w:t>
            </w:r>
            <w:r>
              <w:rPr>
                <w:spacing w:val="-3"/>
                <w:sz w:val="18"/>
                <w:szCs w:val="18"/>
              </w:rPr>
              <w:t>验收资料，逾期扣</w:t>
            </w:r>
            <w:r>
              <w:rPr>
                <w:spacing w:val="-34"/>
                <w:sz w:val="18"/>
                <w:szCs w:val="18"/>
              </w:rPr>
              <w:t xml:space="preserve"> </w:t>
            </w:r>
            <w:r>
              <w:rPr>
                <w:spacing w:val="-3"/>
                <w:sz w:val="18"/>
                <w:szCs w:val="18"/>
              </w:rPr>
              <w:t>2</w:t>
            </w:r>
            <w:r>
              <w:rPr>
                <w:spacing w:val="-34"/>
                <w:sz w:val="18"/>
                <w:szCs w:val="18"/>
              </w:rPr>
              <w:t xml:space="preserve"> </w:t>
            </w:r>
            <w:r>
              <w:rPr>
                <w:spacing w:val="-3"/>
                <w:sz w:val="18"/>
                <w:szCs w:val="18"/>
              </w:rPr>
              <w:t>分/次。</w:t>
            </w:r>
          </w:p>
        </w:tc>
        <w:tc>
          <w:tcPr>
            <w:tcW w:w="1418" w:type="dxa"/>
            <w:vMerge w:val="continue"/>
            <w:tcBorders>
              <w:top w:val="nil"/>
              <w:bottom w:val="nil"/>
            </w:tcBorders>
          </w:tcPr>
          <w:p w14:paraId="3D9576CA">
            <w:pPr>
              <w:rPr>
                <w:rFonts w:ascii="Arial"/>
              </w:rPr>
            </w:pPr>
          </w:p>
        </w:tc>
        <w:tc>
          <w:tcPr>
            <w:tcW w:w="995" w:type="dxa"/>
            <w:vMerge w:val="continue"/>
            <w:tcBorders>
              <w:top w:val="nil"/>
              <w:bottom w:val="nil"/>
            </w:tcBorders>
          </w:tcPr>
          <w:p w14:paraId="29FAF97A">
            <w:pPr>
              <w:rPr>
                <w:rFonts w:ascii="Arial"/>
              </w:rPr>
            </w:pPr>
          </w:p>
        </w:tc>
      </w:tr>
      <w:tr w14:paraId="4B848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01" w:type="dxa"/>
            <w:vMerge w:val="continue"/>
            <w:tcBorders>
              <w:top w:val="nil"/>
              <w:bottom w:val="nil"/>
            </w:tcBorders>
          </w:tcPr>
          <w:p w14:paraId="199EC519">
            <w:pPr>
              <w:rPr>
                <w:rFonts w:ascii="Arial"/>
              </w:rPr>
            </w:pPr>
          </w:p>
        </w:tc>
        <w:tc>
          <w:tcPr>
            <w:tcW w:w="722" w:type="dxa"/>
            <w:vMerge w:val="continue"/>
            <w:tcBorders>
              <w:top w:val="nil"/>
              <w:bottom w:val="nil"/>
            </w:tcBorders>
          </w:tcPr>
          <w:p w14:paraId="7AFC0B92">
            <w:pPr>
              <w:rPr>
                <w:rFonts w:ascii="Arial"/>
              </w:rPr>
            </w:pPr>
          </w:p>
        </w:tc>
        <w:tc>
          <w:tcPr>
            <w:tcW w:w="991" w:type="dxa"/>
            <w:vMerge w:val="continue"/>
            <w:tcBorders>
              <w:top w:val="nil"/>
              <w:bottom w:val="nil"/>
            </w:tcBorders>
          </w:tcPr>
          <w:p w14:paraId="3254E8C9">
            <w:pPr>
              <w:rPr>
                <w:rFonts w:ascii="Arial"/>
              </w:rPr>
            </w:pPr>
          </w:p>
        </w:tc>
        <w:tc>
          <w:tcPr>
            <w:tcW w:w="4534" w:type="dxa"/>
          </w:tcPr>
          <w:p w14:paraId="7E732D86">
            <w:pPr>
              <w:pStyle w:val="339"/>
              <w:spacing w:before="39" w:line="228" w:lineRule="auto"/>
              <w:ind w:left="110" w:right="204" w:firstLine="4"/>
              <w:rPr>
                <w:sz w:val="18"/>
                <w:szCs w:val="18"/>
              </w:rPr>
            </w:pPr>
            <w:r>
              <w:rPr>
                <w:spacing w:val="-1"/>
                <w:sz w:val="18"/>
                <w:szCs w:val="18"/>
              </w:rPr>
              <w:t>5、每日做好设备维修维护巡检台帐，故障修复后及时</w:t>
            </w:r>
            <w:r>
              <w:rPr>
                <w:spacing w:val="3"/>
                <w:sz w:val="18"/>
                <w:szCs w:val="18"/>
              </w:rPr>
              <w:t xml:space="preserve"> </w:t>
            </w:r>
            <w:r>
              <w:rPr>
                <w:spacing w:val="-2"/>
                <w:sz w:val="18"/>
                <w:szCs w:val="18"/>
              </w:rPr>
              <w:t>在联系群里反馈，未做到，扣</w:t>
            </w:r>
            <w:r>
              <w:rPr>
                <w:spacing w:val="-33"/>
                <w:sz w:val="18"/>
                <w:szCs w:val="18"/>
              </w:rPr>
              <w:t xml:space="preserve"> </w:t>
            </w:r>
            <w:r>
              <w:rPr>
                <w:spacing w:val="-2"/>
                <w:sz w:val="18"/>
                <w:szCs w:val="18"/>
              </w:rPr>
              <w:t>0.5</w:t>
            </w:r>
            <w:r>
              <w:rPr>
                <w:spacing w:val="-34"/>
                <w:sz w:val="18"/>
                <w:szCs w:val="18"/>
              </w:rPr>
              <w:t xml:space="preserve"> </w:t>
            </w:r>
            <w:r>
              <w:rPr>
                <w:spacing w:val="-2"/>
                <w:sz w:val="18"/>
                <w:szCs w:val="18"/>
              </w:rPr>
              <w:t>分/次。</w:t>
            </w:r>
          </w:p>
        </w:tc>
        <w:tc>
          <w:tcPr>
            <w:tcW w:w="1418" w:type="dxa"/>
            <w:vMerge w:val="continue"/>
            <w:tcBorders>
              <w:top w:val="nil"/>
              <w:bottom w:val="nil"/>
            </w:tcBorders>
          </w:tcPr>
          <w:p w14:paraId="23A66AF6">
            <w:pPr>
              <w:rPr>
                <w:rFonts w:ascii="Arial"/>
              </w:rPr>
            </w:pPr>
          </w:p>
        </w:tc>
        <w:tc>
          <w:tcPr>
            <w:tcW w:w="995" w:type="dxa"/>
            <w:vMerge w:val="continue"/>
            <w:tcBorders>
              <w:top w:val="nil"/>
              <w:bottom w:val="nil"/>
            </w:tcBorders>
          </w:tcPr>
          <w:p w14:paraId="42622DD1">
            <w:pPr>
              <w:rPr>
                <w:rFonts w:ascii="Arial"/>
              </w:rPr>
            </w:pPr>
          </w:p>
        </w:tc>
      </w:tr>
      <w:tr w14:paraId="655A0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1" w:type="dxa"/>
            <w:vMerge w:val="continue"/>
            <w:tcBorders>
              <w:top w:val="nil"/>
            </w:tcBorders>
          </w:tcPr>
          <w:p w14:paraId="36EBB91B">
            <w:pPr>
              <w:rPr>
                <w:rFonts w:ascii="Arial"/>
              </w:rPr>
            </w:pPr>
          </w:p>
        </w:tc>
        <w:tc>
          <w:tcPr>
            <w:tcW w:w="722" w:type="dxa"/>
            <w:vMerge w:val="continue"/>
            <w:tcBorders>
              <w:top w:val="nil"/>
            </w:tcBorders>
          </w:tcPr>
          <w:p w14:paraId="0C2922D1">
            <w:pPr>
              <w:rPr>
                <w:rFonts w:ascii="Arial"/>
              </w:rPr>
            </w:pPr>
          </w:p>
        </w:tc>
        <w:tc>
          <w:tcPr>
            <w:tcW w:w="991" w:type="dxa"/>
            <w:vMerge w:val="continue"/>
            <w:tcBorders>
              <w:top w:val="nil"/>
            </w:tcBorders>
          </w:tcPr>
          <w:p w14:paraId="212975E2">
            <w:pPr>
              <w:rPr>
                <w:rFonts w:ascii="Arial"/>
              </w:rPr>
            </w:pPr>
          </w:p>
        </w:tc>
        <w:tc>
          <w:tcPr>
            <w:tcW w:w="4534" w:type="dxa"/>
          </w:tcPr>
          <w:p w14:paraId="4E9C1D4B">
            <w:pPr>
              <w:pStyle w:val="339"/>
              <w:spacing w:before="27" w:line="223" w:lineRule="auto"/>
              <w:ind w:left="110" w:right="201" w:firstLine="1"/>
              <w:rPr>
                <w:sz w:val="18"/>
                <w:szCs w:val="18"/>
              </w:rPr>
            </w:pPr>
            <w:r>
              <w:rPr>
                <w:spacing w:val="-1"/>
                <w:sz w:val="18"/>
                <w:szCs w:val="18"/>
              </w:rPr>
              <w:t>6、必须配备足够的检测和维护工具，因工具不足引起</w:t>
            </w:r>
            <w:r>
              <w:rPr>
                <w:spacing w:val="8"/>
                <w:sz w:val="18"/>
                <w:szCs w:val="18"/>
              </w:rPr>
              <w:t xml:space="preserve"> </w:t>
            </w:r>
            <w:r>
              <w:rPr>
                <w:spacing w:val="-3"/>
                <w:sz w:val="18"/>
                <w:szCs w:val="18"/>
              </w:rPr>
              <w:t>检测、维修延迟的，扣</w:t>
            </w:r>
            <w:r>
              <w:rPr>
                <w:spacing w:val="-30"/>
                <w:sz w:val="18"/>
                <w:szCs w:val="18"/>
              </w:rPr>
              <w:t xml:space="preserve"> </w:t>
            </w:r>
            <w:r>
              <w:rPr>
                <w:spacing w:val="-3"/>
                <w:sz w:val="18"/>
                <w:szCs w:val="18"/>
              </w:rPr>
              <w:t>2</w:t>
            </w:r>
            <w:r>
              <w:rPr>
                <w:spacing w:val="-34"/>
                <w:sz w:val="18"/>
                <w:szCs w:val="18"/>
              </w:rPr>
              <w:t xml:space="preserve"> </w:t>
            </w:r>
            <w:r>
              <w:rPr>
                <w:spacing w:val="-3"/>
                <w:sz w:val="18"/>
                <w:szCs w:val="18"/>
              </w:rPr>
              <w:t>分/次。</w:t>
            </w:r>
          </w:p>
        </w:tc>
        <w:tc>
          <w:tcPr>
            <w:tcW w:w="1418" w:type="dxa"/>
            <w:vMerge w:val="continue"/>
            <w:tcBorders>
              <w:top w:val="nil"/>
            </w:tcBorders>
          </w:tcPr>
          <w:p w14:paraId="561C96F1">
            <w:pPr>
              <w:rPr>
                <w:rFonts w:ascii="Arial"/>
              </w:rPr>
            </w:pPr>
          </w:p>
        </w:tc>
        <w:tc>
          <w:tcPr>
            <w:tcW w:w="995" w:type="dxa"/>
            <w:vMerge w:val="continue"/>
            <w:tcBorders>
              <w:top w:val="nil"/>
            </w:tcBorders>
          </w:tcPr>
          <w:p w14:paraId="21D78D72">
            <w:pPr>
              <w:rPr>
                <w:rFonts w:ascii="Arial"/>
              </w:rPr>
            </w:pPr>
          </w:p>
        </w:tc>
      </w:tr>
      <w:tr w14:paraId="3A2DA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701" w:type="dxa"/>
            <w:vMerge w:val="restart"/>
            <w:tcBorders>
              <w:bottom w:val="nil"/>
            </w:tcBorders>
          </w:tcPr>
          <w:p w14:paraId="4991534B">
            <w:pPr>
              <w:spacing w:line="255" w:lineRule="auto"/>
              <w:rPr>
                <w:rFonts w:ascii="Arial"/>
              </w:rPr>
            </w:pPr>
          </w:p>
          <w:p w14:paraId="673537A4">
            <w:pPr>
              <w:spacing w:line="255" w:lineRule="auto"/>
              <w:rPr>
                <w:rFonts w:ascii="Arial"/>
              </w:rPr>
            </w:pPr>
          </w:p>
          <w:p w14:paraId="7FA46EC8">
            <w:pPr>
              <w:spacing w:line="255" w:lineRule="auto"/>
              <w:rPr>
                <w:rFonts w:ascii="Arial"/>
              </w:rPr>
            </w:pPr>
          </w:p>
          <w:p w14:paraId="623AF78C">
            <w:pPr>
              <w:spacing w:line="255" w:lineRule="auto"/>
              <w:rPr>
                <w:rFonts w:ascii="Arial"/>
              </w:rPr>
            </w:pPr>
          </w:p>
          <w:p w14:paraId="0B37B0AC">
            <w:pPr>
              <w:spacing w:line="255" w:lineRule="auto"/>
              <w:rPr>
                <w:rFonts w:ascii="Arial"/>
              </w:rPr>
            </w:pPr>
          </w:p>
          <w:p w14:paraId="72815ECB">
            <w:pPr>
              <w:spacing w:line="255" w:lineRule="auto"/>
              <w:rPr>
                <w:rFonts w:ascii="Arial"/>
              </w:rPr>
            </w:pPr>
          </w:p>
          <w:p w14:paraId="681E874E">
            <w:pPr>
              <w:spacing w:line="256" w:lineRule="auto"/>
              <w:rPr>
                <w:rFonts w:ascii="Arial"/>
              </w:rPr>
            </w:pPr>
          </w:p>
          <w:p w14:paraId="7639BB63">
            <w:pPr>
              <w:pStyle w:val="339"/>
              <w:spacing w:before="58" w:line="181" w:lineRule="auto"/>
              <w:ind w:left="310"/>
              <w:rPr>
                <w:sz w:val="18"/>
                <w:szCs w:val="18"/>
              </w:rPr>
            </w:pPr>
            <w:r>
              <w:rPr>
                <w:sz w:val="18"/>
                <w:szCs w:val="18"/>
              </w:rPr>
              <w:t>3</w:t>
            </w:r>
          </w:p>
        </w:tc>
        <w:tc>
          <w:tcPr>
            <w:tcW w:w="722" w:type="dxa"/>
            <w:vMerge w:val="restart"/>
            <w:tcBorders>
              <w:bottom w:val="nil"/>
            </w:tcBorders>
          </w:tcPr>
          <w:p w14:paraId="1FD6AF11">
            <w:pPr>
              <w:spacing w:line="273" w:lineRule="auto"/>
              <w:rPr>
                <w:rFonts w:ascii="Arial"/>
              </w:rPr>
            </w:pPr>
          </w:p>
          <w:p w14:paraId="0A06DA73">
            <w:pPr>
              <w:spacing w:line="273" w:lineRule="auto"/>
              <w:rPr>
                <w:rFonts w:ascii="Arial"/>
              </w:rPr>
            </w:pPr>
          </w:p>
          <w:p w14:paraId="43F714E4">
            <w:pPr>
              <w:spacing w:line="273" w:lineRule="auto"/>
              <w:rPr>
                <w:rFonts w:ascii="Arial"/>
              </w:rPr>
            </w:pPr>
          </w:p>
          <w:p w14:paraId="78E9419F">
            <w:pPr>
              <w:spacing w:line="273" w:lineRule="auto"/>
              <w:rPr>
                <w:rFonts w:ascii="Arial"/>
              </w:rPr>
            </w:pPr>
          </w:p>
          <w:p w14:paraId="278765F4">
            <w:pPr>
              <w:spacing w:line="273" w:lineRule="auto"/>
              <w:rPr>
                <w:rFonts w:ascii="Arial"/>
              </w:rPr>
            </w:pPr>
          </w:p>
          <w:p w14:paraId="105EF86B">
            <w:pPr>
              <w:spacing w:line="274" w:lineRule="auto"/>
              <w:rPr>
                <w:rFonts w:ascii="Arial"/>
              </w:rPr>
            </w:pPr>
          </w:p>
          <w:p w14:paraId="266CCBE2">
            <w:pPr>
              <w:pStyle w:val="339"/>
              <w:spacing w:before="58" w:line="229" w:lineRule="auto"/>
              <w:ind w:left="181" w:right="184" w:firstLine="2"/>
              <w:rPr>
                <w:sz w:val="18"/>
                <w:szCs w:val="18"/>
              </w:rPr>
            </w:pPr>
            <w:r>
              <w:rPr>
                <w:spacing w:val="-3"/>
                <w:sz w:val="18"/>
                <w:szCs w:val="18"/>
              </w:rPr>
              <w:t>文明施</w:t>
            </w:r>
            <w:r>
              <w:rPr>
                <w:sz w:val="18"/>
                <w:szCs w:val="18"/>
              </w:rPr>
              <w:t xml:space="preserve">  </w:t>
            </w:r>
            <w:r>
              <w:rPr>
                <w:spacing w:val="-3"/>
                <w:sz w:val="18"/>
                <w:szCs w:val="18"/>
              </w:rPr>
              <w:t>工</w:t>
            </w:r>
          </w:p>
        </w:tc>
        <w:tc>
          <w:tcPr>
            <w:tcW w:w="991" w:type="dxa"/>
            <w:vMerge w:val="restart"/>
            <w:tcBorders>
              <w:bottom w:val="nil"/>
            </w:tcBorders>
          </w:tcPr>
          <w:p w14:paraId="36D65A9E">
            <w:pPr>
              <w:spacing w:line="253" w:lineRule="auto"/>
              <w:rPr>
                <w:rFonts w:ascii="Arial"/>
              </w:rPr>
            </w:pPr>
          </w:p>
          <w:p w14:paraId="585F3E1B">
            <w:pPr>
              <w:spacing w:line="253" w:lineRule="auto"/>
              <w:rPr>
                <w:rFonts w:ascii="Arial"/>
              </w:rPr>
            </w:pPr>
          </w:p>
          <w:p w14:paraId="58DE826D">
            <w:pPr>
              <w:spacing w:line="254" w:lineRule="auto"/>
              <w:rPr>
                <w:rFonts w:ascii="Arial"/>
              </w:rPr>
            </w:pPr>
          </w:p>
          <w:p w14:paraId="6B3E69A9">
            <w:pPr>
              <w:spacing w:line="254" w:lineRule="auto"/>
              <w:rPr>
                <w:rFonts w:ascii="Arial"/>
              </w:rPr>
            </w:pPr>
          </w:p>
          <w:p w14:paraId="54685EF8">
            <w:pPr>
              <w:spacing w:line="254" w:lineRule="auto"/>
              <w:rPr>
                <w:rFonts w:ascii="Arial"/>
              </w:rPr>
            </w:pPr>
          </w:p>
          <w:p w14:paraId="4310438F">
            <w:pPr>
              <w:spacing w:line="254" w:lineRule="auto"/>
              <w:rPr>
                <w:rFonts w:ascii="Arial"/>
              </w:rPr>
            </w:pPr>
          </w:p>
          <w:p w14:paraId="61FC9B44">
            <w:pPr>
              <w:pStyle w:val="339"/>
              <w:spacing w:before="59" w:line="233" w:lineRule="auto"/>
              <w:ind w:left="139" w:right="136" w:firstLine="88"/>
              <w:rPr>
                <w:sz w:val="18"/>
                <w:szCs w:val="18"/>
              </w:rPr>
            </w:pPr>
            <w:r>
              <w:rPr>
                <w:spacing w:val="-3"/>
                <w:sz w:val="18"/>
                <w:szCs w:val="18"/>
              </w:rPr>
              <w:t>文明施</w:t>
            </w:r>
            <w:r>
              <w:rPr>
                <w:sz w:val="18"/>
                <w:szCs w:val="18"/>
              </w:rPr>
              <w:t xml:space="preserve">  </w:t>
            </w:r>
            <w:r>
              <w:rPr>
                <w:spacing w:val="-3"/>
                <w:sz w:val="18"/>
                <w:szCs w:val="18"/>
              </w:rPr>
              <w:t>工、现场全管理</w:t>
            </w:r>
          </w:p>
        </w:tc>
        <w:tc>
          <w:tcPr>
            <w:tcW w:w="4534" w:type="dxa"/>
          </w:tcPr>
          <w:p w14:paraId="32DD6322">
            <w:pPr>
              <w:pStyle w:val="339"/>
              <w:spacing w:before="27" w:line="223" w:lineRule="auto"/>
              <w:ind w:left="112" w:right="127" w:firstLine="11"/>
              <w:rPr>
                <w:sz w:val="18"/>
                <w:szCs w:val="18"/>
              </w:rPr>
            </w:pPr>
            <w:r>
              <w:rPr>
                <w:spacing w:val="-1"/>
                <w:sz w:val="18"/>
                <w:szCs w:val="18"/>
              </w:rPr>
              <w:t>1、交叉作业时，与协作单位积极配合、文明施</w:t>
            </w:r>
            <w:r>
              <w:rPr>
                <w:spacing w:val="-2"/>
                <w:sz w:val="18"/>
                <w:szCs w:val="18"/>
              </w:rPr>
              <w:t>工，造</w:t>
            </w:r>
            <w:r>
              <w:rPr>
                <w:sz w:val="18"/>
                <w:szCs w:val="18"/>
              </w:rPr>
              <w:t xml:space="preserve">  </w:t>
            </w:r>
            <w:r>
              <w:rPr>
                <w:spacing w:val="-3"/>
                <w:sz w:val="18"/>
                <w:szCs w:val="18"/>
              </w:rPr>
              <w:t>成不良影响的，扣</w:t>
            </w:r>
            <w:r>
              <w:rPr>
                <w:spacing w:val="-34"/>
                <w:sz w:val="18"/>
                <w:szCs w:val="18"/>
              </w:rPr>
              <w:t xml:space="preserve"> </w:t>
            </w:r>
            <w:r>
              <w:rPr>
                <w:spacing w:val="-3"/>
                <w:sz w:val="18"/>
                <w:szCs w:val="18"/>
              </w:rPr>
              <w:t>2</w:t>
            </w:r>
            <w:r>
              <w:rPr>
                <w:spacing w:val="-34"/>
                <w:sz w:val="18"/>
                <w:szCs w:val="18"/>
              </w:rPr>
              <w:t xml:space="preserve"> </w:t>
            </w:r>
            <w:r>
              <w:rPr>
                <w:spacing w:val="-3"/>
                <w:sz w:val="18"/>
                <w:szCs w:val="18"/>
              </w:rPr>
              <w:t>分/次，影响恶劣的，扣</w:t>
            </w:r>
            <w:r>
              <w:rPr>
                <w:spacing w:val="-34"/>
                <w:sz w:val="18"/>
                <w:szCs w:val="18"/>
              </w:rPr>
              <w:t xml:space="preserve"> </w:t>
            </w:r>
            <w:r>
              <w:rPr>
                <w:spacing w:val="-3"/>
                <w:sz w:val="18"/>
                <w:szCs w:val="18"/>
              </w:rPr>
              <w:t>5</w:t>
            </w:r>
            <w:r>
              <w:rPr>
                <w:spacing w:val="-34"/>
                <w:sz w:val="18"/>
                <w:szCs w:val="18"/>
              </w:rPr>
              <w:t xml:space="preserve"> </w:t>
            </w:r>
            <w:r>
              <w:rPr>
                <w:spacing w:val="-3"/>
                <w:sz w:val="18"/>
                <w:szCs w:val="18"/>
              </w:rPr>
              <w:t>分/</w:t>
            </w:r>
            <w:r>
              <w:rPr>
                <w:spacing w:val="-4"/>
                <w:sz w:val="18"/>
                <w:szCs w:val="18"/>
              </w:rPr>
              <w:t>次。</w:t>
            </w:r>
          </w:p>
        </w:tc>
        <w:tc>
          <w:tcPr>
            <w:tcW w:w="1418" w:type="dxa"/>
            <w:vMerge w:val="restart"/>
            <w:tcBorders>
              <w:bottom w:val="nil"/>
            </w:tcBorders>
          </w:tcPr>
          <w:p w14:paraId="7230EA9D">
            <w:pPr>
              <w:rPr>
                <w:rFonts w:ascii="Arial"/>
              </w:rPr>
            </w:pPr>
          </w:p>
        </w:tc>
        <w:tc>
          <w:tcPr>
            <w:tcW w:w="995" w:type="dxa"/>
            <w:vMerge w:val="restart"/>
            <w:tcBorders>
              <w:bottom w:val="nil"/>
            </w:tcBorders>
          </w:tcPr>
          <w:p w14:paraId="59A56C04">
            <w:pPr>
              <w:rPr>
                <w:rFonts w:ascii="Arial"/>
              </w:rPr>
            </w:pPr>
          </w:p>
        </w:tc>
      </w:tr>
      <w:tr w14:paraId="41B02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01" w:type="dxa"/>
            <w:vMerge w:val="continue"/>
            <w:tcBorders>
              <w:top w:val="nil"/>
              <w:bottom w:val="nil"/>
            </w:tcBorders>
          </w:tcPr>
          <w:p w14:paraId="055FE549">
            <w:pPr>
              <w:rPr>
                <w:rFonts w:ascii="Arial"/>
              </w:rPr>
            </w:pPr>
          </w:p>
        </w:tc>
        <w:tc>
          <w:tcPr>
            <w:tcW w:w="722" w:type="dxa"/>
            <w:vMerge w:val="continue"/>
            <w:tcBorders>
              <w:top w:val="nil"/>
              <w:bottom w:val="nil"/>
            </w:tcBorders>
          </w:tcPr>
          <w:p w14:paraId="4AEBCC9A">
            <w:pPr>
              <w:rPr>
                <w:rFonts w:ascii="Arial"/>
              </w:rPr>
            </w:pPr>
          </w:p>
        </w:tc>
        <w:tc>
          <w:tcPr>
            <w:tcW w:w="991" w:type="dxa"/>
            <w:vMerge w:val="continue"/>
            <w:tcBorders>
              <w:top w:val="nil"/>
              <w:bottom w:val="nil"/>
            </w:tcBorders>
          </w:tcPr>
          <w:p w14:paraId="53151ACB">
            <w:pPr>
              <w:rPr>
                <w:rFonts w:ascii="Arial"/>
              </w:rPr>
            </w:pPr>
          </w:p>
        </w:tc>
        <w:tc>
          <w:tcPr>
            <w:tcW w:w="4534" w:type="dxa"/>
          </w:tcPr>
          <w:p w14:paraId="6BB1B855">
            <w:pPr>
              <w:pStyle w:val="339"/>
              <w:spacing w:before="27" w:line="222" w:lineRule="auto"/>
              <w:ind w:left="112" w:right="382"/>
              <w:rPr>
                <w:sz w:val="18"/>
                <w:szCs w:val="18"/>
              </w:rPr>
            </w:pPr>
            <w:r>
              <w:rPr>
                <w:spacing w:val="-1"/>
                <w:sz w:val="18"/>
                <w:szCs w:val="18"/>
              </w:rPr>
              <w:t>2、施工完成后，完成区域内施工垃圾清理，工具整</w:t>
            </w:r>
            <w:r>
              <w:rPr>
                <w:spacing w:val="5"/>
                <w:sz w:val="18"/>
                <w:szCs w:val="18"/>
              </w:rPr>
              <w:t xml:space="preserve"> </w:t>
            </w:r>
            <w:r>
              <w:rPr>
                <w:spacing w:val="-3"/>
                <w:sz w:val="18"/>
                <w:szCs w:val="18"/>
              </w:rPr>
              <w:t>理，未及时清理，扣</w:t>
            </w:r>
            <w:r>
              <w:rPr>
                <w:spacing w:val="-34"/>
                <w:sz w:val="18"/>
                <w:szCs w:val="18"/>
              </w:rPr>
              <w:t xml:space="preserve"> </w:t>
            </w:r>
            <w:r>
              <w:rPr>
                <w:spacing w:val="-3"/>
                <w:sz w:val="18"/>
                <w:szCs w:val="18"/>
              </w:rPr>
              <w:t>2</w:t>
            </w:r>
            <w:r>
              <w:rPr>
                <w:spacing w:val="-34"/>
                <w:sz w:val="18"/>
                <w:szCs w:val="18"/>
              </w:rPr>
              <w:t xml:space="preserve"> </w:t>
            </w:r>
            <w:r>
              <w:rPr>
                <w:spacing w:val="-3"/>
                <w:sz w:val="18"/>
                <w:szCs w:val="18"/>
              </w:rPr>
              <w:t>分/次。</w:t>
            </w:r>
          </w:p>
        </w:tc>
        <w:tc>
          <w:tcPr>
            <w:tcW w:w="1418" w:type="dxa"/>
            <w:vMerge w:val="continue"/>
            <w:tcBorders>
              <w:top w:val="nil"/>
              <w:bottom w:val="nil"/>
            </w:tcBorders>
          </w:tcPr>
          <w:p w14:paraId="1BF985E0">
            <w:pPr>
              <w:rPr>
                <w:rFonts w:ascii="Arial"/>
              </w:rPr>
            </w:pPr>
          </w:p>
        </w:tc>
        <w:tc>
          <w:tcPr>
            <w:tcW w:w="995" w:type="dxa"/>
            <w:vMerge w:val="continue"/>
            <w:tcBorders>
              <w:top w:val="nil"/>
              <w:bottom w:val="nil"/>
            </w:tcBorders>
          </w:tcPr>
          <w:p w14:paraId="4E91928E">
            <w:pPr>
              <w:rPr>
                <w:rFonts w:ascii="Arial"/>
              </w:rPr>
            </w:pPr>
          </w:p>
        </w:tc>
      </w:tr>
      <w:tr w14:paraId="7CDC7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01" w:type="dxa"/>
            <w:vMerge w:val="continue"/>
            <w:tcBorders>
              <w:top w:val="nil"/>
              <w:bottom w:val="nil"/>
            </w:tcBorders>
          </w:tcPr>
          <w:p w14:paraId="1D50F3DA">
            <w:pPr>
              <w:rPr>
                <w:rFonts w:ascii="Arial"/>
              </w:rPr>
            </w:pPr>
          </w:p>
        </w:tc>
        <w:tc>
          <w:tcPr>
            <w:tcW w:w="722" w:type="dxa"/>
            <w:vMerge w:val="continue"/>
            <w:tcBorders>
              <w:top w:val="nil"/>
              <w:bottom w:val="nil"/>
            </w:tcBorders>
          </w:tcPr>
          <w:p w14:paraId="45A7AFF0">
            <w:pPr>
              <w:rPr>
                <w:rFonts w:ascii="Arial"/>
              </w:rPr>
            </w:pPr>
          </w:p>
        </w:tc>
        <w:tc>
          <w:tcPr>
            <w:tcW w:w="991" w:type="dxa"/>
            <w:vMerge w:val="continue"/>
            <w:tcBorders>
              <w:top w:val="nil"/>
              <w:bottom w:val="nil"/>
            </w:tcBorders>
          </w:tcPr>
          <w:p w14:paraId="4D155770">
            <w:pPr>
              <w:rPr>
                <w:rFonts w:ascii="Arial"/>
              </w:rPr>
            </w:pPr>
          </w:p>
        </w:tc>
        <w:tc>
          <w:tcPr>
            <w:tcW w:w="4534" w:type="dxa"/>
            <w:tcBorders>
              <w:bottom w:val="single" w:color="000000" w:sz="4" w:space="0"/>
            </w:tcBorders>
          </w:tcPr>
          <w:p w14:paraId="46C847F1">
            <w:pPr>
              <w:pStyle w:val="339"/>
              <w:spacing w:before="34" w:line="231" w:lineRule="auto"/>
              <w:ind w:left="110" w:right="193" w:firstLine="4"/>
              <w:rPr>
                <w:sz w:val="18"/>
                <w:szCs w:val="18"/>
              </w:rPr>
            </w:pPr>
            <w:r>
              <w:rPr>
                <w:spacing w:val="-1"/>
                <w:sz w:val="18"/>
                <w:szCs w:val="18"/>
              </w:rPr>
              <w:t>3、因施工差错造成设备设施出现故障影响交通通行，</w:t>
            </w:r>
            <w:r>
              <w:rPr>
                <w:spacing w:val="12"/>
                <w:sz w:val="18"/>
                <w:szCs w:val="18"/>
              </w:rPr>
              <w:t xml:space="preserve"> </w:t>
            </w:r>
            <w:r>
              <w:rPr>
                <w:spacing w:val="-2"/>
                <w:sz w:val="18"/>
                <w:szCs w:val="18"/>
              </w:rPr>
              <w:t>未造成后果，扣</w:t>
            </w:r>
            <w:r>
              <w:rPr>
                <w:spacing w:val="-14"/>
                <w:sz w:val="18"/>
                <w:szCs w:val="18"/>
              </w:rPr>
              <w:t xml:space="preserve"> </w:t>
            </w:r>
            <w:r>
              <w:rPr>
                <w:spacing w:val="-2"/>
                <w:sz w:val="18"/>
                <w:szCs w:val="18"/>
              </w:rPr>
              <w:t>1</w:t>
            </w:r>
            <w:r>
              <w:rPr>
                <w:spacing w:val="-34"/>
                <w:sz w:val="18"/>
                <w:szCs w:val="18"/>
              </w:rPr>
              <w:t xml:space="preserve"> </w:t>
            </w:r>
            <w:r>
              <w:rPr>
                <w:spacing w:val="-2"/>
                <w:sz w:val="18"/>
                <w:szCs w:val="18"/>
              </w:rPr>
              <w:t>分/次，造成不良后果的，根据严重</w:t>
            </w:r>
            <w:r>
              <w:rPr>
                <w:sz w:val="18"/>
                <w:szCs w:val="18"/>
              </w:rPr>
              <w:t xml:space="preserve"> </w:t>
            </w:r>
            <w:r>
              <w:rPr>
                <w:spacing w:val="-3"/>
                <w:sz w:val="18"/>
                <w:szCs w:val="18"/>
              </w:rPr>
              <w:t>程度，酌情扣</w:t>
            </w:r>
            <w:r>
              <w:rPr>
                <w:spacing w:val="-32"/>
                <w:sz w:val="18"/>
                <w:szCs w:val="18"/>
              </w:rPr>
              <w:t xml:space="preserve"> </w:t>
            </w:r>
            <w:r>
              <w:rPr>
                <w:spacing w:val="-3"/>
                <w:sz w:val="18"/>
                <w:szCs w:val="18"/>
              </w:rPr>
              <w:t>5-20</w:t>
            </w:r>
            <w:r>
              <w:rPr>
                <w:spacing w:val="-34"/>
                <w:sz w:val="18"/>
                <w:szCs w:val="18"/>
              </w:rPr>
              <w:t xml:space="preserve"> </w:t>
            </w:r>
            <w:r>
              <w:rPr>
                <w:spacing w:val="-3"/>
                <w:sz w:val="18"/>
                <w:szCs w:val="18"/>
              </w:rPr>
              <w:t>分/次。</w:t>
            </w:r>
          </w:p>
        </w:tc>
        <w:tc>
          <w:tcPr>
            <w:tcW w:w="1418" w:type="dxa"/>
            <w:vMerge w:val="continue"/>
            <w:tcBorders>
              <w:top w:val="nil"/>
              <w:bottom w:val="nil"/>
            </w:tcBorders>
          </w:tcPr>
          <w:p w14:paraId="0C7CC3BE">
            <w:pPr>
              <w:rPr>
                <w:rFonts w:ascii="Arial"/>
              </w:rPr>
            </w:pPr>
          </w:p>
        </w:tc>
        <w:tc>
          <w:tcPr>
            <w:tcW w:w="995" w:type="dxa"/>
            <w:vMerge w:val="continue"/>
            <w:tcBorders>
              <w:top w:val="nil"/>
              <w:bottom w:val="nil"/>
            </w:tcBorders>
          </w:tcPr>
          <w:p w14:paraId="296E05AC">
            <w:pPr>
              <w:rPr>
                <w:rFonts w:ascii="Arial"/>
              </w:rPr>
            </w:pPr>
          </w:p>
        </w:tc>
      </w:tr>
      <w:tr w14:paraId="5A018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01" w:type="dxa"/>
            <w:vMerge w:val="continue"/>
            <w:tcBorders>
              <w:top w:val="nil"/>
              <w:bottom w:val="nil"/>
            </w:tcBorders>
          </w:tcPr>
          <w:p w14:paraId="3044CB34">
            <w:pPr>
              <w:rPr>
                <w:rFonts w:ascii="Arial"/>
              </w:rPr>
            </w:pPr>
          </w:p>
        </w:tc>
        <w:tc>
          <w:tcPr>
            <w:tcW w:w="722" w:type="dxa"/>
            <w:vMerge w:val="continue"/>
            <w:tcBorders>
              <w:top w:val="nil"/>
              <w:bottom w:val="nil"/>
            </w:tcBorders>
          </w:tcPr>
          <w:p w14:paraId="5A346321">
            <w:pPr>
              <w:rPr>
                <w:rFonts w:ascii="Arial"/>
              </w:rPr>
            </w:pPr>
          </w:p>
        </w:tc>
        <w:tc>
          <w:tcPr>
            <w:tcW w:w="991" w:type="dxa"/>
            <w:vMerge w:val="continue"/>
            <w:tcBorders>
              <w:top w:val="nil"/>
              <w:bottom w:val="nil"/>
            </w:tcBorders>
          </w:tcPr>
          <w:p w14:paraId="26CBCFA4">
            <w:pPr>
              <w:rPr>
                <w:rFonts w:ascii="Arial"/>
              </w:rPr>
            </w:pPr>
          </w:p>
        </w:tc>
        <w:tc>
          <w:tcPr>
            <w:tcW w:w="4534" w:type="dxa"/>
            <w:tcBorders>
              <w:top w:val="single" w:color="000000" w:sz="4" w:space="0"/>
            </w:tcBorders>
          </w:tcPr>
          <w:p w14:paraId="73E99A92">
            <w:pPr>
              <w:pStyle w:val="339"/>
              <w:spacing w:before="23" w:line="228" w:lineRule="auto"/>
              <w:ind w:left="110" w:right="101"/>
              <w:rPr>
                <w:sz w:val="18"/>
                <w:szCs w:val="18"/>
              </w:rPr>
            </w:pPr>
            <w:r>
              <w:rPr>
                <w:spacing w:val="-1"/>
                <w:sz w:val="18"/>
                <w:szCs w:val="18"/>
              </w:rPr>
              <w:t>4、封道施工安全标志、标牌未齐全、不规范，如受到</w:t>
            </w:r>
            <w:r>
              <w:rPr>
                <w:spacing w:val="2"/>
                <w:sz w:val="18"/>
                <w:szCs w:val="18"/>
              </w:rPr>
              <w:t xml:space="preserve">  </w:t>
            </w:r>
            <w:r>
              <w:rPr>
                <w:spacing w:val="-1"/>
                <w:sz w:val="18"/>
                <w:szCs w:val="18"/>
              </w:rPr>
              <w:t>路政、交警及公司等相关部门指正，如经查实</w:t>
            </w:r>
            <w:r>
              <w:rPr>
                <w:spacing w:val="-2"/>
                <w:sz w:val="18"/>
                <w:szCs w:val="18"/>
              </w:rPr>
              <w:t>，扣</w:t>
            </w:r>
            <w:r>
              <w:rPr>
                <w:spacing w:val="-32"/>
                <w:sz w:val="18"/>
                <w:szCs w:val="18"/>
              </w:rPr>
              <w:t xml:space="preserve"> </w:t>
            </w:r>
            <w:r>
              <w:rPr>
                <w:spacing w:val="-2"/>
                <w:sz w:val="18"/>
                <w:szCs w:val="18"/>
              </w:rPr>
              <w:t>3</w:t>
            </w:r>
            <w:r>
              <w:rPr>
                <w:spacing w:val="-34"/>
                <w:sz w:val="18"/>
                <w:szCs w:val="18"/>
              </w:rPr>
              <w:t xml:space="preserve"> </w:t>
            </w:r>
            <w:r>
              <w:rPr>
                <w:spacing w:val="-2"/>
                <w:sz w:val="18"/>
                <w:szCs w:val="18"/>
              </w:rPr>
              <w:t>分</w:t>
            </w:r>
            <w:r>
              <w:rPr>
                <w:sz w:val="18"/>
                <w:szCs w:val="18"/>
              </w:rPr>
              <w:t xml:space="preserve"> </w:t>
            </w:r>
            <w:r>
              <w:rPr>
                <w:spacing w:val="-7"/>
                <w:sz w:val="18"/>
                <w:szCs w:val="18"/>
              </w:rPr>
              <w:t>/次。</w:t>
            </w:r>
          </w:p>
        </w:tc>
        <w:tc>
          <w:tcPr>
            <w:tcW w:w="1418" w:type="dxa"/>
            <w:vMerge w:val="continue"/>
            <w:tcBorders>
              <w:top w:val="nil"/>
              <w:bottom w:val="nil"/>
            </w:tcBorders>
          </w:tcPr>
          <w:p w14:paraId="63DBC4A1">
            <w:pPr>
              <w:rPr>
                <w:rFonts w:ascii="Arial"/>
              </w:rPr>
            </w:pPr>
          </w:p>
        </w:tc>
        <w:tc>
          <w:tcPr>
            <w:tcW w:w="995" w:type="dxa"/>
            <w:vMerge w:val="continue"/>
            <w:tcBorders>
              <w:top w:val="nil"/>
              <w:bottom w:val="nil"/>
            </w:tcBorders>
          </w:tcPr>
          <w:p w14:paraId="01133C6B">
            <w:pPr>
              <w:rPr>
                <w:rFonts w:ascii="Arial"/>
              </w:rPr>
            </w:pPr>
          </w:p>
        </w:tc>
      </w:tr>
      <w:tr w14:paraId="70B72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01" w:type="dxa"/>
            <w:vMerge w:val="continue"/>
            <w:tcBorders>
              <w:top w:val="nil"/>
              <w:bottom w:val="nil"/>
            </w:tcBorders>
          </w:tcPr>
          <w:p w14:paraId="0779B447">
            <w:pPr>
              <w:rPr>
                <w:rFonts w:ascii="Arial"/>
              </w:rPr>
            </w:pPr>
          </w:p>
        </w:tc>
        <w:tc>
          <w:tcPr>
            <w:tcW w:w="722" w:type="dxa"/>
            <w:vMerge w:val="continue"/>
            <w:tcBorders>
              <w:top w:val="nil"/>
              <w:bottom w:val="nil"/>
            </w:tcBorders>
          </w:tcPr>
          <w:p w14:paraId="6305B4D3">
            <w:pPr>
              <w:rPr>
                <w:rFonts w:ascii="Arial"/>
              </w:rPr>
            </w:pPr>
          </w:p>
        </w:tc>
        <w:tc>
          <w:tcPr>
            <w:tcW w:w="991" w:type="dxa"/>
            <w:vMerge w:val="continue"/>
            <w:tcBorders>
              <w:top w:val="nil"/>
              <w:bottom w:val="nil"/>
            </w:tcBorders>
          </w:tcPr>
          <w:p w14:paraId="6CF6E2DC">
            <w:pPr>
              <w:rPr>
                <w:rFonts w:ascii="Arial"/>
              </w:rPr>
            </w:pPr>
          </w:p>
        </w:tc>
        <w:tc>
          <w:tcPr>
            <w:tcW w:w="4534" w:type="dxa"/>
          </w:tcPr>
          <w:p w14:paraId="5669F474">
            <w:pPr>
              <w:pStyle w:val="339"/>
              <w:spacing w:before="28" w:line="220" w:lineRule="auto"/>
              <w:ind w:left="114"/>
              <w:rPr>
                <w:sz w:val="18"/>
                <w:szCs w:val="18"/>
              </w:rPr>
            </w:pPr>
            <w:r>
              <w:rPr>
                <w:spacing w:val="-2"/>
                <w:sz w:val="18"/>
                <w:szCs w:val="18"/>
              </w:rPr>
              <w:t>5、道路作业人员穿戴反光背心，登高作业系安全带、</w:t>
            </w:r>
          </w:p>
          <w:p w14:paraId="39D3DA96">
            <w:pPr>
              <w:pStyle w:val="339"/>
              <w:spacing w:before="19" w:line="222" w:lineRule="auto"/>
              <w:ind w:left="112" w:right="105" w:hanging="2"/>
              <w:rPr>
                <w:sz w:val="18"/>
                <w:szCs w:val="18"/>
              </w:rPr>
            </w:pPr>
            <w:r>
              <w:rPr>
                <w:spacing w:val="-1"/>
                <w:sz w:val="18"/>
                <w:szCs w:val="18"/>
              </w:rPr>
              <w:t>脚手架绑扎牢固、传递物件严禁抛掷等，如有违反则扣</w:t>
            </w:r>
            <w:r>
              <w:rPr>
                <w:spacing w:val="16"/>
                <w:sz w:val="18"/>
                <w:szCs w:val="18"/>
              </w:rPr>
              <w:t xml:space="preserve"> </w:t>
            </w:r>
            <w:r>
              <w:rPr>
                <w:spacing w:val="-7"/>
                <w:sz w:val="18"/>
                <w:szCs w:val="18"/>
              </w:rPr>
              <w:t>2</w:t>
            </w:r>
            <w:r>
              <w:rPr>
                <w:spacing w:val="-31"/>
                <w:sz w:val="18"/>
                <w:szCs w:val="18"/>
              </w:rPr>
              <w:t xml:space="preserve"> </w:t>
            </w:r>
            <w:r>
              <w:rPr>
                <w:spacing w:val="-7"/>
                <w:sz w:val="18"/>
                <w:szCs w:val="18"/>
              </w:rPr>
              <w:t>分/次。</w:t>
            </w:r>
          </w:p>
        </w:tc>
        <w:tc>
          <w:tcPr>
            <w:tcW w:w="1418" w:type="dxa"/>
            <w:vMerge w:val="continue"/>
            <w:tcBorders>
              <w:top w:val="nil"/>
              <w:bottom w:val="nil"/>
            </w:tcBorders>
          </w:tcPr>
          <w:p w14:paraId="0F757B2C">
            <w:pPr>
              <w:rPr>
                <w:rFonts w:ascii="Arial"/>
              </w:rPr>
            </w:pPr>
          </w:p>
        </w:tc>
        <w:tc>
          <w:tcPr>
            <w:tcW w:w="995" w:type="dxa"/>
            <w:vMerge w:val="continue"/>
            <w:tcBorders>
              <w:top w:val="nil"/>
              <w:bottom w:val="nil"/>
            </w:tcBorders>
          </w:tcPr>
          <w:p w14:paraId="2902EFD2">
            <w:pPr>
              <w:rPr>
                <w:rFonts w:ascii="Arial"/>
              </w:rPr>
            </w:pPr>
          </w:p>
        </w:tc>
      </w:tr>
      <w:tr w14:paraId="5E22A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01" w:type="dxa"/>
            <w:vMerge w:val="continue"/>
            <w:tcBorders>
              <w:top w:val="nil"/>
              <w:bottom w:val="nil"/>
            </w:tcBorders>
          </w:tcPr>
          <w:p w14:paraId="3D0F950C">
            <w:pPr>
              <w:rPr>
                <w:rFonts w:ascii="Arial"/>
              </w:rPr>
            </w:pPr>
          </w:p>
        </w:tc>
        <w:tc>
          <w:tcPr>
            <w:tcW w:w="722" w:type="dxa"/>
            <w:vMerge w:val="continue"/>
            <w:tcBorders>
              <w:top w:val="nil"/>
              <w:bottom w:val="nil"/>
            </w:tcBorders>
          </w:tcPr>
          <w:p w14:paraId="19D5D331">
            <w:pPr>
              <w:rPr>
                <w:rFonts w:ascii="Arial"/>
              </w:rPr>
            </w:pPr>
          </w:p>
        </w:tc>
        <w:tc>
          <w:tcPr>
            <w:tcW w:w="991" w:type="dxa"/>
            <w:vMerge w:val="continue"/>
            <w:tcBorders>
              <w:top w:val="nil"/>
              <w:bottom w:val="nil"/>
            </w:tcBorders>
          </w:tcPr>
          <w:p w14:paraId="3B13AC82">
            <w:pPr>
              <w:rPr>
                <w:rFonts w:ascii="Arial"/>
              </w:rPr>
            </w:pPr>
          </w:p>
        </w:tc>
        <w:tc>
          <w:tcPr>
            <w:tcW w:w="4534" w:type="dxa"/>
          </w:tcPr>
          <w:p w14:paraId="7CCDC96B">
            <w:pPr>
              <w:pStyle w:val="339"/>
              <w:spacing w:before="38" w:line="214" w:lineRule="auto"/>
              <w:ind w:left="112"/>
              <w:rPr>
                <w:sz w:val="18"/>
                <w:szCs w:val="18"/>
              </w:rPr>
            </w:pPr>
            <w:r>
              <w:rPr>
                <w:spacing w:val="-2"/>
                <w:sz w:val="18"/>
                <w:szCs w:val="18"/>
              </w:rPr>
              <w:t>6、因自身施工组织不善引起堵车，扣</w:t>
            </w:r>
            <w:r>
              <w:rPr>
                <w:spacing w:val="-30"/>
                <w:sz w:val="18"/>
                <w:szCs w:val="18"/>
              </w:rPr>
              <w:t xml:space="preserve"> </w:t>
            </w:r>
            <w:r>
              <w:rPr>
                <w:spacing w:val="-2"/>
                <w:sz w:val="18"/>
                <w:szCs w:val="18"/>
              </w:rPr>
              <w:t>5</w:t>
            </w:r>
            <w:r>
              <w:rPr>
                <w:spacing w:val="-34"/>
                <w:sz w:val="18"/>
                <w:szCs w:val="18"/>
              </w:rPr>
              <w:t xml:space="preserve"> </w:t>
            </w:r>
            <w:r>
              <w:rPr>
                <w:spacing w:val="-2"/>
                <w:sz w:val="18"/>
                <w:szCs w:val="18"/>
              </w:rPr>
              <w:t>分/次。</w:t>
            </w:r>
          </w:p>
        </w:tc>
        <w:tc>
          <w:tcPr>
            <w:tcW w:w="1418" w:type="dxa"/>
            <w:vMerge w:val="continue"/>
            <w:tcBorders>
              <w:top w:val="nil"/>
              <w:bottom w:val="nil"/>
            </w:tcBorders>
          </w:tcPr>
          <w:p w14:paraId="7DB51809">
            <w:pPr>
              <w:rPr>
                <w:rFonts w:ascii="Arial"/>
              </w:rPr>
            </w:pPr>
          </w:p>
        </w:tc>
        <w:tc>
          <w:tcPr>
            <w:tcW w:w="995" w:type="dxa"/>
            <w:vMerge w:val="continue"/>
            <w:tcBorders>
              <w:top w:val="nil"/>
              <w:bottom w:val="nil"/>
            </w:tcBorders>
          </w:tcPr>
          <w:p w14:paraId="27680F60">
            <w:pPr>
              <w:rPr>
                <w:rFonts w:ascii="Arial"/>
              </w:rPr>
            </w:pPr>
          </w:p>
        </w:tc>
      </w:tr>
      <w:tr w14:paraId="66D71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01" w:type="dxa"/>
            <w:vMerge w:val="continue"/>
            <w:tcBorders>
              <w:top w:val="nil"/>
            </w:tcBorders>
          </w:tcPr>
          <w:p w14:paraId="7206E4CF">
            <w:pPr>
              <w:rPr>
                <w:rFonts w:ascii="Arial"/>
              </w:rPr>
            </w:pPr>
          </w:p>
        </w:tc>
        <w:tc>
          <w:tcPr>
            <w:tcW w:w="722" w:type="dxa"/>
            <w:vMerge w:val="continue"/>
            <w:tcBorders>
              <w:top w:val="nil"/>
            </w:tcBorders>
          </w:tcPr>
          <w:p w14:paraId="0D84BF2E">
            <w:pPr>
              <w:rPr>
                <w:rFonts w:ascii="Arial"/>
              </w:rPr>
            </w:pPr>
          </w:p>
        </w:tc>
        <w:tc>
          <w:tcPr>
            <w:tcW w:w="991" w:type="dxa"/>
            <w:vMerge w:val="continue"/>
            <w:tcBorders>
              <w:top w:val="nil"/>
            </w:tcBorders>
          </w:tcPr>
          <w:p w14:paraId="38A7036E">
            <w:pPr>
              <w:rPr>
                <w:rFonts w:ascii="Arial"/>
              </w:rPr>
            </w:pPr>
          </w:p>
        </w:tc>
        <w:tc>
          <w:tcPr>
            <w:tcW w:w="4534" w:type="dxa"/>
          </w:tcPr>
          <w:p w14:paraId="7A3B63E1">
            <w:pPr>
              <w:pStyle w:val="339"/>
              <w:spacing w:before="29" w:line="221" w:lineRule="auto"/>
              <w:ind w:left="117" w:right="201" w:hanging="2"/>
              <w:rPr>
                <w:sz w:val="18"/>
                <w:szCs w:val="18"/>
              </w:rPr>
            </w:pPr>
            <w:r>
              <w:rPr>
                <w:spacing w:val="-1"/>
                <w:sz w:val="18"/>
                <w:szCs w:val="18"/>
              </w:rPr>
              <w:t>7、未按照高速公路施工规范作业，造成物产损坏或人</w:t>
            </w:r>
            <w:r>
              <w:rPr>
                <w:spacing w:val="5"/>
                <w:sz w:val="18"/>
                <w:szCs w:val="18"/>
              </w:rPr>
              <w:t xml:space="preserve"> </w:t>
            </w:r>
            <w:r>
              <w:rPr>
                <w:spacing w:val="-2"/>
                <w:sz w:val="18"/>
                <w:szCs w:val="18"/>
              </w:rPr>
              <w:t>员伤害事故的，业主视事情严重情况决定考核扣分。</w:t>
            </w:r>
          </w:p>
        </w:tc>
        <w:tc>
          <w:tcPr>
            <w:tcW w:w="1418" w:type="dxa"/>
            <w:vMerge w:val="continue"/>
            <w:tcBorders>
              <w:top w:val="nil"/>
            </w:tcBorders>
          </w:tcPr>
          <w:p w14:paraId="5373B589">
            <w:pPr>
              <w:rPr>
                <w:rFonts w:ascii="Arial"/>
              </w:rPr>
            </w:pPr>
          </w:p>
        </w:tc>
        <w:tc>
          <w:tcPr>
            <w:tcW w:w="995" w:type="dxa"/>
            <w:vMerge w:val="continue"/>
            <w:tcBorders>
              <w:top w:val="nil"/>
            </w:tcBorders>
          </w:tcPr>
          <w:p w14:paraId="190819EB">
            <w:pPr>
              <w:rPr>
                <w:rFonts w:ascii="Arial"/>
              </w:rPr>
            </w:pPr>
          </w:p>
        </w:tc>
      </w:tr>
      <w:tr w14:paraId="4A7DC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701" w:type="dxa"/>
            <w:vMerge w:val="restart"/>
            <w:tcBorders>
              <w:bottom w:val="nil"/>
            </w:tcBorders>
          </w:tcPr>
          <w:p w14:paraId="6540EA0A">
            <w:pPr>
              <w:spacing w:line="242" w:lineRule="auto"/>
              <w:rPr>
                <w:rFonts w:ascii="Arial"/>
              </w:rPr>
            </w:pPr>
          </w:p>
          <w:p w14:paraId="065F7121">
            <w:pPr>
              <w:spacing w:line="242" w:lineRule="auto"/>
              <w:rPr>
                <w:rFonts w:ascii="Arial"/>
              </w:rPr>
            </w:pPr>
          </w:p>
          <w:p w14:paraId="1683BD42">
            <w:pPr>
              <w:spacing w:line="242" w:lineRule="auto"/>
              <w:rPr>
                <w:rFonts w:ascii="Arial"/>
              </w:rPr>
            </w:pPr>
          </w:p>
          <w:p w14:paraId="57003E47">
            <w:pPr>
              <w:spacing w:line="242" w:lineRule="auto"/>
              <w:rPr>
                <w:rFonts w:ascii="Arial"/>
              </w:rPr>
            </w:pPr>
          </w:p>
          <w:p w14:paraId="3F621790">
            <w:pPr>
              <w:spacing w:line="243" w:lineRule="auto"/>
              <w:rPr>
                <w:rFonts w:ascii="Arial"/>
              </w:rPr>
            </w:pPr>
          </w:p>
          <w:p w14:paraId="312ECD20">
            <w:pPr>
              <w:spacing w:line="243" w:lineRule="auto"/>
              <w:rPr>
                <w:rFonts w:ascii="Arial"/>
              </w:rPr>
            </w:pPr>
          </w:p>
          <w:p w14:paraId="6B8007FC">
            <w:pPr>
              <w:spacing w:line="243" w:lineRule="auto"/>
              <w:rPr>
                <w:rFonts w:ascii="Arial"/>
              </w:rPr>
            </w:pPr>
          </w:p>
          <w:p w14:paraId="29BF33B4">
            <w:pPr>
              <w:pStyle w:val="339"/>
              <w:spacing w:before="58" w:line="181" w:lineRule="auto"/>
              <w:ind w:left="306"/>
              <w:rPr>
                <w:sz w:val="18"/>
                <w:szCs w:val="18"/>
              </w:rPr>
            </w:pPr>
            <w:r>
              <w:rPr>
                <w:sz w:val="18"/>
                <w:szCs w:val="18"/>
              </w:rPr>
              <w:t>4</w:t>
            </w:r>
          </w:p>
        </w:tc>
        <w:tc>
          <w:tcPr>
            <w:tcW w:w="722" w:type="dxa"/>
            <w:vMerge w:val="restart"/>
            <w:tcBorders>
              <w:bottom w:val="nil"/>
            </w:tcBorders>
          </w:tcPr>
          <w:p w14:paraId="272F3C43">
            <w:pPr>
              <w:spacing w:line="287" w:lineRule="auto"/>
              <w:rPr>
                <w:rFonts w:ascii="Arial"/>
              </w:rPr>
            </w:pPr>
          </w:p>
          <w:p w14:paraId="5A278ED6">
            <w:pPr>
              <w:spacing w:line="287" w:lineRule="auto"/>
              <w:rPr>
                <w:rFonts w:ascii="Arial"/>
              </w:rPr>
            </w:pPr>
          </w:p>
          <w:p w14:paraId="3A9F7FEF">
            <w:pPr>
              <w:spacing w:line="287" w:lineRule="auto"/>
              <w:rPr>
                <w:rFonts w:ascii="Arial"/>
              </w:rPr>
            </w:pPr>
          </w:p>
          <w:p w14:paraId="13FBC5A6">
            <w:pPr>
              <w:spacing w:line="287" w:lineRule="auto"/>
              <w:rPr>
                <w:rFonts w:ascii="Arial"/>
              </w:rPr>
            </w:pPr>
          </w:p>
          <w:p w14:paraId="3CDA3245">
            <w:pPr>
              <w:spacing w:line="288" w:lineRule="auto"/>
              <w:rPr>
                <w:rFonts w:ascii="Arial"/>
              </w:rPr>
            </w:pPr>
          </w:p>
          <w:p w14:paraId="19C7470D">
            <w:pPr>
              <w:pStyle w:val="339"/>
              <w:spacing w:before="59" w:line="232" w:lineRule="auto"/>
              <w:ind w:left="182" w:right="184" w:hanging="1"/>
              <w:jc w:val="both"/>
              <w:rPr>
                <w:sz w:val="18"/>
                <w:szCs w:val="18"/>
              </w:rPr>
            </w:pPr>
            <w:r>
              <w:rPr>
                <w:spacing w:val="-5"/>
                <w:sz w:val="18"/>
                <w:szCs w:val="18"/>
              </w:rPr>
              <w:t>投诉</w:t>
            </w:r>
            <w:r>
              <w:rPr>
                <w:sz w:val="18"/>
                <w:szCs w:val="18"/>
              </w:rPr>
              <w:t xml:space="preserve"> </w:t>
            </w:r>
            <w:r>
              <w:rPr>
                <w:spacing w:val="-6"/>
                <w:sz w:val="18"/>
                <w:szCs w:val="18"/>
              </w:rPr>
              <w:t>与奖</w:t>
            </w:r>
            <w:r>
              <w:rPr>
                <w:sz w:val="18"/>
                <w:szCs w:val="18"/>
              </w:rPr>
              <w:t xml:space="preserve"> </w:t>
            </w:r>
            <w:r>
              <w:rPr>
                <w:spacing w:val="24"/>
                <w:w w:val="131"/>
                <w:sz w:val="18"/>
                <w:szCs w:val="18"/>
              </w:rPr>
              <w:t>励</w:t>
            </w:r>
          </w:p>
        </w:tc>
        <w:tc>
          <w:tcPr>
            <w:tcW w:w="991" w:type="dxa"/>
            <w:vMerge w:val="restart"/>
            <w:tcBorders>
              <w:bottom w:val="nil"/>
            </w:tcBorders>
          </w:tcPr>
          <w:p w14:paraId="0CFD8A3A">
            <w:pPr>
              <w:spacing w:line="356" w:lineRule="auto"/>
              <w:rPr>
                <w:rFonts w:ascii="Arial"/>
              </w:rPr>
            </w:pPr>
          </w:p>
          <w:p w14:paraId="75AC9800">
            <w:pPr>
              <w:pStyle w:val="339"/>
              <w:spacing w:before="59" w:line="220" w:lineRule="auto"/>
              <w:ind w:left="139"/>
              <w:rPr>
                <w:sz w:val="18"/>
                <w:szCs w:val="18"/>
              </w:rPr>
            </w:pPr>
            <w:r>
              <w:rPr>
                <w:spacing w:val="-2"/>
                <w:sz w:val="18"/>
                <w:szCs w:val="18"/>
              </w:rPr>
              <w:t>投诉状况</w:t>
            </w:r>
          </w:p>
        </w:tc>
        <w:tc>
          <w:tcPr>
            <w:tcW w:w="4534" w:type="dxa"/>
          </w:tcPr>
          <w:p w14:paraId="79503C65">
            <w:pPr>
              <w:pStyle w:val="339"/>
              <w:spacing w:before="34" w:line="208" w:lineRule="auto"/>
              <w:ind w:left="124"/>
              <w:rPr>
                <w:sz w:val="18"/>
                <w:szCs w:val="18"/>
              </w:rPr>
            </w:pPr>
            <w:r>
              <w:rPr>
                <w:spacing w:val="-3"/>
                <w:sz w:val="18"/>
                <w:szCs w:val="18"/>
              </w:rPr>
              <w:t>1、因施工或管理不善引起投诉的，扣</w:t>
            </w:r>
            <w:r>
              <w:rPr>
                <w:spacing w:val="-18"/>
                <w:sz w:val="18"/>
                <w:szCs w:val="18"/>
              </w:rPr>
              <w:t xml:space="preserve"> </w:t>
            </w:r>
            <w:r>
              <w:rPr>
                <w:spacing w:val="-3"/>
                <w:sz w:val="18"/>
                <w:szCs w:val="18"/>
              </w:rPr>
              <w:t>3</w:t>
            </w:r>
            <w:r>
              <w:rPr>
                <w:spacing w:val="-34"/>
                <w:sz w:val="18"/>
                <w:szCs w:val="18"/>
              </w:rPr>
              <w:t xml:space="preserve"> </w:t>
            </w:r>
            <w:r>
              <w:rPr>
                <w:spacing w:val="-3"/>
                <w:sz w:val="18"/>
                <w:szCs w:val="18"/>
              </w:rPr>
              <w:t>分/</w:t>
            </w:r>
            <w:r>
              <w:rPr>
                <w:spacing w:val="-4"/>
                <w:sz w:val="18"/>
                <w:szCs w:val="18"/>
              </w:rPr>
              <w:t>次。</w:t>
            </w:r>
          </w:p>
        </w:tc>
        <w:tc>
          <w:tcPr>
            <w:tcW w:w="1418" w:type="dxa"/>
            <w:vMerge w:val="restart"/>
            <w:tcBorders>
              <w:bottom w:val="nil"/>
            </w:tcBorders>
          </w:tcPr>
          <w:p w14:paraId="1629ED66">
            <w:pPr>
              <w:rPr>
                <w:rFonts w:ascii="Arial"/>
              </w:rPr>
            </w:pPr>
          </w:p>
        </w:tc>
        <w:tc>
          <w:tcPr>
            <w:tcW w:w="995" w:type="dxa"/>
            <w:vMerge w:val="restart"/>
            <w:tcBorders>
              <w:bottom w:val="nil"/>
            </w:tcBorders>
          </w:tcPr>
          <w:p w14:paraId="61851B86">
            <w:pPr>
              <w:rPr>
                <w:rFonts w:ascii="Arial"/>
              </w:rPr>
            </w:pPr>
          </w:p>
        </w:tc>
      </w:tr>
      <w:tr w14:paraId="1E37D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1" w:type="dxa"/>
            <w:vMerge w:val="continue"/>
            <w:tcBorders>
              <w:top w:val="nil"/>
              <w:bottom w:val="nil"/>
            </w:tcBorders>
          </w:tcPr>
          <w:p w14:paraId="56B0F3E8">
            <w:pPr>
              <w:rPr>
                <w:rFonts w:ascii="Arial"/>
              </w:rPr>
            </w:pPr>
          </w:p>
        </w:tc>
        <w:tc>
          <w:tcPr>
            <w:tcW w:w="722" w:type="dxa"/>
            <w:vMerge w:val="continue"/>
            <w:tcBorders>
              <w:top w:val="nil"/>
              <w:bottom w:val="nil"/>
            </w:tcBorders>
          </w:tcPr>
          <w:p w14:paraId="5D89F77A">
            <w:pPr>
              <w:rPr>
                <w:rFonts w:ascii="Arial"/>
              </w:rPr>
            </w:pPr>
          </w:p>
        </w:tc>
        <w:tc>
          <w:tcPr>
            <w:tcW w:w="991" w:type="dxa"/>
            <w:vMerge w:val="continue"/>
            <w:tcBorders>
              <w:top w:val="nil"/>
              <w:bottom w:val="nil"/>
            </w:tcBorders>
          </w:tcPr>
          <w:p w14:paraId="10E7E840">
            <w:pPr>
              <w:rPr>
                <w:rFonts w:ascii="Arial"/>
              </w:rPr>
            </w:pPr>
          </w:p>
        </w:tc>
        <w:tc>
          <w:tcPr>
            <w:tcW w:w="4534" w:type="dxa"/>
          </w:tcPr>
          <w:p w14:paraId="2BC5AC6D">
            <w:pPr>
              <w:pStyle w:val="339"/>
              <w:spacing w:before="29" w:line="222" w:lineRule="auto"/>
              <w:ind w:left="112" w:right="146"/>
              <w:rPr>
                <w:sz w:val="18"/>
                <w:szCs w:val="18"/>
              </w:rPr>
            </w:pPr>
            <w:r>
              <w:rPr>
                <w:spacing w:val="-2"/>
                <w:sz w:val="18"/>
                <w:szCs w:val="18"/>
              </w:rPr>
              <w:t>2、受到上级批评，市级部门扣</w:t>
            </w:r>
            <w:r>
              <w:rPr>
                <w:spacing w:val="-18"/>
                <w:sz w:val="18"/>
                <w:szCs w:val="18"/>
              </w:rPr>
              <w:t xml:space="preserve"> </w:t>
            </w:r>
            <w:r>
              <w:rPr>
                <w:spacing w:val="-2"/>
                <w:sz w:val="18"/>
                <w:szCs w:val="18"/>
              </w:rPr>
              <w:t>3</w:t>
            </w:r>
            <w:r>
              <w:rPr>
                <w:spacing w:val="-34"/>
                <w:sz w:val="18"/>
                <w:szCs w:val="18"/>
              </w:rPr>
              <w:t xml:space="preserve"> </w:t>
            </w:r>
            <w:r>
              <w:rPr>
                <w:spacing w:val="-2"/>
                <w:sz w:val="18"/>
                <w:szCs w:val="18"/>
              </w:rPr>
              <w:t>分/次，</w:t>
            </w:r>
            <w:r>
              <w:rPr>
                <w:spacing w:val="-3"/>
                <w:sz w:val="18"/>
                <w:szCs w:val="18"/>
              </w:rPr>
              <w:t>省级部门扣</w:t>
            </w:r>
            <w:r>
              <w:rPr>
                <w:spacing w:val="-34"/>
                <w:sz w:val="18"/>
                <w:szCs w:val="18"/>
              </w:rPr>
              <w:t xml:space="preserve"> </w:t>
            </w:r>
            <w:r>
              <w:rPr>
                <w:spacing w:val="-3"/>
                <w:sz w:val="18"/>
                <w:szCs w:val="18"/>
              </w:rPr>
              <w:t>5</w:t>
            </w:r>
            <w:r>
              <w:rPr>
                <w:sz w:val="18"/>
                <w:szCs w:val="18"/>
              </w:rPr>
              <w:t xml:space="preserve"> </w:t>
            </w:r>
            <w:r>
              <w:rPr>
                <w:spacing w:val="-6"/>
                <w:sz w:val="18"/>
                <w:szCs w:val="18"/>
              </w:rPr>
              <w:t>分/次。</w:t>
            </w:r>
          </w:p>
        </w:tc>
        <w:tc>
          <w:tcPr>
            <w:tcW w:w="1418" w:type="dxa"/>
            <w:vMerge w:val="continue"/>
            <w:tcBorders>
              <w:top w:val="nil"/>
              <w:bottom w:val="nil"/>
            </w:tcBorders>
          </w:tcPr>
          <w:p w14:paraId="5974AEE2">
            <w:pPr>
              <w:rPr>
                <w:rFonts w:ascii="Arial"/>
              </w:rPr>
            </w:pPr>
          </w:p>
        </w:tc>
        <w:tc>
          <w:tcPr>
            <w:tcW w:w="995" w:type="dxa"/>
            <w:vMerge w:val="continue"/>
            <w:tcBorders>
              <w:top w:val="nil"/>
              <w:bottom w:val="nil"/>
            </w:tcBorders>
          </w:tcPr>
          <w:p w14:paraId="6C65F368">
            <w:pPr>
              <w:rPr>
                <w:rFonts w:ascii="Arial"/>
              </w:rPr>
            </w:pPr>
          </w:p>
        </w:tc>
      </w:tr>
      <w:tr w14:paraId="73905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01" w:type="dxa"/>
            <w:vMerge w:val="continue"/>
            <w:tcBorders>
              <w:top w:val="nil"/>
              <w:bottom w:val="nil"/>
            </w:tcBorders>
          </w:tcPr>
          <w:p w14:paraId="606A7E30">
            <w:pPr>
              <w:rPr>
                <w:rFonts w:ascii="Arial"/>
              </w:rPr>
            </w:pPr>
          </w:p>
        </w:tc>
        <w:tc>
          <w:tcPr>
            <w:tcW w:w="722" w:type="dxa"/>
            <w:vMerge w:val="continue"/>
            <w:tcBorders>
              <w:top w:val="nil"/>
              <w:bottom w:val="nil"/>
            </w:tcBorders>
          </w:tcPr>
          <w:p w14:paraId="7077E7FA">
            <w:pPr>
              <w:rPr>
                <w:rFonts w:ascii="Arial"/>
              </w:rPr>
            </w:pPr>
          </w:p>
        </w:tc>
        <w:tc>
          <w:tcPr>
            <w:tcW w:w="991" w:type="dxa"/>
            <w:vMerge w:val="continue"/>
            <w:tcBorders>
              <w:top w:val="nil"/>
            </w:tcBorders>
          </w:tcPr>
          <w:p w14:paraId="430B5B47">
            <w:pPr>
              <w:rPr>
                <w:rFonts w:ascii="Arial"/>
              </w:rPr>
            </w:pPr>
          </w:p>
        </w:tc>
        <w:tc>
          <w:tcPr>
            <w:tcW w:w="4534" w:type="dxa"/>
          </w:tcPr>
          <w:p w14:paraId="25B99D91">
            <w:pPr>
              <w:pStyle w:val="339"/>
              <w:spacing w:before="53" w:line="220" w:lineRule="auto"/>
              <w:ind w:left="114"/>
              <w:rPr>
                <w:sz w:val="18"/>
                <w:szCs w:val="18"/>
              </w:rPr>
            </w:pPr>
            <w:r>
              <w:rPr>
                <w:spacing w:val="-4"/>
                <w:sz w:val="18"/>
                <w:szCs w:val="18"/>
              </w:rPr>
              <w:t>3、业主下发整改通知单，扣 2</w:t>
            </w:r>
            <w:r>
              <w:rPr>
                <w:spacing w:val="-36"/>
                <w:sz w:val="18"/>
                <w:szCs w:val="18"/>
              </w:rPr>
              <w:t xml:space="preserve"> </w:t>
            </w:r>
            <w:r>
              <w:rPr>
                <w:spacing w:val="-4"/>
                <w:sz w:val="18"/>
                <w:szCs w:val="18"/>
              </w:rPr>
              <w:t>分/份。</w:t>
            </w:r>
          </w:p>
        </w:tc>
        <w:tc>
          <w:tcPr>
            <w:tcW w:w="1418" w:type="dxa"/>
            <w:vMerge w:val="continue"/>
            <w:tcBorders>
              <w:top w:val="nil"/>
            </w:tcBorders>
          </w:tcPr>
          <w:p w14:paraId="5CDE974B">
            <w:pPr>
              <w:rPr>
                <w:rFonts w:ascii="Arial"/>
              </w:rPr>
            </w:pPr>
          </w:p>
        </w:tc>
        <w:tc>
          <w:tcPr>
            <w:tcW w:w="995" w:type="dxa"/>
            <w:vMerge w:val="continue"/>
            <w:tcBorders>
              <w:top w:val="nil"/>
            </w:tcBorders>
          </w:tcPr>
          <w:p w14:paraId="625F0D5B">
            <w:pPr>
              <w:rPr>
                <w:rFonts w:ascii="Arial"/>
              </w:rPr>
            </w:pPr>
          </w:p>
        </w:tc>
      </w:tr>
      <w:tr w14:paraId="158D8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01" w:type="dxa"/>
            <w:vMerge w:val="continue"/>
            <w:tcBorders>
              <w:top w:val="nil"/>
              <w:bottom w:val="nil"/>
            </w:tcBorders>
          </w:tcPr>
          <w:p w14:paraId="03A36E5A">
            <w:pPr>
              <w:rPr>
                <w:rFonts w:ascii="Arial"/>
              </w:rPr>
            </w:pPr>
          </w:p>
        </w:tc>
        <w:tc>
          <w:tcPr>
            <w:tcW w:w="722" w:type="dxa"/>
            <w:vMerge w:val="continue"/>
            <w:tcBorders>
              <w:top w:val="nil"/>
              <w:bottom w:val="nil"/>
            </w:tcBorders>
          </w:tcPr>
          <w:p w14:paraId="2FCD2FEA">
            <w:pPr>
              <w:rPr>
                <w:rFonts w:ascii="Arial"/>
              </w:rPr>
            </w:pPr>
          </w:p>
        </w:tc>
        <w:tc>
          <w:tcPr>
            <w:tcW w:w="991" w:type="dxa"/>
            <w:vMerge w:val="restart"/>
            <w:tcBorders>
              <w:bottom w:val="nil"/>
            </w:tcBorders>
          </w:tcPr>
          <w:p w14:paraId="6DB3E6D7">
            <w:pPr>
              <w:spacing w:line="289" w:lineRule="auto"/>
              <w:rPr>
                <w:rFonts w:ascii="Arial"/>
              </w:rPr>
            </w:pPr>
          </w:p>
          <w:p w14:paraId="29ABC735">
            <w:pPr>
              <w:spacing w:line="290" w:lineRule="auto"/>
              <w:rPr>
                <w:rFonts w:ascii="Arial"/>
              </w:rPr>
            </w:pPr>
          </w:p>
          <w:p w14:paraId="3E0614E5">
            <w:pPr>
              <w:spacing w:line="290" w:lineRule="auto"/>
              <w:rPr>
                <w:rFonts w:ascii="Arial"/>
              </w:rPr>
            </w:pPr>
          </w:p>
          <w:p w14:paraId="0A5C6A77">
            <w:pPr>
              <w:spacing w:line="290" w:lineRule="auto"/>
              <w:rPr>
                <w:rFonts w:ascii="Arial"/>
              </w:rPr>
            </w:pPr>
          </w:p>
          <w:p w14:paraId="166CFF78">
            <w:pPr>
              <w:pStyle w:val="339"/>
              <w:spacing w:before="59" w:line="220" w:lineRule="auto"/>
              <w:ind w:left="137"/>
              <w:rPr>
                <w:sz w:val="18"/>
                <w:szCs w:val="18"/>
              </w:rPr>
            </w:pPr>
            <w:r>
              <w:rPr>
                <w:spacing w:val="-2"/>
                <w:sz w:val="18"/>
                <w:szCs w:val="18"/>
              </w:rPr>
              <w:t>加分奖励</w:t>
            </w:r>
          </w:p>
        </w:tc>
        <w:tc>
          <w:tcPr>
            <w:tcW w:w="4534" w:type="dxa"/>
          </w:tcPr>
          <w:p w14:paraId="6E9166D2">
            <w:pPr>
              <w:pStyle w:val="339"/>
              <w:spacing w:before="32" w:line="221" w:lineRule="auto"/>
              <w:ind w:left="123" w:right="202"/>
              <w:rPr>
                <w:sz w:val="18"/>
                <w:szCs w:val="18"/>
              </w:rPr>
            </w:pPr>
            <w:r>
              <w:rPr>
                <w:spacing w:val="-1"/>
                <w:sz w:val="18"/>
                <w:szCs w:val="18"/>
              </w:rPr>
              <w:t>1、协助处理合同范围外系统设备维护检修</w:t>
            </w:r>
            <w:r>
              <w:rPr>
                <w:spacing w:val="-2"/>
                <w:sz w:val="18"/>
                <w:szCs w:val="18"/>
              </w:rPr>
              <w:t>的，根据实</w:t>
            </w:r>
            <w:r>
              <w:rPr>
                <w:sz w:val="18"/>
                <w:szCs w:val="18"/>
              </w:rPr>
              <w:t xml:space="preserve"> </w:t>
            </w:r>
            <w:r>
              <w:rPr>
                <w:spacing w:val="-6"/>
                <w:sz w:val="18"/>
                <w:szCs w:val="18"/>
              </w:rPr>
              <w:t>际情况加</w:t>
            </w:r>
            <w:r>
              <w:rPr>
                <w:spacing w:val="-29"/>
                <w:sz w:val="18"/>
                <w:szCs w:val="18"/>
              </w:rPr>
              <w:t xml:space="preserve"> </w:t>
            </w:r>
            <w:r>
              <w:rPr>
                <w:rFonts w:hint="eastAsia"/>
                <w:spacing w:val="-6"/>
                <w:sz w:val="18"/>
                <w:szCs w:val="18"/>
              </w:rPr>
              <w:t>1</w:t>
            </w:r>
            <w:r>
              <w:rPr>
                <w:spacing w:val="-6"/>
                <w:sz w:val="18"/>
                <w:szCs w:val="18"/>
              </w:rPr>
              <w:t>-</w:t>
            </w:r>
            <w:r>
              <w:rPr>
                <w:rFonts w:hint="eastAsia"/>
                <w:spacing w:val="-6"/>
                <w:sz w:val="18"/>
                <w:szCs w:val="18"/>
              </w:rPr>
              <w:t>3</w:t>
            </w:r>
            <w:r>
              <w:rPr>
                <w:spacing w:val="-6"/>
                <w:sz w:val="18"/>
                <w:szCs w:val="18"/>
              </w:rPr>
              <w:t>分。</w:t>
            </w:r>
          </w:p>
        </w:tc>
        <w:tc>
          <w:tcPr>
            <w:tcW w:w="1418" w:type="dxa"/>
            <w:vMerge w:val="restart"/>
            <w:tcBorders>
              <w:bottom w:val="nil"/>
            </w:tcBorders>
          </w:tcPr>
          <w:p w14:paraId="5B228A63">
            <w:pPr>
              <w:rPr>
                <w:rFonts w:ascii="Arial"/>
              </w:rPr>
            </w:pPr>
          </w:p>
        </w:tc>
        <w:tc>
          <w:tcPr>
            <w:tcW w:w="995" w:type="dxa"/>
            <w:vMerge w:val="restart"/>
            <w:tcBorders>
              <w:bottom w:val="nil"/>
            </w:tcBorders>
          </w:tcPr>
          <w:p w14:paraId="5723DACB">
            <w:pPr>
              <w:rPr>
                <w:rFonts w:ascii="Arial"/>
              </w:rPr>
            </w:pPr>
          </w:p>
        </w:tc>
      </w:tr>
      <w:tr w14:paraId="42C13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01" w:type="dxa"/>
            <w:vMerge w:val="continue"/>
            <w:tcBorders>
              <w:top w:val="nil"/>
              <w:bottom w:val="nil"/>
            </w:tcBorders>
          </w:tcPr>
          <w:p w14:paraId="728D007E">
            <w:pPr>
              <w:rPr>
                <w:rFonts w:ascii="Arial"/>
              </w:rPr>
            </w:pPr>
          </w:p>
        </w:tc>
        <w:tc>
          <w:tcPr>
            <w:tcW w:w="722" w:type="dxa"/>
            <w:vMerge w:val="continue"/>
            <w:tcBorders>
              <w:top w:val="nil"/>
              <w:bottom w:val="nil"/>
            </w:tcBorders>
          </w:tcPr>
          <w:p w14:paraId="2658DCF5">
            <w:pPr>
              <w:rPr>
                <w:rFonts w:ascii="Arial"/>
              </w:rPr>
            </w:pPr>
          </w:p>
        </w:tc>
        <w:tc>
          <w:tcPr>
            <w:tcW w:w="991" w:type="dxa"/>
            <w:vMerge w:val="continue"/>
            <w:tcBorders>
              <w:top w:val="nil"/>
              <w:bottom w:val="nil"/>
            </w:tcBorders>
          </w:tcPr>
          <w:p w14:paraId="3A216E28">
            <w:pPr>
              <w:rPr>
                <w:rFonts w:ascii="Arial"/>
              </w:rPr>
            </w:pPr>
          </w:p>
        </w:tc>
        <w:tc>
          <w:tcPr>
            <w:tcW w:w="4534" w:type="dxa"/>
          </w:tcPr>
          <w:p w14:paraId="2F8BD57D">
            <w:pPr>
              <w:pStyle w:val="339"/>
              <w:spacing w:before="35" w:line="223" w:lineRule="auto"/>
              <w:ind w:left="110" w:right="214" w:firstLine="2"/>
              <w:rPr>
                <w:sz w:val="18"/>
                <w:szCs w:val="18"/>
              </w:rPr>
            </w:pPr>
            <w:r>
              <w:rPr>
                <w:spacing w:val="-2"/>
                <w:sz w:val="18"/>
                <w:szCs w:val="18"/>
              </w:rPr>
              <w:t>2、针对机电设备管理，提出合理化建议和重点难点问</w:t>
            </w:r>
            <w:r>
              <w:rPr>
                <w:spacing w:val="18"/>
                <w:sz w:val="18"/>
                <w:szCs w:val="18"/>
              </w:rPr>
              <w:t xml:space="preserve"> </w:t>
            </w:r>
            <w:r>
              <w:rPr>
                <w:spacing w:val="-2"/>
                <w:sz w:val="18"/>
                <w:szCs w:val="18"/>
              </w:rPr>
              <w:t>题解决方案，并采纳实施的，加</w:t>
            </w:r>
            <w:r>
              <w:rPr>
                <w:spacing w:val="-32"/>
                <w:sz w:val="18"/>
                <w:szCs w:val="18"/>
              </w:rPr>
              <w:t xml:space="preserve"> </w:t>
            </w:r>
            <w:r>
              <w:rPr>
                <w:spacing w:val="-2"/>
                <w:sz w:val="18"/>
                <w:szCs w:val="18"/>
              </w:rPr>
              <w:t>2-5</w:t>
            </w:r>
            <w:r>
              <w:rPr>
                <w:spacing w:val="-34"/>
                <w:sz w:val="18"/>
                <w:szCs w:val="18"/>
              </w:rPr>
              <w:t xml:space="preserve"> </w:t>
            </w:r>
            <w:r>
              <w:rPr>
                <w:spacing w:val="-2"/>
                <w:sz w:val="18"/>
                <w:szCs w:val="18"/>
              </w:rPr>
              <w:t>分。</w:t>
            </w:r>
          </w:p>
        </w:tc>
        <w:tc>
          <w:tcPr>
            <w:tcW w:w="1418" w:type="dxa"/>
            <w:vMerge w:val="continue"/>
            <w:tcBorders>
              <w:top w:val="nil"/>
              <w:bottom w:val="nil"/>
            </w:tcBorders>
          </w:tcPr>
          <w:p w14:paraId="2289F7E6">
            <w:pPr>
              <w:rPr>
                <w:rFonts w:ascii="Arial"/>
              </w:rPr>
            </w:pPr>
          </w:p>
        </w:tc>
        <w:tc>
          <w:tcPr>
            <w:tcW w:w="995" w:type="dxa"/>
            <w:vMerge w:val="continue"/>
            <w:tcBorders>
              <w:top w:val="nil"/>
              <w:bottom w:val="nil"/>
            </w:tcBorders>
          </w:tcPr>
          <w:p w14:paraId="21F80414">
            <w:pPr>
              <w:rPr>
                <w:rFonts w:ascii="Arial"/>
              </w:rPr>
            </w:pPr>
          </w:p>
        </w:tc>
      </w:tr>
      <w:tr w14:paraId="117D0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01" w:type="dxa"/>
            <w:vMerge w:val="continue"/>
            <w:tcBorders>
              <w:top w:val="nil"/>
              <w:bottom w:val="nil"/>
            </w:tcBorders>
          </w:tcPr>
          <w:p w14:paraId="0A8FEF51">
            <w:pPr>
              <w:rPr>
                <w:rFonts w:ascii="Arial"/>
              </w:rPr>
            </w:pPr>
          </w:p>
        </w:tc>
        <w:tc>
          <w:tcPr>
            <w:tcW w:w="722" w:type="dxa"/>
            <w:vMerge w:val="continue"/>
            <w:tcBorders>
              <w:top w:val="nil"/>
              <w:bottom w:val="nil"/>
            </w:tcBorders>
          </w:tcPr>
          <w:p w14:paraId="4EDC9B11">
            <w:pPr>
              <w:rPr>
                <w:rFonts w:ascii="Arial"/>
              </w:rPr>
            </w:pPr>
          </w:p>
        </w:tc>
        <w:tc>
          <w:tcPr>
            <w:tcW w:w="991" w:type="dxa"/>
            <w:vMerge w:val="continue"/>
            <w:tcBorders>
              <w:top w:val="nil"/>
              <w:bottom w:val="nil"/>
            </w:tcBorders>
          </w:tcPr>
          <w:p w14:paraId="0035AE33">
            <w:pPr>
              <w:rPr>
                <w:rFonts w:ascii="Arial"/>
              </w:rPr>
            </w:pPr>
          </w:p>
        </w:tc>
        <w:tc>
          <w:tcPr>
            <w:tcW w:w="4534" w:type="dxa"/>
          </w:tcPr>
          <w:p w14:paraId="266897E5">
            <w:pPr>
              <w:pStyle w:val="339"/>
              <w:spacing w:before="127" w:line="220" w:lineRule="auto"/>
              <w:ind w:left="114"/>
              <w:rPr>
                <w:sz w:val="18"/>
                <w:szCs w:val="18"/>
              </w:rPr>
            </w:pPr>
            <w:r>
              <w:rPr>
                <w:spacing w:val="-3"/>
                <w:sz w:val="18"/>
                <w:szCs w:val="18"/>
              </w:rPr>
              <w:t>3、</w:t>
            </w:r>
            <w:r>
              <w:rPr>
                <w:rFonts w:hint="eastAsia"/>
                <w:spacing w:val="-3"/>
                <w:sz w:val="18"/>
                <w:szCs w:val="18"/>
              </w:rPr>
              <w:t>特殊应急</w:t>
            </w:r>
            <w:r>
              <w:rPr>
                <w:spacing w:val="-3"/>
                <w:sz w:val="18"/>
                <w:szCs w:val="18"/>
              </w:rPr>
              <w:t>抢修且恢复正常的，加</w:t>
            </w:r>
            <w:r>
              <w:rPr>
                <w:spacing w:val="-15"/>
                <w:sz w:val="18"/>
                <w:szCs w:val="18"/>
              </w:rPr>
              <w:t xml:space="preserve"> </w:t>
            </w:r>
            <w:r>
              <w:rPr>
                <w:rFonts w:hint="eastAsia"/>
                <w:spacing w:val="-3"/>
                <w:sz w:val="18"/>
                <w:szCs w:val="18"/>
              </w:rPr>
              <w:t>1</w:t>
            </w:r>
            <w:r>
              <w:rPr>
                <w:spacing w:val="-3"/>
                <w:sz w:val="18"/>
                <w:szCs w:val="18"/>
              </w:rPr>
              <w:t>分。</w:t>
            </w:r>
          </w:p>
        </w:tc>
        <w:tc>
          <w:tcPr>
            <w:tcW w:w="1418" w:type="dxa"/>
            <w:vMerge w:val="continue"/>
            <w:tcBorders>
              <w:top w:val="nil"/>
              <w:bottom w:val="nil"/>
            </w:tcBorders>
          </w:tcPr>
          <w:p w14:paraId="1597FCF8">
            <w:pPr>
              <w:rPr>
                <w:rFonts w:ascii="Arial"/>
              </w:rPr>
            </w:pPr>
          </w:p>
        </w:tc>
        <w:tc>
          <w:tcPr>
            <w:tcW w:w="995" w:type="dxa"/>
            <w:vMerge w:val="continue"/>
            <w:tcBorders>
              <w:top w:val="nil"/>
              <w:bottom w:val="nil"/>
            </w:tcBorders>
          </w:tcPr>
          <w:p w14:paraId="02D0709E">
            <w:pPr>
              <w:rPr>
                <w:rFonts w:ascii="Arial"/>
              </w:rPr>
            </w:pPr>
          </w:p>
        </w:tc>
      </w:tr>
      <w:tr w14:paraId="32B0F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01" w:type="dxa"/>
            <w:vMerge w:val="continue"/>
            <w:tcBorders>
              <w:top w:val="nil"/>
              <w:bottom w:val="nil"/>
            </w:tcBorders>
          </w:tcPr>
          <w:p w14:paraId="05311C3C">
            <w:pPr>
              <w:rPr>
                <w:rFonts w:ascii="Arial"/>
              </w:rPr>
            </w:pPr>
          </w:p>
        </w:tc>
        <w:tc>
          <w:tcPr>
            <w:tcW w:w="722" w:type="dxa"/>
            <w:vMerge w:val="continue"/>
            <w:tcBorders>
              <w:top w:val="nil"/>
              <w:bottom w:val="nil"/>
            </w:tcBorders>
          </w:tcPr>
          <w:p w14:paraId="4814E584">
            <w:pPr>
              <w:rPr>
                <w:rFonts w:ascii="Arial"/>
              </w:rPr>
            </w:pPr>
          </w:p>
        </w:tc>
        <w:tc>
          <w:tcPr>
            <w:tcW w:w="991" w:type="dxa"/>
            <w:vMerge w:val="continue"/>
            <w:tcBorders>
              <w:top w:val="nil"/>
              <w:bottom w:val="nil"/>
            </w:tcBorders>
          </w:tcPr>
          <w:p w14:paraId="64B5C9E0">
            <w:pPr>
              <w:rPr>
                <w:rFonts w:ascii="Arial"/>
              </w:rPr>
            </w:pPr>
          </w:p>
        </w:tc>
        <w:tc>
          <w:tcPr>
            <w:tcW w:w="4534" w:type="dxa"/>
          </w:tcPr>
          <w:p w14:paraId="2D0E76CF">
            <w:pPr>
              <w:pStyle w:val="339"/>
              <w:spacing w:before="29" w:line="221" w:lineRule="auto"/>
              <w:ind w:left="112" w:right="417" w:hanging="2"/>
              <w:rPr>
                <w:sz w:val="18"/>
                <w:szCs w:val="18"/>
              </w:rPr>
            </w:pPr>
            <w:r>
              <w:rPr>
                <w:spacing w:val="-2"/>
                <w:sz w:val="18"/>
                <w:szCs w:val="18"/>
              </w:rPr>
              <w:t>4、重大突发故障抢修任务在</w:t>
            </w:r>
            <w:r>
              <w:rPr>
                <w:spacing w:val="-23"/>
                <w:sz w:val="18"/>
                <w:szCs w:val="18"/>
              </w:rPr>
              <w:t xml:space="preserve"> </w:t>
            </w:r>
            <w:r>
              <w:rPr>
                <w:rFonts w:hint="eastAsia"/>
                <w:spacing w:val="-2"/>
                <w:sz w:val="18"/>
                <w:szCs w:val="18"/>
              </w:rPr>
              <w:t>4</w:t>
            </w:r>
            <w:r>
              <w:rPr>
                <w:spacing w:val="-34"/>
                <w:sz w:val="18"/>
                <w:szCs w:val="18"/>
              </w:rPr>
              <w:t xml:space="preserve"> </w:t>
            </w:r>
            <w:r>
              <w:rPr>
                <w:spacing w:val="-2"/>
                <w:sz w:val="18"/>
                <w:szCs w:val="18"/>
              </w:rPr>
              <w:t>小时内完成，加</w:t>
            </w:r>
            <w:r>
              <w:rPr>
                <w:spacing w:val="-35"/>
                <w:sz w:val="18"/>
                <w:szCs w:val="18"/>
              </w:rPr>
              <w:t xml:space="preserve"> </w:t>
            </w:r>
            <w:r>
              <w:rPr>
                <w:rFonts w:hint="eastAsia"/>
                <w:spacing w:val="-2"/>
                <w:sz w:val="18"/>
                <w:szCs w:val="18"/>
              </w:rPr>
              <w:t>1</w:t>
            </w:r>
            <w:r>
              <w:rPr>
                <w:spacing w:val="-2"/>
                <w:sz w:val="18"/>
                <w:szCs w:val="18"/>
              </w:rPr>
              <w:t>-</w:t>
            </w:r>
            <w:r>
              <w:rPr>
                <w:rFonts w:hint="eastAsia"/>
                <w:spacing w:val="-2"/>
                <w:sz w:val="18"/>
                <w:szCs w:val="18"/>
              </w:rPr>
              <w:t>3</w:t>
            </w:r>
            <w:r>
              <w:rPr>
                <w:sz w:val="18"/>
                <w:szCs w:val="18"/>
              </w:rPr>
              <w:t xml:space="preserve"> </w:t>
            </w:r>
            <w:r>
              <w:rPr>
                <w:spacing w:val="-9"/>
                <w:sz w:val="18"/>
                <w:szCs w:val="18"/>
              </w:rPr>
              <w:t>分。</w:t>
            </w:r>
          </w:p>
        </w:tc>
        <w:tc>
          <w:tcPr>
            <w:tcW w:w="1418" w:type="dxa"/>
            <w:vMerge w:val="continue"/>
            <w:tcBorders>
              <w:top w:val="nil"/>
              <w:bottom w:val="nil"/>
            </w:tcBorders>
          </w:tcPr>
          <w:p w14:paraId="1EF0B446">
            <w:pPr>
              <w:rPr>
                <w:rFonts w:ascii="Arial"/>
              </w:rPr>
            </w:pPr>
          </w:p>
        </w:tc>
        <w:tc>
          <w:tcPr>
            <w:tcW w:w="995" w:type="dxa"/>
            <w:vMerge w:val="continue"/>
            <w:tcBorders>
              <w:top w:val="nil"/>
              <w:bottom w:val="nil"/>
            </w:tcBorders>
          </w:tcPr>
          <w:p w14:paraId="1340A970">
            <w:pPr>
              <w:rPr>
                <w:rFonts w:ascii="Arial"/>
              </w:rPr>
            </w:pPr>
          </w:p>
        </w:tc>
      </w:tr>
      <w:tr w14:paraId="77621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1" w:type="dxa"/>
            <w:vMerge w:val="continue"/>
            <w:tcBorders>
              <w:top w:val="nil"/>
              <w:bottom w:val="nil"/>
            </w:tcBorders>
          </w:tcPr>
          <w:p w14:paraId="49EE1512">
            <w:pPr>
              <w:rPr>
                <w:rFonts w:ascii="Arial"/>
              </w:rPr>
            </w:pPr>
          </w:p>
        </w:tc>
        <w:tc>
          <w:tcPr>
            <w:tcW w:w="722" w:type="dxa"/>
            <w:vMerge w:val="continue"/>
            <w:tcBorders>
              <w:top w:val="nil"/>
              <w:bottom w:val="nil"/>
            </w:tcBorders>
          </w:tcPr>
          <w:p w14:paraId="4DAB3BB0">
            <w:pPr>
              <w:rPr>
                <w:rFonts w:ascii="Arial"/>
              </w:rPr>
            </w:pPr>
          </w:p>
        </w:tc>
        <w:tc>
          <w:tcPr>
            <w:tcW w:w="991" w:type="dxa"/>
            <w:vMerge w:val="continue"/>
            <w:tcBorders>
              <w:top w:val="nil"/>
              <w:bottom w:val="nil"/>
            </w:tcBorders>
          </w:tcPr>
          <w:p w14:paraId="3D1DBB36">
            <w:pPr>
              <w:rPr>
                <w:rFonts w:ascii="Arial"/>
              </w:rPr>
            </w:pPr>
          </w:p>
        </w:tc>
        <w:tc>
          <w:tcPr>
            <w:tcW w:w="4534" w:type="dxa"/>
          </w:tcPr>
          <w:p w14:paraId="38A3CC27">
            <w:pPr>
              <w:pStyle w:val="339"/>
              <w:spacing w:before="29" w:line="222" w:lineRule="auto"/>
              <w:ind w:left="112" w:right="237" w:firstLine="1"/>
              <w:rPr>
                <w:sz w:val="18"/>
                <w:szCs w:val="18"/>
              </w:rPr>
            </w:pPr>
            <w:r>
              <w:rPr>
                <w:spacing w:val="-2"/>
                <w:sz w:val="18"/>
                <w:szCs w:val="18"/>
              </w:rPr>
              <w:t>5、在设备维护方面有创新并实际应用效果明显，加</w:t>
            </w:r>
            <w:r>
              <w:rPr>
                <w:spacing w:val="-6"/>
                <w:sz w:val="18"/>
                <w:szCs w:val="18"/>
              </w:rPr>
              <w:t xml:space="preserve"> </w:t>
            </w:r>
            <w:r>
              <w:rPr>
                <w:rFonts w:hint="eastAsia"/>
                <w:spacing w:val="-2"/>
                <w:sz w:val="18"/>
                <w:szCs w:val="18"/>
              </w:rPr>
              <w:t>1</w:t>
            </w:r>
            <w:r>
              <w:rPr>
                <w:sz w:val="18"/>
                <w:szCs w:val="18"/>
              </w:rPr>
              <w:t xml:space="preserve"> </w:t>
            </w:r>
            <w:r>
              <w:rPr>
                <w:spacing w:val="-9"/>
                <w:sz w:val="18"/>
                <w:szCs w:val="18"/>
              </w:rPr>
              <w:t>分。</w:t>
            </w:r>
          </w:p>
        </w:tc>
        <w:tc>
          <w:tcPr>
            <w:tcW w:w="1418" w:type="dxa"/>
            <w:vMerge w:val="continue"/>
            <w:tcBorders>
              <w:top w:val="nil"/>
              <w:bottom w:val="nil"/>
            </w:tcBorders>
          </w:tcPr>
          <w:p w14:paraId="7EDBBD38">
            <w:pPr>
              <w:rPr>
                <w:rFonts w:ascii="Arial"/>
              </w:rPr>
            </w:pPr>
          </w:p>
        </w:tc>
        <w:tc>
          <w:tcPr>
            <w:tcW w:w="995" w:type="dxa"/>
            <w:vMerge w:val="continue"/>
            <w:tcBorders>
              <w:top w:val="nil"/>
              <w:bottom w:val="nil"/>
            </w:tcBorders>
          </w:tcPr>
          <w:p w14:paraId="4EF7115E">
            <w:pPr>
              <w:rPr>
                <w:rFonts w:ascii="Arial"/>
              </w:rPr>
            </w:pPr>
          </w:p>
        </w:tc>
      </w:tr>
      <w:tr w14:paraId="243B5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701" w:type="dxa"/>
            <w:vMerge w:val="continue"/>
            <w:tcBorders>
              <w:top w:val="nil"/>
            </w:tcBorders>
          </w:tcPr>
          <w:p w14:paraId="0A4F63F7">
            <w:pPr>
              <w:rPr>
                <w:rFonts w:ascii="Arial"/>
              </w:rPr>
            </w:pPr>
          </w:p>
        </w:tc>
        <w:tc>
          <w:tcPr>
            <w:tcW w:w="722" w:type="dxa"/>
            <w:vMerge w:val="continue"/>
            <w:tcBorders>
              <w:top w:val="nil"/>
            </w:tcBorders>
          </w:tcPr>
          <w:p w14:paraId="22BAAD9C">
            <w:pPr>
              <w:rPr>
                <w:rFonts w:ascii="Arial"/>
              </w:rPr>
            </w:pPr>
          </w:p>
        </w:tc>
        <w:tc>
          <w:tcPr>
            <w:tcW w:w="991" w:type="dxa"/>
            <w:vMerge w:val="continue"/>
            <w:tcBorders>
              <w:top w:val="nil"/>
            </w:tcBorders>
          </w:tcPr>
          <w:p w14:paraId="6EA2F9F5">
            <w:pPr>
              <w:rPr>
                <w:rFonts w:ascii="Arial"/>
              </w:rPr>
            </w:pPr>
          </w:p>
        </w:tc>
        <w:tc>
          <w:tcPr>
            <w:tcW w:w="4534" w:type="dxa"/>
          </w:tcPr>
          <w:p w14:paraId="7D5C265C">
            <w:pPr>
              <w:pStyle w:val="339"/>
              <w:spacing w:before="47" w:line="219" w:lineRule="auto"/>
              <w:ind w:left="112"/>
              <w:rPr>
                <w:sz w:val="18"/>
                <w:szCs w:val="18"/>
              </w:rPr>
            </w:pPr>
            <w:r>
              <w:rPr>
                <w:spacing w:val="-3"/>
                <w:sz w:val="18"/>
                <w:szCs w:val="18"/>
              </w:rPr>
              <w:t>6、受到公司及上级部门表扬的，加</w:t>
            </w:r>
            <w:r>
              <w:rPr>
                <w:spacing w:val="-13"/>
                <w:sz w:val="18"/>
                <w:szCs w:val="18"/>
              </w:rPr>
              <w:t xml:space="preserve"> </w:t>
            </w:r>
            <w:r>
              <w:rPr>
                <w:rFonts w:hint="eastAsia"/>
                <w:spacing w:val="-3"/>
                <w:sz w:val="18"/>
                <w:szCs w:val="18"/>
              </w:rPr>
              <w:t>1</w:t>
            </w:r>
            <w:r>
              <w:rPr>
                <w:spacing w:val="-34"/>
                <w:sz w:val="18"/>
                <w:szCs w:val="18"/>
              </w:rPr>
              <w:t xml:space="preserve"> </w:t>
            </w:r>
            <w:r>
              <w:rPr>
                <w:spacing w:val="-3"/>
                <w:sz w:val="18"/>
                <w:szCs w:val="18"/>
              </w:rPr>
              <w:t>分。</w:t>
            </w:r>
          </w:p>
        </w:tc>
        <w:tc>
          <w:tcPr>
            <w:tcW w:w="1418" w:type="dxa"/>
            <w:vMerge w:val="continue"/>
            <w:tcBorders>
              <w:top w:val="nil"/>
            </w:tcBorders>
          </w:tcPr>
          <w:p w14:paraId="53388916">
            <w:pPr>
              <w:rPr>
                <w:rFonts w:ascii="Arial"/>
              </w:rPr>
            </w:pPr>
          </w:p>
        </w:tc>
        <w:tc>
          <w:tcPr>
            <w:tcW w:w="995" w:type="dxa"/>
            <w:vMerge w:val="continue"/>
            <w:tcBorders>
              <w:top w:val="nil"/>
            </w:tcBorders>
          </w:tcPr>
          <w:p w14:paraId="3AEFFFF6">
            <w:pPr>
              <w:rPr>
                <w:rFonts w:ascii="Arial"/>
              </w:rPr>
            </w:pPr>
          </w:p>
        </w:tc>
      </w:tr>
      <w:tr w14:paraId="32734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1" w:type="dxa"/>
          </w:tcPr>
          <w:p w14:paraId="140ED448">
            <w:pPr>
              <w:pStyle w:val="339"/>
              <w:spacing w:before="220" w:line="180" w:lineRule="auto"/>
              <w:ind w:left="310"/>
              <w:rPr>
                <w:sz w:val="18"/>
                <w:szCs w:val="18"/>
              </w:rPr>
            </w:pPr>
            <w:r>
              <w:rPr>
                <w:sz w:val="18"/>
                <w:szCs w:val="18"/>
              </w:rPr>
              <w:t>5</w:t>
            </w:r>
          </w:p>
        </w:tc>
        <w:tc>
          <w:tcPr>
            <w:tcW w:w="722" w:type="dxa"/>
          </w:tcPr>
          <w:p w14:paraId="17F292F1">
            <w:pPr>
              <w:pStyle w:val="339"/>
              <w:spacing w:before="74" w:line="229" w:lineRule="auto"/>
              <w:ind w:left="182" w:right="184" w:hanging="2"/>
              <w:rPr>
                <w:sz w:val="18"/>
                <w:szCs w:val="18"/>
              </w:rPr>
            </w:pPr>
            <w:r>
              <w:rPr>
                <w:spacing w:val="-4"/>
                <w:sz w:val="18"/>
                <w:szCs w:val="18"/>
              </w:rPr>
              <w:t>其他</w:t>
            </w:r>
            <w:r>
              <w:rPr>
                <w:sz w:val="18"/>
                <w:szCs w:val="18"/>
              </w:rPr>
              <w:t xml:space="preserve"> </w:t>
            </w:r>
            <w:r>
              <w:rPr>
                <w:spacing w:val="-5"/>
                <w:sz w:val="18"/>
                <w:szCs w:val="18"/>
              </w:rPr>
              <w:t>项目</w:t>
            </w:r>
          </w:p>
        </w:tc>
        <w:tc>
          <w:tcPr>
            <w:tcW w:w="991" w:type="dxa"/>
          </w:tcPr>
          <w:p w14:paraId="4FFBF7A6">
            <w:pPr>
              <w:pStyle w:val="339"/>
              <w:spacing w:before="188" w:line="220" w:lineRule="auto"/>
              <w:ind w:left="137"/>
              <w:rPr>
                <w:sz w:val="18"/>
                <w:szCs w:val="18"/>
              </w:rPr>
            </w:pPr>
            <w:r>
              <w:rPr>
                <w:spacing w:val="-2"/>
                <w:sz w:val="18"/>
                <w:szCs w:val="18"/>
              </w:rPr>
              <w:t>其他扣分</w:t>
            </w:r>
          </w:p>
        </w:tc>
        <w:tc>
          <w:tcPr>
            <w:tcW w:w="4534" w:type="dxa"/>
          </w:tcPr>
          <w:p w14:paraId="10587BD1">
            <w:pPr>
              <w:pStyle w:val="339"/>
              <w:spacing w:before="73" w:line="229" w:lineRule="auto"/>
              <w:ind w:left="112" w:right="201" w:firstLine="11"/>
              <w:rPr>
                <w:sz w:val="18"/>
                <w:szCs w:val="18"/>
              </w:rPr>
            </w:pPr>
            <w:r>
              <w:rPr>
                <w:spacing w:val="-1"/>
                <w:sz w:val="18"/>
                <w:szCs w:val="18"/>
              </w:rPr>
              <w:t>1、其他未涉及事项，应当予以扣分，每次</w:t>
            </w:r>
            <w:r>
              <w:rPr>
                <w:spacing w:val="-2"/>
                <w:sz w:val="18"/>
                <w:szCs w:val="18"/>
              </w:rPr>
              <w:t>根据实际情</w:t>
            </w:r>
            <w:r>
              <w:rPr>
                <w:sz w:val="18"/>
                <w:szCs w:val="18"/>
              </w:rPr>
              <w:t xml:space="preserve"> </w:t>
            </w:r>
            <w:r>
              <w:rPr>
                <w:spacing w:val="-5"/>
                <w:sz w:val="18"/>
                <w:szCs w:val="18"/>
              </w:rPr>
              <w:t>况酌情扣</w:t>
            </w:r>
            <w:r>
              <w:rPr>
                <w:spacing w:val="-17"/>
                <w:sz w:val="18"/>
                <w:szCs w:val="18"/>
              </w:rPr>
              <w:t xml:space="preserve"> </w:t>
            </w:r>
            <w:r>
              <w:rPr>
                <w:spacing w:val="-5"/>
                <w:sz w:val="18"/>
                <w:szCs w:val="18"/>
              </w:rPr>
              <w:t>1-10</w:t>
            </w:r>
            <w:r>
              <w:rPr>
                <w:spacing w:val="-34"/>
                <w:sz w:val="18"/>
                <w:szCs w:val="18"/>
              </w:rPr>
              <w:t xml:space="preserve"> </w:t>
            </w:r>
            <w:r>
              <w:rPr>
                <w:spacing w:val="-5"/>
                <w:sz w:val="18"/>
                <w:szCs w:val="18"/>
              </w:rPr>
              <w:t>分/次。</w:t>
            </w:r>
          </w:p>
        </w:tc>
        <w:tc>
          <w:tcPr>
            <w:tcW w:w="1418" w:type="dxa"/>
          </w:tcPr>
          <w:p w14:paraId="2D92B29B">
            <w:pPr>
              <w:rPr>
                <w:rFonts w:ascii="Arial"/>
              </w:rPr>
            </w:pPr>
          </w:p>
        </w:tc>
        <w:tc>
          <w:tcPr>
            <w:tcW w:w="995" w:type="dxa"/>
          </w:tcPr>
          <w:p w14:paraId="6FDAA831">
            <w:pPr>
              <w:rPr>
                <w:rFonts w:ascii="Arial"/>
              </w:rPr>
            </w:pPr>
          </w:p>
        </w:tc>
      </w:tr>
      <w:tr w14:paraId="1004D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01" w:type="dxa"/>
          </w:tcPr>
          <w:p w14:paraId="0CB8B4D3">
            <w:pPr>
              <w:pStyle w:val="339"/>
              <w:spacing w:before="138" w:line="221" w:lineRule="auto"/>
              <w:ind w:left="169"/>
              <w:rPr>
                <w:sz w:val="18"/>
                <w:szCs w:val="18"/>
              </w:rPr>
            </w:pPr>
            <w:r>
              <w:rPr>
                <w:b/>
                <w:bCs/>
                <w:spacing w:val="-3"/>
                <w:sz w:val="18"/>
                <w:szCs w:val="18"/>
              </w:rPr>
              <w:t>序号</w:t>
            </w:r>
          </w:p>
        </w:tc>
        <w:tc>
          <w:tcPr>
            <w:tcW w:w="1713" w:type="dxa"/>
            <w:gridSpan w:val="2"/>
          </w:tcPr>
          <w:p w14:paraId="24FDB6CE">
            <w:pPr>
              <w:pStyle w:val="339"/>
              <w:spacing w:before="137" w:line="220" w:lineRule="auto"/>
              <w:ind w:left="587"/>
              <w:rPr>
                <w:sz w:val="18"/>
                <w:szCs w:val="18"/>
              </w:rPr>
            </w:pPr>
            <w:r>
              <w:rPr>
                <w:b/>
                <w:bCs/>
                <w:spacing w:val="-4"/>
                <w:sz w:val="18"/>
                <w:szCs w:val="18"/>
              </w:rPr>
              <w:t>考核内容</w:t>
            </w:r>
          </w:p>
        </w:tc>
        <w:tc>
          <w:tcPr>
            <w:tcW w:w="4534" w:type="dxa"/>
          </w:tcPr>
          <w:p w14:paraId="345AC07F">
            <w:pPr>
              <w:pStyle w:val="339"/>
              <w:spacing w:before="137" w:line="220" w:lineRule="auto"/>
              <w:ind w:left="1909"/>
              <w:rPr>
                <w:sz w:val="18"/>
                <w:szCs w:val="18"/>
              </w:rPr>
            </w:pPr>
            <w:r>
              <w:rPr>
                <w:b/>
                <w:bCs/>
                <w:spacing w:val="-4"/>
                <w:sz w:val="18"/>
                <w:szCs w:val="18"/>
              </w:rPr>
              <w:t>考核标准</w:t>
            </w:r>
          </w:p>
        </w:tc>
        <w:tc>
          <w:tcPr>
            <w:tcW w:w="1418" w:type="dxa"/>
          </w:tcPr>
          <w:p w14:paraId="1897A2CD">
            <w:pPr>
              <w:pStyle w:val="339"/>
              <w:spacing w:before="137" w:line="220" w:lineRule="auto"/>
              <w:ind w:left="351"/>
              <w:rPr>
                <w:sz w:val="18"/>
                <w:szCs w:val="18"/>
              </w:rPr>
            </w:pPr>
            <w:r>
              <w:rPr>
                <w:b/>
                <w:bCs/>
                <w:spacing w:val="-4"/>
                <w:sz w:val="18"/>
                <w:szCs w:val="18"/>
              </w:rPr>
              <w:t>考核情况</w:t>
            </w:r>
          </w:p>
        </w:tc>
        <w:tc>
          <w:tcPr>
            <w:tcW w:w="995" w:type="dxa"/>
          </w:tcPr>
          <w:p w14:paraId="0C4D6413">
            <w:pPr>
              <w:pStyle w:val="339"/>
              <w:spacing w:before="138" w:line="221" w:lineRule="auto"/>
              <w:ind w:left="320"/>
              <w:rPr>
                <w:sz w:val="18"/>
                <w:szCs w:val="18"/>
              </w:rPr>
            </w:pPr>
            <w:r>
              <w:rPr>
                <w:b/>
                <w:bCs/>
                <w:spacing w:val="-4"/>
                <w:sz w:val="18"/>
                <w:szCs w:val="18"/>
              </w:rPr>
              <w:t>备注</w:t>
            </w:r>
          </w:p>
        </w:tc>
      </w:tr>
      <w:tr w14:paraId="61804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701" w:type="dxa"/>
          </w:tcPr>
          <w:p w14:paraId="250427B7">
            <w:pPr>
              <w:rPr>
                <w:rFonts w:ascii="Arial"/>
              </w:rPr>
            </w:pPr>
          </w:p>
        </w:tc>
        <w:tc>
          <w:tcPr>
            <w:tcW w:w="722" w:type="dxa"/>
          </w:tcPr>
          <w:p w14:paraId="2B7462DC">
            <w:pPr>
              <w:rPr>
                <w:rFonts w:ascii="Arial"/>
              </w:rPr>
            </w:pPr>
          </w:p>
        </w:tc>
        <w:tc>
          <w:tcPr>
            <w:tcW w:w="991" w:type="dxa"/>
          </w:tcPr>
          <w:p w14:paraId="2B01616C">
            <w:pPr>
              <w:spacing w:line="433" w:lineRule="auto"/>
              <w:rPr>
                <w:rFonts w:ascii="Arial"/>
              </w:rPr>
            </w:pPr>
          </w:p>
          <w:p w14:paraId="6F033B5B">
            <w:pPr>
              <w:pStyle w:val="339"/>
              <w:spacing w:before="58" w:line="220" w:lineRule="auto"/>
              <w:ind w:left="139"/>
              <w:rPr>
                <w:sz w:val="18"/>
                <w:szCs w:val="18"/>
              </w:rPr>
            </w:pPr>
            <w:r>
              <w:rPr>
                <w:spacing w:val="-2"/>
                <w:sz w:val="18"/>
                <w:szCs w:val="18"/>
              </w:rPr>
              <w:t>指标考核</w:t>
            </w:r>
          </w:p>
        </w:tc>
        <w:tc>
          <w:tcPr>
            <w:tcW w:w="4534" w:type="dxa"/>
          </w:tcPr>
          <w:p w14:paraId="6A090B11">
            <w:pPr>
              <w:pStyle w:val="339"/>
              <w:spacing w:before="28" w:line="233" w:lineRule="auto"/>
              <w:ind w:left="110" w:right="112" w:hanging="2"/>
              <w:rPr>
                <w:sz w:val="18"/>
                <w:szCs w:val="18"/>
              </w:rPr>
            </w:pPr>
            <w:r>
              <w:rPr>
                <w:spacing w:val="-4"/>
                <w:sz w:val="18"/>
                <w:szCs w:val="18"/>
              </w:rPr>
              <w:t>ETC 门架</w:t>
            </w:r>
            <w:r>
              <w:rPr>
                <w:spacing w:val="-38"/>
                <w:sz w:val="18"/>
                <w:szCs w:val="18"/>
              </w:rPr>
              <w:t xml:space="preserve"> </w:t>
            </w:r>
            <w:r>
              <w:rPr>
                <w:spacing w:val="-4"/>
                <w:sz w:val="18"/>
                <w:szCs w:val="18"/>
              </w:rPr>
              <w:t>RSU</w:t>
            </w:r>
            <w:r>
              <w:rPr>
                <w:spacing w:val="-33"/>
                <w:sz w:val="18"/>
                <w:szCs w:val="18"/>
              </w:rPr>
              <w:t xml:space="preserve"> </w:t>
            </w:r>
            <w:r>
              <w:rPr>
                <w:spacing w:val="-4"/>
                <w:sz w:val="18"/>
                <w:szCs w:val="18"/>
              </w:rPr>
              <w:t>正常率</w:t>
            </w:r>
            <w:r>
              <w:rPr>
                <w:spacing w:val="-24"/>
                <w:sz w:val="18"/>
                <w:szCs w:val="18"/>
              </w:rPr>
              <w:t xml:space="preserve"> </w:t>
            </w:r>
            <w:r>
              <w:rPr>
                <w:spacing w:val="-4"/>
                <w:sz w:val="18"/>
                <w:szCs w:val="18"/>
              </w:rPr>
              <w:t>100%、车牌识别</w:t>
            </w:r>
            <w:r>
              <w:rPr>
                <w:spacing w:val="-5"/>
                <w:sz w:val="18"/>
                <w:szCs w:val="18"/>
              </w:rPr>
              <w:t>正常率</w:t>
            </w:r>
            <w:r>
              <w:rPr>
                <w:spacing w:val="-24"/>
                <w:sz w:val="18"/>
                <w:szCs w:val="18"/>
              </w:rPr>
              <w:t xml:space="preserve"> </w:t>
            </w:r>
            <w:r>
              <w:rPr>
                <w:spacing w:val="-5"/>
                <w:sz w:val="18"/>
                <w:szCs w:val="18"/>
              </w:rPr>
              <w:t>100%、门</w:t>
            </w:r>
            <w:r>
              <w:rPr>
                <w:sz w:val="18"/>
                <w:szCs w:val="18"/>
              </w:rPr>
              <w:t xml:space="preserve">  </w:t>
            </w:r>
            <w:r>
              <w:rPr>
                <w:spacing w:val="-1"/>
                <w:sz w:val="18"/>
                <w:szCs w:val="18"/>
              </w:rPr>
              <w:t>架</w:t>
            </w:r>
            <w:r>
              <w:rPr>
                <w:spacing w:val="-39"/>
                <w:sz w:val="18"/>
                <w:szCs w:val="18"/>
              </w:rPr>
              <w:t xml:space="preserve"> </w:t>
            </w:r>
            <w:r>
              <w:rPr>
                <w:spacing w:val="-1"/>
                <w:sz w:val="18"/>
                <w:szCs w:val="18"/>
              </w:rPr>
              <w:t>ETC</w:t>
            </w:r>
            <w:r>
              <w:rPr>
                <w:spacing w:val="-33"/>
                <w:sz w:val="18"/>
                <w:szCs w:val="18"/>
              </w:rPr>
              <w:t xml:space="preserve"> </w:t>
            </w:r>
            <w:r>
              <w:rPr>
                <w:spacing w:val="-1"/>
                <w:sz w:val="18"/>
                <w:szCs w:val="18"/>
              </w:rPr>
              <w:t>交易成功率≥99.5%、CPC</w:t>
            </w:r>
            <w:r>
              <w:rPr>
                <w:spacing w:val="-32"/>
                <w:sz w:val="18"/>
                <w:szCs w:val="18"/>
              </w:rPr>
              <w:t xml:space="preserve"> </w:t>
            </w:r>
            <w:r>
              <w:rPr>
                <w:spacing w:val="-1"/>
                <w:sz w:val="18"/>
                <w:szCs w:val="18"/>
              </w:rPr>
              <w:t>交易成功率</w:t>
            </w:r>
            <w:r>
              <w:rPr>
                <w:spacing w:val="-2"/>
                <w:sz w:val="18"/>
                <w:szCs w:val="18"/>
              </w:rPr>
              <w:t>≥99%;收</w:t>
            </w:r>
            <w:r>
              <w:rPr>
                <w:sz w:val="18"/>
                <w:szCs w:val="18"/>
              </w:rPr>
              <w:t xml:space="preserve">  </w:t>
            </w:r>
            <w:r>
              <w:rPr>
                <w:spacing w:val="-1"/>
                <w:sz w:val="18"/>
                <w:szCs w:val="18"/>
              </w:rPr>
              <w:t>费站</w:t>
            </w:r>
            <w:r>
              <w:rPr>
                <w:spacing w:val="-39"/>
                <w:sz w:val="18"/>
                <w:szCs w:val="18"/>
              </w:rPr>
              <w:t xml:space="preserve"> </w:t>
            </w:r>
            <w:r>
              <w:rPr>
                <w:spacing w:val="-1"/>
                <w:sz w:val="18"/>
                <w:szCs w:val="18"/>
              </w:rPr>
              <w:t>ETC</w:t>
            </w:r>
            <w:r>
              <w:rPr>
                <w:spacing w:val="-35"/>
                <w:sz w:val="18"/>
                <w:szCs w:val="18"/>
              </w:rPr>
              <w:t xml:space="preserve"> </w:t>
            </w:r>
            <w:r>
              <w:rPr>
                <w:spacing w:val="-1"/>
                <w:sz w:val="18"/>
                <w:szCs w:val="18"/>
              </w:rPr>
              <w:t>车道交易成功率≥99.5%、混合车</w:t>
            </w:r>
            <w:r>
              <w:rPr>
                <w:spacing w:val="-2"/>
                <w:sz w:val="18"/>
                <w:szCs w:val="18"/>
              </w:rPr>
              <w:t>道交易成功</w:t>
            </w:r>
            <w:r>
              <w:rPr>
                <w:sz w:val="18"/>
                <w:szCs w:val="18"/>
              </w:rPr>
              <w:t xml:space="preserve">  </w:t>
            </w:r>
            <w:r>
              <w:rPr>
                <w:spacing w:val="-1"/>
                <w:sz w:val="18"/>
                <w:szCs w:val="18"/>
              </w:rPr>
              <w:t>率≥99%、出入口车牌识别率≥99%，各项目指标未达到</w:t>
            </w:r>
            <w:r>
              <w:rPr>
                <w:spacing w:val="12"/>
                <w:sz w:val="18"/>
                <w:szCs w:val="18"/>
              </w:rPr>
              <w:t xml:space="preserve"> </w:t>
            </w:r>
            <w:r>
              <w:rPr>
                <w:spacing w:val="-6"/>
                <w:sz w:val="18"/>
                <w:szCs w:val="18"/>
              </w:rPr>
              <w:t>每次扣</w:t>
            </w:r>
            <w:r>
              <w:rPr>
                <w:spacing w:val="-34"/>
                <w:sz w:val="18"/>
                <w:szCs w:val="18"/>
              </w:rPr>
              <w:t xml:space="preserve"> </w:t>
            </w:r>
            <w:r>
              <w:rPr>
                <w:spacing w:val="-6"/>
                <w:sz w:val="18"/>
                <w:szCs w:val="18"/>
              </w:rPr>
              <w:t>3</w:t>
            </w:r>
            <w:r>
              <w:rPr>
                <w:spacing w:val="-34"/>
                <w:sz w:val="18"/>
                <w:szCs w:val="18"/>
              </w:rPr>
              <w:t xml:space="preserve"> </w:t>
            </w:r>
            <w:r>
              <w:rPr>
                <w:spacing w:val="-6"/>
                <w:sz w:val="18"/>
                <w:szCs w:val="18"/>
              </w:rPr>
              <w:t>分。</w:t>
            </w:r>
          </w:p>
        </w:tc>
        <w:tc>
          <w:tcPr>
            <w:tcW w:w="1418" w:type="dxa"/>
          </w:tcPr>
          <w:p w14:paraId="77FA7280">
            <w:pPr>
              <w:rPr>
                <w:rFonts w:ascii="Arial"/>
              </w:rPr>
            </w:pPr>
          </w:p>
        </w:tc>
        <w:tc>
          <w:tcPr>
            <w:tcW w:w="995" w:type="dxa"/>
          </w:tcPr>
          <w:p w14:paraId="5E0784D8">
            <w:pPr>
              <w:rPr>
                <w:rFonts w:ascii="Arial"/>
              </w:rPr>
            </w:pPr>
          </w:p>
        </w:tc>
      </w:tr>
    </w:tbl>
    <w:p w14:paraId="10F678EC">
      <w:pPr>
        <w:pStyle w:val="798"/>
        <w:ind w:firstLine="0" w:firstLineChars="0"/>
        <w:rPr>
          <w:rFonts w:hint="eastAsia" w:hAnsi="宋体" w:cs="宋体"/>
          <w:b/>
          <w:bCs/>
        </w:rPr>
      </w:pPr>
    </w:p>
    <w:p w14:paraId="5A89A52A">
      <w:pPr>
        <w:pStyle w:val="798"/>
        <w:ind w:firstLine="0" w:firstLineChars="0"/>
        <w:rPr>
          <w:rFonts w:hint="eastAsia" w:hAnsi="宋体" w:cs="宋体"/>
        </w:rPr>
      </w:pPr>
      <w:r>
        <w:rPr>
          <w:rFonts w:hint="eastAsia" w:hAnsi="宋体" w:cs="宋体"/>
          <w:b/>
          <w:bCs/>
        </w:rPr>
        <w:t>十二、商务要求：</w:t>
      </w:r>
    </w:p>
    <w:p w14:paraId="6D921545">
      <w:pPr>
        <w:snapToGrid w:val="0"/>
        <w:spacing w:line="360" w:lineRule="auto"/>
        <w:ind w:firstLine="482" w:firstLineChars="200"/>
        <w:rPr>
          <w:rFonts w:hint="eastAsia" w:ascii="宋体" w:hAnsi="宋体" w:cs="宋体"/>
          <w:b/>
          <w:bCs/>
          <w:sz w:val="24"/>
        </w:rPr>
      </w:pPr>
      <w:r>
        <w:rPr>
          <w:rFonts w:hint="eastAsia" w:ascii="宋体" w:hAnsi="宋体" w:cs="宋体"/>
          <w:b/>
          <w:bCs/>
          <w:sz w:val="24"/>
        </w:rPr>
        <w:t>1.服务期：</w:t>
      </w:r>
    </w:p>
    <w:p w14:paraId="1846F02E">
      <w:pPr>
        <w:snapToGrid w:val="0"/>
        <w:spacing w:line="360" w:lineRule="auto"/>
        <w:ind w:firstLine="480" w:firstLineChars="200"/>
        <w:rPr>
          <w:rFonts w:hint="eastAsia" w:ascii="宋体" w:hAnsi="宋体" w:cs="宋体"/>
          <w:bCs/>
          <w:sz w:val="24"/>
        </w:rPr>
      </w:pPr>
      <w:r>
        <w:rPr>
          <w:rFonts w:hint="eastAsia" w:ascii="宋体" w:hAnsi="宋体" w:cs="宋体"/>
          <w:bCs/>
          <w:sz w:val="24"/>
        </w:rPr>
        <w:t>供应商承担本交易区域范围内所有外场设备统一管理和巡查责任，对存在安全隐患的及时做好安全措施。服务期：1年，根据合同签订时间（具体起止日期在合同中明确）。</w:t>
      </w:r>
    </w:p>
    <w:p w14:paraId="7478CEC7">
      <w:pPr>
        <w:snapToGrid w:val="0"/>
        <w:spacing w:line="360" w:lineRule="auto"/>
        <w:ind w:firstLine="482" w:firstLineChars="200"/>
        <w:rPr>
          <w:rFonts w:hint="eastAsia" w:ascii="仿宋_GB2312" w:hAnsi="宋体"/>
          <w:bCs/>
          <w:sz w:val="24"/>
        </w:rPr>
      </w:pPr>
      <w:r>
        <w:rPr>
          <w:rFonts w:hint="eastAsia" w:ascii="宋体" w:hAnsi="宋体" w:cs="宋体"/>
          <w:b/>
          <w:sz w:val="24"/>
        </w:rPr>
        <w:t>合同履行完毕后，在未找到接替公司前，供应商应延续1-2个月的服务，该维护期费用按成交价按月分摊支付（不含备件预留金）。</w:t>
      </w:r>
    </w:p>
    <w:p w14:paraId="59A19FBA">
      <w:pPr>
        <w:pStyle w:val="798"/>
        <w:ind w:firstLine="482"/>
        <w:rPr>
          <w:rFonts w:hint="eastAsia" w:hAnsi="宋体" w:cs="宋体"/>
          <w:b/>
          <w:szCs w:val="24"/>
        </w:rPr>
      </w:pPr>
      <w:r>
        <w:rPr>
          <w:rFonts w:hint="eastAsia" w:hAnsi="宋体" w:cs="宋体"/>
          <w:b/>
          <w:szCs w:val="24"/>
        </w:rPr>
        <w:t>2.支付方式：</w:t>
      </w:r>
    </w:p>
    <w:p w14:paraId="28799117">
      <w:pPr>
        <w:pStyle w:val="130"/>
        <w:snapToGrid w:val="0"/>
        <w:spacing w:before="0"/>
        <w:ind w:firstLine="470" w:firstLineChars="196"/>
        <w:rPr>
          <w:rFonts w:hint="eastAsia" w:ascii="宋体" w:hAnsi="宋体" w:cs="宋体"/>
          <w:szCs w:val="24"/>
        </w:rPr>
      </w:pPr>
      <w:r>
        <w:rPr>
          <w:rFonts w:hint="eastAsia" w:ascii="宋体" w:hAnsi="宋体" w:cs="宋体"/>
          <w:szCs w:val="24"/>
          <w:lang w:val="zh-CN"/>
        </w:rPr>
        <w:t>根据项目的实施进度，</w:t>
      </w:r>
      <w:r>
        <w:rPr>
          <w:rFonts w:hint="eastAsia" w:ascii="宋体" w:hAnsi="宋体" w:cs="宋体"/>
          <w:szCs w:val="24"/>
        </w:rPr>
        <w:t>根据签订的合同总价</w:t>
      </w:r>
      <w:r>
        <w:rPr>
          <w:rFonts w:hint="eastAsia" w:ascii="宋体" w:hAnsi="宋体" w:cs="宋体"/>
          <w:szCs w:val="24"/>
          <w:lang w:val="zh-CN"/>
        </w:rPr>
        <w:t>按季度支付</w:t>
      </w:r>
      <w:r>
        <w:rPr>
          <w:rFonts w:hint="eastAsia" w:ascii="宋体" w:hAnsi="宋体" w:cs="宋体"/>
          <w:szCs w:val="24"/>
        </w:rPr>
        <w:t>。</w:t>
      </w:r>
    </w:p>
    <w:p w14:paraId="5ABFF61F">
      <w:pPr>
        <w:spacing w:line="360" w:lineRule="auto"/>
        <w:ind w:right="-458" w:rightChars="-218" w:firstLine="482" w:firstLineChars="200"/>
        <w:rPr>
          <w:rFonts w:hint="eastAsia" w:ascii="宋体" w:hAnsi="宋体" w:cs="宋体"/>
          <w:b/>
          <w:bCs/>
          <w:sz w:val="24"/>
        </w:rPr>
      </w:pPr>
      <w:r>
        <w:rPr>
          <w:rFonts w:hint="eastAsia" w:ascii="宋体" w:hAnsi="宋体" w:cs="宋体"/>
          <w:b/>
          <w:bCs/>
          <w:sz w:val="24"/>
        </w:rPr>
        <w:t>注：</w:t>
      </w:r>
    </w:p>
    <w:p w14:paraId="1151EA24">
      <w:pPr>
        <w:spacing w:line="360" w:lineRule="auto"/>
        <w:ind w:right="31" w:rightChars="15" w:firstLine="482" w:firstLineChars="200"/>
        <w:rPr>
          <w:rFonts w:hint="eastAsia" w:ascii="宋体" w:hAnsi="宋体" w:cs="宋体"/>
          <w:b/>
          <w:sz w:val="24"/>
        </w:rPr>
      </w:pPr>
      <w:r>
        <w:rPr>
          <w:rFonts w:hint="eastAsia" w:ascii="宋体" w:hAnsi="宋体" w:cs="宋体"/>
          <w:b/>
          <w:sz w:val="24"/>
        </w:rPr>
        <w:t>1.除交易文件标注的参考品牌外，欢迎其它能满足本项目技术需求且性能与所注品牌相当的产品参与。</w:t>
      </w:r>
    </w:p>
    <w:p w14:paraId="0E90299E">
      <w:pPr>
        <w:spacing w:line="360" w:lineRule="auto"/>
        <w:ind w:right="-458" w:rightChars="-218" w:firstLine="480" w:firstLineChars="200"/>
        <w:rPr>
          <w:rFonts w:hint="eastAsia" w:ascii="宋体" w:hAnsi="宋体" w:cs="宋体"/>
          <w:sz w:val="24"/>
        </w:rPr>
      </w:pPr>
      <w:r>
        <w:rPr>
          <w:rFonts w:hint="eastAsia" w:ascii="宋体" w:hAnsi="宋体" w:cs="宋体"/>
          <w:sz w:val="24"/>
        </w:rPr>
        <w:t>2.新增设备按采购人提供的清单计入。</w:t>
      </w:r>
    </w:p>
    <w:p w14:paraId="4B995143">
      <w:pPr>
        <w:spacing w:line="360" w:lineRule="auto"/>
        <w:ind w:right="31" w:rightChars="15" w:firstLine="480" w:firstLineChars="200"/>
        <w:rPr>
          <w:rFonts w:hint="eastAsia" w:ascii="宋体" w:hAnsi="宋体" w:cs="宋体"/>
          <w:b/>
          <w:sz w:val="24"/>
        </w:rPr>
      </w:pPr>
      <w:r>
        <w:rPr>
          <w:rFonts w:hint="eastAsia" w:ascii="宋体" w:hAnsi="宋体" w:cs="宋体"/>
          <w:sz w:val="24"/>
        </w:rPr>
        <w:t>3</w:t>
      </w:r>
      <w:r>
        <w:rPr>
          <w:rFonts w:hint="eastAsia" w:ascii="宋体" w:hAnsi="宋体" w:cs="宋体"/>
          <w:b/>
          <w:sz w:val="24"/>
        </w:rPr>
        <w:t>.交易文件中打</w:t>
      </w:r>
      <w:r>
        <w:rPr>
          <w:rFonts w:hint="eastAsia" w:ascii="宋体" w:hAnsi="宋体" w:cs="宋体"/>
          <w:sz w:val="24"/>
        </w:rPr>
        <w:t>▲</w:t>
      </w:r>
      <w:r>
        <w:rPr>
          <w:rFonts w:hint="eastAsia" w:ascii="宋体" w:hAnsi="宋体" w:cs="宋体"/>
          <w:b/>
          <w:sz w:val="24"/>
        </w:rPr>
        <w:t>内容为实质性要求，不允许有负偏离，否则将以涉及无效响应条款作无效响应。</w:t>
      </w:r>
    </w:p>
    <w:p w14:paraId="53CF6063">
      <w:pPr>
        <w:spacing w:line="360" w:lineRule="auto"/>
        <w:ind w:right="31" w:rightChars="15" w:firstLine="480" w:firstLineChars="200"/>
        <w:rPr>
          <w:rFonts w:hint="eastAsia" w:ascii="宋体" w:hAnsi="宋体" w:cs="宋体"/>
          <w:sz w:val="24"/>
        </w:rPr>
      </w:pPr>
      <w:r>
        <w:rPr>
          <w:rFonts w:hint="eastAsia" w:ascii="宋体" w:hAnsi="宋体" w:cs="宋体"/>
          <w:sz w:val="24"/>
        </w:rPr>
        <w:t>4、供应商所提供的货物、服务须与响应文件内承诺一致，不得以次充好、偷工减料，若在项目验收中发现有上述情况，将向有关部门举报，根据相关规定进行处理。</w:t>
      </w:r>
    </w:p>
    <w:p w14:paraId="55B1A921">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1BB237CC">
      <w:pPr>
        <w:snapToGrid w:val="0"/>
        <w:spacing w:line="360" w:lineRule="auto"/>
        <w:jc w:val="center"/>
        <w:rPr>
          <w:rFonts w:hint="eastAsia"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17" w:name="_Toc184312125"/>
      <w:bookmarkEnd w:id="17"/>
      <w:bookmarkStart w:id="18" w:name="_Toc184312120"/>
      <w:bookmarkEnd w:id="18"/>
      <w:bookmarkStart w:id="19" w:name="_Toc184312074"/>
      <w:bookmarkEnd w:id="19"/>
      <w:bookmarkStart w:id="20" w:name="_Toc184313294"/>
      <w:bookmarkEnd w:id="20"/>
      <w:bookmarkStart w:id="21" w:name="_Toc184308081"/>
      <w:bookmarkEnd w:id="21"/>
      <w:bookmarkStart w:id="22" w:name="_Toc184312078"/>
      <w:bookmarkEnd w:id="22"/>
      <w:bookmarkStart w:id="23" w:name="_Toc184313274"/>
      <w:bookmarkEnd w:id="23"/>
      <w:bookmarkStart w:id="24" w:name="_Toc184313252"/>
      <w:bookmarkEnd w:id="24"/>
      <w:bookmarkStart w:id="25" w:name="_Toc184312112"/>
      <w:bookmarkEnd w:id="25"/>
      <w:bookmarkStart w:id="26" w:name="_Toc184310280"/>
      <w:bookmarkEnd w:id="26"/>
      <w:bookmarkStart w:id="27" w:name="_Toc184313287"/>
      <w:bookmarkEnd w:id="27"/>
      <w:bookmarkStart w:id="28" w:name="_Toc184308104"/>
      <w:bookmarkEnd w:id="28"/>
      <w:bookmarkStart w:id="29" w:name="_Toc184313240"/>
      <w:bookmarkEnd w:id="29"/>
      <w:bookmarkStart w:id="30" w:name="_Toc184312118"/>
      <w:bookmarkEnd w:id="30"/>
      <w:bookmarkStart w:id="31" w:name="_Toc184308077"/>
      <w:bookmarkEnd w:id="31"/>
      <w:bookmarkStart w:id="32" w:name="_Toc184313256"/>
      <w:bookmarkEnd w:id="32"/>
      <w:bookmarkStart w:id="33" w:name="_Toc184310321"/>
      <w:bookmarkEnd w:id="33"/>
      <w:bookmarkStart w:id="34" w:name="_Toc184308054"/>
      <w:bookmarkEnd w:id="34"/>
      <w:bookmarkStart w:id="35" w:name="_Toc184314480"/>
      <w:bookmarkEnd w:id="35"/>
      <w:bookmarkStart w:id="36" w:name="_Toc184310317"/>
      <w:bookmarkEnd w:id="36"/>
      <w:bookmarkStart w:id="37" w:name="_Toc184308068"/>
      <w:bookmarkEnd w:id="37"/>
      <w:bookmarkStart w:id="38" w:name="_Toc184310310"/>
      <w:bookmarkEnd w:id="38"/>
      <w:bookmarkStart w:id="39" w:name="_Toc184314442"/>
      <w:bookmarkEnd w:id="39"/>
      <w:bookmarkStart w:id="40" w:name="_Toc184312110"/>
      <w:bookmarkEnd w:id="40"/>
      <w:bookmarkStart w:id="41" w:name="_Toc184312126"/>
      <w:bookmarkEnd w:id="41"/>
      <w:bookmarkStart w:id="42" w:name="_Toc184308042"/>
      <w:bookmarkEnd w:id="42"/>
      <w:bookmarkStart w:id="43" w:name="_Toc184314468"/>
      <w:bookmarkEnd w:id="43"/>
      <w:bookmarkStart w:id="44" w:name="_Toc184308108"/>
      <w:bookmarkEnd w:id="44"/>
      <w:bookmarkStart w:id="45" w:name="_Toc184310283"/>
      <w:bookmarkEnd w:id="45"/>
      <w:bookmarkStart w:id="46" w:name="_Toc184314464"/>
      <w:bookmarkEnd w:id="46"/>
      <w:bookmarkStart w:id="47" w:name="_Toc184312132"/>
      <w:bookmarkEnd w:id="47"/>
      <w:bookmarkStart w:id="48" w:name="_Toc184313260"/>
      <w:bookmarkEnd w:id="48"/>
      <w:bookmarkStart w:id="49" w:name="_Toc184308098"/>
      <w:bookmarkEnd w:id="49"/>
      <w:bookmarkStart w:id="50" w:name="_Toc184312092"/>
      <w:bookmarkEnd w:id="50"/>
      <w:bookmarkStart w:id="51" w:name="_Toc184312108"/>
      <w:bookmarkEnd w:id="51"/>
      <w:bookmarkStart w:id="52" w:name="_Toc184312101"/>
      <w:bookmarkEnd w:id="52"/>
      <w:bookmarkStart w:id="53" w:name="_Toc184310312"/>
      <w:bookmarkEnd w:id="53"/>
      <w:bookmarkStart w:id="54" w:name="_Toc184308038"/>
      <w:bookmarkEnd w:id="54"/>
      <w:bookmarkStart w:id="55" w:name="_Toc184314434"/>
      <w:bookmarkEnd w:id="55"/>
      <w:bookmarkStart w:id="56" w:name="_Toc184308097"/>
      <w:bookmarkEnd w:id="56"/>
      <w:bookmarkStart w:id="57" w:name="_Toc184310318"/>
      <w:bookmarkEnd w:id="57"/>
      <w:bookmarkStart w:id="58" w:name="_Toc184313296"/>
      <w:bookmarkEnd w:id="58"/>
      <w:bookmarkStart w:id="59" w:name="_Toc184308099"/>
      <w:bookmarkEnd w:id="59"/>
      <w:bookmarkStart w:id="60" w:name="_Toc184314433"/>
      <w:bookmarkEnd w:id="60"/>
      <w:bookmarkStart w:id="61" w:name="_Toc184310302"/>
      <w:bookmarkEnd w:id="61"/>
      <w:bookmarkStart w:id="62" w:name="_Toc184313297"/>
      <w:bookmarkEnd w:id="62"/>
      <w:bookmarkStart w:id="63" w:name="_Toc184310288"/>
      <w:bookmarkEnd w:id="63"/>
      <w:bookmarkStart w:id="64" w:name="_Toc184312070"/>
      <w:bookmarkEnd w:id="64"/>
      <w:bookmarkStart w:id="65" w:name="_Toc184314455"/>
      <w:bookmarkEnd w:id="65"/>
      <w:bookmarkStart w:id="66" w:name="_Toc184313239"/>
      <w:bookmarkEnd w:id="66"/>
      <w:bookmarkStart w:id="67" w:name="_Toc184312098"/>
      <w:bookmarkEnd w:id="67"/>
      <w:bookmarkStart w:id="68" w:name="_Toc184314460"/>
      <w:bookmarkEnd w:id="68"/>
      <w:bookmarkStart w:id="69" w:name="_Toc184312084"/>
      <w:bookmarkEnd w:id="69"/>
      <w:bookmarkStart w:id="70" w:name="_Toc184310275"/>
      <w:bookmarkEnd w:id="70"/>
      <w:bookmarkStart w:id="71" w:name="_Toc184314467"/>
      <w:bookmarkEnd w:id="71"/>
      <w:bookmarkStart w:id="72" w:name="_Toc184313262"/>
      <w:bookmarkEnd w:id="72"/>
      <w:bookmarkStart w:id="73" w:name="_Toc184310319"/>
      <w:bookmarkEnd w:id="73"/>
      <w:bookmarkStart w:id="74" w:name="_Toc184313290"/>
      <w:bookmarkEnd w:id="74"/>
      <w:bookmarkStart w:id="75" w:name="_Toc184310308"/>
      <w:bookmarkEnd w:id="75"/>
      <w:bookmarkStart w:id="76" w:name="_Toc184310323"/>
      <w:bookmarkEnd w:id="76"/>
      <w:bookmarkStart w:id="77" w:name="_Toc184314441"/>
      <w:bookmarkEnd w:id="77"/>
      <w:bookmarkStart w:id="78" w:name="_Toc184313246"/>
      <w:bookmarkEnd w:id="78"/>
      <w:bookmarkStart w:id="79" w:name="_Toc184312090"/>
      <w:bookmarkEnd w:id="79"/>
      <w:bookmarkStart w:id="80" w:name="_Toc184314474"/>
      <w:bookmarkEnd w:id="80"/>
      <w:bookmarkStart w:id="81" w:name="_Toc184313254"/>
      <w:bookmarkEnd w:id="81"/>
      <w:bookmarkStart w:id="82" w:name="_Toc184314416"/>
      <w:bookmarkEnd w:id="82"/>
      <w:bookmarkStart w:id="83" w:name="_Toc184312115"/>
      <w:bookmarkEnd w:id="83"/>
      <w:bookmarkStart w:id="84" w:name="_Toc184310314"/>
      <w:bookmarkEnd w:id="84"/>
      <w:bookmarkStart w:id="85" w:name="_Toc184308053"/>
      <w:bookmarkEnd w:id="85"/>
      <w:bookmarkStart w:id="86" w:name="_Toc184308084"/>
      <w:bookmarkEnd w:id="86"/>
      <w:bookmarkStart w:id="87" w:name="_Toc184310324"/>
      <w:bookmarkEnd w:id="87"/>
      <w:bookmarkStart w:id="88" w:name="_Toc184310282"/>
      <w:bookmarkEnd w:id="88"/>
      <w:bookmarkStart w:id="89" w:name="_Toc184312082"/>
      <w:bookmarkEnd w:id="89"/>
      <w:bookmarkStart w:id="90" w:name="_Toc184308087"/>
      <w:bookmarkEnd w:id="90"/>
      <w:bookmarkStart w:id="91" w:name="_Toc184314421"/>
      <w:bookmarkEnd w:id="91"/>
      <w:bookmarkStart w:id="92" w:name="_Toc184313308"/>
      <w:bookmarkEnd w:id="92"/>
      <w:bookmarkStart w:id="93" w:name="_Toc184310334"/>
      <w:bookmarkEnd w:id="93"/>
      <w:bookmarkStart w:id="94" w:name="_Toc184313238"/>
      <w:bookmarkEnd w:id="94"/>
      <w:bookmarkStart w:id="95" w:name="_Toc184314465"/>
      <w:bookmarkEnd w:id="95"/>
      <w:bookmarkStart w:id="96" w:name="_Toc184308085"/>
      <w:bookmarkEnd w:id="96"/>
      <w:bookmarkStart w:id="97" w:name="_Toc184314429"/>
      <w:bookmarkEnd w:id="97"/>
      <w:bookmarkStart w:id="98" w:name="_Toc184312130"/>
      <w:bookmarkEnd w:id="98"/>
      <w:bookmarkStart w:id="99" w:name="_Toc184310343"/>
      <w:bookmarkEnd w:id="99"/>
      <w:bookmarkStart w:id="100" w:name="_Toc184313255"/>
      <w:bookmarkEnd w:id="100"/>
      <w:bookmarkStart w:id="101" w:name="_Toc184308100"/>
      <w:bookmarkEnd w:id="101"/>
      <w:bookmarkStart w:id="102" w:name="_Toc184314415"/>
      <w:bookmarkEnd w:id="102"/>
      <w:bookmarkStart w:id="103" w:name="_Toc184312100"/>
      <w:bookmarkEnd w:id="103"/>
      <w:bookmarkStart w:id="104" w:name="_Toc184308091"/>
      <w:bookmarkEnd w:id="104"/>
      <w:bookmarkStart w:id="105" w:name="_Toc184312079"/>
      <w:bookmarkEnd w:id="105"/>
      <w:bookmarkStart w:id="106" w:name="_Toc184313295"/>
      <w:bookmarkEnd w:id="106"/>
      <w:bookmarkStart w:id="107" w:name="_Toc184308066"/>
      <w:bookmarkEnd w:id="107"/>
      <w:bookmarkStart w:id="108" w:name="_Toc184310293"/>
      <w:bookmarkEnd w:id="108"/>
      <w:bookmarkStart w:id="109" w:name="_Toc184314424"/>
      <w:bookmarkEnd w:id="109"/>
      <w:bookmarkStart w:id="110" w:name="_Toc184310290"/>
      <w:bookmarkEnd w:id="110"/>
      <w:bookmarkStart w:id="111" w:name="_Toc184314447"/>
      <w:bookmarkEnd w:id="111"/>
      <w:bookmarkStart w:id="112" w:name="_Toc184312137"/>
      <w:bookmarkEnd w:id="112"/>
      <w:bookmarkStart w:id="113" w:name="_Toc184314449"/>
      <w:bookmarkEnd w:id="113"/>
      <w:bookmarkStart w:id="114" w:name="_Toc184314481"/>
      <w:bookmarkEnd w:id="114"/>
      <w:bookmarkStart w:id="115" w:name="_Toc184313266"/>
      <w:bookmarkEnd w:id="115"/>
      <w:bookmarkStart w:id="116" w:name="_Toc184313264"/>
      <w:bookmarkEnd w:id="116"/>
      <w:bookmarkStart w:id="117" w:name="_Toc184313250"/>
      <w:bookmarkEnd w:id="117"/>
      <w:bookmarkStart w:id="118" w:name="_Toc184310301"/>
      <w:bookmarkEnd w:id="118"/>
      <w:bookmarkStart w:id="119" w:name="_Toc184314426"/>
      <w:bookmarkEnd w:id="119"/>
      <w:bookmarkStart w:id="120" w:name="_Toc184308106"/>
      <w:bookmarkEnd w:id="120"/>
      <w:bookmarkStart w:id="121" w:name="_Toc184314482"/>
      <w:bookmarkEnd w:id="121"/>
      <w:bookmarkStart w:id="122" w:name="_Toc184314423"/>
      <w:bookmarkEnd w:id="122"/>
      <w:bookmarkStart w:id="123" w:name="_Toc184310335"/>
      <w:bookmarkEnd w:id="123"/>
      <w:bookmarkStart w:id="124" w:name="_Toc184313299"/>
      <w:bookmarkEnd w:id="124"/>
      <w:bookmarkStart w:id="125" w:name="_Toc184310344"/>
      <w:bookmarkEnd w:id="125"/>
      <w:bookmarkStart w:id="126" w:name="_Toc184312136"/>
      <w:bookmarkEnd w:id="126"/>
      <w:bookmarkStart w:id="127" w:name="_Toc184310297"/>
      <w:bookmarkEnd w:id="127"/>
      <w:bookmarkStart w:id="128" w:name="_Toc184313243"/>
      <w:bookmarkEnd w:id="128"/>
      <w:bookmarkStart w:id="129" w:name="_Toc184313241"/>
      <w:bookmarkEnd w:id="129"/>
      <w:bookmarkStart w:id="130" w:name="_Toc184313261"/>
      <w:bookmarkEnd w:id="130"/>
      <w:bookmarkStart w:id="131" w:name="_Toc184312077"/>
      <w:bookmarkEnd w:id="131"/>
      <w:bookmarkStart w:id="132" w:name="_Toc184312119"/>
      <w:bookmarkEnd w:id="132"/>
      <w:bookmarkStart w:id="133" w:name="_Toc184310341"/>
      <w:bookmarkEnd w:id="133"/>
      <w:bookmarkStart w:id="134" w:name="_Toc184312094"/>
      <w:bookmarkEnd w:id="134"/>
      <w:bookmarkStart w:id="135" w:name="_Toc184313247"/>
      <w:bookmarkEnd w:id="135"/>
      <w:bookmarkStart w:id="136" w:name="_Toc184310289"/>
      <w:bookmarkEnd w:id="136"/>
      <w:bookmarkStart w:id="137" w:name="_Toc184314477"/>
      <w:bookmarkEnd w:id="137"/>
      <w:bookmarkStart w:id="138" w:name="_Toc184313271"/>
      <w:bookmarkEnd w:id="138"/>
      <w:bookmarkStart w:id="139" w:name="_Toc184314439"/>
      <w:bookmarkEnd w:id="139"/>
      <w:bookmarkStart w:id="140" w:name="_Toc184312104"/>
      <w:bookmarkEnd w:id="140"/>
      <w:bookmarkStart w:id="141" w:name="_Toc184314451"/>
      <w:bookmarkEnd w:id="141"/>
      <w:bookmarkStart w:id="142" w:name="_Toc184310278"/>
      <w:bookmarkEnd w:id="142"/>
      <w:bookmarkStart w:id="143" w:name="_Toc184314463"/>
      <w:bookmarkEnd w:id="143"/>
      <w:bookmarkStart w:id="144" w:name="_Toc184314478"/>
      <w:bookmarkEnd w:id="144"/>
      <w:bookmarkStart w:id="145" w:name="_Toc184310273"/>
      <w:bookmarkEnd w:id="145"/>
      <w:bookmarkStart w:id="146" w:name="_Toc184310342"/>
      <w:bookmarkEnd w:id="146"/>
      <w:bookmarkStart w:id="147" w:name="_Toc184308047"/>
      <w:bookmarkEnd w:id="147"/>
      <w:bookmarkStart w:id="148" w:name="_Toc184308040"/>
      <w:bookmarkEnd w:id="148"/>
      <w:bookmarkStart w:id="149" w:name="_Toc184314476"/>
      <w:bookmarkEnd w:id="149"/>
      <w:bookmarkStart w:id="150" w:name="_Toc184312105"/>
      <w:bookmarkEnd w:id="150"/>
      <w:bookmarkStart w:id="151" w:name="_Toc184313283"/>
      <w:bookmarkEnd w:id="151"/>
      <w:bookmarkStart w:id="152" w:name="_Toc184308044"/>
      <w:bookmarkEnd w:id="152"/>
      <w:bookmarkStart w:id="153" w:name="_Toc184313251"/>
      <w:bookmarkEnd w:id="153"/>
      <w:bookmarkStart w:id="154" w:name="_Toc184308065"/>
      <w:bookmarkEnd w:id="154"/>
      <w:bookmarkStart w:id="155" w:name="_Toc184313281"/>
      <w:bookmarkEnd w:id="155"/>
      <w:bookmarkStart w:id="156" w:name="_Toc184314472"/>
      <w:bookmarkEnd w:id="156"/>
      <w:bookmarkStart w:id="157" w:name="_Toc184314461"/>
      <w:bookmarkEnd w:id="157"/>
      <w:bookmarkStart w:id="158" w:name="_Toc184314427"/>
      <w:bookmarkEnd w:id="158"/>
      <w:bookmarkStart w:id="159" w:name="_Toc184312116"/>
      <w:bookmarkEnd w:id="159"/>
      <w:bookmarkStart w:id="160" w:name="_Toc184308107"/>
      <w:bookmarkEnd w:id="160"/>
      <w:bookmarkStart w:id="161" w:name="_Toc184310298"/>
      <w:bookmarkEnd w:id="161"/>
      <w:bookmarkStart w:id="162" w:name="_Toc184312080"/>
      <w:bookmarkEnd w:id="162"/>
      <w:bookmarkStart w:id="163" w:name="_Toc184313244"/>
      <w:bookmarkEnd w:id="163"/>
      <w:bookmarkStart w:id="164" w:name="_Toc184308090"/>
      <w:bookmarkEnd w:id="164"/>
      <w:bookmarkStart w:id="165" w:name="_Toc184308043"/>
      <w:bookmarkEnd w:id="165"/>
      <w:bookmarkStart w:id="166" w:name="_Toc184308074"/>
      <w:bookmarkEnd w:id="166"/>
      <w:bookmarkStart w:id="167" w:name="_Toc184308075"/>
      <w:bookmarkEnd w:id="167"/>
      <w:bookmarkStart w:id="168" w:name="_Toc184313284"/>
      <w:bookmarkEnd w:id="168"/>
      <w:bookmarkStart w:id="169" w:name="_Toc184314444"/>
      <w:bookmarkEnd w:id="169"/>
      <w:bookmarkStart w:id="170" w:name="_Toc184310294"/>
      <w:bookmarkEnd w:id="170"/>
      <w:bookmarkStart w:id="171" w:name="_Toc184308088"/>
      <w:bookmarkEnd w:id="171"/>
      <w:bookmarkStart w:id="172" w:name="_Toc184314458"/>
      <w:bookmarkEnd w:id="172"/>
      <w:bookmarkStart w:id="173" w:name="_Toc184310272"/>
      <w:bookmarkEnd w:id="173"/>
      <w:bookmarkStart w:id="174" w:name="_Toc184310305"/>
      <w:bookmarkEnd w:id="174"/>
      <w:bookmarkStart w:id="175" w:name="_Toc184308058"/>
      <w:bookmarkEnd w:id="175"/>
      <w:bookmarkStart w:id="176" w:name="_Toc184308067"/>
      <w:bookmarkEnd w:id="176"/>
      <w:bookmarkStart w:id="177" w:name="_Toc184308057"/>
      <w:bookmarkEnd w:id="177"/>
      <w:bookmarkStart w:id="178" w:name="_Toc184308089"/>
      <w:bookmarkEnd w:id="178"/>
      <w:bookmarkStart w:id="179" w:name="_Toc184314438"/>
      <w:bookmarkEnd w:id="179"/>
      <w:bookmarkStart w:id="180" w:name="_Toc184312086"/>
      <w:bookmarkEnd w:id="180"/>
      <w:bookmarkStart w:id="181" w:name="_Toc184312096"/>
      <w:bookmarkEnd w:id="181"/>
      <w:bookmarkStart w:id="182" w:name="_Toc184310309"/>
      <w:bookmarkEnd w:id="182"/>
      <w:bookmarkStart w:id="183" w:name="_Toc184313242"/>
      <w:bookmarkEnd w:id="183"/>
      <w:bookmarkStart w:id="184" w:name="_Toc184312109"/>
      <w:bookmarkEnd w:id="184"/>
      <w:bookmarkStart w:id="185" w:name="_Toc184312073"/>
      <w:bookmarkEnd w:id="185"/>
      <w:bookmarkStart w:id="186" w:name="_Toc184310300"/>
      <w:bookmarkEnd w:id="186"/>
      <w:bookmarkStart w:id="187" w:name="_Toc184314413"/>
      <w:bookmarkEnd w:id="187"/>
      <w:bookmarkStart w:id="188" w:name="_Toc184308082"/>
      <w:bookmarkEnd w:id="188"/>
      <w:bookmarkStart w:id="189" w:name="_Toc184312083"/>
      <w:bookmarkEnd w:id="189"/>
      <w:bookmarkStart w:id="190" w:name="_Toc184308046"/>
      <w:bookmarkEnd w:id="190"/>
      <w:bookmarkStart w:id="191" w:name="_Toc184308052"/>
      <w:bookmarkEnd w:id="191"/>
      <w:bookmarkStart w:id="192" w:name="_Toc184310340"/>
      <w:bookmarkEnd w:id="192"/>
      <w:bookmarkStart w:id="193" w:name="_Toc184310330"/>
      <w:bookmarkEnd w:id="193"/>
      <w:bookmarkStart w:id="194" w:name="_Toc184314414"/>
      <w:bookmarkEnd w:id="194"/>
      <w:bookmarkStart w:id="195" w:name="_Toc184313279"/>
      <w:bookmarkEnd w:id="195"/>
      <w:bookmarkStart w:id="196" w:name="_Toc184314422"/>
      <w:bookmarkEnd w:id="196"/>
      <w:bookmarkStart w:id="197" w:name="_Toc184308096"/>
      <w:bookmarkEnd w:id="197"/>
      <w:bookmarkStart w:id="198" w:name="_Toc184308079"/>
      <w:bookmarkEnd w:id="198"/>
      <w:bookmarkStart w:id="199" w:name="_Toc184313288"/>
      <w:bookmarkEnd w:id="199"/>
      <w:bookmarkStart w:id="200" w:name="_Toc184313293"/>
      <w:bookmarkEnd w:id="200"/>
      <w:bookmarkStart w:id="201" w:name="_Toc184312129"/>
      <w:bookmarkEnd w:id="201"/>
      <w:bookmarkStart w:id="202" w:name="_Toc184308095"/>
      <w:bookmarkEnd w:id="202"/>
      <w:bookmarkStart w:id="203" w:name="_Toc184308041"/>
      <w:bookmarkEnd w:id="203"/>
      <w:bookmarkStart w:id="204" w:name="_Toc184314443"/>
      <w:bookmarkEnd w:id="204"/>
      <w:bookmarkStart w:id="205" w:name="_Toc184312093"/>
      <w:bookmarkEnd w:id="205"/>
      <w:bookmarkStart w:id="206" w:name="_Toc184310326"/>
      <w:bookmarkEnd w:id="206"/>
      <w:bookmarkStart w:id="207" w:name="_Toc184312069"/>
      <w:bookmarkEnd w:id="207"/>
      <w:bookmarkStart w:id="208" w:name="_Toc184310328"/>
      <w:bookmarkEnd w:id="208"/>
      <w:bookmarkStart w:id="209" w:name="_Toc184312124"/>
      <w:bookmarkEnd w:id="209"/>
      <w:bookmarkStart w:id="210" w:name="_Toc184312117"/>
      <w:bookmarkEnd w:id="210"/>
      <w:bookmarkStart w:id="211" w:name="_Toc184312122"/>
      <w:bookmarkEnd w:id="211"/>
      <w:bookmarkStart w:id="212" w:name="_Toc184312127"/>
      <w:bookmarkEnd w:id="212"/>
      <w:bookmarkStart w:id="213" w:name="_Toc184312107"/>
      <w:bookmarkEnd w:id="213"/>
      <w:bookmarkStart w:id="214" w:name="_Toc184310311"/>
      <w:bookmarkEnd w:id="214"/>
      <w:bookmarkStart w:id="215" w:name="_Toc184312072"/>
      <w:bookmarkEnd w:id="215"/>
      <w:bookmarkStart w:id="216" w:name="_Toc184310295"/>
      <w:bookmarkEnd w:id="216"/>
      <w:bookmarkStart w:id="217" w:name="_Toc184310320"/>
      <w:bookmarkEnd w:id="217"/>
      <w:bookmarkStart w:id="218" w:name="_Toc184308102"/>
      <w:bookmarkEnd w:id="218"/>
      <w:bookmarkStart w:id="219" w:name="_Toc184313302"/>
      <w:bookmarkEnd w:id="219"/>
      <w:bookmarkStart w:id="220" w:name="_Toc184314428"/>
      <w:bookmarkEnd w:id="220"/>
      <w:bookmarkStart w:id="221" w:name="_Toc184308039"/>
      <w:bookmarkEnd w:id="221"/>
      <w:bookmarkStart w:id="222" w:name="_Toc184314410"/>
      <w:bookmarkEnd w:id="222"/>
      <w:bookmarkStart w:id="223" w:name="_Toc184308086"/>
      <w:bookmarkEnd w:id="223"/>
      <w:bookmarkStart w:id="224" w:name="_Toc184313291"/>
      <w:bookmarkEnd w:id="224"/>
      <w:bookmarkStart w:id="225" w:name="_Toc184314425"/>
      <w:bookmarkEnd w:id="225"/>
      <w:bookmarkStart w:id="226" w:name="_Toc184308076"/>
      <w:bookmarkEnd w:id="226"/>
      <w:bookmarkStart w:id="227" w:name="_Toc184312111"/>
      <w:bookmarkEnd w:id="227"/>
      <w:bookmarkStart w:id="228" w:name="_Toc184310281"/>
      <w:bookmarkEnd w:id="228"/>
      <w:bookmarkStart w:id="229" w:name="_Toc184314456"/>
      <w:bookmarkEnd w:id="229"/>
      <w:bookmarkStart w:id="230" w:name="_Toc184314448"/>
      <w:bookmarkEnd w:id="230"/>
      <w:bookmarkStart w:id="231" w:name="_Toc184314445"/>
      <w:bookmarkEnd w:id="231"/>
      <w:bookmarkStart w:id="232" w:name="_Toc184313265"/>
      <w:bookmarkEnd w:id="232"/>
      <w:bookmarkStart w:id="233" w:name="_Toc184313303"/>
      <w:bookmarkEnd w:id="233"/>
      <w:bookmarkStart w:id="234" w:name="_Toc184313272"/>
      <w:bookmarkEnd w:id="234"/>
      <w:bookmarkStart w:id="235" w:name="_Toc184310329"/>
      <w:bookmarkEnd w:id="235"/>
      <w:bookmarkStart w:id="236" w:name="_Toc184308070"/>
      <w:bookmarkEnd w:id="236"/>
      <w:bookmarkStart w:id="237" w:name="_Toc184314419"/>
      <w:bookmarkEnd w:id="237"/>
      <w:bookmarkStart w:id="238" w:name="_Toc184313309"/>
      <w:bookmarkEnd w:id="238"/>
      <w:bookmarkStart w:id="239" w:name="_Toc184313249"/>
      <w:bookmarkEnd w:id="239"/>
      <w:bookmarkStart w:id="240" w:name="_Toc184313273"/>
      <w:bookmarkEnd w:id="240"/>
      <w:bookmarkStart w:id="241" w:name="_Toc184313305"/>
      <w:bookmarkEnd w:id="241"/>
      <w:bookmarkStart w:id="242" w:name="_Toc184310296"/>
      <w:bookmarkEnd w:id="242"/>
      <w:bookmarkStart w:id="243" w:name="_Toc184308051"/>
      <w:bookmarkEnd w:id="243"/>
      <w:bookmarkStart w:id="244" w:name="_Toc184313277"/>
      <w:bookmarkEnd w:id="244"/>
      <w:bookmarkStart w:id="245" w:name="_Toc184310306"/>
      <w:bookmarkEnd w:id="245"/>
      <w:bookmarkStart w:id="246" w:name="_Toc184308056"/>
      <w:bookmarkEnd w:id="246"/>
      <w:bookmarkStart w:id="247" w:name="_Toc184312081"/>
      <w:bookmarkEnd w:id="247"/>
      <w:bookmarkStart w:id="248" w:name="_Toc184310304"/>
      <w:bookmarkEnd w:id="248"/>
      <w:bookmarkStart w:id="249" w:name="_Toc184314479"/>
      <w:bookmarkEnd w:id="249"/>
      <w:bookmarkStart w:id="250" w:name="_Toc184312068"/>
      <w:bookmarkEnd w:id="250"/>
      <w:bookmarkStart w:id="251" w:name="_Toc184312091"/>
      <w:bookmarkEnd w:id="251"/>
      <w:bookmarkStart w:id="252" w:name="_Toc184308059"/>
      <w:bookmarkEnd w:id="252"/>
      <w:bookmarkStart w:id="253" w:name="_Toc184314457"/>
      <w:bookmarkEnd w:id="253"/>
      <w:bookmarkStart w:id="254" w:name="_Toc184314453"/>
      <w:bookmarkEnd w:id="254"/>
      <w:bookmarkStart w:id="255" w:name="_Toc184308064"/>
      <w:bookmarkEnd w:id="255"/>
      <w:bookmarkStart w:id="256" w:name="_Toc184308078"/>
      <w:bookmarkEnd w:id="256"/>
      <w:bookmarkStart w:id="257" w:name="_Toc184314446"/>
      <w:bookmarkEnd w:id="257"/>
      <w:bookmarkStart w:id="258" w:name="_Toc184314435"/>
      <w:bookmarkEnd w:id="258"/>
      <w:bookmarkStart w:id="259" w:name="_Toc184310333"/>
      <w:bookmarkEnd w:id="259"/>
      <w:bookmarkStart w:id="260" w:name="_Toc184308049"/>
      <w:bookmarkEnd w:id="260"/>
      <w:bookmarkStart w:id="261" w:name="_Toc184313269"/>
      <w:bookmarkEnd w:id="261"/>
      <w:bookmarkStart w:id="262" w:name="_Toc184314473"/>
      <w:bookmarkEnd w:id="262"/>
      <w:bookmarkStart w:id="263" w:name="_Toc184312103"/>
      <w:bookmarkEnd w:id="263"/>
      <w:bookmarkStart w:id="264" w:name="_Toc184314432"/>
      <w:bookmarkEnd w:id="264"/>
      <w:bookmarkStart w:id="265" w:name="_Toc184310291"/>
      <w:bookmarkEnd w:id="265"/>
      <w:bookmarkStart w:id="266" w:name="_Toc184314418"/>
      <w:bookmarkEnd w:id="266"/>
      <w:bookmarkStart w:id="267" w:name="_Toc184312135"/>
      <w:bookmarkEnd w:id="267"/>
      <w:bookmarkStart w:id="268" w:name="_Toc184312102"/>
      <w:bookmarkEnd w:id="268"/>
      <w:bookmarkStart w:id="269" w:name="_Toc184308045"/>
      <w:bookmarkEnd w:id="269"/>
      <w:bookmarkStart w:id="270" w:name="_Toc184313276"/>
      <w:bookmarkEnd w:id="270"/>
      <w:bookmarkStart w:id="271" w:name="_Toc184313267"/>
      <w:bookmarkEnd w:id="271"/>
      <w:bookmarkStart w:id="272" w:name="_Toc184312076"/>
      <w:bookmarkEnd w:id="272"/>
      <w:bookmarkStart w:id="273" w:name="_Toc184310331"/>
      <w:bookmarkEnd w:id="273"/>
      <w:bookmarkStart w:id="274" w:name="_Toc184308105"/>
      <w:bookmarkEnd w:id="274"/>
      <w:bookmarkStart w:id="275" w:name="_Toc184310292"/>
      <w:bookmarkEnd w:id="275"/>
      <w:bookmarkStart w:id="276" w:name="_Toc184313282"/>
      <w:bookmarkEnd w:id="276"/>
      <w:bookmarkStart w:id="277" w:name="_Toc184308048"/>
      <w:bookmarkEnd w:id="277"/>
      <w:bookmarkStart w:id="278" w:name="_Toc184312114"/>
      <w:bookmarkEnd w:id="278"/>
      <w:bookmarkStart w:id="279" w:name="_Toc184314459"/>
      <w:bookmarkEnd w:id="279"/>
      <w:bookmarkStart w:id="280" w:name="_Toc184310286"/>
      <w:bookmarkEnd w:id="280"/>
      <w:bookmarkStart w:id="281" w:name="_Toc184314436"/>
      <w:bookmarkEnd w:id="281"/>
      <w:bookmarkStart w:id="282" w:name="_Toc184313258"/>
      <w:bookmarkEnd w:id="282"/>
      <w:bookmarkStart w:id="283" w:name="_Toc184310277"/>
      <w:bookmarkEnd w:id="283"/>
      <w:bookmarkStart w:id="284" w:name="_Toc184314462"/>
      <w:bookmarkEnd w:id="284"/>
      <w:bookmarkStart w:id="285" w:name="_Toc184313292"/>
      <w:bookmarkEnd w:id="285"/>
      <w:bookmarkStart w:id="286" w:name="_Toc184310284"/>
      <w:bookmarkEnd w:id="286"/>
      <w:bookmarkStart w:id="287" w:name="_Toc184310279"/>
      <w:bookmarkEnd w:id="287"/>
      <w:bookmarkStart w:id="288" w:name="_Toc184313259"/>
      <w:bookmarkEnd w:id="288"/>
      <w:bookmarkStart w:id="289" w:name="_Toc184313275"/>
      <w:bookmarkEnd w:id="289"/>
      <w:bookmarkStart w:id="290" w:name="_Toc184314411"/>
      <w:bookmarkEnd w:id="290"/>
      <w:bookmarkStart w:id="291" w:name="_Toc184308050"/>
      <w:bookmarkEnd w:id="291"/>
      <w:bookmarkStart w:id="292" w:name="_Toc184312085"/>
      <w:bookmarkEnd w:id="292"/>
      <w:bookmarkStart w:id="293" w:name="_Toc184310336"/>
      <w:bookmarkEnd w:id="293"/>
      <w:bookmarkStart w:id="294" w:name="_Toc184313298"/>
      <w:bookmarkEnd w:id="294"/>
      <w:bookmarkStart w:id="295" w:name="_Toc184313289"/>
      <w:bookmarkEnd w:id="295"/>
      <w:bookmarkStart w:id="296" w:name="_Toc184314469"/>
      <w:bookmarkEnd w:id="296"/>
      <w:bookmarkStart w:id="297" w:name="_Toc184314454"/>
      <w:bookmarkEnd w:id="297"/>
      <w:bookmarkStart w:id="298" w:name="_Toc184312106"/>
      <w:bookmarkEnd w:id="298"/>
      <w:bookmarkStart w:id="299" w:name="_Toc184310313"/>
      <w:bookmarkEnd w:id="299"/>
      <w:bookmarkStart w:id="300" w:name="_Toc184308080"/>
      <w:bookmarkEnd w:id="300"/>
      <w:bookmarkStart w:id="301" w:name="_Toc184314431"/>
      <w:bookmarkEnd w:id="301"/>
      <w:bookmarkStart w:id="302" w:name="_Toc184312089"/>
      <w:bookmarkEnd w:id="302"/>
      <w:bookmarkStart w:id="303" w:name="_Toc184310337"/>
      <w:bookmarkEnd w:id="303"/>
      <w:bookmarkStart w:id="304" w:name="_Toc184313286"/>
      <w:bookmarkEnd w:id="304"/>
      <w:bookmarkStart w:id="305" w:name="_Toc184314475"/>
      <w:bookmarkEnd w:id="305"/>
      <w:bookmarkStart w:id="306" w:name="_Toc184314412"/>
      <w:bookmarkEnd w:id="306"/>
      <w:bookmarkStart w:id="307" w:name="_Toc184308071"/>
      <w:bookmarkEnd w:id="307"/>
      <w:bookmarkStart w:id="308" w:name="_Toc184312113"/>
      <w:bookmarkEnd w:id="308"/>
      <w:bookmarkStart w:id="309" w:name="_Toc184312133"/>
      <w:bookmarkEnd w:id="309"/>
      <w:bookmarkStart w:id="310" w:name="_Toc184312075"/>
      <w:bookmarkEnd w:id="310"/>
      <w:bookmarkStart w:id="311" w:name="_Toc184308103"/>
      <w:bookmarkEnd w:id="311"/>
      <w:bookmarkStart w:id="312" w:name="_Toc184308060"/>
      <w:bookmarkEnd w:id="312"/>
      <w:bookmarkStart w:id="313" w:name="_Toc184313257"/>
      <w:bookmarkEnd w:id="313"/>
      <w:bookmarkStart w:id="314" w:name="_Toc184314417"/>
      <w:bookmarkEnd w:id="314"/>
      <w:bookmarkStart w:id="315" w:name="_Toc184310316"/>
      <w:bookmarkEnd w:id="315"/>
      <w:bookmarkStart w:id="316" w:name="_Toc184314430"/>
      <w:bookmarkEnd w:id="316"/>
      <w:bookmarkStart w:id="317" w:name="_Toc184313270"/>
      <w:bookmarkEnd w:id="317"/>
      <w:bookmarkStart w:id="318" w:name="_Toc184312134"/>
      <w:bookmarkEnd w:id="318"/>
      <w:bookmarkStart w:id="319" w:name="_Toc184310325"/>
      <w:bookmarkEnd w:id="319"/>
      <w:bookmarkStart w:id="320" w:name="_Toc184308073"/>
      <w:bookmarkEnd w:id="320"/>
      <w:bookmarkStart w:id="321" w:name="_Toc184314466"/>
      <w:bookmarkEnd w:id="321"/>
      <w:bookmarkStart w:id="322" w:name="_Toc184310322"/>
      <w:bookmarkEnd w:id="322"/>
      <w:bookmarkStart w:id="323" w:name="_Toc184314420"/>
      <w:bookmarkEnd w:id="323"/>
      <w:bookmarkStart w:id="324" w:name="_Toc184310315"/>
      <w:bookmarkEnd w:id="324"/>
      <w:bookmarkStart w:id="325" w:name="_Toc184312097"/>
      <w:bookmarkEnd w:id="325"/>
      <w:bookmarkStart w:id="326" w:name="_Toc184308063"/>
      <w:bookmarkEnd w:id="326"/>
      <w:bookmarkStart w:id="327" w:name="_Toc184312087"/>
      <w:bookmarkEnd w:id="327"/>
      <w:bookmarkStart w:id="328" w:name="_Toc184313280"/>
      <w:bookmarkEnd w:id="328"/>
      <w:bookmarkStart w:id="329" w:name="_Toc184310327"/>
      <w:bookmarkEnd w:id="329"/>
      <w:bookmarkStart w:id="330" w:name="_Toc184313253"/>
      <w:bookmarkEnd w:id="330"/>
      <w:bookmarkStart w:id="331" w:name="_Toc184312139"/>
      <w:bookmarkEnd w:id="331"/>
      <w:bookmarkStart w:id="332" w:name="_Toc184312067"/>
      <w:bookmarkEnd w:id="332"/>
      <w:bookmarkStart w:id="333" w:name="_Toc184310307"/>
      <w:bookmarkEnd w:id="333"/>
      <w:bookmarkStart w:id="334" w:name="_Toc184310339"/>
      <w:bookmarkEnd w:id="334"/>
      <w:bookmarkStart w:id="335" w:name="_Toc184308094"/>
      <w:bookmarkEnd w:id="335"/>
      <w:bookmarkStart w:id="336" w:name="_Toc184313245"/>
      <w:bookmarkEnd w:id="336"/>
      <w:bookmarkStart w:id="337" w:name="_Toc184308055"/>
      <w:bookmarkEnd w:id="337"/>
      <w:bookmarkStart w:id="338" w:name="_Toc184314437"/>
      <w:bookmarkEnd w:id="338"/>
      <w:bookmarkStart w:id="339" w:name="_Toc184313301"/>
      <w:bookmarkEnd w:id="339"/>
      <w:bookmarkStart w:id="340" w:name="_Toc184312131"/>
      <w:bookmarkEnd w:id="340"/>
      <w:bookmarkStart w:id="341" w:name="_Toc184312121"/>
      <w:bookmarkEnd w:id="341"/>
      <w:bookmarkStart w:id="342" w:name="_Toc184308092"/>
      <w:bookmarkEnd w:id="342"/>
      <w:bookmarkStart w:id="343" w:name="_Toc184313304"/>
      <w:bookmarkEnd w:id="343"/>
      <w:bookmarkStart w:id="344" w:name="_Toc184310285"/>
      <w:bookmarkEnd w:id="344"/>
      <w:bookmarkStart w:id="345" w:name="_Toc184312071"/>
      <w:bookmarkEnd w:id="345"/>
      <w:bookmarkStart w:id="346" w:name="_Toc184314450"/>
      <w:bookmarkEnd w:id="346"/>
      <w:bookmarkStart w:id="347" w:name="_Toc184312128"/>
      <w:bookmarkEnd w:id="347"/>
      <w:bookmarkStart w:id="348" w:name="_Toc184313300"/>
      <w:bookmarkEnd w:id="348"/>
      <w:bookmarkStart w:id="349" w:name="_Toc184312123"/>
      <w:bookmarkEnd w:id="349"/>
      <w:bookmarkStart w:id="350" w:name="_Toc184313285"/>
      <w:bookmarkEnd w:id="350"/>
      <w:bookmarkStart w:id="351" w:name="_Toc184312138"/>
      <w:bookmarkEnd w:id="351"/>
      <w:bookmarkStart w:id="352" w:name="_Toc184308072"/>
      <w:bookmarkEnd w:id="352"/>
      <w:bookmarkStart w:id="353" w:name="_Toc184308083"/>
      <w:bookmarkEnd w:id="353"/>
      <w:bookmarkStart w:id="354" w:name="_Toc184314471"/>
      <w:bookmarkEnd w:id="354"/>
      <w:bookmarkStart w:id="355" w:name="_Toc184313263"/>
      <w:bookmarkEnd w:id="355"/>
      <w:bookmarkStart w:id="356" w:name="_Toc184310299"/>
      <w:bookmarkEnd w:id="356"/>
      <w:bookmarkStart w:id="357" w:name="_Toc184310303"/>
      <w:bookmarkEnd w:id="357"/>
      <w:bookmarkStart w:id="358" w:name="_Toc184312099"/>
      <w:bookmarkEnd w:id="358"/>
      <w:bookmarkStart w:id="359" w:name="_Toc184312088"/>
      <w:bookmarkEnd w:id="359"/>
      <w:bookmarkStart w:id="360" w:name="_Toc184313248"/>
      <w:bookmarkEnd w:id="360"/>
      <w:bookmarkStart w:id="361" w:name="_Toc184314452"/>
      <w:bookmarkEnd w:id="361"/>
      <w:bookmarkStart w:id="362" w:name="_Toc184308036"/>
      <w:bookmarkEnd w:id="362"/>
      <w:bookmarkStart w:id="363" w:name="_Toc184308037"/>
      <w:bookmarkEnd w:id="363"/>
      <w:bookmarkStart w:id="364" w:name="_Toc184310332"/>
      <w:bookmarkEnd w:id="364"/>
      <w:bookmarkStart w:id="365" w:name="_Toc184312095"/>
      <w:bookmarkEnd w:id="365"/>
      <w:bookmarkStart w:id="366" w:name="_Toc184314440"/>
      <w:bookmarkEnd w:id="366"/>
      <w:bookmarkStart w:id="367" w:name="_Toc184313306"/>
      <w:bookmarkEnd w:id="367"/>
      <w:bookmarkStart w:id="368" w:name="_Toc184308093"/>
      <w:bookmarkEnd w:id="368"/>
      <w:bookmarkStart w:id="369" w:name="_Toc184314470"/>
      <w:bookmarkEnd w:id="369"/>
      <w:bookmarkStart w:id="370" w:name="_Toc184308061"/>
      <w:bookmarkEnd w:id="370"/>
      <w:bookmarkStart w:id="371" w:name="_Toc184313310"/>
      <w:bookmarkEnd w:id="371"/>
      <w:bookmarkStart w:id="372" w:name="_Toc184310276"/>
      <w:bookmarkEnd w:id="372"/>
      <w:bookmarkStart w:id="373" w:name="_Toc184313268"/>
      <w:bookmarkEnd w:id="373"/>
      <w:bookmarkStart w:id="374" w:name="_Toc184308101"/>
      <w:bookmarkEnd w:id="374"/>
      <w:bookmarkStart w:id="375" w:name="_Toc184310287"/>
      <w:bookmarkEnd w:id="375"/>
      <w:bookmarkStart w:id="376" w:name="_Toc184313278"/>
      <w:bookmarkEnd w:id="376"/>
      <w:bookmarkStart w:id="377" w:name="_Toc184313307"/>
      <w:bookmarkEnd w:id="377"/>
      <w:bookmarkStart w:id="378" w:name="_Toc184308062"/>
      <w:bookmarkEnd w:id="378"/>
      <w:bookmarkStart w:id="379" w:name="_Toc184308069"/>
      <w:bookmarkEnd w:id="379"/>
      <w:bookmarkStart w:id="380" w:name="_Toc184310274"/>
      <w:bookmarkEnd w:id="380"/>
      <w:bookmarkStart w:id="381" w:name="_Toc184310338"/>
      <w:bookmarkEnd w:id="381"/>
      <w:r>
        <w:rPr>
          <w:rFonts w:hint="eastAsia" w:ascii="仿宋" w:hAnsi="仿宋" w:eastAsia="仿宋" w:cs="仿宋_GB2312"/>
          <w:b/>
          <w:sz w:val="36"/>
          <w:szCs w:val="36"/>
        </w:rPr>
        <w:t>评标办法</w:t>
      </w:r>
    </w:p>
    <w:p w14:paraId="1F135AAA">
      <w:pPr>
        <w:snapToGrid w:val="0"/>
        <w:spacing w:line="360" w:lineRule="auto"/>
        <w:jc w:val="center"/>
        <w:rPr>
          <w:rFonts w:hint="eastAsia" w:ascii="宋体" w:hAnsi="宋体" w:cs="仿宋"/>
          <w:b/>
          <w:bCs/>
          <w:sz w:val="24"/>
        </w:rPr>
      </w:pPr>
      <w:r>
        <w:rPr>
          <w:rFonts w:hint="eastAsia" w:ascii="宋体" w:hAnsi="宋体" w:cs="宋体"/>
          <w:b/>
          <w:sz w:val="32"/>
          <w:szCs w:val="20"/>
        </w:rPr>
        <w:t>评标办法前附表</w:t>
      </w:r>
    </w:p>
    <w:p w14:paraId="4489DF29">
      <w:pPr>
        <w:widowControl/>
        <w:jc w:val="left"/>
        <w:rPr>
          <w:rFonts w:hint="eastAsia" w:ascii="宋体" w:hAnsi="宋体" w:cs="仿宋"/>
          <w:b/>
          <w:bCs/>
          <w:sz w:val="24"/>
        </w:rPr>
      </w:pPr>
      <w:r>
        <w:rPr>
          <w:rFonts w:hint="eastAsia" w:ascii="宋体" w:hAnsi="宋体" w:cs="仿宋"/>
          <w:b/>
          <w:bCs/>
          <w:sz w:val="24"/>
        </w:rPr>
        <w:t>1、商务技术分（70分）</w:t>
      </w:r>
    </w:p>
    <w:tbl>
      <w:tblPr>
        <w:tblStyle w:val="6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20"/>
        <w:gridCol w:w="6481"/>
        <w:gridCol w:w="908"/>
        <w:gridCol w:w="1073"/>
      </w:tblGrid>
      <w:tr w14:paraId="3F51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16" w:type="dxa"/>
            <w:vAlign w:val="center"/>
          </w:tcPr>
          <w:p w14:paraId="7842F298">
            <w:pPr>
              <w:widowControl/>
              <w:jc w:val="center"/>
              <w:rPr>
                <w:rFonts w:hint="eastAsia" w:ascii="宋体" w:hAnsi="宋体" w:cs="宋体"/>
                <w:kern w:val="0"/>
                <w:sz w:val="24"/>
              </w:rPr>
            </w:pPr>
            <w:r>
              <w:rPr>
                <w:rFonts w:hint="eastAsia" w:ascii="宋体" w:hAnsi="宋体" w:cs="宋体"/>
                <w:kern w:val="0"/>
                <w:sz w:val="24"/>
              </w:rPr>
              <w:t>序号</w:t>
            </w:r>
          </w:p>
        </w:tc>
        <w:tc>
          <w:tcPr>
            <w:tcW w:w="7001" w:type="dxa"/>
            <w:gridSpan w:val="2"/>
            <w:vAlign w:val="center"/>
          </w:tcPr>
          <w:p w14:paraId="3B61B518">
            <w:pPr>
              <w:widowControl/>
              <w:jc w:val="center"/>
              <w:rPr>
                <w:rFonts w:hint="eastAsia" w:ascii="宋体" w:hAnsi="宋体" w:cs="宋体"/>
                <w:kern w:val="0"/>
                <w:sz w:val="24"/>
              </w:rPr>
            </w:pPr>
            <w:r>
              <w:rPr>
                <w:rFonts w:hint="eastAsia" w:ascii="宋体" w:hAnsi="宋体" w:cs="宋体"/>
                <w:kern w:val="0"/>
                <w:sz w:val="24"/>
              </w:rPr>
              <w:t>评分内容和标准</w:t>
            </w:r>
          </w:p>
        </w:tc>
        <w:tc>
          <w:tcPr>
            <w:tcW w:w="908" w:type="dxa"/>
            <w:vAlign w:val="center"/>
          </w:tcPr>
          <w:p w14:paraId="2E6D2792">
            <w:pPr>
              <w:widowControl/>
              <w:jc w:val="center"/>
              <w:rPr>
                <w:rFonts w:hint="eastAsia" w:ascii="宋体" w:hAnsi="宋体" w:cs="宋体"/>
                <w:kern w:val="0"/>
                <w:sz w:val="24"/>
              </w:rPr>
            </w:pPr>
            <w:r>
              <w:rPr>
                <w:rFonts w:hint="eastAsia" w:ascii="宋体" w:hAnsi="宋体" w:cs="宋体"/>
                <w:kern w:val="0"/>
                <w:sz w:val="24"/>
              </w:rPr>
              <w:t>分值区间</w:t>
            </w:r>
          </w:p>
        </w:tc>
        <w:tc>
          <w:tcPr>
            <w:tcW w:w="1073" w:type="dxa"/>
            <w:vAlign w:val="center"/>
          </w:tcPr>
          <w:p w14:paraId="2C93DB51">
            <w:pPr>
              <w:widowControl/>
              <w:jc w:val="center"/>
              <w:rPr>
                <w:rFonts w:hint="eastAsia" w:ascii="宋体" w:hAnsi="宋体" w:cs="宋体"/>
                <w:kern w:val="0"/>
                <w:sz w:val="24"/>
              </w:rPr>
            </w:pPr>
            <w:r>
              <w:rPr>
                <w:rFonts w:hint="eastAsia" w:ascii="宋体" w:hAnsi="宋体" w:cs="宋体"/>
                <w:kern w:val="0"/>
                <w:sz w:val="24"/>
              </w:rPr>
              <w:t>主/客观分</w:t>
            </w:r>
          </w:p>
        </w:tc>
      </w:tr>
      <w:tr w14:paraId="246D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16" w:type="dxa"/>
            <w:vMerge w:val="restart"/>
            <w:shd w:val="clear" w:color="auto" w:fill="auto"/>
            <w:vAlign w:val="center"/>
          </w:tcPr>
          <w:p w14:paraId="31C1D4F4">
            <w:pPr>
              <w:spacing w:line="400" w:lineRule="exact"/>
              <w:jc w:val="center"/>
              <w:rPr>
                <w:rFonts w:hint="eastAsia" w:ascii="宋体" w:hAnsi="宋体" w:cs="宋体"/>
                <w:sz w:val="24"/>
              </w:rPr>
            </w:pPr>
            <w:r>
              <w:rPr>
                <w:rFonts w:hint="eastAsia" w:ascii="宋体" w:hAnsi="宋体" w:cs="宋体"/>
                <w:sz w:val="24"/>
              </w:rPr>
              <w:t>商务资信分(1</w:t>
            </w:r>
            <w:r>
              <w:rPr>
                <w:rFonts w:hint="eastAsia" w:ascii="宋体" w:hAnsi="宋体" w:cs="宋体"/>
                <w:sz w:val="24"/>
                <w:lang w:val="en-US" w:eastAsia="zh-CN"/>
              </w:rPr>
              <w:t>6</w:t>
            </w:r>
            <w:r>
              <w:rPr>
                <w:rFonts w:hint="eastAsia" w:ascii="宋体" w:hAnsi="宋体" w:cs="宋体"/>
                <w:sz w:val="24"/>
              </w:rPr>
              <w:t>分)</w:t>
            </w:r>
          </w:p>
        </w:tc>
        <w:tc>
          <w:tcPr>
            <w:tcW w:w="520" w:type="dxa"/>
            <w:shd w:val="clear" w:color="auto" w:fill="auto"/>
            <w:vAlign w:val="center"/>
          </w:tcPr>
          <w:p w14:paraId="74135467">
            <w:pPr>
              <w:jc w:val="center"/>
              <w:rPr>
                <w:rFonts w:hint="eastAsia" w:ascii="宋体" w:hAnsi="宋体" w:cs="宋体"/>
                <w:sz w:val="24"/>
              </w:rPr>
            </w:pPr>
            <w:r>
              <w:rPr>
                <w:rFonts w:hint="eastAsia" w:ascii="宋体" w:hAnsi="宋体" w:cs="宋体"/>
                <w:sz w:val="24"/>
              </w:rPr>
              <w:t>1</w:t>
            </w:r>
          </w:p>
        </w:tc>
        <w:tc>
          <w:tcPr>
            <w:tcW w:w="6481" w:type="dxa"/>
            <w:shd w:val="clear" w:color="auto" w:fill="auto"/>
            <w:vAlign w:val="center"/>
          </w:tcPr>
          <w:p w14:paraId="2499E35D">
            <w:pPr>
              <w:widowControl/>
              <w:rPr>
                <w:rFonts w:cs="宋体"/>
              </w:rPr>
            </w:pPr>
            <w:r>
              <w:rPr>
                <w:rFonts w:hint="eastAsia" w:ascii="宋体" w:hAnsi="宋体" w:cs="宋体"/>
                <w:sz w:val="24"/>
              </w:rPr>
              <w:t>响应人自202</w:t>
            </w:r>
            <w:r>
              <w:rPr>
                <w:rFonts w:hint="eastAsia" w:ascii="宋体" w:hAnsi="宋体" w:cs="宋体"/>
                <w:sz w:val="24"/>
                <w:lang w:val="en-US" w:eastAsia="zh-CN"/>
              </w:rPr>
              <w:t>1.</w:t>
            </w:r>
            <w:r>
              <w:rPr>
                <w:rFonts w:hint="eastAsia" w:ascii="宋体" w:hAnsi="宋体" w:cs="宋体"/>
                <w:sz w:val="24"/>
              </w:rPr>
              <w:t>7</w:t>
            </w:r>
            <w:r>
              <w:rPr>
                <w:rFonts w:hint="eastAsia" w:ascii="宋体" w:hAnsi="宋体" w:cs="宋体"/>
                <w:sz w:val="24"/>
                <w:lang w:val="en-US" w:eastAsia="zh-CN"/>
              </w:rPr>
              <w:t>.</w:t>
            </w:r>
            <w:r>
              <w:rPr>
                <w:rFonts w:hint="eastAsia" w:ascii="宋体" w:hAnsi="宋体" w:cs="宋体"/>
                <w:sz w:val="24"/>
              </w:rPr>
              <w:t>1（以合同签订时间为准）以来承担过同类业绩（</w:t>
            </w:r>
            <w:r>
              <w:rPr>
                <w:rFonts w:hint="eastAsia" w:ascii="宋体" w:hAnsi="宋体" w:cs="宋体"/>
                <w:sz w:val="24"/>
                <w:lang w:val="en-US" w:eastAsia="zh-CN"/>
              </w:rPr>
              <w:t>高速公路</w:t>
            </w:r>
            <w:r>
              <w:rPr>
                <w:rFonts w:hint="eastAsia" w:ascii="宋体" w:hAnsi="宋体" w:cs="宋体"/>
                <w:sz w:val="24"/>
              </w:rPr>
              <w:t>机电维保服务），每个得1分，最高得2分。【证明材料：提供合同复印件并加盖公章】</w:t>
            </w:r>
          </w:p>
        </w:tc>
        <w:tc>
          <w:tcPr>
            <w:tcW w:w="908" w:type="dxa"/>
            <w:shd w:val="clear" w:color="auto" w:fill="auto"/>
            <w:vAlign w:val="center"/>
          </w:tcPr>
          <w:p w14:paraId="3EB428A6">
            <w:pPr>
              <w:widowControl/>
              <w:spacing w:line="360" w:lineRule="auto"/>
              <w:jc w:val="center"/>
              <w:rPr>
                <w:rFonts w:hint="eastAsia" w:ascii="宋体" w:hAnsi="宋体" w:cs="宋体"/>
                <w:sz w:val="24"/>
              </w:rPr>
            </w:pPr>
            <w:r>
              <w:rPr>
                <w:rFonts w:hint="eastAsia" w:ascii="宋体" w:hAnsi="宋体" w:cs="宋体"/>
                <w:sz w:val="24"/>
              </w:rPr>
              <w:t>0-2</w:t>
            </w:r>
          </w:p>
        </w:tc>
        <w:tc>
          <w:tcPr>
            <w:tcW w:w="1073" w:type="dxa"/>
            <w:vAlign w:val="center"/>
          </w:tcPr>
          <w:p w14:paraId="2088352F">
            <w:pPr>
              <w:widowControl/>
              <w:jc w:val="center"/>
              <w:rPr>
                <w:rFonts w:hint="eastAsia" w:ascii="宋体" w:hAnsi="宋体" w:cs="宋体"/>
                <w:sz w:val="24"/>
              </w:rPr>
            </w:pPr>
            <w:r>
              <w:rPr>
                <w:rFonts w:hint="eastAsia" w:ascii="宋体" w:hAnsi="宋体" w:cs="宋体"/>
                <w:sz w:val="24"/>
                <w:lang w:val="zh-CN"/>
              </w:rPr>
              <w:t>客观分</w:t>
            </w:r>
          </w:p>
        </w:tc>
      </w:tr>
      <w:tr w14:paraId="33FB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16" w:type="dxa"/>
            <w:vMerge w:val="continue"/>
            <w:shd w:val="clear" w:color="auto" w:fill="auto"/>
            <w:vAlign w:val="center"/>
          </w:tcPr>
          <w:p w14:paraId="06AB3DD8">
            <w:pPr>
              <w:spacing w:line="400" w:lineRule="exact"/>
              <w:jc w:val="center"/>
              <w:rPr>
                <w:rFonts w:hint="eastAsia" w:ascii="宋体" w:hAnsi="宋体" w:cs="宋体"/>
                <w:sz w:val="24"/>
              </w:rPr>
            </w:pPr>
          </w:p>
        </w:tc>
        <w:tc>
          <w:tcPr>
            <w:tcW w:w="520" w:type="dxa"/>
            <w:shd w:val="clear" w:color="auto" w:fill="auto"/>
            <w:vAlign w:val="center"/>
          </w:tcPr>
          <w:p w14:paraId="72703B3E">
            <w:pPr>
              <w:jc w:val="center"/>
              <w:rPr>
                <w:rFonts w:hint="eastAsia" w:ascii="宋体" w:hAnsi="宋体" w:cs="宋体"/>
                <w:sz w:val="24"/>
              </w:rPr>
            </w:pPr>
            <w:r>
              <w:rPr>
                <w:rFonts w:hint="eastAsia" w:ascii="宋体" w:hAnsi="宋体" w:cs="宋体"/>
                <w:sz w:val="24"/>
              </w:rPr>
              <w:t>2</w:t>
            </w:r>
          </w:p>
        </w:tc>
        <w:tc>
          <w:tcPr>
            <w:tcW w:w="6481" w:type="dxa"/>
            <w:shd w:val="clear" w:color="auto" w:fill="auto"/>
            <w:vAlign w:val="center"/>
          </w:tcPr>
          <w:p w14:paraId="569DA711">
            <w:pPr>
              <w:widowControl/>
              <w:rPr>
                <w:rFonts w:cs="宋体"/>
              </w:rPr>
            </w:pPr>
            <w:r>
              <w:rPr>
                <w:rFonts w:hint="eastAsia" w:ascii="宋体" w:hAnsi="宋体" w:cs="宋体"/>
                <w:sz w:val="24"/>
              </w:rPr>
              <w:t>响应人具有有效期内的质量管理体系认证证书、环境管理体系认证证书,职业健康安全体系认证证书的每个得1分，最高得3分（提供证书复印件并加盖公章）。【证明材料：提供认证证书】</w:t>
            </w:r>
          </w:p>
        </w:tc>
        <w:tc>
          <w:tcPr>
            <w:tcW w:w="908" w:type="dxa"/>
            <w:shd w:val="clear" w:color="auto" w:fill="auto"/>
            <w:vAlign w:val="center"/>
          </w:tcPr>
          <w:p w14:paraId="791F2697">
            <w:pPr>
              <w:widowControl/>
              <w:spacing w:line="360" w:lineRule="auto"/>
              <w:jc w:val="center"/>
              <w:rPr>
                <w:rFonts w:hint="eastAsia" w:ascii="宋体" w:hAnsi="宋体" w:cs="宋体"/>
                <w:sz w:val="24"/>
              </w:rPr>
            </w:pPr>
            <w:r>
              <w:rPr>
                <w:rFonts w:hint="eastAsia" w:ascii="宋体" w:hAnsi="宋体" w:cs="宋体"/>
                <w:sz w:val="24"/>
              </w:rPr>
              <w:t>0-3</w:t>
            </w:r>
          </w:p>
        </w:tc>
        <w:tc>
          <w:tcPr>
            <w:tcW w:w="1073" w:type="dxa"/>
            <w:vAlign w:val="center"/>
          </w:tcPr>
          <w:p w14:paraId="3B1872E1">
            <w:pPr>
              <w:widowControl/>
              <w:jc w:val="center"/>
              <w:rPr>
                <w:rFonts w:hint="eastAsia" w:ascii="宋体" w:hAnsi="宋体" w:cs="宋体"/>
                <w:sz w:val="24"/>
                <w:lang w:val="zh-CN"/>
              </w:rPr>
            </w:pPr>
            <w:r>
              <w:rPr>
                <w:rFonts w:hint="eastAsia" w:ascii="宋体" w:hAnsi="宋体" w:cs="宋体"/>
                <w:sz w:val="24"/>
                <w:lang w:val="zh-CN"/>
              </w:rPr>
              <w:t>客观分</w:t>
            </w:r>
          </w:p>
        </w:tc>
      </w:tr>
      <w:tr w14:paraId="7E5B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16" w:type="dxa"/>
            <w:vMerge w:val="continue"/>
            <w:shd w:val="clear" w:color="auto" w:fill="auto"/>
            <w:vAlign w:val="center"/>
          </w:tcPr>
          <w:p w14:paraId="13F56665">
            <w:pPr>
              <w:widowControl/>
              <w:jc w:val="center"/>
              <w:rPr>
                <w:rFonts w:hint="eastAsia" w:ascii="宋体" w:hAnsi="宋体" w:cs="宋体"/>
                <w:kern w:val="0"/>
                <w:sz w:val="24"/>
              </w:rPr>
            </w:pPr>
          </w:p>
        </w:tc>
        <w:tc>
          <w:tcPr>
            <w:tcW w:w="520" w:type="dxa"/>
            <w:shd w:val="clear" w:color="auto" w:fill="auto"/>
            <w:vAlign w:val="center"/>
          </w:tcPr>
          <w:p w14:paraId="4865FED7">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6481" w:type="dxa"/>
            <w:shd w:val="clear" w:color="auto" w:fill="auto"/>
            <w:vAlign w:val="center"/>
          </w:tcPr>
          <w:p w14:paraId="0BEE6942">
            <w:pPr>
              <w:jc w:val="left"/>
              <w:rPr>
                <w:rFonts w:hint="eastAsia" w:ascii="宋体" w:hAnsi="宋体" w:cs="宋体"/>
                <w:sz w:val="24"/>
              </w:rPr>
            </w:pPr>
            <w:r>
              <w:rPr>
                <w:rFonts w:hint="eastAsia" w:ascii="宋体" w:hAnsi="宋体" w:cs="宋体"/>
                <w:sz w:val="24"/>
              </w:rPr>
              <w:t>1、拟派项目负责人具有机电工程一级建造师的得</w:t>
            </w:r>
            <w:r>
              <w:rPr>
                <w:rFonts w:hint="eastAsia" w:ascii="宋体" w:hAnsi="宋体" w:cs="宋体"/>
                <w:sz w:val="24"/>
                <w:lang w:val="en-US" w:eastAsia="zh-CN"/>
              </w:rPr>
              <w:t>2</w:t>
            </w:r>
            <w:r>
              <w:rPr>
                <w:rFonts w:hint="eastAsia" w:ascii="宋体" w:hAnsi="宋体" w:cs="宋体"/>
                <w:sz w:val="24"/>
              </w:rPr>
              <w:t>分，具有机电工程二级建造师的得</w:t>
            </w:r>
            <w:r>
              <w:rPr>
                <w:rFonts w:hint="eastAsia" w:ascii="宋体" w:hAnsi="宋体" w:cs="宋体"/>
                <w:sz w:val="24"/>
                <w:lang w:val="en-US" w:eastAsia="zh-CN"/>
              </w:rPr>
              <w:t>1</w:t>
            </w:r>
            <w:r>
              <w:rPr>
                <w:rFonts w:hint="eastAsia" w:ascii="宋体" w:hAnsi="宋体" w:cs="宋体"/>
                <w:sz w:val="24"/>
              </w:rPr>
              <w:t>分，最多得</w:t>
            </w:r>
            <w:r>
              <w:rPr>
                <w:rFonts w:hint="eastAsia" w:ascii="宋体" w:hAnsi="宋体" w:cs="宋体"/>
                <w:sz w:val="24"/>
                <w:lang w:val="en-US" w:eastAsia="zh-CN"/>
              </w:rPr>
              <w:t>2</w:t>
            </w:r>
            <w:r>
              <w:rPr>
                <w:rFonts w:hint="eastAsia" w:ascii="宋体" w:hAnsi="宋体" w:cs="宋体"/>
                <w:sz w:val="24"/>
              </w:rPr>
              <w:t>分，没有不得分。</w:t>
            </w:r>
          </w:p>
          <w:p w14:paraId="5448B2B6">
            <w:pPr>
              <w:jc w:val="left"/>
              <w:rPr>
                <w:rFonts w:hint="eastAsia" w:ascii="宋体" w:hAnsi="宋体" w:cs="宋体"/>
                <w:sz w:val="24"/>
              </w:rPr>
            </w:pPr>
            <w:r>
              <w:rPr>
                <w:rFonts w:hint="eastAsia" w:ascii="宋体" w:hAnsi="宋体" w:cs="宋体"/>
                <w:sz w:val="24"/>
              </w:rPr>
              <w:t>2、拟派项目负责人具有高级职称的得</w:t>
            </w:r>
            <w:r>
              <w:rPr>
                <w:rFonts w:hint="eastAsia" w:ascii="宋体" w:hAnsi="宋体" w:cs="宋体"/>
                <w:sz w:val="24"/>
                <w:lang w:val="en-US" w:eastAsia="zh-CN"/>
              </w:rPr>
              <w:t>2</w:t>
            </w:r>
            <w:r>
              <w:rPr>
                <w:rFonts w:hint="eastAsia" w:ascii="宋体" w:hAnsi="宋体" w:cs="宋体"/>
                <w:sz w:val="24"/>
              </w:rPr>
              <w:t>分，具有中级职称的得</w:t>
            </w:r>
            <w:r>
              <w:rPr>
                <w:rFonts w:hint="eastAsia" w:ascii="宋体" w:hAnsi="宋体" w:cs="宋体"/>
                <w:sz w:val="24"/>
                <w:lang w:val="en-US" w:eastAsia="zh-CN"/>
              </w:rPr>
              <w:t>1</w:t>
            </w:r>
            <w:r>
              <w:rPr>
                <w:rFonts w:hint="eastAsia" w:ascii="宋体" w:hAnsi="宋体" w:cs="宋体"/>
                <w:sz w:val="24"/>
              </w:rPr>
              <w:t>分，最多得</w:t>
            </w:r>
            <w:r>
              <w:rPr>
                <w:rFonts w:hint="eastAsia" w:ascii="宋体" w:hAnsi="宋体" w:cs="宋体"/>
                <w:sz w:val="24"/>
                <w:lang w:val="en-US" w:eastAsia="zh-CN"/>
              </w:rPr>
              <w:t>2</w:t>
            </w:r>
            <w:r>
              <w:rPr>
                <w:rFonts w:hint="eastAsia" w:ascii="宋体" w:hAnsi="宋体" w:cs="宋体"/>
                <w:sz w:val="24"/>
              </w:rPr>
              <w:t>分，没有不得分。</w:t>
            </w:r>
          </w:p>
          <w:p w14:paraId="03FCD0A1">
            <w:pPr>
              <w:jc w:val="left"/>
              <w:rPr>
                <w:rFonts w:hint="eastAsia" w:ascii="宋体" w:hAnsi="宋体" w:cs="宋体"/>
                <w:spacing w:val="-6"/>
                <w:sz w:val="24"/>
              </w:rPr>
            </w:pPr>
            <w:r>
              <w:rPr>
                <w:rFonts w:hint="eastAsia" w:ascii="宋体" w:hAnsi="宋体" w:cs="宋体"/>
                <w:sz w:val="24"/>
              </w:rPr>
              <w:t>注：拟派相关人员须提供2024.7-2024.11任意连续三个月社保缴纳证明及证书复印件，如为退休返聘人员的须提供该人员的退休证及返聘劳动合同，同一人具有2本证书的均认可，同一类证书只计取一次分数。</w:t>
            </w:r>
          </w:p>
        </w:tc>
        <w:tc>
          <w:tcPr>
            <w:tcW w:w="908" w:type="dxa"/>
            <w:shd w:val="clear" w:color="auto" w:fill="auto"/>
            <w:vAlign w:val="center"/>
          </w:tcPr>
          <w:p w14:paraId="14DC622B">
            <w:pPr>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4</w:t>
            </w:r>
          </w:p>
        </w:tc>
        <w:tc>
          <w:tcPr>
            <w:tcW w:w="1073" w:type="dxa"/>
            <w:vAlign w:val="center"/>
          </w:tcPr>
          <w:p w14:paraId="65AECF81">
            <w:pPr>
              <w:widowControl/>
              <w:spacing w:line="360" w:lineRule="auto"/>
              <w:jc w:val="center"/>
              <w:rPr>
                <w:rFonts w:hint="eastAsia" w:ascii="宋体" w:hAnsi="宋体" w:cs="宋体"/>
                <w:sz w:val="24"/>
              </w:rPr>
            </w:pPr>
            <w:r>
              <w:rPr>
                <w:rFonts w:hint="eastAsia" w:ascii="宋体" w:hAnsi="宋体" w:cs="宋体"/>
                <w:sz w:val="24"/>
              </w:rPr>
              <w:t>客观分</w:t>
            </w:r>
          </w:p>
        </w:tc>
      </w:tr>
      <w:tr w14:paraId="6227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6" w:type="dxa"/>
            <w:vMerge w:val="continue"/>
            <w:shd w:val="clear" w:color="auto" w:fill="auto"/>
            <w:vAlign w:val="center"/>
          </w:tcPr>
          <w:p w14:paraId="1601A290">
            <w:pPr>
              <w:widowControl/>
              <w:jc w:val="center"/>
              <w:rPr>
                <w:rFonts w:hint="eastAsia" w:ascii="宋体" w:hAnsi="宋体" w:cs="宋体"/>
                <w:kern w:val="0"/>
                <w:sz w:val="24"/>
              </w:rPr>
            </w:pPr>
          </w:p>
        </w:tc>
        <w:tc>
          <w:tcPr>
            <w:tcW w:w="520" w:type="dxa"/>
            <w:shd w:val="clear" w:color="auto" w:fill="auto"/>
            <w:vAlign w:val="center"/>
          </w:tcPr>
          <w:p w14:paraId="57C61B7E">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6481" w:type="dxa"/>
            <w:shd w:val="clear" w:color="auto" w:fill="auto"/>
            <w:vAlign w:val="center"/>
          </w:tcPr>
          <w:p w14:paraId="66199EEB">
            <w:pPr>
              <w:jc w:val="left"/>
              <w:rPr>
                <w:rFonts w:hint="eastAsia" w:ascii="宋体" w:hAnsi="宋体" w:cs="宋体"/>
                <w:sz w:val="24"/>
              </w:rPr>
            </w:pPr>
            <w:r>
              <w:rPr>
                <w:rFonts w:hint="eastAsia" w:ascii="宋体" w:hAnsi="宋体" w:cs="宋体"/>
                <w:sz w:val="24"/>
              </w:rPr>
              <w:t>响应人完成的高速公路机电工程项目取得过交通建设工程平安工地省级及以上示范施工合同或安全生产标准化建设等级证书并提供相关证明材料并加盖公章，每提供一个项目得</w:t>
            </w:r>
            <w:r>
              <w:rPr>
                <w:rFonts w:hint="eastAsia" w:ascii="宋体" w:hAnsi="宋体" w:cs="宋体"/>
                <w:sz w:val="24"/>
                <w:lang w:val="en-US" w:eastAsia="zh-CN"/>
              </w:rPr>
              <w:t>2</w:t>
            </w:r>
            <w:r>
              <w:rPr>
                <w:rFonts w:hint="eastAsia" w:ascii="宋体" w:hAnsi="宋体" w:cs="宋体"/>
                <w:sz w:val="24"/>
              </w:rPr>
              <w:t>分，最高得</w:t>
            </w:r>
            <w:r>
              <w:rPr>
                <w:rFonts w:hint="eastAsia" w:ascii="宋体" w:hAnsi="宋体" w:cs="宋体"/>
                <w:sz w:val="24"/>
                <w:lang w:val="en-US" w:eastAsia="zh-CN"/>
              </w:rPr>
              <w:t>4</w:t>
            </w:r>
            <w:r>
              <w:rPr>
                <w:rFonts w:hint="eastAsia" w:ascii="宋体" w:hAnsi="宋体" w:cs="宋体"/>
                <w:sz w:val="24"/>
              </w:rPr>
              <w:t>分。</w:t>
            </w:r>
          </w:p>
        </w:tc>
        <w:tc>
          <w:tcPr>
            <w:tcW w:w="908" w:type="dxa"/>
            <w:shd w:val="clear" w:color="auto" w:fill="auto"/>
            <w:vAlign w:val="center"/>
          </w:tcPr>
          <w:p w14:paraId="7FF277A8">
            <w:pPr>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4</w:t>
            </w:r>
          </w:p>
        </w:tc>
        <w:tc>
          <w:tcPr>
            <w:tcW w:w="1073" w:type="dxa"/>
            <w:vAlign w:val="center"/>
          </w:tcPr>
          <w:p w14:paraId="13E56384">
            <w:pPr>
              <w:widowControl/>
              <w:spacing w:line="360" w:lineRule="auto"/>
              <w:jc w:val="center"/>
              <w:rPr>
                <w:rFonts w:hint="eastAsia" w:ascii="宋体" w:hAnsi="宋体" w:cs="宋体"/>
                <w:sz w:val="24"/>
              </w:rPr>
            </w:pPr>
            <w:r>
              <w:rPr>
                <w:rFonts w:hint="eastAsia" w:ascii="宋体" w:hAnsi="宋体" w:cs="宋体"/>
                <w:sz w:val="24"/>
              </w:rPr>
              <w:t>客观分</w:t>
            </w:r>
          </w:p>
        </w:tc>
      </w:tr>
      <w:tr w14:paraId="0810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6" w:type="dxa"/>
            <w:vMerge w:val="continue"/>
            <w:shd w:val="clear" w:color="auto" w:fill="auto"/>
            <w:vAlign w:val="center"/>
          </w:tcPr>
          <w:p w14:paraId="2057A0E0">
            <w:pPr>
              <w:widowControl/>
              <w:jc w:val="center"/>
              <w:rPr>
                <w:rFonts w:hint="eastAsia" w:ascii="宋体" w:hAnsi="宋体" w:cs="宋体"/>
                <w:kern w:val="0"/>
                <w:sz w:val="24"/>
              </w:rPr>
            </w:pPr>
          </w:p>
        </w:tc>
        <w:tc>
          <w:tcPr>
            <w:tcW w:w="520" w:type="dxa"/>
            <w:shd w:val="clear" w:color="auto" w:fill="auto"/>
            <w:vAlign w:val="center"/>
          </w:tcPr>
          <w:p w14:paraId="5CC367FF">
            <w:pPr>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6481" w:type="dxa"/>
            <w:shd w:val="clear" w:color="auto" w:fill="auto"/>
            <w:vAlign w:val="center"/>
          </w:tcPr>
          <w:p w14:paraId="4F798B6F">
            <w:pPr>
              <w:numPr>
                <w:ilvl w:val="0"/>
                <w:numId w:val="4"/>
              </w:numPr>
              <w:jc w:val="left"/>
              <w:rPr>
                <w:rFonts w:hint="eastAsia" w:ascii="宋体" w:hAnsi="宋体" w:cs="宋体"/>
                <w:sz w:val="24"/>
              </w:rPr>
            </w:pPr>
            <w:r>
              <w:rPr>
                <w:rFonts w:hint="eastAsia" w:ascii="宋体" w:hAnsi="宋体" w:cs="宋体"/>
                <w:sz w:val="24"/>
              </w:rPr>
              <w:t>响应人配备安全预警车辆、15米以上高空作业车辆，属于响应人自有车辆，且用途为工程救险的（配有警灯、警报、显示屏等），每</w:t>
            </w:r>
            <w:r>
              <w:rPr>
                <w:rFonts w:hint="eastAsia" w:ascii="宋体" w:hAnsi="宋体" w:cs="宋体"/>
                <w:sz w:val="24"/>
                <w:lang w:val="en-US" w:eastAsia="zh-CN"/>
              </w:rPr>
              <w:t>配备</w:t>
            </w:r>
            <w:r>
              <w:rPr>
                <w:rFonts w:hint="eastAsia" w:ascii="宋体" w:hAnsi="宋体" w:cs="宋体"/>
                <w:sz w:val="24"/>
              </w:rPr>
              <w:t>一辆自有预警车或15米以上高空作业车辆的</w:t>
            </w:r>
            <w:r>
              <w:rPr>
                <w:rFonts w:hint="eastAsia" w:ascii="宋体" w:hAnsi="宋体" w:cs="宋体"/>
                <w:sz w:val="24"/>
                <w:lang w:val="en-US" w:eastAsia="zh-CN"/>
              </w:rPr>
              <w:t>得</w:t>
            </w:r>
            <w:r>
              <w:rPr>
                <w:rFonts w:hint="eastAsia" w:ascii="宋体" w:hAnsi="宋体" w:cs="宋体"/>
                <w:sz w:val="24"/>
              </w:rPr>
              <w:t>1分，最高得3分。（提供车辆行驶证扫描件、车辆照片、车辆购买发票或其他自有证明材料）。</w:t>
            </w:r>
          </w:p>
        </w:tc>
        <w:tc>
          <w:tcPr>
            <w:tcW w:w="908" w:type="dxa"/>
            <w:shd w:val="clear" w:color="auto" w:fill="auto"/>
            <w:vAlign w:val="center"/>
          </w:tcPr>
          <w:p w14:paraId="04E70D73">
            <w:pPr>
              <w:jc w:val="center"/>
              <w:rPr>
                <w:rFonts w:hint="eastAsia" w:ascii="宋体" w:hAnsi="宋体" w:cs="宋体"/>
                <w:sz w:val="24"/>
              </w:rPr>
            </w:pPr>
            <w:r>
              <w:rPr>
                <w:rFonts w:hint="eastAsia" w:ascii="宋体" w:hAnsi="宋体" w:cs="宋体"/>
                <w:sz w:val="24"/>
              </w:rPr>
              <w:t>0-3</w:t>
            </w:r>
          </w:p>
        </w:tc>
        <w:tc>
          <w:tcPr>
            <w:tcW w:w="1073" w:type="dxa"/>
            <w:vAlign w:val="center"/>
          </w:tcPr>
          <w:p w14:paraId="2EFBAC60">
            <w:pPr>
              <w:widowControl/>
              <w:spacing w:line="360" w:lineRule="auto"/>
              <w:jc w:val="center"/>
              <w:rPr>
                <w:rFonts w:hint="eastAsia" w:ascii="宋体" w:hAnsi="宋体" w:cs="宋体"/>
                <w:sz w:val="24"/>
              </w:rPr>
            </w:pPr>
            <w:r>
              <w:rPr>
                <w:rFonts w:hint="eastAsia" w:ascii="宋体" w:hAnsi="宋体" w:cs="宋体"/>
                <w:sz w:val="24"/>
              </w:rPr>
              <w:t>客观分</w:t>
            </w:r>
          </w:p>
        </w:tc>
      </w:tr>
      <w:tr w14:paraId="45D0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6" w:type="dxa"/>
            <w:vMerge w:val="restart"/>
            <w:shd w:val="clear" w:color="auto" w:fill="auto"/>
            <w:vAlign w:val="center"/>
          </w:tcPr>
          <w:p w14:paraId="034364E6">
            <w:pPr>
              <w:widowControl/>
              <w:jc w:val="center"/>
              <w:rPr>
                <w:rFonts w:hint="eastAsia" w:ascii="宋体" w:hAnsi="宋体" w:cs="宋体"/>
                <w:kern w:val="0"/>
                <w:sz w:val="24"/>
              </w:rPr>
            </w:pPr>
            <w:r>
              <w:rPr>
                <w:rFonts w:hint="eastAsia" w:ascii="宋体" w:hAnsi="宋体" w:cs="宋体"/>
                <w:kern w:val="0"/>
                <w:sz w:val="24"/>
              </w:rPr>
              <w:t>技术分（5</w:t>
            </w:r>
            <w:r>
              <w:rPr>
                <w:rFonts w:hint="eastAsia" w:ascii="宋体" w:hAnsi="宋体" w:cs="宋体"/>
                <w:kern w:val="0"/>
                <w:sz w:val="24"/>
                <w:lang w:val="en-US" w:eastAsia="zh-CN"/>
              </w:rPr>
              <w:t>4</w:t>
            </w:r>
            <w:r>
              <w:rPr>
                <w:rFonts w:hint="eastAsia" w:ascii="宋体" w:hAnsi="宋体" w:cs="宋体"/>
                <w:kern w:val="0"/>
                <w:sz w:val="24"/>
              </w:rPr>
              <w:t>分）</w:t>
            </w:r>
          </w:p>
        </w:tc>
        <w:tc>
          <w:tcPr>
            <w:tcW w:w="520" w:type="dxa"/>
            <w:shd w:val="clear" w:color="auto" w:fill="auto"/>
            <w:vAlign w:val="center"/>
          </w:tcPr>
          <w:p w14:paraId="4B828805">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6481" w:type="dxa"/>
            <w:shd w:val="clear" w:color="auto" w:fill="auto"/>
            <w:vAlign w:val="center"/>
          </w:tcPr>
          <w:p w14:paraId="69A9180F">
            <w:pPr>
              <w:snapToGrid w:val="0"/>
              <w:spacing w:line="360" w:lineRule="exact"/>
              <w:rPr>
                <w:rFonts w:hint="eastAsia" w:ascii="宋体" w:hAnsi="宋体" w:cs="宋体"/>
                <w:sz w:val="24"/>
              </w:rPr>
            </w:pPr>
            <w:r>
              <w:rPr>
                <w:rFonts w:hint="eastAsia" w:ascii="宋体" w:hAnsi="宋体" w:cs="宋体"/>
                <w:sz w:val="24"/>
              </w:rPr>
              <w:t>技术方案的合理性、全面性，对维护保修技术服务计划及措施完整性、清晰度等进行综合评定。</w:t>
            </w:r>
          </w:p>
        </w:tc>
        <w:tc>
          <w:tcPr>
            <w:tcW w:w="908" w:type="dxa"/>
            <w:shd w:val="clear" w:color="auto" w:fill="auto"/>
            <w:vAlign w:val="center"/>
          </w:tcPr>
          <w:p w14:paraId="170CEC0A">
            <w:pPr>
              <w:jc w:val="center"/>
              <w:rPr>
                <w:rFonts w:hint="eastAsia" w:ascii="宋体" w:hAnsi="宋体" w:cs="宋体"/>
                <w:sz w:val="24"/>
              </w:rPr>
            </w:pPr>
            <w:r>
              <w:rPr>
                <w:rFonts w:hint="eastAsia" w:ascii="宋体" w:hAnsi="宋体" w:cs="宋体"/>
                <w:sz w:val="24"/>
              </w:rPr>
              <w:t>0-6</w:t>
            </w:r>
          </w:p>
        </w:tc>
        <w:tc>
          <w:tcPr>
            <w:tcW w:w="1073" w:type="dxa"/>
            <w:vAlign w:val="center"/>
          </w:tcPr>
          <w:p w14:paraId="65C80762">
            <w:pPr>
              <w:widowControl/>
              <w:spacing w:line="360" w:lineRule="auto"/>
              <w:jc w:val="center"/>
              <w:rPr>
                <w:rFonts w:hint="eastAsia" w:ascii="宋体" w:hAnsi="宋体" w:cs="宋体"/>
                <w:sz w:val="24"/>
              </w:rPr>
            </w:pPr>
            <w:r>
              <w:rPr>
                <w:rFonts w:hint="eastAsia" w:ascii="宋体" w:hAnsi="宋体" w:cs="宋体"/>
                <w:sz w:val="24"/>
              </w:rPr>
              <w:t>主观分</w:t>
            </w:r>
          </w:p>
        </w:tc>
      </w:tr>
      <w:tr w14:paraId="6FF7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16" w:type="dxa"/>
            <w:vMerge w:val="continue"/>
            <w:shd w:val="clear" w:color="auto" w:fill="auto"/>
            <w:vAlign w:val="center"/>
          </w:tcPr>
          <w:p w14:paraId="5E58FA6E">
            <w:pPr>
              <w:widowControl/>
              <w:jc w:val="center"/>
              <w:rPr>
                <w:rFonts w:hint="eastAsia" w:ascii="宋体" w:hAnsi="宋体" w:cs="宋体"/>
                <w:kern w:val="0"/>
                <w:sz w:val="24"/>
              </w:rPr>
            </w:pPr>
          </w:p>
        </w:tc>
        <w:tc>
          <w:tcPr>
            <w:tcW w:w="520" w:type="dxa"/>
            <w:shd w:val="clear" w:color="auto" w:fill="auto"/>
            <w:vAlign w:val="center"/>
          </w:tcPr>
          <w:p w14:paraId="168C48D9">
            <w:pPr>
              <w:widowControl/>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6481" w:type="dxa"/>
            <w:shd w:val="clear" w:color="auto" w:fill="auto"/>
            <w:vAlign w:val="center"/>
          </w:tcPr>
          <w:p w14:paraId="1ED35C1D">
            <w:pPr>
              <w:jc w:val="left"/>
              <w:rPr>
                <w:rFonts w:hint="eastAsia" w:ascii="宋体" w:hAnsi="宋体" w:cs="宋体"/>
                <w:kern w:val="0"/>
                <w:sz w:val="24"/>
              </w:rPr>
            </w:pPr>
            <w:r>
              <w:rPr>
                <w:rFonts w:hint="eastAsia" w:ascii="宋体" w:hAnsi="宋体" w:cs="宋体"/>
                <w:sz w:val="24"/>
              </w:rPr>
              <w:t>保证项目实施的技术力量和人力资源安排。供应商拟派服务团队数量是否充足，分工是否明确，专业是否齐全、配置是否科学、合理，工作职责是否详细明确等进行综合评定。</w:t>
            </w:r>
          </w:p>
        </w:tc>
        <w:tc>
          <w:tcPr>
            <w:tcW w:w="908" w:type="dxa"/>
            <w:shd w:val="clear" w:color="auto" w:fill="auto"/>
            <w:vAlign w:val="center"/>
          </w:tcPr>
          <w:p w14:paraId="2D818F9D">
            <w:pPr>
              <w:jc w:val="center"/>
              <w:rPr>
                <w:rFonts w:hint="eastAsia" w:ascii="宋体" w:hAnsi="宋体" w:cs="宋体"/>
                <w:sz w:val="24"/>
              </w:rPr>
            </w:pPr>
            <w:r>
              <w:rPr>
                <w:rFonts w:hint="eastAsia" w:ascii="宋体" w:hAnsi="宋体" w:cs="宋体"/>
                <w:sz w:val="24"/>
              </w:rPr>
              <w:t>0-6</w:t>
            </w:r>
          </w:p>
        </w:tc>
        <w:tc>
          <w:tcPr>
            <w:tcW w:w="1073" w:type="dxa"/>
            <w:vAlign w:val="center"/>
          </w:tcPr>
          <w:p w14:paraId="5E6F5406">
            <w:pPr>
              <w:widowControl/>
              <w:spacing w:line="360" w:lineRule="auto"/>
              <w:jc w:val="center"/>
              <w:rPr>
                <w:rFonts w:hint="eastAsia" w:ascii="宋体" w:hAnsi="宋体" w:cs="宋体"/>
                <w:sz w:val="24"/>
              </w:rPr>
            </w:pPr>
            <w:r>
              <w:rPr>
                <w:rFonts w:hint="eastAsia" w:ascii="宋体" w:hAnsi="宋体" w:cs="宋体"/>
                <w:sz w:val="24"/>
              </w:rPr>
              <w:t>主观分</w:t>
            </w:r>
          </w:p>
        </w:tc>
      </w:tr>
      <w:tr w14:paraId="6406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16" w:type="dxa"/>
            <w:vMerge w:val="continue"/>
            <w:shd w:val="clear" w:color="auto" w:fill="auto"/>
            <w:vAlign w:val="center"/>
          </w:tcPr>
          <w:p w14:paraId="7CD69B87">
            <w:pPr>
              <w:widowControl/>
              <w:jc w:val="center"/>
              <w:rPr>
                <w:rFonts w:hint="eastAsia" w:ascii="宋体" w:hAnsi="宋体" w:cs="宋体"/>
                <w:kern w:val="0"/>
                <w:sz w:val="24"/>
              </w:rPr>
            </w:pPr>
          </w:p>
        </w:tc>
        <w:tc>
          <w:tcPr>
            <w:tcW w:w="520" w:type="dxa"/>
            <w:shd w:val="clear" w:color="auto" w:fill="auto"/>
            <w:vAlign w:val="center"/>
          </w:tcPr>
          <w:p w14:paraId="50197F74">
            <w:pPr>
              <w:widowControl/>
              <w:jc w:val="center"/>
              <w:rPr>
                <w:rFonts w:hint="eastAsia" w:ascii="宋体" w:hAnsi="宋体" w:eastAsia="宋体" w:cs="宋体"/>
                <w:sz w:val="24"/>
                <w:lang w:eastAsia="zh-CN"/>
              </w:rPr>
            </w:pPr>
            <w:r>
              <w:rPr>
                <w:rFonts w:hint="eastAsia" w:ascii="宋体" w:hAnsi="宋体" w:cs="宋体"/>
                <w:kern w:val="0"/>
                <w:sz w:val="24"/>
                <w:lang w:val="en-US" w:eastAsia="zh-CN"/>
              </w:rPr>
              <w:t>8</w:t>
            </w:r>
          </w:p>
        </w:tc>
        <w:tc>
          <w:tcPr>
            <w:tcW w:w="6481" w:type="dxa"/>
            <w:shd w:val="clear" w:color="auto" w:fill="auto"/>
            <w:vAlign w:val="center"/>
          </w:tcPr>
          <w:p w14:paraId="7D3B7741">
            <w:pPr>
              <w:jc w:val="left"/>
              <w:rPr>
                <w:rFonts w:hint="eastAsia" w:ascii="宋体" w:hAnsi="宋体" w:cs="宋体"/>
                <w:sz w:val="24"/>
              </w:rPr>
            </w:pPr>
            <w:r>
              <w:rPr>
                <w:rFonts w:hint="eastAsia" w:ascii="宋体" w:hAnsi="宋体" w:cs="宋体"/>
                <w:sz w:val="24"/>
              </w:rPr>
              <w:t>应急措施解决方案（故障的响应、处理、巡检、调换等情况）的针对性、合理性、可行性等进行综合评定。</w:t>
            </w:r>
          </w:p>
        </w:tc>
        <w:tc>
          <w:tcPr>
            <w:tcW w:w="908" w:type="dxa"/>
            <w:shd w:val="clear" w:color="auto" w:fill="auto"/>
            <w:vAlign w:val="center"/>
          </w:tcPr>
          <w:p w14:paraId="6D5AEAF4">
            <w:pPr>
              <w:jc w:val="center"/>
              <w:rPr>
                <w:rFonts w:hint="eastAsia" w:ascii="宋体" w:hAnsi="宋体" w:cs="宋体"/>
                <w:sz w:val="24"/>
              </w:rPr>
            </w:pPr>
            <w:r>
              <w:rPr>
                <w:rFonts w:hint="eastAsia" w:ascii="宋体" w:hAnsi="宋体" w:cs="宋体"/>
                <w:sz w:val="24"/>
              </w:rPr>
              <w:t>0-6</w:t>
            </w:r>
          </w:p>
        </w:tc>
        <w:tc>
          <w:tcPr>
            <w:tcW w:w="1073" w:type="dxa"/>
            <w:vAlign w:val="center"/>
          </w:tcPr>
          <w:p w14:paraId="53F473AC">
            <w:pPr>
              <w:widowControl/>
              <w:spacing w:line="360" w:lineRule="auto"/>
              <w:jc w:val="center"/>
              <w:rPr>
                <w:rFonts w:hint="eastAsia" w:ascii="宋体" w:hAnsi="宋体" w:cs="宋体"/>
                <w:sz w:val="24"/>
              </w:rPr>
            </w:pPr>
            <w:r>
              <w:rPr>
                <w:rFonts w:hint="eastAsia" w:ascii="宋体" w:hAnsi="宋体" w:cs="宋体"/>
                <w:sz w:val="24"/>
              </w:rPr>
              <w:t>主观分</w:t>
            </w:r>
          </w:p>
        </w:tc>
      </w:tr>
      <w:tr w14:paraId="3BEC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6" w:type="dxa"/>
            <w:vMerge w:val="continue"/>
            <w:shd w:val="clear" w:color="auto" w:fill="auto"/>
            <w:vAlign w:val="center"/>
          </w:tcPr>
          <w:p w14:paraId="66041DD2">
            <w:pPr>
              <w:widowControl/>
              <w:adjustRightInd/>
              <w:jc w:val="left"/>
              <w:rPr>
                <w:rFonts w:hint="eastAsia" w:ascii="宋体" w:hAnsi="宋体" w:cs="宋体"/>
              </w:rPr>
            </w:pPr>
          </w:p>
        </w:tc>
        <w:tc>
          <w:tcPr>
            <w:tcW w:w="520" w:type="dxa"/>
            <w:shd w:val="clear" w:color="auto" w:fill="auto"/>
            <w:vAlign w:val="center"/>
          </w:tcPr>
          <w:p w14:paraId="46F8EF5C">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9</w:t>
            </w:r>
          </w:p>
        </w:tc>
        <w:tc>
          <w:tcPr>
            <w:tcW w:w="6481" w:type="dxa"/>
            <w:shd w:val="clear" w:color="auto" w:fill="auto"/>
            <w:vAlign w:val="center"/>
          </w:tcPr>
          <w:p w14:paraId="57036FBE">
            <w:pPr>
              <w:jc w:val="left"/>
              <w:rPr>
                <w:rFonts w:hint="eastAsia" w:ascii="宋体" w:hAnsi="宋体" w:cs="宋体"/>
                <w:sz w:val="24"/>
              </w:rPr>
            </w:pPr>
            <w:r>
              <w:rPr>
                <w:rFonts w:hint="eastAsia" w:ascii="宋体" w:hAnsi="宋体" w:cs="宋体"/>
                <w:sz w:val="24"/>
              </w:rPr>
              <w:t>服务方案及服务承诺的完整性、可行性和对交易需求的满足程度进行综合评定。</w:t>
            </w:r>
          </w:p>
        </w:tc>
        <w:tc>
          <w:tcPr>
            <w:tcW w:w="908" w:type="dxa"/>
            <w:shd w:val="clear" w:color="auto" w:fill="auto"/>
            <w:vAlign w:val="center"/>
          </w:tcPr>
          <w:p w14:paraId="39E2A544">
            <w:pPr>
              <w:jc w:val="center"/>
              <w:rPr>
                <w:rFonts w:hint="eastAsia" w:ascii="宋体" w:hAnsi="宋体" w:cs="宋体"/>
                <w:sz w:val="24"/>
              </w:rPr>
            </w:pPr>
            <w:r>
              <w:rPr>
                <w:rFonts w:hint="eastAsia" w:ascii="宋体" w:hAnsi="宋体" w:cs="宋体"/>
                <w:sz w:val="24"/>
              </w:rPr>
              <w:t>0-6</w:t>
            </w:r>
          </w:p>
        </w:tc>
        <w:tc>
          <w:tcPr>
            <w:tcW w:w="1073" w:type="dxa"/>
            <w:vAlign w:val="center"/>
          </w:tcPr>
          <w:p w14:paraId="46EAE1FE">
            <w:pPr>
              <w:widowControl/>
              <w:jc w:val="center"/>
              <w:rPr>
                <w:rFonts w:hint="eastAsia" w:ascii="宋体" w:hAnsi="宋体" w:cs="宋体"/>
                <w:kern w:val="0"/>
                <w:sz w:val="24"/>
              </w:rPr>
            </w:pPr>
            <w:r>
              <w:rPr>
                <w:rFonts w:hint="eastAsia" w:ascii="宋体" w:hAnsi="宋体" w:cs="宋体"/>
                <w:kern w:val="0"/>
                <w:sz w:val="24"/>
              </w:rPr>
              <w:t>主观分</w:t>
            </w:r>
          </w:p>
        </w:tc>
      </w:tr>
      <w:tr w14:paraId="3EC7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6" w:type="dxa"/>
            <w:vMerge w:val="continue"/>
            <w:shd w:val="clear" w:color="auto" w:fill="auto"/>
            <w:vAlign w:val="center"/>
          </w:tcPr>
          <w:p w14:paraId="7FF39F4A">
            <w:pPr>
              <w:widowControl/>
              <w:adjustRightInd/>
              <w:jc w:val="left"/>
              <w:rPr>
                <w:rFonts w:hint="eastAsia" w:ascii="宋体" w:hAnsi="宋体" w:cs="宋体"/>
              </w:rPr>
            </w:pPr>
          </w:p>
        </w:tc>
        <w:tc>
          <w:tcPr>
            <w:tcW w:w="520" w:type="dxa"/>
            <w:shd w:val="clear" w:color="auto" w:fill="auto"/>
            <w:vAlign w:val="center"/>
          </w:tcPr>
          <w:p w14:paraId="4032E82C">
            <w:pPr>
              <w:widowControl/>
              <w:jc w:val="center"/>
              <w:rPr>
                <w:rFonts w:hint="eastAsia" w:ascii="宋体" w:hAnsi="宋体" w:eastAsia="宋体" w:cs="宋体"/>
                <w:kern w:val="0"/>
                <w:sz w:val="24"/>
                <w:lang w:eastAsia="zh-CN"/>
              </w:rPr>
            </w:pPr>
            <w:r>
              <w:rPr>
                <w:rFonts w:hint="eastAsia" w:ascii="宋体" w:hAnsi="宋体" w:cs="宋体"/>
                <w:sz w:val="24"/>
              </w:rPr>
              <w:t>1</w:t>
            </w:r>
            <w:r>
              <w:rPr>
                <w:rFonts w:hint="eastAsia" w:ascii="宋体" w:hAnsi="宋体" w:cs="宋体"/>
                <w:sz w:val="24"/>
                <w:lang w:val="en-US" w:eastAsia="zh-CN"/>
              </w:rPr>
              <w:t>0</w:t>
            </w:r>
          </w:p>
        </w:tc>
        <w:tc>
          <w:tcPr>
            <w:tcW w:w="6481" w:type="dxa"/>
            <w:shd w:val="clear" w:color="auto" w:fill="auto"/>
            <w:vAlign w:val="center"/>
          </w:tcPr>
          <w:p w14:paraId="7C01B76C">
            <w:pPr>
              <w:jc w:val="left"/>
              <w:rPr>
                <w:rFonts w:hint="eastAsia" w:ascii="宋体" w:hAnsi="宋体" w:cs="宋体"/>
                <w:sz w:val="24"/>
              </w:rPr>
            </w:pPr>
            <w:r>
              <w:rPr>
                <w:rFonts w:hint="eastAsia" w:ascii="宋体" w:hAnsi="宋体" w:cs="宋体"/>
                <w:sz w:val="24"/>
              </w:rPr>
              <w:t>对本项目有效的改进措施和建议，以及配件报价的合理性。</w:t>
            </w:r>
          </w:p>
        </w:tc>
        <w:tc>
          <w:tcPr>
            <w:tcW w:w="908" w:type="dxa"/>
            <w:shd w:val="clear" w:color="auto" w:fill="auto"/>
            <w:vAlign w:val="center"/>
          </w:tcPr>
          <w:p w14:paraId="68E6A976">
            <w:pPr>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6</w:t>
            </w:r>
          </w:p>
        </w:tc>
        <w:tc>
          <w:tcPr>
            <w:tcW w:w="1073" w:type="dxa"/>
            <w:vAlign w:val="center"/>
          </w:tcPr>
          <w:p w14:paraId="73FFFE30">
            <w:pPr>
              <w:jc w:val="center"/>
            </w:pPr>
            <w:r>
              <w:rPr>
                <w:rFonts w:hint="eastAsia" w:ascii="宋体" w:hAnsi="宋体" w:cs="宋体"/>
                <w:kern w:val="0"/>
                <w:sz w:val="24"/>
              </w:rPr>
              <w:t>主观分</w:t>
            </w:r>
          </w:p>
        </w:tc>
      </w:tr>
      <w:tr w14:paraId="420E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6" w:type="dxa"/>
            <w:vMerge w:val="continue"/>
            <w:shd w:val="clear" w:color="auto" w:fill="auto"/>
            <w:vAlign w:val="center"/>
          </w:tcPr>
          <w:p w14:paraId="03D2D116">
            <w:pPr>
              <w:widowControl/>
              <w:adjustRightInd/>
              <w:jc w:val="left"/>
              <w:rPr>
                <w:rFonts w:hint="eastAsia" w:ascii="宋体" w:hAnsi="宋体" w:cs="宋体"/>
              </w:rPr>
            </w:pPr>
          </w:p>
        </w:tc>
        <w:tc>
          <w:tcPr>
            <w:tcW w:w="520" w:type="dxa"/>
            <w:shd w:val="clear" w:color="auto" w:fill="auto"/>
            <w:vAlign w:val="center"/>
          </w:tcPr>
          <w:p w14:paraId="49ABF47C">
            <w:pPr>
              <w:widowControl/>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1</w:t>
            </w:r>
          </w:p>
        </w:tc>
        <w:tc>
          <w:tcPr>
            <w:tcW w:w="6481" w:type="dxa"/>
            <w:shd w:val="clear" w:color="auto" w:fill="auto"/>
            <w:vAlign w:val="center"/>
          </w:tcPr>
          <w:p w14:paraId="64CF1B6D">
            <w:pPr>
              <w:jc w:val="left"/>
              <w:rPr>
                <w:rFonts w:hint="eastAsia" w:ascii="宋体" w:hAnsi="宋体" w:cs="宋体"/>
                <w:sz w:val="24"/>
              </w:rPr>
            </w:pPr>
            <w:r>
              <w:rPr>
                <w:rFonts w:hint="eastAsia" w:ascii="宋体" w:hAnsi="宋体" w:cs="宋体"/>
                <w:sz w:val="24"/>
              </w:rPr>
              <w:t>安全文明措施：安全文明作业方案是否科学合理，扰民方案及安全保证措施是否完善，方案是否详尽、周到、细致、可行性等进行综合评定。</w:t>
            </w:r>
          </w:p>
        </w:tc>
        <w:tc>
          <w:tcPr>
            <w:tcW w:w="908" w:type="dxa"/>
            <w:shd w:val="clear" w:color="auto" w:fill="auto"/>
            <w:vAlign w:val="center"/>
          </w:tcPr>
          <w:p w14:paraId="785C1164">
            <w:pPr>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6</w:t>
            </w:r>
          </w:p>
        </w:tc>
        <w:tc>
          <w:tcPr>
            <w:tcW w:w="1073" w:type="dxa"/>
            <w:vAlign w:val="center"/>
          </w:tcPr>
          <w:p w14:paraId="7F141FA3">
            <w:pPr>
              <w:widowControl/>
              <w:jc w:val="center"/>
              <w:rPr>
                <w:rFonts w:hint="eastAsia" w:ascii="宋体" w:hAnsi="宋体" w:cs="宋体"/>
                <w:kern w:val="0"/>
                <w:sz w:val="24"/>
              </w:rPr>
            </w:pPr>
            <w:r>
              <w:rPr>
                <w:rFonts w:hint="eastAsia" w:ascii="宋体" w:hAnsi="宋体" w:cs="宋体"/>
                <w:kern w:val="0"/>
                <w:sz w:val="24"/>
              </w:rPr>
              <w:t>主观分</w:t>
            </w:r>
          </w:p>
        </w:tc>
      </w:tr>
      <w:tr w14:paraId="1ACE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16" w:type="dxa"/>
            <w:vMerge w:val="continue"/>
            <w:shd w:val="clear" w:color="auto" w:fill="auto"/>
            <w:vAlign w:val="center"/>
          </w:tcPr>
          <w:p w14:paraId="477ED708">
            <w:pPr>
              <w:widowControl/>
              <w:adjustRightInd/>
              <w:jc w:val="left"/>
              <w:rPr>
                <w:rFonts w:hint="eastAsia" w:ascii="宋体" w:hAnsi="宋体" w:cs="宋体"/>
                <w:kern w:val="0"/>
                <w:sz w:val="24"/>
              </w:rPr>
            </w:pPr>
          </w:p>
        </w:tc>
        <w:tc>
          <w:tcPr>
            <w:tcW w:w="520" w:type="dxa"/>
            <w:shd w:val="clear" w:color="auto" w:fill="auto"/>
            <w:vAlign w:val="center"/>
          </w:tcPr>
          <w:p w14:paraId="680C3A40">
            <w:pPr>
              <w:widowControl/>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2</w:t>
            </w:r>
          </w:p>
        </w:tc>
        <w:tc>
          <w:tcPr>
            <w:tcW w:w="6481" w:type="dxa"/>
            <w:shd w:val="clear" w:color="auto" w:fill="auto"/>
            <w:vAlign w:val="center"/>
          </w:tcPr>
          <w:p w14:paraId="38239C1E">
            <w:pPr>
              <w:jc w:val="left"/>
              <w:rPr>
                <w:rFonts w:hint="eastAsia" w:ascii="宋体" w:hAnsi="宋体" w:cs="宋体"/>
                <w:sz w:val="24"/>
              </w:rPr>
            </w:pPr>
            <w:r>
              <w:rPr>
                <w:rFonts w:hint="eastAsia" w:ascii="宋体" w:hAnsi="宋体" w:cs="宋体"/>
                <w:sz w:val="24"/>
              </w:rPr>
              <w:t>安全管理措施：安全管理（包括但不限于数据安全、系统安全、交通对接）充分考虑项目的需求特点及风险，措施具体有效且应急工具的配备是否合理进行综合评定。</w:t>
            </w:r>
          </w:p>
        </w:tc>
        <w:tc>
          <w:tcPr>
            <w:tcW w:w="908" w:type="dxa"/>
            <w:shd w:val="clear" w:color="auto" w:fill="auto"/>
            <w:vAlign w:val="center"/>
          </w:tcPr>
          <w:p w14:paraId="4928EFD5">
            <w:pPr>
              <w:jc w:val="center"/>
              <w:rPr>
                <w:rFonts w:hint="eastAsia" w:ascii="宋体" w:hAnsi="宋体" w:cs="宋体"/>
                <w:sz w:val="24"/>
              </w:rPr>
            </w:pPr>
            <w:r>
              <w:rPr>
                <w:rFonts w:hint="eastAsia" w:ascii="宋体" w:hAnsi="宋体" w:cs="宋体"/>
                <w:sz w:val="24"/>
              </w:rPr>
              <w:t>0-6</w:t>
            </w:r>
          </w:p>
        </w:tc>
        <w:tc>
          <w:tcPr>
            <w:tcW w:w="1073" w:type="dxa"/>
            <w:vAlign w:val="center"/>
          </w:tcPr>
          <w:p w14:paraId="42859C6A">
            <w:pPr>
              <w:spacing w:line="280" w:lineRule="exact"/>
              <w:jc w:val="center"/>
              <w:rPr>
                <w:rFonts w:hint="eastAsia" w:ascii="宋体" w:hAnsi="宋体" w:cs="宋体"/>
                <w:sz w:val="24"/>
              </w:rPr>
            </w:pPr>
            <w:r>
              <w:rPr>
                <w:rFonts w:hint="eastAsia" w:ascii="宋体" w:hAnsi="宋体" w:cs="宋体"/>
                <w:sz w:val="24"/>
              </w:rPr>
              <w:t>主观分</w:t>
            </w:r>
          </w:p>
        </w:tc>
      </w:tr>
      <w:tr w14:paraId="084C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6" w:type="dxa"/>
            <w:vMerge w:val="continue"/>
            <w:shd w:val="clear" w:color="auto" w:fill="auto"/>
            <w:vAlign w:val="center"/>
          </w:tcPr>
          <w:p w14:paraId="7B4992B7">
            <w:pPr>
              <w:widowControl/>
              <w:adjustRightInd/>
              <w:jc w:val="left"/>
              <w:rPr>
                <w:rFonts w:hint="eastAsia" w:ascii="宋体" w:hAnsi="宋体" w:cs="宋体"/>
                <w:kern w:val="0"/>
                <w:sz w:val="24"/>
              </w:rPr>
            </w:pPr>
          </w:p>
        </w:tc>
        <w:tc>
          <w:tcPr>
            <w:tcW w:w="520" w:type="dxa"/>
            <w:shd w:val="clear" w:color="auto" w:fill="auto"/>
            <w:vAlign w:val="center"/>
          </w:tcPr>
          <w:p w14:paraId="508E800C">
            <w:pPr>
              <w:widowControl/>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3</w:t>
            </w:r>
          </w:p>
        </w:tc>
        <w:tc>
          <w:tcPr>
            <w:tcW w:w="6481" w:type="dxa"/>
            <w:shd w:val="clear" w:color="auto" w:fill="auto"/>
            <w:vAlign w:val="center"/>
          </w:tcPr>
          <w:p w14:paraId="05D33916">
            <w:pPr>
              <w:pStyle w:val="964"/>
              <w:wordWrap/>
              <w:ind w:left="42" w:leftChars="20" w:right="42" w:rightChars="20"/>
              <w:jc w:val="left"/>
              <w:rPr>
                <w:rFonts w:hint="eastAsia" w:ascii="宋体" w:hAnsi="宋体" w:cs="宋体"/>
                <w:sz w:val="24"/>
              </w:rPr>
            </w:pPr>
            <w:r>
              <w:rPr>
                <w:rFonts w:hint="eastAsia" w:ascii="宋体" w:hAnsi="宋体" w:cs="宋体"/>
                <w:sz w:val="24"/>
              </w:rPr>
              <w:t>质量保证措施：质量目标是否明确，质量保证措施是否完善合理进行综合评定。</w:t>
            </w:r>
          </w:p>
        </w:tc>
        <w:tc>
          <w:tcPr>
            <w:tcW w:w="908" w:type="dxa"/>
            <w:shd w:val="clear" w:color="auto" w:fill="auto"/>
            <w:vAlign w:val="center"/>
          </w:tcPr>
          <w:p w14:paraId="1341A39D">
            <w:pPr>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6</w:t>
            </w:r>
          </w:p>
        </w:tc>
        <w:tc>
          <w:tcPr>
            <w:tcW w:w="1073" w:type="dxa"/>
            <w:vAlign w:val="center"/>
          </w:tcPr>
          <w:p w14:paraId="582E6E5D">
            <w:pPr>
              <w:widowControl/>
              <w:jc w:val="center"/>
              <w:rPr>
                <w:rFonts w:hint="eastAsia" w:ascii="宋体" w:hAnsi="宋体" w:cs="宋体"/>
                <w:kern w:val="0"/>
                <w:sz w:val="24"/>
                <w:lang w:val="zh-CN"/>
              </w:rPr>
            </w:pPr>
            <w:r>
              <w:rPr>
                <w:rFonts w:hint="eastAsia" w:ascii="宋体" w:hAnsi="宋体" w:cs="宋体"/>
                <w:kern w:val="0"/>
                <w:sz w:val="24"/>
              </w:rPr>
              <w:t>主观分</w:t>
            </w:r>
          </w:p>
        </w:tc>
      </w:tr>
      <w:tr w14:paraId="58DC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16" w:type="dxa"/>
            <w:vMerge w:val="continue"/>
            <w:shd w:val="clear" w:color="auto" w:fill="auto"/>
            <w:vAlign w:val="center"/>
          </w:tcPr>
          <w:p w14:paraId="04490453">
            <w:pPr>
              <w:widowControl/>
              <w:adjustRightInd/>
              <w:jc w:val="left"/>
              <w:rPr>
                <w:rFonts w:hint="eastAsia" w:ascii="宋体" w:hAnsi="宋体" w:cs="宋体"/>
                <w:kern w:val="0"/>
                <w:sz w:val="24"/>
              </w:rPr>
            </w:pPr>
          </w:p>
        </w:tc>
        <w:tc>
          <w:tcPr>
            <w:tcW w:w="520" w:type="dxa"/>
            <w:shd w:val="clear" w:color="auto" w:fill="auto"/>
            <w:vAlign w:val="center"/>
          </w:tcPr>
          <w:p w14:paraId="0037A2A6">
            <w:pPr>
              <w:widowControl/>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4</w:t>
            </w:r>
          </w:p>
        </w:tc>
        <w:tc>
          <w:tcPr>
            <w:tcW w:w="6481" w:type="dxa"/>
            <w:shd w:val="clear" w:color="auto" w:fill="auto"/>
            <w:vAlign w:val="center"/>
          </w:tcPr>
          <w:p w14:paraId="71675A26">
            <w:pPr>
              <w:pStyle w:val="964"/>
              <w:wordWrap/>
              <w:ind w:left="42" w:leftChars="20" w:right="42" w:rightChars="20"/>
              <w:jc w:val="left"/>
              <w:rPr>
                <w:rFonts w:hint="eastAsia" w:ascii="宋体" w:hAnsi="宋体" w:cs="宋体"/>
                <w:sz w:val="24"/>
              </w:rPr>
            </w:pPr>
            <w:r>
              <w:rPr>
                <w:rFonts w:hint="eastAsia" w:ascii="宋体" w:hAnsi="宋体" w:cs="宋体"/>
                <w:sz w:val="24"/>
              </w:rPr>
              <w:t>根据企业综合管理水平等情况综合评定（包括但不限于售后服务质量、机电产品检测能力、企业维护能力等等）</w:t>
            </w:r>
          </w:p>
        </w:tc>
        <w:tc>
          <w:tcPr>
            <w:tcW w:w="908" w:type="dxa"/>
            <w:shd w:val="clear" w:color="auto" w:fill="auto"/>
            <w:vAlign w:val="center"/>
          </w:tcPr>
          <w:p w14:paraId="24FA4537">
            <w:pPr>
              <w:jc w:val="center"/>
              <w:rPr>
                <w:rFonts w:hint="eastAsia" w:ascii="宋体" w:hAnsi="宋体" w:cs="宋体"/>
                <w:sz w:val="24"/>
              </w:rPr>
            </w:pPr>
            <w:r>
              <w:rPr>
                <w:rFonts w:hint="eastAsia" w:ascii="宋体" w:hAnsi="宋体" w:cs="宋体"/>
                <w:sz w:val="24"/>
              </w:rPr>
              <w:t>0-6</w:t>
            </w:r>
          </w:p>
        </w:tc>
        <w:tc>
          <w:tcPr>
            <w:tcW w:w="1073" w:type="dxa"/>
            <w:vAlign w:val="center"/>
          </w:tcPr>
          <w:p w14:paraId="303E15F0">
            <w:pPr>
              <w:widowControl/>
              <w:jc w:val="center"/>
              <w:rPr>
                <w:rFonts w:hint="eastAsia" w:ascii="宋体" w:hAnsi="宋体" w:cs="宋体"/>
                <w:kern w:val="0"/>
                <w:sz w:val="24"/>
                <w:lang w:val="zh-CN"/>
              </w:rPr>
            </w:pPr>
            <w:r>
              <w:rPr>
                <w:rFonts w:hint="eastAsia" w:ascii="宋体" w:hAnsi="宋体" w:cs="宋体"/>
                <w:kern w:val="0"/>
                <w:sz w:val="24"/>
              </w:rPr>
              <w:t>主观分</w:t>
            </w:r>
          </w:p>
        </w:tc>
      </w:tr>
    </w:tbl>
    <w:p w14:paraId="1C236750">
      <w:pPr>
        <w:widowControl/>
        <w:jc w:val="left"/>
        <w:rPr>
          <w:rFonts w:hint="eastAsia" w:ascii="宋体" w:hAnsi="宋体" w:cs="仿宋"/>
          <w:b/>
          <w:bCs/>
          <w:sz w:val="24"/>
        </w:rPr>
      </w:pPr>
    </w:p>
    <w:p w14:paraId="153F249C">
      <w:pPr>
        <w:widowControl/>
        <w:spacing w:line="360" w:lineRule="auto"/>
        <w:jc w:val="left"/>
        <w:rPr>
          <w:rFonts w:hint="eastAsia" w:ascii="宋体" w:hAnsi="宋体"/>
          <w:bCs/>
          <w:sz w:val="24"/>
        </w:rPr>
      </w:pPr>
      <w:r>
        <w:rPr>
          <w:rFonts w:hint="eastAsia" w:ascii="宋体" w:hAnsi="宋体"/>
          <w:bCs/>
          <w:sz w:val="24"/>
        </w:rPr>
        <w:t>注：1）若采购人对供应商提供的证明资料要求为原件的，另行提出。</w:t>
      </w:r>
    </w:p>
    <w:p w14:paraId="326C1F28">
      <w:pPr>
        <w:widowControl/>
        <w:spacing w:line="360" w:lineRule="auto"/>
        <w:rPr>
          <w:rFonts w:hint="eastAsia" w:ascii="宋体" w:hAnsi="宋体" w:cs="宋体"/>
          <w:sz w:val="24"/>
        </w:rPr>
      </w:pPr>
      <w:r>
        <w:rPr>
          <w:rFonts w:hint="eastAsia" w:ascii="宋体" w:hAnsi="宋体"/>
          <w:bCs/>
          <w:sz w:val="24"/>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78F41AFE">
      <w:pPr>
        <w:widowControl/>
        <w:spacing w:line="360" w:lineRule="auto"/>
        <w:ind w:firstLine="480" w:firstLineChars="200"/>
        <w:rPr>
          <w:rFonts w:hint="eastAsia" w:ascii="宋体" w:hAnsi="宋体" w:cs="宋体"/>
          <w:sz w:val="24"/>
        </w:rPr>
      </w:pPr>
      <w:r>
        <w:rPr>
          <w:rFonts w:hint="eastAsia" w:ascii="宋体" w:hAnsi="宋体" w:cs="宋体"/>
          <w:sz w:val="24"/>
        </w:rPr>
        <w:t>2）供应商编制响应文件（商务技术文件部分）时，建议按此目录（序号和内容）提供评标标准相应的商务技术资料。</w:t>
      </w:r>
    </w:p>
    <w:p w14:paraId="47BC7DD4">
      <w:pPr>
        <w:widowControl/>
        <w:spacing w:line="360" w:lineRule="auto"/>
        <w:rPr>
          <w:rFonts w:hint="eastAsia" w:ascii="宋体" w:hAnsi="宋体" w:cs="宋体"/>
          <w:sz w:val="24"/>
        </w:rPr>
      </w:pPr>
    </w:p>
    <w:p w14:paraId="25341C16">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3、价格分（30分）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14:paraId="6E52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B264B50">
            <w:pPr>
              <w:widowControl/>
              <w:jc w:val="center"/>
              <w:rPr>
                <w:rFonts w:hint="eastAsia" w:ascii="宋体" w:hAnsi="宋体"/>
                <w:sz w:val="24"/>
              </w:rPr>
            </w:pPr>
            <w:r>
              <w:rPr>
                <w:rFonts w:hint="eastAsia" w:ascii="宋体" w:hAnsi="宋体" w:cs="宋体"/>
                <w:sz w:val="24"/>
              </w:rPr>
              <w:t>价格</w:t>
            </w:r>
            <w:r>
              <w:rPr>
                <w:rFonts w:hint="eastAsia" w:ascii="宋体" w:hAnsi="宋体"/>
                <w:sz w:val="24"/>
              </w:rPr>
              <w:t>权值</w:t>
            </w:r>
          </w:p>
        </w:tc>
        <w:tc>
          <w:tcPr>
            <w:tcW w:w="6420" w:type="dxa"/>
            <w:tcBorders>
              <w:top w:val="single" w:color="auto" w:sz="4" w:space="0"/>
              <w:left w:val="single" w:color="auto" w:sz="4" w:space="0"/>
              <w:bottom w:val="single" w:color="auto" w:sz="4" w:space="0"/>
              <w:right w:val="single" w:color="auto" w:sz="4" w:space="0"/>
            </w:tcBorders>
            <w:vAlign w:val="center"/>
          </w:tcPr>
          <w:p w14:paraId="6724154D">
            <w:pPr>
              <w:autoSpaceDE w:val="0"/>
              <w:autoSpaceDN w:val="0"/>
              <w:jc w:val="center"/>
              <w:rPr>
                <w:rFonts w:hint="eastAsia" w:ascii="宋体" w:hAnsi="宋体"/>
                <w:sz w:val="24"/>
              </w:rPr>
            </w:pPr>
            <w:r>
              <w:rPr>
                <w:rFonts w:hint="eastAsia" w:ascii="宋体" w:hAnsi="宋体"/>
                <w:sz w:val="24"/>
              </w:rPr>
              <w:t>计算方法</w:t>
            </w:r>
          </w:p>
        </w:tc>
      </w:tr>
      <w:tr w14:paraId="2FCE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D7AFB1E">
            <w:pPr>
              <w:widowControl/>
              <w:jc w:val="center"/>
              <w:rPr>
                <w:rFonts w:hint="eastAsia" w:ascii="宋体" w:hAnsi="宋体"/>
                <w:sz w:val="24"/>
              </w:rPr>
            </w:pPr>
            <w:r>
              <w:rPr>
                <w:rFonts w:hint="eastAsia" w:ascii="宋体" w:hAnsi="宋体" w:cs="宋体"/>
                <w:sz w:val="24"/>
              </w:rPr>
              <w:t>价格</w:t>
            </w:r>
            <w:r>
              <w:rPr>
                <w:rFonts w:hint="eastAsia" w:ascii="宋体" w:hAnsi="宋体"/>
                <w:sz w:val="24"/>
              </w:rPr>
              <w:t>权值</w:t>
            </w:r>
            <w:r>
              <w:rPr>
                <w:rFonts w:hint="eastAsia" w:ascii="宋体" w:hAnsi="宋体" w:cs="宋体"/>
                <w:sz w:val="24"/>
              </w:rPr>
              <w:t>=0.30</w:t>
            </w:r>
          </w:p>
        </w:tc>
        <w:tc>
          <w:tcPr>
            <w:tcW w:w="6420" w:type="dxa"/>
            <w:tcBorders>
              <w:top w:val="single" w:color="auto" w:sz="4" w:space="0"/>
              <w:left w:val="single" w:color="auto" w:sz="4" w:space="0"/>
              <w:bottom w:val="single" w:color="auto" w:sz="4" w:space="0"/>
              <w:right w:val="single" w:color="auto" w:sz="4" w:space="0"/>
            </w:tcBorders>
            <w:vAlign w:val="center"/>
          </w:tcPr>
          <w:p w14:paraId="52009F90">
            <w:pPr>
              <w:autoSpaceDE w:val="0"/>
              <w:autoSpaceDN w:val="0"/>
              <w:rPr>
                <w:rFonts w:hint="eastAsia" w:ascii="宋体" w:hAnsi="宋体"/>
                <w:sz w:val="24"/>
              </w:rPr>
            </w:pPr>
            <w:r>
              <w:rPr>
                <w:rFonts w:hint="eastAsia" w:ascii="宋体" w:hAnsi="宋体"/>
                <w:sz w:val="24"/>
              </w:rPr>
              <w:t>最低有效响应价格为评标基准价</w:t>
            </w:r>
          </w:p>
          <w:p w14:paraId="7CF64634">
            <w:pPr>
              <w:autoSpaceDE w:val="0"/>
              <w:autoSpaceDN w:val="0"/>
              <w:rPr>
                <w:rFonts w:hint="eastAsia" w:ascii="宋体" w:hAnsi="宋体"/>
                <w:sz w:val="24"/>
              </w:rPr>
            </w:pPr>
            <w:r>
              <w:rPr>
                <w:rFonts w:hint="eastAsia" w:ascii="宋体" w:hAnsi="宋体"/>
                <w:sz w:val="24"/>
              </w:rPr>
              <w:t xml:space="preserve">响应报价得分=(评标基准价／响应报价)×价格权值×100 </w:t>
            </w:r>
          </w:p>
          <w:p w14:paraId="0EF03281">
            <w:pPr>
              <w:pStyle w:val="60"/>
              <w:ind w:firstLine="0"/>
              <w:jc w:val="left"/>
              <w:rPr>
                <w:rFonts w:hint="eastAsia" w:hAnsi="宋体" w:cs="宋体"/>
              </w:rPr>
            </w:pPr>
            <w:r>
              <w:rPr>
                <w:rFonts w:hint="eastAsia" w:hAnsi="宋体"/>
              </w:rPr>
              <w:t>（计算得分保留小数点后2位）</w:t>
            </w:r>
          </w:p>
        </w:tc>
      </w:tr>
    </w:tbl>
    <w:p w14:paraId="134E9237">
      <w:pPr>
        <w:rPr>
          <w:rFonts w:hint="eastAsia" w:ascii="宋体" w:hAnsi="宋体" w:cs="宋体"/>
          <w:b/>
          <w:sz w:val="32"/>
        </w:rPr>
      </w:pPr>
    </w:p>
    <w:p w14:paraId="484BF11E">
      <w:pPr>
        <w:rPr>
          <w:rFonts w:hint="eastAsia" w:ascii="宋体" w:hAnsi="宋体" w:cs="宋体"/>
          <w:b/>
          <w:sz w:val="32"/>
        </w:rPr>
      </w:pPr>
      <w:r>
        <w:rPr>
          <w:rFonts w:hint="eastAsia" w:ascii="宋体" w:hAnsi="宋体" w:cs="宋体"/>
          <w:b/>
          <w:sz w:val="32"/>
        </w:rPr>
        <w:br w:type="page"/>
      </w:r>
    </w:p>
    <w:p w14:paraId="246DDB06">
      <w:pPr>
        <w:snapToGrid w:val="0"/>
        <w:spacing w:line="360" w:lineRule="auto"/>
        <w:jc w:val="left"/>
        <w:rPr>
          <w:rFonts w:hint="eastAsia" w:ascii="宋体" w:hAnsi="宋体" w:cs="宋体"/>
          <w:b/>
          <w:sz w:val="28"/>
          <w:szCs w:val="28"/>
        </w:rPr>
      </w:pPr>
      <w:r>
        <w:rPr>
          <w:rFonts w:hint="eastAsia" w:ascii="宋体" w:hAnsi="宋体" w:cs="宋体"/>
          <w:b/>
          <w:sz w:val="32"/>
        </w:rPr>
        <w:t>一、评标方法</w:t>
      </w:r>
    </w:p>
    <w:p w14:paraId="257847D4">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综合评分法，是指响应文件满足交易文件全部实质性要求，且按照评审因素的量化指标评审得分最高的供应商为成交候选人的评标方法。</w:t>
      </w:r>
    </w:p>
    <w:p w14:paraId="126850E8">
      <w:pPr>
        <w:adjustRightInd/>
        <w:spacing w:line="360" w:lineRule="auto"/>
        <w:rPr>
          <w:rFonts w:hint="eastAsia" w:ascii="宋体" w:hAnsi="宋体" w:cs="宋体"/>
          <w:kern w:val="0"/>
          <w:sz w:val="24"/>
        </w:rPr>
      </w:pPr>
      <w:r>
        <w:rPr>
          <w:rFonts w:hint="eastAsia" w:ascii="宋体" w:hAnsi="宋体" w:cs="宋体"/>
          <w:b/>
          <w:sz w:val="32"/>
        </w:rPr>
        <w:t>二、评标标准</w:t>
      </w:r>
    </w:p>
    <w:p w14:paraId="46F4934C">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FC39B3C">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7E27115A">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评标委员会应当对符合资格的供应商的响应文件进行符合性审查，以确定其是否满足交易文件的实质性要求。不满足交易文件的实质性要求的，交易无效。</w:t>
      </w:r>
    </w:p>
    <w:p w14:paraId="3BD1B19E">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14:paraId="7697C10E">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14:paraId="36D61AF1">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4ED455E8">
      <w:pPr>
        <w:pStyle w:val="130"/>
        <w:spacing w:before="0"/>
        <w:ind w:firstLine="508" w:firstLineChars="212"/>
        <w:rPr>
          <w:rFonts w:hint="eastAsia" w:ascii="宋体" w:hAnsi="宋体" w:cs="宋体"/>
          <w:kern w:val="0"/>
        </w:rPr>
      </w:pPr>
      <w:r>
        <w:rPr>
          <w:rFonts w:hint="eastAsia" w:ascii="宋体" w:hAnsi="宋体" w:cs="宋体"/>
          <w:kern w:val="0"/>
        </w:rPr>
        <w:t>3.4.1响应文件报价出现前后不一致的，按照下列规定修正：</w:t>
      </w:r>
    </w:p>
    <w:p w14:paraId="42F094A0">
      <w:pPr>
        <w:pStyle w:val="130"/>
        <w:spacing w:before="0"/>
        <w:ind w:firstLine="480"/>
        <w:rPr>
          <w:rFonts w:hint="eastAsia"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228294D2">
      <w:pPr>
        <w:pStyle w:val="130"/>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693F5D6">
      <w:pPr>
        <w:pStyle w:val="130"/>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754AD966">
      <w:pPr>
        <w:pStyle w:val="130"/>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38302E8">
      <w:pPr>
        <w:pStyle w:val="130"/>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64136B00">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3.4.2响应文件出现不是唯一的、有选择性相应报价的，交易无效。</w:t>
      </w:r>
    </w:p>
    <w:p w14:paraId="57FCCE58">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3.4.3响应报价超过交易文件中规定的预算金额或者最高限价的，交易无效。</w:t>
      </w:r>
    </w:p>
    <w:p w14:paraId="1884DCAA">
      <w:pPr>
        <w:pStyle w:val="130"/>
        <w:spacing w:before="0"/>
        <w:ind w:firstLine="480"/>
        <w:rPr>
          <w:rFonts w:hint="eastAsia" w:ascii="宋体" w:hAnsi="宋体" w:cs="宋体"/>
          <w:kern w:val="0"/>
          <w:szCs w:val="24"/>
        </w:rPr>
      </w:pPr>
      <w:r>
        <w:rPr>
          <w:rFonts w:hint="eastAsia" w:ascii="宋体" w:hAnsi="宋体" w:cs="宋体"/>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3C121F4E">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1E47B9FF">
      <w:pPr>
        <w:spacing w:line="360" w:lineRule="auto"/>
        <w:rPr>
          <w:rFonts w:hint="eastAsia"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40B72A21">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D7FA32">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71A63191">
      <w:pPr>
        <w:pStyle w:val="130"/>
        <w:spacing w:before="0"/>
        <w:ind w:firstLine="472" w:firstLineChars="196"/>
        <w:rPr>
          <w:rFonts w:hint="eastAsia"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FC88CFA">
      <w:pPr>
        <w:pStyle w:val="24"/>
        <w:spacing w:line="360" w:lineRule="auto"/>
        <w:ind w:left="954" w:leftChars="226" w:hanging="479" w:firstLineChars="0"/>
        <w:rPr>
          <w:rFonts w:hint="eastAsia" w:cs="宋体"/>
          <w:szCs w:val="21"/>
        </w:rPr>
      </w:pPr>
      <w:r>
        <w:rPr>
          <w:rFonts w:hint="eastAsia" w:cs="宋体"/>
          <w:b/>
          <w:kern w:val="0"/>
        </w:rPr>
        <w:t>4.2交易无效。</w:t>
      </w:r>
      <w:r>
        <w:rPr>
          <w:rFonts w:hint="eastAsia" w:cs="宋体"/>
          <w:szCs w:val="21"/>
        </w:rPr>
        <w:t>有下列情形之一的，交易无效：</w:t>
      </w:r>
    </w:p>
    <w:p w14:paraId="1BD50BB2">
      <w:pPr>
        <w:spacing w:line="360" w:lineRule="auto"/>
        <w:ind w:firstLine="480" w:firstLineChars="200"/>
        <w:rPr>
          <w:rFonts w:hint="eastAsia" w:ascii="宋体" w:hAnsi="宋体" w:cs="宋体"/>
          <w:kern w:val="0"/>
          <w:sz w:val="24"/>
        </w:rPr>
      </w:pPr>
      <w:r>
        <w:rPr>
          <w:rFonts w:hint="eastAsia" w:ascii="宋体" w:hAnsi="宋体" w:cs="宋体"/>
          <w:kern w:val="0"/>
          <w:sz w:val="24"/>
        </w:rPr>
        <w:t>4.2.1供应商不具备交易文件中规定的资格要求的（供应商未提供有效的资格文件的，视为供应商不具备交易文件中规定的资格要求）；</w:t>
      </w:r>
    </w:p>
    <w:p w14:paraId="572E59F8">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4.2.2响应文件未按照交易文件要求签署、盖章的；</w:t>
      </w:r>
    </w:p>
    <w:p w14:paraId="283E62AD">
      <w:pPr>
        <w:spacing w:line="360" w:lineRule="auto"/>
        <w:ind w:firstLine="480" w:firstLineChars="200"/>
        <w:rPr>
          <w:rFonts w:hint="eastAsia" w:ascii="宋体" w:hAnsi="宋体" w:cs="宋体"/>
          <w:kern w:val="0"/>
          <w:sz w:val="24"/>
        </w:rPr>
      </w:pPr>
      <w:r>
        <w:rPr>
          <w:rFonts w:hint="eastAsia" w:ascii="宋体" w:hAnsi="宋体" w:cs="宋体"/>
          <w:kern w:val="0"/>
          <w:sz w:val="24"/>
        </w:rPr>
        <w:t>4.2.3响应文件含有采购人不能接受的附加条件的；</w:t>
      </w:r>
    </w:p>
    <w:p w14:paraId="7C5C49AE">
      <w:pPr>
        <w:spacing w:line="360" w:lineRule="auto"/>
        <w:ind w:firstLine="480" w:firstLineChars="200"/>
        <w:rPr>
          <w:rFonts w:hint="eastAsia" w:ascii="宋体" w:hAnsi="宋体" w:cs="宋体"/>
          <w:kern w:val="0"/>
          <w:sz w:val="24"/>
        </w:rPr>
      </w:pPr>
      <w:r>
        <w:rPr>
          <w:rFonts w:hint="eastAsia" w:ascii="宋体" w:hAnsi="宋体" w:cs="宋体"/>
          <w:kern w:val="0"/>
          <w:sz w:val="24"/>
        </w:rPr>
        <w:t>4.2.4响应文件中承诺的交易有效期少于交易文件中载明的交易有效期的；</w:t>
      </w:r>
    </w:p>
    <w:p w14:paraId="7B83994F">
      <w:pPr>
        <w:spacing w:line="360" w:lineRule="auto"/>
        <w:ind w:firstLine="480" w:firstLineChars="200"/>
        <w:rPr>
          <w:rFonts w:hint="eastAsia" w:ascii="宋体" w:hAnsi="宋体" w:cs="宋体"/>
          <w:kern w:val="0"/>
          <w:sz w:val="24"/>
        </w:rPr>
      </w:pPr>
      <w:r>
        <w:rPr>
          <w:rFonts w:hint="eastAsia" w:ascii="宋体" w:hAnsi="宋体" w:cs="宋体"/>
          <w:kern w:val="0"/>
          <w:sz w:val="24"/>
        </w:rPr>
        <w:t>4.2.5响应文件出现不是唯一的、有选择性响应报价的;</w:t>
      </w:r>
    </w:p>
    <w:p w14:paraId="029D6AB5">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4.2.6响应报价超过交易文件中规定的预算金额或者最高限价的;</w:t>
      </w:r>
    </w:p>
    <w:p w14:paraId="6C1350BB">
      <w:pPr>
        <w:spacing w:line="360" w:lineRule="auto"/>
        <w:ind w:firstLine="480" w:firstLineChars="200"/>
        <w:rPr>
          <w:rFonts w:hint="eastAsia"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3C0D11DE">
      <w:pPr>
        <w:spacing w:line="360" w:lineRule="auto"/>
        <w:ind w:firstLine="480" w:firstLineChars="200"/>
        <w:rPr>
          <w:rFonts w:hint="eastAsia" w:ascii="宋体" w:hAnsi="宋体" w:cs="宋体"/>
          <w:kern w:val="0"/>
          <w:sz w:val="24"/>
        </w:rPr>
      </w:pPr>
      <w:r>
        <w:rPr>
          <w:rFonts w:hint="eastAsia" w:ascii="宋体" w:hAnsi="宋体" w:cs="宋体"/>
          <w:kern w:val="0"/>
          <w:sz w:val="24"/>
        </w:rPr>
        <w:t>4.2.8供应商对根据修正原则修正后的报价不确认的；</w:t>
      </w:r>
    </w:p>
    <w:p w14:paraId="5C734CD6">
      <w:pPr>
        <w:spacing w:line="360" w:lineRule="auto"/>
        <w:ind w:firstLine="480" w:firstLineChars="200"/>
        <w:rPr>
          <w:rFonts w:hint="eastAsia" w:ascii="宋体" w:hAnsi="宋体" w:cs="宋体"/>
          <w:kern w:val="0"/>
          <w:sz w:val="24"/>
        </w:rPr>
      </w:pPr>
      <w:r>
        <w:rPr>
          <w:rFonts w:hint="eastAsia" w:ascii="宋体" w:hAnsi="宋体" w:cs="宋体"/>
          <w:kern w:val="0"/>
          <w:sz w:val="24"/>
        </w:rPr>
        <w:t>4.2.9供应商提供虚假材料响应的；</w:t>
      </w:r>
    </w:p>
    <w:p w14:paraId="4E5789C1">
      <w:pPr>
        <w:spacing w:line="360" w:lineRule="auto"/>
        <w:ind w:firstLine="480" w:firstLineChars="200"/>
        <w:rPr>
          <w:rFonts w:hint="eastAsia" w:ascii="宋体" w:hAnsi="宋体" w:cs="宋体"/>
          <w:kern w:val="0"/>
          <w:sz w:val="24"/>
        </w:rPr>
      </w:pPr>
      <w:r>
        <w:rPr>
          <w:rFonts w:hint="eastAsia" w:ascii="宋体" w:hAnsi="宋体" w:cs="宋体"/>
          <w:kern w:val="0"/>
          <w:sz w:val="24"/>
        </w:rPr>
        <w:t>4.2.10供应商有恶意串通、妨碍其他供应商的竞争行为、损害采购人或者其他供应商的合法权益情形的；</w:t>
      </w:r>
    </w:p>
    <w:p w14:paraId="0F4C8D0E">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4.2.11供应商仅提交备份响应文件，未在电子交易平台传输递交响应文件的，交易无效；</w:t>
      </w:r>
    </w:p>
    <w:p w14:paraId="06CC00B2">
      <w:pPr>
        <w:spacing w:line="360" w:lineRule="auto"/>
        <w:ind w:firstLine="480" w:firstLineChars="200"/>
        <w:rPr>
          <w:rFonts w:hint="eastAsia" w:ascii="宋体" w:hAnsi="宋体" w:cs="宋体"/>
          <w:kern w:val="0"/>
          <w:sz w:val="24"/>
        </w:rPr>
      </w:pPr>
      <w:r>
        <w:rPr>
          <w:rFonts w:hint="eastAsia" w:ascii="宋体" w:hAnsi="宋体" w:cs="宋体"/>
          <w:kern w:val="0"/>
          <w:sz w:val="24"/>
        </w:rPr>
        <w:t>4.2.12响应文件不满足交易文件的其它实质性要求的；</w:t>
      </w:r>
    </w:p>
    <w:p w14:paraId="5B435F64">
      <w:pPr>
        <w:spacing w:line="360" w:lineRule="auto"/>
        <w:ind w:firstLine="480" w:firstLineChars="200"/>
        <w:rPr>
          <w:rFonts w:hint="eastAsia" w:ascii="宋体" w:hAnsi="宋体" w:cs="宋体"/>
          <w:kern w:val="0"/>
          <w:sz w:val="24"/>
        </w:rPr>
      </w:pPr>
      <w:r>
        <w:rPr>
          <w:rFonts w:hint="eastAsia" w:ascii="宋体" w:hAnsi="宋体" w:cs="宋体"/>
          <w:kern w:val="0"/>
          <w:sz w:val="24"/>
        </w:rPr>
        <w:t>4.2.13 法律、法规、规章（适用本市的）及省级以上规范性文件（适用本市的）规定的其他无效情形。</w:t>
      </w:r>
    </w:p>
    <w:p w14:paraId="42AF580B">
      <w:pPr>
        <w:pStyle w:val="24"/>
        <w:snapToGrid w:val="0"/>
        <w:spacing w:line="360" w:lineRule="auto"/>
        <w:ind w:firstLine="472" w:firstLineChars="196"/>
        <w:rPr>
          <w:rFonts w:hint="eastAsia" w:cs="宋体"/>
        </w:rPr>
      </w:pPr>
      <w:r>
        <w:rPr>
          <w:rFonts w:hint="eastAsia" w:cs="宋体"/>
          <w:b/>
        </w:rPr>
        <w:t>5.废标。</w:t>
      </w:r>
      <w:r>
        <w:rPr>
          <w:rFonts w:hint="eastAsia" w:cs="宋体"/>
        </w:rPr>
        <w:t>在采购中，出现下列情形之一的，应予废标：</w:t>
      </w:r>
    </w:p>
    <w:p w14:paraId="5BD17A3B">
      <w:pPr>
        <w:pStyle w:val="24"/>
        <w:snapToGrid w:val="0"/>
        <w:spacing w:line="360" w:lineRule="auto"/>
        <w:rPr>
          <w:rFonts w:hint="eastAsia" w:cs="宋体"/>
        </w:rPr>
      </w:pPr>
      <w:r>
        <w:rPr>
          <w:rFonts w:hint="eastAsia" w:cs="宋体"/>
        </w:rPr>
        <w:t>5.1符合专业条件的供应商或者对交易文件作实质响应的供应商不足3家的；</w:t>
      </w:r>
    </w:p>
    <w:p w14:paraId="0E4B1A47">
      <w:pPr>
        <w:pStyle w:val="24"/>
        <w:snapToGrid w:val="0"/>
        <w:spacing w:line="360" w:lineRule="auto"/>
        <w:rPr>
          <w:rFonts w:hint="eastAsia" w:cs="宋体"/>
        </w:rPr>
      </w:pPr>
      <w:r>
        <w:rPr>
          <w:rFonts w:hint="eastAsia" w:cs="宋体"/>
        </w:rPr>
        <w:t>5.2出现影响采购公正的违法、违规行为的；</w:t>
      </w:r>
    </w:p>
    <w:p w14:paraId="723BDE65">
      <w:pPr>
        <w:pStyle w:val="24"/>
        <w:snapToGrid w:val="0"/>
        <w:spacing w:line="360" w:lineRule="auto"/>
        <w:rPr>
          <w:rFonts w:hint="eastAsia" w:cs="宋体"/>
        </w:rPr>
      </w:pPr>
      <w:r>
        <w:rPr>
          <w:rFonts w:hint="eastAsia" w:cs="宋体"/>
        </w:rPr>
        <w:t>5.3供应商的报价均超过了采购预算，采购人不能支付的；</w:t>
      </w:r>
    </w:p>
    <w:p w14:paraId="7DCFC944">
      <w:pPr>
        <w:pStyle w:val="24"/>
        <w:snapToGrid w:val="0"/>
        <w:spacing w:line="360" w:lineRule="auto"/>
        <w:rPr>
          <w:rFonts w:hint="eastAsia" w:cs="宋体"/>
        </w:rPr>
      </w:pPr>
      <w:r>
        <w:rPr>
          <w:rFonts w:hint="eastAsia" w:cs="宋体"/>
        </w:rPr>
        <w:t>5.4因重大变故，采购任务取消的。</w:t>
      </w:r>
    </w:p>
    <w:p w14:paraId="27692A38">
      <w:pPr>
        <w:pStyle w:val="24"/>
        <w:snapToGrid w:val="0"/>
        <w:spacing w:line="360" w:lineRule="auto"/>
        <w:rPr>
          <w:rFonts w:hint="eastAsia" w:cs="宋体"/>
        </w:rPr>
      </w:pPr>
      <w:r>
        <w:rPr>
          <w:rFonts w:hint="eastAsia" w:cs="宋体"/>
        </w:rPr>
        <w:t>废标后，采购机构应当将废标理由通知所有供应商。</w:t>
      </w:r>
    </w:p>
    <w:p w14:paraId="08856B35">
      <w:pPr>
        <w:pStyle w:val="24"/>
        <w:snapToGrid w:val="0"/>
        <w:spacing w:line="360" w:lineRule="auto"/>
        <w:ind w:firstLine="590" w:firstLineChars="245"/>
        <w:rPr>
          <w:rFonts w:hint="eastAsia" w:cs="宋体"/>
        </w:rPr>
      </w:pPr>
      <w:r>
        <w:rPr>
          <w:rFonts w:hint="eastAsia" w:cs="宋体"/>
          <w:b/>
        </w:rPr>
        <w:t>6.修改交易文件，重新组织采购活动。</w:t>
      </w:r>
      <w:r>
        <w:rPr>
          <w:rFonts w:hint="eastAsia" w:cs="宋体"/>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016E80F6">
      <w:pPr>
        <w:pStyle w:val="24"/>
        <w:snapToGrid w:val="0"/>
        <w:spacing w:line="360" w:lineRule="auto"/>
        <w:ind w:firstLine="590" w:firstLineChars="245"/>
        <w:rPr>
          <w:rFonts w:hint="eastAsia" w:cs="宋体"/>
        </w:rPr>
      </w:pPr>
      <w:r>
        <w:rPr>
          <w:rFonts w:hint="eastAsia" w:cs="宋体"/>
          <w:b/>
          <w:kern w:val="0"/>
        </w:rPr>
        <w:t>7.重新开展采购。</w:t>
      </w:r>
      <w:r>
        <w:rPr>
          <w:rFonts w:hint="eastAsia" w:cs="宋体"/>
        </w:rPr>
        <w:t>有影响或者可能影响成交、成交结果的，依照下列规定处理：</w:t>
      </w:r>
    </w:p>
    <w:p w14:paraId="07561365">
      <w:pPr>
        <w:pStyle w:val="24"/>
        <w:snapToGrid w:val="0"/>
        <w:spacing w:line="360" w:lineRule="auto"/>
        <w:ind w:firstLine="600" w:firstLineChars="250"/>
        <w:rPr>
          <w:rFonts w:hint="eastAsia" w:cs="宋体"/>
        </w:rPr>
      </w:pPr>
      <w:r>
        <w:rPr>
          <w:rFonts w:hint="eastAsia" w:cs="宋体"/>
        </w:rPr>
        <w:t>7.1未确定成交或者成交人的，终止本次采购活动，重新开展采购活动。</w:t>
      </w:r>
    </w:p>
    <w:p w14:paraId="0C32BBC0">
      <w:pPr>
        <w:pStyle w:val="24"/>
        <w:snapToGrid w:val="0"/>
        <w:spacing w:line="360" w:lineRule="auto"/>
        <w:ind w:firstLine="600" w:firstLineChars="250"/>
        <w:rPr>
          <w:rFonts w:hint="eastAsia" w:cs="宋体"/>
        </w:rPr>
      </w:pPr>
      <w:r>
        <w:rPr>
          <w:rFonts w:hint="eastAsia" w:cs="宋体"/>
        </w:rPr>
        <w:t>7.2已确定成交或者成交人但尚未签订采购合同的，成交或者成交结果无效，从合格的成交或者成交候选人中另行确定成交或者成交人；没有合格的成交或者成交候选人的，重新开展采购活动。</w:t>
      </w:r>
    </w:p>
    <w:p w14:paraId="11595A41">
      <w:pPr>
        <w:pStyle w:val="24"/>
        <w:snapToGrid w:val="0"/>
        <w:spacing w:line="360" w:lineRule="auto"/>
        <w:ind w:firstLine="600" w:firstLineChars="250"/>
        <w:rPr>
          <w:rFonts w:hint="eastAsia" w:cs="宋体"/>
        </w:rPr>
      </w:pPr>
      <w:r>
        <w:rPr>
          <w:rFonts w:hint="eastAsia" w:cs="宋体"/>
        </w:rPr>
        <w:t>7.3采购合同已签订但尚未履行的，撤销合同，从合格的成交或者成交候选人中另行确定成交或者成交人；没有合格的成交或者成交候选人的，重新开展采购活动。</w:t>
      </w:r>
    </w:p>
    <w:p w14:paraId="2BE832DD">
      <w:pPr>
        <w:pStyle w:val="24"/>
        <w:snapToGrid w:val="0"/>
        <w:spacing w:line="360" w:lineRule="auto"/>
        <w:rPr>
          <w:rFonts w:hint="eastAsia" w:cs="宋体"/>
        </w:rPr>
      </w:pPr>
      <w:r>
        <w:rPr>
          <w:rFonts w:hint="eastAsia" w:cs="宋体"/>
        </w:rPr>
        <w:t>7.4采购合同已经履行，给采购人、供应商造成损失的，由责任人承担赔偿责任。</w:t>
      </w:r>
    </w:p>
    <w:p w14:paraId="05F40FCF">
      <w:pPr>
        <w:pStyle w:val="24"/>
        <w:snapToGrid w:val="0"/>
        <w:spacing w:line="360" w:lineRule="auto"/>
        <w:rPr>
          <w:rFonts w:hint="eastAsia" w:cs="宋体"/>
        </w:rPr>
      </w:pPr>
      <w:r>
        <w:rPr>
          <w:rFonts w:hint="eastAsia" w:cs="宋体"/>
        </w:rPr>
        <w:t>7.5采购当事人有其他违反相关</w:t>
      </w:r>
      <w:r>
        <w:rPr>
          <w:rFonts w:hint="eastAsia" w:cs="宋体"/>
          <w:kern w:val="0"/>
        </w:rPr>
        <w:t>法律法规规定</w:t>
      </w:r>
      <w:r>
        <w:rPr>
          <w:rFonts w:hint="eastAsia" w:cs="宋体"/>
        </w:rPr>
        <w:t>的行为，经改正后仍然影响或者可能影响成交、成交结果或者依法被认定为成交、成交无效的，依照7.1-7.4规定处理。</w:t>
      </w:r>
    </w:p>
    <w:bookmarkEnd w:id="16"/>
    <w:p w14:paraId="7F0F26EA">
      <w:pPr>
        <w:spacing w:line="360" w:lineRule="auto"/>
        <w:ind w:left="720" w:leftChars="343" w:firstLine="1084" w:firstLineChars="300"/>
        <w:outlineLvl w:val="0"/>
        <w:rPr>
          <w:rFonts w:hint="eastAsia" w:ascii="宋体" w:hAnsi="宋体" w:cs="宋体"/>
          <w:b/>
          <w:sz w:val="36"/>
          <w:szCs w:val="36"/>
        </w:rPr>
      </w:pPr>
      <w:bookmarkStart w:id="382" w:name="第五部分"/>
      <w:bookmarkStart w:id="383" w:name="_Toc86217003"/>
    </w:p>
    <w:p w14:paraId="0354D5BC">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68984CC2">
      <w:pPr>
        <w:spacing w:line="360" w:lineRule="auto"/>
        <w:ind w:left="720" w:leftChars="343" w:firstLine="1084" w:firstLineChars="300"/>
        <w:outlineLvl w:val="0"/>
        <w:rPr>
          <w:rFonts w:hint="eastAsia" w:ascii="宋体" w:hAnsi="宋体" w:cs="宋体"/>
          <w:b/>
          <w:sz w:val="36"/>
          <w:szCs w:val="36"/>
        </w:rPr>
      </w:pPr>
    </w:p>
    <w:p w14:paraId="35C5A8EA">
      <w:pPr>
        <w:spacing w:line="360" w:lineRule="auto"/>
        <w:ind w:left="720" w:leftChars="343" w:firstLine="1084" w:firstLineChars="300"/>
        <w:outlineLvl w:val="0"/>
        <w:rPr>
          <w:rFonts w:hint="eastAsia" w:ascii="宋体" w:hAnsi="宋体" w:cs="宋体"/>
          <w:b/>
          <w:sz w:val="36"/>
          <w:szCs w:val="36"/>
        </w:rPr>
      </w:pPr>
    </w:p>
    <w:p w14:paraId="7AEDDBD7">
      <w:pPr>
        <w:spacing w:line="360" w:lineRule="auto"/>
        <w:ind w:left="720" w:leftChars="343" w:firstLine="1084" w:firstLineChars="300"/>
        <w:outlineLvl w:val="0"/>
        <w:rPr>
          <w:rFonts w:hint="eastAsia" w:ascii="宋体" w:hAnsi="宋体" w:cs="宋体"/>
          <w:b/>
          <w:sz w:val="36"/>
          <w:szCs w:val="36"/>
        </w:rPr>
      </w:pPr>
    </w:p>
    <w:p w14:paraId="1217C836">
      <w:pPr>
        <w:spacing w:line="360" w:lineRule="auto"/>
        <w:ind w:left="720" w:leftChars="343" w:firstLine="1084" w:firstLineChars="300"/>
        <w:outlineLvl w:val="0"/>
        <w:rPr>
          <w:rFonts w:hint="eastAsia" w:ascii="宋体" w:hAnsi="宋体" w:cs="宋体"/>
          <w:b/>
          <w:sz w:val="36"/>
          <w:szCs w:val="36"/>
        </w:rPr>
      </w:pPr>
    </w:p>
    <w:p w14:paraId="356871E5">
      <w:pPr>
        <w:rPr>
          <w:rFonts w:hint="eastAsia" w:ascii="宋体" w:hAnsi="宋体" w:cs="宋体"/>
          <w:b/>
          <w:sz w:val="36"/>
          <w:szCs w:val="36"/>
        </w:rPr>
      </w:pPr>
      <w:r>
        <w:rPr>
          <w:rFonts w:hint="eastAsia" w:ascii="宋体" w:hAnsi="宋体" w:cs="宋体"/>
          <w:b/>
          <w:sz w:val="36"/>
          <w:szCs w:val="36"/>
        </w:rPr>
        <w:br w:type="page"/>
      </w:r>
    </w:p>
    <w:p w14:paraId="02E63377">
      <w:pPr>
        <w:spacing w:line="360" w:lineRule="auto"/>
        <w:ind w:left="-420" w:leftChars="-200" w:right="-420" w:rightChars="-200" w:firstLine="723" w:firstLineChars="200"/>
        <w:jc w:val="center"/>
        <w:outlineLvl w:val="0"/>
        <w:rPr>
          <w:rFonts w:hint="eastAsia" w:ascii="宋体" w:hAnsi="宋体" w:cs="宋体"/>
          <w:b/>
          <w:sz w:val="36"/>
          <w:szCs w:val="20"/>
        </w:rPr>
      </w:pPr>
      <w:r>
        <w:rPr>
          <w:rFonts w:hint="eastAsia" w:ascii="宋体" w:hAnsi="宋体" w:cs="宋体"/>
          <w:b/>
          <w:sz w:val="36"/>
          <w:szCs w:val="36"/>
        </w:rPr>
        <w:t xml:space="preserve">第五部分 </w:t>
      </w:r>
      <w:bookmarkEnd w:id="382"/>
      <w:r>
        <w:rPr>
          <w:rFonts w:hint="eastAsia" w:ascii="宋体" w:hAnsi="宋体" w:cs="宋体"/>
          <w:b/>
          <w:sz w:val="36"/>
          <w:szCs w:val="20"/>
        </w:rPr>
        <w:t xml:space="preserve"> </w:t>
      </w:r>
      <w:bookmarkEnd w:id="383"/>
      <w:r>
        <w:rPr>
          <w:rFonts w:hint="eastAsia" w:ascii="宋体" w:hAnsi="宋体" w:cs="宋体"/>
          <w:b/>
          <w:sz w:val="36"/>
          <w:szCs w:val="20"/>
        </w:rPr>
        <w:t>应提交的有关格式范例</w:t>
      </w:r>
    </w:p>
    <w:p w14:paraId="54510477">
      <w:pPr>
        <w:spacing w:line="360" w:lineRule="auto"/>
        <w:jc w:val="center"/>
        <w:outlineLvl w:val="0"/>
        <w:rPr>
          <w:rFonts w:hint="eastAsia" w:ascii="宋体" w:hAnsi="宋体" w:cs="宋体"/>
          <w:b/>
          <w:kern w:val="0"/>
          <w:sz w:val="36"/>
          <w:szCs w:val="36"/>
        </w:rPr>
      </w:pPr>
    </w:p>
    <w:p w14:paraId="432537D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05DB8E65">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52F26C04">
      <w:pPr>
        <w:spacing w:line="360" w:lineRule="auto"/>
        <w:jc w:val="center"/>
        <w:outlineLvl w:val="0"/>
        <w:rPr>
          <w:rFonts w:hint="eastAsia" w:ascii="宋体" w:hAnsi="宋体" w:cs="宋体"/>
          <w:b/>
          <w:kern w:val="0"/>
          <w:sz w:val="36"/>
          <w:szCs w:val="36"/>
        </w:rPr>
      </w:pPr>
    </w:p>
    <w:p w14:paraId="3926BF8D">
      <w:pPr>
        <w:widowControl/>
        <w:adjustRightInd/>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1E8F65DB">
      <w:pPr>
        <w:widowControl/>
        <w:adjustRightInd/>
        <w:snapToGrid w:val="0"/>
        <w:spacing w:line="360" w:lineRule="auto"/>
        <w:rPr>
          <w:rFonts w:hint="eastAsia" w:ascii="宋体" w:hAnsi="宋体" w:cs="宋体"/>
          <w:sz w:val="24"/>
        </w:rPr>
      </w:pPr>
      <w:r>
        <w:rPr>
          <w:rFonts w:hint="eastAsia" w:ascii="宋体" w:hAnsi="宋体" w:cs="宋体"/>
          <w:sz w:val="24"/>
        </w:rPr>
        <w:t>（2）落实政府采购政策需满足的资格要求………………………………（页码）</w:t>
      </w:r>
    </w:p>
    <w:p w14:paraId="7E435008">
      <w:pPr>
        <w:widowControl/>
        <w:adjustRightInd/>
        <w:snapToGrid w:val="0"/>
        <w:spacing w:line="360" w:lineRule="auto"/>
        <w:rPr>
          <w:rFonts w:hint="eastAsia" w:ascii="宋体" w:hAnsi="宋体" w:cs="宋体"/>
          <w:sz w:val="24"/>
        </w:rPr>
      </w:pPr>
      <w:r>
        <w:rPr>
          <w:rFonts w:hint="eastAsia" w:ascii="宋体" w:hAnsi="宋体" w:cs="宋体"/>
          <w:sz w:val="24"/>
        </w:rPr>
        <w:t>（3）本项目的特定资格要求………………………………………………（页码）</w:t>
      </w:r>
    </w:p>
    <w:p w14:paraId="77623C10">
      <w:pPr>
        <w:snapToGrid w:val="0"/>
        <w:spacing w:line="360" w:lineRule="auto"/>
        <w:ind w:firstLine="480" w:firstLineChars="200"/>
        <w:rPr>
          <w:rFonts w:hint="eastAsia" w:ascii="宋体" w:hAnsi="宋体" w:cs="宋体"/>
          <w:sz w:val="24"/>
        </w:rPr>
      </w:pPr>
    </w:p>
    <w:p w14:paraId="0EA72714">
      <w:pPr>
        <w:spacing w:line="360" w:lineRule="auto"/>
        <w:ind w:firstLine="480" w:firstLineChars="200"/>
        <w:rPr>
          <w:rFonts w:hint="eastAsia" w:ascii="宋体" w:hAnsi="宋体" w:cs="宋体"/>
          <w:sz w:val="24"/>
        </w:rPr>
      </w:pPr>
    </w:p>
    <w:p w14:paraId="3D92E815">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47DE41D9">
      <w:pPr>
        <w:snapToGrid w:val="0"/>
        <w:spacing w:line="360" w:lineRule="auto"/>
        <w:rPr>
          <w:rFonts w:hint="eastAsia" w:ascii="宋体" w:hAnsi="宋体" w:cs="宋体"/>
          <w:sz w:val="24"/>
        </w:rPr>
      </w:pPr>
      <w:r>
        <w:rPr>
          <w:rFonts w:hint="eastAsia" w:ascii="宋体" w:hAnsi="宋体" w:cs="宋体"/>
          <w:sz w:val="24"/>
        </w:rPr>
        <w:t>（采购人）、（采购代理机构）：</w:t>
      </w:r>
    </w:p>
    <w:p w14:paraId="349101F7">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我方参与（项目名称）【交易编号：       】采购活动，郑重承诺：</w:t>
      </w:r>
    </w:p>
    <w:p w14:paraId="3A053C4B">
      <w:pPr>
        <w:snapToGrid w:val="0"/>
        <w:spacing w:line="360" w:lineRule="auto"/>
        <w:ind w:firstLine="360" w:firstLineChars="150"/>
        <w:rPr>
          <w:rFonts w:hint="eastAsia" w:ascii="宋体" w:hAnsi="宋体" w:cs="宋体"/>
          <w:sz w:val="24"/>
        </w:rPr>
      </w:pPr>
      <w:r>
        <w:rPr>
          <w:rFonts w:hint="eastAsia" w:ascii="宋体" w:hAnsi="宋体" w:cs="宋体"/>
          <w:sz w:val="24"/>
        </w:rPr>
        <w:t>（一）具备以下条件：</w:t>
      </w:r>
    </w:p>
    <w:p w14:paraId="75E6E1BC">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356ED6FE">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83AA51D">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7CDD3760">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4DA2692B">
      <w:pPr>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6AA963DF">
      <w:pPr>
        <w:snapToGrid w:val="0"/>
        <w:spacing w:line="360" w:lineRule="auto"/>
        <w:ind w:firstLine="480" w:firstLineChars="200"/>
      </w:pPr>
      <w:r>
        <w:rPr>
          <w:rFonts w:hint="eastAsia" w:ascii="宋体" w:hAnsi="宋体" w:cs="宋体"/>
          <w:sz w:val="24"/>
        </w:rPr>
        <w:t>6、具有法律、行政法规规定的其他条件。</w:t>
      </w:r>
    </w:p>
    <w:p w14:paraId="7F694643">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4B979E5">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5A85FBEA">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611E22E9">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C2E3BDB">
      <w:pPr>
        <w:pStyle w:val="3"/>
        <w:rPr>
          <w:rFonts w:hint="eastAsia" w:ascii="宋体" w:hAnsi="宋体" w:eastAsia="宋体" w:cs="宋体"/>
          <w:sz w:val="24"/>
        </w:rPr>
      </w:pPr>
    </w:p>
    <w:p w14:paraId="74BB1A05"/>
    <w:p w14:paraId="48E22D5F">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27F38395">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40BBE73">
      <w:pPr>
        <w:snapToGrid w:val="0"/>
        <w:spacing w:line="360" w:lineRule="auto"/>
        <w:ind w:right="480"/>
        <w:jc w:val="center"/>
        <w:rPr>
          <w:rFonts w:hint="eastAsia" w:ascii="宋体" w:hAnsi="宋体" w:cs="宋体"/>
          <w:b/>
          <w:kern w:val="0"/>
          <w:sz w:val="32"/>
          <w:szCs w:val="32"/>
        </w:rPr>
      </w:pPr>
    </w:p>
    <w:p w14:paraId="11961B05">
      <w:pPr>
        <w:snapToGrid w:val="0"/>
        <w:spacing w:line="360" w:lineRule="auto"/>
        <w:ind w:right="480"/>
        <w:jc w:val="center"/>
        <w:rPr>
          <w:rFonts w:hint="eastAsia" w:ascii="宋体" w:hAnsi="宋体" w:cs="宋体"/>
          <w:b/>
          <w:kern w:val="0"/>
          <w:sz w:val="32"/>
          <w:szCs w:val="32"/>
        </w:rPr>
      </w:pPr>
    </w:p>
    <w:p w14:paraId="46974F1B">
      <w:pPr>
        <w:rPr>
          <w:rFonts w:hint="eastAsia" w:ascii="宋体" w:hAnsi="宋体" w:cs="宋体"/>
        </w:rPr>
      </w:pPr>
    </w:p>
    <w:p w14:paraId="35C292CE">
      <w:pPr>
        <w:snapToGrid w:val="0"/>
        <w:spacing w:line="360" w:lineRule="auto"/>
        <w:ind w:right="480"/>
        <w:jc w:val="center"/>
        <w:rPr>
          <w:rFonts w:hint="eastAsia" w:ascii="宋体" w:hAnsi="宋体" w:cs="宋体"/>
          <w:b/>
          <w:kern w:val="0"/>
          <w:sz w:val="32"/>
          <w:szCs w:val="32"/>
        </w:rPr>
      </w:pPr>
    </w:p>
    <w:p w14:paraId="0486B411">
      <w:pPr>
        <w:snapToGrid w:val="0"/>
        <w:spacing w:line="360" w:lineRule="auto"/>
        <w:ind w:right="480"/>
        <w:jc w:val="center"/>
        <w:rPr>
          <w:rFonts w:hint="eastAsia" w:ascii="宋体" w:hAnsi="宋体" w:cs="宋体"/>
          <w:b/>
          <w:kern w:val="0"/>
          <w:sz w:val="32"/>
          <w:szCs w:val="32"/>
        </w:rPr>
      </w:pPr>
    </w:p>
    <w:p w14:paraId="3EB6B1BD">
      <w:pPr>
        <w:snapToGrid w:val="0"/>
        <w:spacing w:line="360" w:lineRule="auto"/>
        <w:ind w:right="480"/>
        <w:jc w:val="center"/>
        <w:rPr>
          <w:rFonts w:hint="eastAsia" w:ascii="宋体" w:hAnsi="宋体" w:cs="宋体"/>
          <w:b/>
          <w:kern w:val="0"/>
          <w:sz w:val="32"/>
          <w:szCs w:val="32"/>
        </w:rPr>
      </w:pPr>
    </w:p>
    <w:p w14:paraId="01CD7708">
      <w:pPr>
        <w:rPr>
          <w:rFonts w:hint="eastAsia" w:ascii="宋体" w:hAnsi="宋体" w:cs="宋体"/>
          <w:b/>
          <w:kern w:val="0"/>
          <w:sz w:val="32"/>
          <w:szCs w:val="32"/>
        </w:rPr>
      </w:pPr>
      <w:r>
        <w:rPr>
          <w:rFonts w:hint="eastAsia" w:ascii="宋体" w:hAnsi="宋体" w:cs="宋体"/>
          <w:b/>
          <w:kern w:val="0"/>
          <w:sz w:val="32"/>
          <w:szCs w:val="32"/>
        </w:rPr>
        <w:br w:type="page"/>
      </w:r>
    </w:p>
    <w:p w14:paraId="425C1971">
      <w:pPr>
        <w:widowControl/>
        <w:spacing w:line="360" w:lineRule="auto"/>
        <w:ind w:left="150"/>
        <w:jc w:val="center"/>
        <w:rPr>
          <w:rFonts w:hint="eastAsia" w:ascii="宋体" w:hAnsi="宋体" w:cs="宋体"/>
          <w:b/>
          <w:kern w:val="0"/>
          <w:sz w:val="32"/>
          <w:szCs w:val="32"/>
        </w:rPr>
      </w:pPr>
    </w:p>
    <w:p w14:paraId="6248CBFC">
      <w:pPr>
        <w:pStyle w:val="3"/>
        <w:rPr>
          <w:rFonts w:hint="eastAsia" w:ascii="宋体" w:hAnsi="宋体" w:cs="宋体"/>
          <w:kern w:val="0"/>
        </w:rPr>
      </w:pPr>
    </w:p>
    <w:p w14:paraId="1DC65B6A">
      <w:pPr>
        <w:widowControl/>
        <w:spacing w:line="360" w:lineRule="auto"/>
        <w:ind w:left="150"/>
        <w:jc w:val="center"/>
        <w:rPr>
          <w:rFonts w:hint="eastAsia" w:ascii="宋体" w:hAnsi="宋体" w:cs="宋体"/>
          <w:b/>
          <w:kern w:val="0"/>
          <w:sz w:val="32"/>
          <w:szCs w:val="32"/>
        </w:rPr>
      </w:pPr>
    </w:p>
    <w:p w14:paraId="5DADB551">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二、落实政府采购政策需满足的资格要求</w:t>
      </w:r>
    </w:p>
    <w:p w14:paraId="6C11CD06">
      <w:pPr>
        <w:spacing w:line="360" w:lineRule="auto"/>
        <w:jc w:val="center"/>
        <w:rPr>
          <w:rFonts w:hint="eastAsia" w:ascii="宋体" w:hAnsi="宋体" w:cs="宋体"/>
          <w:sz w:val="24"/>
        </w:rPr>
      </w:pPr>
      <w:r>
        <w:rPr>
          <w:rFonts w:hint="eastAsia" w:ascii="宋体" w:hAnsi="宋体" w:cs="宋体"/>
          <w:sz w:val="24"/>
        </w:rPr>
        <w:t>（根据交易公告落实政府采购政策需满足的资格要求选择提供相应的材料；未要求的，无需提供）</w:t>
      </w:r>
    </w:p>
    <w:p w14:paraId="01F34EE7"/>
    <w:p w14:paraId="6E26A0CC">
      <w:pPr>
        <w:widowControl/>
        <w:spacing w:line="360" w:lineRule="auto"/>
        <w:ind w:left="150"/>
        <w:jc w:val="center"/>
        <w:rPr>
          <w:rFonts w:hint="eastAsia" w:ascii="宋体" w:hAnsi="宋体" w:cs="宋体"/>
          <w:b/>
          <w:kern w:val="0"/>
          <w:sz w:val="32"/>
          <w:szCs w:val="32"/>
        </w:rPr>
      </w:pPr>
    </w:p>
    <w:p w14:paraId="5AF3AABF">
      <w:pPr>
        <w:widowControl/>
        <w:spacing w:line="360" w:lineRule="auto"/>
        <w:ind w:left="150"/>
        <w:jc w:val="center"/>
        <w:rPr>
          <w:rFonts w:hint="eastAsia" w:ascii="宋体" w:hAnsi="宋体" w:cs="宋体"/>
          <w:b/>
          <w:kern w:val="0"/>
          <w:sz w:val="32"/>
          <w:szCs w:val="32"/>
        </w:rPr>
      </w:pPr>
    </w:p>
    <w:p w14:paraId="50EA3CE0">
      <w:pPr>
        <w:widowControl/>
        <w:spacing w:line="360" w:lineRule="auto"/>
        <w:ind w:left="150"/>
        <w:jc w:val="center"/>
        <w:rPr>
          <w:rFonts w:hint="eastAsia" w:ascii="宋体" w:hAnsi="宋体" w:cs="宋体"/>
          <w:b/>
          <w:kern w:val="0"/>
          <w:sz w:val="32"/>
          <w:szCs w:val="32"/>
        </w:rPr>
      </w:pPr>
    </w:p>
    <w:p w14:paraId="452E2EE6">
      <w:pPr>
        <w:widowControl/>
        <w:spacing w:line="360" w:lineRule="auto"/>
        <w:ind w:left="150"/>
        <w:jc w:val="center"/>
        <w:rPr>
          <w:rFonts w:hint="eastAsia" w:ascii="宋体" w:hAnsi="宋体" w:cs="宋体"/>
          <w:b/>
          <w:kern w:val="0"/>
          <w:sz w:val="32"/>
          <w:szCs w:val="32"/>
        </w:rPr>
      </w:pPr>
    </w:p>
    <w:p w14:paraId="17C9F903">
      <w:pPr>
        <w:widowControl/>
        <w:spacing w:line="360" w:lineRule="auto"/>
        <w:ind w:left="150"/>
        <w:jc w:val="center"/>
        <w:rPr>
          <w:rFonts w:hint="eastAsia" w:ascii="宋体" w:hAnsi="宋体" w:cs="宋体"/>
          <w:b/>
          <w:kern w:val="0"/>
          <w:sz w:val="32"/>
          <w:szCs w:val="32"/>
        </w:rPr>
      </w:pPr>
    </w:p>
    <w:p w14:paraId="3A629832">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三、本项目的特定资格要求</w:t>
      </w:r>
    </w:p>
    <w:p w14:paraId="7375812A">
      <w:pPr>
        <w:spacing w:line="360" w:lineRule="auto"/>
        <w:jc w:val="center"/>
        <w:rPr>
          <w:rFonts w:hint="eastAsia" w:ascii="宋体" w:hAnsi="宋体" w:cs="宋体"/>
          <w:sz w:val="24"/>
        </w:rPr>
      </w:pPr>
      <w:r>
        <w:rPr>
          <w:rFonts w:hint="eastAsia" w:ascii="宋体" w:hAnsi="宋体" w:cs="宋体"/>
          <w:sz w:val="24"/>
        </w:rPr>
        <w:t>（根据交易公告本项目的特定资格要求提供相应的材料；未要求的，无需提供）</w:t>
      </w:r>
    </w:p>
    <w:p w14:paraId="7DE921A3">
      <w:pPr>
        <w:rPr>
          <w:rFonts w:hint="eastAsia" w:ascii="宋体" w:hAnsi="宋体" w:cs="宋体"/>
        </w:rPr>
      </w:pPr>
    </w:p>
    <w:p w14:paraId="73BC744E">
      <w:pPr>
        <w:snapToGrid w:val="0"/>
        <w:spacing w:line="360" w:lineRule="auto"/>
        <w:ind w:right="480"/>
        <w:jc w:val="center"/>
        <w:rPr>
          <w:rFonts w:hint="eastAsia" w:ascii="宋体" w:hAnsi="宋体" w:cs="宋体"/>
          <w:b/>
          <w:kern w:val="0"/>
          <w:sz w:val="32"/>
          <w:szCs w:val="32"/>
        </w:rPr>
      </w:pPr>
    </w:p>
    <w:p w14:paraId="1FC6CB8D">
      <w:pPr>
        <w:snapToGrid w:val="0"/>
        <w:spacing w:line="360" w:lineRule="auto"/>
        <w:ind w:right="480"/>
        <w:jc w:val="center"/>
        <w:rPr>
          <w:rFonts w:hint="eastAsia" w:ascii="宋体" w:hAnsi="宋体" w:cs="宋体"/>
          <w:b/>
          <w:kern w:val="0"/>
          <w:sz w:val="32"/>
          <w:szCs w:val="32"/>
        </w:rPr>
      </w:pPr>
    </w:p>
    <w:p w14:paraId="287B9367">
      <w:pPr>
        <w:snapToGrid w:val="0"/>
        <w:spacing w:line="360" w:lineRule="auto"/>
        <w:ind w:right="480"/>
        <w:jc w:val="center"/>
        <w:rPr>
          <w:rFonts w:hint="eastAsia" w:ascii="宋体" w:hAnsi="宋体" w:cs="宋体"/>
          <w:b/>
          <w:kern w:val="0"/>
          <w:sz w:val="32"/>
          <w:szCs w:val="32"/>
        </w:rPr>
      </w:pPr>
    </w:p>
    <w:p w14:paraId="27D28C38">
      <w:pPr>
        <w:snapToGrid w:val="0"/>
        <w:spacing w:line="360" w:lineRule="auto"/>
        <w:ind w:right="480"/>
        <w:jc w:val="center"/>
        <w:rPr>
          <w:rFonts w:hint="eastAsia" w:ascii="宋体" w:hAnsi="宋体" w:cs="宋体"/>
          <w:b/>
          <w:kern w:val="0"/>
          <w:sz w:val="32"/>
          <w:szCs w:val="32"/>
        </w:rPr>
      </w:pPr>
    </w:p>
    <w:p w14:paraId="535A03DA">
      <w:pPr>
        <w:snapToGrid w:val="0"/>
        <w:spacing w:line="360" w:lineRule="auto"/>
        <w:ind w:right="480"/>
        <w:jc w:val="center"/>
        <w:rPr>
          <w:rFonts w:hint="eastAsia" w:ascii="宋体" w:hAnsi="宋体" w:cs="宋体"/>
          <w:b/>
          <w:kern w:val="0"/>
          <w:sz w:val="32"/>
          <w:szCs w:val="32"/>
        </w:rPr>
      </w:pPr>
    </w:p>
    <w:p w14:paraId="3F52B549">
      <w:pPr>
        <w:snapToGrid w:val="0"/>
        <w:spacing w:line="360" w:lineRule="auto"/>
        <w:ind w:right="480"/>
        <w:jc w:val="center"/>
        <w:rPr>
          <w:rFonts w:hint="eastAsia" w:ascii="宋体" w:hAnsi="宋体" w:cs="宋体"/>
          <w:b/>
          <w:kern w:val="0"/>
          <w:sz w:val="32"/>
          <w:szCs w:val="32"/>
        </w:rPr>
      </w:pPr>
    </w:p>
    <w:p w14:paraId="63018B5B">
      <w:pPr>
        <w:spacing w:line="360" w:lineRule="auto"/>
        <w:jc w:val="center"/>
        <w:outlineLvl w:val="0"/>
        <w:rPr>
          <w:rFonts w:hint="eastAsia" w:ascii="宋体" w:hAnsi="宋体" w:cs="宋体"/>
          <w:b/>
          <w:kern w:val="0"/>
          <w:sz w:val="36"/>
          <w:szCs w:val="36"/>
        </w:rPr>
      </w:pPr>
    </w:p>
    <w:p w14:paraId="4D4C1A18">
      <w:pPr>
        <w:snapToGrid w:val="0"/>
        <w:spacing w:line="360" w:lineRule="auto"/>
        <w:ind w:right="480"/>
        <w:jc w:val="center"/>
        <w:rPr>
          <w:rFonts w:hint="eastAsia" w:ascii="宋体" w:hAnsi="宋体" w:cs="宋体"/>
          <w:b/>
          <w:kern w:val="0"/>
          <w:sz w:val="32"/>
          <w:szCs w:val="32"/>
        </w:rPr>
      </w:pPr>
    </w:p>
    <w:p w14:paraId="7B91E41B">
      <w:pPr>
        <w:spacing w:line="360" w:lineRule="auto"/>
        <w:jc w:val="center"/>
        <w:outlineLvl w:val="0"/>
        <w:rPr>
          <w:rFonts w:hint="eastAsia" w:ascii="宋体" w:hAnsi="宋体" w:cs="宋体"/>
          <w:b/>
          <w:kern w:val="0"/>
          <w:sz w:val="36"/>
          <w:szCs w:val="36"/>
        </w:rPr>
      </w:pPr>
    </w:p>
    <w:p w14:paraId="26E8D466">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D2918CF">
      <w:pPr>
        <w:spacing w:line="360" w:lineRule="auto"/>
        <w:jc w:val="center"/>
        <w:outlineLvl w:val="0"/>
        <w:rPr>
          <w:rFonts w:hint="eastAsia" w:ascii="宋体" w:hAnsi="宋体" w:cs="宋体"/>
          <w:b/>
          <w:kern w:val="0"/>
          <w:sz w:val="24"/>
        </w:rPr>
      </w:pPr>
    </w:p>
    <w:p w14:paraId="3CA9892D">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4F00643B">
      <w:pPr>
        <w:snapToGrid w:val="0"/>
        <w:spacing w:line="360" w:lineRule="auto"/>
        <w:ind w:left="479" w:leftChars="228"/>
        <w:jc w:val="distribute"/>
        <w:rPr>
          <w:rFonts w:hint="eastAsia" w:ascii="宋体" w:hAnsi="宋体" w:cs="宋体"/>
        </w:rPr>
      </w:pPr>
      <w:r>
        <w:rPr>
          <w:rFonts w:hint="eastAsia" w:ascii="宋体" w:hAnsi="宋体" w:cs="宋体"/>
          <w:sz w:val="24"/>
        </w:rPr>
        <w:t>（1）响应函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D11FFF4">
      <w:pPr>
        <w:snapToGrid w:val="0"/>
        <w:spacing w:line="360" w:lineRule="auto"/>
        <w:ind w:left="479" w:leftChars="228"/>
        <w:rPr>
          <w:rFonts w:hint="eastAsia" w:ascii="宋体" w:hAnsi="宋体" w:cs="宋体"/>
        </w:rPr>
      </w:pPr>
      <w:r>
        <w:rPr>
          <w:rFonts w:hint="eastAsia" w:ascii="宋体" w:hAnsi="宋体" w:cs="宋体"/>
          <w:sz w:val="24"/>
        </w:rPr>
        <w:t xml:space="preserve">（3）符合性审查资料 </w:t>
      </w:r>
      <w:r>
        <w:rPr>
          <w:rFonts w:hint="eastAsia" w:ascii="宋体" w:hAnsi="宋体" w:cs="宋体"/>
        </w:rPr>
        <w:t>……………………………………………………………………（页码）</w:t>
      </w:r>
    </w:p>
    <w:p w14:paraId="16950949">
      <w:pPr>
        <w:snapToGrid w:val="0"/>
        <w:spacing w:line="360" w:lineRule="auto"/>
        <w:ind w:left="479" w:leftChars="228"/>
        <w:rPr>
          <w:rFonts w:hint="eastAsia" w:ascii="宋体" w:hAnsi="宋体" w:cs="宋体"/>
          <w:sz w:val="24"/>
        </w:rPr>
      </w:pPr>
      <w:r>
        <w:rPr>
          <w:rFonts w:hint="eastAsia" w:ascii="宋体" w:hAnsi="宋体" w:cs="宋体"/>
          <w:sz w:val="24"/>
        </w:rPr>
        <w:t>（4） 评标标准相应的商务技术资料……………………………………………（页码）</w:t>
      </w:r>
    </w:p>
    <w:p w14:paraId="6E920098">
      <w:pPr>
        <w:snapToGrid w:val="0"/>
        <w:spacing w:line="360" w:lineRule="auto"/>
        <w:ind w:left="479" w:leftChars="228"/>
        <w:jc w:val="distribute"/>
        <w:rPr>
          <w:rFonts w:hint="eastAsia" w:ascii="宋体" w:hAnsi="宋体" w:cs="宋体"/>
          <w:sz w:val="24"/>
        </w:rPr>
      </w:pPr>
      <w:r>
        <w:rPr>
          <w:rFonts w:hint="eastAsia" w:ascii="宋体" w:hAnsi="宋体" w:cs="宋体"/>
          <w:sz w:val="24"/>
        </w:rPr>
        <w:t>（5）交易标的清单……………………………………………………………（页码）</w:t>
      </w:r>
    </w:p>
    <w:p w14:paraId="722DC791">
      <w:pPr>
        <w:snapToGrid w:val="0"/>
        <w:spacing w:line="360" w:lineRule="auto"/>
        <w:ind w:left="479" w:leftChars="228"/>
        <w:rPr>
          <w:rFonts w:hint="eastAsia" w:ascii="宋体" w:hAnsi="宋体" w:cs="宋体"/>
          <w:sz w:val="24"/>
        </w:rPr>
      </w:pPr>
      <w:r>
        <w:rPr>
          <w:rFonts w:hint="eastAsia" w:ascii="宋体" w:hAnsi="宋体" w:cs="宋体"/>
          <w:sz w:val="24"/>
        </w:rPr>
        <w:t>（6）商务技术偏离表……………………………………………………………（页码）</w:t>
      </w:r>
    </w:p>
    <w:p w14:paraId="614E0BB9">
      <w:pPr>
        <w:snapToGrid w:val="0"/>
        <w:spacing w:line="360" w:lineRule="auto"/>
        <w:ind w:left="479" w:leftChars="228"/>
        <w:rPr>
          <w:rFonts w:hint="eastAsia" w:ascii="宋体" w:hAnsi="宋体" w:cs="宋体"/>
          <w:sz w:val="24"/>
        </w:rPr>
      </w:pP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sz w:val="24"/>
        </w:rPr>
        <w:t>………………………………………………（页码）</w:t>
      </w:r>
    </w:p>
    <w:p w14:paraId="0A249067">
      <w:pPr>
        <w:snapToGrid w:val="0"/>
        <w:spacing w:line="360" w:lineRule="auto"/>
        <w:jc w:val="center"/>
        <w:rPr>
          <w:rFonts w:hint="eastAsia" w:ascii="宋体" w:hAnsi="宋体" w:cs="宋体"/>
          <w:b/>
          <w:kern w:val="0"/>
          <w:sz w:val="32"/>
          <w:szCs w:val="32"/>
          <w:lang w:val="zh-CN"/>
        </w:rPr>
      </w:pPr>
    </w:p>
    <w:p w14:paraId="37C46AE1">
      <w:pPr>
        <w:snapToGrid w:val="0"/>
        <w:spacing w:line="360" w:lineRule="auto"/>
        <w:jc w:val="center"/>
        <w:rPr>
          <w:rFonts w:hint="eastAsia" w:ascii="宋体" w:hAnsi="宋体" w:cs="宋体"/>
          <w:b/>
          <w:kern w:val="0"/>
          <w:sz w:val="32"/>
          <w:szCs w:val="32"/>
          <w:lang w:val="zh-CN"/>
        </w:rPr>
      </w:pPr>
    </w:p>
    <w:p w14:paraId="0544FAB4">
      <w:pPr>
        <w:snapToGrid w:val="0"/>
        <w:spacing w:line="360" w:lineRule="auto"/>
        <w:jc w:val="center"/>
        <w:rPr>
          <w:rFonts w:hint="eastAsia" w:ascii="宋体" w:hAnsi="宋体" w:cs="宋体"/>
          <w:b/>
          <w:kern w:val="0"/>
          <w:sz w:val="32"/>
          <w:szCs w:val="32"/>
          <w:lang w:val="zh-CN"/>
        </w:rPr>
      </w:pPr>
    </w:p>
    <w:p w14:paraId="42529160">
      <w:pPr>
        <w:snapToGrid w:val="0"/>
        <w:spacing w:line="360" w:lineRule="auto"/>
        <w:jc w:val="center"/>
        <w:rPr>
          <w:rFonts w:hint="eastAsia" w:ascii="宋体" w:hAnsi="宋体" w:cs="宋体"/>
          <w:b/>
          <w:kern w:val="0"/>
          <w:sz w:val="32"/>
          <w:szCs w:val="32"/>
          <w:lang w:val="zh-CN"/>
        </w:rPr>
      </w:pPr>
    </w:p>
    <w:p w14:paraId="749FDC60">
      <w:pPr>
        <w:snapToGrid w:val="0"/>
        <w:spacing w:line="360" w:lineRule="auto"/>
        <w:jc w:val="center"/>
        <w:rPr>
          <w:rFonts w:hint="eastAsia" w:ascii="宋体" w:hAnsi="宋体" w:cs="宋体"/>
          <w:b/>
          <w:kern w:val="0"/>
          <w:sz w:val="32"/>
          <w:szCs w:val="32"/>
          <w:lang w:val="zh-CN"/>
        </w:rPr>
      </w:pPr>
    </w:p>
    <w:p w14:paraId="33D63A2C">
      <w:pPr>
        <w:snapToGrid w:val="0"/>
        <w:spacing w:line="360" w:lineRule="auto"/>
        <w:jc w:val="center"/>
        <w:outlineLvl w:val="0"/>
        <w:rPr>
          <w:rFonts w:hint="eastAsia" w:ascii="宋体" w:hAnsi="宋体" w:cs="宋体"/>
          <w:b/>
          <w:kern w:val="0"/>
          <w:sz w:val="32"/>
          <w:szCs w:val="32"/>
        </w:rPr>
      </w:pPr>
    </w:p>
    <w:p w14:paraId="3C828805">
      <w:pPr>
        <w:snapToGrid w:val="0"/>
        <w:spacing w:line="360" w:lineRule="auto"/>
        <w:jc w:val="center"/>
        <w:outlineLvl w:val="0"/>
        <w:rPr>
          <w:rFonts w:hint="eastAsia" w:ascii="宋体" w:hAnsi="宋体" w:cs="宋体"/>
          <w:b/>
          <w:kern w:val="0"/>
          <w:sz w:val="32"/>
          <w:szCs w:val="32"/>
        </w:rPr>
      </w:pPr>
    </w:p>
    <w:p w14:paraId="76A90014">
      <w:pPr>
        <w:rPr>
          <w:rFonts w:hint="eastAsia" w:ascii="宋体" w:hAnsi="宋体" w:cs="宋体"/>
        </w:rPr>
      </w:pPr>
    </w:p>
    <w:p w14:paraId="4C74FE6B">
      <w:pPr>
        <w:snapToGrid w:val="0"/>
        <w:spacing w:line="360" w:lineRule="auto"/>
        <w:jc w:val="center"/>
        <w:outlineLvl w:val="0"/>
        <w:rPr>
          <w:rFonts w:hint="eastAsia" w:ascii="宋体" w:hAnsi="宋体" w:cs="宋体"/>
          <w:b/>
          <w:kern w:val="0"/>
          <w:sz w:val="32"/>
          <w:szCs w:val="32"/>
        </w:rPr>
      </w:pPr>
    </w:p>
    <w:p w14:paraId="3F513227">
      <w:pPr>
        <w:snapToGrid w:val="0"/>
        <w:spacing w:line="360" w:lineRule="auto"/>
        <w:jc w:val="center"/>
        <w:outlineLvl w:val="0"/>
        <w:rPr>
          <w:rFonts w:hint="eastAsia" w:ascii="宋体" w:hAnsi="宋体" w:cs="宋体"/>
          <w:b/>
          <w:kern w:val="0"/>
          <w:sz w:val="32"/>
          <w:szCs w:val="32"/>
        </w:rPr>
      </w:pPr>
    </w:p>
    <w:p w14:paraId="28FDCF7F">
      <w:pPr>
        <w:snapToGrid w:val="0"/>
        <w:spacing w:line="360" w:lineRule="auto"/>
        <w:jc w:val="center"/>
        <w:outlineLvl w:val="0"/>
        <w:rPr>
          <w:rFonts w:hint="eastAsia" w:ascii="宋体" w:hAnsi="宋体" w:cs="宋体"/>
          <w:b/>
          <w:kern w:val="0"/>
          <w:sz w:val="32"/>
          <w:szCs w:val="32"/>
        </w:rPr>
      </w:pPr>
    </w:p>
    <w:p w14:paraId="2C0DFFFF">
      <w:pPr>
        <w:snapToGrid w:val="0"/>
        <w:spacing w:line="360" w:lineRule="auto"/>
        <w:jc w:val="center"/>
        <w:outlineLvl w:val="0"/>
        <w:rPr>
          <w:rFonts w:hint="eastAsia" w:ascii="宋体" w:hAnsi="宋体" w:cs="宋体"/>
          <w:b/>
          <w:kern w:val="0"/>
          <w:sz w:val="32"/>
          <w:szCs w:val="32"/>
        </w:rPr>
      </w:pPr>
    </w:p>
    <w:p w14:paraId="3022B0B4">
      <w:pPr>
        <w:snapToGrid w:val="0"/>
        <w:spacing w:line="360" w:lineRule="auto"/>
        <w:jc w:val="center"/>
        <w:outlineLvl w:val="0"/>
        <w:rPr>
          <w:rFonts w:hint="eastAsia" w:ascii="宋体" w:hAnsi="宋体" w:cs="宋体"/>
          <w:b/>
          <w:kern w:val="0"/>
          <w:sz w:val="32"/>
          <w:szCs w:val="32"/>
        </w:rPr>
      </w:pPr>
    </w:p>
    <w:p w14:paraId="3DE1C5C7">
      <w:pPr>
        <w:snapToGrid w:val="0"/>
        <w:spacing w:line="360" w:lineRule="auto"/>
        <w:jc w:val="center"/>
        <w:outlineLvl w:val="0"/>
        <w:rPr>
          <w:rFonts w:hint="eastAsia" w:ascii="宋体" w:hAnsi="宋体" w:cs="宋体"/>
          <w:b/>
          <w:kern w:val="0"/>
          <w:sz w:val="32"/>
          <w:szCs w:val="32"/>
        </w:rPr>
      </w:pPr>
    </w:p>
    <w:p w14:paraId="196D3BB6">
      <w:pPr>
        <w:rPr>
          <w:rFonts w:hint="eastAsia" w:ascii="宋体" w:hAnsi="宋体" w:cs="宋体"/>
          <w:b/>
          <w:kern w:val="0"/>
          <w:sz w:val="32"/>
          <w:szCs w:val="32"/>
        </w:rPr>
      </w:pPr>
      <w:r>
        <w:rPr>
          <w:rFonts w:hint="eastAsia" w:ascii="宋体" w:hAnsi="宋体" w:cs="宋体"/>
          <w:b/>
          <w:kern w:val="0"/>
          <w:sz w:val="32"/>
          <w:szCs w:val="32"/>
        </w:rPr>
        <w:br w:type="page"/>
      </w:r>
    </w:p>
    <w:p w14:paraId="0E98757C">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09DFCAA6">
      <w:pPr>
        <w:snapToGrid w:val="0"/>
        <w:spacing w:line="440" w:lineRule="exact"/>
        <w:rPr>
          <w:rFonts w:hint="eastAsia"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696E0969">
      <w:pPr>
        <w:snapToGrid w:val="0"/>
        <w:spacing w:line="440" w:lineRule="exact"/>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（项目名称）【交易编号：       】</w:t>
      </w:r>
      <w:r>
        <w:rPr>
          <w:rFonts w:hint="eastAsia" w:ascii="宋体" w:hAnsi="宋体" w:cs="宋体"/>
          <w:sz w:val="24"/>
        </w:rPr>
        <w:t>交易的有关活动，并对此项目进行响应。为此：</w:t>
      </w:r>
    </w:p>
    <w:p w14:paraId="3D6BE972">
      <w:pPr>
        <w:snapToGrid w:val="0"/>
        <w:spacing w:line="440" w:lineRule="exact"/>
        <w:ind w:firstLine="480" w:firstLineChars="200"/>
        <w:rPr>
          <w:rFonts w:hint="eastAsia"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14:paraId="6FE78E42">
      <w:pPr>
        <w:snapToGrid w:val="0"/>
        <w:spacing w:line="440" w:lineRule="exact"/>
        <w:ind w:firstLine="480" w:firstLineChars="200"/>
        <w:rPr>
          <w:rFonts w:hint="eastAsia" w:ascii="宋体" w:hAnsi="宋体" w:cs="宋体"/>
          <w:sz w:val="24"/>
        </w:rPr>
      </w:pPr>
      <w:r>
        <w:rPr>
          <w:rFonts w:hint="eastAsia" w:ascii="宋体" w:hAnsi="宋体" w:cs="宋体"/>
          <w:sz w:val="24"/>
        </w:rPr>
        <w:t>2、我方的响应文件包括以下内容：</w:t>
      </w:r>
    </w:p>
    <w:p w14:paraId="21495DA2">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2.1资格文件：</w:t>
      </w:r>
    </w:p>
    <w:p w14:paraId="1699D9CF">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2.1.1承诺函；</w:t>
      </w:r>
    </w:p>
    <w:p w14:paraId="27459864">
      <w:pPr>
        <w:snapToGrid w:val="0"/>
        <w:spacing w:line="440" w:lineRule="exact"/>
        <w:ind w:left="420" w:leftChars="200" w:firstLine="480" w:firstLineChars="200"/>
      </w:pPr>
      <w:r>
        <w:rPr>
          <w:rFonts w:hint="eastAsia" w:ascii="宋体" w:hAnsi="宋体" w:cs="宋体"/>
          <w:sz w:val="24"/>
        </w:rPr>
        <w:t>2.1.2落实政府采购政策需满足的资格要求（如果有）；</w:t>
      </w:r>
    </w:p>
    <w:p w14:paraId="33F40507">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2.1.3本项目的特定资格要求（如果有）。</w:t>
      </w:r>
    </w:p>
    <w:p w14:paraId="3371A912">
      <w:pPr>
        <w:snapToGrid w:val="0"/>
        <w:spacing w:line="440" w:lineRule="exact"/>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A6FF4FA">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2415E1B4">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768089C8">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2.2.3符合性审查资料；</w:t>
      </w:r>
    </w:p>
    <w:p w14:paraId="3C32C43A">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2.2.4评标标准相应的商务技术资料；</w:t>
      </w:r>
    </w:p>
    <w:p w14:paraId="029EC79B">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2.2.5交易标的清单；</w:t>
      </w:r>
    </w:p>
    <w:p w14:paraId="205C3351">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2.2.6商务技术偏离表；</w:t>
      </w:r>
    </w:p>
    <w:p w14:paraId="0C297223">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2.2.7</w:t>
      </w:r>
      <w:r>
        <w:rPr>
          <w:rFonts w:hint="eastAsia" w:ascii="宋体" w:hAnsi="宋体" w:cs="宋体"/>
          <w:sz w:val="24"/>
          <w:lang w:val="zh-CN"/>
        </w:rPr>
        <w:t>采购供应商廉洁自律承诺书。</w:t>
      </w:r>
    </w:p>
    <w:p w14:paraId="2D0C6CAD">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0B1F905">
      <w:pPr>
        <w:snapToGrid w:val="0"/>
        <w:spacing w:line="440" w:lineRule="exact"/>
        <w:ind w:left="420" w:leftChars="200" w:firstLine="480" w:firstLineChars="200"/>
        <w:rPr>
          <w:rFonts w:hint="eastAsia" w:ascii="宋体" w:hAnsi="宋体" w:cs="宋体"/>
          <w:sz w:val="24"/>
        </w:rPr>
      </w:pPr>
      <w:r>
        <w:rPr>
          <w:rFonts w:hint="eastAsia" w:ascii="宋体" w:hAnsi="宋体" w:cs="宋体"/>
          <w:sz w:val="24"/>
        </w:rPr>
        <w:t>2.3.1交易一览表（报价表）。</w:t>
      </w:r>
    </w:p>
    <w:p w14:paraId="56AB1C4B">
      <w:pPr>
        <w:snapToGrid w:val="0"/>
        <w:spacing w:line="440" w:lineRule="exact"/>
        <w:ind w:firstLine="480" w:firstLineChars="200"/>
        <w:rPr>
          <w:rFonts w:hint="eastAsia" w:ascii="宋体" w:hAnsi="宋体" w:cs="宋体"/>
          <w:sz w:val="24"/>
        </w:rPr>
      </w:pPr>
      <w:r>
        <w:rPr>
          <w:rFonts w:hint="eastAsia" w:ascii="宋体" w:hAnsi="宋体" w:cs="宋体"/>
          <w:sz w:val="24"/>
        </w:rPr>
        <w:t>3、我方承诺除商务技术偏离表列出的偏离外，我方响应交易文件的全部要求。</w:t>
      </w:r>
    </w:p>
    <w:p w14:paraId="7D693D2A">
      <w:pPr>
        <w:snapToGrid w:val="0"/>
        <w:spacing w:line="440" w:lineRule="exact"/>
        <w:ind w:firstLine="480" w:firstLineChars="200"/>
        <w:rPr>
          <w:rFonts w:hint="eastAsia" w:ascii="宋体" w:hAnsi="宋体" w:cs="宋体"/>
          <w:sz w:val="24"/>
        </w:rPr>
      </w:pPr>
      <w:r>
        <w:rPr>
          <w:rFonts w:hint="eastAsia" w:ascii="宋体" w:hAnsi="宋体" w:cs="宋体"/>
          <w:sz w:val="24"/>
        </w:rPr>
        <w:t>4、如我方成交，我方承诺：</w:t>
      </w:r>
    </w:p>
    <w:p w14:paraId="495C5EE1">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77B0C9DB">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543CDAE2">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 xml:space="preserve">4.3按照交易文件要求提交履约保证金； </w:t>
      </w:r>
    </w:p>
    <w:p w14:paraId="3DA5E18D">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FCAA2B6">
      <w:pPr>
        <w:snapToGrid w:val="0"/>
        <w:spacing w:line="440" w:lineRule="exact"/>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BD0D458">
      <w:pPr>
        <w:spacing w:line="440" w:lineRule="exact"/>
        <w:ind w:firstLine="3600" w:firstLineChars="1500"/>
        <w:rPr>
          <w:rFonts w:hint="eastAsia" w:ascii="宋体" w:hAnsi="宋体" w:cs="宋体"/>
          <w:sz w:val="24"/>
        </w:rPr>
      </w:pPr>
      <w:r>
        <w:rPr>
          <w:rFonts w:hint="eastAsia" w:ascii="宋体" w:hAnsi="宋体" w:cs="宋体"/>
          <w:sz w:val="24"/>
        </w:rPr>
        <w:t xml:space="preserve">供应商名称（电子签名）：                          </w:t>
      </w:r>
    </w:p>
    <w:p w14:paraId="556EFE99">
      <w:pPr>
        <w:spacing w:line="440" w:lineRule="exact"/>
        <w:jc w:val="center"/>
        <w:rPr>
          <w:rFonts w:hint="eastAsia" w:ascii="宋体" w:hAnsi="宋体" w:cs="宋体"/>
          <w:sz w:val="24"/>
        </w:rPr>
      </w:pPr>
      <w:r>
        <w:rPr>
          <w:rFonts w:hint="eastAsia" w:ascii="宋体" w:hAnsi="宋体" w:cs="宋体"/>
          <w:sz w:val="24"/>
        </w:rPr>
        <w:t xml:space="preserve">     日期：  年   月   日</w:t>
      </w:r>
    </w:p>
    <w:p w14:paraId="1E2A0A20">
      <w:pPr>
        <w:jc w:val="left"/>
        <w:rPr>
          <w:rFonts w:hint="eastAsia" w:ascii="宋体" w:hAnsi="宋体" w:cs="宋体"/>
          <w:sz w:val="24"/>
        </w:rPr>
      </w:pPr>
      <w:r>
        <w:rPr>
          <w:rFonts w:hint="eastAsia" w:ascii="宋体" w:hAnsi="宋体" w:cs="宋体"/>
          <w:sz w:val="24"/>
        </w:rPr>
        <w:t>注：按本格式和要求提供。</w:t>
      </w:r>
    </w:p>
    <w:p w14:paraId="4DD33F99">
      <w:pPr>
        <w:rPr>
          <w:rFonts w:hint="eastAsia" w:ascii="宋体" w:hAnsi="宋体" w:cs="宋体"/>
          <w:sz w:val="24"/>
        </w:rPr>
      </w:pPr>
      <w:r>
        <w:rPr>
          <w:rFonts w:hint="eastAsia" w:ascii="宋体" w:hAnsi="宋体" w:cs="宋体"/>
          <w:sz w:val="24"/>
        </w:rPr>
        <w:br w:type="page"/>
      </w:r>
    </w:p>
    <w:p w14:paraId="3C3B9F7B">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66215C9">
      <w:pPr>
        <w:snapToGrid w:val="0"/>
        <w:spacing w:line="360" w:lineRule="auto"/>
        <w:rPr>
          <w:rFonts w:hint="eastAsia" w:ascii="宋体" w:hAnsi="宋体" w:cs="宋体"/>
          <w:sz w:val="24"/>
        </w:rPr>
      </w:pPr>
      <w:r>
        <w:rPr>
          <w:rFonts w:hint="eastAsia" w:ascii="宋体" w:hAnsi="宋体" w:cs="宋体"/>
          <w:sz w:val="24"/>
        </w:rPr>
        <w:t xml:space="preserve">                                </w:t>
      </w:r>
    </w:p>
    <w:p w14:paraId="0BEAB3A3">
      <w:pPr>
        <w:snapToGrid w:val="0"/>
        <w:spacing w:line="360" w:lineRule="auto"/>
        <w:jc w:val="center"/>
        <w:rPr>
          <w:rFonts w:hint="eastAsia" w:ascii="宋体" w:hAnsi="宋体" w:cs="宋体"/>
        </w:rPr>
      </w:pPr>
      <w:r>
        <w:rPr>
          <w:rFonts w:hint="eastAsia" w:ascii="宋体" w:hAnsi="宋体" w:cs="宋体"/>
          <w:b/>
          <w:kern w:val="0"/>
          <w:sz w:val="32"/>
          <w:szCs w:val="32"/>
          <w:lang w:val="zh-CN"/>
        </w:rPr>
        <w:t>授权委托书</w:t>
      </w:r>
    </w:p>
    <w:p w14:paraId="45FA321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A6110FF">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（项目名称）【交易编号：    】</w:t>
      </w:r>
      <w:r>
        <w:rPr>
          <w:rFonts w:hint="eastAsia" w:ascii="宋体" w:hAnsi="宋体" w:cs="宋体"/>
          <w:kern w:val="0"/>
          <w:sz w:val="24"/>
          <w:lang w:val="zh-CN"/>
        </w:rPr>
        <w:t>交易的一切事项，其法律后果由我方承担。</w:t>
      </w:r>
    </w:p>
    <w:p w14:paraId="68D5E2A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064D63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77BDD7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15ED0404">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40BFCDBE">
      <w:pPr>
        <w:rPr>
          <w:rFonts w:hint="eastAsia" w:ascii="宋体" w:hAnsi="宋体" w:cs="宋体"/>
          <w:b/>
          <w:kern w:val="0"/>
          <w:sz w:val="32"/>
          <w:szCs w:val="32"/>
          <w:lang w:val="zh-CN"/>
        </w:rPr>
      </w:pPr>
    </w:p>
    <w:p w14:paraId="1944C605">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的身份证明（适用于法定代表人、单位负责人或者自然人本人代表供应商参加交易）</w:t>
      </w:r>
    </w:p>
    <w:p w14:paraId="7E6D790A">
      <w:pPr>
        <w:pStyle w:val="148"/>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A5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48C982EC">
            <w:pPr>
              <w:pStyle w:val="148"/>
              <w:adjustRightInd w:val="0"/>
              <w:spacing w:line="360" w:lineRule="auto"/>
              <w:rPr>
                <w:rFonts w:hint="eastAsia" w:hAnsi="宋体" w:cs="宋体"/>
                <w:bCs/>
                <w:sz w:val="24"/>
              </w:rPr>
            </w:pPr>
            <w:r>
              <w:rPr>
                <w:rFonts w:hint="eastAsia" w:hAnsi="宋体" w:cs="宋体"/>
                <w:bCs/>
                <w:sz w:val="24"/>
              </w:rPr>
              <w:t>正面：                                 反面：</w:t>
            </w:r>
          </w:p>
          <w:p w14:paraId="75B06F2C">
            <w:pPr>
              <w:pStyle w:val="148"/>
              <w:adjustRightInd w:val="0"/>
              <w:spacing w:line="360" w:lineRule="auto"/>
              <w:rPr>
                <w:rFonts w:hint="eastAsia" w:hAnsi="宋体" w:cs="宋体"/>
                <w:bCs/>
                <w:sz w:val="24"/>
              </w:rPr>
            </w:pPr>
          </w:p>
        </w:tc>
      </w:tr>
    </w:tbl>
    <w:p w14:paraId="541703F1">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11FF04BA">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7F6514AE">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3D7517E">
      <w:pPr>
        <w:jc w:val="center"/>
        <w:rPr>
          <w:rFonts w:hint="eastAsia" w:ascii="宋体" w:hAnsi="宋体" w:cs="宋体"/>
          <w:b/>
          <w:kern w:val="0"/>
          <w:sz w:val="32"/>
          <w:szCs w:val="32"/>
        </w:rPr>
      </w:pPr>
    </w:p>
    <w:p w14:paraId="565E3965">
      <w:pPr>
        <w:snapToGrid w:val="0"/>
        <w:spacing w:line="360" w:lineRule="auto"/>
        <w:rPr>
          <w:rFonts w:hint="eastAsia" w:ascii="宋体" w:hAnsi="宋体" w:cs="宋体"/>
          <w:kern w:val="0"/>
          <w:sz w:val="24"/>
        </w:rPr>
      </w:pPr>
    </w:p>
    <w:p w14:paraId="77CCC3BC">
      <w:pPr>
        <w:rPr>
          <w:rFonts w:hint="eastAsia" w:ascii="宋体" w:hAnsi="宋体" w:cs="宋体"/>
          <w:b/>
          <w:kern w:val="0"/>
          <w:sz w:val="32"/>
          <w:szCs w:val="32"/>
        </w:rPr>
      </w:pPr>
      <w:r>
        <w:rPr>
          <w:rFonts w:hint="eastAsia" w:ascii="宋体" w:hAnsi="宋体" w:cs="宋体"/>
          <w:b/>
          <w:kern w:val="0"/>
          <w:sz w:val="32"/>
          <w:szCs w:val="32"/>
        </w:rPr>
        <w:br w:type="page"/>
      </w:r>
    </w:p>
    <w:p w14:paraId="057E00A8">
      <w:pPr>
        <w:jc w:val="center"/>
        <w:rPr>
          <w:rFonts w:hint="eastAsia" w:ascii="宋体" w:hAnsi="宋体" w:cs="宋体"/>
          <w:b/>
          <w:kern w:val="0"/>
          <w:sz w:val="32"/>
          <w:szCs w:val="32"/>
        </w:rPr>
      </w:pPr>
      <w:r>
        <w:rPr>
          <w:rFonts w:hint="eastAsia" w:ascii="宋体" w:hAnsi="宋体" w:cs="宋体"/>
          <w:b/>
          <w:kern w:val="0"/>
          <w:sz w:val="32"/>
          <w:szCs w:val="32"/>
        </w:rPr>
        <w:t>三、符合性审查资料</w:t>
      </w:r>
    </w:p>
    <w:p w14:paraId="4DEBDC29">
      <w:pPr>
        <w:jc w:val="center"/>
        <w:rPr>
          <w:rFonts w:hint="eastAsia" w:ascii="宋体" w:hAnsi="宋体" w:cs="宋体"/>
          <w:b/>
          <w:kern w:val="0"/>
          <w:sz w:val="32"/>
          <w:szCs w:val="32"/>
        </w:rPr>
      </w:pP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4A68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69F466">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672" w:type="dxa"/>
            <w:vAlign w:val="center"/>
          </w:tcPr>
          <w:p w14:paraId="37D1CF49">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070A0275">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260CFB4D">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5B1186AC">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577E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20A55FE7">
            <w:pPr>
              <w:jc w:val="center"/>
              <w:rPr>
                <w:rFonts w:hint="eastAsia" w:ascii="宋体" w:hAnsi="宋体" w:cs="宋体"/>
                <w:sz w:val="24"/>
              </w:rPr>
            </w:pPr>
            <w:r>
              <w:rPr>
                <w:rFonts w:hint="eastAsia" w:ascii="宋体" w:hAnsi="宋体" w:cs="宋体"/>
                <w:sz w:val="24"/>
              </w:rPr>
              <w:t>1</w:t>
            </w:r>
          </w:p>
        </w:tc>
        <w:tc>
          <w:tcPr>
            <w:tcW w:w="4672" w:type="dxa"/>
            <w:vAlign w:val="center"/>
          </w:tcPr>
          <w:p w14:paraId="035CD8D2">
            <w:pPr>
              <w:spacing w:line="360" w:lineRule="auto"/>
              <w:jc w:val="center"/>
              <w:rPr>
                <w:rFonts w:hint="eastAsia" w:ascii="宋体" w:hAnsi="宋体" w:cs="宋体"/>
                <w:sz w:val="24"/>
              </w:rPr>
            </w:pPr>
            <w:r>
              <w:rPr>
                <w:rFonts w:hint="eastAsia" w:ascii="宋体" w:hAnsi="宋体" w:cs="宋体"/>
                <w:sz w:val="24"/>
              </w:rPr>
              <w:t>响应文件按照交易文件要求签署、盖章。</w:t>
            </w:r>
          </w:p>
        </w:tc>
        <w:tc>
          <w:tcPr>
            <w:tcW w:w="2551" w:type="dxa"/>
            <w:vAlign w:val="center"/>
          </w:tcPr>
          <w:p w14:paraId="1BF690BC">
            <w:pPr>
              <w:jc w:val="center"/>
              <w:rPr>
                <w:rFonts w:hint="eastAsia"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D1B48B9">
            <w:pPr>
              <w:jc w:val="center"/>
              <w:rPr>
                <w:rFonts w:hint="eastAsia" w:ascii="宋体" w:hAnsi="宋体" w:cs="宋体"/>
                <w:sz w:val="24"/>
              </w:rPr>
            </w:pPr>
          </w:p>
          <w:p w14:paraId="7AC1C588">
            <w:pPr>
              <w:jc w:val="center"/>
              <w:rPr>
                <w:rFonts w:hint="eastAsia" w:ascii="宋体" w:hAnsi="宋体" w:cs="宋体"/>
                <w:sz w:val="24"/>
              </w:rPr>
            </w:pPr>
            <w:r>
              <w:rPr>
                <w:rFonts w:hint="eastAsia" w:ascii="宋体" w:hAnsi="宋体" w:cs="宋体"/>
                <w:sz w:val="24"/>
              </w:rPr>
              <w:t>见响应文件</w:t>
            </w:r>
          </w:p>
          <w:p w14:paraId="76C3FAEC">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A8D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BCDF0A">
            <w:pPr>
              <w:spacing w:line="360" w:lineRule="auto"/>
              <w:jc w:val="center"/>
              <w:rPr>
                <w:rFonts w:hint="eastAsia" w:ascii="宋体" w:hAnsi="宋体" w:cs="宋体"/>
                <w:sz w:val="24"/>
              </w:rPr>
            </w:pPr>
            <w:r>
              <w:rPr>
                <w:rFonts w:hint="eastAsia" w:ascii="宋体" w:hAnsi="宋体" w:cs="宋体"/>
                <w:sz w:val="24"/>
              </w:rPr>
              <w:t>2</w:t>
            </w:r>
          </w:p>
        </w:tc>
        <w:tc>
          <w:tcPr>
            <w:tcW w:w="4672" w:type="dxa"/>
            <w:vAlign w:val="center"/>
          </w:tcPr>
          <w:p w14:paraId="4EC552CE">
            <w:pPr>
              <w:spacing w:line="360" w:lineRule="auto"/>
              <w:jc w:val="center"/>
              <w:rPr>
                <w:rFonts w:hint="eastAsia" w:ascii="宋体" w:hAnsi="宋体" w:cs="宋体"/>
                <w:sz w:val="24"/>
              </w:rPr>
            </w:pPr>
            <w:r>
              <w:rPr>
                <w:rFonts w:hint="eastAsia" w:ascii="宋体" w:hAnsi="宋体" w:cs="宋体"/>
                <w:sz w:val="24"/>
              </w:rPr>
              <w:t>响应文件中承诺的交易有效期不少于交易文件中载明的交易有效期。</w:t>
            </w:r>
          </w:p>
        </w:tc>
        <w:tc>
          <w:tcPr>
            <w:tcW w:w="2551" w:type="dxa"/>
            <w:vAlign w:val="center"/>
          </w:tcPr>
          <w:p w14:paraId="03069051">
            <w:pPr>
              <w:jc w:val="center"/>
              <w:rPr>
                <w:rFonts w:hint="eastAsia" w:ascii="宋体" w:hAnsi="宋体" w:cs="宋体"/>
                <w:sz w:val="24"/>
              </w:rPr>
            </w:pPr>
            <w:r>
              <w:rPr>
                <w:rFonts w:hint="eastAsia" w:ascii="宋体" w:hAnsi="宋体" w:cs="宋体"/>
                <w:sz w:val="24"/>
              </w:rPr>
              <w:t>响应函</w:t>
            </w:r>
          </w:p>
        </w:tc>
        <w:tc>
          <w:tcPr>
            <w:tcW w:w="1418" w:type="dxa"/>
            <w:vAlign w:val="center"/>
          </w:tcPr>
          <w:p w14:paraId="2DDB20FC">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753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3D0CE3">
            <w:pPr>
              <w:jc w:val="center"/>
              <w:rPr>
                <w:rFonts w:hint="eastAsia" w:ascii="宋体" w:hAnsi="宋体" w:cs="宋体"/>
                <w:sz w:val="24"/>
              </w:rPr>
            </w:pPr>
            <w:r>
              <w:rPr>
                <w:rFonts w:hint="eastAsia" w:ascii="宋体" w:hAnsi="宋体" w:cs="宋体"/>
                <w:sz w:val="24"/>
              </w:rPr>
              <w:t>3</w:t>
            </w:r>
          </w:p>
        </w:tc>
        <w:tc>
          <w:tcPr>
            <w:tcW w:w="4672" w:type="dxa"/>
            <w:vAlign w:val="center"/>
          </w:tcPr>
          <w:p w14:paraId="55242E64">
            <w:pPr>
              <w:spacing w:line="360" w:lineRule="auto"/>
              <w:jc w:val="center"/>
              <w:rPr>
                <w:rFonts w:hint="eastAsia" w:ascii="宋体" w:hAnsi="宋体" w:cs="宋体"/>
                <w:sz w:val="24"/>
              </w:rPr>
            </w:pPr>
            <w:r>
              <w:rPr>
                <w:rFonts w:hint="eastAsia" w:ascii="宋体" w:hAnsi="宋体" w:cs="宋体"/>
                <w:sz w:val="24"/>
              </w:rPr>
              <w:t>响应文件满足交易文件的其它实质性要求。</w:t>
            </w:r>
          </w:p>
        </w:tc>
        <w:tc>
          <w:tcPr>
            <w:tcW w:w="2551" w:type="dxa"/>
            <w:vAlign w:val="center"/>
          </w:tcPr>
          <w:p w14:paraId="68148892">
            <w:pPr>
              <w:jc w:val="center"/>
              <w:rPr>
                <w:rFonts w:hint="eastAsia"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76C8257F">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593786C8">
      <w:pPr>
        <w:spacing w:line="360" w:lineRule="auto"/>
        <w:ind w:right="420"/>
        <w:rPr>
          <w:rFonts w:hint="eastAsia" w:ascii="宋体" w:hAnsi="宋体" w:cs="宋体"/>
          <w:sz w:val="24"/>
        </w:rPr>
      </w:pPr>
      <w:r>
        <w:rPr>
          <w:rFonts w:hint="eastAsia" w:ascii="宋体" w:hAnsi="宋体" w:cs="宋体"/>
          <w:sz w:val="24"/>
        </w:rPr>
        <w:t>注：按本格式和要求提供。</w:t>
      </w:r>
    </w:p>
    <w:p w14:paraId="423A890A">
      <w:pPr>
        <w:jc w:val="center"/>
        <w:rPr>
          <w:rFonts w:hint="eastAsia" w:ascii="宋体" w:hAnsi="宋体" w:cs="宋体"/>
          <w:b/>
          <w:kern w:val="0"/>
          <w:sz w:val="32"/>
          <w:szCs w:val="32"/>
        </w:rPr>
      </w:pPr>
    </w:p>
    <w:p w14:paraId="5AA80B10">
      <w:pPr>
        <w:jc w:val="center"/>
        <w:rPr>
          <w:rFonts w:hint="eastAsia" w:ascii="宋体" w:hAnsi="宋体" w:cs="宋体"/>
          <w:b/>
          <w:kern w:val="0"/>
          <w:sz w:val="32"/>
          <w:szCs w:val="32"/>
        </w:rPr>
      </w:pPr>
    </w:p>
    <w:p w14:paraId="7BBD5B1F">
      <w:pPr>
        <w:jc w:val="center"/>
        <w:rPr>
          <w:rFonts w:hint="eastAsia" w:ascii="宋体" w:hAnsi="宋体" w:cs="宋体"/>
          <w:b/>
          <w:kern w:val="0"/>
          <w:sz w:val="32"/>
          <w:szCs w:val="32"/>
        </w:rPr>
      </w:pPr>
    </w:p>
    <w:p w14:paraId="2A5DAD33">
      <w:pPr>
        <w:jc w:val="center"/>
        <w:rPr>
          <w:rFonts w:hint="eastAsia" w:ascii="宋体" w:hAnsi="宋体" w:cs="宋体"/>
          <w:b/>
          <w:kern w:val="0"/>
          <w:sz w:val="32"/>
          <w:szCs w:val="32"/>
        </w:rPr>
      </w:pPr>
    </w:p>
    <w:p w14:paraId="66CA3798">
      <w:pPr>
        <w:jc w:val="center"/>
        <w:rPr>
          <w:rFonts w:hint="eastAsia" w:ascii="宋体" w:hAnsi="宋体" w:cs="宋体"/>
          <w:b/>
          <w:kern w:val="0"/>
          <w:sz w:val="32"/>
          <w:szCs w:val="32"/>
        </w:rPr>
      </w:pPr>
    </w:p>
    <w:p w14:paraId="76C3B9A7">
      <w:pPr>
        <w:jc w:val="center"/>
        <w:rPr>
          <w:rFonts w:hint="eastAsia" w:ascii="宋体" w:hAnsi="宋体" w:cs="宋体"/>
          <w:b/>
          <w:kern w:val="0"/>
          <w:sz w:val="32"/>
          <w:szCs w:val="32"/>
        </w:rPr>
      </w:pPr>
    </w:p>
    <w:p w14:paraId="4DB62A09">
      <w:pPr>
        <w:jc w:val="center"/>
        <w:rPr>
          <w:rFonts w:hint="eastAsia" w:ascii="宋体" w:hAnsi="宋体" w:cs="宋体"/>
          <w:b/>
          <w:kern w:val="0"/>
          <w:sz w:val="32"/>
          <w:szCs w:val="32"/>
        </w:rPr>
      </w:pPr>
    </w:p>
    <w:p w14:paraId="60778A89">
      <w:pPr>
        <w:jc w:val="center"/>
        <w:rPr>
          <w:rFonts w:hint="eastAsia" w:ascii="宋体" w:hAnsi="宋体" w:cs="宋体"/>
          <w:b/>
          <w:kern w:val="0"/>
          <w:sz w:val="32"/>
          <w:szCs w:val="32"/>
        </w:rPr>
      </w:pPr>
    </w:p>
    <w:p w14:paraId="650A9FDB">
      <w:pPr>
        <w:jc w:val="center"/>
        <w:rPr>
          <w:rFonts w:hint="eastAsia" w:ascii="宋体" w:hAnsi="宋体" w:cs="宋体"/>
        </w:rPr>
      </w:pPr>
      <w:r>
        <w:rPr>
          <w:rFonts w:hint="eastAsia" w:ascii="宋体" w:hAnsi="宋体" w:cs="宋体"/>
          <w:b/>
          <w:kern w:val="0"/>
          <w:sz w:val="32"/>
          <w:szCs w:val="32"/>
        </w:rPr>
        <w:t>四、评标标准相应的商务技术资料</w:t>
      </w:r>
    </w:p>
    <w:p w14:paraId="63A37896">
      <w:pPr>
        <w:snapToGrid w:val="0"/>
        <w:spacing w:line="360" w:lineRule="auto"/>
        <w:jc w:val="left"/>
        <w:rPr>
          <w:rFonts w:hint="eastAsia" w:ascii="宋体" w:hAnsi="宋体" w:cs="宋体"/>
          <w:b/>
          <w:sz w:val="24"/>
        </w:rPr>
      </w:pPr>
      <w:r>
        <w:rPr>
          <w:rFonts w:hint="eastAsia" w:ascii="宋体" w:hAnsi="宋体" w:cs="宋体"/>
          <w:b/>
          <w:sz w:val="24"/>
        </w:rPr>
        <w:t>（按交易文件第四部分评标办法前附表中“响应文件中评标标准相应的商务技术资料目录”提供资料。）</w:t>
      </w:r>
    </w:p>
    <w:p w14:paraId="1155FF24">
      <w:pPr>
        <w:jc w:val="center"/>
        <w:rPr>
          <w:rFonts w:hint="eastAsia" w:ascii="宋体" w:hAnsi="宋体" w:cs="宋体"/>
          <w:b/>
          <w:kern w:val="0"/>
          <w:sz w:val="32"/>
          <w:szCs w:val="32"/>
        </w:rPr>
      </w:pPr>
    </w:p>
    <w:p w14:paraId="2B29CA17">
      <w:pPr>
        <w:jc w:val="center"/>
        <w:rPr>
          <w:rFonts w:hint="eastAsia" w:ascii="宋体" w:hAnsi="宋体" w:cs="宋体"/>
          <w:b/>
          <w:kern w:val="0"/>
          <w:sz w:val="32"/>
          <w:szCs w:val="32"/>
        </w:rPr>
      </w:pPr>
    </w:p>
    <w:p w14:paraId="7D3AAF2A">
      <w:pPr>
        <w:jc w:val="center"/>
        <w:rPr>
          <w:rFonts w:hint="eastAsia" w:ascii="宋体" w:hAnsi="宋体" w:cs="宋体"/>
          <w:b/>
          <w:kern w:val="0"/>
          <w:sz w:val="32"/>
          <w:szCs w:val="32"/>
        </w:rPr>
      </w:pPr>
    </w:p>
    <w:p w14:paraId="4F5EE427">
      <w:pPr>
        <w:jc w:val="center"/>
        <w:rPr>
          <w:rFonts w:hint="eastAsia" w:ascii="宋体" w:hAnsi="宋体" w:cs="宋体"/>
          <w:b/>
          <w:kern w:val="0"/>
          <w:sz w:val="32"/>
          <w:szCs w:val="32"/>
        </w:rPr>
      </w:pPr>
    </w:p>
    <w:p w14:paraId="06639CCA">
      <w:pPr>
        <w:jc w:val="center"/>
        <w:rPr>
          <w:rFonts w:hint="eastAsia" w:ascii="宋体" w:hAnsi="宋体" w:cs="宋体"/>
          <w:b/>
          <w:kern w:val="0"/>
          <w:sz w:val="32"/>
          <w:szCs w:val="32"/>
        </w:rPr>
      </w:pPr>
    </w:p>
    <w:p w14:paraId="3682A516">
      <w:pPr>
        <w:jc w:val="center"/>
        <w:rPr>
          <w:rFonts w:hint="eastAsia" w:ascii="宋体" w:hAnsi="宋体" w:cs="宋体"/>
          <w:b/>
          <w:kern w:val="0"/>
          <w:sz w:val="32"/>
          <w:szCs w:val="32"/>
        </w:rPr>
      </w:pPr>
    </w:p>
    <w:p w14:paraId="4D03FD35">
      <w:pPr>
        <w:jc w:val="center"/>
        <w:rPr>
          <w:rFonts w:hint="eastAsia" w:ascii="宋体" w:hAnsi="宋体" w:cs="宋体"/>
          <w:b/>
          <w:kern w:val="0"/>
          <w:sz w:val="32"/>
          <w:szCs w:val="32"/>
        </w:rPr>
      </w:pPr>
    </w:p>
    <w:p w14:paraId="2D15A748">
      <w:pPr>
        <w:ind w:firstLine="2891" w:firstLineChars="900"/>
        <w:rPr>
          <w:rFonts w:hint="eastAsia" w:ascii="宋体" w:hAnsi="宋体" w:cs="宋体"/>
          <w:b/>
          <w:kern w:val="0"/>
          <w:sz w:val="32"/>
          <w:szCs w:val="32"/>
        </w:rPr>
      </w:pPr>
    </w:p>
    <w:p w14:paraId="32BF4482">
      <w:pPr>
        <w:ind w:firstLine="2891" w:firstLineChars="900"/>
        <w:rPr>
          <w:rFonts w:hint="eastAsia" w:ascii="宋体" w:hAnsi="宋体" w:cs="宋体"/>
          <w:b/>
          <w:kern w:val="0"/>
          <w:sz w:val="32"/>
          <w:szCs w:val="32"/>
        </w:rPr>
      </w:pPr>
    </w:p>
    <w:p w14:paraId="6EB3F069">
      <w:pPr>
        <w:ind w:firstLine="2891" w:firstLineChars="900"/>
        <w:rPr>
          <w:rFonts w:hint="eastAsia" w:ascii="宋体" w:hAnsi="宋体" w:cs="宋体"/>
          <w:b/>
          <w:kern w:val="0"/>
          <w:sz w:val="32"/>
          <w:szCs w:val="32"/>
        </w:rPr>
      </w:pPr>
      <w:r>
        <w:rPr>
          <w:rFonts w:hint="eastAsia" w:ascii="宋体" w:hAnsi="宋体" w:cs="宋体"/>
          <w:b/>
          <w:kern w:val="0"/>
          <w:sz w:val="32"/>
          <w:szCs w:val="32"/>
        </w:rPr>
        <w:t>五、交易标的清单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39"/>
        <w:gridCol w:w="1677"/>
        <w:gridCol w:w="1705"/>
        <w:gridCol w:w="1636"/>
        <w:gridCol w:w="948"/>
      </w:tblGrid>
      <w:tr w14:paraId="5685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1AED66">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122246">
            <w:pPr>
              <w:spacing w:line="360" w:lineRule="auto"/>
              <w:jc w:val="center"/>
              <w:rPr>
                <w:rFonts w:hint="eastAsia" w:ascii="宋体" w:hAnsi="宋体" w:cs="宋体"/>
                <w:b/>
                <w:sz w:val="24"/>
              </w:rPr>
            </w:pPr>
            <w:r>
              <w:rPr>
                <w:rFonts w:hint="eastAsia" w:ascii="宋体" w:hAnsi="宋体" w:cs="宋体"/>
                <w:b/>
                <w:sz w:val="24"/>
              </w:rPr>
              <w:t>名称</w:t>
            </w:r>
          </w:p>
        </w:tc>
        <w:tc>
          <w:tcPr>
            <w:tcW w:w="1639" w:type="dxa"/>
            <w:tcBorders>
              <w:top w:val="single" w:color="auto" w:sz="4" w:space="0"/>
              <w:left w:val="single" w:color="auto" w:sz="4" w:space="0"/>
              <w:bottom w:val="single" w:color="auto" w:sz="4" w:space="0"/>
              <w:right w:val="single" w:color="auto" w:sz="4" w:space="0"/>
            </w:tcBorders>
            <w:vAlign w:val="center"/>
          </w:tcPr>
          <w:p w14:paraId="2EB97E18">
            <w:pPr>
              <w:spacing w:line="360" w:lineRule="auto"/>
              <w:jc w:val="center"/>
              <w:rPr>
                <w:rFonts w:hint="eastAsia" w:ascii="宋体" w:hAnsi="宋体" w:cs="宋体"/>
                <w:b/>
                <w:sz w:val="24"/>
              </w:rPr>
            </w:pPr>
            <w:r>
              <w:rPr>
                <w:rFonts w:hint="eastAsia" w:ascii="宋体" w:hAnsi="宋体" w:cs="宋体"/>
                <w:b/>
                <w:sz w:val="24"/>
              </w:rPr>
              <w:t>服务范围</w:t>
            </w:r>
          </w:p>
        </w:tc>
        <w:tc>
          <w:tcPr>
            <w:tcW w:w="1677" w:type="dxa"/>
            <w:tcBorders>
              <w:top w:val="single" w:color="auto" w:sz="4" w:space="0"/>
              <w:left w:val="single" w:color="auto" w:sz="4" w:space="0"/>
              <w:bottom w:val="single" w:color="auto" w:sz="4" w:space="0"/>
              <w:right w:val="single" w:color="auto" w:sz="4" w:space="0"/>
            </w:tcBorders>
            <w:vAlign w:val="center"/>
          </w:tcPr>
          <w:p w14:paraId="1D272E12">
            <w:pPr>
              <w:spacing w:line="360" w:lineRule="auto"/>
              <w:jc w:val="center"/>
              <w:rPr>
                <w:rFonts w:hint="eastAsia" w:ascii="宋体" w:hAnsi="宋体" w:cs="宋体"/>
                <w:b/>
                <w:sz w:val="24"/>
              </w:rPr>
            </w:pPr>
            <w:r>
              <w:rPr>
                <w:rFonts w:hint="eastAsia" w:ascii="宋体" w:hAnsi="宋体" w:cs="宋体"/>
                <w:b/>
                <w:sz w:val="24"/>
              </w:rPr>
              <w:t>服务要求</w:t>
            </w:r>
          </w:p>
        </w:tc>
        <w:tc>
          <w:tcPr>
            <w:tcW w:w="1705" w:type="dxa"/>
            <w:tcBorders>
              <w:top w:val="single" w:color="auto" w:sz="4" w:space="0"/>
              <w:left w:val="single" w:color="auto" w:sz="4" w:space="0"/>
              <w:bottom w:val="single" w:color="auto" w:sz="4" w:space="0"/>
              <w:right w:val="single" w:color="auto" w:sz="4" w:space="0"/>
            </w:tcBorders>
            <w:vAlign w:val="center"/>
          </w:tcPr>
          <w:p w14:paraId="031F29BB">
            <w:pPr>
              <w:spacing w:line="360" w:lineRule="auto"/>
              <w:jc w:val="center"/>
              <w:rPr>
                <w:rFonts w:hint="eastAsia" w:ascii="宋体" w:hAnsi="宋体" w:cs="宋体"/>
                <w:b/>
                <w:sz w:val="24"/>
              </w:rPr>
            </w:pPr>
            <w:r>
              <w:rPr>
                <w:rFonts w:hint="eastAsia" w:ascii="宋体" w:hAnsi="宋体" w:cs="宋体"/>
                <w:b/>
                <w:sz w:val="24"/>
              </w:rPr>
              <w:t>服务时间</w:t>
            </w:r>
          </w:p>
        </w:tc>
        <w:tc>
          <w:tcPr>
            <w:tcW w:w="1636" w:type="dxa"/>
            <w:tcBorders>
              <w:top w:val="single" w:color="auto" w:sz="4" w:space="0"/>
              <w:left w:val="single" w:color="auto" w:sz="4" w:space="0"/>
              <w:bottom w:val="single" w:color="auto" w:sz="4" w:space="0"/>
              <w:right w:val="single" w:color="auto" w:sz="4" w:space="0"/>
            </w:tcBorders>
            <w:vAlign w:val="center"/>
          </w:tcPr>
          <w:p w14:paraId="5D909F75">
            <w:pPr>
              <w:spacing w:line="360" w:lineRule="auto"/>
              <w:jc w:val="center"/>
              <w:rPr>
                <w:rFonts w:hint="eastAsia" w:ascii="宋体" w:hAnsi="宋体" w:cs="宋体"/>
                <w:b/>
                <w:sz w:val="24"/>
              </w:rPr>
            </w:pPr>
            <w:r>
              <w:rPr>
                <w:rFonts w:hint="eastAsia" w:ascii="宋体" w:hAnsi="宋体" w:cs="宋体"/>
                <w:b/>
                <w:sz w:val="24"/>
              </w:rPr>
              <w:t>服务标准</w:t>
            </w:r>
          </w:p>
        </w:tc>
        <w:tc>
          <w:tcPr>
            <w:tcW w:w="948" w:type="dxa"/>
            <w:tcBorders>
              <w:top w:val="single" w:color="auto" w:sz="4" w:space="0"/>
              <w:left w:val="single" w:color="auto" w:sz="4" w:space="0"/>
              <w:bottom w:val="single" w:color="auto" w:sz="4" w:space="0"/>
              <w:right w:val="single" w:color="auto" w:sz="4" w:space="0"/>
            </w:tcBorders>
            <w:vAlign w:val="center"/>
          </w:tcPr>
          <w:p w14:paraId="10423203">
            <w:pPr>
              <w:spacing w:line="360" w:lineRule="auto"/>
              <w:jc w:val="center"/>
              <w:rPr>
                <w:rFonts w:hint="eastAsia" w:ascii="宋体" w:hAnsi="宋体" w:cs="宋体"/>
                <w:b/>
                <w:sz w:val="24"/>
              </w:rPr>
            </w:pPr>
            <w:r>
              <w:rPr>
                <w:rFonts w:hint="eastAsia" w:ascii="宋体" w:hAnsi="宋体" w:cs="宋体"/>
                <w:b/>
                <w:sz w:val="24"/>
              </w:rPr>
              <w:t>备注</w:t>
            </w:r>
          </w:p>
        </w:tc>
      </w:tr>
      <w:tr w14:paraId="71BF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EC36C9">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FEA506">
            <w:pPr>
              <w:snapToGrid w:val="0"/>
              <w:spacing w:line="360" w:lineRule="auto"/>
              <w:jc w:val="center"/>
              <w:rPr>
                <w:rFonts w:hint="eastAsia" w:ascii="宋体" w:hAnsi="宋体" w:cs="宋体"/>
                <w:sz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6F0D8F26">
            <w:pPr>
              <w:snapToGrid w:val="0"/>
              <w:spacing w:line="360" w:lineRule="auto"/>
              <w:jc w:val="center"/>
              <w:rPr>
                <w:rFonts w:hint="eastAsia" w:ascii="宋体" w:hAnsi="宋体" w:cs="宋体"/>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763998F1">
            <w:pPr>
              <w:snapToGrid w:val="0"/>
              <w:spacing w:line="360" w:lineRule="auto"/>
              <w:jc w:val="center"/>
              <w:rPr>
                <w:rFonts w:hint="eastAsia" w:ascii="宋体" w:hAnsi="宋体" w:cs="宋体"/>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1AAD445F">
            <w:pPr>
              <w:spacing w:line="360" w:lineRule="auto"/>
              <w:jc w:val="center"/>
              <w:rPr>
                <w:rFonts w:hint="eastAsia" w:ascii="宋体" w:hAnsi="宋体" w:cs="宋体"/>
                <w:sz w:val="24"/>
              </w:rPr>
            </w:pPr>
          </w:p>
        </w:tc>
        <w:tc>
          <w:tcPr>
            <w:tcW w:w="1636" w:type="dxa"/>
            <w:tcBorders>
              <w:top w:val="single" w:color="auto" w:sz="4" w:space="0"/>
              <w:left w:val="single" w:color="auto" w:sz="4" w:space="0"/>
              <w:bottom w:val="single" w:color="auto" w:sz="4" w:space="0"/>
              <w:right w:val="single" w:color="auto" w:sz="4" w:space="0"/>
            </w:tcBorders>
            <w:vAlign w:val="center"/>
          </w:tcPr>
          <w:p w14:paraId="0424BCDE">
            <w:pPr>
              <w:spacing w:line="360" w:lineRule="auto"/>
              <w:jc w:val="center"/>
              <w:rPr>
                <w:rFonts w:hint="eastAsia" w:ascii="宋体" w:hAnsi="宋体" w:cs="宋体"/>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106E47A6">
            <w:pPr>
              <w:spacing w:line="360" w:lineRule="auto"/>
              <w:jc w:val="center"/>
              <w:rPr>
                <w:rFonts w:hint="eastAsia" w:ascii="宋体" w:hAnsi="宋体" w:cs="宋体"/>
                <w:sz w:val="24"/>
              </w:rPr>
            </w:pPr>
          </w:p>
        </w:tc>
      </w:tr>
      <w:tr w14:paraId="6723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811ADC">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EF049C2">
            <w:pPr>
              <w:snapToGrid w:val="0"/>
              <w:spacing w:line="360" w:lineRule="auto"/>
              <w:jc w:val="center"/>
              <w:rPr>
                <w:rFonts w:hint="eastAsia" w:ascii="宋体" w:hAnsi="宋体" w:cs="宋体"/>
                <w:sz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334A572B">
            <w:pPr>
              <w:snapToGrid w:val="0"/>
              <w:spacing w:line="360" w:lineRule="auto"/>
              <w:jc w:val="center"/>
              <w:rPr>
                <w:rFonts w:hint="eastAsia" w:ascii="宋体" w:hAnsi="宋体" w:cs="宋体"/>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45FECF3B">
            <w:pPr>
              <w:snapToGrid w:val="0"/>
              <w:spacing w:line="360" w:lineRule="auto"/>
              <w:jc w:val="center"/>
              <w:rPr>
                <w:rFonts w:hint="eastAsia" w:ascii="宋体" w:hAnsi="宋体" w:cs="宋体"/>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5B60F6A1">
            <w:pPr>
              <w:spacing w:line="360" w:lineRule="auto"/>
              <w:jc w:val="center"/>
              <w:rPr>
                <w:rFonts w:hint="eastAsia" w:ascii="宋体" w:hAnsi="宋体" w:cs="宋体"/>
                <w:sz w:val="24"/>
              </w:rPr>
            </w:pPr>
          </w:p>
        </w:tc>
        <w:tc>
          <w:tcPr>
            <w:tcW w:w="1636" w:type="dxa"/>
            <w:tcBorders>
              <w:top w:val="single" w:color="auto" w:sz="4" w:space="0"/>
              <w:left w:val="single" w:color="auto" w:sz="4" w:space="0"/>
              <w:bottom w:val="single" w:color="auto" w:sz="4" w:space="0"/>
              <w:right w:val="single" w:color="auto" w:sz="4" w:space="0"/>
            </w:tcBorders>
            <w:vAlign w:val="center"/>
          </w:tcPr>
          <w:p w14:paraId="31E2636B">
            <w:pPr>
              <w:spacing w:line="360" w:lineRule="auto"/>
              <w:jc w:val="center"/>
              <w:rPr>
                <w:rFonts w:hint="eastAsia" w:ascii="宋体" w:hAnsi="宋体" w:cs="宋体"/>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550CCD0C">
            <w:pPr>
              <w:spacing w:line="360" w:lineRule="auto"/>
              <w:jc w:val="center"/>
              <w:rPr>
                <w:rFonts w:hint="eastAsia" w:ascii="宋体" w:hAnsi="宋体" w:cs="宋体"/>
                <w:sz w:val="24"/>
              </w:rPr>
            </w:pPr>
          </w:p>
        </w:tc>
      </w:tr>
      <w:tr w14:paraId="4573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F4F340">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524B9E3">
            <w:pPr>
              <w:snapToGrid w:val="0"/>
              <w:spacing w:line="360" w:lineRule="auto"/>
              <w:jc w:val="center"/>
              <w:rPr>
                <w:rFonts w:hint="eastAsia" w:ascii="宋体" w:hAnsi="宋体" w:cs="宋体"/>
                <w:sz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CFC18EC">
            <w:pPr>
              <w:snapToGrid w:val="0"/>
              <w:spacing w:line="360" w:lineRule="auto"/>
              <w:jc w:val="center"/>
              <w:rPr>
                <w:rFonts w:hint="eastAsia" w:ascii="宋体" w:hAnsi="宋体" w:cs="宋体"/>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6E54FF4E">
            <w:pPr>
              <w:snapToGrid w:val="0"/>
              <w:spacing w:line="360" w:lineRule="auto"/>
              <w:jc w:val="center"/>
              <w:rPr>
                <w:rFonts w:hint="eastAsia" w:ascii="宋体" w:hAnsi="宋体" w:cs="宋体"/>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4DD350FD">
            <w:pPr>
              <w:spacing w:line="360" w:lineRule="auto"/>
              <w:jc w:val="center"/>
              <w:rPr>
                <w:rFonts w:hint="eastAsia" w:ascii="宋体" w:hAnsi="宋体" w:cs="宋体"/>
                <w:sz w:val="24"/>
              </w:rPr>
            </w:pPr>
          </w:p>
        </w:tc>
        <w:tc>
          <w:tcPr>
            <w:tcW w:w="1636" w:type="dxa"/>
            <w:tcBorders>
              <w:top w:val="single" w:color="auto" w:sz="4" w:space="0"/>
              <w:left w:val="single" w:color="auto" w:sz="4" w:space="0"/>
              <w:bottom w:val="single" w:color="auto" w:sz="4" w:space="0"/>
              <w:right w:val="single" w:color="auto" w:sz="4" w:space="0"/>
            </w:tcBorders>
            <w:vAlign w:val="center"/>
          </w:tcPr>
          <w:p w14:paraId="3ED6EB47">
            <w:pPr>
              <w:spacing w:line="360" w:lineRule="auto"/>
              <w:jc w:val="center"/>
              <w:rPr>
                <w:rFonts w:hint="eastAsia" w:ascii="宋体" w:hAnsi="宋体" w:cs="宋体"/>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560CD5D0">
            <w:pPr>
              <w:spacing w:line="360" w:lineRule="auto"/>
              <w:jc w:val="center"/>
              <w:rPr>
                <w:rFonts w:hint="eastAsia" w:ascii="宋体" w:hAnsi="宋体" w:cs="宋体"/>
                <w:sz w:val="24"/>
              </w:rPr>
            </w:pPr>
          </w:p>
        </w:tc>
      </w:tr>
    </w:tbl>
    <w:p w14:paraId="78A7BE04">
      <w:pPr>
        <w:spacing w:line="360" w:lineRule="auto"/>
        <w:ind w:right="420"/>
        <w:rPr>
          <w:rFonts w:hint="eastAsia" w:ascii="宋体" w:hAnsi="宋体" w:cs="宋体"/>
          <w:sz w:val="24"/>
        </w:rPr>
      </w:pPr>
      <w:r>
        <w:rPr>
          <w:rFonts w:hint="eastAsia" w:ascii="宋体" w:hAnsi="宋体" w:cs="宋体"/>
          <w:sz w:val="24"/>
        </w:rPr>
        <w:t>注：按本格式和要求提供。</w:t>
      </w:r>
    </w:p>
    <w:p w14:paraId="56319850">
      <w:pPr>
        <w:jc w:val="center"/>
        <w:rPr>
          <w:rFonts w:hint="eastAsia" w:ascii="宋体" w:hAnsi="宋体" w:cs="宋体"/>
          <w:b/>
          <w:kern w:val="0"/>
          <w:sz w:val="32"/>
          <w:szCs w:val="32"/>
        </w:rPr>
      </w:pPr>
    </w:p>
    <w:p w14:paraId="47AD0E74">
      <w:pPr>
        <w:jc w:val="center"/>
        <w:rPr>
          <w:rFonts w:hint="eastAsia" w:ascii="宋体" w:hAnsi="宋体" w:cs="宋体"/>
          <w:b/>
          <w:kern w:val="0"/>
          <w:sz w:val="32"/>
          <w:szCs w:val="32"/>
        </w:rPr>
      </w:pPr>
    </w:p>
    <w:p w14:paraId="5510465D">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EB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684FE6">
            <w:pPr>
              <w:jc w:val="center"/>
              <w:rPr>
                <w:rFonts w:hint="eastAsia" w:ascii="宋体" w:hAnsi="宋体" w:cs="宋体"/>
                <w:b/>
                <w:bCs/>
                <w:sz w:val="24"/>
              </w:rPr>
            </w:pPr>
            <w:r>
              <w:rPr>
                <w:rFonts w:hint="eastAsia" w:ascii="宋体" w:hAnsi="宋体" w:cs="宋体"/>
                <w:b/>
                <w:bCs/>
                <w:sz w:val="24"/>
              </w:rPr>
              <w:t>序号</w:t>
            </w:r>
          </w:p>
        </w:tc>
        <w:tc>
          <w:tcPr>
            <w:tcW w:w="3683" w:type="dxa"/>
          </w:tcPr>
          <w:p w14:paraId="78CE1CE4">
            <w:pPr>
              <w:jc w:val="center"/>
              <w:rPr>
                <w:rFonts w:hint="eastAsia" w:ascii="宋体" w:hAnsi="宋体" w:cs="宋体"/>
                <w:b/>
                <w:bCs/>
                <w:sz w:val="24"/>
              </w:rPr>
            </w:pPr>
            <w:r>
              <w:rPr>
                <w:rFonts w:hint="eastAsia" w:ascii="宋体" w:hAnsi="宋体" w:cs="宋体"/>
                <w:b/>
                <w:bCs/>
                <w:sz w:val="24"/>
              </w:rPr>
              <w:t>交易文件章节及具体内容</w:t>
            </w:r>
          </w:p>
        </w:tc>
        <w:tc>
          <w:tcPr>
            <w:tcW w:w="3546" w:type="dxa"/>
          </w:tcPr>
          <w:p w14:paraId="16375E3A">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tcPr>
          <w:p w14:paraId="6526933C">
            <w:pPr>
              <w:jc w:val="center"/>
              <w:rPr>
                <w:rFonts w:hint="eastAsia" w:ascii="宋体" w:hAnsi="宋体" w:cs="宋体"/>
                <w:b/>
                <w:bCs/>
                <w:sz w:val="24"/>
              </w:rPr>
            </w:pPr>
            <w:r>
              <w:rPr>
                <w:rFonts w:hint="eastAsia" w:ascii="宋体" w:hAnsi="宋体" w:cs="宋体"/>
                <w:b/>
                <w:bCs/>
                <w:sz w:val="24"/>
              </w:rPr>
              <w:t>偏离说明</w:t>
            </w:r>
          </w:p>
        </w:tc>
      </w:tr>
      <w:tr w14:paraId="2D4B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BCAC1D">
            <w:pPr>
              <w:jc w:val="center"/>
              <w:rPr>
                <w:rFonts w:hint="eastAsia" w:ascii="宋体" w:hAnsi="宋体" w:cs="宋体"/>
                <w:kern w:val="0"/>
                <w:sz w:val="24"/>
              </w:rPr>
            </w:pPr>
            <w:r>
              <w:rPr>
                <w:rFonts w:hint="eastAsia" w:ascii="宋体" w:hAnsi="宋体" w:cs="宋体"/>
                <w:kern w:val="0"/>
                <w:sz w:val="24"/>
              </w:rPr>
              <w:t>1</w:t>
            </w:r>
          </w:p>
        </w:tc>
        <w:tc>
          <w:tcPr>
            <w:tcW w:w="3683" w:type="dxa"/>
          </w:tcPr>
          <w:p w14:paraId="2C23A7DB">
            <w:pPr>
              <w:jc w:val="center"/>
              <w:rPr>
                <w:rFonts w:hint="eastAsia" w:ascii="宋体" w:hAnsi="宋体" w:cs="宋体"/>
                <w:b/>
                <w:kern w:val="0"/>
                <w:sz w:val="32"/>
                <w:szCs w:val="32"/>
              </w:rPr>
            </w:pPr>
          </w:p>
        </w:tc>
        <w:tc>
          <w:tcPr>
            <w:tcW w:w="3546" w:type="dxa"/>
          </w:tcPr>
          <w:p w14:paraId="6EEB55CC">
            <w:pPr>
              <w:jc w:val="center"/>
              <w:rPr>
                <w:rFonts w:hint="eastAsia" w:ascii="宋体" w:hAnsi="宋体" w:cs="宋体"/>
                <w:b/>
                <w:kern w:val="0"/>
                <w:sz w:val="32"/>
                <w:szCs w:val="32"/>
              </w:rPr>
            </w:pPr>
          </w:p>
        </w:tc>
        <w:tc>
          <w:tcPr>
            <w:tcW w:w="1276" w:type="dxa"/>
          </w:tcPr>
          <w:p w14:paraId="554759C3">
            <w:pPr>
              <w:jc w:val="center"/>
              <w:rPr>
                <w:rFonts w:hint="eastAsia" w:ascii="宋体" w:hAnsi="宋体" w:cs="宋体"/>
                <w:b/>
                <w:kern w:val="0"/>
                <w:sz w:val="32"/>
                <w:szCs w:val="32"/>
              </w:rPr>
            </w:pPr>
          </w:p>
        </w:tc>
      </w:tr>
      <w:tr w14:paraId="5436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FAD9B6">
            <w:pPr>
              <w:jc w:val="center"/>
              <w:rPr>
                <w:rFonts w:hint="eastAsia" w:ascii="宋体" w:hAnsi="宋体" w:cs="宋体"/>
                <w:kern w:val="0"/>
                <w:sz w:val="24"/>
              </w:rPr>
            </w:pPr>
            <w:r>
              <w:rPr>
                <w:rFonts w:hint="eastAsia" w:ascii="宋体" w:hAnsi="宋体" w:cs="宋体"/>
                <w:kern w:val="0"/>
                <w:sz w:val="24"/>
              </w:rPr>
              <w:t>2</w:t>
            </w:r>
          </w:p>
        </w:tc>
        <w:tc>
          <w:tcPr>
            <w:tcW w:w="3683" w:type="dxa"/>
          </w:tcPr>
          <w:p w14:paraId="157EFACE">
            <w:pPr>
              <w:jc w:val="center"/>
              <w:rPr>
                <w:rFonts w:hint="eastAsia" w:ascii="宋体" w:hAnsi="宋体" w:cs="宋体"/>
                <w:b/>
                <w:kern w:val="0"/>
                <w:sz w:val="32"/>
                <w:szCs w:val="32"/>
              </w:rPr>
            </w:pPr>
          </w:p>
        </w:tc>
        <w:tc>
          <w:tcPr>
            <w:tcW w:w="3546" w:type="dxa"/>
          </w:tcPr>
          <w:p w14:paraId="43686297">
            <w:pPr>
              <w:jc w:val="center"/>
              <w:rPr>
                <w:rFonts w:hint="eastAsia" w:ascii="宋体" w:hAnsi="宋体" w:cs="宋体"/>
                <w:b/>
                <w:kern w:val="0"/>
                <w:sz w:val="32"/>
                <w:szCs w:val="32"/>
              </w:rPr>
            </w:pPr>
          </w:p>
        </w:tc>
        <w:tc>
          <w:tcPr>
            <w:tcW w:w="1276" w:type="dxa"/>
          </w:tcPr>
          <w:p w14:paraId="169B05B6">
            <w:pPr>
              <w:jc w:val="center"/>
              <w:rPr>
                <w:rFonts w:hint="eastAsia" w:ascii="宋体" w:hAnsi="宋体" w:cs="宋体"/>
                <w:b/>
                <w:kern w:val="0"/>
                <w:sz w:val="32"/>
                <w:szCs w:val="32"/>
              </w:rPr>
            </w:pPr>
          </w:p>
        </w:tc>
      </w:tr>
      <w:tr w14:paraId="520C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AA7C7F">
            <w:pPr>
              <w:jc w:val="center"/>
              <w:rPr>
                <w:rFonts w:hint="eastAsia" w:ascii="宋体" w:hAnsi="宋体" w:cs="宋体"/>
                <w:kern w:val="0"/>
                <w:sz w:val="24"/>
              </w:rPr>
            </w:pPr>
            <w:r>
              <w:rPr>
                <w:rFonts w:hint="eastAsia" w:ascii="宋体" w:hAnsi="宋体" w:cs="宋体"/>
                <w:kern w:val="0"/>
                <w:sz w:val="24"/>
              </w:rPr>
              <w:t>……</w:t>
            </w:r>
          </w:p>
        </w:tc>
        <w:tc>
          <w:tcPr>
            <w:tcW w:w="3683" w:type="dxa"/>
          </w:tcPr>
          <w:p w14:paraId="42770A86">
            <w:pPr>
              <w:jc w:val="center"/>
              <w:rPr>
                <w:rFonts w:hint="eastAsia" w:ascii="宋体" w:hAnsi="宋体" w:cs="宋体"/>
                <w:b/>
                <w:kern w:val="0"/>
                <w:sz w:val="32"/>
                <w:szCs w:val="32"/>
              </w:rPr>
            </w:pPr>
          </w:p>
        </w:tc>
        <w:tc>
          <w:tcPr>
            <w:tcW w:w="3546" w:type="dxa"/>
          </w:tcPr>
          <w:p w14:paraId="6BDB9037">
            <w:pPr>
              <w:jc w:val="center"/>
              <w:rPr>
                <w:rFonts w:hint="eastAsia" w:ascii="宋体" w:hAnsi="宋体" w:cs="宋体"/>
                <w:b/>
                <w:kern w:val="0"/>
                <w:sz w:val="32"/>
                <w:szCs w:val="32"/>
              </w:rPr>
            </w:pPr>
          </w:p>
        </w:tc>
        <w:tc>
          <w:tcPr>
            <w:tcW w:w="1276" w:type="dxa"/>
          </w:tcPr>
          <w:p w14:paraId="61389081">
            <w:pPr>
              <w:jc w:val="center"/>
              <w:rPr>
                <w:rFonts w:hint="eastAsia" w:ascii="宋体" w:hAnsi="宋体" w:cs="宋体"/>
                <w:b/>
                <w:kern w:val="0"/>
                <w:sz w:val="32"/>
                <w:szCs w:val="32"/>
              </w:rPr>
            </w:pPr>
          </w:p>
        </w:tc>
      </w:tr>
    </w:tbl>
    <w:p w14:paraId="46D27521">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供应商保证：除商务技术偏离表列出的偏离外，供应商响应交易文件的全部要求</w:t>
      </w:r>
    </w:p>
    <w:p w14:paraId="12E44497">
      <w:pPr>
        <w:jc w:val="center"/>
        <w:rPr>
          <w:rFonts w:hint="eastAsia" w:ascii="宋体" w:hAnsi="宋体" w:cs="宋体"/>
          <w:b/>
          <w:kern w:val="0"/>
          <w:sz w:val="32"/>
          <w:szCs w:val="32"/>
        </w:rPr>
      </w:pPr>
    </w:p>
    <w:p w14:paraId="5A2800E9">
      <w:pPr>
        <w:spacing w:line="360" w:lineRule="auto"/>
        <w:ind w:right="420"/>
        <w:rPr>
          <w:rFonts w:hint="eastAsia" w:ascii="宋体" w:hAnsi="宋体" w:cs="宋体"/>
          <w:sz w:val="24"/>
        </w:rPr>
      </w:pPr>
      <w:r>
        <w:rPr>
          <w:rFonts w:hint="eastAsia" w:ascii="宋体" w:hAnsi="宋体" w:cs="宋体"/>
          <w:sz w:val="24"/>
        </w:rPr>
        <w:t>注：按本格式和要求提供。</w:t>
      </w:r>
    </w:p>
    <w:p w14:paraId="4BB7E35B">
      <w:pPr>
        <w:jc w:val="center"/>
        <w:rPr>
          <w:rFonts w:hint="eastAsia" w:ascii="宋体" w:hAnsi="宋体" w:cs="宋体"/>
          <w:b/>
          <w:kern w:val="0"/>
          <w:sz w:val="32"/>
          <w:szCs w:val="32"/>
        </w:rPr>
      </w:pPr>
    </w:p>
    <w:p w14:paraId="6899E56F">
      <w:pPr>
        <w:rPr>
          <w:rFonts w:hint="eastAsia" w:ascii="宋体" w:hAnsi="宋体" w:cs="宋体"/>
          <w:b/>
          <w:bCs/>
          <w:sz w:val="32"/>
          <w:szCs w:val="32"/>
        </w:rPr>
      </w:pPr>
      <w:r>
        <w:rPr>
          <w:rFonts w:hint="eastAsia" w:ascii="宋体" w:hAnsi="宋体" w:cs="宋体"/>
          <w:b/>
          <w:bCs/>
          <w:sz w:val="32"/>
          <w:szCs w:val="32"/>
        </w:rPr>
        <w:br w:type="page"/>
      </w:r>
    </w:p>
    <w:p w14:paraId="7303C92F">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734A058F">
      <w:pPr>
        <w:snapToGrid w:val="0"/>
        <w:spacing w:line="360" w:lineRule="auto"/>
        <w:rPr>
          <w:rFonts w:hint="eastAsia" w:ascii="宋体" w:hAnsi="宋体" w:cs="宋体"/>
          <w:sz w:val="24"/>
        </w:rPr>
      </w:pPr>
    </w:p>
    <w:p w14:paraId="79C437F5">
      <w:pPr>
        <w:snapToGrid w:val="0"/>
        <w:spacing w:line="360" w:lineRule="auto"/>
        <w:rPr>
          <w:rFonts w:hint="eastAsia"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77A3995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项目交易要求参加响应。在这次响应过程中和成交后，我们将严格遵守国家法律法规要求，并郑重承诺：</w:t>
      </w:r>
    </w:p>
    <w:p w14:paraId="5A3E17F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B2925B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499651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BC78A8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11B3EB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D41666A">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3102E75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14:paraId="5771F7F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有权立即取消我单位响应、成交或在建项目的建设资格，有权拒绝我单位在一定时期内进入你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A423570">
      <w:pPr>
        <w:autoSpaceDE w:val="0"/>
        <w:autoSpaceDN w:val="0"/>
        <w:spacing w:line="360" w:lineRule="auto"/>
        <w:ind w:left="2"/>
        <w:jc w:val="left"/>
        <w:rPr>
          <w:rFonts w:hint="eastAsia" w:ascii="宋体" w:hAnsi="宋体" w:cs="宋体"/>
          <w:kern w:val="0"/>
          <w:sz w:val="24"/>
          <w:lang w:val="zh-CN"/>
        </w:rPr>
      </w:pPr>
    </w:p>
    <w:p w14:paraId="6908F5CF">
      <w:pPr>
        <w:autoSpaceDE w:val="0"/>
        <w:autoSpaceDN w:val="0"/>
        <w:spacing w:line="360" w:lineRule="auto"/>
        <w:ind w:left="2"/>
        <w:jc w:val="left"/>
        <w:rPr>
          <w:rFonts w:hint="eastAsia" w:ascii="宋体" w:hAnsi="宋体" w:cs="宋体"/>
          <w:kern w:val="0"/>
          <w:sz w:val="24"/>
          <w:lang w:val="zh-CN"/>
        </w:rPr>
      </w:pPr>
    </w:p>
    <w:p w14:paraId="17CAE429">
      <w:pPr>
        <w:autoSpaceDE w:val="0"/>
        <w:autoSpaceDN w:val="0"/>
        <w:spacing w:line="360" w:lineRule="auto"/>
        <w:ind w:left="2"/>
        <w:jc w:val="left"/>
        <w:rPr>
          <w:rFonts w:hint="eastAsia" w:ascii="宋体" w:hAnsi="宋体" w:cs="宋体"/>
          <w:kern w:val="0"/>
          <w:sz w:val="24"/>
          <w:lang w:val="zh-CN"/>
        </w:rPr>
      </w:pPr>
    </w:p>
    <w:p w14:paraId="5D9FCA31">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561C96B6">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1CEA6F3">
      <w:pPr>
        <w:spacing w:line="360" w:lineRule="auto"/>
        <w:jc w:val="center"/>
        <w:rPr>
          <w:rFonts w:hint="eastAsia" w:ascii="宋体" w:hAnsi="宋体" w:cs="宋体"/>
          <w:b/>
          <w:bCs/>
          <w:sz w:val="24"/>
        </w:rPr>
      </w:pPr>
    </w:p>
    <w:p w14:paraId="0FE78229">
      <w:pPr>
        <w:spacing w:line="360" w:lineRule="auto"/>
        <w:ind w:right="420"/>
        <w:rPr>
          <w:rFonts w:hint="eastAsia" w:ascii="宋体" w:hAnsi="宋体" w:cs="宋体"/>
          <w:sz w:val="24"/>
        </w:rPr>
      </w:pPr>
      <w:r>
        <w:rPr>
          <w:rFonts w:hint="eastAsia" w:ascii="宋体" w:hAnsi="宋体" w:cs="宋体"/>
          <w:sz w:val="24"/>
        </w:rPr>
        <w:t>注：按本格式和要求提供。</w:t>
      </w:r>
    </w:p>
    <w:p w14:paraId="3C4AF019">
      <w:pPr>
        <w:spacing w:line="360" w:lineRule="auto"/>
        <w:jc w:val="center"/>
        <w:rPr>
          <w:rFonts w:hint="eastAsia" w:ascii="宋体" w:hAnsi="宋体" w:cs="宋体"/>
          <w:b/>
          <w:bCs/>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235251B8">
      <w:pPr>
        <w:spacing w:line="360" w:lineRule="auto"/>
        <w:jc w:val="center"/>
        <w:outlineLvl w:val="0"/>
        <w:rPr>
          <w:rFonts w:hint="eastAsia" w:ascii="宋体" w:hAnsi="宋体" w:cs="宋体"/>
          <w:b/>
          <w:kern w:val="0"/>
          <w:sz w:val="36"/>
          <w:szCs w:val="36"/>
        </w:rPr>
      </w:pPr>
    </w:p>
    <w:p w14:paraId="2815CB00">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6719799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575A97B5">
      <w:pPr>
        <w:spacing w:line="360" w:lineRule="auto"/>
        <w:jc w:val="center"/>
        <w:outlineLvl w:val="0"/>
        <w:rPr>
          <w:rFonts w:hint="eastAsia" w:ascii="宋体" w:hAnsi="宋体" w:cs="宋体"/>
          <w:b/>
          <w:kern w:val="0"/>
          <w:sz w:val="36"/>
          <w:szCs w:val="36"/>
        </w:rPr>
      </w:pPr>
    </w:p>
    <w:p w14:paraId="497ACC47">
      <w:pPr>
        <w:snapToGrid w:val="0"/>
        <w:spacing w:line="360" w:lineRule="auto"/>
        <w:rPr>
          <w:rFonts w:hint="eastAsia" w:ascii="宋体" w:hAnsi="宋体" w:cs="宋体"/>
          <w:sz w:val="24"/>
        </w:rPr>
      </w:pPr>
      <w:r>
        <w:rPr>
          <w:rFonts w:hint="eastAsia" w:ascii="宋体" w:hAnsi="宋体" w:cs="宋体"/>
          <w:sz w:val="24"/>
        </w:rPr>
        <w:t>（1）交易一览表（报价表）…………………………………………………（页码）</w:t>
      </w:r>
    </w:p>
    <w:p w14:paraId="06FB8B40">
      <w:pPr>
        <w:snapToGrid w:val="0"/>
        <w:spacing w:line="360" w:lineRule="auto"/>
        <w:ind w:right="480"/>
        <w:jc w:val="center"/>
        <w:rPr>
          <w:rFonts w:hint="eastAsia" w:ascii="宋体" w:hAnsi="宋体" w:cs="宋体"/>
          <w:b/>
          <w:kern w:val="0"/>
          <w:sz w:val="32"/>
          <w:szCs w:val="32"/>
        </w:rPr>
      </w:pPr>
    </w:p>
    <w:p w14:paraId="7B19C65A">
      <w:pPr>
        <w:snapToGrid w:val="0"/>
        <w:spacing w:line="360" w:lineRule="auto"/>
        <w:ind w:right="480"/>
        <w:jc w:val="center"/>
        <w:rPr>
          <w:rFonts w:hint="eastAsia" w:ascii="宋体" w:hAnsi="宋体" w:cs="宋体"/>
          <w:b/>
          <w:kern w:val="0"/>
          <w:sz w:val="32"/>
          <w:szCs w:val="32"/>
        </w:rPr>
      </w:pPr>
    </w:p>
    <w:p w14:paraId="26DB5C10">
      <w:pPr>
        <w:snapToGrid w:val="0"/>
        <w:spacing w:line="360" w:lineRule="auto"/>
        <w:ind w:right="480"/>
        <w:jc w:val="center"/>
        <w:rPr>
          <w:rFonts w:hint="eastAsia" w:ascii="宋体" w:hAnsi="宋体" w:cs="宋体"/>
          <w:b/>
          <w:kern w:val="0"/>
          <w:sz w:val="32"/>
          <w:szCs w:val="32"/>
        </w:rPr>
      </w:pPr>
    </w:p>
    <w:p w14:paraId="4867A4E8">
      <w:pPr>
        <w:snapToGrid w:val="0"/>
        <w:spacing w:line="360" w:lineRule="auto"/>
        <w:ind w:right="480"/>
        <w:jc w:val="center"/>
        <w:rPr>
          <w:rFonts w:hint="eastAsia" w:ascii="宋体" w:hAnsi="宋体" w:cs="宋体"/>
          <w:b/>
          <w:kern w:val="0"/>
          <w:sz w:val="32"/>
          <w:szCs w:val="32"/>
        </w:rPr>
      </w:pPr>
    </w:p>
    <w:p w14:paraId="4B2E42FB">
      <w:pPr>
        <w:snapToGrid w:val="0"/>
        <w:spacing w:line="360" w:lineRule="auto"/>
        <w:ind w:right="480"/>
        <w:jc w:val="center"/>
        <w:rPr>
          <w:rFonts w:hint="eastAsia" w:ascii="宋体" w:hAnsi="宋体" w:cs="宋体"/>
          <w:b/>
          <w:kern w:val="0"/>
          <w:sz w:val="32"/>
          <w:szCs w:val="32"/>
        </w:rPr>
      </w:pPr>
    </w:p>
    <w:p w14:paraId="48CC63D6">
      <w:pPr>
        <w:snapToGrid w:val="0"/>
        <w:spacing w:line="360" w:lineRule="auto"/>
        <w:ind w:right="480"/>
        <w:jc w:val="center"/>
        <w:rPr>
          <w:rFonts w:hint="eastAsia" w:ascii="宋体" w:hAnsi="宋体" w:cs="宋体"/>
          <w:b/>
          <w:kern w:val="0"/>
          <w:sz w:val="32"/>
          <w:szCs w:val="32"/>
        </w:rPr>
      </w:pPr>
    </w:p>
    <w:p w14:paraId="641EDB9C">
      <w:pPr>
        <w:snapToGrid w:val="0"/>
        <w:spacing w:line="360" w:lineRule="auto"/>
        <w:ind w:right="480"/>
        <w:jc w:val="center"/>
        <w:rPr>
          <w:rFonts w:hint="eastAsia" w:ascii="宋体" w:hAnsi="宋体" w:cs="宋体"/>
          <w:b/>
          <w:kern w:val="0"/>
          <w:sz w:val="32"/>
          <w:szCs w:val="32"/>
        </w:rPr>
      </w:pPr>
    </w:p>
    <w:p w14:paraId="0EDBEBD5">
      <w:pPr>
        <w:snapToGrid w:val="0"/>
        <w:spacing w:line="360" w:lineRule="auto"/>
        <w:ind w:right="480"/>
        <w:jc w:val="center"/>
        <w:rPr>
          <w:rFonts w:hint="eastAsia" w:ascii="宋体" w:hAnsi="宋体" w:cs="宋体"/>
          <w:b/>
          <w:kern w:val="0"/>
          <w:sz w:val="32"/>
          <w:szCs w:val="32"/>
        </w:rPr>
      </w:pPr>
    </w:p>
    <w:p w14:paraId="25F2FD08">
      <w:pPr>
        <w:snapToGrid w:val="0"/>
        <w:spacing w:line="360" w:lineRule="auto"/>
        <w:ind w:right="480"/>
        <w:jc w:val="center"/>
        <w:rPr>
          <w:rFonts w:hint="eastAsia" w:ascii="宋体" w:hAnsi="宋体" w:cs="宋体"/>
          <w:b/>
          <w:kern w:val="0"/>
          <w:sz w:val="32"/>
          <w:szCs w:val="32"/>
        </w:rPr>
      </w:pPr>
    </w:p>
    <w:p w14:paraId="75E1EDA6">
      <w:pPr>
        <w:snapToGrid w:val="0"/>
        <w:spacing w:line="360" w:lineRule="auto"/>
        <w:ind w:right="480"/>
        <w:jc w:val="center"/>
        <w:rPr>
          <w:rFonts w:hint="eastAsia" w:ascii="宋体" w:hAnsi="宋体" w:cs="宋体"/>
          <w:b/>
          <w:kern w:val="0"/>
          <w:sz w:val="32"/>
          <w:szCs w:val="32"/>
        </w:rPr>
      </w:pPr>
    </w:p>
    <w:p w14:paraId="77670006">
      <w:pPr>
        <w:snapToGrid w:val="0"/>
        <w:spacing w:line="360" w:lineRule="auto"/>
        <w:ind w:right="480"/>
        <w:jc w:val="center"/>
        <w:rPr>
          <w:rFonts w:hint="eastAsia" w:ascii="宋体" w:hAnsi="宋体" w:cs="宋体"/>
          <w:b/>
          <w:kern w:val="0"/>
          <w:sz w:val="32"/>
          <w:szCs w:val="32"/>
        </w:rPr>
      </w:pPr>
    </w:p>
    <w:p w14:paraId="4578D6CC">
      <w:pPr>
        <w:snapToGrid w:val="0"/>
        <w:spacing w:line="360" w:lineRule="auto"/>
        <w:ind w:right="480"/>
        <w:jc w:val="center"/>
        <w:rPr>
          <w:rFonts w:hint="eastAsia" w:ascii="宋体" w:hAnsi="宋体" w:cs="宋体"/>
          <w:b/>
          <w:kern w:val="0"/>
          <w:sz w:val="32"/>
          <w:szCs w:val="32"/>
        </w:rPr>
      </w:pPr>
    </w:p>
    <w:p w14:paraId="2A500DFD">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7C2A06E">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一、交易一览表（报价表）</w:t>
      </w:r>
    </w:p>
    <w:p w14:paraId="60918B3A">
      <w:pPr>
        <w:snapToGrid w:val="0"/>
        <w:spacing w:line="360" w:lineRule="auto"/>
        <w:rPr>
          <w:rFonts w:hint="eastAsia"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4A972628">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按你方交易文件要求，我们，本响应文件签字方，谨此向你方发出要约如下：如你方接受本响应，我方承诺按照如下交易一览表（报价表）的价格完成</w:t>
      </w:r>
      <w:r>
        <w:rPr>
          <w:rFonts w:hint="eastAsia" w:ascii="宋体" w:hAnsi="宋体" w:cs="宋体"/>
          <w:sz w:val="24"/>
          <w:u w:val="single"/>
        </w:rPr>
        <w:t>（项目名称）</w:t>
      </w:r>
      <w:r>
        <w:rPr>
          <w:rFonts w:hint="eastAsia" w:ascii="宋体" w:hAnsi="宋体" w:cs="宋体"/>
          <w:kern w:val="0"/>
          <w:sz w:val="24"/>
          <w:u w:val="single"/>
          <w:lang w:val="zh-CN"/>
        </w:rPr>
        <w:t>【交易编号：</w:t>
      </w:r>
      <w:r>
        <w:rPr>
          <w:rFonts w:hint="eastAsia" w:ascii="宋体" w:hAnsi="宋体" w:cs="宋体"/>
          <w:sz w:val="24"/>
          <w:u w:val="single"/>
        </w:rPr>
        <w:t xml:space="preserve">       】</w:t>
      </w:r>
      <w:r>
        <w:rPr>
          <w:rFonts w:hint="eastAsia" w:ascii="宋体" w:hAnsi="宋体" w:cs="宋体"/>
          <w:sz w:val="24"/>
        </w:rPr>
        <w:t>的实施</w:t>
      </w:r>
      <w:r>
        <w:rPr>
          <w:rFonts w:hint="eastAsia" w:ascii="宋体" w:hAnsi="宋体" w:cs="宋体"/>
          <w:kern w:val="0"/>
          <w:sz w:val="24"/>
          <w:lang w:val="zh-CN"/>
        </w:rPr>
        <w:t>。</w:t>
      </w:r>
    </w:p>
    <w:p w14:paraId="239FB090">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交易一览表（报价表）(单位均为人民币元)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80"/>
        <w:gridCol w:w="1935"/>
        <w:gridCol w:w="2595"/>
        <w:gridCol w:w="1590"/>
        <w:gridCol w:w="1530"/>
        <w:gridCol w:w="1755"/>
        <w:gridCol w:w="2118"/>
      </w:tblGrid>
      <w:tr w14:paraId="7EF4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64" w:type="dxa"/>
            <w:vAlign w:val="center"/>
          </w:tcPr>
          <w:p w14:paraId="40454A98">
            <w:pPr>
              <w:spacing w:line="360" w:lineRule="auto"/>
              <w:jc w:val="center"/>
              <w:rPr>
                <w:rFonts w:hint="eastAsia" w:ascii="宋体" w:hAnsi="宋体" w:cs="宋体"/>
                <w:b/>
                <w:sz w:val="24"/>
              </w:rPr>
            </w:pPr>
            <w:r>
              <w:rPr>
                <w:rFonts w:hint="eastAsia" w:ascii="宋体" w:hAnsi="宋体" w:cs="宋体"/>
                <w:b/>
                <w:sz w:val="24"/>
              </w:rPr>
              <w:t>序号</w:t>
            </w:r>
          </w:p>
        </w:tc>
        <w:tc>
          <w:tcPr>
            <w:tcW w:w="2280" w:type="dxa"/>
            <w:vAlign w:val="center"/>
          </w:tcPr>
          <w:p w14:paraId="3D4B9198">
            <w:pPr>
              <w:spacing w:line="360" w:lineRule="auto"/>
              <w:jc w:val="center"/>
              <w:rPr>
                <w:rFonts w:hint="eastAsia" w:ascii="宋体" w:hAnsi="宋体" w:cs="宋体"/>
                <w:b/>
                <w:sz w:val="24"/>
              </w:rPr>
            </w:pPr>
            <w:r>
              <w:rPr>
                <w:rFonts w:hint="eastAsia" w:ascii="宋体" w:hAnsi="宋体" w:cs="宋体"/>
                <w:b/>
                <w:sz w:val="24"/>
              </w:rPr>
              <w:t>名称</w:t>
            </w:r>
          </w:p>
        </w:tc>
        <w:tc>
          <w:tcPr>
            <w:tcW w:w="1935" w:type="dxa"/>
            <w:vAlign w:val="center"/>
          </w:tcPr>
          <w:p w14:paraId="171D4F09">
            <w:pPr>
              <w:spacing w:line="360" w:lineRule="auto"/>
              <w:jc w:val="center"/>
              <w:rPr>
                <w:rFonts w:hint="eastAsia" w:ascii="宋体" w:hAnsi="宋体" w:cs="宋体"/>
                <w:b/>
                <w:sz w:val="24"/>
              </w:rPr>
            </w:pPr>
            <w:r>
              <w:rPr>
                <w:rFonts w:hint="eastAsia" w:ascii="宋体" w:hAnsi="宋体" w:cs="宋体"/>
                <w:b/>
                <w:sz w:val="24"/>
              </w:rPr>
              <w:t>品牌（如果有）</w:t>
            </w:r>
          </w:p>
        </w:tc>
        <w:tc>
          <w:tcPr>
            <w:tcW w:w="2595" w:type="dxa"/>
            <w:vAlign w:val="center"/>
          </w:tcPr>
          <w:p w14:paraId="5A6DC570">
            <w:pPr>
              <w:spacing w:line="360" w:lineRule="auto"/>
              <w:jc w:val="center"/>
              <w:rPr>
                <w:rFonts w:hint="eastAsia" w:ascii="宋体" w:hAnsi="宋体" w:cs="宋体"/>
                <w:b/>
                <w:sz w:val="24"/>
              </w:rPr>
            </w:pPr>
            <w:r>
              <w:rPr>
                <w:rFonts w:hint="eastAsia" w:ascii="宋体" w:hAnsi="宋体" w:cs="宋体"/>
                <w:b/>
                <w:sz w:val="24"/>
              </w:rPr>
              <w:t>规格型号（或具体服务）</w:t>
            </w:r>
          </w:p>
        </w:tc>
        <w:tc>
          <w:tcPr>
            <w:tcW w:w="1590" w:type="dxa"/>
            <w:vAlign w:val="center"/>
          </w:tcPr>
          <w:p w14:paraId="403C4A3B">
            <w:pPr>
              <w:spacing w:line="360" w:lineRule="auto"/>
              <w:jc w:val="center"/>
              <w:rPr>
                <w:rFonts w:hint="eastAsia" w:ascii="宋体" w:hAnsi="宋体" w:cs="宋体"/>
                <w:b/>
                <w:sz w:val="24"/>
              </w:rPr>
            </w:pPr>
            <w:r>
              <w:rPr>
                <w:rFonts w:hint="eastAsia" w:ascii="宋体" w:hAnsi="宋体" w:cs="宋体"/>
                <w:b/>
                <w:sz w:val="24"/>
              </w:rPr>
              <w:t>数量</w:t>
            </w:r>
          </w:p>
        </w:tc>
        <w:tc>
          <w:tcPr>
            <w:tcW w:w="1530" w:type="dxa"/>
            <w:vAlign w:val="center"/>
          </w:tcPr>
          <w:p w14:paraId="63F88C87">
            <w:pPr>
              <w:spacing w:line="360" w:lineRule="auto"/>
              <w:jc w:val="center"/>
              <w:rPr>
                <w:rFonts w:hint="eastAsia" w:ascii="宋体" w:hAnsi="宋体" w:cs="宋体"/>
                <w:b/>
                <w:sz w:val="24"/>
              </w:rPr>
            </w:pPr>
            <w:r>
              <w:rPr>
                <w:rFonts w:hint="eastAsia" w:ascii="宋体" w:hAnsi="宋体" w:cs="宋体"/>
                <w:b/>
                <w:sz w:val="24"/>
              </w:rPr>
              <w:t>单价</w:t>
            </w:r>
          </w:p>
        </w:tc>
        <w:tc>
          <w:tcPr>
            <w:tcW w:w="1755" w:type="dxa"/>
            <w:vAlign w:val="center"/>
          </w:tcPr>
          <w:p w14:paraId="513401BD">
            <w:pPr>
              <w:spacing w:line="360" w:lineRule="auto"/>
              <w:jc w:val="center"/>
              <w:rPr>
                <w:rFonts w:hint="eastAsia" w:ascii="宋体" w:hAnsi="宋体" w:cs="宋体"/>
                <w:b/>
                <w:sz w:val="24"/>
              </w:rPr>
            </w:pPr>
            <w:r>
              <w:rPr>
                <w:rFonts w:hint="eastAsia" w:ascii="宋体" w:hAnsi="宋体" w:cs="宋体"/>
                <w:b/>
                <w:sz w:val="24"/>
              </w:rPr>
              <w:t>总价</w:t>
            </w:r>
          </w:p>
        </w:tc>
        <w:tc>
          <w:tcPr>
            <w:tcW w:w="2118" w:type="dxa"/>
            <w:vAlign w:val="center"/>
          </w:tcPr>
          <w:p w14:paraId="5333A2AD">
            <w:pPr>
              <w:spacing w:line="360" w:lineRule="auto"/>
              <w:jc w:val="center"/>
              <w:rPr>
                <w:rFonts w:hint="eastAsia" w:ascii="宋体" w:hAnsi="宋体" w:cs="宋体"/>
                <w:b/>
                <w:sz w:val="24"/>
              </w:rPr>
            </w:pPr>
            <w:r>
              <w:rPr>
                <w:rFonts w:hint="eastAsia" w:ascii="宋体" w:hAnsi="宋体" w:cs="宋体"/>
                <w:b/>
                <w:sz w:val="24"/>
              </w:rPr>
              <w:t>备注</w:t>
            </w:r>
          </w:p>
        </w:tc>
      </w:tr>
      <w:tr w14:paraId="5160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08B9FDA4">
            <w:pPr>
              <w:spacing w:line="360" w:lineRule="auto"/>
              <w:jc w:val="center"/>
              <w:rPr>
                <w:rFonts w:hint="eastAsia" w:ascii="宋体" w:hAnsi="宋体" w:cs="宋体"/>
                <w:sz w:val="24"/>
              </w:rPr>
            </w:pPr>
            <w:r>
              <w:rPr>
                <w:rFonts w:hint="eastAsia" w:ascii="宋体" w:hAnsi="宋体" w:cs="宋体"/>
                <w:sz w:val="24"/>
              </w:rPr>
              <w:t>1</w:t>
            </w:r>
          </w:p>
        </w:tc>
        <w:tc>
          <w:tcPr>
            <w:tcW w:w="2280" w:type="dxa"/>
            <w:vAlign w:val="center"/>
          </w:tcPr>
          <w:p w14:paraId="62442F4E">
            <w:pPr>
              <w:snapToGrid w:val="0"/>
              <w:jc w:val="center"/>
              <w:rPr>
                <w:rFonts w:hint="eastAsia" w:ascii="宋体" w:hAnsi="宋体" w:cs="宋体"/>
                <w:sz w:val="24"/>
              </w:rPr>
            </w:pPr>
          </w:p>
        </w:tc>
        <w:tc>
          <w:tcPr>
            <w:tcW w:w="1935" w:type="dxa"/>
            <w:vAlign w:val="center"/>
          </w:tcPr>
          <w:p w14:paraId="6CD79C0C">
            <w:pPr>
              <w:snapToGrid w:val="0"/>
              <w:spacing w:line="360" w:lineRule="auto"/>
              <w:jc w:val="center"/>
              <w:rPr>
                <w:rFonts w:hint="eastAsia" w:ascii="宋体" w:hAnsi="宋体" w:cs="宋体"/>
                <w:sz w:val="24"/>
              </w:rPr>
            </w:pPr>
          </w:p>
        </w:tc>
        <w:tc>
          <w:tcPr>
            <w:tcW w:w="2595" w:type="dxa"/>
            <w:vAlign w:val="center"/>
          </w:tcPr>
          <w:p w14:paraId="268A7AF6">
            <w:pPr>
              <w:snapToGrid w:val="0"/>
              <w:spacing w:line="360" w:lineRule="auto"/>
              <w:jc w:val="center"/>
              <w:rPr>
                <w:rFonts w:hint="eastAsia" w:ascii="宋体" w:hAnsi="宋体" w:cs="宋体"/>
                <w:sz w:val="24"/>
              </w:rPr>
            </w:pPr>
          </w:p>
        </w:tc>
        <w:tc>
          <w:tcPr>
            <w:tcW w:w="1590" w:type="dxa"/>
            <w:vAlign w:val="center"/>
          </w:tcPr>
          <w:p w14:paraId="299BF9EC">
            <w:pPr>
              <w:snapToGrid w:val="0"/>
              <w:jc w:val="center"/>
              <w:rPr>
                <w:rFonts w:hint="eastAsia" w:ascii="宋体" w:hAnsi="宋体" w:cs="宋体"/>
                <w:sz w:val="24"/>
              </w:rPr>
            </w:pPr>
          </w:p>
        </w:tc>
        <w:tc>
          <w:tcPr>
            <w:tcW w:w="1530" w:type="dxa"/>
            <w:vAlign w:val="center"/>
          </w:tcPr>
          <w:p w14:paraId="5FCFA24E">
            <w:pPr>
              <w:spacing w:line="360" w:lineRule="auto"/>
              <w:jc w:val="center"/>
              <w:rPr>
                <w:rFonts w:hint="eastAsia" w:ascii="宋体" w:hAnsi="宋体" w:cs="宋体"/>
                <w:sz w:val="24"/>
              </w:rPr>
            </w:pPr>
          </w:p>
        </w:tc>
        <w:tc>
          <w:tcPr>
            <w:tcW w:w="1755" w:type="dxa"/>
            <w:vAlign w:val="center"/>
          </w:tcPr>
          <w:p w14:paraId="3B9286CB">
            <w:pPr>
              <w:spacing w:line="360" w:lineRule="auto"/>
              <w:jc w:val="center"/>
              <w:rPr>
                <w:rFonts w:hint="eastAsia" w:ascii="宋体" w:hAnsi="宋体" w:cs="宋体"/>
                <w:sz w:val="24"/>
              </w:rPr>
            </w:pPr>
          </w:p>
        </w:tc>
        <w:tc>
          <w:tcPr>
            <w:tcW w:w="2118" w:type="dxa"/>
            <w:vAlign w:val="center"/>
          </w:tcPr>
          <w:p w14:paraId="7F49E844">
            <w:pPr>
              <w:spacing w:line="360" w:lineRule="auto"/>
              <w:jc w:val="center"/>
              <w:rPr>
                <w:rFonts w:hint="eastAsia" w:ascii="宋体" w:hAnsi="宋体" w:cs="宋体"/>
                <w:sz w:val="24"/>
              </w:rPr>
            </w:pPr>
          </w:p>
        </w:tc>
      </w:tr>
      <w:tr w14:paraId="5D7B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7F1C163B">
            <w:pPr>
              <w:spacing w:line="360" w:lineRule="auto"/>
              <w:jc w:val="center"/>
              <w:rPr>
                <w:rFonts w:hint="eastAsia" w:ascii="宋体" w:hAnsi="宋体" w:cs="宋体"/>
                <w:sz w:val="24"/>
              </w:rPr>
            </w:pPr>
            <w:r>
              <w:rPr>
                <w:rFonts w:hint="eastAsia" w:ascii="宋体" w:hAnsi="宋体" w:cs="宋体"/>
                <w:sz w:val="24"/>
              </w:rPr>
              <w:t>2</w:t>
            </w:r>
          </w:p>
        </w:tc>
        <w:tc>
          <w:tcPr>
            <w:tcW w:w="2280" w:type="dxa"/>
            <w:vAlign w:val="center"/>
          </w:tcPr>
          <w:p w14:paraId="738DBEC8">
            <w:pPr>
              <w:snapToGrid w:val="0"/>
              <w:jc w:val="center"/>
              <w:rPr>
                <w:rFonts w:hint="eastAsia" w:ascii="宋体" w:hAnsi="宋体" w:cs="宋体"/>
                <w:sz w:val="24"/>
              </w:rPr>
            </w:pPr>
          </w:p>
        </w:tc>
        <w:tc>
          <w:tcPr>
            <w:tcW w:w="1935" w:type="dxa"/>
            <w:vAlign w:val="center"/>
          </w:tcPr>
          <w:p w14:paraId="1FDCE77C">
            <w:pPr>
              <w:snapToGrid w:val="0"/>
              <w:spacing w:line="360" w:lineRule="auto"/>
              <w:jc w:val="center"/>
              <w:rPr>
                <w:rFonts w:hint="eastAsia" w:ascii="宋体" w:hAnsi="宋体" w:cs="宋体"/>
                <w:sz w:val="24"/>
              </w:rPr>
            </w:pPr>
          </w:p>
        </w:tc>
        <w:tc>
          <w:tcPr>
            <w:tcW w:w="2595" w:type="dxa"/>
            <w:vAlign w:val="center"/>
          </w:tcPr>
          <w:p w14:paraId="78A93804">
            <w:pPr>
              <w:snapToGrid w:val="0"/>
              <w:spacing w:line="360" w:lineRule="auto"/>
              <w:jc w:val="center"/>
              <w:rPr>
                <w:rFonts w:hint="eastAsia" w:ascii="宋体" w:hAnsi="宋体" w:cs="宋体"/>
                <w:sz w:val="24"/>
              </w:rPr>
            </w:pPr>
          </w:p>
        </w:tc>
        <w:tc>
          <w:tcPr>
            <w:tcW w:w="1590" w:type="dxa"/>
            <w:vAlign w:val="center"/>
          </w:tcPr>
          <w:p w14:paraId="0ED6E598">
            <w:pPr>
              <w:snapToGrid w:val="0"/>
              <w:jc w:val="center"/>
              <w:rPr>
                <w:rFonts w:hint="eastAsia" w:ascii="宋体" w:hAnsi="宋体" w:cs="宋体"/>
                <w:sz w:val="24"/>
              </w:rPr>
            </w:pPr>
          </w:p>
        </w:tc>
        <w:tc>
          <w:tcPr>
            <w:tcW w:w="1530" w:type="dxa"/>
            <w:vAlign w:val="center"/>
          </w:tcPr>
          <w:p w14:paraId="6532C0AC">
            <w:pPr>
              <w:spacing w:line="360" w:lineRule="auto"/>
              <w:jc w:val="center"/>
              <w:rPr>
                <w:rFonts w:hint="eastAsia" w:ascii="宋体" w:hAnsi="宋体" w:cs="宋体"/>
                <w:sz w:val="24"/>
              </w:rPr>
            </w:pPr>
          </w:p>
        </w:tc>
        <w:tc>
          <w:tcPr>
            <w:tcW w:w="1755" w:type="dxa"/>
            <w:vAlign w:val="center"/>
          </w:tcPr>
          <w:p w14:paraId="6716791F">
            <w:pPr>
              <w:spacing w:line="360" w:lineRule="auto"/>
              <w:jc w:val="center"/>
              <w:rPr>
                <w:rFonts w:hint="eastAsia" w:ascii="宋体" w:hAnsi="宋体" w:cs="宋体"/>
                <w:sz w:val="24"/>
              </w:rPr>
            </w:pPr>
          </w:p>
        </w:tc>
        <w:tc>
          <w:tcPr>
            <w:tcW w:w="2118" w:type="dxa"/>
            <w:vAlign w:val="center"/>
          </w:tcPr>
          <w:p w14:paraId="64319704">
            <w:pPr>
              <w:spacing w:line="360" w:lineRule="auto"/>
              <w:jc w:val="center"/>
              <w:rPr>
                <w:rFonts w:hint="eastAsia" w:ascii="宋体" w:hAnsi="宋体" w:cs="宋体"/>
                <w:sz w:val="24"/>
              </w:rPr>
            </w:pPr>
          </w:p>
        </w:tc>
      </w:tr>
      <w:tr w14:paraId="4708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60F2A856">
            <w:pPr>
              <w:spacing w:line="360" w:lineRule="auto"/>
              <w:jc w:val="center"/>
              <w:rPr>
                <w:rFonts w:hint="eastAsia" w:ascii="宋体" w:hAnsi="宋体" w:cs="宋体"/>
                <w:sz w:val="24"/>
              </w:rPr>
            </w:pPr>
          </w:p>
        </w:tc>
        <w:tc>
          <w:tcPr>
            <w:tcW w:w="2280" w:type="dxa"/>
            <w:vAlign w:val="center"/>
          </w:tcPr>
          <w:p w14:paraId="5830CE99">
            <w:pPr>
              <w:snapToGrid w:val="0"/>
              <w:jc w:val="center"/>
              <w:rPr>
                <w:rFonts w:hint="eastAsia" w:ascii="宋体" w:hAnsi="宋体" w:cs="宋体"/>
                <w:sz w:val="24"/>
              </w:rPr>
            </w:pPr>
          </w:p>
        </w:tc>
        <w:tc>
          <w:tcPr>
            <w:tcW w:w="1935" w:type="dxa"/>
            <w:vAlign w:val="center"/>
          </w:tcPr>
          <w:p w14:paraId="637297E0">
            <w:pPr>
              <w:snapToGrid w:val="0"/>
              <w:spacing w:line="360" w:lineRule="auto"/>
              <w:jc w:val="center"/>
              <w:rPr>
                <w:rFonts w:hint="eastAsia" w:ascii="宋体" w:hAnsi="宋体" w:cs="宋体"/>
                <w:sz w:val="24"/>
              </w:rPr>
            </w:pPr>
          </w:p>
        </w:tc>
        <w:tc>
          <w:tcPr>
            <w:tcW w:w="2595" w:type="dxa"/>
            <w:vAlign w:val="center"/>
          </w:tcPr>
          <w:p w14:paraId="3E39537A">
            <w:pPr>
              <w:snapToGrid w:val="0"/>
              <w:spacing w:line="360" w:lineRule="auto"/>
              <w:jc w:val="center"/>
              <w:rPr>
                <w:rFonts w:hint="eastAsia" w:ascii="宋体" w:hAnsi="宋体" w:cs="宋体"/>
                <w:sz w:val="24"/>
              </w:rPr>
            </w:pPr>
          </w:p>
        </w:tc>
        <w:tc>
          <w:tcPr>
            <w:tcW w:w="1590" w:type="dxa"/>
            <w:vAlign w:val="center"/>
          </w:tcPr>
          <w:p w14:paraId="384446C3">
            <w:pPr>
              <w:snapToGrid w:val="0"/>
              <w:jc w:val="center"/>
              <w:rPr>
                <w:rFonts w:hint="eastAsia" w:ascii="宋体" w:hAnsi="宋体" w:cs="宋体"/>
                <w:sz w:val="24"/>
              </w:rPr>
            </w:pPr>
          </w:p>
        </w:tc>
        <w:tc>
          <w:tcPr>
            <w:tcW w:w="1530" w:type="dxa"/>
            <w:vAlign w:val="center"/>
          </w:tcPr>
          <w:p w14:paraId="2E5B7FB5">
            <w:pPr>
              <w:spacing w:line="360" w:lineRule="auto"/>
              <w:jc w:val="center"/>
              <w:rPr>
                <w:rFonts w:hint="eastAsia" w:ascii="宋体" w:hAnsi="宋体" w:cs="宋体"/>
                <w:sz w:val="24"/>
              </w:rPr>
            </w:pPr>
          </w:p>
        </w:tc>
        <w:tc>
          <w:tcPr>
            <w:tcW w:w="1755" w:type="dxa"/>
            <w:vAlign w:val="center"/>
          </w:tcPr>
          <w:p w14:paraId="073F0691">
            <w:pPr>
              <w:spacing w:line="360" w:lineRule="auto"/>
              <w:jc w:val="center"/>
              <w:rPr>
                <w:rFonts w:hint="eastAsia" w:ascii="宋体" w:hAnsi="宋体" w:cs="宋体"/>
                <w:sz w:val="24"/>
              </w:rPr>
            </w:pPr>
          </w:p>
        </w:tc>
        <w:tc>
          <w:tcPr>
            <w:tcW w:w="2118" w:type="dxa"/>
            <w:vAlign w:val="center"/>
          </w:tcPr>
          <w:p w14:paraId="17EBAAEA">
            <w:pPr>
              <w:spacing w:line="360" w:lineRule="auto"/>
              <w:jc w:val="center"/>
              <w:rPr>
                <w:rFonts w:hint="eastAsia" w:ascii="宋体" w:hAnsi="宋体" w:cs="宋体"/>
                <w:sz w:val="24"/>
              </w:rPr>
            </w:pPr>
          </w:p>
        </w:tc>
      </w:tr>
      <w:tr w14:paraId="142A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30636EF5">
            <w:pPr>
              <w:spacing w:line="360" w:lineRule="auto"/>
              <w:jc w:val="center"/>
              <w:rPr>
                <w:rFonts w:hint="eastAsia" w:ascii="宋体" w:hAnsi="宋体" w:cs="宋体"/>
                <w:sz w:val="24"/>
              </w:rPr>
            </w:pPr>
          </w:p>
        </w:tc>
        <w:tc>
          <w:tcPr>
            <w:tcW w:w="2280" w:type="dxa"/>
            <w:vAlign w:val="center"/>
          </w:tcPr>
          <w:p w14:paraId="71A4784E">
            <w:pPr>
              <w:snapToGrid w:val="0"/>
              <w:jc w:val="center"/>
              <w:rPr>
                <w:rFonts w:hint="eastAsia" w:ascii="宋体" w:hAnsi="宋体" w:cs="宋体"/>
                <w:sz w:val="24"/>
              </w:rPr>
            </w:pPr>
          </w:p>
        </w:tc>
        <w:tc>
          <w:tcPr>
            <w:tcW w:w="1935" w:type="dxa"/>
            <w:vAlign w:val="center"/>
          </w:tcPr>
          <w:p w14:paraId="4DA8373B">
            <w:pPr>
              <w:snapToGrid w:val="0"/>
              <w:spacing w:line="360" w:lineRule="auto"/>
              <w:jc w:val="center"/>
              <w:rPr>
                <w:rFonts w:hint="eastAsia" w:ascii="宋体" w:hAnsi="宋体" w:cs="宋体"/>
                <w:sz w:val="24"/>
              </w:rPr>
            </w:pPr>
          </w:p>
        </w:tc>
        <w:tc>
          <w:tcPr>
            <w:tcW w:w="2595" w:type="dxa"/>
            <w:vAlign w:val="center"/>
          </w:tcPr>
          <w:p w14:paraId="495BA5AE">
            <w:pPr>
              <w:snapToGrid w:val="0"/>
              <w:spacing w:line="360" w:lineRule="auto"/>
              <w:jc w:val="center"/>
              <w:rPr>
                <w:rFonts w:hint="eastAsia" w:ascii="宋体" w:hAnsi="宋体" w:cs="宋体"/>
                <w:sz w:val="24"/>
              </w:rPr>
            </w:pPr>
          </w:p>
        </w:tc>
        <w:tc>
          <w:tcPr>
            <w:tcW w:w="1590" w:type="dxa"/>
            <w:vAlign w:val="center"/>
          </w:tcPr>
          <w:p w14:paraId="5BEFD67B">
            <w:pPr>
              <w:snapToGrid w:val="0"/>
              <w:jc w:val="center"/>
              <w:rPr>
                <w:rFonts w:hint="eastAsia" w:ascii="宋体" w:hAnsi="宋体" w:cs="宋体"/>
                <w:sz w:val="24"/>
              </w:rPr>
            </w:pPr>
          </w:p>
        </w:tc>
        <w:tc>
          <w:tcPr>
            <w:tcW w:w="1530" w:type="dxa"/>
            <w:vAlign w:val="center"/>
          </w:tcPr>
          <w:p w14:paraId="1B041776">
            <w:pPr>
              <w:spacing w:line="360" w:lineRule="auto"/>
              <w:jc w:val="center"/>
              <w:rPr>
                <w:rFonts w:hint="eastAsia" w:ascii="宋体" w:hAnsi="宋体" w:cs="宋体"/>
                <w:sz w:val="24"/>
              </w:rPr>
            </w:pPr>
          </w:p>
        </w:tc>
        <w:tc>
          <w:tcPr>
            <w:tcW w:w="1755" w:type="dxa"/>
            <w:vAlign w:val="center"/>
          </w:tcPr>
          <w:p w14:paraId="0704B721">
            <w:pPr>
              <w:spacing w:line="360" w:lineRule="auto"/>
              <w:jc w:val="center"/>
              <w:rPr>
                <w:rFonts w:hint="eastAsia" w:ascii="宋体" w:hAnsi="宋体" w:cs="宋体"/>
                <w:sz w:val="24"/>
              </w:rPr>
            </w:pPr>
          </w:p>
        </w:tc>
        <w:tc>
          <w:tcPr>
            <w:tcW w:w="2118" w:type="dxa"/>
            <w:vAlign w:val="center"/>
          </w:tcPr>
          <w:p w14:paraId="5AF21560">
            <w:pPr>
              <w:spacing w:line="360" w:lineRule="auto"/>
              <w:jc w:val="center"/>
              <w:rPr>
                <w:rFonts w:hint="eastAsia" w:ascii="宋体" w:hAnsi="宋体" w:cs="宋体"/>
                <w:sz w:val="24"/>
              </w:rPr>
            </w:pPr>
          </w:p>
        </w:tc>
      </w:tr>
      <w:tr w14:paraId="6874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74" w:type="dxa"/>
            <w:gridSpan w:val="4"/>
            <w:vAlign w:val="center"/>
          </w:tcPr>
          <w:p w14:paraId="4AFBAD7D">
            <w:pPr>
              <w:spacing w:line="360" w:lineRule="auto"/>
              <w:jc w:val="center"/>
              <w:rPr>
                <w:rFonts w:hint="eastAsia" w:ascii="宋体" w:hAnsi="宋体" w:cs="宋体"/>
                <w:b/>
                <w:sz w:val="24"/>
              </w:rPr>
            </w:pPr>
            <w:r>
              <w:rPr>
                <w:rFonts w:hint="eastAsia" w:ascii="宋体" w:hAnsi="宋体" w:cs="宋体"/>
                <w:b/>
                <w:sz w:val="24"/>
              </w:rPr>
              <w:t>响应报价（小写）</w:t>
            </w:r>
          </w:p>
        </w:tc>
        <w:tc>
          <w:tcPr>
            <w:tcW w:w="6993" w:type="dxa"/>
            <w:gridSpan w:val="4"/>
            <w:vAlign w:val="center"/>
          </w:tcPr>
          <w:p w14:paraId="343B77EA">
            <w:pPr>
              <w:spacing w:line="360" w:lineRule="auto"/>
              <w:jc w:val="center"/>
              <w:rPr>
                <w:rFonts w:hint="eastAsia" w:ascii="宋体" w:hAnsi="宋体" w:cs="宋体"/>
                <w:sz w:val="24"/>
              </w:rPr>
            </w:pPr>
          </w:p>
        </w:tc>
      </w:tr>
      <w:tr w14:paraId="6D41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74" w:type="dxa"/>
            <w:gridSpan w:val="4"/>
            <w:vAlign w:val="center"/>
          </w:tcPr>
          <w:p w14:paraId="4C1EB905">
            <w:pPr>
              <w:spacing w:line="360" w:lineRule="auto"/>
              <w:jc w:val="center"/>
              <w:rPr>
                <w:rFonts w:hint="eastAsia" w:ascii="宋体" w:hAnsi="宋体" w:cs="宋体"/>
                <w:b/>
                <w:sz w:val="24"/>
              </w:rPr>
            </w:pPr>
            <w:r>
              <w:rPr>
                <w:rFonts w:hint="eastAsia" w:ascii="宋体" w:hAnsi="宋体" w:cs="宋体"/>
                <w:b/>
                <w:sz w:val="24"/>
              </w:rPr>
              <w:t>响应报价（大写）</w:t>
            </w:r>
          </w:p>
        </w:tc>
        <w:tc>
          <w:tcPr>
            <w:tcW w:w="6993" w:type="dxa"/>
            <w:gridSpan w:val="4"/>
            <w:vAlign w:val="center"/>
          </w:tcPr>
          <w:p w14:paraId="51ACCD02">
            <w:pPr>
              <w:spacing w:line="360" w:lineRule="auto"/>
              <w:jc w:val="center"/>
              <w:rPr>
                <w:rFonts w:hint="eastAsia" w:ascii="宋体" w:hAnsi="宋体" w:cs="宋体"/>
                <w:sz w:val="24"/>
              </w:rPr>
            </w:pPr>
          </w:p>
        </w:tc>
      </w:tr>
    </w:tbl>
    <w:p w14:paraId="085FBD30">
      <w:pPr>
        <w:snapToGrid w:val="0"/>
        <w:spacing w:line="360" w:lineRule="auto"/>
        <w:ind w:left="480"/>
        <w:rPr>
          <w:rFonts w:hint="eastAsia" w:ascii="宋体" w:hAnsi="宋体" w:cs="宋体"/>
          <w:b/>
          <w:kern w:val="0"/>
          <w:sz w:val="24"/>
          <w:lang w:val="zh-CN"/>
        </w:rPr>
      </w:pPr>
    </w:p>
    <w:p w14:paraId="5BE9A07E">
      <w:pPr>
        <w:snapToGrid w:val="0"/>
        <w:spacing w:line="360" w:lineRule="auto"/>
        <w:ind w:left="480"/>
        <w:rPr>
          <w:rFonts w:hint="eastAsia" w:ascii="宋体" w:hAnsi="宋体" w:cs="宋体"/>
          <w:b/>
          <w:kern w:val="0"/>
          <w:sz w:val="24"/>
          <w:lang w:val="zh-CN"/>
        </w:rPr>
      </w:pPr>
    </w:p>
    <w:p w14:paraId="2CBEFB9C">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35C7507C">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1、供应商需按本表格式填写，不得自行更改。</w:t>
      </w:r>
    </w:p>
    <w:p w14:paraId="3A678375">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响应文件含有采购人不能接受的附加条件的，交易无效</w:t>
      </w:r>
      <w:r>
        <w:rPr>
          <w:rFonts w:hint="eastAsia" w:ascii="宋体" w:hAnsi="宋体" w:cs="宋体"/>
          <w:b/>
          <w:kern w:val="0"/>
          <w:sz w:val="24"/>
          <w:lang w:val="zh-CN"/>
        </w:rPr>
        <w:t>；采购内容未包含在《交易一览表（报价表）》名称栏中，供应商不能作出合理解释的，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响应文件含有采购人不能接受的附加条件的，交易无效。</w:t>
      </w:r>
    </w:p>
    <w:p w14:paraId="302AF440">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7AE8FF6E">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4、特别提示：采购机构将对项目名称和项目编号，成交供应商名称、地址和成交金额。</w:t>
      </w:r>
    </w:p>
    <w:p w14:paraId="579C2A67">
      <w:pPr>
        <w:spacing w:line="360" w:lineRule="auto"/>
        <w:ind w:firstLine="482" w:firstLineChars="200"/>
        <w:rPr>
          <w:rFonts w:hint="eastAsia" w:ascii="宋体" w:hAnsi="宋体" w:cs="宋体"/>
          <w:b/>
          <w:kern w:val="0"/>
          <w:sz w:val="24"/>
        </w:rPr>
      </w:pPr>
    </w:p>
    <w:p w14:paraId="24880915">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205F253">
      <w:pPr>
        <w:pStyle w:val="2"/>
        <w:keepNext w:val="0"/>
        <w:keepLines w:val="0"/>
        <w:spacing w:before="0" w:after="0" w:line="360" w:lineRule="auto"/>
        <w:jc w:val="left"/>
        <w:rPr>
          <w:rFonts w:hint="eastAsia" w:ascii="仿宋" w:hAnsi="仿宋" w:eastAsia="仿宋" w:cs="仿宋"/>
        </w:rPr>
      </w:pPr>
      <w:r>
        <w:rPr>
          <w:rFonts w:hint="eastAsia" w:ascii="仿宋" w:hAnsi="仿宋" w:eastAsia="仿宋" w:cs="仿宋"/>
        </w:rPr>
        <w:t>附件</w:t>
      </w:r>
    </w:p>
    <w:p w14:paraId="092E0FB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附件1：质疑函范本及制作说明</w:t>
      </w:r>
    </w:p>
    <w:p w14:paraId="471E278A">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ADFB238">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2C50D6D">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CA0C47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E9E2070">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34F3171">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028A434">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23024C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C009202">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CEE1FC8">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6461951">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A461437">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D824904">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A37D96B">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B9CDC33">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BB873F5">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E455944">
      <w:pPr>
        <w:snapToGrid w:val="0"/>
        <w:spacing w:line="360" w:lineRule="auto"/>
        <w:rPr>
          <w:rFonts w:hint="eastAsia" w:ascii="宋体" w:hAnsi="宋体" w:cs="宋体"/>
          <w:sz w:val="24"/>
        </w:rPr>
      </w:pPr>
      <w:r>
        <w:rPr>
          <w:rFonts w:hint="eastAsia" w:ascii="宋体" w:hAnsi="宋体" w:cs="宋体"/>
          <w:sz w:val="24"/>
          <w:u w:val="dotted"/>
        </w:rPr>
        <w:t xml:space="preserve">                                                       </w:t>
      </w:r>
    </w:p>
    <w:p w14:paraId="557E68AF">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D82D963">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4FDAA6AC">
      <w:pPr>
        <w:snapToGrid w:val="0"/>
        <w:spacing w:line="360" w:lineRule="auto"/>
        <w:rPr>
          <w:rFonts w:hint="eastAsia" w:ascii="宋体" w:hAnsi="宋体" w:cs="宋体"/>
          <w:sz w:val="24"/>
          <w:u w:val="dotted"/>
        </w:rPr>
      </w:pPr>
      <w:r>
        <w:rPr>
          <w:rFonts w:hint="eastAsia" w:ascii="宋体" w:hAnsi="宋体" w:cs="宋体"/>
          <w:sz w:val="24"/>
        </w:rPr>
        <w:t>质疑事项2</w:t>
      </w:r>
    </w:p>
    <w:p w14:paraId="1238EA21">
      <w:pPr>
        <w:snapToGrid w:val="0"/>
        <w:spacing w:line="360" w:lineRule="auto"/>
        <w:rPr>
          <w:rFonts w:hint="eastAsia" w:ascii="宋体" w:hAnsi="宋体" w:cs="宋体"/>
          <w:sz w:val="24"/>
        </w:rPr>
      </w:pPr>
      <w:r>
        <w:rPr>
          <w:rFonts w:hint="eastAsia" w:ascii="宋体" w:hAnsi="宋体" w:cs="宋体"/>
          <w:sz w:val="24"/>
        </w:rPr>
        <w:t>……</w:t>
      </w:r>
    </w:p>
    <w:p w14:paraId="2C7ABF11">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C00C929">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5322FDE">
      <w:pPr>
        <w:spacing w:line="360" w:lineRule="auto"/>
        <w:rPr>
          <w:rFonts w:hint="eastAsia" w:ascii="宋体" w:hAnsi="宋体" w:cs="宋体"/>
          <w:sz w:val="24"/>
        </w:rPr>
      </w:pPr>
      <w:r>
        <w:rPr>
          <w:rFonts w:hint="eastAsia" w:ascii="宋体" w:hAnsi="宋体" w:cs="宋体"/>
          <w:sz w:val="24"/>
        </w:rPr>
        <w:t xml:space="preserve">签字(签章)：                   公章：                      </w:t>
      </w:r>
    </w:p>
    <w:p w14:paraId="316328CC">
      <w:pPr>
        <w:spacing w:line="360" w:lineRule="auto"/>
        <w:rPr>
          <w:rFonts w:hint="eastAsia" w:ascii="宋体" w:hAnsi="宋体" w:cs="宋体"/>
          <w:sz w:val="24"/>
        </w:rPr>
      </w:pPr>
      <w:r>
        <w:rPr>
          <w:rFonts w:hint="eastAsia" w:ascii="宋体" w:hAnsi="宋体" w:cs="宋体"/>
          <w:sz w:val="24"/>
        </w:rPr>
        <w:t xml:space="preserve">日期：    </w:t>
      </w:r>
    </w:p>
    <w:p w14:paraId="4420E915">
      <w:pPr>
        <w:spacing w:line="360" w:lineRule="auto"/>
        <w:jc w:val="center"/>
        <w:rPr>
          <w:rFonts w:hint="eastAsia" w:ascii="宋体" w:hAnsi="宋体" w:cs="宋体"/>
          <w:b/>
          <w:bCs/>
          <w:sz w:val="24"/>
        </w:rPr>
      </w:pPr>
    </w:p>
    <w:p w14:paraId="3D9AB5B4">
      <w:pPr>
        <w:spacing w:line="360" w:lineRule="auto"/>
        <w:rPr>
          <w:rFonts w:hint="eastAsia" w:ascii="宋体" w:hAnsi="宋体" w:cs="宋体"/>
          <w:b/>
          <w:sz w:val="24"/>
        </w:rPr>
      </w:pPr>
    </w:p>
    <w:p w14:paraId="73398385">
      <w:pPr>
        <w:spacing w:line="360" w:lineRule="auto"/>
        <w:rPr>
          <w:rFonts w:hint="eastAsia" w:ascii="宋体" w:hAnsi="宋体" w:cs="宋体"/>
          <w:b/>
          <w:sz w:val="24"/>
        </w:rPr>
      </w:pPr>
    </w:p>
    <w:p w14:paraId="007769F3">
      <w:pPr>
        <w:spacing w:line="360" w:lineRule="auto"/>
        <w:rPr>
          <w:rFonts w:hint="eastAsia" w:ascii="宋体" w:hAnsi="宋体" w:cs="宋体"/>
          <w:b/>
          <w:sz w:val="24"/>
        </w:rPr>
      </w:pPr>
    </w:p>
    <w:p w14:paraId="002840A9">
      <w:pPr>
        <w:spacing w:line="360" w:lineRule="auto"/>
        <w:rPr>
          <w:rFonts w:hint="eastAsia" w:ascii="宋体" w:hAnsi="宋体" w:cs="宋体"/>
          <w:b/>
          <w:sz w:val="24"/>
        </w:rPr>
      </w:pPr>
      <w:r>
        <w:rPr>
          <w:rFonts w:hint="eastAsia" w:ascii="宋体" w:hAnsi="宋体" w:cs="宋体"/>
          <w:b/>
          <w:sz w:val="24"/>
        </w:rPr>
        <w:t>质疑函制作说明：</w:t>
      </w:r>
    </w:p>
    <w:p w14:paraId="23453B69">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3204E9F9">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190B3BA">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274B97E0">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A0E33C9">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2DE568F8">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4F8C41A">
      <w:pPr>
        <w:widowControl/>
        <w:spacing w:line="360" w:lineRule="auto"/>
        <w:ind w:firstLine="600" w:firstLineChars="200"/>
        <w:jc w:val="left"/>
        <w:rPr>
          <w:rFonts w:hint="eastAsia" w:ascii="宋体" w:hAnsi="宋体" w:cs="宋体"/>
          <w:sz w:val="30"/>
          <w:szCs w:val="30"/>
        </w:rPr>
      </w:pPr>
    </w:p>
    <w:p w14:paraId="6687FF02">
      <w:pPr>
        <w:spacing w:line="360" w:lineRule="auto"/>
        <w:jc w:val="center"/>
        <w:rPr>
          <w:rFonts w:hint="eastAsia" w:ascii="宋体" w:hAnsi="宋体" w:cs="宋体"/>
          <w:b/>
          <w:spacing w:val="6"/>
          <w:sz w:val="32"/>
          <w:szCs w:val="32"/>
        </w:rPr>
      </w:pPr>
    </w:p>
    <w:p w14:paraId="0A4EE4EB">
      <w:pPr>
        <w:spacing w:line="360" w:lineRule="auto"/>
        <w:jc w:val="center"/>
        <w:rPr>
          <w:rFonts w:hint="eastAsia" w:ascii="宋体" w:hAnsi="宋体" w:cs="宋体"/>
          <w:b/>
          <w:spacing w:val="6"/>
          <w:sz w:val="32"/>
          <w:szCs w:val="32"/>
        </w:rPr>
      </w:pPr>
    </w:p>
    <w:p w14:paraId="0FB0C226">
      <w:pPr>
        <w:spacing w:line="360" w:lineRule="auto"/>
        <w:jc w:val="center"/>
        <w:rPr>
          <w:rFonts w:hint="eastAsia" w:ascii="宋体" w:hAnsi="宋体" w:cs="宋体"/>
          <w:b/>
          <w:spacing w:val="6"/>
          <w:sz w:val="32"/>
          <w:szCs w:val="32"/>
        </w:rPr>
      </w:pPr>
    </w:p>
    <w:p w14:paraId="0B14D6D1">
      <w:pPr>
        <w:spacing w:line="360" w:lineRule="auto"/>
        <w:jc w:val="center"/>
        <w:rPr>
          <w:rFonts w:hint="eastAsia" w:ascii="宋体" w:hAnsi="宋体" w:cs="宋体"/>
          <w:b/>
          <w:spacing w:val="6"/>
          <w:sz w:val="32"/>
          <w:szCs w:val="32"/>
        </w:rPr>
      </w:pPr>
    </w:p>
    <w:p w14:paraId="3981CD71">
      <w:pPr>
        <w:spacing w:line="360" w:lineRule="auto"/>
        <w:jc w:val="center"/>
        <w:rPr>
          <w:rFonts w:hint="eastAsia" w:ascii="宋体" w:hAnsi="宋体" w:cs="宋体"/>
          <w:b/>
          <w:spacing w:val="6"/>
          <w:sz w:val="32"/>
          <w:szCs w:val="32"/>
        </w:rPr>
      </w:pPr>
    </w:p>
    <w:p w14:paraId="43B346C3">
      <w:pPr>
        <w:spacing w:line="360" w:lineRule="auto"/>
        <w:jc w:val="center"/>
        <w:rPr>
          <w:rFonts w:hint="eastAsia" w:ascii="宋体" w:hAnsi="宋体" w:cs="宋体"/>
          <w:b/>
          <w:spacing w:val="6"/>
          <w:sz w:val="32"/>
          <w:szCs w:val="32"/>
        </w:rPr>
      </w:pPr>
    </w:p>
    <w:p w14:paraId="4FAE7118">
      <w:pPr>
        <w:spacing w:line="360" w:lineRule="auto"/>
        <w:jc w:val="center"/>
        <w:rPr>
          <w:rFonts w:hint="eastAsia" w:ascii="宋体" w:hAnsi="宋体" w:cs="宋体"/>
          <w:b/>
          <w:spacing w:val="6"/>
          <w:sz w:val="32"/>
          <w:szCs w:val="32"/>
        </w:rPr>
      </w:pPr>
    </w:p>
    <w:p w14:paraId="72357FC8">
      <w:pPr>
        <w:spacing w:line="360" w:lineRule="auto"/>
        <w:jc w:val="center"/>
        <w:rPr>
          <w:rFonts w:hint="eastAsia" w:ascii="宋体" w:hAnsi="宋体" w:cs="宋体"/>
          <w:b/>
          <w:spacing w:val="6"/>
          <w:sz w:val="32"/>
          <w:szCs w:val="32"/>
        </w:rPr>
      </w:pPr>
    </w:p>
    <w:p w14:paraId="0974023D">
      <w:pPr>
        <w:spacing w:line="360" w:lineRule="auto"/>
        <w:jc w:val="center"/>
        <w:rPr>
          <w:rFonts w:hint="eastAsia" w:ascii="宋体" w:hAnsi="宋体" w:cs="宋体"/>
          <w:b/>
          <w:spacing w:val="6"/>
          <w:sz w:val="32"/>
          <w:szCs w:val="32"/>
        </w:rPr>
      </w:pPr>
    </w:p>
    <w:p w14:paraId="428684E6">
      <w:pPr>
        <w:spacing w:line="360" w:lineRule="auto"/>
        <w:jc w:val="center"/>
        <w:rPr>
          <w:rFonts w:hint="eastAsia" w:ascii="宋体" w:hAnsi="宋体" w:cs="宋体"/>
          <w:b/>
          <w:spacing w:val="6"/>
          <w:sz w:val="32"/>
          <w:szCs w:val="32"/>
        </w:rPr>
      </w:pPr>
    </w:p>
    <w:p w14:paraId="3DA541DF">
      <w:pPr>
        <w:spacing w:line="360" w:lineRule="auto"/>
        <w:jc w:val="center"/>
        <w:rPr>
          <w:rFonts w:hint="eastAsia" w:ascii="宋体" w:hAnsi="宋体" w:cs="宋体"/>
          <w:b/>
          <w:spacing w:val="6"/>
          <w:sz w:val="32"/>
          <w:szCs w:val="32"/>
        </w:rPr>
      </w:pPr>
    </w:p>
    <w:p w14:paraId="07DCEB72">
      <w:pPr>
        <w:spacing w:line="360" w:lineRule="auto"/>
        <w:jc w:val="center"/>
        <w:rPr>
          <w:rFonts w:hint="eastAsia" w:ascii="宋体" w:hAnsi="宋体" w:cs="宋体"/>
          <w:b/>
          <w:spacing w:val="6"/>
          <w:sz w:val="32"/>
          <w:szCs w:val="32"/>
        </w:rPr>
      </w:pPr>
    </w:p>
    <w:p w14:paraId="41412950">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附件2：投诉书范本及制作说明</w:t>
      </w:r>
    </w:p>
    <w:p w14:paraId="7BDAC50A">
      <w:pPr>
        <w:spacing w:line="360" w:lineRule="auto"/>
        <w:jc w:val="center"/>
        <w:rPr>
          <w:rFonts w:hint="eastAsia" w:ascii="宋体" w:hAnsi="宋体" w:cs="宋体"/>
          <w:b/>
          <w:sz w:val="24"/>
        </w:rPr>
      </w:pPr>
    </w:p>
    <w:p w14:paraId="12C60ED1">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33316E8">
      <w:pPr>
        <w:spacing w:line="360" w:lineRule="auto"/>
        <w:rPr>
          <w:rFonts w:hint="eastAsia" w:ascii="宋体" w:hAnsi="宋体" w:cs="宋体"/>
          <w:sz w:val="24"/>
        </w:rPr>
      </w:pPr>
      <w:r>
        <w:rPr>
          <w:rFonts w:hint="eastAsia" w:ascii="宋体" w:hAnsi="宋体" w:cs="宋体"/>
          <w:sz w:val="24"/>
        </w:rPr>
        <w:t>一、投诉相关主体基本情况</w:t>
      </w:r>
    </w:p>
    <w:p w14:paraId="6A0297D9">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0884A4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7977073">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7C1A4A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AD6547A">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B739826">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CA0BCC0">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D75EE8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04BEC7C">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BBC232C">
      <w:pPr>
        <w:spacing w:line="360" w:lineRule="auto"/>
        <w:rPr>
          <w:rFonts w:hint="eastAsia" w:ascii="宋体" w:hAnsi="宋体" w:cs="宋体"/>
          <w:sz w:val="24"/>
        </w:rPr>
      </w:pPr>
      <w:r>
        <w:rPr>
          <w:rFonts w:hint="eastAsia" w:ascii="宋体" w:hAnsi="宋体" w:cs="宋体"/>
          <w:sz w:val="24"/>
        </w:rPr>
        <w:t>被投诉人2</w:t>
      </w:r>
    </w:p>
    <w:p w14:paraId="1B9E0576">
      <w:pPr>
        <w:spacing w:line="360" w:lineRule="auto"/>
        <w:rPr>
          <w:rFonts w:hint="eastAsia" w:ascii="宋体" w:hAnsi="宋体" w:cs="宋体"/>
          <w:sz w:val="24"/>
          <w:u w:val="dotted"/>
        </w:rPr>
      </w:pPr>
      <w:r>
        <w:rPr>
          <w:rFonts w:hint="eastAsia" w:ascii="宋体" w:hAnsi="宋体" w:cs="宋体"/>
          <w:sz w:val="24"/>
        </w:rPr>
        <w:t>……</w:t>
      </w:r>
    </w:p>
    <w:p w14:paraId="1844355E">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BC02527">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55E000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23371CB">
      <w:pPr>
        <w:spacing w:line="360" w:lineRule="auto"/>
        <w:rPr>
          <w:rFonts w:hint="eastAsia" w:ascii="宋体" w:hAnsi="宋体" w:cs="宋体"/>
          <w:sz w:val="24"/>
        </w:rPr>
      </w:pPr>
      <w:r>
        <w:rPr>
          <w:rFonts w:hint="eastAsia" w:ascii="宋体" w:hAnsi="宋体" w:cs="宋体"/>
          <w:sz w:val="24"/>
        </w:rPr>
        <w:t>二、投诉项目基本情况</w:t>
      </w:r>
    </w:p>
    <w:p w14:paraId="6AA15881">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ACD2BF2">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C1BD003">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207C88D">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FA58B4F">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DE377C">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4034519">
      <w:pPr>
        <w:spacing w:line="360" w:lineRule="auto"/>
        <w:rPr>
          <w:rFonts w:hint="eastAsia" w:ascii="宋体" w:hAnsi="宋体" w:cs="宋体"/>
          <w:sz w:val="24"/>
        </w:rPr>
      </w:pPr>
      <w:r>
        <w:rPr>
          <w:rFonts w:hint="eastAsia" w:ascii="宋体" w:hAnsi="宋体" w:cs="宋体"/>
          <w:sz w:val="24"/>
        </w:rPr>
        <w:t>三、质疑基本情况</w:t>
      </w:r>
    </w:p>
    <w:p w14:paraId="5C7E9AA2">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FF2EC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BB2D179">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61B03EC">
      <w:pPr>
        <w:spacing w:line="360" w:lineRule="auto"/>
        <w:rPr>
          <w:rFonts w:hint="eastAsia" w:ascii="宋体" w:hAnsi="宋体" w:cs="宋体"/>
          <w:sz w:val="24"/>
        </w:rPr>
      </w:pPr>
      <w:r>
        <w:rPr>
          <w:rFonts w:hint="eastAsia" w:ascii="宋体" w:hAnsi="宋体" w:cs="宋体"/>
          <w:sz w:val="24"/>
        </w:rPr>
        <w:t>四、投诉事项具体内容</w:t>
      </w:r>
    </w:p>
    <w:p w14:paraId="25723D0B">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A9C8D57">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2E6FAE0">
      <w:pPr>
        <w:spacing w:line="360" w:lineRule="auto"/>
        <w:rPr>
          <w:rFonts w:hint="eastAsia" w:ascii="宋体" w:hAnsi="宋体" w:cs="宋体"/>
          <w:sz w:val="24"/>
          <w:u w:val="dotted"/>
        </w:rPr>
      </w:pPr>
      <w:r>
        <w:rPr>
          <w:rFonts w:hint="eastAsia" w:ascii="宋体" w:hAnsi="宋体" w:cs="宋体"/>
          <w:sz w:val="24"/>
          <w:u w:val="dotted"/>
        </w:rPr>
        <w:t xml:space="preserve">                                                      </w:t>
      </w:r>
    </w:p>
    <w:p w14:paraId="02334D07">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51EBD5E">
      <w:pPr>
        <w:spacing w:line="360" w:lineRule="auto"/>
        <w:rPr>
          <w:rFonts w:hint="eastAsia" w:ascii="宋体" w:hAnsi="宋体" w:cs="宋体"/>
          <w:sz w:val="24"/>
          <w:u w:val="dotted"/>
        </w:rPr>
      </w:pPr>
      <w:r>
        <w:rPr>
          <w:rFonts w:hint="eastAsia" w:ascii="宋体" w:hAnsi="宋体" w:cs="宋体"/>
          <w:sz w:val="24"/>
          <w:u w:val="dotted"/>
        </w:rPr>
        <w:t xml:space="preserve">                                                      </w:t>
      </w:r>
    </w:p>
    <w:p w14:paraId="07537EFE">
      <w:pPr>
        <w:spacing w:line="360" w:lineRule="auto"/>
        <w:rPr>
          <w:rFonts w:hint="eastAsia" w:ascii="宋体" w:hAnsi="宋体" w:cs="宋体"/>
          <w:sz w:val="24"/>
        </w:rPr>
      </w:pPr>
      <w:r>
        <w:rPr>
          <w:rFonts w:hint="eastAsia" w:ascii="宋体" w:hAnsi="宋体" w:cs="宋体"/>
          <w:sz w:val="24"/>
        </w:rPr>
        <w:t>投诉事项2</w:t>
      </w:r>
    </w:p>
    <w:p w14:paraId="293B9774">
      <w:pPr>
        <w:spacing w:line="360" w:lineRule="auto"/>
        <w:rPr>
          <w:rFonts w:hint="eastAsia" w:ascii="宋体" w:hAnsi="宋体" w:cs="宋体"/>
          <w:sz w:val="24"/>
          <w:u w:val="dotted"/>
        </w:rPr>
      </w:pPr>
      <w:r>
        <w:rPr>
          <w:rFonts w:hint="eastAsia" w:ascii="宋体" w:hAnsi="宋体" w:cs="宋体"/>
          <w:sz w:val="24"/>
        </w:rPr>
        <w:t>……</w:t>
      </w:r>
    </w:p>
    <w:p w14:paraId="6E2E08C5">
      <w:pPr>
        <w:spacing w:line="360" w:lineRule="auto"/>
        <w:rPr>
          <w:rFonts w:hint="eastAsia" w:ascii="宋体" w:hAnsi="宋体" w:cs="宋体"/>
          <w:sz w:val="24"/>
        </w:rPr>
      </w:pPr>
      <w:r>
        <w:rPr>
          <w:rFonts w:hint="eastAsia" w:ascii="宋体" w:hAnsi="宋体" w:cs="宋体"/>
          <w:sz w:val="24"/>
        </w:rPr>
        <w:t>五、与投诉事项相关的投诉请求</w:t>
      </w:r>
    </w:p>
    <w:p w14:paraId="77135963">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C59137E">
      <w:pPr>
        <w:spacing w:line="360" w:lineRule="auto"/>
        <w:rPr>
          <w:rFonts w:hint="eastAsia" w:ascii="宋体" w:hAnsi="宋体" w:cs="宋体"/>
          <w:sz w:val="24"/>
          <w:u w:val="single"/>
        </w:rPr>
      </w:pPr>
      <w:r>
        <w:rPr>
          <w:rFonts w:hint="eastAsia" w:ascii="宋体" w:hAnsi="宋体" w:cs="宋体"/>
          <w:sz w:val="24"/>
        </w:rPr>
        <w:t xml:space="preserve">                                                                                                    </w:t>
      </w:r>
    </w:p>
    <w:p w14:paraId="404D8B3C">
      <w:pPr>
        <w:spacing w:line="360" w:lineRule="auto"/>
        <w:rPr>
          <w:rFonts w:hint="eastAsia" w:ascii="宋体" w:hAnsi="宋体" w:cs="宋体"/>
          <w:sz w:val="24"/>
        </w:rPr>
      </w:pPr>
      <w:r>
        <w:rPr>
          <w:rFonts w:hint="eastAsia" w:ascii="宋体" w:hAnsi="宋体" w:cs="宋体"/>
          <w:sz w:val="24"/>
        </w:rPr>
        <w:t xml:space="preserve">签字(签章)：                   公章：                      </w:t>
      </w:r>
    </w:p>
    <w:p w14:paraId="79E35B0E">
      <w:pPr>
        <w:spacing w:line="360" w:lineRule="auto"/>
        <w:rPr>
          <w:rFonts w:hint="eastAsia" w:ascii="宋体" w:hAnsi="宋体" w:cs="宋体"/>
          <w:sz w:val="24"/>
        </w:rPr>
      </w:pPr>
      <w:r>
        <w:rPr>
          <w:rFonts w:hint="eastAsia" w:ascii="宋体" w:hAnsi="宋体" w:cs="宋体"/>
          <w:sz w:val="24"/>
        </w:rPr>
        <w:t xml:space="preserve">日期：    </w:t>
      </w:r>
    </w:p>
    <w:p w14:paraId="22291542">
      <w:pPr>
        <w:spacing w:line="360" w:lineRule="auto"/>
        <w:rPr>
          <w:rFonts w:hint="eastAsia" w:ascii="宋体" w:hAnsi="宋体" w:cs="宋体"/>
          <w:b/>
          <w:sz w:val="24"/>
        </w:rPr>
      </w:pPr>
    </w:p>
    <w:p w14:paraId="1D21517B">
      <w:pPr>
        <w:spacing w:line="360" w:lineRule="auto"/>
        <w:rPr>
          <w:rFonts w:hint="eastAsia" w:ascii="宋体" w:hAnsi="宋体" w:cs="宋体"/>
          <w:b/>
          <w:sz w:val="24"/>
        </w:rPr>
      </w:pPr>
    </w:p>
    <w:p w14:paraId="223FA09F">
      <w:pPr>
        <w:spacing w:line="360" w:lineRule="auto"/>
        <w:rPr>
          <w:rFonts w:hint="eastAsia" w:ascii="宋体" w:hAnsi="宋体" w:cs="宋体"/>
          <w:b/>
          <w:sz w:val="24"/>
        </w:rPr>
      </w:pPr>
      <w:r>
        <w:rPr>
          <w:rFonts w:hint="eastAsia" w:ascii="宋体" w:hAnsi="宋体" w:cs="宋体"/>
          <w:b/>
          <w:sz w:val="24"/>
        </w:rPr>
        <w:t>投诉书制作说明：</w:t>
      </w:r>
    </w:p>
    <w:p w14:paraId="7E01AB6E">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11A9998">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830ECC">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02DB72E4">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37D352F2">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121D7A5">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4A5ABB98">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5DB8A37">
      <w:pPr>
        <w:spacing w:line="360" w:lineRule="auto"/>
        <w:rPr>
          <w:rFonts w:hint="eastAsia" w:ascii="宋体" w:hAnsi="宋体" w:cs="宋体"/>
          <w:b/>
          <w:sz w:val="24"/>
        </w:rPr>
      </w:pPr>
    </w:p>
    <w:p w14:paraId="22522B36">
      <w:pPr>
        <w:autoSpaceDE w:val="0"/>
        <w:autoSpaceDN w:val="0"/>
        <w:jc w:val="center"/>
        <w:rPr>
          <w:rFonts w:hint="eastAsia" w:ascii="宋体" w:hAnsi="宋体" w:cs="宋体"/>
          <w:b/>
          <w:spacing w:val="6"/>
          <w:sz w:val="32"/>
          <w:szCs w:val="32"/>
        </w:rPr>
      </w:pPr>
    </w:p>
    <w:p w14:paraId="4550782E">
      <w:pPr>
        <w:autoSpaceDE w:val="0"/>
        <w:autoSpaceDN w:val="0"/>
        <w:jc w:val="center"/>
        <w:rPr>
          <w:rFonts w:hint="eastAsia" w:ascii="宋体" w:hAnsi="宋体" w:cs="宋体"/>
          <w:b/>
          <w:spacing w:val="6"/>
          <w:sz w:val="32"/>
          <w:szCs w:val="32"/>
        </w:rPr>
      </w:pPr>
    </w:p>
    <w:p w14:paraId="3B1F5414">
      <w:pPr>
        <w:autoSpaceDE w:val="0"/>
        <w:autoSpaceDN w:val="0"/>
        <w:jc w:val="left"/>
        <w:rPr>
          <w:rFonts w:hint="eastAsia" w:ascii="宋体" w:hAnsi="宋体" w:cs="宋体"/>
          <w:b/>
          <w:spacing w:val="6"/>
          <w:sz w:val="32"/>
          <w:szCs w:val="32"/>
        </w:rPr>
      </w:pPr>
      <w:r>
        <w:rPr>
          <w:rFonts w:hint="eastAsia" w:ascii="宋体" w:hAnsi="宋体" w:cs="宋体"/>
          <w:b/>
          <w:spacing w:val="6"/>
          <w:sz w:val="32"/>
          <w:szCs w:val="32"/>
        </w:rPr>
        <w:t>附件3：</w:t>
      </w:r>
    </w:p>
    <w:p w14:paraId="3BE9552A">
      <w:pPr>
        <w:autoSpaceDE w:val="0"/>
        <w:autoSpaceDN w:val="0"/>
        <w:jc w:val="center"/>
        <w:rPr>
          <w:rFonts w:hint="eastAsia" w:ascii="宋体" w:hAnsi="宋体" w:cs="宋体"/>
          <w:b/>
          <w:bCs/>
          <w:sz w:val="32"/>
          <w:szCs w:val="32"/>
        </w:rPr>
      </w:pPr>
      <w:r>
        <w:rPr>
          <w:rFonts w:hint="eastAsia" w:ascii="宋体" w:hAnsi="宋体" w:cs="宋体"/>
          <w:b/>
          <w:bCs/>
          <w:sz w:val="32"/>
          <w:szCs w:val="32"/>
        </w:rPr>
        <w:t>业务专用章使用说明函</w:t>
      </w:r>
    </w:p>
    <w:p w14:paraId="0174F431">
      <w:pPr>
        <w:spacing w:line="360" w:lineRule="auto"/>
        <w:rPr>
          <w:rFonts w:hint="eastAsia" w:ascii="宋体" w:hAnsi="宋体" w:cs="宋体"/>
          <w:sz w:val="24"/>
          <w:u w:val="single"/>
        </w:rPr>
      </w:pPr>
    </w:p>
    <w:p w14:paraId="7EC8BDA9">
      <w:pPr>
        <w:spacing w:line="360" w:lineRule="auto"/>
        <w:rPr>
          <w:rFonts w:hint="eastAsia" w:ascii="宋体" w:hAnsi="宋体" w:cs="宋体"/>
          <w:sz w:val="24"/>
        </w:rPr>
      </w:pPr>
      <w:r>
        <w:rPr>
          <w:rFonts w:hint="eastAsia" w:ascii="宋体" w:hAnsi="宋体" w:cs="宋体"/>
          <w:sz w:val="24"/>
          <w:u w:val="single"/>
        </w:rPr>
        <w:t>（采购人）、（采购代理机构）</w:t>
      </w:r>
    </w:p>
    <w:p w14:paraId="7620EFA2">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（项目名称）项目【交易编号：（采购编号）】</w:t>
      </w:r>
      <w:r>
        <w:rPr>
          <w:rFonts w:hint="eastAsia" w:ascii="宋体" w:hAnsi="宋体" w:cs="宋体"/>
          <w:bCs/>
          <w:sz w:val="24"/>
        </w:rPr>
        <w:t>交易活动中作如下说明：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8960D2A">
      <w:pPr>
        <w:spacing w:line="360" w:lineRule="auto"/>
        <w:ind w:firstLine="480" w:firstLineChars="200"/>
        <w:rPr>
          <w:rFonts w:hint="eastAsia" w:ascii="宋体" w:hAnsi="宋体" w:cs="宋体"/>
          <w:sz w:val="24"/>
        </w:rPr>
      </w:pPr>
      <w:r>
        <w:rPr>
          <w:rFonts w:hint="eastAsia" w:ascii="宋体" w:hAnsi="宋体" w:cs="宋体"/>
          <w:sz w:val="24"/>
        </w:rPr>
        <w:t>特此说明。</w:t>
      </w:r>
    </w:p>
    <w:p w14:paraId="5F83F313">
      <w:pPr>
        <w:spacing w:line="360" w:lineRule="auto"/>
        <w:ind w:firstLine="494"/>
        <w:rPr>
          <w:rFonts w:hint="eastAsia" w:ascii="宋体" w:hAnsi="宋体" w:cs="宋体"/>
          <w:sz w:val="24"/>
        </w:rPr>
      </w:pPr>
    </w:p>
    <w:p w14:paraId="6411128A">
      <w:pPr>
        <w:spacing w:line="360" w:lineRule="auto"/>
        <w:ind w:firstLine="494"/>
        <w:rPr>
          <w:rFonts w:hint="eastAsia" w:ascii="宋体" w:hAnsi="宋体" w:cs="宋体"/>
          <w:sz w:val="24"/>
        </w:rPr>
      </w:pPr>
    </w:p>
    <w:p w14:paraId="7E0134E3">
      <w:pPr>
        <w:spacing w:line="360" w:lineRule="auto"/>
        <w:ind w:firstLine="494"/>
        <w:rPr>
          <w:rFonts w:hint="eastAsia" w:ascii="宋体" w:hAnsi="宋体" w:cs="宋体"/>
          <w:sz w:val="24"/>
        </w:rPr>
      </w:pPr>
    </w:p>
    <w:p w14:paraId="0F56D2DE">
      <w:pPr>
        <w:spacing w:line="360" w:lineRule="auto"/>
        <w:ind w:firstLine="494"/>
        <w:rPr>
          <w:rFonts w:hint="eastAsia" w:ascii="宋体" w:hAnsi="宋体" w:cs="宋体"/>
          <w:sz w:val="24"/>
        </w:rPr>
      </w:pPr>
    </w:p>
    <w:p w14:paraId="10E43F6E">
      <w:pPr>
        <w:spacing w:line="360" w:lineRule="auto"/>
        <w:ind w:right="480" w:firstLine="4080" w:firstLineChars="1700"/>
        <w:rPr>
          <w:rFonts w:hint="eastAsia" w:ascii="宋体" w:hAnsi="宋体" w:cs="宋体"/>
          <w:sz w:val="24"/>
        </w:rPr>
      </w:pPr>
      <w:r>
        <w:rPr>
          <w:rFonts w:hint="eastAsia" w:ascii="宋体" w:hAnsi="宋体" w:cs="宋体"/>
          <w:sz w:val="24"/>
        </w:rPr>
        <w:t>响应单位（法定名称章）：</w:t>
      </w:r>
    </w:p>
    <w:p w14:paraId="1F621BF4">
      <w:pPr>
        <w:ind w:right="1440" w:firstLine="494"/>
        <w:jc w:val="center"/>
        <w:rPr>
          <w:rFonts w:hint="eastAsia" w:ascii="宋体" w:hAnsi="宋体" w:cs="宋体"/>
          <w:sz w:val="24"/>
        </w:rPr>
      </w:pPr>
      <w:r>
        <w:rPr>
          <w:rFonts w:hint="eastAsia" w:ascii="宋体" w:hAnsi="宋体" w:cs="宋体"/>
          <w:sz w:val="24"/>
        </w:rPr>
        <w:t xml:space="preserve">                              日期：       年     月     日</w:t>
      </w:r>
    </w:p>
    <w:p w14:paraId="11D733F0">
      <w:pPr>
        <w:rPr>
          <w:rFonts w:hint="eastAsia" w:ascii="宋体" w:hAnsi="宋体" w:cs="宋体"/>
          <w:sz w:val="24"/>
        </w:rPr>
      </w:pPr>
      <w:r>
        <w:rPr>
          <w:rFonts w:hint="eastAsia" w:ascii="宋体" w:hAnsi="宋体" w:cs="宋体"/>
          <w:b/>
          <w:bCs/>
          <w:sz w:val="24"/>
        </w:rPr>
        <w:t>附：</w:t>
      </w:r>
    </w:p>
    <w:p w14:paraId="07F03EEE">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rPr>
        <w:t>响应单位法定名称章（印模）                响应单位“XX专用章”（印模）</w:t>
      </w:r>
    </w:p>
    <w:p w14:paraId="26AAE18A">
      <w:pPr>
        <w:autoSpaceDE w:val="0"/>
        <w:autoSpaceDN w:val="0"/>
        <w:jc w:val="center"/>
        <w:rPr>
          <w:rFonts w:hint="eastAsia" w:ascii="宋体" w:hAnsi="宋体" w:cs="宋体"/>
          <w:b/>
          <w:spacing w:val="6"/>
          <w:sz w:val="32"/>
          <w:szCs w:val="32"/>
        </w:rPr>
      </w:pPr>
    </w:p>
    <w:p w14:paraId="049B4400">
      <w:pPr>
        <w:autoSpaceDE w:val="0"/>
        <w:autoSpaceDN w:val="0"/>
        <w:jc w:val="center"/>
        <w:rPr>
          <w:rFonts w:hint="eastAsia" w:ascii="宋体" w:hAnsi="宋体" w:cs="宋体"/>
          <w:b/>
          <w:spacing w:val="6"/>
          <w:sz w:val="32"/>
          <w:szCs w:val="32"/>
        </w:rPr>
      </w:pPr>
    </w:p>
    <w:p w14:paraId="538C77CF">
      <w:pPr>
        <w:autoSpaceDE w:val="0"/>
        <w:autoSpaceDN w:val="0"/>
        <w:jc w:val="center"/>
        <w:rPr>
          <w:rFonts w:hint="eastAsia" w:ascii="宋体" w:hAnsi="宋体" w:cs="宋体"/>
          <w:b/>
          <w:spacing w:val="6"/>
          <w:sz w:val="32"/>
          <w:szCs w:val="32"/>
        </w:rPr>
      </w:pPr>
    </w:p>
    <w:p w14:paraId="4EDD28CC">
      <w:pPr>
        <w:autoSpaceDE w:val="0"/>
        <w:autoSpaceDN w:val="0"/>
        <w:jc w:val="center"/>
        <w:rPr>
          <w:rFonts w:hint="eastAsia" w:ascii="宋体" w:hAnsi="宋体" w:cs="宋体"/>
          <w:b/>
          <w:spacing w:val="6"/>
          <w:sz w:val="32"/>
          <w:szCs w:val="32"/>
        </w:rPr>
      </w:pPr>
    </w:p>
    <w:p w14:paraId="157309D5">
      <w:pPr>
        <w:autoSpaceDE w:val="0"/>
        <w:autoSpaceDN w:val="0"/>
        <w:jc w:val="center"/>
        <w:rPr>
          <w:rFonts w:hint="eastAsia" w:ascii="宋体" w:hAnsi="宋体" w:cs="宋体"/>
          <w:b/>
          <w:spacing w:val="6"/>
          <w:sz w:val="32"/>
          <w:szCs w:val="32"/>
        </w:rPr>
      </w:pPr>
    </w:p>
    <w:p w14:paraId="794CDD2F">
      <w:pPr>
        <w:autoSpaceDE w:val="0"/>
        <w:autoSpaceDN w:val="0"/>
        <w:jc w:val="center"/>
        <w:rPr>
          <w:rFonts w:hint="eastAsia" w:ascii="宋体" w:hAnsi="宋体" w:cs="宋体"/>
          <w:b/>
          <w:spacing w:val="6"/>
          <w:sz w:val="32"/>
          <w:szCs w:val="32"/>
        </w:rPr>
      </w:pPr>
    </w:p>
    <w:p w14:paraId="14CE45BE">
      <w:pPr>
        <w:autoSpaceDE w:val="0"/>
        <w:autoSpaceDN w:val="0"/>
        <w:jc w:val="center"/>
        <w:rPr>
          <w:rFonts w:hint="eastAsia" w:ascii="宋体" w:hAnsi="宋体" w:cs="宋体"/>
          <w:b/>
          <w:spacing w:val="6"/>
          <w:sz w:val="32"/>
          <w:szCs w:val="32"/>
        </w:rPr>
      </w:pPr>
    </w:p>
    <w:p w14:paraId="485652A1">
      <w:pPr>
        <w:autoSpaceDE w:val="0"/>
        <w:autoSpaceDN w:val="0"/>
        <w:jc w:val="center"/>
        <w:rPr>
          <w:rFonts w:hint="eastAsia" w:ascii="宋体" w:hAnsi="宋体" w:cs="宋体"/>
          <w:b/>
          <w:spacing w:val="6"/>
          <w:sz w:val="32"/>
          <w:szCs w:val="32"/>
        </w:rPr>
      </w:pPr>
    </w:p>
    <w:p w14:paraId="32ACC4B4">
      <w:pPr>
        <w:autoSpaceDE w:val="0"/>
        <w:autoSpaceDN w:val="0"/>
        <w:jc w:val="center"/>
        <w:rPr>
          <w:rFonts w:hint="eastAsia" w:ascii="宋体" w:hAnsi="宋体" w:cs="宋体"/>
          <w:b/>
          <w:spacing w:val="6"/>
          <w:sz w:val="32"/>
          <w:szCs w:val="32"/>
        </w:rPr>
      </w:pPr>
    </w:p>
    <w:p w14:paraId="2902FB8B">
      <w:pPr>
        <w:rPr>
          <w:rFonts w:hint="eastAsia" w:ascii="宋体" w:hAnsi="宋体" w:cs="宋体"/>
          <w:b/>
          <w:spacing w:val="6"/>
          <w:sz w:val="32"/>
          <w:szCs w:val="32"/>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1C2B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62776A8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D8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46DB493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A50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4D1EF9C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0A1B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2627E33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328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79FB">
    <w:pPr>
      <w:pStyle w:val="39"/>
      <w:framePr w:wrap="around" w:vAnchor="text" w:hAnchor="margin" w:xAlign="right" w:y="1"/>
      <w:rPr>
        <w:rStyle w:val="72"/>
      </w:rPr>
    </w:pPr>
    <w:r>
      <w:fldChar w:fldCharType="begin"/>
    </w:r>
    <w:r>
      <w:rPr>
        <w:rStyle w:val="72"/>
      </w:rPr>
      <w:instrText xml:space="preserve">PAGE  </w:instrText>
    </w:r>
    <w:r>
      <w:fldChar w:fldCharType="end"/>
    </w:r>
  </w:p>
  <w:p w14:paraId="517D4AC1">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9B71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77E0">
    <w:pPr>
      <w:pStyle w:val="40"/>
      <w:jc w:val="right"/>
      <w:rPr>
        <w:rFonts w:ascii="仿宋_GB2312"/>
        <w:b/>
        <w:i/>
        <w:u w:val="single"/>
      </w:rPr>
    </w:pPr>
    <w:r>
      <w:t></w:t>
    </w:r>
    <w:r>
      <w:rPr>
        <w:rFonts w:hint="eastAsia"/>
      </w:rPr>
      <w:t xml:space="preserve">                                                  </w:t>
    </w:r>
    <w:r>
      <w:t>公开</w:t>
    </w:r>
    <w:r>
      <w:rPr>
        <w:rFonts w:hint="eastAsia"/>
      </w:rPr>
      <w:t>交易文件</w:t>
    </w:r>
  </w:p>
  <w:p w14:paraId="7F39976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7A72">
    <w:pPr>
      <w:pStyle w:val="40"/>
    </w:pPr>
    <w:r>
      <w:t></w:t>
    </w:r>
    <w:r>
      <w:rPr>
        <w:rFonts w:hint="eastAsia"/>
      </w:rPr>
      <w:t xml:space="preserve">         </w:t>
    </w:r>
  </w:p>
  <w:p w14:paraId="6C075508">
    <w:pPr>
      <w:pStyle w:val="40"/>
      <w:jc w:val="right"/>
    </w:pP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5AAF2">
    <w:pPr>
      <w:pStyle w:val="40"/>
      <w:jc w:val="right"/>
      <w:rPr>
        <w:rFonts w:ascii="仿宋_GB2312"/>
        <w:b/>
        <w:i/>
        <w:u w:val="single"/>
      </w:rPr>
    </w:pPr>
    <w:r>
      <w:rPr>
        <w:rFonts w:hint="eastAsia"/>
      </w:rPr>
      <w:t xml:space="preserve">                                 </w:t>
    </w:r>
    <w:r>
      <w:t>公开</w:t>
    </w:r>
    <w:r>
      <w:rPr>
        <w:rFonts w:hint="eastAsia"/>
      </w:rPr>
      <w:t>交易文件</w:t>
    </w:r>
  </w:p>
  <w:p w14:paraId="100BCAD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EBC9">
    <w:pPr>
      <w:pStyle w:val="40"/>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4348">
    <w:pPr>
      <w:pStyle w:val="40"/>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9CCC4">
    <w:pPr>
      <w:pStyle w:val="40"/>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12F77"/>
    <w:multiLevelType w:val="singleLevel"/>
    <w:tmpl w:val="AB512F77"/>
    <w:lvl w:ilvl="0" w:tentative="0">
      <w:start w:val="1"/>
      <w:numFmt w:val="chineseCounting"/>
      <w:suff w:val="nothing"/>
      <w:lvlText w:val="（%1）"/>
      <w:lvlJc w:val="left"/>
      <w:rPr>
        <w:rFonts w:hint="eastAsia"/>
      </w:rPr>
    </w:lvl>
  </w:abstractNum>
  <w:abstractNum w:abstractNumId="1">
    <w:nsid w:val="2A16A7AA"/>
    <w:multiLevelType w:val="singleLevel"/>
    <w:tmpl w:val="2A16A7AA"/>
    <w:lvl w:ilvl="0" w:tentative="0">
      <w:start w:val="4"/>
      <w:numFmt w:val="chineseCounting"/>
      <w:suff w:val="nothing"/>
      <w:lvlText w:val="%1、"/>
      <w:lvlJc w:val="left"/>
      <w:rPr>
        <w:rFonts w:hint="eastAsia"/>
      </w:rPr>
    </w:lvl>
  </w:abstractNum>
  <w:abstractNum w:abstractNumId="2">
    <w:nsid w:val="316DED21"/>
    <w:multiLevelType w:val="singleLevel"/>
    <w:tmpl w:val="316DED21"/>
    <w:lvl w:ilvl="0" w:tentative="0">
      <w:start w:val="10"/>
      <w:numFmt w:val="chineseCounting"/>
      <w:suff w:val="nothing"/>
      <w:lvlText w:val="%1、"/>
      <w:lvlJc w:val="left"/>
      <w:rPr>
        <w:rFonts w:hint="eastAsia"/>
      </w:rPr>
    </w:lvl>
  </w:abstractNum>
  <w:abstractNum w:abstractNumId="3">
    <w:nsid w:val="636A3CF2"/>
    <w:multiLevelType w:val="singleLevel"/>
    <w:tmpl w:val="636A3CF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YzhlZGFkNGExZTVhMjgwNjNmMmQ1MmU5NmVlMWYifQ=="/>
    <w:docVar w:name="KSO_WPS_MARK_KEY" w:val="17d1e523-5dcb-454a-b901-a7d26c3787b1"/>
  </w:docVars>
  <w:rsids>
    <w:rsidRoot w:val="001A373C"/>
    <w:rsid w:val="00074A41"/>
    <w:rsid w:val="00096640"/>
    <w:rsid w:val="001A373C"/>
    <w:rsid w:val="003F36E0"/>
    <w:rsid w:val="00442F19"/>
    <w:rsid w:val="00480982"/>
    <w:rsid w:val="004A723F"/>
    <w:rsid w:val="00700A47"/>
    <w:rsid w:val="00750EBD"/>
    <w:rsid w:val="00782DC2"/>
    <w:rsid w:val="00883729"/>
    <w:rsid w:val="00901D68"/>
    <w:rsid w:val="00931F49"/>
    <w:rsid w:val="009B014B"/>
    <w:rsid w:val="009C4500"/>
    <w:rsid w:val="00A77522"/>
    <w:rsid w:val="00B52AB0"/>
    <w:rsid w:val="00BD002E"/>
    <w:rsid w:val="00C14660"/>
    <w:rsid w:val="00C22311"/>
    <w:rsid w:val="00C60A06"/>
    <w:rsid w:val="01520028"/>
    <w:rsid w:val="019C5A75"/>
    <w:rsid w:val="03644529"/>
    <w:rsid w:val="03984DAE"/>
    <w:rsid w:val="04392BCA"/>
    <w:rsid w:val="04CB1246"/>
    <w:rsid w:val="04F07245"/>
    <w:rsid w:val="05136E46"/>
    <w:rsid w:val="05526700"/>
    <w:rsid w:val="05B72A07"/>
    <w:rsid w:val="05DB7650"/>
    <w:rsid w:val="065F59B6"/>
    <w:rsid w:val="07B60CA2"/>
    <w:rsid w:val="08454D9F"/>
    <w:rsid w:val="08DB3A21"/>
    <w:rsid w:val="09BC683E"/>
    <w:rsid w:val="0A077286"/>
    <w:rsid w:val="0A4A5D70"/>
    <w:rsid w:val="0A7D2F03"/>
    <w:rsid w:val="0ADB695B"/>
    <w:rsid w:val="0B5979C3"/>
    <w:rsid w:val="0C201336"/>
    <w:rsid w:val="0D5F7B3C"/>
    <w:rsid w:val="0F602256"/>
    <w:rsid w:val="0FCB1589"/>
    <w:rsid w:val="0FFE09CE"/>
    <w:rsid w:val="10762B89"/>
    <w:rsid w:val="10E279BD"/>
    <w:rsid w:val="10F87C44"/>
    <w:rsid w:val="115D26B4"/>
    <w:rsid w:val="12965947"/>
    <w:rsid w:val="12BE189B"/>
    <w:rsid w:val="14EF3005"/>
    <w:rsid w:val="151C6194"/>
    <w:rsid w:val="156404B5"/>
    <w:rsid w:val="160C6457"/>
    <w:rsid w:val="16726C02"/>
    <w:rsid w:val="169326D4"/>
    <w:rsid w:val="17273648"/>
    <w:rsid w:val="191918C5"/>
    <w:rsid w:val="19622F5E"/>
    <w:rsid w:val="19D71D30"/>
    <w:rsid w:val="1A2811A4"/>
    <w:rsid w:val="1CD22DC8"/>
    <w:rsid w:val="1FB65DB1"/>
    <w:rsid w:val="210A7EB7"/>
    <w:rsid w:val="21D014A7"/>
    <w:rsid w:val="21D13543"/>
    <w:rsid w:val="227D72E5"/>
    <w:rsid w:val="22A45E49"/>
    <w:rsid w:val="22B553B6"/>
    <w:rsid w:val="22D95913"/>
    <w:rsid w:val="22EB0E67"/>
    <w:rsid w:val="24977834"/>
    <w:rsid w:val="24A82B60"/>
    <w:rsid w:val="253F23A5"/>
    <w:rsid w:val="256A0DA2"/>
    <w:rsid w:val="25B20DC9"/>
    <w:rsid w:val="263D1BE0"/>
    <w:rsid w:val="26B11081"/>
    <w:rsid w:val="26B76E28"/>
    <w:rsid w:val="27FD02F5"/>
    <w:rsid w:val="2981468E"/>
    <w:rsid w:val="29DA6B40"/>
    <w:rsid w:val="2A694A21"/>
    <w:rsid w:val="2A6B6B99"/>
    <w:rsid w:val="2AA14CA8"/>
    <w:rsid w:val="2C260DB6"/>
    <w:rsid w:val="309B303F"/>
    <w:rsid w:val="31940C74"/>
    <w:rsid w:val="31A96F6B"/>
    <w:rsid w:val="31C205E6"/>
    <w:rsid w:val="320429C7"/>
    <w:rsid w:val="34224047"/>
    <w:rsid w:val="34BF23C4"/>
    <w:rsid w:val="35F72828"/>
    <w:rsid w:val="371C428F"/>
    <w:rsid w:val="372E5AA2"/>
    <w:rsid w:val="37337E43"/>
    <w:rsid w:val="37CF0ECD"/>
    <w:rsid w:val="390C2A26"/>
    <w:rsid w:val="39575A8F"/>
    <w:rsid w:val="39F169C5"/>
    <w:rsid w:val="3A6E0AE1"/>
    <w:rsid w:val="3C2A722F"/>
    <w:rsid w:val="3C6D0F7B"/>
    <w:rsid w:val="3F390295"/>
    <w:rsid w:val="408C165A"/>
    <w:rsid w:val="40BF6C63"/>
    <w:rsid w:val="42A16058"/>
    <w:rsid w:val="42BD5E0B"/>
    <w:rsid w:val="43073FAF"/>
    <w:rsid w:val="432B0170"/>
    <w:rsid w:val="442D7D43"/>
    <w:rsid w:val="449163F3"/>
    <w:rsid w:val="44E12DA3"/>
    <w:rsid w:val="45090EA3"/>
    <w:rsid w:val="45CC5D82"/>
    <w:rsid w:val="470A0CF5"/>
    <w:rsid w:val="48837D83"/>
    <w:rsid w:val="495D66A3"/>
    <w:rsid w:val="49A93515"/>
    <w:rsid w:val="49CB243D"/>
    <w:rsid w:val="4B1A10CA"/>
    <w:rsid w:val="4B95246F"/>
    <w:rsid w:val="4CD046B3"/>
    <w:rsid w:val="4DF30AEC"/>
    <w:rsid w:val="4E067F1F"/>
    <w:rsid w:val="4E0E0304"/>
    <w:rsid w:val="4F5C58B7"/>
    <w:rsid w:val="4F942C0F"/>
    <w:rsid w:val="503A172B"/>
    <w:rsid w:val="52193354"/>
    <w:rsid w:val="53AD2D53"/>
    <w:rsid w:val="544E6F10"/>
    <w:rsid w:val="554A1F80"/>
    <w:rsid w:val="55E9502F"/>
    <w:rsid w:val="569D534D"/>
    <w:rsid w:val="574F2705"/>
    <w:rsid w:val="5771030A"/>
    <w:rsid w:val="59311AD7"/>
    <w:rsid w:val="5A1C2063"/>
    <w:rsid w:val="5A6F6899"/>
    <w:rsid w:val="5AE135BA"/>
    <w:rsid w:val="5B9E0ECC"/>
    <w:rsid w:val="5C657C3C"/>
    <w:rsid w:val="5C6927EC"/>
    <w:rsid w:val="5C7F3272"/>
    <w:rsid w:val="5C9F30C9"/>
    <w:rsid w:val="5D45457D"/>
    <w:rsid w:val="5DDF6561"/>
    <w:rsid w:val="5E7B2D1D"/>
    <w:rsid w:val="5F187141"/>
    <w:rsid w:val="5F4C5CE4"/>
    <w:rsid w:val="60756827"/>
    <w:rsid w:val="60B479D8"/>
    <w:rsid w:val="61113EEE"/>
    <w:rsid w:val="61481242"/>
    <w:rsid w:val="63575F86"/>
    <w:rsid w:val="64B3699F"/>
    <w:rsid w:val="64B47174"/>
    <w:rsid w:val="650A4DF4"/>
    <w:rsid w:val="6633623F"/>
    <w:rsid w:val="67296D36"/>
    <w:rsid w:val="673A01D0"/>
    <w:rsid w:val="67D93021"/>
    <w:rsid w:val="692D10C7"/>
    <w:rsid w:val="692D1AE1"/>
    <w:rsid w:val="69D87576"/>
    <w:rsid w:val="6A30572B"/>
    <w:rsid w:val="6AB659CD"/>
    <w:rsid w:val="6B2A547E"/>
    <w:rsid w:val="6B453C94"/>
    <w:rsid w:val="6BD35BF3"/>
    <w:rsid w:val="6C8F52DA"/>
    <w:rsid w:val="6D0843F7"/>
    <w:rsid w:val="6D981C1F"/>
    <w:rsid w:val="6DED78CD"/>
    <w:rsid w:val="6E5A6765"/>
    <w:rsid w:val="6E711859"/>
    <w:rsid w:val="6EE9748D"/>
    <w:rsid w:val="6F0562BC"/>
    <w:rsid w:val="6F79551D"/>
    <w:rsid w:val="70E120DF"/>
    <w:rsid w:val="71C07997"/>
    <w:rsid w:val="71FA2E5E"/>
    <w:rsid w:val="71FB5770"/>
    <w:rsid w:val="7290273E"/>
    <w:rsid w:val="732350FA"/>
    <w:rsid w:val="735E07DB"/>
    <w:rsid w:val="74C42AB5"/>
    <w:rsid w:val="759F5B15"/>
    <w:rsid w:val="75E766B6"/>
    <w:rsid w:val="75F401A1"/>
    <w:rsid w:val="765635E9"/>
    <w:rsid w:val="76F245AB"/>
    <w:rsid w:val="776F23D1"/>
    <w:rsid w:val="77EC0E9F"/>
    <w:rsid w:val="7A0423EA"/>
    <w:rsid w:val="7A537BE0"/>
    <w:rsid w:val="7A742308"/>
    <w:rsid w:val="7AD81678"/>
    <w:rsid w:val="7C9B7036"/>
    <w:rsid w:val="7CAE3639"/>
    <w:rsid w:val="7D3C1154"/>
    <w:rsid w:val="7D8C2E23"/>
    <w:rsid w:val="7EC0795C"/>
    <w:rsid w:val="7F94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6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next w:val="50"/>
    <w:link w:val="320"/>
    <w:qFormat/>
    <w:uiPriority w:val="0"/>
    <w:pPr>
      <w:ind w:firstLine="420"/>
    </w:pPr>
    <w:rPr>
      <w:rFonts w:hAnsi="Calibri" w:cs="Times New Roman"/>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55"/>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69"/>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link w:val="3"/>
    <w:qFormat/>
    <w:uiPriority w:val="1"/>
    <w:rPr>
      <w:rFonts w:ascii="仿宋_GB2312" w:hAnsi="仿宋" w:eastAsia="仿宋_GB2312"/>
      <w:b/>
      <w:bCs/>
      <w:sz w:val="32"/>
      <w:szCs w:val="32"/>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69"/>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style01"/>
    <w:basedOn w:val="69"/>
    <w:qFormat/>
    <w:uiPriority w:val="0"/>
    <w:rPr>
      <w:rFonts w:hint="eastAsia" w:ascii="宋体" w:hAnsi="宋体" w:eastAsia="宋体"/>
      <w:color w:val="000000"/>
      <w:sz w:val="24"/>
      <w:szCs w:val="24"/>
    </w:rPr>
  </w:style>
  <w:style w:type="paragraph" w:customStyle="1" w:styleId="963">
    <w:name w:val="Char Char114"/>
    <w:basedOn w:val="1"/>
    <w:next w:val="2"/>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96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4417</Words>
  <Characters>4908</Characters>
  <Lines>411</Lines>
  <Paragraphs>115</Paragraphs>
  <TotalTime>93</TotalTime>
  <ScaleCrop>false</ScaleCrop>
  <LinksUpToDate>false</LinksUpToDate>
  <CharactersWithSpaces>5130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短腿怪</cp:lastModifiedBy>
  <cp:lastPrinted>2023-04-17T15:50:00Z</cp:lastPrinted>
  <dcterms:modified xsi:type="dcterms:W3CDTF">2024-12-27T03:23:49Z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FB9ECC18CE724740ACB4EDEDEE19B48A_13</vt:lpwstr>
  </property>
  <property fmtid="{D5CDD505-2E9C-101B-9397-08002B2CF9AE}" pid="5" name="KSOTemplateDocerSaveRecord">
    <vt:lpwstr>eyJoZGlkIjoiYzFhZGY0ZTViYWQyN2I0ZGJhNDk0OThkMjNkNmQ2MDYiLCJ1c2VySWQiOiI2MTcxNjE2NjAifQ==</vt:lpwstr>
  </property>
</Properties>
</file>