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000000" w:fill="auto"/>
        <w:rPr>
          <w:rFonts w:hint="eastAsia" w:ascii="仿宋" w:hAnsi="仿宋" w:eastAsia="仿宋" w:cs="仿宋"/>
          <w:color w:val="auto"/>
          <w:szCs w:val="21"/>
          <w:highlight w:val="none"/>
        </w:rPr>
      </w:pPr>
    </w:p>
    <w:p>
      <w:pPr>
        <w:pStyle w:val="39"/>
        <w:shd w:val="clear" w:color="010000" w:fill="auto"/>
        <w:jc w:val="center"/>
        <w:rPr>
          <w:rFonts w:hint="eastAsia" w:ascii="仿宋" w:hAnsi="仿宋" w:eastAsia="仿宋" w:cs="仿宋"/>
          <w:b/>
          <w:color w:val="auto"/>
          <w:sz w:val="36"/>
          <w:szCs w:val="36"/>
          <w:highlight w:val="none"/>
          <w:lang w:eastAsia="zh-CN"/>
        </w:rPr>
      </w:pPr>
    </w:p>
    <w:p>
      <w:pPr>
        <w:pStyle w:val="39"/>
        <w:shd w:val="clear" w:color="010000" w:fill="auto"/>
        <w:jc w:val="center"/>
        <w:rPr>
          <w:rFonts w:hint="eastAsia" w:ascii="仿宋" w:hAnsi="仿宋" w:eastAsia="仿宋" w:cs="仿宋"/>
          <w:b/>
          <w:color w:val="auto"/>
          <w:sz w:val="36"/>
          <w:szCs w:val="36"/>
          <w:highlight w:val="none"/>
          <w:lang w:eastAsia="zh-CN"/>
        </w:rPr>
      </w:pPr>
    </w:p>
    <w:p>
      <w:pPr>
        <w:pStyle w:val="39"/>
        <w:shd w:val="clear" w:color="010000" w:fill="auto"/>
        <w:jc w:val="center"/>
        <w:rPr>
          <w:rFonts w:hint="eastAsia" w:ascii="仿宋" w:hAnsi="仿宋" w:eastAsia="仿宋" w:cs="仿宋"/>
          <w:b/>
          <w:color w:val="auto"/>
          <w:sz w:val="36"/>
          <w:szCs w:val="36"/>
          <w:highlight w:val="none"/>
          <w:lang w:eastAsia="zh-CN"/>
        </w:rPr>
      </w:pPr>
    </w:p>
    <w:p>
      <w:pPr>
        <w:pStyle w:val="39"/>
        <w:shd w:val="clear" w:color="010000" w:fill="auto"/>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2024-2025年度活动灯光舞台舞美租赁、布展物料采购合作项目（第二次）</w:t>
      </w:r>
    </w:p>
    <w:p>
      <w:pPr>
        <w:pStyle w:val="39"/>
        <w:shd w:val="clear" w:color="010000" w:fill="auto"/>
        <w:rPr>
          <w:rFonts w:hint="eastAsia" w:ascii="仿宋" w:hAnsi="仿宋" w:eastAsia="仿宋" w:cs="仿宋"/>
          <w:color w:val="auto"/>
          <w:highlight w:val="none"/>
          <w:lang w:val="en-US" w:eastAsia="zh-CN"/>
        </w:rPr>
      </w:pPr>
    </w:p>
    <w:p>
      <w:pPr>
        <w:shd w:val="clear" w:color="000000" w:fill="auto"/>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招 标 文 件</w:t>
      </w:r>
    </w:p>
    <w:p>
      <w:pPr>
        <w:shd w:val="clear" w:color="000000" w:fill="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eastAsia="zh-CN"/>
        </w:rPr>
        <w:t>招标</w:t>
      </w:r>
      <w:r>
        <w:rPr>
          <w:rFonts w:hint="eastAsia" w:ascii="仿宋" w:hAnsi="仿宋" w:eastAsia="仿宋" w:cs="仿宋"/>
          <w:b/>
          <w:color w:val="auto"/>
          <w:sz w:val="36"/>
          <w:szCs w:val="36"/>
          <w:highlight w:val="none"/>
        </w:rPr>
        <w:t>编号：</w:t>
      </w:r>
      <w:r>
        <w:rPr>
          <w:rFonts w:hint="eastAsia" w:ascii="仿宋" w:hAnsi="仿宋" w:eastAsia="仿宋" w:cs="仿宋"/>
          <w:b/>
          <w:color w:val="auto"/>
          <w:sz w:val="36"/>
          <w:szCs w:val="36"/>
          <w:highlight w:val="none"/>
          <w:lang w:eastAsia="zh-CN"/>
        </w:rPr>
        <w:t>临交集团（2024）采购051-1</w:t>
      </w:r>
      <w:r>
        <w:rPr>
          <w:rFonts w:hint="eastAsia" w:ascii="仿宋" w:hAnsi="仿宋" w:eastAsia="仿宋" w:cs="仿宋"/>
          <w:b/>
          <w:color w:val="auto"/>
          <w:sz w:val="36"/>
          <w:szCs w:val="36"/>
          <w:highlight w:val="none"/>
        </w:rPr>
        <w:t>）</w:t>
      </w:r>
    </w:p>
    <w:p>
      <w:pPr>
        <w:shd w:val="clear" w:color="000000" w:fill="auto"/>
        <w:jc w:val="center"/>
        <w:rPr>
          <w:rFonts w:hint="eastAsia" w:ascii="仿宋" w:hAnsi="仿宋" w:eastAsia="仿宋" w:cs="仿宋"/>
          <w:b/>
          <w:color w:val="auto"/>
          <w:sz w:val="28"/>
          <w:szCs w:val="28"/>
          <w:highlight w:val="none"/>
        </w:rPr>
      </w:pPr>
    </w:p>
    <w:p>
      <w:pPr>
        <w:shd w:val="clear" w:color="000000" w:fill="auto"/>
        <w:jc w:val="center"/>
        <w:rPr>
          <w:rFonts w:hint="eastAsia" w:ascii="仿宋" w:hAnsi="仿宋" w:eastAsia="仿宋" w:cs="仿宋"/>
          <w:b/>
          <w:color w:val="auto"/>
          <w:sz w:val="28"/>
          <w:szCs w:val="28"/>
          <w:highlight w:val="none"/>
        </w:rPr>
      </w:pPr>
    </w:p>
    <w:p>
      <w:pPr>
        <w:shd w:val="clear" w:color="000000" w:fill="auto"/>
        <w:jc w:val="center"/>
        <w:rPr>
          <w:rFonts w:hint="eastAsia" w:ascii="仿宋" w:hAnsi="仿宋" w:eastAsia="仿宋" w:cs="仿宋"/>
          <w:b/>
          <w:color w:val="auto"/>
          <w:sz w:val="28"/>
          <w:szCs w:val="28"/>
          <w:highlight w:val="none"/>
        </w:rPr>
      </w:pPr>
    </w:p>
    <w:p>
      <w:pPr>
        <w:shd w:val="clear" w:color="000000" w:fill="auto"/>
        <w:jc w:val="center"/>
        <w:rPr>
          <w:rFonts w:hint="eastAsia" w:ascii="仿宋" w:hAnsi="仿宋" w:eastAsia="仿宋" w:cs="仿宋"/>
          <w:b/>
          <w:color w:val="auto"/>
          <w:sz w:val="28"/>
          <w:szCs w:val="28"/>
          <w:highlight w:val="none"/>
        </w:rPr>
      </w:pPr>
    </w:p>
    <w:p>
      <w:pPr>
        <w:pStyle w:val="2"/>
        <w:shd w:val="clear" w:color="010000" w:fill="auto"/>
        <w:rPr>
          <w:rFonts w:hint="eastAsia" w:ascii="仿宋" w:hAnsi="仿宋" w:eastAsia="仿宋" w:cs="仿宋"/>
          <w:b/>
          <w:color w:val="auto"/>
          <w:sz w:val="28"/>
          <w:szCs w:val="28"/>
          <w:highlight w:val="none"/>
        </w:rPr>
      </w:pPr>
    </w:p>
    <w:p>
      <w:pPr>
        <w:shd w:val="clear" w:color="000000" w:fill="auto"/>
        <w:jc w:val="center"/>
        <w:rPr>
          <w:rFonts w:hint="eastAsia" w:ascii="仿宋" w:hAnsi="仿宋" w:eastAsia="仿宋" w:cs="仿宋"/>
          <w:b/>
          <w:color w:val="auto"/>
          <w:sz w:val="28"/>
          <w:szCs w:val="28"/>
          <w:highlight w:val="none"/>
        </w:rPr>
      </w:pPr>
    </w:p>
    <w:p>
      <w:pPr>
        <w:shd w:val="clear" w:color="000000" w:fill="auto"/>
        <w:jc w:val="center"/>
        <w:rPr>
          <w:rFonts w:hint="eastAsia" w:ascii="仿宋" w:hAnsi="仿宋" w:eastAsia="仿宋" w:cs="仿宋"/>
          <w:b/>
          <w:color w:val="auto"/>
          <w:sz w:val="28"/>
          <w:szCs w:val="28"/>
          <w:highlight w:val="none"/>
        </w:rPr>
      </w:pPr>
    </w:p>
    <w:p>
      <w:pPr>
        <w:shd w:val="clear" w:color="000000" w:fill="auto"/>
        <w:adjustRightInd w:val="0"/>
        <w:snapToGrid w:val="0"/>
        <w:spacing w:line="360" w:lineRule="auto"/>
        <w:jc w:val="both"/>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招标人：</w:t>
      </w:r>
      <w:r>
        <w:rPr>
          <w:rFonts w:hint="eastAsia" w:ascii="仿宋" w:hAnsi="仿宋" w:eastAsia="仿宋" w:cs="仿宋"/>
          <w:b/>
          <w:color w:val="auto"/>
          <w:sz w:val="32"/>
          <w:szCs w:val="32"/>
          <w:highlight w:val="none"/>
          <w:lang w:val="en-US" w:eastAsia="zh-CN"/>
        </w:rPr>
        <w:t>杭州临平旅游文化创意有限公司</w:t>
      </w:r>
    </w:p>
    <w:p>
      <w:pPr>
        <w:pStyle w:val="3"/>
        <w:shd w:val="clear" w:color="010000" w:fill="auto"/>
        <w:rPr>
          <w:rFonts w:hint="eastAsia" w:ascii="仿宋" w:hAnsi="仿宋" w:eastAsia="仿宋" w:cs="仿宋"/>
          <w:color w:val="auto"/>
          <w:highlight w:val="none"/>
        </w:rPr>
      </w:pPr>
    </w:p>
    <w:p>
      <w:pPr>
        <w:shd w:val="clear" w:color="000000" w:fill="auto"/>
        <w:adjustRightInd w:val="0"/>
        <w:snapToGrid w:val="0"/>
        <w:spacing w:line="360" w:lineRule="auto"/>
        <w:jc w:val="both"/>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招标代理机构：</w:t>
      </w:r>
      <w:r>
        <w:rPr>
          <w:rFonts w:hint="eastAsia" w:ascii="仿宋" w:hAnsi="仿宋" w:eastAsia="仿宋" w:cs="仿宋"/>
          <w:b/>
          <w:color w:val="auto"/>
          <w:sz w:val="32"/>
          <w:szCs w:val="32"/>
          <w:highlight w:val="none"/>
          <w:lang w:val="en-US" w:eastAsia="zh-CN"/>
        </w:rPr>
        <w:t>杭州华瑞新洲工程造价咨询有限公司</w:t>
      </w:r>
    </w:p>
    <w:p>
      <w:pPr>
        <w:pStyle w:val="3"/>
        <w:shd w:val="clear" w:color="010000" w:fill="auto"/>
        <w:rPr>
          <w:rFonts w:hint="eastAsia" w:ascii="仿宋" w:hAnsi="仿宋" w:eastAsia="仿宋" w:cs="仿宋"/>
          <w:color w:val="auto"/>
          <w:highlight w:val="none"/>
        </w:rPr>
      </w:pPr>
    </w:p>
    <w:p>
      <w:pPr>
        <w:shd w:val="clear" w:color="000000" w:fill="auto"/>
        <w:adjustRightInd w:val="0"/>
        <w:snapToGrid w:val="0"/>
        <w:spacing w:line="360" w:lineRule="auto"/>
        <w:jc w:val="both"/>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备案机关：</w:t>
      </w:r>
      <w:r>
        <w:rPr>
          <w:rFonts w:hint="eastAsia" w:ascii="仿宋" w:hAnsi="仿宋" w:eastAsia="仿宋" w:cs="仿宋"/>
          <w:b/>
          <w:color w:val="auto"/>
          <w:sz w:val="32"/>
          <w:szCs w:val="32"/>
          <w:highlight w:val="none"/>
          <w:lang w:eastAsia="zh-CN"/>
        </w:rPr>
        <w:t>杭州临平交通集团有限公司小额公共资源交易管理办公室</w:t>
      </w:r>
    </w:p>
    <w:p>
      <w:pPr>
        <w:shd w:val="clear" w:color="000000" w:fill="auto"/>
        <w:spacing w:line="600" w:lineRule="exact"/>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eastAsia="zh-CN"/>
        </w:rPr>
        <w:t>20</w:t>
      </w:r>
      <w:r>
        <w:rPr>
          <w:rFonts w:hint="eastAsia" w:ascii="仿宋" w:hAnsi="仿宋" w:eastAsia="仿宋" w:cs="仿宋"/>
          <w:b/>
          <w:color w:val="auto"/>
          <w:sz w:val="36"/>
          <w:szCs w:val="36"/>
          <w:highlight w:val="none"/>
          <w:lang w:val="en-US" w:eastAsia="zh-CN"/>
        </w:rPr>
        <w:t>25</w:t>
      </w:r>
      <w:r>
        <w:rPr>
          <w:rFonts w:hint="eastAsia" w:ascii="仿宋" w:hAnsi="仿宋" w:eastAsia="仿宋" w:cs="仿宋"/>
          <w:b/>
          <w:color w:val="auto"/>
          <w:sz w:val="36"/>
          <w:szCs w:val="36"/>
          <w:highlight w:val="none"/>
        </w:rPr>
        <w:t>年</w:t>
      </w:r>
      <w:r>
        <w:rPr>
          <w:rFonts w:hint="eastAsia" w:ascii="仿宋" w:hAnsi="仿宋" w:eastAsia="仿宋" w:cs="仿宋"/>
          <w:b/>
          <w:color w:val="auto"/>
          <w:sz w:val="36"/>
          <w:szCs w:val="36"/>
          <w:highlight w:val="none"/>
          <w:lang w:val="en-US" w:eastAsia="zh-CN"/>
        </w:rPr>
        <w:t>1</w:t>
      </w:r>
      <w:r>
        <w:rPr>
          <w:rFonts w:hint="eastAsia" w:ascii="仿宋" w:hAnsi="仿宋" w:eastAsia="仿宋" w:cs="仿宋"/>
          <w:b/>
          <w:color w:val="auto"/>
          <w:sz w:val="36"/>
          <w:szCs w:val="36"/>
          <w:highlight w:val="none"/>
        </w:rPr>
        <w:t>月</w:t>
      </w:r>
    </w:p>
    <w:p>
      <w:pPr>
        <w:shd w:val="clear" w:color="000000" w:fill="auto"/>
        <w:spacing w:line="600" w:lineRule="exact"/>
        <w:jc w:val="center"/>
        <w:rPr>
          <w:rFonts w:hint="eastAsia" w:ascii="仿宋" w:hAnsi="仿宋" w:eastAsia="仿宋" w:cs="仿宋"/>
          <w:b/>
          <w:color w:val="auto"/>
          <w:sz w:val="36"/>
          <w:szCs w:val="36"/>
          <w:highlight w:val="none"/>
        </w:rPr>
      </w:pPr>
    </w:p>
    <w:p>
      <w:pPr>
        <w:shd w:val="clear" w:color="000000" w:fill="auto"/>
        <w:spacing w:line="600" w:lineRule="exact"/>
        <w:jc w:val="center"/>
        <w:rPr>
          <w:rFonts w:hint="eastAsia" w:ascii="仿宋" w:hAnsi="仿宋" w:eastAsia="仿宋" w:cs="仿宋"/>
          <w:b/>
          <w:color w:val="auto"/>
          <w:sz w:val="36"/>
          <w:szCs w:val="36"/>
          <w:highlight w:val="none"/>
        </w:rPr>
      </w:pPr>
    </w:p>
    <w:p>
      <w:pPr>
        <w:pStyle w:val="39"/>
        <w:shd w:val="clear" w:color="010000" w:fill="auto"/>
        <w:rPr>
          <w:rFonts w:hint="eastAsia" w:ascii="仿宋" w:hAnsi="仿宋" w:eastAsia="仿宋" w:cs="仿宋"/>
          <w:b/>
          <w:color w:val="auto"/>
          <w:sz w:val="36"/>
          <w:szCs w:val="36"/>
          <w:highlight w:val="none"/>
        </w:rPr>
      </w:pPr>
    </w:p>
    <w:p>
      <w:pPr>
        <w:pStyle w:val="39"/>
        <w:shd w:val="clear" w:color="010000" w:fill="auto"/>
        <w:rPr>
          <w:rFonts w:hint="eastAsia" w:ascii="仿宋" w:hAnsi="仿宋" w:eastAsia="仿宋" w:cs="仿宋"/>
          <w:b/>
          <w:color w:val="auto"/>
          <w:sz w:val="36"/>
          <w:szCs w:val="36"/>
          <w:highlight w:val="none"/>
        </w:rPr>
      </w:pPr>
    </w:p>
    <w:p>
      <w:pPr>
        <w:pStyle w:val="39"/>
        <w:shd w:val="clear" w:color="010000" w:fill="auto"/>
        <w:rPr>
          <w:rFonts w:hint="eastAsia" w:ascii="仿宋" w:hAnsi="仿宋" w:eastAsia="仿宋" w:cs="仿宋"/>
          <w:b/>
          <w:color w:val="auto"/>
          <w:sz w:val="36"/>
          <w:szCs w:val="36"/>
          <w:highlight w:val="none"/>
        </w:rPr>
      </w:pPr>
    </w:p>
    <w:p>
      <w:pPr>
        <w:shd w:val="clear" w:color="000000" w:fill="auto"/>
        <w:adjustRightInd w:val="0"/>
        <w:snapToGrid w:val="0"/>
        <w:spacing w:line="480" w:lineRule="auto"/>
        <w:jc w:val="center"/>
        <w:rPr>
          <w:rFonts w:hint="eastAsia" w:ascii="仿宋" w:hAnsi="仿宋" w:eastAsia="仿宋" w:cs="仿宋"/>
          <w:b/>
          <w:bCs/>
          <w:color w:val="auto"/>
          <w:sz w:val="72"/>
          <w:highlight w:val="none"/>
        </w:rPr>
      </w:pPr>
      <w:r>
        <w:rPr>
          <w:rFonts w:hint="eastAsia" w:ascii="仿宋" w:hAnsi="仿宋" w:eastAsia="仿宋" w:cs="仿宋"/>
          <w:b/>
          <w:bCs/>
          <w:color w:val="auto"/>
          <w:sz w:val="72"/>
          <w:highlight w:val="none"/>
        </w:rPr>
        <w:t>目     录</w:t>
      </w:r>
    </w:p>
    <w:p>
      <w:pPr>
        <w:pStyle w:val="19"/>
        <w:shd w:val="clear" w:color="010000" w:fill="auto"/>
        <w:tabs>
          <w:tab w:val="right" w:leader="dot" w:pos="9241"/>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TOC \o "1-1" \h \z \u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_Toc9600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投标人注意事项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_Toc9600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9"/>
        <w:shd w:val="clear" w:color="010000" w:fill="auto"/>
        <w:tabs>
          <w:tab w:val="right" w:leader="dot" w:pos="9241"/>
        </w:tabs>
        <w:rPr>
          <w:rFonts w:hint="eastAsia" w:ascii="仿宋" w:hAnsi="仿宋" w:eastAsia="仿宋" w:cs="仿宋"/>
          <w:color w:val="auto"/>
          <w:highlight w:val="none"/>
        </w:rPr>
      </w:pPr>
      <w:r>
        <w:rPr>
          <w:rFonts w:hint="eastAsia" w:ascii="仿宋" w:hAnsi="仿宋" w:eastAsia="仿宋" w:cs="仿宋"/>
          <w:color w:val="auto"/>
          <w:kern w:val="0"/>
          <w:highlight w:val="none"/>
        </w:rPr>
        <w:fldChar w:fldCharType="begin"/>
      </w:r>
      <w:r>
        <w:rPr>
          <w:rFonts w:hint="eastAsia" w:ascii="仿宋" w:hAnsi="仿宋" w:eastAsia="仿宋" w:cs="仿宋"/>
          <w:color w:val="auto"/>
          <w:kern w:val="0"/>
          <w:highlight w:val="none"/>
        </w:rPr>
        <w:instrText xml:space="preserve"> HYPERLINK \l _Toc5652 </w:instrText>
      </w:r>
      <w:r>
        <w:rPr>
          <w:rFonts w:hint="eastAsia" w:ascii="仿宋" w:hAnsi="仿宋" w:eastAsia="仿宋" w:cs="仿宋"/>
          <w:color w:val="auto"/>
          <w:kern w:val="0"/>
          <w:highlight w:val="none"/>
        </w:rPr>
        <w:fldChar w:fldCharType="separate"/>
      </w:r>
      <w:r>
        <w:rPr>
          <w:rFonts w:hint="eastAsia" w:ascii="仿宋" w:hAnsi="仿宋" w:eastAsia="仿宋" w:cs="仿宋"/>
          <w:color w:val="auto"/>
          <w:szCs w:val="32"/>
          <w:highlight w:val="none"/>
        </w:rPr>
        <w:t>第一部分 招标公告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_Toc5652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kern w:val="0"/>
          <w:highlight w:val="none"/>
        </w:rPr>
        <w:fldChar w:fldCharType="end"/>
      </w:r>
    </w:p>
    <w:p>
      <w:pPr>
        <w:pStyle w:val="19"/>
        <w:shd w:val="clear" w:color="010000" w:fill="auto"/>
        <w:tabs>
          <w:tab w:val="right" w:leader="dot" w:pos="9241"/>
        </w:tabs>
        <w:rPr>
          <w:rFonts w:hint="eastAsia" w:ascii="仿宋" w:hAnsi="仿宋" w:eastAsia="仿宋" w:cs="仿宋"/>
          <w:color w:val="auto"/>
          <w:highlight w:val="none"/>
        </w:rPr>
      </w:pPr>
      <w:r>
        <w:rPr>
          <w:rFonts w:hint="eastAsia" w:ascii="仿宋" w:hAnsi="仿宋" w:eastAsia="仿宋" w:cs="仿宋"/>
          <w:color w:val="auto"/>
          <w:kern w:val="0"/>
          <w:highlight w:val="none"/>
        </w:rPr>
        <w:fldChar w:fldCharType="begin"/>
      </w:r>
      <w:r>
        <w:rPr>
          <w:rFonts w:hint="eastAsia" w:ascii="仿宋" w:hAnsi="仿宋" w:eastAsia="仿宋" w:cs="仿宋"/>
          <w:color w:val="auto"/>
          <w:kern w:val="0"/>
          <w:highlight w:val="none"/>
        </w:rPr>
        <w:instrText xml:space="preserve"> HYPERLINK \l _Toc14337 </w:instrText>
      </w:r>
      <w:r>
        <w:rPr>
          <w:rFonts w:hint="eastAsia" w:ascii="仿宋" w:hAnsi="仿宋" w:eastAsia="仿宋" w:cs="仿宋"/>
          <w:color w:val="auto"/>
          <w:kern w:val="0"/>
          <w:highlight w:val="none"/>
        </w:rPr>
        <w:fldChar w:fldCharType="separate"/>
      </w:r>
      <w:r>
        <w:rPr>
          <w:rFonts w:hint="eastAsia" w:ascii="仿宋" w:hAnsi="仿宋" w:eastAsia="仿宋" w:cs="仿宋"/>
          <w:color w:val="auto"/>
          <w:highlight w:val="none"/>
          <w:lang w:val="en-US" w:eastAsia="zh-CN"/>
        </w:rPr>
        <w:t>第二部分 投标人须知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_Toc14337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w:t>
      </w:r>
      <w:r>
        <w:rPr>
          <w:rFonts w:hint="eastAsia" w:ascii="仿宋" w:hAnsi="仿宋" w:eastAsia="仿宋" w:cs="仿宋"/>
          <w:color w:val="auto"/>
          <w:highlight w:val="none"/>
        </w:rPr>
        <w:fldChar w:fldCharType="end"/>
      </w:r>
      <w:r>
        <w:rPr>
          <w:rFonts w:hint="eastAsia" w:ascii="仿宋" w:hAnsi="仿宋" w:eastAsia="仿宋" w:cs="仿宋"/>
          <w:color w:val="auto"/>
          <w:kern w:val="0"/>
          <w:highlight w:val="none"/>
        </w:rPr>
        <w:fldChar w:fldCharType="end"/>
      </w:r>
    </w:p>
    <w:p>
      <w:pPr>
        <w:pStyle w:val="19"/>
        <w:shd w:val="clear" w:color="010000" w:fill="auto"/>
        <w:tabs>
          <w:tab w:val="right" w:leader="dot" w:pos="9241"/>
        </w:tabs>
        <w:rPr>
          <w:rFonts w:hint="eastAsia" w:ascii="仿宋" w:hAnsi="仿宋" w:eastAsia="仿宋" w:cs="仿宋"/>
          <w:color w:val="auto"/>
          <w:highlight w:val="none"/>
        </w:rPr>
      </w:pPr>
      <w:r>
        <w:rPr>
          <w:rFonts w:hint="eastAsia" w:ascii="仿宋" w:hAnsi="仿宋" w:eastAsia="仿宋" w:cs="仿宋"/>
          <w:color w:val="auto"/>
          <w:kern w:val="0"/>
          <w:highlight w:val="none"/>
        </w:rPr>
        <w:fldChar w:fldCharType="begin"/>
      </w:r>
      <w:r>
        <w:rPr>
          <w:rFonts w:hint="eastAsia" w:ascii="仿宋" w:hAnsi="仿宋" w:eastAsia="仿宋" w:cs="仿宋"/>
          <w:color w:val="auto"/>
          <w:kern w:val="0"/>
          <w:highlight w:val="none"/>
        </w:rPr>
        <w:instrText xml:space="preserve"> HYPERLINK \l _Toc5880 </w:instrText>
      </w:r>
      <w:r>
        <w:rPr>
          <w:rFonts w:hint="eastAsia" w:ascii="仿宋" w:hAnsi="仿宋" w:eastAsia="仿宋" w:cs="仿宋"/>
          <w:color w:val="auto"/>
          <w:kern w:val="0"/>
          <w:highlight w:val="none"/>
        </w:rPr>
        <w:fldChar w:fldCharType="separate"/>
      </w:r>
      <w:r>
        <w:rPr>
          <w:rFonts w:hint="eastAsia" w:ascii="仿宋" w:hAnsi="仿宋" w:eastAsia="仿宋" w:cs="仿宋"/>
          <w:color w:val="auto"/>
          <w:szCs w:val="28"/>
          <w:highlight w:val="none"/>
        </w:rPr>
        <w:t>第三部分 采购需求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_Toc5880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22</w:t>
      </w:r>
      <w:r>
        <w:rPr>
          <w:rFonts w:hint="eastAsia" w:ascii="仿宋" w:hAnsi="仿宋" w:eastAsia="仿宋" w:cs="仿宋"/>
          <w:color w:val="auto"/>
          <w:highlight w:val="none"/>
        </w:rPr>
        <w:fldChar w:fldCharType="end"/>
      </w:r>
      <w:r>
        <w:rPr>
          <w:rFonts w:hint="eastAsia" w:ascii="仿宋" w:hAnsi="仿宋" w:eastAsia="仿宋" w:cs="仿宋"/>
          <w:color w:val="auto"/>
          <w:kern w:val="0"/>
          <w:highlight w:val="none"/>
        </w:rPr>
        <w:fldChar w:fldCharType="end"/>
      </w:r>
    </w:p>
    <w:p>
      <w:pPr>
        <w:pStyle w:val="19"/>
        <w:shd w:val="clear" w:color="010000" w:fill="auto"/>
        <w:tabs>
          <w:tab w:val="right" w:leader="dot" w:pos="9241"/>
        </w:tabs>
        <w:rPr>
          <w:rFonts w:hint="eastAsia" w:ascii="仿宋" w:hAnsi="仿宋" w:eastAsia="仿宋" w:cs="仿宋"/>
          <w:color w:val="auto"/>
          <w:highlight w:val="none"/>
        </w:rPr>
      </w:pPr>
      <w:r>
        <w:rPr>
          <w:rFonts w:hint="eastAsia" w:ascii="仿宋" w:hAnsi="仿宋" w:eastAsia="仿宋" w:cs="仿宋"/>
          <w:color w:val="auto"/>
          <w:kern w:val="0"/>
          <w:highlight w:val="none"/>
        </w:rPr>
        <w:fldChar w:fldCharType="begin"/>
      </w:r>
      <w:r>
        <w:rPr>
          <w:rFonts w:hint="eastAsia" w:ascii="仿宋" w:hAnsi="仿宋" w:eastAsia="仿宋" w:cs="仿宋"/>
          <w:color w:val="auto"/>
          <w:kern w:val="0"/>
          <w:highlight w:val="none"/>
        </w:rPr>
        <w:instrText xml:space="preserve"> HYPERLINK \l _Toc23665 </w:instrText>
      </w:r>
      <w:r>
        <w:rPr>
          <w:rFonts w:hint="eastAsia" w:ascii="仿宋" w:hAnsi="仿宋" w:eastAsia="仿宋" w:cs="仿宋"/>
          <w:color w:val="auto"/>
          <w:kern w:val="0"/>
          <w:highlight w:val="none"/>
        </w:rPr>
        <w:fldChar w:fldCharType="separate"/>
      </w:r>
      <w:r>
        <w:rPr>
          <w:rFonts w:hint="eastAsia" w:ascii="仿宋" w:hAnsi="仿宋" w:eastAsia="仿宋" w:cs="仿宋"/>
          <w:bCs/>
          <w:color w:val="auto"/>
          <w:szCs w:val="40"/>
          <w:highlight w:val="none"/>
        </w:rPr>
        <w:t>第四部分 合同样本</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_Toc23665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47</w:t>
      </w:r>
      <w:r>
        <w:rPr>
          <w:rFonts w:hint="eastAsia" w:ascii="仿宋" w:hAnsi="仿宋" w:eastAsia="仿宋" w:cs="仿宋"/>
          <w:color w:val="auto"/>
          <w:highlight w:val="none"/>
        </w:rPr>
        <w:fldChar w:fldCharType="end"/>
      </w:r>
      <w:r>
        <w:rPr>
          <w:rFonts w:hint="eastAsia" w:ascii="仿宋" w:hAnsi="仿宋" w:eastAsia="仿宋" w:cs="仿宋"/>
          <w:color w:val="auto"/>
          <w:kern w:val="0"/>
          <w:highlight w:val="none"/>
        </w:rPr>
        <w:fldChar w:fldCharType="end"/>
      </w:r>
    </w:p>
    <w:p>
      <w:pPr>
        <w:pStyle w:val="19"/>
        <w:shd w:val="clear" w:color="010000" w:fill="auto"/>
        <w:tabs>
          <w:tab w:val="right" w:leader="dot" w:pos="9241"/>
        </w:tabs>
        <w:rPr>
          <w:rFonts w:hint="eastAsia" w:ascii="仿宋" w:hAnsi="仿宋" w:eastAsia="仿宋" w:cs="仿宋"/>
          <w:color w:val="auto"/>
          <w:highlight w:val="none"/>
        </w:rPr>
      </w:pPr>
      <w:r>
        <w:rPr>
          <w:rFonts w:hint="eastAsia" w:ascii="仿宋" w:hAnsi="仿宋" w:eastAsia="仿宋" w:cs="仿宋"/>
          <w:color w:val="auto"/>
          <w:kern w:val="0"/>
          <w:highlight w:val="none"/>
        </w:rPr>
        <w:fldChar w:fldCharType="begin"/>
      </w:r>
      <w:r>
        <w:rPr>
          <w:rFonts w:hint="eastAsia" w:ascii="仿宋" w:hAnsi="仿宋" w:eastAsia="仿宋" w:cs="仿宋"/>
          <w:color w:val="auto"/>
          <w:kern w:val="0"/>
          <w:highlight w:val="none"/>
        </w:rPr>
        <w:instrText xml:space="preserve"> HYPERLINK \l _Toc30399 </w:instrText>
      </w:r>
      <w:r>
        <w:rPr>
          <w:rFonts w:hint="eastAsia" w:ascii="仿宋" w:hAnsi="仿宋" w:eastAsia="仿宋" w:cs="仿宋"/>
          <w:color w:val="auto"/>
          <w:kern w:val="0"/>
          <w:highlight w:val="none"/>
        </w:rPr>
        <w:fldChar w:fldCharType="separate"/>
      </w:r>
      <w:r>
        <w:rPr>
          <w:rFonts w:hint="eastAsia" w:ascii="仿宋" w:hAnsi="仿宋" w:eastAsia="仿宋" w:cs="仿宋"/>
          <w:bCs/>
          <w:color w:val="auto"/>
          <w:szCs w:val="40"/>
          <w:highlight w:val="none"/>
          <w:lang w:eastAsia="zh-CN"/>
        </w:rPr>
        <w:t>第五部分 投标文件格式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_Toc30399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51</w:t>
      </w:r>
      <w:r>
        <w:rPr>
          <w:rFonts w:hint="eastAsia" w:ascii="仿宋" w:hAnsi="仿宋" w:eastAsia="仿宋" w:cs="仿宋"/>
          <w:color w:val="auto"/>
          <w:highlight w:val="none"/>
        </w:rPr>
        <w:fldChar w:fldCharType="end"/>
      </w:r>
      <w:r>
        <w:rPr>
          <w:rFonts w:hint="eastAsia" w:ascii="仿宋" w:hAnsi="仿宋" w:eastAsia="仿宋" w:cs="仿宋"/>
          <w:color w:val="auto"/>
          <w:kern w:val="0"/>
          <w:highlight w:val="none"/>
        </w:rPr>
        <w:fldChar w:fldCharType="end"/>
      </w:r>
    </w:p>
    <w:p>
      <w:pPr>
        <w:shd w:val="clear" w:color="000000" w:fill="auto"/>
        <w:rPr>
          <w:rFonts w:hint="eastAsia" w:ascii="仿宋" w:hAnsi="仿宋" w:eastAsia="仿宋" w:cs="仿宋"/>
          <w:color w:val="auto"/>
          <w:highlight w:val="none"/>
        </w:rPr>
      </w:pPr>
      <w:r>
        <w:rPr>
          <w:rFonts w:hint="eastAsia" w:ascii="仿宋" w:hAnsi="仿宋" w:eastAsia="仿宋" w:cs="仿宋"/>
          <w:color w:val="auto"/>
          <w:kern w:val="0"/>
          <w:highlight w:val="none"/>
        </w:rPr>
        <w:fldChar w:fldCharType="end"/>
      </w:r>
    </w:p>
    <w:p>
      <w:pPr>
        <w:pStyle w:val="47"/>
        <w:shd w:val="clear" w:color="010000" w:fill="auto"/>
        <w:spacing w:line="240" w:lineRule="auto"/>
        <w:rPr>
          <w:rFonts w:hint="eastAsia" w:ascii="仿宋" w:hAnsi="仿宋" w:eastAsia="仿宋" w:cs="仿宋"/>
          <w:color w:val="auto"/>
          <w:highlight w:val="none"/>
        </w:rPr>
      </w:pPr>
      <w:bookmarkStart w:id="0" w:name="_Toc29155"/>
      <w:bookmarkStart w:id="1" w:name="_Toc482110463"/>
      <w:bookmarkStart w:id="2" w:name="_Toc9600"/>
      <w:r>
        <w:rPr>
          <w:rFonts w:hint="eastAsia" w:ascii="仿宋" w:hAnsi="仿宋" w:eastAsia="仿宋" w:cs="仿宋"/>
          <w:color w:val="auto"/>
          <w:highlight w:val="none"/>
        </w:rPr>
        <w:t>投标人注意事项</w:t>
      </w:r>
      <w:bookmarkEnd w:id="0"/>
      <w:bookmarkEnd w:id="1"/>
      <w:bookmarkEnd w:id="2"/>
    </w:p>
    <w:p>
      <w:pPr>
        <w:shd w:val="clear" w:color="000000" w:fill="auto"/>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一、投标人如发现招标文件存在含糊不清、相互矛盾、多种含义条款或是歧视性、排他性等不公正条款或其它违法违规内容时，为保证招标文件的修改留出充足时间，请在</w:t>
      </w:r>
      <w:r>
        <w:rPr>
          <w:rFonts w:hint="eastAsia" w:ascii="仿宋" w:hAnsi="仿宋" w:eastAsia="仿宋" w:cs="仿宋"/>
          <w:color w:val="auto"/>
          <w:sz w:val="24"/>
          <w:szCs w:val="24"/>
          <w:highlight w:val="none"/>
          <w:lang w:eastAsia="zh-CN"/>
        </w:rPr>
        <w:t>开标</w:t>
      </w:r>
      <w:r>
        <w:rPr>
          <w:rFonts w:hint="eastAsia" w:ascii="仿宋" w:hAnsi="仿宋" w:eastAsia="仿宋" w:cs="仿宋"/>
          <w:color w:val="auto"/>
          <w:sz w:val="24"/>
          <w:szCs w:val="24"/>
          <w:highlight w:val="none"/>
        </w:rPr>
        <w:t>前</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日内</w:t>
      </w:r>
      <w:r>
        <w:rPr>
          <w:rFonts w:hint="eastAsia" w:ascii="仿宋" w:hAnsi="仿宋" w:eastAsia="仿宋" w:cs="仿宋"/>
          <w:color w:val="auto"/>
          <w:sz w:val="24"/>
          <w:szCs w:val="24"/>
          <w:highlight w:val="none"/>
        </w:rPr>
        <w:t>向采购人或采购代理机构提交书面询问或递交书面质疑书，潜在投标人未按规定要求提出的，则视同认可招标文件。</w:t>
      </w:r>
    </w:p>
    <w:p>
      <w:pPr>
        <w:shd w:val="clear" w:color="000000" w:fill="auto"/>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二、投标人在制作投标前务必仔细阅读“第二部分 投标人须知”中的前附表、评标程序、被拒绝投标、无效投标、废标等条款及有关表格样张。</w:t>
      </w:r>
    </w:p>
    <w:p>
      <w:pPr>
        <w:shd w:val="clear" w:color="000000" w:fill="auto"/>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如遇投标截止时间推迟、采购需求变动等，采购代理机构将会在网上发布更正公告（通知），请投标人及时关注原招标信息发布媒介。投标截止时间前，请投标人务必自行关注。投标人因上述原因导致投标失败的，责任自负。</w:t>
      </w:r>
    </w:p>
    <w:p>
      <w:pPr>
        <w:pStyle w:val="47"/>
        <w:keepNext/>
        <w:keepLines/>
        <w:widowControl w:val="0"/>
        <w:shd w:val="clear" w:color="040000" w:fill="auto"/>
        <w:wordWrap/>
        <w:adjustRightInd/>
        <w:snapToGrid/>
        <w:spacing w:line="240" w:lineRule="auto"/>
        <w:textAlignment w:val="auto"/>
        <w:rPr>
          <w:rFonts w:hint="eastAsia" w:ascii="仿宋" w:hAnsi="仿宋" w:eastAsia="仿宋" w:cs="仿宋"/>
          <w:color w:val="auto"/>
          <w:sz w:val="32"/>
          <w:szCs w:val="32"/>
          <w:highlight w:val="none"/>
        </w:rPr>
      </w:pPr>
      <w:r>
        <w:rPr>
          <w:rFonts w:hint="eastAsia" w:ascii="仿宋" w:hAnsi="仿宋" w:eastAsia="仿宋" w:cs="仿宋"/>
          <w:b w:val="0"/>
          <w:bCs w:val="0"/>
          <w:color w:val="auto"/>
          <w:highlight w:val="none"/>
        </w:rPr>
        <w:br w:type="page"/>
      </w:r>
      <w:bookmarkStart w:id="3" w:name="_Toc5652"/>
      <w:bookmarkStart w:id="4" w:name="_Toc482110464"/>
      <w:r>
        <w:rPr>
          <w:rFonts w:hint="eastAsia" w:ascii="仿宋" w:hAnsi="仿宋" w:eastAsia="仿宋" w:cs="仿宋"/>
          <w:color w:val="auto"/>
          <w:sz w:val="32"/>
          <w:szCs w:val="32"/>
          <w:highlight w:val="none"/>
        </w:rPr>
        <w:t>第一部分 招标公告</w:t>
      </w:r>
      <w:bookmarkEnd w:id="3"/>
      <w:bookmarkEnd w:id="4"/>
    </w:p>
    <w:p>
      <w:pPr>
        <w:shd w:val="clear" w:color="000000" w:fill="auto"/>
        <w:wordWrap/>
        <w:spacing w:line="360" w:lineRule="auto"/>
        <w:ind w:firstLine="480" w:firstLineChars="200"/>
        <w:jc w:val="left"/>
        <w:textAlignment w:val="auto"/>
        <w:rPr>
          <w:rFonts w:hint="eastAsia" w:ascii="仿宋" w:hAnsi="仿宋" w:eastAsia="仿宋" w:cs="仿宋"/>
          <w:color w:val="auto"/>
          <w:sz w:val="24"/>
          <w:highlight w:val="none"/>
        </w:rPr>
      </w:pPr>
      <w:bookmarkStart w:id="5" w:name="_Toc482110465"/>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相关</w:t>
      </w:r>
      <w:r>
        <w:rPr>
          <w:rFonts w:hint="eastAsia" w:ascii="仿宋" w:hAnsi="仿宋" w:eastAsia="仿宋" w:cs="仿宋"/>
          <w:color w:val="auto"/>
          <w:sz w:val="24"/>
          <w:highlight w:val="none"/>
        </w:rPr>
        <w:t>规定，经小额公共资源交易申请表批准，现就</w:t>
      </w:r>
      <w:r>
        <w:rPr>
          <w:rFonts w:hint="eastAsia" w:ascii="仿宋" w:hAnsi="仿宋" w:eastAsia="仿宋" w:cs="仿宋"/>
          <w:color w:val="auto"/>
          <w:sz w:val="24"/>
          <w:highlight w:val="none"/>
          <w:lang w:eastAsia="zh-CN"/>
        </w:rPr>
        <w:t>2024-2025年度活动灯光舞台舞美租赁、布展物料采购合作项目（第二次）</w:t>
      </w:r>
      <w:r>
        <w:rPr>
          <w:rFonts w:hint="eastAsia" w:ascii="仿宋" w:hAnsi="仿宋" w:eastAsia="仿宋" w:cs="仿宋"/>
          <w:color w:val="auto"/>
          <w:sz w:val="24"/>
          <w:highlight w:val="none"/>
        </w:rPr>
        <w:t>进行公开</w:t>
      </w:r>
      <w:r>
        <w:rPr>
          <w:rFonts w:hint="eastAsia" w:ascii="仿宋" w:hAnsi="仿宋" w:eastAsia="仿宋" w:cs="仿宋"/>
          <w:color w:val="auto"/>
          <w:sz w:val="24"/>
          <w:highlight w:val="none"/>
          <w:lang w:eastAsia="zh-CN"/>
        </w:rPr>
        <w:t>征集</w:t>
      </w:r>
      <w:r>
        <w:rPr>
          <w:rFonts w:hint="eastAsia" w:ascii="仿宋" w:hAnsi="仿宋" w:eastAsia="仿宋" w:cs="仿宋"/>
          <w:color w:val="auto"/>
          <w:sz w:val="24"/>
          <w:highlight w:val="none"/>
        </w:rPr>
        <w:t>。欢迎符合要求并有能力完成本项目的投标人前来投标。</w:t>
      </w:r>
    </w:p>
    <w:p>
      <w:pPr>
        <w:numPr>
          <w:ilvl w:val="0"/>
          <w:numId w:val="0"/>
        </w:numPr>
        <w:shd w:val="clear" w:color="010000" w:fill="auto"/>
        <w:wordWrap/>
        <w:spacing w:line="360" w:lineRule="auto"/>
        <w:ind w:leftChars="0"/>
        <w:jc w:val="both"/>
        <w:textAlignment w:val="auto"/>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lang w:eastAsia="zh-CN"/>
        </w:rPr>
        <w:t>一、</w:t>
      </w:r>
      <w:r>
        <w:rPr>
          <w:rFonts w:hint="eastAsia" w:ascii="仿宋" w:hAnsi="仿宋" w:eastAsia="仿宋" w:cs="仿宋"/>
          <w:b/>
          <w:bCs/>
          <w:color w:val="auto"/>
          <w:sz w:val="24"/>
          <w:highlight w:val="none"/>
        </w:rPr>
        <w:t>项目名称及编号：</w:t>
      </w:r>
      <w:r>
        <w:rPr>
          <w:rFonts w:hint="eastAsia" w:ascii="仿宋" w:hAnsi="仿宋" w:eastAsia="仿宋" w:cs="仿宋"/>
          <w:color w:val="auto"/>
          <w:sz w:val="24"/>
          <w:highlight w:val="none"/>
          <w:lang w:eastAsia="zh-CN"/>
        </w:rPr>
        <w:t>2024-2025年度活动灯光舞台舞美租赁、布展物料采购合作项目（第二次）（</w:t>
      </w:r>
      <w:r>
        <w:rPr>
          <w:rFonts w:hint="eastAsia" w:ascii="仿宋" w:hAnsi="仿宋" w:eastAsia="仿宋" w:cs="仿宋"/>
          <w:color w:val="auto"/>
          <w:sz w:val="24"/>
          <w:highlight w:val="none"/>
          <w:lang w:val="en-US" w:eastAsia="zh-CN"/>
        </w:rPr>
        <w:t>项目编号：临交集团（2024）采购051-1</w:t>
      </w:r>
      <w:r>
        <w:rPr>
          <w:rFonts w:hint="eastAsia" w:ascii="仿宋" w:hAnsi="仿宋" w:eastAsia="仿宋" w:cs="仿宋"/>
          <w:color w:val="auto"/>
          <w:sz w:val="24"/>
          <w:highlight w:val="none"/>
          <w:lang w:eastAsia="zh-CN"/>
        </w:rPr>
        <w:t>）</w:t>
      </w:r>
    </w:p>
    <w:p>
      <w:pPr>
        <w:shd w:val="clear" w:color="000000" w:fill="auto"/>
        <w:wordWrap/>
        <w:spacing w:line="360" w:lineRule="auto"/>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二、采购方式：公开招标。</w:t>
      </w:r>
    </w:p>
    <w:p>
      <w:pPr>
        <w:shd w:val="clear" w:color="000000" w:fill="auto"/>
        <w:wordWrap/>
        <w:spacing w:line="360" w:lineRule="auto"/>
        <w:textAlignment w:val="auto"/>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rPr>
        <w:t>采购内容：</w:t>
      </w:r>
      <w:r>
        <w:rPr>
          <w:rFonts w:hint="eastAsia" w:ascii="仿宋" w:hAnsi="仿宋" w:eastAsia="仿宋" w:cs="仿宋"/>
          <w:color w:val="auto"/>
          <w:sz w:val="24"/>
          <w:highlight w:val="none"/>
          <w:lang w:eastAsia="zh-CN"/>
        </w:rPr>
        <w:t>2024-2025年度活动灯光舞台舞美租赁、布展物料采购合作项目（第二次）。</w:t>
      </w:r>
      <w:r>
        <w:rPr>
          <w:rFonts w:hint="eastAsia" w:ascii="仿宋" w:hAnsi="仿宋" w:eastAsia="仿宋" w:cs="仿宋"/>
          <w:b/>
          <w:bCs/>
          <w:color w:val="auto"/>
          <w:sz w:val="24"/>
          <w:szCs w:val="24"/>
          <w:highlight w:val="none"/>
        </w:rPr>
        <w:t>本次招标为</w:t>
      </w:r>
      <w:r>
        <w:rPr>
          <w:rFonts w:hint="eastAsia" w:ascii="仿宋" w:hAnsi="仿宋" w:eastAsia="仿宋" w:cs="仿宋"/>
          <w:b/>
          <w:bCs/>
          <w:color w:val="auto"/>
          <w:sz w:val="24"/>
          <w:szCs w:val="24"/>
          <w:highlight w:val="none"/>
          <w:lang w:eastAsia="zh-CN"/>
        </w:rPr>
        <w:t>框架协议采购，征集服务商</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家，项目预算为</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80万元</w:t>
      </w:r>
      <w:r>
        <w:rPr>
          <w:rFonts w:hint="eastAsia" w:ascii="仿宋" w:hAnsi="仿宋" w:eastAsia="仿宋" w:cs="仿宋"/>
          <w:color w:val="auto"/>
          <w:sz w:val="24"/>
          <w:highlight w:val="none"/>
        </w:rPr>
        <w:t>详见本采购文件-</w:t>
      </w:r>
      <w:r>
        <w:rPr>
          <w:rFonts w:hint="eastAsia" w:ascii="仿宋" w:hAnsi="仿宋" w:eastAsia="仿宋" w:cs="仿宋"/>
          <w:color w:val="auto"/>
          <w:sz w:val="24"/>
          <w:highlight w:val="none"/>
          <w:lang w:eastAsia="zh-CN"/>
        </w:rPr>
        <w:t>第三部分</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采购需求</w:t>
      </w:r>
      <w:r>
        <w:rPr>
          <w:rFonts w:hint="eastAsia" w:ascii="仿宋" w:hAnsi="仿宋" w:eastAsia="仿宋" w:cs="仿宋"/>
          <w:color w:val="auto"/>
          <w:sz w:val="24"/>
          <w:highlight w:val="none"/>
        </w:rPr>
        <w:t>。</w:t>
      </w:r>
    </w:p>
    <w:p>
      <w:pPr>
        <w:shd w:val="clear" w:color="000000" w:fill="auto"/>
        <w:wordWrap/>
        <w:spacing w:line="360" w:lineRule="auto"/>
        <w:textAlignment w:val="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四</w:t>
      </w:r>
      <w:r>
        <w:rPr>
          <w:rFonts w:hint="eastAsia" w:ascii="仿宋" w:hAnsi="仿宋" w:eastAsia="仿宋" w:cs="仿宋"/>
          <w:b/>
          <w:bCs/>
          <w:color w:val="auto"/>
          <w:sz w:val="24"/>
          <w:highlight w:val="none"/>
        </w:rPr>
        <w:t>、合格投标人的资格要求</w:t>
      </w:r>
      <w:r>
        <w:rPr>
          <w:rFonts w:hint="eastAsia" w:ascii="仿宋" w:hAnsi="仿宋" w:eastAsia="仿宋" w:cs="仿宋"/>
          <w:b/>
          <w:bCs/>
          <w:color w:val="auto"/>
          <w:sz w:val="24"/>
          <w:highlight w:val="none"/>
          <w:lang w:eastAsia="zh-CN"/>
        </w:rPr>
        <w:t>：</w:t>
      </w:r>
    </w:p>
    <w:p>
      <w:pPr>
        <w:shd w:val="clear" w:color="000000" w:fill="auto"/>
        <w:wordWrap/>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（1）具有独立承担民事责任的能力;</w:t>
      </w:r>
    </w:p>
    <w:p>
      <w:pPr>
        <w:shd w:val="clear" w:color="000000" w:fill="auto"/>
        <w:wordWrap/>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（2）具有良好的商业信誉和健全的财务会计制度;</w:t>
      </w:r>
    </w:p>
    <w:p>
      <w:pPr>
        <w:shd w:val="clear" w:color="000000" w:fill="auto"/>
        <w:wordWrap/>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（3）具有履行合同所必需的设备和专业技术能力;</w:t>
      </w:r>
    </w:p>
    <w:p>
      <w:pPr>
        <w:shd w:val="clear" w:color="000000" w:fill="auto"/>
        <w:wordWrap/>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（4）有依法缴纳税收和社会保障资金的良好记录;</w:t>
      </w:r>
    </w:p>
    <w:p>
      <w:pPr>
        <w:shd w:val="clear" w:color="000000" w:fill="auto"/>
        <w:wordWrap/>
        <w:snapToGrid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（5）本项目不接受联合体投标。</w:t>
      </w:r>
    </w:p>
    <w:p>
      <w:pPr>
        <w:widowControl/>
        <w:shd w:val="clear" w:color="auto" w:fill="auto"/>
        <w:wordWrap/>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highlight w:val="none"/>
          <w:lang w:val="en-US" w:eastAsia="zh-CN"/>
        </w:rPr>
        <w:t>五、</w:t>
      </w:r>
      <w:r>
        <w:rPr>
          <w:rFonts w:hint="eastAsia" w:ascii="仿宋" w:hAnsi="仿宋" w:eastAsia="仿宋" w:cs="仿宋"/>
          <w:b/>
          <w:bCs/>
          <w:color w:val="auto"/>
          <w:sz w:val="24"/>
          <w:highlight w:val="none"/>
          <w:lang w:eastAsia="zh-CN"/>
        </w:rPr>
        <w:t>获取招标文件时间及地点：</w:t>
      </w:r>
    </w:p>
    <w:p>
      <w:pPr>
        <w:widowControl/>
        <w:shd w:val="clear" w:color="auto" w:fill="auto"/>
        <w:wordWrap/>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shd w:val="clear" w:color="auto" w:fill="FFFFFF"/>
        </w:rPr>
        <w:t>1、报名时间：</w:t>
      </w:r>
      <w:r>
        <w:rPr>
          <w:rFonts w:hint="eastAsia" w:ascii="仿宋" w:hAnsi="仿宋" w:eastAsia="仿宋" w:cs="仿宋"/>
          <w:color w:val="auto"/>
          <w:kern w:val="0"/>
          <w:sz w:val="24"/>
          <w:szCs w:val="24"/>
          <w:highlight w:val="none"/>
          <w:shd w:val="clear" w:color="auto" w:fill="FFFFFF"/>
          <w:lang w:val="en-US" w:eastAsia="zh-CN"/>
        </w:rPr>
        <w:t>2025</w:t>
      </w:r>
      <w:r>
        <w:rPr>
          <w:rFonts w:hint="eastAsia" w:ascii="仿宋" w:hAnsi="仿宋" w:eastAsia="仿宋" w:cs="仿宋"/>
          <w:color w:val="auto"/>
          <w:kern w:val="0"/>
          <w:sz w:val="24"/>
          <w:szCs w:val="24"/>
          <w:highlight w:val="none"/>
          <w:shd w:val="clear" w:color="auto" w:fill="FFFFFF"/>
        </w:rPr>
        <w:t>年</w:t>
      </w:r>
      <w:r>
        <w:rPr>
          <w:rFonts w:hint="eastAsia" w:ascii="仿宋" w:hAnsi="仿宋" w:eastAsia="仿宋" w:cs="仿宋"/>
          <w:color w:val="auto"/>
          <w:kern w:val="0"/>
          <w:sz w:val="24"/>
          <w:szCs w:val="24"/>
          <w:highlight w:val="none"/>
          <w:shd w:val="clear" w:color="auto" w:fill="FFFFFF"/>
          <w:lang w:val="en-US" w:eastAsia="zh-CN"/>
        </w:rPr>
        <w:t>1</w:t>
      </w:r>
      <w:r>
        <w:rPr>
          <w:rFonts w:hint="eastAsia" w:ascii="仿宋" w:hAnsi="仿宋" w:eastAsia="仿宋" w:cs="仿宋"/>
          <w:color w:val="auto"/>
          <w:kern w:val="0"/>
          <w:sz w:val="24"/>
          <w:szCs w:val="24"/>
          <w:highlight w:val="none"/>
          <w:shd w:val="clear" w:color="auto" w:fill="FFFFFF"/>
        </w:rPr>
        <w:t>月</w:t>
      </w:r>
      <w:r>
        <w:rPr>
          <w:rFonts w:hint="eastAsia" w:ascii="仿宋" w:hAnsi="仿宋" w:eastAsia="仿宋" w:cs="仿宋"/>
          <w:color w:val="auto"/>
          <w:kern w:val="0"/>
          <w:sz w:val="24"/>
          <w:szCs w:val="24"/>
          <w:highlight w:val="none"/>
          <w:shd w:val="clear" w:color="auto" w:fill="FFFFFF"/>
          <w:lang w:val="en-US" w:eastAsia="zh-CN"/>
        </w:rPr>
        <w:t>13</w:t>
      </w:r>
      <w:r>
        <w:rPr>
          <w:rFonts w:hint="eastAsia" w:ascii="仿宋" w:hAnsi="仿宋" w:eastAsia="仿宋" w:cs="仿宋"/>
          <w:color w:val="auto"/>
          <w:kern w:val="0"/>
          <w:sz w:val="24"/>
          <w:szCs w:val="24"/>
          <w:highlight w:val="none"/>
          <w:shd w:val="clear" w:color="auto" w:fill="FFFFFF"/>
        </w:rPr>
        <w:t>日至</w:t>
      </w:r>
      <w:r>
        <w:rPr>
          <w:rFonts w:hint="eastAsia" w:ascii="仿宋" w:hAnsi="仿宋" w:eastAsia="仿宋" w:cs="仿宋"/>
          <w:color w:val="auto"/>
          <w:kern w:val="0"/>
          <w:sz w:val="24"/>
          <w:szCs w:val="24"/>
          <w:highlight w:val="none"/>
          <w:shd w:val="clear" w:color="auto" w:fill="FFFFFF"/>
          <w:lang w:val="en-US" w:eastAsia="zh-CN"/>
        </w:rPr>
        <w:t>2025</w:t>
      </w:r>
      <w:r>
        <w:rPr>
          <w:rFonts w:hint="eastAsia" w:ascii="仿宋" w:hAnsi="仿宋" w:eastAsia="仿宋" w:cs="仿宋"/>
          <w:color w:val="auto"/>
          <w:kern w:val="0"/>
          <w:sz w:val="24"/>
          <w:szCs w:val="24"/>
          <w:highlight w:val="none"/>
          <w:shd w:val="clear" w:color="auto" w:fill="FFFFFF"/>
        </w:rPr>
        <w:t>年</w:t>
      </w:r>
      <w:r>
        <w:rPr>
          <w:rFonts w:hint="eastAsia" w:ascii="仿宋" w:hAnsi="仿宋" w:eastAsia="仿宋" w:cs="仿宋"/>
          <w:color w:val="auto"/>
          <w:kern w:val="0"/>
          <w:sz w:val="24"/>
          <w:szCs w:val="24"/>
          <w:highlight w:val="none"/>
          <w:shd w:val="clear" w:color="auto" w:fill="FFFFFF"/>
          <w:lang w:val="en-US" w:eastAsia="zh-CN"/>
        </w:rPr>
        <w:t>1</w:t>
      </w:r>
      <w:r>
        <w:rPr>
          <w:rFonts w:hint="eastAsia" w:ascii="仿宋" w:hAnsi="仿宋" w:eastAsia="仿宋" w:cs="仿宋"/>
          <w:color w:val="auto"/>
          <w:kern w:val="0"/>
          <w:sz w:val="24"/>
          <w:szCs w:val="24"/>
          <w:highlight w:val="none"/>
          <w:shd w:val="clear" w:color="auto" w:fill="FFFFFF"/>
        </w:rPr>
        <w:t>月</w:t>
      </w:r>
      <w:r>
        <w:rPr>
          <w:rFonts w:hint="eastAsia" w:ascii="仿宋" w:hAnsi="仿宋" w:eastAsia="仿宋" w:cs="仿宋"/>
          <w:color w:val="auto"/>
          <w:kern w:val="0"/>
          <w:sz w:val="24"/>
          <w:szCs w:val="24"/>
          <w:highlight w:val="none"/>
          <w:shd w:val="clear" w:color="auto" w:fill="FFFFFF"/>
          <w:lang w:val="en-US" w:eastAsia="zh-CN"/>
        </w:rPr>
        <w:t>17</w:t>
      </w:r>
      <w:r>
        <w:rPr>
          <w:rFonts w:hint="eastAsia" w:ascii="仿宋" w:hAnsi="仿宋" w:eastAsia="仿宋" w:cs="仿宋"/>
          <w:color w:val="auto"/>
          <w:kern w:val="0"/>
          <w:sz w:val="24"/>
          <w:szCs w:val="24"/>
          <w:highlight w:val="none"/>
          <w:shd w:val="clear" w:color="auto" w:fill="FFFFFF"/>
        </w:rPr>
        <w:t>日（双休日及法定节假日除外）</w:t>
      </w:r>
    </w:p>
    <w:p>
      <w:pPr>
        <w:widowControl/>
        <w:shd w:val="clear" w:color="auto" w:fill="auto"/>
        <w:wordWrap/>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shd w:val="clear" w:color="auto" w:fill="FFFFFF"/>
        </w:rPr>
        <w:t>上午：9：00-11：</w:t>
      </w:r>
      <w:r>
        <w:rPr>
          <w:rFonts w:hint="eastAsia" w:ascii="仿宋" w:hAnsi="仿宋" w:eastAsia="仿宋" w:cs="仿宋"/>
          <w:color w:val="auto"/>
          <w:kern w:val="0"/>
          <w:sz w:val="24"/>
          <w:szCs w:val="24"/>
          <w:highlight w:val="none"/>
          <w:shd w:val="clear" w:color="auto" w:fill="FFFFFF"/>
          <w:lang w:val="en-US" w:eastAsia="zh-CN"/>
        </w:rPr>
        <w:t>0</w:t>
      </w:r>
      <w:r>
        <w:rPr>
          <w:rFonts w:hint="eastAsia" w:ascii="仿宋" w:hAnsi="仿宋" w:eastAsia="仿宋" w:cs="仿宋"/>
          <w:color w:val="auto"/>
          <w:kern w:val="0"/>
          <w:sz w:val="24"/>
          <w:szCs w:val="24"/>
          <w:highlight w:val="none"/>
          <w:shd w:val="clear" w:color="auto" w:fill="FFFFFF"/>
        </w:rPr>
        <w:t>0；下午：14：</w:t>
      </w:r>
      <w:r>
        <w:rPr>
          <w:rFonts w:hint="eastAsia" w:ascii="仿宋" w:hAnsi="仿宋" w:eastAsia="仿宋" w:cs="仿宋"/>
          <w:color w:val="auto"/>
          <w:kern w:val="0"/>
          <w:sz w:val="24"/>
          <w:szCs w:val="24"/>
          <w:highlight w:val="none"/>
          <w:shd w:val="clear" w:color="auto" w:fill="FFFFFF"/>
          <w:lang w:val="en-US" w:eastAsia="zh-CN"/>
        </w:rPr>
        <w:t>3</w:t>
      </w:r>
      <w:r>
        <w:rPr>
          <w:rFonts w:hint="eastAsia" w:ascii="仿宋" w:hAnsi="仿宋" w:eastAsia="仿宋" w:cs="仿宋"/>
          <w:color w:val="auto"/>
          <w:kern w:val="0"/>
          <w:sz w:val="24"/>
          <w:szCs w:val="24"/>
          <w:highlight w:val="none"/>
          <w:shd w:val="clear" w:color="auto" w:fill="FFFFFF"/>
        </w:rPr>
        <w:t>0-16：</w:t>
      </w:r>
      <w:r>
        <w:rPr>
          <w:rFonts w:hint="eastAsia" w:ascii="仿宋" w:hAnsi="仿宋" w:eastAsia="仿宋" w:cs="仿宋"/>
          <w:color w:val="auto"/>
          <w:kern w:val="0"/>
          <w:sz w:val="24"/>
          <w:szCs w:val="24"/>
          <w:highlight w:val="none"/>
          <w:shd w:val="clear" w:color="auto" w:fill="FFFFFF"/>
          <w:lang w:val="en-US" w:eastAsia="zh-CN"/>
        </w:rPr>
        <w:t>0</w:t>
      </w:r>
      <w:r>
        <w:rPr>
          <w:rFonts w:hint="eastAsia" w:ascii="仿宋" w:hAnsi="仿宋" w:eastAsia="仿宋" w:cs="仿宋"/>
          <w:color w:val="auto"/>
          <w:kern w:val="0"/>
          <w:sz w:val="24"/>
          <w:szCs w:val="24"/>
          <w:highlight w:val="none"/>
          <w:shd w:val="clear" w:color="auto" w:fill="FFFFFF"/>
        </w:rPr>
        <w:t>0</w:t>
      </w:r>
    </w:p>
    <w:p>
      <w:pPr>
        <w:widowControl/>
        <w:shd w:val="clear" w:color="auto" w:fill="auto"/>
        <w:wordWrap/>
        <w:adjustRightInd/>
        <w:snapToGrid/>
        <w:spacing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shd w:val="clear" w:color="auto" w:fill="FFFFFF"/>
        </w:rPr>
        <w:t>2、</w:t>
      </w:r>
      <w:r>
        <w:rPr>
          <w:rFonts w:hint="eastAsia" w:ascii="仿宋" w:hAnsi="仿宋" w:eastAsia="仿宋" w:cs="仿宋"/>
          <w:b/>
          <w:bCs/>
          <w:color w:val="auto"/>
          <w:sz w:val="24"/>
          <w:highlight w:val="none"/>
          <w:lang w:eastAsia="zh-CN"/>
        </w:rPr>
        <w:t>获取</w:t>
      </w:r>
      <w:r>
        <w:rPr>
          <w:rFonts w:hint="eastAsia" w:ascii="仿宋" w:hAnsi="仿宋" w:eastAsia="仿宋" w:cs="仿宋"/>
          <w:b/>
          <w:color w:val="auto"/>
          <w:kern w:val="0"/>
          <w:sz w:val="24"/>
          <w:szCs w:val="24"/>
          <w:highlight w:val="none"/>
          <w:shd w:val="clear" w:color="auto" w:fill="FFFFFF"/>
        </w:rPr>
        <w:t>形式：本项目采用现场</w:t>
      </w:r>
      <w:r>
        <w:rPr>
          <w:rFonts w:hint="eastAsia" w:ascii="仿宋" w:hAnsi="仿宋" w:eastAsia="仿宋" w:cs="仿宋"/>
          <w:b/>
          <w:color w:val="auto"/>
          <w:kern w:val="0"/>
          <w:sz w:val="24"/>
          <w:szCs w:val="24"/>
          <w:highlight w:val="none"/>
          <w:shd w:val="clear" w:color="auto" w:fill="FFFFFF"/>
          <w:lang w:eastAsia="zh-CN"/>
        </w:rPr>
        <w:t>获取（逾期未现场报名的投标人视为无效投标）</w:t>
      </w:r>
      <w:r>
        <w:rPr>
          <w:rFonts w:hint="eastAsia" w:ascii="仿宋" w:hAnsi="仿宋" w:eastAsia="仿宋" w:cs="仿宋"/>
          <w:b/>
          <w:color w:val="auto"/>
          <w:kern w:val="0"/>
          <w:sz w:val="24"/>
          <w:szCs w:val="24"/>
          <w:highlight w:val="none"/>
          <w:shd w:val="clear" w:color="auto" w:fill="FFFFFF"/>
        </w:rPr>
        <w:t>。</w:t>
      </w:r>
    </w:p>
    <w:p>
      <w:pPr>
        <w:widowControl/>
        <w:shd w:val="clear" w:color="auto" w:fill="auto"/>
        <w:wordWrap/>
        <w:adjustRightInd/>
        <w:snapToGrid/>
        <w:spacing w:line="360" w:lineRule="auto"/>
        <w:ind w:firstLine="480"/>
        <w:textAlignment w:val="auto"/>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3、</w:t>
      </w:r>
      <w:r>
        <w:rPr>
          <w:rFonts w:hint="eastAsia" w:ascii="仿宋" w:hAnsi="仿宋" w:eastAsia="仿宋" w:cs="仿宋"/>
          <w:color w:val="auto"/>
          <w:sz w:val="24"/>
          <w:szCs w:val="24"/>
          <w:highlight w:val="none"/>
          <w:lang w:val="en-US" w:eastAsia="zh-CN"/>
        </w:rPr>
        <w:t>报名</w:t>
      </w:r>
      <w:r>
        <w:rPr>
          <w:rFonts w:hint="eastAsia" w:ascii="仿宋" w:hAnsi="仿宋" w:eastAsia="仿宋" w:cs="仿宋"/>
          <w:color w:val="auto"/>
          <w:kern w:val="0"/>
          <w:sz w:val="24"/>
          <w:szCs w:val="24"/>
          <w:highlight w:val="none"/>
          <w:shd w:val="clear" w:color="auto" w:fill="FFFFFF"/>
        </w:rPr>
        <w:t>地点：</w:t>
      </w:r>
      <w:r>
        <w:rPr>
          <w:rFonts w:hint="eastAsia" w:ascii="仿宋" w:hAnsi="仿宋" w:eastAsia="仿宋" w:cs="仿宋"/>
          <w:color w:val="auto"/>
          <w:kern w:val="0"/>
          <w:sz w:val="24"/>
          <w:szCs w:val="24"/>
          <w:highlight w:val="none"/>
          <w:shd w:val="clear" w:color="auto" w:fill="FFFFFF"/>
          <w:lang w:eastAsia="zh-CN"/>
        </w:rPr>
        <w:t>杭州华瑞新洲工程造价咨询有限公司</w:t>
      </w:r>
      <w:r>
        <w:rPr>
          <w:rFonts w:hint="eastAsia" w:ascii="仿宋" w:hAnsi="仿宋" w:eastAsia="仿宋" w:cs="仿宋"/>
          <w:color w:val="auto"/>
          <w:kern w:val="0"/>
          <w:sz w:val="24"/>
          <w:szCs w:val="24"/>
          <w:highlight w:val="none"/>
          <w:shd w:val="clear" w:color="auto" w:fill="FFFFFF"/>
        </w:rPr>
        <w:t>（</w:t>
      </w:r>
      <w:r>
        <w:rPr>
          <w:rFonts w:hint="eastAsia" w:ascii="仿宋" w:hAnsi="仿宋" w:eastAsia="仿宋" w:cs="仿宋"/>
          <w:color w:val="auto"/>
          <w:kern w:val="0"/>
          <w:sz w:val="24"/>
          <w:szCs w:val="24"/>
          <w:highlight w:val="none"/>
          <w:shd w:val="clear" w:color="auto" w:fill="FFFFFF"/>
          <w:lang w:eastAsia="zh-CN"/>
        </w:rPr>
        <w:t>杭州市临平区IFC互联网+金融中心2幢1302</w:t>
      </w:r>
      <w:r>
        <w:rPr>
          <w:rFonts w:hint="eastAsia" w:ascii="仿宋" w:hAnsi="仿宋" w:eastAsia="仿宋" w:cs="仿宋"/>
          <w:color w:val="auto"/>
          <w:kern w:val="0"/>
          <w:sz w:val="24"/>
          <w:szCs w:val="24"/>
          <w:highlight w:val="none"/>
          <w:shd w:val="clear" w:color="auto" w:fill="FFFFFF"/>
        </w:rPr>
        <w:t>）。</w:t>
      </w:r>
    </w:p>
    <w:p>
      <w:pPr>
        <w:widowControl/>
        <w:shd w:val="clear" w:color="auto" w:fill="auto"/>
        <w:wordWrap/>
        <w:adjustRightInd/>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shd w:val="clear" w:color="auto" w:fill="FFFFFF"/>
          <w:lang w:eastAsia="zh-CN"/>
        </w:rPr>
        <w:t>六</w:t>
      </w:r>
      <w:r>
        <w:rPr>
          <w:rFonts w:hint="eastAsia" w:ascii="仿宋" w:hAnsi="仿宋" w:eastAsia="仿宋" w:cs="仿宋"/>
          <w:b/>
          <w:bCs/>
          <w:color w:val="auto"/>
          <w:kern w:val="0"/>
          <w:sz w:val="24"/>
          <w:szCs w:val="24"/>
          <w:highlight w:val="none"/>
          <w:shd w:val="clear" w:color="auto" w:fill="FFFFFF"/>
        </w:rPr>
        <w:t>、</w:t>
      </w:r>
      <w:r>
        <w:rPr>
          <w:rFonts w:hint="eastAsia" w:ascii="仿宋" w:hAnsi="仿宋" w:eastAsia="仿宋" w:cs="仿宋"/>
          <w:b/>
          <w:bCs/>
          <w:color w:val="auto"/>
          <w:sz w:val="24"/>
          <w:highlight w:val="none"/>
          <w:lang w:eastAsia="zh-CN"/>
        </w:rPr>
        <w:t>获取招标文件</w:t>
      </w:r>
      <w:r>
        <w:rPr>
          <w:rFonts w:hint="eastAsia" w:ascii="仿宋" w:hAnsi="仿宋" w:eastAsia="仿宋" w:cs="仿宋"/>
          <w:b/>
          <w:bCs/>
          <w:color w:val="auto"/>
          <w:kern w:val="0"/>
          <w:sz w:val="24"/>
          <w:szCs w:val="24"/>
          <w:highlight w:val="none"/>
          <w:shd w:val="clear" w:color="auto" w:fill="FFFFFF"/>
        </w:rPr>
        <w:t>时应提供以下资料（均须加盖公章）：</w:t>
      </w:r>
    </w:p>
    <w:p>
      <w:pPr>
        <w:widowControl/>
        <w:shd w:val="clear" w:color="auto" w:fill="auto"/>
        <w:wordWrap/>
        <w:adjustRightInd/>
        <w:snapToGrid/>
        <w:spacing w:line="360" w:lineRule="auto"/>
        <w:ind w:firstLine="480"/>
        <w:textAlignment w:val="auto"/>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1、</w:t>
      </w:r>
      <w:r>
        <w:rPr>
          <w:rFonts w:hint="eastAsia" w:ascii="仿宋" w:hAnsi="仿宋" w:eastAsia="仿宋" w:cs="仿宋"/>
          <w:color w:val="auto"/>
          <w:kern w:val="0"/>
          <w:sz w:val="24"/>
          <w:szCs w:val="24"/>
          <w:highlight w:val="none"/>
          <w:shd w:val="clear" w:color="auto" w:fill="FFFFFF"/>
        </w:rPr>
        <w:t>企业法人营业执照（或事业单位法人证书）</w:t>
      </w:r>
      <w:r>
        <w:rPr>
          <w:rFonts w:hint="eastAsia" w:ascii="仿宋" w:hAnsi="仿宋" w:eastAsia="仿宋" w:cs="仿宋"/>
          <w:color w:val="auto"/>
          <w:kern w:val="0"/>
          <w:sz w:val="24"/>
          <w:szCs w:val="24"/>
          <w:highlight w:val="none"/>
          <w:shd w:val="clear" w:color="auto" w:fill="FFFFFF"/>
          <w:lang w:val="en-US" w:eastAsia="zh-CN"/>
        </w:rPr>
        <w:t>复印件加盖公章；</w:t>
      </w:r>
    </w:p>
    <w:p>
      <w:pPr>
        <w:widowControl/>
        <w:shd w:val="clear" w:color="auto" w:fill="auto"/>
        <w:wordWrap/>
        <w:adjustRightInd/>
        <w:snapToGrid/>
        <w:spacing w:line="360" w:lineRule="auto"/>
        <w:ind w:firstLine="480"/>
        <w:textAlignment w:val="auto"/>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2、</w:t>
      </w:r>
      <w:r>
        <w:rPr>
          <w:rFonts w:hint="eastAsia" w:ascii="仿宋" w:hAnsi="仿宋" w:eastAsia="仿宋" w:cs="仿宋"/>
          <w:color w:val="auto"/>
          <w:kern w:val="0"/>
          <w:sz w:val="24"/>
          <w:szCs w:val="24"/>
          <w:highlight w:val="none"/>
          <w:shd w:val="clear" w:color="auto" w:fill="FFFFFF"/>
        </w:rPr>
        <w:t>法定代表人授权委托书原件</w:t>
      </w:r>
      <w:r>
        <w:rPr>
          <w:rFonts w:hint="eastAsia" w:ascii="仿宋" w:hAnsi="仿宋" w:eastAsia="仿宋" w:cs="仿宋"/>
          <w:color w:val="auto"/>
          <w:kern w:val="0"/>
          <w:sz w:val="24"/>
          <w:szCs w:val="24"/>
          <w:highlight w:val="none"/>
          <w:shd w:val="clear" w:color="auto" w:fill="FFFFFF"/>
          <w:lang w:val="en-US" w:eastAsia="zh-CN"/>
        </w:rPr>
        <w:t>。</w:t>
      </w:r>
    </w:p>
    <w:p>
      <w:pPr>
        <w:widowControl/>
        <w:shd w:val="clear" w:color="auto" w:fill="auto"/>
        <w:wordWrap/>
        <w:adjustRightInd/>
        <w:snapToGrid/>
        <w:spacing w:line="360" w:lineRule="auto"/>
        <w:ind w:firstLine="480"/>
        <w:textAlignment w:val="auto"/>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3、</w:t>
      </w:r>
      <w:r>
        <w:rPr>
          <w:rFonts w:hint="eastAsia" w:ascii="仿宋" w:hAnsi="仿宋" w:eastAsia="仿宋" w:cs="仿宋"/>
          <w:color w:val="auto"/>
          <w:kern w:val="0"/>
          <w:sz w:val="24"/>
          <w:szCs w:val="24"/>
          <w:highlight w:val="none"/>
          <w:shd w:val="clear" w:color="auto" w:fill="FFFFFF"/>
        </w:rPr>
        <w:t>授权代表有效身份证件原件及复印件；</w:t>
      </w:r>
    </w:p>
    <w:p>
      <w:pPr>
        <w:numPr>
          <w:ilvl w:val="0"/>
          <w:numId w:val="0"/>
        </w:numPr>
        <w:shd w:val="clear" w:color="010000" w:fill="auto"/>
        <w:tabs>
          <w:tab w:val="left" w:pos="360"/>
          <w:tab w:val="left" w:pos="540"/>
        </w:tabs>
        <w:wordWrap/>
        <w:snapToGrid w:val="0"/>
        <w:spacing w:line="36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只有按规定获取招标文件且资格审查通过的单位才能作为投标人参加本项目的投标，其他单位递交的投标文件将被拒绝。</w:t>
      </w:r>
    </w:p>
    <w:p>
      <w:pPr>
        <w:numPr>
          <w:ilvl w:val="0"/>
          <w:numId w:val="0"/>
        </w:numPr>
        <w:shd w:val="clear" w:color="010000" w:fill="auto"/>
        <w:tabs>
          <w:tab w:val="left" w:pos="360"/>
          <w:tab w:val="left" w:pos="540"/>
        </w:tabs>
        <w:wordWrap/>
        <w:snapToGrid w:val="0"/>
        <w:spacing w:line="360" w:lineRule="auto"/>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val="en-US" w:eastAsia="zh-CN"/>
        </w:rPr>
        <w:t>七</w:t>
      </w:r>
      <w:r>
        <w:rPr>
          <w:rFonts w:hint="eastAsia" w:ascii="仿宋" w:hAnsi="仿宋" w:eastAsia="仿宋" w:cs="仿宋"/>
          <w:b/>
          <w:color w:val="auto"/>
          <w:kern w:val="0"/>
          <w:sz w:val="24"/>
          <w:highlight w:val="none"/>
        </w:rPr>
        <w:t>、公告期限：自本公告发布之日起5个工作日。</w:t>
      </w:r>
    </w:p>
    <w:p>
      <w:pPr>
        <w:pStyle w:val="61"/>
        <w:shd w:val="clear" w:color="010000" w:fill="auto"/>
        <w:wordWrap/>
        <w:adjustRightInd w:val="0"/>
        <w:snapToGrid w:val="0"/>
        <w:spacing w:before="0" w:beforeAutospacing="0" w:after="0" w:afterAutospacing="0" w:line="360" w:lineRule="auto"/>
        <w:jc w:val="both"/>
        <w:textAlignment w:val="auto"/>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八</w:t>
      </w:r>
      <w:r>
        <w:rPr>
          <w:rFonts w:hint="eastAsia" w:ascii="仿宋" w:hAnsi="仿宋" w:eastAsia="仿宋" w:cs="仿宋"/>
          <w:b/>
          <w:color w:val="auto"/>
          <w:highlight w:val="none"/>
        </w:rPr>
        <w:t>、招标文件的获取、更正公告发布、中标结果的发布：</w:t>
      </w:r>
    </w:p>
    <w:p>
      <w:pPr>
        <w:widowControl/>
        <w:shd w:val="clear" w:color="auto" w:fill="auto"/>
        <w:wordWrap/>
        <w:snapToGrid w:val="0"/>
        <w:spacing w:line="360" w:lineRule="auto"/>
        <w:jc w:val="left"/>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1、本项目征集文件和补充（答疑、澄清）、修改文件以临采云平台（lpnbsc.lecaiyun.com）下载方式发放，由投标人自行关注以上网址。</w:t>
      </w:r>
    </w:p>
    <w:p>
      <w:pPr>
        <w:widowControl/>
        <w:shd w:val="clear" w:color="auto" w:fill="auto"/>
        <w:wordWrap/>
        <w:snapToGrid w:val="0"/>
        <w:spacing w:line="360" w:lineRule="auto"/>
        <w:jc w:val="left"/>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2、澄清、修改等更正补充公告请自行登录该网站进行下载查看。</w:t>
      </w:r>
    </w:p>
    <w:p>
      <w:pPr>
        <w:widowControl/>
        <w:shd w:val="clear" w:color="auto" w:fill="auto"/>
        <w:wordWrap/>
        <w:snapToGrid w:val="0"/>
        <w:spacing w:line="360" w:lineRule="auto"/>
        <w:jc w:val="left"/>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val="en-US" w:eastAsia="zh-CN"/>
        </w:rPr>
        <w:t>九</w:t>
      </w:r>
      <w:r>
        <w:rPr>
          <w:rFonts w:hint="eastAsia" w:ascii="仿宋" w:hAnsi="仿宋" w:eastAsia="仿宋" w:cs="仿宋"/>
          <w:b/>
          <w:color w:val="auto"/>
          <w:kern w:val="0"/>
          <w:sz w:val="24"/>
          <w:highlight w:val="none"/>
        </w:rPr>
        <w:t>、投标截止时间与地点（逾期送达或未密封将予以拒收）：</w:t>
      </w:r>
    </w:p>
    <w:p>
      <w:pPr>
        <w:widowControl/>
        <w:shd w:val="clear" w:color="auto"/>
        <w:wordWrap/>
        <w:snapToGrid w:val="0"/>
        <w:spacing w:line="360" w:lineRule="auto"/>
        <w:ind w:firstLine="482" w:firstLineChars="200"/>
        <w:jc w:val="left"/>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u w:val="single"/>
        </w:rPr>
        <w:t>202</w:t>
      </w:r>
      <w:r>
        <w:rPr>
          <w:rFonts w:hint="eastAsia" w:ascii="仿宋" w:hAnsi="仿宋" w:eastAsia="仿宋" w:cs="仿宋"/>
          <w:b/>
          <w:bCs/>
          <w:color w:val="auto"/>
          <w:kern w:val="0"/>
          <w:sz w:val="24"/>
          <w:highlight w:val="none"/>
          <w:u w:val="single"/>
          <w:lang w:val="en-US" w:eastAsia="zh-CN"/>
        </w:rPr>
        <w:t>5</w:t>
      </w:r>
      <w:r>
        <w:rPr>
          <w:rFonts w:hint="eastAsia" w:ascii="仿宋" w:hAnsi="仿宋" w:eastAsia="仿宋" w:cs="仿宋"/>
          <w:b/>
          <w:bCs/>
          <w:color w:val="auto"/>
          <w:kern w:val="0"/>
          <w:sz w:val="24"/>
          <w:highlight w:val="none"/>
        </w:rPr>
        <w:t>年</w:t>
      </w:r>
      <w:r>
        <w:rPr>
          <w:rFonts w:hint="eastAsia" w:ascii="仿宋" w:hAnsi="仿宋" w:eastAsia="仿宋" w:cs="仿宋"/>
          <w:b/>
          <w:bCs/>
          <w:color w:val="auto"/>
          <w:kern w:val="0"/>
          <w:sz w:val="24"/>
          <w:highlight w:val="none"/>
          <w:u w:val="single"/>
          <w:lang w:val="en-US" w:eastAsia="zh-CN"/>
        </w:rPr>
        <w:t>2</w:t>
      </w:r>
      <w:r>
        <w:rPr>
          <w:rFonts w:hint="eastAsia" w:ascii="仿宋" w:hAnsi="仿宋" w:eastAsia="仿宋" w:cs="仿宋"/>
          <w:b/>
          <w:bCs/>
          <w:color w:val="auto"/>
          <w:kern w:val="0"/>
          <w:sz w:val="24"/>
          <w:highlight w:val="none"/>
        </w:rPr>
        <w:t>月</w:t>
      </w:r>
      <w:r>
        <w:rPr>
          <w:rFonts w:hint="eastAsia" w:ascii="仿宋" w:hAnsi="仿宋" w:eastAsia="仿宋" w:cs="仿宋"/>
          <w:b/>
          <w:bCs/>
          <w:color w:val="auto"/>
          <w:kern w:val="0"/>
          <w:sz w:val="24"/>
          <w:highlight w:val="none"/>
          <w:u w:val="single"/>
          <w:lang w:val="en-US" w:eastAsia="zh-CN"/>
        </w:rPr>
        <w:t>8</w:t>
      </w:r>
      <w:r>
        <w:rPr>
          <w:rFonts w:hint="eastAsia" w:ascii="仿宋" w:hAnsi="仿宋" w:eastAsia="仿宋" w:cs="仿宋"/>
          <w:b/>
          <w:bCs/>
          <w:color w:val="auto"/>
          <w:kern w:val="0"/>
          <w:sz w:val="24"/>
          <w:highlight w:val="none"/>
        </w:rPr>
        <w:t>日</w:t>
      </w:r>
      <w:r>
        <w:rPr>
          <w:rFonts w:hint="eastAsia" w:ascii="仿宋" w:hAnsi="仿宋" w:eastAsia="仿宋" w:cs="仿宋"/>
          <w:b/>
          <w:bCs/>
          <w:color w:val="auto"/>
          <w:kern w:val="0"/>
          <w:sz w:val="24"/>
          <w:highlight w:val="none"/>
          <w:u w:val="single"/>
          <w:lang w:val="en-US" w:eastAsia="zh-CN"/>
        </w:rPr>
        <w:t>9</w:t>
      </w:r>
      <w:r>
        <w:rPr>
          <w:rFonts w:hint="eastAsia" w:ascii="仿宋" w:hAnsi="仿宋" w:eastAsia="仿宋" w:cs="仿宋"/>
          <w:b/>
          <w:bCs/>
          <w:color w:val="auto"/>
          <w:kern w:val="0"/>
          <w:sz w:val="24"/>
          <w:highlight w:val="none"/>
        </w:rPr>
        <w:t>时</w:t>
      </w:r>
      <w:r>
        <w:rPr>
          <w:rFonts w:hint="eastAsia" w:ascii="仿宋" w:hAnsi="仿宋" w:eastAsia="仿宋" w:cs="仿宋"/>
          <w:b/>
          <w:bCs/>
          <w:color w:val="auto"/>
          <w:kern w:val="0"/>
          <w:sz w:val="24"/>
          <w:highlight w:val="none"/>
          <w:u w:val="single"/>
          <w:lang w:val="en-US" w:eastAsia="zh-CN"/>
        </w:rPr>
        <w:t xml:space="preserve"> 30</w:t>
      </w:r>
      <w:r>
        <w:rPr>
          <w:rFonts w:hint="eastAsia" w:ascii="仿宋" w:hAnsi="仿宋" w:eastAsia="仿宋" w:cs="仿宋"/>
          <w:b/>
          <w:bCs/>
          <w:color w:val="auto"/>
          <w:kern w:val="0"/>
          <w:sz w:val="24"/>
          <w:highlight w:val="none"/>
        </w:rPr>
        <w:t>分止</w:t>
      </w:r>
    </w:p>
    <w:p>
      <w:pPr>
        <w:widowControl/>
        <w:shd w:val="clear" w:color="auto"/>
        <w:wordWrap/>
        <w:snapToGrid w:val="0"/>
        <w:spacing w:line="360" w:lineRule="auto"/>
        <w:ind w:firstLine="480" w:firstLineChars="200"/>
        <w:jc w:val="left"/>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lang w:val="en-US" w:eastAsia="zh-CN"/>
        </w:rPr>
        <w:t>杭州市临平区东湖街道昌达路159号百联奥特莱斯二期17号楼一楼开标室</w:t>
      </w:r>
    </w:p>
    <w:p>
      <w:pPr>
        <w:widowControl/>
        <w:shd w:val="clear" w:color="auto"/>
        <w:wordWrap/>
        <w:snapToGrid w:val="0"/>
        <w:spacing w:line="360" w:lineRule="auto"/>
        <w:jc w:val="left"/>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lang w:val="en-US" w:eastAsia="zh-CN"/>
        </w:rPr>
        <w:t>十</w:t>
      </w:r>
      <w:r>
        <w:rPr>
          <w:rFonts w:hint="eastAsia" w:ascii="仿宋" w:hAnsi="仿宋" w:eastAsia="仿宋" w:cs="仿宋"/>
          <w:b/>
          <w:color w:val="auto"/>
          <w:kern w:val="0"/>
          <w:sz w:val="24"/>
          <w:highlight w:val="none"/>
        </w:rPr>
        <w:t>、开标时间与地点：</w:t>
      </w:r>
    </w:p>
    <w:p>
      <w:pPr>
        <w:widowControl/>
        <w:shd w:val="clear" w:color="auto"/>
        <w:wordWrap/>
        <w:snapToGrid w:val="0"/>
        <w:spacing w:line="360" w:lineRule="auto"/>
        <w:ind w:firstLine="482" w:firstLineChars="200"/>
        <w:jc w:val="left"/>
        <w:textAlignment w:val="auto"/>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20</w:t>
      </w:r>
      <w:r>
        <w:rPr>
          <w:rFonts w:hint="eastAsia" w:ascii="仿宋" w:hAnsi="仿宋" w:eastAsia="仿宋" w:cs="仿宋"/>
          <w:b/>
          <w:bCs/>
          <w:color w:val="auto"/>
          <w:kern w:val="0"/>
          <w:sz w:val="24"/>
          <w:highlight w:val="none"/>
          <w:u w:val="single"/>
          <w:lang w:val="en-US" w:eastAsia="zh-CN"/>
        </w:rPr>
        <w:t>25</w:t>
      </w:r>
      <w:r>
        <w:rPr>
          <w:rFonts w:hint="eastAsia" w:ascii="仿宋" w:hAnsi="仿宋" w:eastAsia="仿宋" w:cs="仿宋"/>
          <w:b/>
          <w:bCs/>
          <w:color w:val="auto"/>
          <w:kern w:val="0"/>
          <w:sz w:val="24"/>
          <w:highlight w:val="none"/>
        </w:rPr>
        <w:t>年</w:t>
      </w:r>
      <w:r>
        <w:rPr>
          <w:rFonts w:hint="eastAsia" w:ascii="仿宋" w:hAnsi="仿宋" w:eastAsia="仿宋" w:cs="仿宋"/>
          <w:b/>
          <w:bCs/>
          <w:color w:val="auto"/>
          <w:kern w:val="0"/>
          <w:sz w:val="24"/>
          <w:highlight w:val="none"/>
          <w:u w:val="single"/>
          <w:lang w:val="en-US" w:eastAsia="zh-CN"/>
        </w:rPr>
        <w:t>2</w:t>
      </w:r>
      <w:r>
        <w:rPr>
          <w:rFonts w:hint="eastAsia" w:ascii="仿宋" w:hAnsi="仿宋" w:eastAsia="仿宋" w:cs="仿宋"/>
          <w:b/>
          <w:bCs/>
          <w:color w:val="auto"/>
          <w:kern w:val="0"/>
          <w:sz w:val="24"/>
          <w:highlight w:val="none"/>
        </w:rPr>
        <w:t>月</w:t>
      </w:r>
      <w:r>
        <w:rPr>
          <w:rFonts w:hint="eastAsia" w:ascii="仿宋" w:hAnsi="仿宋" w:eastAsia="仿宋" w:cs="仿宋"/>
          <w:b/>
          <w:bCs/>
          <w:color w:val="auto"/>
          <w:kern w:val="0"/>
          <w:sz w:val="24"/>
          <w:highlight w:val="none"/>
          <w:u w:val="single"/>
          <w:lang w:val="en-US" w:eastAsia="zh-CN"/>
        </w:rPr>
        <w:t>8</w:t>
      </w:r>
      <w:r>
        <w:rPr>
          <w:rFonts w:hint="eastAsia" w:ascii="仿宋" w:hAnsi="仿宋" w:eastAsia="仿宋" w:cs="仿宋"/>
          <w:b/>
          <w:bCs/>
          <w:color w:val="auto"/>
          <w:kern w:val="0"/>
          <w:sz w:val="24"/>
          <w:highlight w:val="none"/>
        </w:rPr>
        <w:t>日</w:t>
      </w:r>
      <w:r>
        <w:rPr>
          <w:rFonts w:hint="eastAsia" w:ascii="仿宋" w:hAnsi="仿宋" w:eastAsia="仿宋" w:cs="仿宋"/>
          <w:b/>
          <w:bCs/>
          <w:color w:val="auto"/>
          <w:kern w:val="0"/>
          <w:sz w:val="24"/>
          <w:highlight w:val="none"/>
          <w:u w:val="single"/>
          <w:lang w:val="en-US" w:eastAsia="zh-CN"/>
        </w:rPr>
        <w:t>9</w:t>
      </w:r>
      <w:r>
        <w:rPr>
          <w:rFonts w:hint="eastAsia" w:ascii="仿宋" w:hAnsi="仿宋" w:eastAsia="仿宋" w:cs="仿宋"/>
          <w:b/>
          <w:bCs/>
          <w:color w:val="auto"/>
          <w:kern w:val="0"/>
          <w:sz w:val="24"/>
          <w:highlight w:val="none"/>
        </w:rPr>
        <w:t>时</w:t>
      </w:r>
      <w:r>
        <w:rPr>
          <w:rFonts w:hint="eastAsia" w:ascii="仿宋" w:hAnsi="仿宋" w:eastAsia="仿宋" w:cs="仿宋"/>
          <w:b/>
          <w:bCs/>
          <w:color w:val="auto"/>
          <w:kern w:val="0"/>
          <w:sz w:val="24"/>
          <w:highlight w:val="none"/>
          <w:u w:val="single"/>
          <w:lang w:val="en-US" w:eastAsia="zh-CN"/>
        </w:rPr>
        <w:t>30</w:t>
      </w:r>
      <w:r>
        <w:rPr>
          <w:rFonts w:hint="eastAsia" w:ascii="仿宋" w:hAnsi="仿宋" w:eastAsia="仿宋" w:cs="仿宋"/>
          <w:b/>
          <w:bCs/>
          <w:color w:val="auto"/>
          <w:kern w:val="0"/>
          <w:sz w:val="24"/>
          <w:highlight w:val="none"/>
        </w:rPr>
        <w:t>分</w:t>
      </w:r>
    </w:p>
    <w:p>
      <w:pPr>
        <w:widowControl/>
        <w:shd w:val="clear" w:color="auto"/>
        <w:wordWrap/>
        <w:snapToGrid w:val="0"/>
        <w:spacing w:line="360" w:lineRule="auto"/>
        <w:ind w:firstLine="480" w:firstLineChars="200"/>
        <w:jc w:val="left"/>
        <w:textAlignment w:val="auto"/>
        <w:rPr>
          <w:rFonts w:hint="eastAsia" w:ascii="仿宋" w:hAnsi="仿宋" w:eastAsia="仿宋" w:cs="仿宋"/>
          <w:color w:val="auto"/>
          <w:kern w:val="0"/>
          <w:sz w:val="24"/>
          <w:highlight w:val="none"/>
          <w:u w:val="single"/>
          <w:lang w:val="en-US" w:eastAsia="zh-CN"/>
        </w:rPr>
      </w:pPr>
      <w:r>
        <w:rPr>
          <w:rFonts w:hint="eastAsia" w:ascii="仿宋" w:hAnsi="仿宋" w:eastAsia="仿宋" w:cs="仿宋"/>
          <w:color w:val="auto"/>
          <w:kern w:val="0"/>
          <w:sz w:val="24"/>
          <w:highlight w:val="none"/>
          <w:u w:val="single"/>
          <w:lang w:val="en-US" w:eastAsia="zh-CN"/>
        </w:rPr>
        <w:t>杭州市临平区东湖街道昌达路159号百联奥特莱斯二期17号楼一楼开标室</w:t>
      </w:r>
    </w:p>
    <w:p>
      <w:pPr>
        <w:widowControl/>
        <w:shd w:val="clear" w:color="auto" w:fill="auto"/>
        <w:wordWrap/>
        <w:snapToGrid w:val="0"/>
        <w:spacing w:line="360" w:lineRule="auto"/>
        <w:jc w:val="left"/>
        <w:textAlignment w:val="auto"/>
        <w:rPr>
          <w:rFonts w:hint="eastAsia" w:ascii="仿宋" w:hAnsi="仿宋" w:eastAsia="仿宋" w:cs="仿宋"/>
          <w:b/>
          <w:color w:val="auto"/>
          <w:kern w:val="0"/>
          <w:sz w:val="24"/>
          <w:highlight w:val="none"/>
        </w:rPr>
      </w:pPr>
      <w:r>
        <w:rPr>
          <w:rFonts w:hint="eastAsia" w:ascii="仿宋" w:hAnsi="仿宋" w:eastAsia="仿宋" w:cs="仿宋"/>
          <w:b/>
          <w:bCs/>
          <w:color w:val="auto"/>
          <w:sz w:val="24"/>
          <w:szCs w:val="24"/>
          <w:highlight w:val="none"/>
          <w:lang w:val="en-US" w:eastAsia="zh-CN"/>
        </w:rPr>
        <w:t>十一</w:t>
      </w:r>
      <w:r>
        <w:rPr>
          <w:rFonts w:hint="eastAsia" w:ascii="仿宋" w:hAnsi="仿宋" w:eastAsia="仿宋" w:cs="仿宋"/>
          <w:b/>
          <w:bCs/>
          <w:color w:val="auto"/>
          <w:sz w:val="24"/>
          <w:highlight w:val="none"/>
          <w:shd w:val="clear" w:color="auto" w:fill="FFFFFF"/>
        </w:rPr>
        <w:t>、</w:t>
      </w:r>
      <w:r>
        <w:rPr>
          <w:rFonts w:hint="eastAsia" w:ascii="仿宋" w:hAnsi="仿宋" w:eastAsia="仿宋" w:cs="仿宋"/>
          <w:b/>
          <w:color w:val="auto"/>
          <w:kern w:val="0"/>
          <w:sz w:val="24"/>
          <w:highlight w:val="none"/>
        </w:rPr>
        <w:t>联系方式：</w:t>
      </w:r>
    </w:p>
    <w:p>
      <w:pPr>
        <w:shd w:val="clear" w:color="000000" w:fill="auto"/>
        <w:wordWrap/>
        <w:spacing w:line="360" w:lineRule="auto"/>
        <w:ind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招标人：</w:t>
      </w:r>
      <w:r>
        <w:rPr>
          <w:rFonts w:hint="eastAsia" w:ascii="仿宋" w:hAnsi="仿宋" w:eastAsia="仿宋" w:cs="仿宋"/>
          <w:color w:val="auto"/>
          <w:sz w:val="24"/>
          <w:highlight w:val="none"/>
          <w:lang w:val="en-US" w:eastAsia="zh-CN"/>
        </w:rPr>
        <w:t>杭州临平旅游文化创意有限公司</w:t>
      </w:r>
    </w:p>
    <w:p>
      <w:pPr>
        <w:shd w:val="clear" w:color="000000" w:fill="auto"/>
        <w:wordWrap/>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尤</w:t>
      </w:r>
      <w:r>
        <w:rPr>
          <w:rFonts w:hint="eastAsia" w:ascii="仿宋" w:hAnsi="仿宋" w:eastAsia="仿宋" w:cs="仿宋"/>
          <w:color w:val="auto"/>
          <w:sz w:val="24"/>
          <w:highlight w:val="none"/>
          <w:lang w:val="en-US" w:eastAsia="zh-CN"/>
        </w:rPr>
        <w:t>工</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lang w:val="en-US" w:eastAsia="zh-CN"/>
        </w:rPr>
        <w:t>18358110788</w:t>
      </w:r>
    </w:p>
    <w:p>
      <w:pPr>
        <w:shd w:val="clear" w:color="000000" w:fill="auto"/>
        <w:wordWrap/>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招标代理机构：</w:t>
      </w:r>
      <w:r>
        <w:rPr>
          <w:rFonts w:hint="eastAsia" w:ascii="仿宋" w:hAnsi="仿宋" w:eastAsia="仿宋" w:cs="仿宋"/>
          <w:color w:val="auto"/>
          <w:sz w:val="24"/>
          <w:highlight w:val="none"/>
          <w:lang w:val="en-US" w:eastAsia="zh-CN"/>
        </w:rPr>
        <w:t>杭州华瑞新洲工程造价咨询有限公司</w:t>
      </w:r>
      <w:r>
        <w:rPr>
          <w:rFonts w:hint="eastAsia" w:ascii="仿宋" w:hAnsi="仿宋" w:eastAsia="仿宋" w:cs="仿宋"/>
          <w:color w:val="auto"/>
          <w:sz w:val="24"/>
          <w:highlight w:val="none"/>
        </w:rPr>
        <w:t xml:space="preserve">   </w:t>
      </w:r>
    </w:p>
    <w:p>
      <w:pPr>
        <w:shd w:val="clear" w:color="000000" w:fill="auto"/>
        <w:wordWrap/>
        <w:spacing w:line="360" w:lineRule="auto"/>
        <w:ind w:firstLine="480" w:firstLineChars="200"/>
        <w:textAlignment w:val="auto"/>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陈俊</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val="en-US" w:eastAsia="zh-CN"/>
        </w:rPr>
        <w:t>18205818331</w:t>
      </w:r>
      <w:r>
        <w:rPr>
          <w:rFonts w:hint="eastAsia" w:ascii="仿宋" w:hAnsi="仿宋" w:eastAsia="仿宋" w:cs="仿宋"/>
          <w:color w:val="auto"/>
          <w:sz w:val="24"/>
          <w:highlight w:val="none"/>
        </w:rPr>
        <w:t xml:space="preserve">                  </w:t>
      </w:r>
      <w:r>
        <w:rPr>
          <w:rFonts w:hint="eastAsia" w:ascii="仿宋" w:hAnsi="仿宋" w:eastAsia="仿宋" w:cs="仿宋"/>
          <w:b/>
          <w:bCs/>
          <w:color w:val="auto"/>
          <w:kern w:val="0"/>
          <w:sz w:val="24"/>
          <w:highlight w:val="none"/>
        </w:rPr>
        <w:br w:type="page"/>
      </w:r>
    </w:p>
    <w:p>
      <w:pPr>
        <w:shd w:val="clear" w:color="000000" w:fill="auto"/>
        <w:spacing w:line="400" w:lineRule="exact"/>
        <w:rPr>
          <w:rFonts w:hint="eastAsia" w:ascii="仿宋" w:hAnsi="仿宋" w:eastAsia="仿宋" w:cs="仿宋"/>
          <w:color w:val="auto"/>
          <w:highlight w:val="none"/>
        </w:rPr>
      </w:pPr>
      <w:r>
        <w:rPr>
          <w:rFonts w:hint="eastAsia" w:ascii="仿宋" w:hAnsi="仿宋" w:eastAsia="仿宋" w:cs="仿宋"/>
          <w:b/>
          <w:bCs/>
          <w:color w:val="auto"/>
          <w:kern w:val="0"/>
          <w:sz w:val="24"/>
          <w:highlight w:val="none"/>
        </w:rPr>
        <w:t>附件：</w:t>
      </w:r>
      <w:r>
        <w:rPr>
          <w:rFonts w:hint="eastAsia" w:ascii="仿宋" w:hAnsi="仿宋" w:eastAsia="仿宋" w:cs="仿宋"/>
          <w:b/>
          <w:bCs/>
          <w:color w:val="auto"/>
          <w:sz w:val="24"/>
          <w:szCs w:val="21"/>
          <w:highlight w:val="none"/>
        </w:rPr>
        <w:t>开标室行车路线图</w:t>
      </w:r>
    </w:p>
    <w:p>
      <w:pPr>
        <w:shd w:val="clear" w:color="000000" w:fill="auto"/>
        <w:jc w:val="center"/>
        <w:rPr>
          <w:rFonts w:hint="eastAsia" w:ascii="仿宋" w:hAnsi="仿宋" w:eastAsia="仿宋" w:cs="仿宋"/>
          <w:color w:val="auto"/>
          <w:highlight w:val="none"/>
        </w:rPr>
      </w:pPr>
      <w:r>
        <w:rPr>
          <w:rFonts w:hint="eastAsia" w:ascii="仿宋" w:hAnsi="仿宋" w:eastAsia="仿宋" w:cs="仿宋"/>
          <w:color w:val="auto"/>
          <w:kern w:val="2"/>
          <w:sz w:val="32"/>
          <w:szCs w:val="24"/>
          <w:highlight w:val="none"/>
          <w:lang w:val="en-US" w:eastAsia="zh-CN" w:bidi="ar-SA"/>
        </w:rPr>
        <w:drawing>
          <wp:anchor distT="0" distB="0" distL="114300" distR="114300" simplePos="0" relativeHeight="251659264" behindDoc="0" locked="0" layoutInCell="1" allowOverlap="1">
            <wp:simplePos x="0" y="0"/>
            <wp:positionH relativeFrom="page">
              <wp:posOffset>1145540</wp:posOffset>
            </wp:positionH>
            <wp:positionV relativeFrom="page">
              <wp:posOffset>1463040</wp:posOffset>
            </wp:positionV>
            <wp:extent cx="5173345" cy="3857625"/>
            <wp:effectExtent l="0" t="0" r="8255" b="9525"/>
            <wp:wrapSquare wrapText="bothSides"/>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8">
                      <a:lum/>
                    </a:blip>
                    <a:stretch>
                      <a:fillRect/>
                    </a:stretch>
                  </pic:blipFill>
                  <pic:spPr>
                    <a:xfrm>
                      <a:off x="0" y="0"/>
                      <a:ext cx="5173345" cy="3857625"/>
                    </a:xfrm>
                    <a:prstGeom prst="rect">
                      <a:avLst/>
                    </a:prstGeom>
                    <a:noFill/>
                    <a:ln>
                      <a:noFill/>
                    </a:ln>
                  </pic:spPr>
                </pic:pic>
              </a:graphicData>
            </a:graphic>
          </wp:anchor>
        </w:drawing>
      </w:r>
      <w:r>
        <w:rPr>
          <w:rFonts w:hint="eastAsia" w:ascii="仿宋" w:hAnsi="仿宋" w:eastAsia="仿宋" w:cs="仿宋"/>
          <w:b/>
          <w:color w:val="auto"/>
          <w:sz w:val="28"/>
          <w:szCs w:val="28"/>
          <w:highlight w:val="none"/>
        </w:rPr>
        <w:br w:type="page"/>
      </w:r>
      <w:bookmarkStart w:id="6" w:name="_Toc14337"/>
      <w:r>
        <w:rPr>
          <w:rStyle w:val="132"/>
          <w:rFonts w:hint="eastAsia" w:ascii="仿宋" w:hAnsi="仿宋" w:eastAsia="仿宋" w:cs="仿宋"/>
          <w:color w:val="auto"/>
          <w:highlight w:val="none"/>
          <w:lang w:val="en-US" w:eastAsia="zh-CN"/>
        </w:rPr>
        <w:t>第二部分 投标人须知</w:t>
      </w:r>
      <w:bookmarkEnd w:id="5"/>
      <w:bookmarkEnd w:id="6"/>
    </w:p>
    <w:p>
      <w:pPr>
        <w:shd w:val="clear" w:color="000000" w:fill="auto"/>
        <w:adjustRightInd w:val="0"/>
        <w:snapToGrid w:val="0"/>
        <w:spacing w:line="44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前附表</w:t>
      </w:r>
    </w:p>
    <w:tbl>
      <w:tblPr>
        <w:tblStyle w:val="27"/>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759"/>
        <w:gridCol w:w="6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hd w:val="clear" w:color="000000" w:fill="auto"/>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1759" w:type="dxa"/>
            <w:tcBorders>
              <w:top w:val="single" w:color="auto" w:sz="4" w:space="0"/>
              <w:left w:val="single" w:color="auto" w:sz="4" w:space="0"/>
              <w:bottom w:val="single" w:color="auto" w:sz="4" w:space="0"/>
              <w:right w:val="single" w:color="auto" w:sz="4" w:space="0"/>
            </w:tcBorders>
            <w:vAlign w:val="center"/>
          </w:tcPr>
          <w:p>
            <w:pPr>
              <w:shd w:val="clear" w:color="000000" w:fill="auto"/>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名   目</w:t>
            </w:r>
          </w:p>
        </w:tc>
        <w:tc>
          <w:tcPr>
            <w:tcW w:w="6959" w:type="dxa"/>
            <w:tcBorders>
              <w:top w:val="single" w:color="auto" w:sz="4" w:space="0"/>
              <w:left w:val="single" w:color="auto" w:sz="4" w:space="0"/>
              <w:bottom w:val="single" w:color="auto" w:sz="4" w:space="0"/>
              <w:right w:val="single" w:color="auto" w:sz="12" w:space="0"/>
            </w:tcBorders>
            <w:vAlign w:val="center"/>
          </w:tcPr>
          <w:p>
            <w:pPr>
              <w:shd w:val="clear" w:color="000000" w:fill="auto"/>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hd w:val="clear" w:color="000000" w:fill="auto"/>
              <w:spacing w:line="440" w:lineRule="exact"/>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759" w:type="dxa"/>
            <w:tcBorders>
              <w:top w:val="single" w:color="auto" w:sz="4" w:space="0"/>
              <w:left w:val="single" w:color="auto" w:sz="4" w:space="0"/>
              <w:bottom w:val="single" w:color="auto" w:sz="4" w:space="0"/>
              <w:right w:val="single" w:color="auto" w:sz="4" w:space="0"/>
            </w:tcBorders>
            <w:vAlign w:val="center"/>
          </w:tcPr>
          <w:p>
            <w:pPr>
              <w:shd w:val="clear" w:color="000000" w:fill="auto"/>
              <w:spacing w:line="44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6959" w:type="dxa"/>
            <w:tcBorders>
              <w:top w:val="single" w:color="auto" w:sz="4" w:space="0"/>
              <w:left w:val="single" w:color="auto" w:sz="4" w:space="0"/>
              <w:bottom w:val="single" w:color="auto" w:sz="4" w:space="0"/>
              <w:right w:val="single" w:color="auto" w:sz="12" w:space="0"/>
            </w:tcBorders>
            <w:vAlign w:val="center"/>
          </w:tcPr>
          <w:p>
            <w:pPr>
              <w:shd w:val="clear" w:color="000000" w:fill="auto"/>
              <w:spacing w:line="440" w:lineRule="exact"/>
              <w:rPr>
                <w:rFonts w:hint="eastAsia" w:ascii="仿宋" w:hAnsi="仿宋" w:eastAsia="仿宋" w:cs="仿宋"/>
                <w:b/>
                <w:bCs/>
                <w:color w:val="auto"/>
                <w:sz w:val="24"/>
                <w:szCs w:val="24"/>
                <w:highlight w:val="none"/>
                <w:lang w:eastAsia="zh-CN"/>
              </w:rPr>
            </w:pPr>
            <w:r>
              <w:rPr>
                <w:rFonts w:hint="eastAsia" w:ascii="仿宋" w:hAnsi="仿宋" w:eastAsia="仿宋" w:cs="仿宋"/>
                <w:b/>
                <w:color w:val="auto"/>
                <w:sz w:val="24"/>
                <w:szCs w:val="24"/>
                <w:highlight w:val="none"/>
                <w:lang w:eastAsia="zh-CN"/>
              </w:rPr>
              <w:t>2024-2025年度活动灯光舞台舞美租赁、布展物料采购合作项目（第二次）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hd w:val="clear" w:color="000000" w:fill="auto"/>
              <w:spacing w:line="44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759" w:type="dxa"/>
            <w:tcBorders>
              <w:top w:val="single" w:color="auto" w:sz="4" w:space="0"/>
              <w:left w:val="single" w:color="auto" w:sz="4" w:space="0"/>
              <w:bottom w:val="single" w:color="auto" w:sz="4" w:space="0"/>
              <w:right w:val="single" w:color="auto" w:sz="4" w:space="0"/>
            </w:tcBorders>
            <w:vAlign w:val="center"/>
          </w:tcPr>
          <w:p>
            <w:pPr>
              <w:shd w:val="clear" w:color="000000" w:fill="auto"/>
              <w:spacing w:line="44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招标</w:t>
            </w:r>
            <w:r>
              <w:rPr>
                <w:rFonts w:hint="eastAsia" w:ascii="仿宋" w:hAnsi="仿宋" w:eastAsia="仿宋" w:cs="仿宋"/>
                <w:color w:val="auto"/>
                <w:kern w:val="0"/>
                <w:sz w:val="24"/>
                <w:szCs w:val="24"/>
                <w:highlight w:val="none"/>
              </w:rPr>
              <w:t>编号</w:t>
            </w:r>
          </w:p>
        </w:tc>
        <w:tc>
          <w:tcPr>
            <w:tcW w:w="6959" w:type="dxa"/>
            <w:tcBorders>
              <w:top w:val="single" w:color="auto" w:sz="4" w:space="0"/>
              <w:left w:val="single" w:color="auto" w:sz="4" w:space="0"/>
              <w:bottom w:val="single" w:color="auto" w:sz="4" w:space="0"/>
              <w:right w:val="single" w:color="auto" w:sz="12" w:space="0"/>
            </w:tcBorders>
            <w:vAlign w:val="center"/>
          </w:tcPr>
          <w:p>
            <w:pPr>
              <w:shd w:val="clear" w:color="000000" w:fill="auto"/>
              <w:spacing w:line="44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临交集团（2024）采购051-1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hd w:val="clear" w:color="000000" w:fill="auto"/>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59" w:type="dxa"/>
            <w:tcBorders>
              <w:top w:val="single" w:color="auto" w:sz="4" w:space="0"/>
              <w:left w:val="single" w:color="auto" w:sz="4" w:space="0"/>
              <w:bottom w:val="single" w:color="auto" w:sz="4" w:space="0"/>
              <w:right w:val="single" w:color="auto" w:sz="4" w:space="0"/>
            </w:tcBorders>
            <w:vAlign w:val="center"/>
          </w:tcPr>
          <w:p>
            <w:pPr>
              <w:shd w:val="clear" w:color="000000" w:fill="auto"/>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6959" w:type="dxa"/>
            <w:tcBorders>
              <w:top w:val="single" w:color="auto" w:sz="4" w:space="0"/>
              <w:left w:val="single" w:color="auto" w:sz="4" w:space="0"/>
              <w:bottom w:val="single" w:color="auto" w:sz="4" w:space="0"/>
              <w:right w:val="single" w:color="auto" w:sz="12" w:space="0"/>
            </w:tcBorders>
            <w:vAlign w:val="center"/>
          </w:tcPr>
          <w:p>
            <w:pPr>
              <w:shd w:val="clear" w:color="000000" w:fill="auto"/>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投标文件递交后60天内有效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hd w:val="clear" w:color="000000" w:fill="auto"/>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759" w:type="dxa"/>
            <w:tcBorders>
              <w:top w:val="single" w:color="auto" w:sz="4" w:space="0"/>
              <w:left w:val="single" w:color="auto" w:sz="4" w:space="0"/>
              <w:bottom w:val="single" w:color="auto" w:sz="4" w:space="0"/>
              <w:right w:val="single" w:color="auto" w:sz="4" w:space="0"/>
            </w:tcBorders>
            <w:vAlign w:val="center"/>
          </w:tcPr>
          <w:p>
            <w:pPr>
              <w:shd w:val="clear" w:color="000000" w:fill="auto"/>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服务期</w:t>
            </w:r>
          </w:p>
        </w:tc>
        <w:tc>
          <w:tcPr>
            <w:tcW w:w="6959" w:type="dxa"/>
            <w:tcBorders>
              <w:top w:val="single" w:color="auto" w:sz="4" w:space="0"/>
              <w:left w:val="single" w:color="auto" w:sz="4" w:space="0"/>
              <w:bottom w:val="single" w:color="auto" w:sz="4" w:space="0"/>
              <w:right w:val="single" w:color="auto" w:sz="12" w:space="0"/>
            </w:tcBorders>
            <w:vAlign w:val="center"/>
          </w:tcPr>
          <w:p>
            <w:pPr>
              <w:shd w:val="clear" w:color="000000" w:fill="auto"/>
              <w:adjustRightInd w:val="0"/>
              <w:snapToGrid w:val="0"/>
              <w:spacing w:line="440" w:lineRule="exact"/>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hd w:val="clear" w:color="000000" w:fill="auto"/>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759" w:type="dxa"/>
            <w:tcBorders>
              <w:top w:val="single" w:color="auto" w:sz="4" w:space="0"/>
              <w:left w:val="single" w:color="auto" w:sz="4" w:space="0"/>
              <w:bottom w:val="single" w:color="auto" w:sz="4" w:space="0"/>
              <w:right w:val="single" w:color="auto" w:sz="4" w:space="0"/>
            </w:tcBorders>
            <w:vAlign w:val="center"/>
          </w:tcPr>
          <w:p>
            <w:pPr>
              <w:shd w:val="clear" w:color="000000" w:fill="auto"/>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投标文件份数</w:t>
            </w:r>
          </w:p>
        </w:tc>
        <w:tc>
          <w:tcPr>
            <w:tcW w:w="6959" w:type="dxa"/>
            <w:tcBorders>
              <w:top w:val="single" w:color="auto" w:sz="4" w:space="0"/>
              <w:left w:val="single" w:color="auto" w:sz="4" w:space="0"/>
              <w:bottom w:val="single" w:color="auto" w:sz="4" w:space="0"/>
              <w:right w:val="single" w:color="auto" w:sz="12" w:space="0"/>
            </w:tcBorders>
            <w:vAlign w:val="center"/>
          </w:tcPr>
          <w:p>
            <w:pPr>
              <w:shd w:val="clear" w:color="000000" w:fill="auto"/>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资格</w:t>
            </w:r>
            <w:r>
              <w:rPr>
                <w:rFonts w:hint="eastAsia" w:ascii="仿宋" w:hAnsi="仿宋" w:eastAsia="仿宋" w:cs="仿宋"/>
                <w:color w:val="auto"/>
                <w:sz w:val="24"/>
                <w:szCs w:val="24"/>
                <w:highlight w:val="none"/>
              </w:rPr>
              <w:t>文件：正本一份、副本四份</w:t>
            </w:r>
            <w:r>
              <w:rPr>
                <w:rFonts w:hint="eastAsia" w:ascii="仿宋" w:hAnsi="仿宋" w:eastAsia="仿宋" w:cs="仿宋"/>
                <w:color w:val="auto"/>
                <w:sz w:val="24"/>
                <w:szCs w:val="24"/>
                <w:highlight w:val="none"/>
                <w:lang w:val="en-US" w:eastAsia="zh-CN"/>
              </w:rPr>
              <w:t>；</w:t>
            </w:r>
          </w:p>
          <w:p>
            <w:pPr>
              <w:shd w:val="clear" w:color="000000" w:fill="auto"/>
              <w:adjustRightInd w:val="0"/>
              <w:snapToGrid w:val="0"/>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报价文件：正本一份、副本四份</w:t>
            </w:r>
            <w:r>
              <w:rPr>
                <w:rFonts w:hint="eastAsia" w:ascii="仿宋" w:hAnsi="仿宋" w:eastAsia="仿宋" w:cs="仿宋"/>
                <w:color w:val="auto"/>
                <w:sz w:val="24"/>
                <w:szCs w:val="24"/>
                <w:highlight w:val="none"/>
                <w:lang w:val="en-US" w:eastAsia="zh-CN"/>
              </w:rPr>
              <w:t xml:space="preserve">； </w:t>
            </w:r>
          </w:p>
          <w:p>
            <w:pPr>
              <w:shd w:val="clear" w:color="000000" w:fill="auto"/>
              <w:adjustRightInd w:val="0"/>
              <w:snapToGrid w:val="0"/>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商务</w:t>
            </w:r>
            <w:r>
              <w:rPr>
                <w:rFonts w:hint="eastAsia" w:ascii="仿宋" w:hAnsi="仿宋" w:eastAsia="仿宋" w:cs="仿宋"/>
                <w:color w:val="auto"/>
                <w:sz w:val="24"/>
                <w:szCs w:val="24"/>
                <w:highlight w:val="none"/>
              </w:rPr>
              <w:t>技术文件：正本一份、副本四份</w:t>
            </w:r>
            <w:r>
              <w:rPr>
                <w:rFonts w:hint="eastAsia" w:ascii="仿宋" w:hAnsi="仿宋" w:eastAsia="仿宋" w:cs="仿宋"/>
                <w:color w:val="auto"/>
                <w:sz w:val="24"/>
                <w:szCs w:val="24"/>
                <w:highlight w:val="none"/>
                <w:lang w:val="en-US" w:eastAsia="zh-CN"/>
              </w:rPr>
              <w:t>；</w:t>
            </w:r>
          </w:p>
          <w:p>
            <w:pPr>
              <w:shd w:val="clear" w:color="000000" w:fill="auto"/>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投标文件份数不符合要求的，视其投标无效。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hd w:val="clear" w:color="000000" w:fill="auto"/>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759" w:type="dxa"/>
            <w:tcBorders>
              <w:top w:val="single" w:color="auto" w:sz="4" w:space="0"/>
              <w:left w:val="single" w:color="auto" w:sz="4" w:space="0"/>
              <w:bottom w:val="single" w:color="auto" w:sz="4" w:space="0"/>
              <w:right w:val="single" w:color="auto" w:sz="4" w:space="0"/>
            </w:tcBorders>
            <w:vAlign w:val="center"/>
          </w:tcPr>
          <w:p>
            <w:pPr>
              <w:shd w:val="clear" w:color="000000" w:fill="auto"/>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评标方法</w:t>
            </w:r>
          </w:p>
        </w:tc>
        <w:tc>
          <w:tcPr>
            <w:tcW w:w="6959" w:type="dxa"/>
            <w:tcBorders>
              <w:top w:val="single" w:color="auto" w:sz="4" w:space="0"/>
              <w:left w:val="single" w:color="auto" w:sz="4" w:space="0"/>
              <w:bottom w:val="single" w:color="auto" w:sz="4" w:space="0"/>
              <w:right w:val="single" w:color="auto" w:sz="12" w:space="0"/>
            </w:tcBorders>
            <w:vAlign w:val="center"/>
          </w:tcPr>
          <w:p>
            <w:pPr>
              <w:shd w:val="clear" w:color="000000" w:fill="auto"/>
              <w:spacing w:line="440" w:lineRule="exact"/>
              <w:rPr>
                <w:rFonts w:hint="eastAsia" w:ascii="仿宋" w:hAnsi="仿宋" w:eastAsia="仿宋" w:cs="仿宋"/>
                <w:b/>
                <w:color w:val="auto"/>
                <w:sz w:val="24"/>
                <w:szCs w:val="24"/>
                <w:highlight w:val="none"/>
              </w:rPr>
            </w:pPr>
            <w:bookmarkStart w:id="7" w:name="ruleMainCatName"/>
            <w:r>
              <w:rPr>
                <w:rFonts w:hint="eastAsia" w:ascii="仿宋" w:hAnsi="仿宋" w:eastAsia="仿宋" w:cs="仿宋"/>
                <w:b/>
                <w:color w:val="auto"/>
                <w:sz w:val="24"/>
                <w:szCs w:val="24"/>
                <w:highlight w:val="none"/>
              </w:rPr>
              <w:t>综合评分法</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hd w:val="clear" w:color="000000" w:fill="auto"/>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1759" w:type="dxa"/>
            <w:tcBorders>
              <w:top w:val="single" w:color="auto" w:sz="4" w:space="0"/>
              <w:left w:val="single" w:color="auto" w:sz="4" w:space="0"/>
              <w:bottom w:val="single" w:color="auto" w:sz="4" w:space="0"/>
              <w:right w:val="single" w:color="auto" w:sz="4" w:space="0"/>
            </w:tcBorders>
            <w:vAlign w:val="center"/>
          </w:tcPr>
          <w:p>
            <w:pPr>
              <w:shd w:val="clear" w:color="000000" w:fill="auto"/>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入围说明</w:t>
            </w:r>
          </w:p>
        </w:tc>
        <w:tc>
          <w:tcPr>
            <w:tcW w:w="6959" w:type="dxa"/>
            <w:tcBorders>
              <w:top w:val="single" w:color="auto" w:sz="4" w:space="0"/>
              <w:left w:val="single" w:color="auto" w:sz="4" w:space="0"/>
              <w:bottom w:val="single" w:color="auto" w:sz="4" w:space="0"/>
              <w:right w:val="single" w:color="auto" w:sz="12" w:space="0"/>
            </w:tcBorders>
            <w:vAlign w:val="center"/>
          </w:tcPr>
          <w:p>
            <w:pPr>
              <w:shd w:val="clear" w:color="000000" w:fill="auto"/>
              <w:spacing w:line="440" w:lineRule="exact"/>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参考中华人民共和国财政部令第 110 号《政府采购框架协议采购方式管理暂行办法》，确定第一阶段入围供应商的评审方法为质量优先法，确定第二阶段成交供应商的方式为直接选取或二次竞价（二种方式根据服务实际需求进行， 单次采购业务量在5万元及以内项目，原则上由投标时该业务采购清单报价最低的服务商承接（若投标报价一致，由采购人根据项目实际需求以及投标报价综合考量后确定服务商）；业务量超过5万元的，由3家中标服务商根据业务实际情况重新竞价，报价不得高于中标价格，由符合条件且价格最低者承接。其他无收费标准的相关项目内容，采购人通过对3家中标服务商询价，如符合市场行情，由最低价者承接，若采购人认为报价与市场行情不符，可要求重新报价，最终清单外采购量不得超过合同价的10%。采购人有权按照实际需求确定中标3家服务商最终业务量。</w:t>
            </w:r>
          </w:p>
          <w:p>
            <w:pPr>
              <w:shd w:val="clear" w:color="000000" w:fill="auto"/>
              <w:spacing w:line="440" w:lineRule="exact"/>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 xml:space="preserve">质量优先法是指对满足采购需求且投标报价不超过最高限制单价的货物/服务进行质量综合评分，按照质量评分从高到低排序，根据征集文件规定的淘汰率或者入围供应商数量上限，确定入围供应商的评审方法。 </w:t>
            </w:r>
          </w:p>
          <w:p>
            <w:pPr>
              <w:shd w:val="clear" w:color="000000" w:fill="auto"/>
              <w:spacing w:line="440" w:lineRule="exact"/>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 xml:space="preserve">直接选取是指确定第二阶段成交供应商应当由征集人或者服务对象依据入围产品价格、质量以及服务便利性、用户评价等因素，从第一阶段入围供应商中直接选取，具体规则成交后提供。   </w:t>
            </w:r>
          </w:p>
          <w:p>
            <w:pPr>
              <w:shd w:val="clear" w:color="000000" w:fill="auto"/>
              <w:spacing w:line="44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shd w:val="clear" w:color="auto" w:fill="FFFFFF"/>
                <w:lang w:val="en-US" w:eastAsia="zh-CN"/>
              </w:rPr>
              <w:t>二次竞价是指确定第二阶段成交供应商应当由征集人或者服务对象依据入围产品价格折扣，根据实际生产服务内容进行二次竞价。根据竞争规则选取成交生产商或供应商，具体规则成交后提供。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hd w:val="clear" w:color="000000" w:fill="auto"/>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759" w:type="dxa"/>
            <w:tcBorders>
              <w:top w:val="single" w:color="auto" w:sz="4" w:space="0"/>
              <w:left w:val="single" w:color="auto" w:sz="4" w:space="0"/>
              <w:bottom w:val="single" w:color="auto" w:sz="4" w:space="0"/>
              <w:right w:val="single" w:color="auto" w:sz="4" w:space="0"/>
            </w:tcBorders>
            <w:vAlign w:val="center"/>
          </w:tcPr>
          <w:p>
            <w:pPr>
              <w:shd w:val="clear" w:color="000000" w:fill="auto"/>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征集说明</w:t>
            </w:r>
          </w:p>
        </w:tc>
        <w:tc>
          <w:tcPr>
            <w:tcW w:w="6959" w:type="dxa"/>
            <w:tcBorders>
              <w:top w:val="single" w:color="auto" w:sz="4" w:space="0"/>
              <w:left w:val="single" w:color="auto" w:sz="4" w:space="0"/>
              <w:bottom w:val="single" w:color="auto" w:sz="4" w:space="0"/>
              <w:right w:val="single" w:color="auto" w:sz="12" w:space="0"/>
            </w:tcBorders>
            <w:vAlign w:val="center"/>
          </w:tcPr>
          <w:p>
            <w:pPr>
              <w:shd w:val="clear" w:color="000000" w:fill="auto"/>
              <w:spacing w:line="440" w:lineRule="exact"/>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经评审的有效服务商数≥9家时，按照综合评分由高到低确定中标候选人3家服务商入围；有效服务商数＜9家时，则本次作废标处理。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hd w:val="clear" w:color="000000" w:fill="auto"/>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1759" w:type="dxa"/>
            <w:tcBorders>
              <w:top w:val="single" w:color="auto" w:sz="4" w:space="0"/>
              <w:left w:val="single" w:color="auto" w:sz="4" w:space="0"/>
              <w:bottom w:val="single" w:color="auto" w:sz="4" w:space="0"/>
              <w:right w:val="single" w:color="auto" w:sz="4" w:space="0"/>
            </w:tcBorders>
            <w:vAlign w:val="center"/>
          </w:tcPr>
          <w:p>
            <w:pPr>
              <w:pStyle w:val="8"/>
              <w:shd w:val="clear" w:color="010000" w:fill="auto"/>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b/>
                <w:color w:val="auto"/>
                <w:kern w:val="2"/>
                <w:sz w:val="24"/>
                <w:szCs w:val="24"/>
                <w:highlight w:val="none"/>
                <w:lang w:val="en-US" w:eastAsia="zh-CN"/>
              </w:rPr>
              <w:t>投标文件</w:t>
            </w:r>
            <w:r>
              <w:rPr>
                <w:rFonts w:hint="eastAsia" w:ascii="仿宋" w:hAnsi="仿宋" w:eastAsia="仿宋" w:cs="仿宋"/>
                <w:b/>
                <w:color w:val="auto"/>
                <w:sz w:val="24"/>
                <w:szCs w:val="24"/>
                <w:highlight w:val="none"/>
                <w:lang w:val="en-US" w:eastAsia="zh-CN"/>
              </w:rPr>
              <w:t>截止</w:t>
            </w:r>
            <w:r>
              <w:rPr>
                <w:rFonts w:hint="eastAsia" w:ascii="仿宋" w:hAnsi="仿宋" w:eastAsia="仿宋" w:cs="仿宋"/>
                <w:b/>
                <w:color w:val="auto"/>
                <w:kern w:val="2"/>
                <w:sz w:val="24"/>
                <w:szCs w:val="24"/>
                <w:highlight w:val="none"/>
                <w:lang w:val="en-US" w:eastAsia="zh-CN"/>
              </w:rPr>
              <w:t>时间与开标时间、地点</w:t>
            </w:r>
          </w:p>
        </w:tc>
        <w:tc>
          <w:tcPr>
            <w:tcW w:w="6959" w:type="dxa"/>
            <w:tcBorders>
              <w:top w:val="single" w:color="auto" w:sz="4" w:space="0"/>
              <w:left w:val="single" w:color="auto" w:sz="4" w:space="0"/>
              <w:bottom w:val="single" w:color="auto" w:sz="4" w:space="0"/>
              <w:right w:val="single" w:color="auto" w:sz="12" w:space="0"/>
            </w:tcBorders>
            <w:vAlign w:val="center"/>
          </w:tcPr>
          <w:p>
            <w:pPr>
              <w:shd w:val="clear" w:color="000000" w:fill="auto"/>
              <w:adjustRightInd w:val="0"/>
              <w:snapToGrid w:val="0"/>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详见招标公告</w:t>
            </w:r>
            <w:r>
              <w:rPr>
                <w:rFonts w:hint="eastAsia" w:ascii="仿宋" w:hAnsi="仿宋" w:eastAsia="仿宋" w:cs="仿宋"/>
                <w:b/>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hd w:val="clear" w:color="000000" w:fill="auto"/>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1759" w:type="dxa"/>
            <w:tcBorders>
              <w:top w:val="single" w:color="auto" w:sz="4" w:space="0"/>
              <w:left w:val="single" w:color="auto" w:sz="4" w:space="0"/>
              <w:bottom w:val="single" w:color="auto" w:sz="4" w:space="0"/>
              <w:right w:val="single" w:color="auto" w:sz="4" w:space="0"/>
            </w:tcBorders>
            <w:vAlign w:val="center"/>
          </w:tcPr>
          <w:p>
            <w:pPr>
              <w:shd w:val="clear" w:color="000000" w:fill="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投标保证金</w:t>
            </w:r>
          </w:p>
        </w:tc>
        <w:tc>
          <w:tcPr>
            <w:tcW w:w="6959" w:type="dxa"/>
            <w:tcBorders>
              <w:top w:val="single" w:color="auto" w:sz="4" w:space="0"/>
              <w:left w:val="single" w:color="auto" w:sz="4" w:space="0"/>
              <w:bottom w:val="single" w:color="auto" w:sz="4" w:space="0"/>
              <w:right w:val="single" w:color="auto" w:sz="12" w:space="0"/>
            </w:tcBorders>
            <w:vAlign w:val="center"/>
          </w:tcPr>
          <w:p>
            <w:pPr>
              <w:shd w:val="clear" w:color="000000" w:fil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本项目无需要缴纳投标保证金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hd w:val="clear" w:color="000000" w:fill="auto"/>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8718" w:type="dxa"/>
            <w:gridSpan w:val="2"/>
            <w:tcBorders>
              <w:top w:val="single" w:color="auto" w:sz="4" w:space="0"/>
              <w:left w:val="single" w:color="auto" w:sz="4" w:space="0"/>
              <w:bottom w:val="single" w:color="auto" w:sz="4" w:space="0"/>
              <w:right w:val="single" w:color="auto" w:sz="12" w:space="0"/>
            </w:tcBorders>
            <w:vAlign w:val="center"/>
          </w:tcPr>
          <w:p>
            <w:pPr>
              <w:shd w:val="clear" w:color="000000" w:fill="auto"/>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本项目采用单价招标，投标报价超过单价最高限价的，其投标视为无效。</w:t>
            </w:r>
          </w:p>
          <w:p>
            <w:pPr>
              <w:shd w:val="clear" w:color="000000" w:fill="auto"/>
              <w:spacing w:line="440" w:lineRule="exac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报价是中标的一个重要因素，但不是中标的唯一依据。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6"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hd w:val="clear" w:color="000000" w:fill="auto"/>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8718" w:type="dxa"/>
            <w:gridSpan w:val="2"/>
            <w:tcBorders>
              <w:top w:val="single" w:color="auto" w:sz="4" w:space="0"/>
              <w:left w:val="single" w:color="auto" w:sz="4" w:space="0"/>
              <w:bottom w:val="single" w:color="auto" w:sz="4" w:space="0"/>
              <w:right w:val="single" w:color="auto" w:sz="12" w:space="0"/>
            </w:tcBorders>
            <w:vAlign w:val="center"/>
          </w:tcPr>
          <w:p>
            <w:pPr>
              <w:widowControl w:val="0"/>
              <w:numPr>
                <w:ilvl w:val="0"/>
                <w:numId w:val="0"/>
              </w:numPr>
              <w:wordWrap/>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代理服务费收费标准：招标代理费用由3家中标单位支付，各支付1/3，本项目按折扣报价，费用参照以下服务费率付费限额标准按照预算金额计取。投标人在报价时应综合考虑该笔费用，但不单列进投标总价。</w:t>
            </w:r>
          </w:p>
          <w:p>
            <w:pPr>
              <w:shd w:val="clear" w:color="000000" w:fill="auto"/>
              <w:spacing w:line="440" w:lineRule="exact"/>
              <w:rPr>
                <w:rFonts w:hint="eastAsia" w:ascii="仿宋" w:hAnsi="仿宋" w:eastAsia="仿宋" w:cs="仿宋"/>
                <w:b/>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drawing>
                <wp:anchor distT="0" distB="0" distL="114300" distR="114300" simplePos="0" relativeHeight="251662336" behindDoc="0" locked="0" layoutInCell="1" allowOverlap="1">
                  <wp:simplePos x="0" y="0"/>
                  <wp:positionH relativeFrom="column">
                    <wp:posOffset>83820</wp:posOffset>
                  </wp:positionH>
                  <wp:positionV relativeFrom="paragraph">
                    <wp:posOffset>40640</wp:posOffset>
                  </wp:positionV>
                  <wp:extent cx="2762250" cy="1410970"/>
                  <wp:effectExtent l="0" t="0" r="11430" b="6350"/>
                  <wp:wrapSquare wrapText="bothSides"/>
                  <wp:docPr id="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
                          <pic:cNvPicPr>
                            <a:picLocks noChangeAspect="1"/>
                          </pic:cNvPicPr>
                        </pic:nvPicPr>
                        <pic:blipFill>
                          <a:blip r:embed="rId9"/>
                          <a:stretch>
                            <a:fillRect/>
                          </a:stretch>
                        </pic:blipFill>
                        <pic:spPr>
                          <a:xfrm>
                            <a:off x="0" y="0"/>
                            <a:ext cx="2762250" cy="1410970"/>
                          </a:xfrm>
                          <a:prstGeom prst="rect">
                            <a:avLst/>
                          </a:prstGeom>
                          <a:noFill/>
                          <a:ln>
                            <a:noFill/>
                          </a:ln>
                        </pic:spPr>
                      </pic:pic>
                    </a:graphicData>
                  </a:graphic>
                </wp:anchor>
              </w:drawing>
            </w:r>
          </w:p>
        </w:tc>
      </w:tr>
    </w:tbl>
    <w:p>
      <w:pPr>
        <w:shd w:val="clear" w:color="000000" w:fill="auto"/>
        <w:adjustRightInd w:val="0"/>
        <w:snapToGrid w:val="0"/>
        <w:spacing w:line="44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rPr>
        <w:br w:type="page"/>
      </w:r>
      <w:r>
        <w:rPr>
          <w:rFonts w:hint="eastAsia" w:ascii="仿宋" w:hAnsi="仿宋" w:eastAsia="仿宋" w:cs="仿宋"/>
          <w:b/>
          <w:bCs/>
          <w:color w:val="auto"/>
          <w:sz w:val="24"/>
          <w:highlight w:val="none"/>
        </w:rPr>
        <w:t>第一节   投标人须知之通用条款</w:t>
      </w:r>
    </w:p>
    <w:p>
      <w:pPr>
        <w:shd w:val="clear" w:color="000000" w:fill="auto"/>
        <w:adjustRightInd w:val="0"/>
        <w:snapToGrid w:val="0"/>
        <w:spacing w:line="440" w:lineRule="exact"/>
        <w:jc w:val="center"/>
        <w:rPr>
          <w:rFonts w:hint="eastAsia" w:ascii="仿宋" w:hAnsi="仿宋" w:eastAsia="仿宋" w:cs="仿宋"/>
          <w:b/>
          <w:bCs/>
          <w:color w:val="auto"/>
          <w:sz w:val="24"/>
          <w:highlight w:val="none"/>
        </w:rPr>
      </w:pPr>
    </w:p>
    <w:p>
      <w:pPr>
        <w:shd w:val="clear" w:color="000000" w:fill="auto"/>
        <w:adjustRightInd w:val="0"/>
        <w:snapToGrid w:val="0"/>
        <w:spacing w:line="44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一、总则</w:t>
      </w:r>
    </w:p>
    <w:p>
      <w:pPr>
        <w:shd w:val="clear" w:color="000000" w:fill="auto"/>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pPr>
        <w:shd w:val="clear" w:color="000000" w:fill="auto"/>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本招标文件适用于本项目的招标、投标、评标、定标、验收、合同履约、付款等行为。</w:t>
      </w:r>
    </w:p>
    <w:p>
      <w:pPr>
        <w:shd w:val="clear" w:color="000000" w:fill="auto"/>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pPr>
        <w:shd w:val="clear" w:color="000000" w:fill="auto"/>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2.1、“招标</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”系指组织本次招标的招标代理机构（</w:t>
      </w:r>
      <w:r>
        <w:rPr>
          <w:rFonts w:hint="eastAsia" w:ascii="仿宋" w:hAnsi="仿宋" w:eastAsia="仿宋" w:cs="仿宋"/>
          <w:color w:val="auto"/>
          <w:sz w:val="24"/>
          <w:highlight w:val="none"/>
          <w:lang w:eastAsia="zh-CN"/>
        </w:rPr>
        <w:t>杭州华瑞新洲工程造价咨询有限公司</w:t>
      </w:r>
      <w:r>
        <w:rPr>
          <w:rFonts w:hint="eastAsia" w:ascii="仿宋" w:hAnsi="仿宋" w:eastAsia="仿宋" w:cs="仿宋"/>
          <w:color w:val="auto"/>
          <w:sz w:val="24"/>
          <w:highlight w:val="none"/>
        </w:rPr>
        <w:t>）以及本项目招标人。</w:t>
      </w:r>
    </w:p>
    <w:p>
      <w:pPr>
        <w:shd w:val="clear" w:color="000000" w:fill="auto"/>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2.2、“投标人”系指向招标</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递交投标文件的单位。</w:t>
      </w:r>
    </w:p>
    <w:p>
      <w:pPr>
        <w:shd w:val="clear" w:color="000000" w:fill="auto"/>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2.3、“书面形式”包括信函、传真、电报等。</w:t>
      </w:r>
    </w:p>
    <w:p>
      <w:pPr>
        <w:shd w:val="clear" w:color="000000" w:fill="auto"/>
        <w:adjustRightInd w:val="0"/>
        <w:snapToGrid w:val="0"/>
        <w:spacing w:line="44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3、招标方式：</w:t>
      </w:r>
      <w:r>
        <w:rPr>
          <w:rFonts w:hint="eastAsia" w:ascii="仿宋" w:hAnsi="仿宋" w:eastAsia="仿宋" w:cs="仿宋"/>
          <w:color w:val="auto"/>
          <w:sz w:val="24"/>
          <w:highlight w:val="none"/>
        </w:rPr>
        <w:t>公开招标。</w:t>
      </w:r>
    </w:p>
    <w:p>
      <w:pPr>
        <w:widowControl w:val="0"/>
        <w:shd w:val="clear" w:color="010000" w:fill="auto"/>
        <w:wordWrap/>
        <w:adjustRightInd/>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4、投标委托：</w:t>
      </w:r>
      <w:r>
        <w:rPr>
          <w:rFonts w:hint="eastAsia" w:ascii="仿宋" w:hAnsi="仿宋" w:eastAsia="仿宋" w:cs="仿宋"/>
          <w:color w:val="auto"/>
          <w:sz w:val="24"/>
          <w:highlight w:val="none"/>
        </w:rPr>
        <w:t>投标人代表应当是投标人的在职正式职工，请携带本人有效身份证件。如投标人代表不是法定代表人，须有法定代表人出具的授权委托书。授权委托书必须按照“第五部分投标文件格式”填写，如有不符授权无效，可能会导致投标无效。</w:t>
      </w:r>
    </w:p>
    <w:p>
      <w:pPr>
        <w:shd w:val="clear" w:color="000000" w:fill="auto"/>
        <w:adjustRightInd w:val="0"/>
        <w:snapToGrid w:val="0"/>
        <w:spacing w:line="44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5、投标费用：</w:t>
      </w:r>
      <w:r>
        <w:rPr>
          <w:rFonts w:hint="eastAsia" w:ascii="仿宋" w:hAnsi="仿宋" w:eastAsia="仿宋" w:cs="仿宋"/>
          <w:color w:val="auto"/>
          <w:sz w:val="24"/>
          <w:highlight w:val="none"/>
        </w:rPr>
        <w:t>投标人需自行承担涉及投标的一切费用。</w:t>
      </w:r>
    </w:p>
    <w:p>
      <w:pPr>
        <w:shd w:val="clear" w:color="000000" w:fill="auto"/>
        <w:adjustRightInd w:val="0"/>
        <w:snapToGrid w:val="0"/>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6、特别说明：</w:t>
      </w:r>
    </w:p>
    <w:p>
      <w:pPr>
        <w:shd w:val="clear" w:color="000000" w:fill="auto"/>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6.1、投标人应仔细阅读招标文件的所有内容，按照招标文件的要求提交投标文件，并对所提供的全部资料的真实性承担法律责任。</w:t>
      </w:r>
    </w:p>
    <w:p>
      <w:pPr>
        <w:shd w:val="clear" w:color="000000" w:fill="auto"/>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6.2、单位负责人为同一人或者存在直接控股、管理关系的不同供应商，不得参加同一合同项下的招标活动。</w:t>
      </w:r>
    </w:p>
    <w:p>
      <w:pPr>
        <w:shd w:val="clear" w:color="000000" w:fill="auto"/>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持“五证合一”新版营业执照的投标人不要求提供组织机构代码证、社保登记证、税务登记证；持“三证合一”新版营业执照的投标人不要求提供组织机构代码证、税务登记证；个体工商户不要求提供组织机构代码证，持“两证整合”新版营业执照的个体工商户不要求提供税务登记证。</w:t>
      </w:r>
    </w:p>
    <w:p>
      <w:pPr>
        <w:shd w:val="clear" w:color="000000" w:fill="auto"/>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6.4、投标人须对所投产品、方案、技术、服务等拥有合法的占有和处置权，并对涉及项目的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仿宋" w:hAnsi="仿宋" w:eastAsia="仿宋" w:cs="仿宋"/>
          <w:color w:val="auto"/>
          <w:sz w:val="24"/>
          <w:highlight w:val="none"/>
          <w:lang w:val="zh-CN"/>
        </w:rPr>
        <w:t>供应商</w:t>
      </w:r>
      <w:r>
        <w:rPr>
          <w:rFonts w:hint="eastAsia" w:ascii="仿宋" w:hAnsi="仿宋" w:eastAsia="仿宋" w:cs="仿宋"/>
          <w:color w:val="auto"/>
          <w:sz w:val="24"/>
          <w:highlight w:val="none"/>
        </w:rPr>
        <w:t>应承担相应后果，</w:t>
      </w:r>
      <w:r>
        <w:rPr>
          <w:rFonts w:hint="eastAsia" w:ascii="仿宋" w:hAnsi="仿宋" w:eastAsia="仿宋" w:cs="仿宋"/>
          <w:color w:val="auto"/>
          <w:sz w:val="24"/>
          <w:highlight w:val="none"/>
          <w:lang w:val="zh-CN"/>
        </w:rPr>
        <w:t>并负责赔偿。</w:t>
      </w:r>
      <w:r>
        <w:rPr>
          <w:rFonts w:hint="eastAsia" w:ascii="仿宋" w:hAnsi="仿宋" w:eastAsia="仿宋" w:cs="仿宋"/>
          <w:color w:val="auto"/>
          <w:sz w:val="24"/>
          <w:highlight w:val="none"/>
        </w:rPr>
        <w:t>供应商为执行本项目合同而提供的技术资料等归招标人所有。</w:t>
      </w:r>
    </w:p>
    <w:p>
      <w:pPr>
        <w:shd w:val="clear" w:color="000000" w:fill="auto"/>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6.5、本招标文件中所指的有效身份证件指的是：居民户口薄、居民身份证、临时居民身份证、护照、港澳同胞回乡证、港澳居民来往内地通行证、台湾居民来往大陆通行证、外国人居留证、外国人出入境证、驾驶证、市民卡，有期限规定的证件在有效期内方为有效。</w:t>
      </w:r>
    </w:p>
    <w:p>
      <w:pPr>
        <w:shd w:val="clear" w:color="000000" w:fill="auto"/>
        <w:ind w:firstLine="240" w:firstLineChars="100"/>
        <w:rPr>
          <w:rFonts w:hint="eastAsia" w:ascii="仿宋" w:hAnsi="仿宋" w:eastAsia="仿宋" w:cs="仿宋"/>
          <w:color w:val="auto"/>
          <w:sz w:val="24"/>
          <w:highlight w:val="none"/>
        </w:rPr>
      </w:pPr>
    </w:p>
    <w:p>
      <w:pPr>
        <w:shd w:val="clear" w:color="000000" w:fill="auto"/>
        <w:adjustRightInd w:val="0"/>
        <w:snapToGrid w:val="0"/>
        <w:spacing w:line="44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二、招标文件</w:t>
      </w:r>
    </w:p>
    <w:p>
      <w:pPr>
        <w:shd w:val="clear" w:color="000000" w:fill="auto"/>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7、招标文件的澄清与修改</w:t>
      </w:r>
    </w:p>
    <w:p>
      <w:pPr>
        <w:shd w:val="clear" w:color="000000" w:fill="auto"/>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7.1、</w:t>
      </w:r>
      <w:r>
        <w:rPr>
          <w:rFonts w:hint="eastAsia" w:ascii="仿宋" w:hAnsi="仿宋" w:eastAsia="仿宋" w:cs="仿宋"/>
          <w:bCs/>
          <w:color w:val="auto"/>
          <w:sz w:val="24"/>
          <w:highlight w:val="none"/>
        </w:rPr>
        <w:t>投标人应认真阅读本招标文件，发现其中有误或有不合理要求的，投标人必须以书面形式要求招标</w:t>
      </w:r>
      <w:r>
        <w:rPr>
          <w:rFonts w:hint="eastAsia" w:ascii="仿宋" w:hAnsi="仿宋" w:eastAsia="仿宋" w:cs="仿宋"/>
          <w:bCs/>
          <w:color w:val="auto"/>
          <w:sz w:val="24"/>
          <w:highlight w:val="none"/>
          <w:lang w:eastAsia="zh-CN"/>
        </w:rPr>
        <w:t>人</w:t>
      </w:r>
      <w:r>
        <w:rPr>
          <w:rFonts w:hint="eastAsia" w:ascii="仿宋" w:hAnsi="仿宋" w:eastAsia="仿宋" w:cs="仿宋"/>
          <w:bCs/>
          <w:color w:val="auto"/>
          <w:sz w:val="24"/>
          <w:highlight w:val="none"/>
        </w:rPr>
        <w:t>澄清</w:t>
      </w:r>
      <w:r>
        <w:rPr>
          <w:rFonts w:hint="eastAsia" w:ascii="仿宋" w:hAnsi="仿宋" w:eastAsia="仿宋" w:cs="仿宋"/>
          <w:color w:val="auto"/>
          <w:sz w:val="24"/>
          <w:highlight w:val="none"/>
        </w:rPr>
        <w:t>。招标</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对已发出的招标文件进行必要澄清、答复、修改或补充的，应当在招标信息发布媒体上发布更正公告，并以书面形式通知所有招标文件收受人。</w:t>
      </w:r>
    </w:p>
    <w:p>
      <w:pPr>
        <w:shd w:val="clear" w:color="000000" w:fill="auto"/>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7.2、招标代理机构必须以书面形式答复投标人要求澄清的问题，并将不包含问题来源的答复书面通知所有</w:t>
      </w:r>
      <w:r>
        <w:rPr>
          <w:rFonts w:hint="eastAsia" w:ascii="仿宋" w:hAnsi="仿宋" w:eastAsia="仿宋" w:cs="仿宋"/>
          <w:color w:val="auto"/>
          <w:sz w:val="24"/>
          <w:highlight w:val="none"/>
          <w:lang w:eastAsia="zh-CN"/>
        </w:rPr>
        <w:t>购买招标文件</w:t>
      </w:r>
      <w:r>
        <w:rPr>
          <w:rFonts w:hint="eastAsia" w:ascii="仿宋" w:hAnsi="仿宋" w:eastAsia="仿宋" w:cs="仿宋"/>
          <w:color w:val="auto"/>
          <w:sz w:val="24"/>
          <w:highlight w:val="none"/>
        </w:rPr>
        <w:t>的投标人。</w:t>
      </w:r>
    </w:p>
    <w:p>
      <w:pPr>
        <w:shd w:val="clear" w:color="000000" w:fill="auto"/>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7.3、招标文件澄清、答复、修改、补充的内容为招标文件的组成部分。当招标文件与招标文件的答复、澄清、修改、补充通知就同一内容的表述不一致时，以最后发出的书面文件为准。</w:t>
      </w:r>
    </w:p>
    <w:p>
      <w:pPr>
        <w:shd w:val="clear" w:color="000000" w:fill="auto"/>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7.4、招标文件的澄清、答复、修改或补充都应该通过招标代理机构以法定形式发布，</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rPr>
        <w:t>人非通过本机构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不得擅自澄清、答复、修改或补充招标文件。</w:t>
      </w:r>
    </w:p>
    <w:p>
      <w:pPr>
        <w:shd w:val="clear" w:color="000000" w:fill="auto"/>
        <w:adjustRightInd w:val="0"/>
        <w:snapToGrid w:val="0"/>
        <w:spacing w:line="440" w:lineRule="exact"/>
        <w:ind w:firstLine="480" w:firstLineChars="200"/>
        <w:rPr>
          <w:rFonts w:hint="eastAsia" w:ascii="仿宋" w:hAnsi="仿宋" w:eastAsia="仿宋" w:cs="仿宋"/>
          <w:color w:val="auto"/>
          <w:sz w:val="24"/>
          <w:highlight w:val="none"/>
        </w:rPr>
      </w:pPr>
    </w:p>
    <w:p>
      <w:pPr>
        <w:shd w:val="clear" w:color="000000" w:fill="auto"/>
        <w:adjustRightInd w:val="0"/>
        <w:snapToGrid w:val="0"/>
        <w:spacing w:line="44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三、投标文件的编制</w:t>
      </w:r>
    </w:p>
    <w:p>
      <w:pPr>
        <w:shd w:val="clear" w:color="000000" w:fill="auto"/>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8、投标文件的语言及计量</w:t>
      </w:r>
    </w:p>
    <w:p>
      <w:pPr>
        <w:shd w:val="clear" w:color="000000" w:fill="auto"/>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8.1、投标文件以及投标人与招标</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就有关投标事宜的所有来往函电，均应以中文汉语书写。除签名、盖章、专用名称等特殊情形外，以中文汉语以外的文字表述的投标文件视同未提供。</w:t>
      </w:r>
    </w:p>
    <w:p>
      <w:pPr>
        <w:shd w:val="clear" w:color="000000" w:fill="auto"/>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hd w:val="clear" w:color="000000" w:fill="auto"/>
        <w:spacing w:line="44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8.3、投标计量单位，招标文件已有明确规定的，使用招标文件规定的计量单位；招标文件没有规定的，应采用中华人民共和国法定计量单位（货币单位：人民币元），否则视同未响应。</w:t>
      </w:r>
    </w:p>
    <w:p>
      <w:pPr>
        <w:pStyle w:val="14"/>
        <w:shd w:val="clear" w:color="010000" w:fill="auto"/>
        <w:spacing w:line="44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szCs w:val="24"/>
          <w:highlight w:val="none"/>
        </w:rPr>
        <w:t>4、投标文件中优惠条件事项不能包括招标项目本身所包括涉及的招标事项。投标人不能以“赠送、赠予”等任何名义提供货物和服务以规避招标文件的约束。</w:t>
      </w:r>
    </w:p>
    <w:p>
      <w:pPr>
        <w:shd w:val="clear" w:color="000000" w:fill="auto"/>
        <w:adjustRightInd w:val="0"/>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9、投标文件组成详见“第二节 投标人须知之专用条款”中相关条款。</w:t>
      </w:r>
    </w:p>
    <w:p>
      <w:pPr>
        <w:pStyle w:val="40"/>
        <w:shd w:val="clear" w:color="010000" w:fill="auto"/>
        <w:spacing w:before="0" w:line="44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10、 投标有效期</w:t>
      </w:r>
    </w:p>
    <w:p>
      <w:pPr>
        <w:pStyle w:val="40"/>
        <w:shd w:val="clear" w:color="010000" w:fill="auto"/>
        <w:spacing w:before="0"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10.1、投标文件递交后60天内有效。</w:t>
      </w:r>
    </w:p>
    <w:p>
      <w:pPr>
        <w:pStyle w:val="40"/>
        <w:shd w:val="clear" w:color="010000" w:fill="auto"/>
        <w:spacing w:before="0"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10.2、在原定投标有效期之前，如果出现特殊情况，招标代理机构可以以书面形式通知投标人延长投标有效期。</w:t>
      </w:r>
    </w:p>
    <w:p>
      <w:pPr>
        <w:pStyle w:val="40"/>
        <w:shd w:val="clear" w:color="010000" w:fill="auto"/>
        <w:spacing w:before="0" w:line="440" w:lineRule="exact"/>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11、 投标保证金</w:t>
      </w:r>
    </w:p>
    <w:p>
      <w:pPr>
        <w:pStyle w:val="40"/>
        <w:shd w:val="clear" w:color="010000" w:fill="auto"/>
        <w:spacing w:before="0" w:line="440" w:lineRule="exact"/>
        <w:ind w:firstLine="0" w:firstLineChars="0"/>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 xml:space="preserve">     </w:t>
      </w:r>
      <w:r>
        <w:rPr>
          <w:rFonts w:hint="eastAsia" w:ascii="仿宋" w:hAnsi="仿宋" w:eastAsia="仿宋" w:cs="仿宋"/>
          <w:b w:val="0"/>
          <w:bCs/>
          <w:color w:val="auto"/>
          <w:highlight w:val="none"/>
          <w:lang w:val="en-US" w:eastAsia="zh-CN"/>
        </w:rPr>
        <w:t>不缴纳</w:t>
      </w:r>
    </w:p>
    <w:p>
      <w:pPr>
        <w:pStyle w:val="40"/>
        <w:numPr>
          <w:ilvl w:val="0"/>
          <w:numId w:val="0"/>
        </w:numPr>
        <w:shd w:val="clear" w:color="020000" w:fill="auto"/>
        <w:spacing w:before="0" w:line="440" w:lineRule="exact"/>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12、</w:t>
      </w:r>
      <w:r>
        <w:rPr>
          <w:rFonts w:hint="eastAsia" w:ascii="仿宋" w:hAnsi="仿宋" w:eastAsia="仿宋" w:cs="仿宋"/>
          <w:b/>
          <w:color w:val="auto"/>
          <w:highlight w:val="none"/>
        </w:rPr>
        <w:t>投标文件的编制</w:t>
      </w:r>
    </w:p>
    <w:p>
      <w:pPr>
        <w:pStyle w:val="40"/>
        <w:shd w:val="clear" w:color="010000" w:fill="auto"/>
        <w:spacing w:before="0" w:line="44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12.1、投标文件标识不清、编写不完整、编排混乱导致投标文件被误拆、误读、漏读或者查找不到相关内容的，责任由投标人自行承担。</w:t>
      </w:r>
    </w:p>
    <w:p>
      <w:pPr>
        <w:pStyle w:val="40"/>
        <w:shd w:val="clear" w:color="010000" w:fill="auto"/>
        <w:spacing w:before="0"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12.2、全套投标文件应无涂改和行间插字，除非这些删改是根据招标</w:t>
      </w:r>
      <w:r>
        <w:rPr>
          <w:rFonts w:hint="eastAsia" w:ascii="仿宋" w:hAnsi="仿宋" w:eastAsia="仿宋" w:cs="仿宋"/>
          <w:color w:val="auto"/>
          <w:highlight w:val="none"/>
          <w:lang w:eastAsia="zh-CN"/>
        </w:rPr>
        <w:t>人</w:t>
      </w:r>
      <w:r>
        <w:rPr>
          <w:rFonts w:hint="eastAsia" w:ascii="仿宋" w:hAnsi="仿宋" w:eastAsia="仿宋" w:cs="仿宋"/>
          <w:color w:val="auto"/>
          <w:highlight w:val="none"/>
        </w:rPr>
        <w:t>要求进行，或者是投标人造成的必须修改的错误。所修改处须加盖投标人公章或者法定代表人签字或授权代表签字，否则，修改处不予认可。投标文件因字迹潦草或表达不清所引起的后果由投标人</w:t>
      </w:r>
      <w:r>
        <w:rPr>
          <w:rFonts w:hint="eastAsia" w:ascii="仿宋" w:hAnsi="仿宋" w:eastAsia="仿宋" w:cs="仿宋"/>
          <w:color w:val="auto"/>
          <w:highlight w:val="none"/>
          <w:lang w:eastAsia="zh-CN"/>
        </w:rPr>
        <w:t>自行</w:t>
      </w:r>
      <w:r>
        <w:rPr>
          <w:rFonts w:hint="eastAsia" w:ascii="仿宋" w:hAnsi="仿宋" w:eastAsia="仿宋" w:cs="仿宋"/>
          <w:color w:val="auto"/>
          <w:highlight w:val="none"/>
        </w:rPr>
        <w:t>负责。</w:t>
      </w:r>
    </w:p>
    <w:p>
      <w:pPr>
        <w:pStyle w:val="40"/>
        <w:shd w:val="clear" w:color="010000" w:fill="auto"/>
        <w:spacing w:before="0"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12.3、投标文件提倡采用A4幅面双面打印，并按顺序统一编目编码装订成册。</w:t>
      </w:r>
    </w:p>
    <w:p>
      <w:pPr>
        <w:pStyle w:val="40"/>
        <w:shd w:val="clear" w:color="010000" w:fill="auto"/>
        <w:spacing w:before="0" w:line="440" w:lineRule="exact"/>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13、投标文件的签署和份数</w:t>
      </w:r>
    </w:p>
    <w:p>
      <w:pPr>
        <w:pStyle w:val="40"/>
        <w:shd w:val="clear" w:color="010000" w:fill="auto"/>
        <w:spacing w:before="0"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13.1、投标人应按</w:t>
      </w:r>
      <w:r>
        <w:rPr>
          <w:rFonts w:hint="eastAsia" w:ascii="仿宋" w:hAnsi="仿宋" w:eastAsia="仿宋" w:cs="仿宋"/>
          <w:color w:val="auto"/>
          <w:highlight w:val="none"/>
          <w:lang w:eastAsia="zh-CN"/>
        </w:rPr>
        <w:t>商务</w:t>
      </w:r>
      <w:r>
        <w:rPr>
          <w:rFonts w:hint="eastAsia" w:ascii="仿宋" w:hAnsi="仿宋" w:eastAsia="仿宋" w:cs="仿宋"/>
          <w:color w:val="auto"/>
          <w:highlight w:val="none"/>
        </w:rPr>
        <w:t>、技术文件、报价文件正本各一份，副本各四份分别编制并单独装订成册，</w:t>
      </w:r>
      <w:r>
        <w:rPr>
          <w:rFonts w:hint="eastAsia" w:ascii="仿宋" w:hAnsi="仿宋" w:eastAsia="仿宋" w:cs="仿宋"/>
          <w:color w:val="auto"/>
          <w:highlight w:val="none"/>
          <w:lang w:eastAsia="zh-CN"/>
        </w:rPr>
        <w:t>商务</w:t>
      </w:r>
      <w:r>
        <w:rPr>
          <w:rFonts w:hint="eastAsia" w:ascii="仿宋" w:hAnsi="仿宋" w:eastAsia="仿宋" w:cs="仿宋"/>
          <w:color w:val="auto"/>
          <w:highlight w:val="none"/>
        </w:rPr>
        <w:t>、技术文件可合并装订（但须明显区分）或单独装订。投标文件封面上应注明“</w:t>
      </w:r>
      <w:r>
        <w:rPr>
          <w:rFonts w:hint="eastAsia" w:ascii="仿宋" w:hAnsi="仿宋" w:eastAsia="仿宋" w:cs="仿宋"/>
          <w:color w:val="auto"/>
          <w:highlight w:val="none"/>
          <w:lang w:eastAsia="zh-CN"/>
        </w:rPr>
        <w:t>商务</w:t>
      </w:r>
      <w:r>
        <w:rPr>
          <w:rFonts w:hint="eastAsia" w:ascii="仿宋" w:hAnsi="仿宋" w:eastAsia="仿宋" w:cs="仿宋"/>
          <w:color w:val="auto"/>
          <w:highlight w:val="none"/>
        </w:rPr>
        <w:t>/技术文件/报价文件、正本/副本、项目名称、</w:t>
      </w:r>
      <w:r>
        <w:rPr>
          <w:rFonts w:hint="eastAsia" w:ascii="仿宋" w:hAnsi="仿宋" w:eastAsia="仿宋" w:cs="仿宋"/>
          <w:color w:val="auto"/>
          <w:highlight w:val="none"/>
          <w:lang w:eastAsia="zh-CN"/>
        </w:rPr>
        <w:t>招标</w:t>
      </w:r>
      <w:r>
        <w:rPr>
          <w:rFonts w:hint="eastAsia" w:ascii="仿宋" w:hAnsi="仿宋" w:eastAsia="仿宋" w:cs="仿宋"/>
          <w:color w:val="auto"/>
          <w:highlight w:val="none"/>
        </w:rPr>
        <w:t>编号”等字样，同时必须加盖单位公章。一旦正本和副本有差异，以正本为准。</w:t>
      </w:r>
    </w:p>
    <w:p>
      <w:pPr>
        <w:pStyle w:val="40"/>
        <w:shd w:val="clear" w:color="010000" w:fill="auto"/>
        <w:spacing w:before="0" w:line="440" w:lineRule="exact"/>
        <w:ind w:left="0" w:leftChars="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13.2、投标文件的正本需打印或用不褪色的墨水填写，</w:t>
      </w:r>
      <w:r>
        <w:rPr>
          <w:rFonts w:hint="eastAsia" w:ascii="仿宋" w:hAnsi="仿宋" w:eastAsia="仿宋" w:cs="仿宋"/>
          <w:color w:val="auto"/>
          <w:szCs w:val="24"/>
          <w:highlight w:val="none"/>
        </w:rPr>
        <w:t>并按照招标文件要求进行签字、盖章</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副本为正本的复印件。</w:t>
      </w:r>
    </w:p>
    <w:p>
      <w:pPr>
        <w:shd w:val="clear" w:color="000000" w:fill="auto"/>
        <w:adjustRightInd w:val="0"/>
        <w:snapToGrid w:val="0"/>
        <w:spacing w:line="440" w:lineRule="exact"/>
        <w:ind w:firstLine="480" w:firstLineChars="20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13.3、投标文件须由投标人在规定位置加盖单位公章、法定代表人或授权代表签署，投标人应写全称。</w:t>
      </w:r>
    </w:p>
    <w:p>
      <w:pPr>
        <w:pStyle w:val="3"/>
        <w:shd w:val="clear" w:color="010000" w:fill="auto"/>
        <w:rPr>
          <w:rFonts w:hint="eastAsia" w:ascii="仿宋" w:hAnsi="仿宋" w:eastAsia="仿宋" w:cs="仿宋"/>
          <w:color w:val="auto"/>
          <w:highlight w:val="none"/>
        </w:rPr>
      </w:pPr>
    </w:p>
    <w:p>
      <w:pPr>
        <w:shd w:val="clear" w:color="000000" w:fill="auto"/>
        <w:adjustRightInd w:val="0"/>
        <w:snapToGrid w:val="0"/>
        <w:jc w:val="center"/>
        <w:rPr>
          <w:rFonts w:hint="eastAsia" w:ascii="仿宋" w:hAnsi="仿宋" w:eastAsia="仿宋" w:cs="仿宋"/>
          <w:color w:val="auto"/>
          <w:highlight w:val="none"/>
        </w:rPr>
      </w:pPr>
      <w:r>
        <w:rPr>
          <w:rFonts w:hint="eastAsia" w:ascii="仿宋" w:hAnsi="仿宋" w:eastAsia="仿宋" w:cs="仿宋"/>
          <w:b/>
          <w:bCs/>
          <w:color w:val="auto"/>
          <w:sz w:val="24"/>
          <w:highlight w:val="none"/>
        </w:rPr>
        <w:t>四、 投标文件的递交</w:t>
      </w:r>
    </w:p>
    <w:p>
      <w:pPr>
        <w:pStyle w:val="40"/>
        <w:shd w:val="clear" w:color="010000" w:fill="auto"/>
        <w:spacing w:before="0" w:line="440" w:lineRule="exact"/>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14、投标文件的包装和递交</w:t>
      </w:r>
    </w:p>
    <w:p>
      <w:pPr>
        <w:pStyle w:val="40"/>
        <w:shd w:val="clear" w:color="010000" w:fill="auto"/>
        <w:spacing w:before="0"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14.1、投标文件须密封包装并加盖投标人公章，在投标截止时间前由将投标文件送至招标人指定地点。</w:t>
      </w:r>
      <w:r>
        <w:rPr>
          <w:rFonts w:hint="eastAsia" w:ascii="仿宋" w:hAnsi="仿宋" w:eastAsia="仿宋" w:cs="仿宋"/>
          <w:b/>
          <w:color w:val="auto"/>
          <w:highlight w:val="none"/>
          <w:lang w:eastAsia="zh-CN"/>
        </w:rPr>
        <w:t>其中</w:t>
      </w:r>
      <w:r>
        <w:rPr>
          <w:rFonts w:hint="eastAsia" w:ascii="仿宋" w:hAnsi="仿宋" w:eastAsia="仿宋" w:cs="仿宋"/>
          <w:b/>
          <w:color w:val="auto"/>
          <w:highlight w:val="none"/>
        </w:rPr>
        <w:t>报价文件必须单独密封包装，除报价文件之外其他投标文件中不得出现投标报价</w:t>
      </w:r>
      <w:r>
        <w:rPr>
          <w:rFonts w:hint="eastAsia" w:ascii="仿宋" w:hAnsi="仿宋" w:eastAsia="仿宋" w:cs="仿宋"/>
          <w:b/>
          <w:bCs/>
          <w:color w:val="auto"/>
          <w:highlight w:val="none"/>
        </w:rPr>
        <w:t>（招标文件另有规定的除外）</w:t>
      </w:r>
      <w:r>
        <w:rPr>
          <w:rFonts w:hint="eastAsia" w:ascii="仿宋" w:hAnsi="仿宋" w:eastAsia="仿宋" w:cs="仿宋"/>
          <w:b/>
          <w:color w:val="auto"/>
          <w:highlight w:val="none"/>
        </w:rPr>
        <w:t>。</w:t>
      </w:r>
    </w:p>
    <w:p>
      <w:pPr>
        <w:pStyle w:val="40"/>
        <w:shd w:val="clear" w:color="010000" w:fill="auto"/>
        <w:spacing w:before="0"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14.2、投标文件外层包装封面上应注明“</w:t>
      </w:r>
      <w:r>
        <w:rPr>
          <w:rFonts w:hint="eastAsia" w:ascii="仿宋" w:hAnsi="仿宋" w:eastAsia="仿宋" w:cs="仿宋"/>
          <w:color w:val="auto"/>
          <w:highlight w:val="none"/>
          <w:lang w:eastAsia="zh-CN"/>
        </w:rPr>
        <w:t>商务</w:t>
      </w:r>
      <w:r>
        <w:rPr>
          <w:rFonts w:hint="eastAsia" w:ascii="仿宋" w:hAnsi="仿宋" w:eastAsia="仿宋" w:cs="仿宋"/>
          <w:color w:val="auto"/>
          <w:highlight w:val="none"/>
        </w:rPr>
        <w:t>/技术文件/报价文件、项目名称、</w:t>
      </w:r>
      <w:r>
        <w:rPr>
          <w:rFonts w:hint="eastAsia" w:ascii="仿宋" w:hAnsi="仿宋" w:eastAsia="仿宋" w:cs="仿宋"/>
          <w:color w:val="auto"/>
          <w:highlight w:val="none"/>
          <w:lang w:eastAsia="zh-CN"/>
        </w:rPr>
        <w:t>招标</w:t>
      </w:r>
      <w:r>
        <w:rPr>
          <w:rFonts w:hint="eastAsia" w:ascii="仿宋" w:hAnsi="仿宋" w:eastAsia="仿宋" w:cs="仿宋"/>
          <w:color w:val="auto"/>
          <w:highlight w:val="none"/>
        </w:rPr>
        <w:t>编号、投标人名称及开标时启封”等字样，并加盖投标人公章。可参考“第五部分 投标文件格式”。</w:t>
      </w:r>
    </w:p>
    <w:p>
      <w:pPr>
        <w:pStyle w:val="40"/>
        <w:shd w:val="clear" w:color="010000" w:fill="auto"/>
        <w:spacing w:before="0"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14.3、招标</w:t>
      </w:r>
      <w:r>
        <w:rPr>
          <w:rFonts w:hint="eastAsia" w:ascii="仿宋" w:hAnsi="仿宋" w:eastAsia="仿宋" w:cs="仿宋"/>
          <w:color w:val="auto"/>
          <w:highlight w:val="none"/>
          <w:lang w:eastAsia="zh-CN"/>
        </w:rPr>
        <w:t>人</w:t>
      </w:r>
      <w:r>
        <w:rPr>
          <w:rFonts w:hint="eastAsia" w:ascii="仿宋" w:hAnsi="仿宋" w:eastAsia="仿宋" w:cs="仿宋"/>
          <w:color w:val="auto"/>
          <w:highlight w:val="none"/>
        </w:rPr>
        <w:t>将拒绝未通过报名的投标人的投标文件。</w:t>
      </w:r>
    </w:p>
    <w:p>
      <w:pPr>
        <w:pStyle w:val="40"/>
        <w:shd w:val="clear" w:color="010000" w:fill="auto"/>
        <w:spacing w:before="0"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14.4、未按规定密封或未按规定标记的投标文件，一经发现将被拒绝，由此造成投标文件被误投或提前拆封的风险由投标人承担。</w:t>
      </w:r>
    </w:p>
    <w:p>
      <w:pPr>
        <w:pStyle w:val="40"/>
        <w:shd w:val="clear" w:color="010000" w:fill="auto"/>
        <w:spacing w:before="0" w:line="44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14.</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、投标文件一经拆封不予退回</w:t>
      </w:r>
      <w:r>
        <w:rPr>
          <w:rFonts w:hint="eastAsia" w:ascii="仿宋" w:hAnsi="仿宋" w:eastAsia="仿宋" w:cs="仿宋"/>
          <w:bCs/>
          <w:color w:val="auto"/>
          <w:highlight w:val="none"/>
        </w:rPr>
        <w:t>（法律法规另有规定的除外）</w:t>
      </w:r>
      <w:r>
        <w:rPr>
          <w:rFonts w:hint="eastAsia" w:ascii="仿宋" w:hAnsi="仿宋" w:eastAsia="仿宋" w:cs="仿宋"/>
          <w:color w:val="auto"/>
          <w:highlight w:val="none"/>
        </w:rPr>
        <w:t>。</w:t>
      </w:r>
    </w:p>
    <w:p>
      <w:pPr>
        <w:shd w:val="clear" w:color="000000" w:fill="auto"/>
        <w:adjustRightInd w:val="0"/>
        <w:snapToGrid w:val="0"/>
        <w:spacing w:line="44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15、递交投标文件的截止时间</w:t>
      </w:r>
    </w:p>
    <w:p>
      <w:pPr>
        <w:shd w:val="clear" w:color="000000" w:fill="auto"/>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15.1、所有投标文件必须按招标文件规定的投标截止时间之前送至招标</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指定地点。</w:t>
      </w:r>
    </w:p>
    <w:p>
      <w:pPr>
        <w:shd w:val="clear" w:color="000000" w:fill="auto"/>
        <w:adjustRightInd w:val="0"/>
        <w:snapToGrid w:val="0"/>
        <w:spacing w:line="44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15.2、招标</w:t>
      </w:r>
      <w:r>
        <w:rPr>
          <w:rFonts w:hint="eastAsia" w:ascii="仿宋" w:hAnsi="仿宋" w:eastAsia="仿宋" w:cs="仿宋"/>
          <w:b/>
          <w:bCs/>
          <w:color w:val="auto"/>
          <w:sz w:val="24"/>
          <w:highlight w:val="none"/>
          <w:lang w:eastAsia="zh-CN"/>
        </w:rPr>
        <w:t>人</w:t>
      </w:r>
      <w:r>
        <w:rPr>
          <w:rFonts w:hint="eastAsia" w:ascii="仿宋" w:hAnsi="仿宋" w:eastAsia="仿宋" w:cs="仿宋"/>
          <w:b/>
          <w:bCs/>
          <w:color w:val="auto"/>
          <w:sz w:val="24"/>
          <w:highlight w:val="none"/>
        </w:rPr>
        <w:t>将拒绝在投标截止时间后递交的投标文件。</w:t>
      </w:r>
    </w:p>
    <w:p>
      <w:pPr>
        <w:shd w:val="clear" w:color="000000" w:fill="auto"/>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16、投标文件的修改和撤回</w:t>
      </w:r>
    </w:p>
    <w:p>
      <w:pPr>
        <w:shd w:val="clear" w:color="000000" w:fill="auto"/>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在投标截止时间之前，可以对已提交的投标文件进行修改或撤回，并书面通知招标人。修改后重新递交的投标文件应当按本招标文件的要求签署、盖章和密封。投标截止时间后，投标人不得撤回、修改投标文件。</w:t>
      </w:r>
    </w:p>
    <w:p>
      <w:pPr>
        <w:shd w:val="clear" w:color="000000" w:fill="auto"/>
        <w:adjustRightInd w:val="0"/>
        <w:snapToGrid w:val="0"/>
        <w:spacing w:line="44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 开标</w:t>
      </w:r>
    </w:p>
    <w:p>
      <w:pPr>
        <w:shd w:val="clear" w:color="000000" w:fill="auto"/>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17、开标准备</w:t>
      </w:r>
    </w:p>
    <w:p>
      <w:pPr>
        <w:shd w:val="clear" w:color="000000" w:fill="auto"/>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招标代理机构将在规定的时间和地点进行开标，投标人的法定代表人或其授权代表应准时参加开标会议并签到，主动出示本人的有效身份证件由招标代理机构验证确认，否则视同未派代表参加开标大会，事后不得对招标相关人员、开标过程和开标结果提出异议。</w:t>
      </w:r>
    </w:p>
    <w:p>
      <w:pPr>
        <w:shd w:val="clear" w:color="000000" w:fill="auto"/>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18、开标程序：</w:t>
      </w:r>
    </w:p>
    <w:p>
      <w:pPr>
        <w:shd w:val="clear" w:color="000000" w:fill="auto"/>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18.1、开标时，由投标人代表检查各投标文件的密封情况，确认无误后，工作人员当众拆封</w:t>
      </w:r>
      <w:r>
        <w:rPr>
          <w:rFonts w:hint="eastAsia" w:ascii="仿宋" w:hAnsi="仿宋" w:eastAsia="仿宋" w:cs="仿宋"/>
          <w:color w:val="auto"/>
          <w:sz w:val="24"/>
          <w:highlight w:val="none"/>
          <w:lang w:eastAsia="zh-CN"/>
        </w:rPr>
        <w:t>商务</w:t>
      </w:r>
      <w:r>
        <w:rPr>
          <w:rFonts w:hint="eastAsia" w:ascii="仿宋" w:hAnsi="仿宋" w:eastAsia="仿宋" w:cs="仿宋"/>
          <w:color w:val="auto"/>
          <w:sz w:val="24"/>
          <w:highlight w:val="none"/>
        </w:rPr>
        <w:t>技术文件并清点投标文件正本、副本数量，符合招标文件要求的送评标室评审；不符合要求的，视其投标无效，并由投标人代表签字确认；</w:t>
      </w:r>
    </w:p>
    <w:p>
      <w:pPr>
        <w:shd w:val="clear" w:color="000000" w:fill="auto"/>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w:t>
      </w:r>
      <w:r>
        <w:rPr>
          <w:rFonts w:hint="eastAsia" w:ascii="仿宋" w:hAnsi="仿宋" w:eastAsia="仿宋" w:cs="仿宋"/>
          <w:color w:val="auto"/>
          <w:sz w:val="24"/>
          <w:highlight w:val="none"/>
          <w:lang w:eastAsia="zh-CN"/>
        </w:rPr>
        <w:t>商务、</w:t>
      </w:r>
      <w:r>
        <w:rPr>
          <w:rFonts w:hint="eastAsia" w:ascii="仿宋" w:hAnsi="仿宋" w:eastAsia="仿宋" w:cs="仿宋"/>
          <w:color w:val="auto"/>
          <w:sz w:val="24"/>
          <w:highlight w:val="none"/>
        </w:rPr>
        <w:t>技术评分结束后，开报价文件，由投标人代表检查各报价文件的密封情况。确认无误后，工作人员当众拆封报价文件，并清</w:t>
      </w:r>
      <w:r>
        <w:rPr>
          <w:rFonts w:hint="eastAsia" w:ascii="仿宋" w:hAnsi="仿宋" w:eastAsia="仿宋" w:cs="仿宋"/>
          <w:color w:val="auto"/>
          <w:sz w:val="24"/>
          <w:highlight w:val="none"/>
          <w:lang w:eastAsia="zh-CN"/>
        </w:rPr>
        <w:t>点</w:t>
      </w:r>
      <w:r>
        <w:rPr>
          <w:rFonts w:hint="eastAsia" w:ascii="仿宋" w:hAnsi="仿宋" w:eastAsia="仿宋" w:cs="仿宋"/>
          <w:color w:val="auto"/>
          <w:sz w:val="24"/>
          <w:highlight w:val="none"/>
        </w:rPr>
        <w:t>报价文件正、副本数量，若报价文件数量不符合要求的，视其投标无效，并由投标人代表签字确认。符合要求的报价文件，工作人员进行唱标，唱标内容为报价文件正本中“开标一览表”内容并作记录，由授权代表当场校核及勘误并签字确认，授权代表未到场确认或拒绝签字的，不影响评标过程。</w:t>
      </w:r>
    </w:p>
    <w:p>
      <w:pPr>
        <w:shd w:val="clear" w:color="000000" w:fill="auto"/>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18.3、开标会结束。</w:t>
      </w:r>
    </w:p>
    <w:p>
      <w:pPr>
        <w:pStyle w:val="40"/>
        <w:shd w:val="clear" w:color="010000" w:fill="auto"/>
        <w:spacing w:before="0"/>
        <w:ind w:firstLine="480"/>
        <w:rPr>
          <w:rFonts w:hint="eastAsia" w:ascii="仿宋" w:hAnsi="仿宋" w:eastAsia="仿宋" w:cs="仿宋"/>
          <w:b/>
          <w:color w:val="auto"/>
          <w:sz w:val="32"/>
          <w:highlight w:val="none"/>
        </w:rPr>
      </w:pPr>
      <w:r>
        <w:rPr>
          <w:rFonts w:hint="eastAsia" w:ascii="仿宋" w:hAnsi="仿宋" w:eastAsia="仿宋" w:cs="仿宋"/>
          <w:color w:val="auto"/>
          <w:kern w:val="0"/>
          <w:szCs w:val="24"/>
          <w:highlight w:val="none"/>
        </w:rPr>
        <w:t xml:space="preserve">                       </w:t>
      </w:r>
      <w:r>
        <w:rPr>
          <w:rFonts w:hint="eastAsia" w:ascii="仿宋" w:hAnsi="仿宋" w:eastAsia="仿宋" w:cs="仿宋"/>
          <w:b/>
          <w:bCs/>
          <w:color w:val="auto"/>
          <w:szCs w:val="24"/>
          <w:highlight w:val="none"/>
        </w:rPr>
        <w:t xml:space="preserve">     六、资格审查</w:t>
      </w:r>
    </w:p>
    <w:p>
      <w:pPr>
        <w:pStyle w:val="40"/>
        <w:shd w:val="clear" w:color="010000" w:fill="auto"/>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19、资格审查</w:t>
      </w:r>
    </w:p>
    <w:p>
      <w:pPr>
        <w:pStyle w:val="40"/>
        <w:shd w:val="clear" w:color="010000" w:fill="auto"/>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19.1、开标结束后，招标人或招标代理机构依法对投标人的资格进行审查。</w:t>
      </w:r>
    </w:p>
    <w:p>
      <w:pPr>
        <w:pStyle w:val="40"/>
        <w:shd w:val="clear" w:color="010000" w:fill="auto"/>
        <w:ind w:firstLine="480"/>
        <w:rPr>
          <w:rFonts w:hint="eastAsia" w:ascii="仿宋" w:hAnsi="仿宋" w:eastAsia="仿宋" w:cs="仿宋"/>
          <w:color w:val="auto"/>
          <w:highlight w:val="none"/>
        </w:rPr>
      </w:pPr>
      <w:r>
        <w:rPr>
          <w:rFonts w:hint="eastAsia" w:ascii="仿宋" w:hAnsi="仿宋" w:eastAsia="仿宋" w:cs="仿宋"/>
          <w:color w:val="auto"/>
          <w:kern w:val="0"/>
          <w:highlight w:val="none"/>
        </w:rPr>
        <w:t>19.2、</w:t>
      </w:r>
      <w:r>
        <w:rPr>
          <w:rFonts w:hint="eastAsia" w:ascii="仿宋" w:hAnsi="仿宋" w:eastAsia="仿宋" w:cs="仿宋"/>
          <w:color w:val="auto"/>
          <w:kern w:val="0"/>
          <w:szCs w:val="24"/>
          <w:highlight w:val="none"/>
        </w:rPr>
        <w:t>投标人未按照招标文件要求提供</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r>
        <w:rPr>
          <w:rFonts w:hint="eastAsia" w:ascii="仿宋" w:hAnsi="仿宋" w:eastAsia="仿宋" w:cs="仿宋"/>
          <w:color w:val="auto"/>
          <w:highlight w:val="none"/>
          <w:lang w:val="en-US" w:eastAsia="zh-CN"/>
        </w:rPr>
        <w:tab/>
      </w:r>
      <w:r>
        <w:rPr>
          <w:rFonts w:hint="eastAsia" w:ascii="仿宋" w:hAnsi="仿宋" w:eastAsia="仿宋" w:cs="仿宋"/>
          <w:color w:val="auto"/>
          <w:highlight w:val="none"/>
        </w:rPr>
        <w:t>。</w:t>
      </w:r>
    </w:p>
    <w:p>
      <w:pPr>
        <w:shd w:val="clear" w:color="000000" w:fill="auto"/>
        <w:adjustRightInd w:val="0"/>
        <w:snapToGrid w:val="0"/>
        <w:spacing w:line="44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七、评标</w:t>
      </w:r>
    </w:p>
    <w:p>
      <w:pPr>
        <w:shd w:val="clear" w:color="000000" w:fill="auto"/>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20、组建评标委员会</w:t>
      </w:r>
    </w:p>
    <w:p>
      <w:pPr>
        <w:pStyle w:val="14"/>
        <w:shd w:val="clear" w:color="010000" w:fill="auto"/>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项目评标委员会根据相关规定由有关技术、经济等方面的专家组成，成员人数应当为5人</w:t>
      </w:r>
      <w:r>
        <w:rPr>
          <w:rFonts w:hint="eastAsia" w:ascii="仿宋" w:hAnsi="仿宋" w:eastAsia="仿宋" w:cs="仿宋"/>
          <w:color w:val="auto"/>
          <w:sz w:val="24"/>
          <w:highlight w:val="none"/>
        </w:rPr>
        <w:t>及</w:t>
      </w:r>
      <w:r>
        <w:rPr>
          <w:rFonts w:hint="eastAsia" w:ascii="仿宋" w:hAnsi="仿宋" w:eastAsia="仿宋" w:cs="仿宋"/>
          <w:color w:val="auto"/>
          <w:sz w:val="24"/>
          <w:szCs w:val="24"/>
          <w:highlight w:val="none"/>
        </w:rPr>
        <w:t>以上单数。</w:t>
      </w:r>
    </w:p>
    <w:p>
      <w:pPr>
        <w:shd w:val="clear" w:color="000000" w:fill="auto"/>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21、评标的方式</w:t>
      </w:r>
    </w:p>
    <w:p>
      <w:pPr>
        <w:pStyle w:val="14"/>
        <w:shd w:val="clear" w:color="010000" w:fill="auto"/>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本项目采用不公开方式评标，评标的依据为招标文件和投标文件。</w:t>
      </w:r>
    </w:p>
    <w:p>
      <w:pPr>
        <w:numPr>
          <w:ilvl w:val="0"/>
          <w:numId w:val="3"/>
        </w:numPr>
        <w:shd w:val="clear" w:color="010000" w:fill="auto"/>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评标程序</w:t>
      </w:r>
    </w:p>
    <w:p>
      <w:pPr>
        <w:numPr>
          <w:ilvl w:val="0"/>
          <w:numId w:val="0"/>
        </w:numPr>
        <w:shd w:val="clear" w:color="010000" w:fill="auto"/>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22.1、本项目评标一般将按以下程序进行：投标文件符合性审查、澄清有关问题、投标文件</w:t>
      </w:r>
      <w:r>
        <w:rPr>
          <w:rFonts w:hint="eastAsia" w:ascii="仿宋" w:hAnsi="仿宋" w:eastAsia="仿宋" w:cs="仿宋"/>
          <w:color w:val="auto"/>
          <w:sz w:val="24"/>
          <w:highlight w:val="none"/>
          <w:lang w:eastAsia="zh-CN"/>
        </w:rPr>
        <w:t>商务</w:t>
      </w:r>
      <w:r>
        <w:rPr>
          <w:rFonts w:hint="eastAsia" w:ascii="仿宋" w:hAnsi="仿宋" w:eastAsia="仿宋" w:cs="仿宋"/>
          <w:color w:val="auto"/>
          <w:sz w:val="24"/>
          <w:highlight w:val="none"/>
        </w:rPr>
        <w:t>与</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部分的比较与评审、报价文件的比较与评审、推荐中标投标人和编写评标报告等。</w:t>
      </w:r>
    </w:p>
    <w:p>
      <w:pPr>
        <w:pStyle w:val="14"/>
        <w:shd w:val="clear" w:color="010000" w:fill="auto"/>
        <w:spacing w:line="44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22.2、投标文件符合性审查：依据招标文件的规定，从投标文件的有效性、完整性和对招标文件的响应程度进行审查，以确定是否对招标文件的实质性要求作出响应。符合性审查不合格的投标人，投标文件初审结论不合格。投标文件初审结论合格的投标人进入评标后续程序。</w:t>
      </w:r>
    </w:p>
    <w:p>
      <w:pPr>
        <w:pStyle w:val="14"/>
        <w:shd w:val="clear" w:color="010000" w:fill="auto"/>
        <w:spacing w:line="44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22.3、投标文件的澄清。对投标文件中含义不明确、同类问题表述不一致或者有明显文字和计算错误的内容，评标委员会可以要求投标人作出必要的澄清、说明或者纠正。投标人的澄清、说明或者补正应当采用书面形式，由投标人授权代表签字，并不得超出投标文件的范围或者改变投标文件的实质性内容。投标人代表未到场或者拒绝澄清或者澄清的内容改变了投标文件的实质性内容的，评标委员会有权对该投标文件作出不利于投标人的评判。</w:t>
      </w:r>
    </w:p>
    <w:p>
      <w:pPr>
        <w:pStyle w:val="14"/>
        <w:shd w:val="clear" w:color="010000" w:fill="auto"/>
        <w:spacing w:line="44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22.4、比较与评审。按招标文件中规定的评标方法和标准，对资格性检查和符合性审查合格的投标文件进行</w:t>
      </w:r>
      <w:r>
        <w:rPr>
          <w:rFonts w:hint="eastAsia" w:ascii="仿宋" w:hAnsi="仿宋" w:eastAsia="仿宋" w:cs="仿宋"/>
          <w:color w:val="auto"/>
          <w:sz w:val="24"/>
          <w:highlight w:val="none"/>
          <w:lang w:eastAsia="zh-CN"/>
        </w:rPr>
        <w:t>商务</w:t>
      </w:r>
      <w:r>
        <w:rPr>
          <w:rFonts w:hint="eastAsia" w:ascii="仿宋" w:hAnsi="仿宋" w:eastAsia="仿宋" w:cs="仿宋"/>
          <w:color w:val="auto"/>
          <w:sz w:val="24"/>
          <w:highlight w:val="none"/>
        </w:rPr>
        <w:t>、技术、价格比较和评审。</w:t>
      </w:r>
    </w:p>
    <w:p>
      <w:pPr>
        <w:pStyle w:val="14"/>
        <w:shd w:val="clear" w:color="010000" w:fill="auto"/>
        <w:spacing w:line="44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22.5、推荐中标候选人。根据评标情况，推荐中标候选人。</w:t>
      </w:r>
    </w:p>
    <w:p>
      <w:pPr>
        <w:shd w:val="clear" w:color="000000" w:fill="auto"/>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23、错误修正</w:t>
      </w:r>
    </w:p>
    <w:p>
      <w:pPr>
        <w:shd w:val="clear" w:color="000000" w:fill="auto"/>
        <w:spacing w:line="360" w:lineRule="auto"/>
        <w:ind w:firstLine="36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投标文件报价出现前后不一致的，按照下列规定修正：</w:t>
      </w:r>
    </w:p>
    <w:p>
      <w:pPr>
        <w:shd w:val="clear" w:color="000000" w:fill="auto"/>
        <w:spacing w:line="360" w:lineRule="auto"/>
        <w:ind w:firstLine="36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(1)投标文件中开标一览表(报价表)内容与投标文件中相应内容不一致的，以开标一览表(报价表)为准;</w:t>
      </w:r>
    </w:p>
    <w:p>
      <w:pPr>
        <w:shd w:val="clear" w:color="000000" w:fill="auto"/>
        <w:spacing w:line="360" w:lineRule="auto"/>
        <w:ind w:firstLine="36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(2)大写金额和小写金额不一致的，以大写金额为准;</w:t>
      </w:r>
    </w:p>
    <w:p>
      <w:pPr>
        <w:shd w:val="clear" w:color="000000" w:fill="auto"/>
        <w:spacing w:line="360" w:lineRule="auto"/>
        <w:ind w:firstLine="36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(3)单价金额小数点或者百分比有明显错位的，以开标一览表的总价为准，并修改单价;</w:t>
      </w:r>
    </w:p>
    <w:p>
      <w:pPr>
        <w:shd w:val="clear" w:color="000000" w:fill="auto"/>
        <w:spacing w:line="360" w:lineRule="auto"/>
        <w:ind w:firstLine="36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(4)总价金额与按单价汇总金额不一致的，以单价金额计算结果为准。</w:t>
      </w:r>
    </w:p>
    <w:p>
      <w:pPr>
        <w:shd w:val="clear" w:color="000000" w:fill="auto"/>
        <w:adjustRightInd w:val="0"/>
        <w:snapToGrid w:val="0"/>
        <w:spacing w:line="44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24、评标方法和评标原则</w:t>
      </w:r>
    </w:p>
    <w:p>
      <w:pPr>
        <w:shd w:val="clear" w:color="000000" w:fill="auto"/>
        <w:spacing w:line="360" w:lineRule="auto"/>
        <w:ind w:firstLine="36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24.1、综合评分法：</w:t>
      </w:r>
      <w:r>
        <w:rPr>
          <w:rFonts w:hint="eastAsia" w:ascii="仿宋" w:hAnsi="仿宋" w:eastAsia="仿宋" w:cs="仿宋"/>
          <w:bCs/>
          <w:color w:val="auto"/>
          <w:sz w:val="24"/>
          <w:highlight w:val="none"/>
        </w:rPr>
        <w:t>是指投标文件满足招标文件全部实质性要求，且按照评审因素的量化指标评审得分最高</w:t>
      </w:r>
      <w:r>
        <w:rPr>
          <w:rFonts w:hint="eastAsia" w:ascii="仿宋" w:hAnsi="仿宋" w:eastAsia="仿宋" w:cs="仿宋"/>
          <w:bCs/>
          <w:color w:val="auto"/>
          <w:sz w:val="24"/>
          <w:highlight w:val="none"/>
          <w:lang w:eastAsia="zh-CN"/>
        </w:rPr>
        <w:t>前五名</w:t>
      </w:r>
      <w:r>
        <w:rPr>
          <w:rFonts w:hint="eastAsia" w:ascii="仿宋" w:hAnsi="仿宋" w:eastAsia="仿宋" w:cs="仿宋"/>
          <w:bCs/>
          <w:color w:val="auto"/>
          <w:sz w:val="24"/>
          <w:highlight w:val="none"/>
        </w:rPr>
        <w:t>的投标人为中标候选人的评标方法。</w:t>
      </w:r>
    </w:p>
    <w:p>
      <w:pPr>
        <w:shd w:val="clear" w:color="000000" w:fill="auto"/>
        <w:spacing w:line="360" w:lineRule="auto"/>
        <w:ind w:firstLine="36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24.2、评标原则：</w:t>
      </w:r>
      <w:r>
        <w:rPr>
          <w:rFonts w:hint="eastAsia" w:ascii="仿宋" w:hAnsi="仿宋" w:eastAsia="仿宋" w:cs="仿宋"/>
          <w:bCs/>
          <w:color w:val="auto"/>
          <w:sz w:val="24"/>
          <w:highlight w:val="none"/>
        </w:rPr>
        <w:t>评标委员会必须公平、公正、客观，不带任何倾向性；不得向外界透露任何与评标有关的内容；任何单位和个人不得干扰、影响评标的正常进行；评标委员会及有关工作人员不得私下与投标人接触。</w:t>
      </w:r>
    </w:p>
    <w:p>
      <w:pPr>
        <w:shd w:val="clear" w:color="000000" w:fill="auto"/>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25、评标过程的监控</w:t>
      </w:r>
    </w:p>
    <w:p>
      <w:pPr>
        <w:pStyle w:val="14"/>
        <w:shd w:val="clear" w:color="010000" w:fill="auto"/>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本项目评标过程实行全程录音、录像监控，投标人在评标过程中所进行的试图影响评标结果的不公正活动，可能导致其投标</w:t>
      </w:r>
      <w:r>
        <w:rPr>
          <w:rFonts w:hint="eastAsia" w:ascii="仿宋" w:hAnsi="仿宋" w:eastAsia="仿宋" w:cs="仿宋"/>
          <w:color w:val="auto"/>
          <w:sz w:val="24"/>
          <w:szCs w:val="24"/>
          <w:highlight w:val="none"/>
          <w:lang w:eastAsia="zh-CN"/>
        </w:rPr>
        <w:t>拒绝</w:t>
      </w:r>
      <w:r>
        <w:rPr>
          <w:rFonts w:hint="eastAsia" w:ascii="仿宋" w:hAnsi="仿宋" w:eastAsia="仿宋" w:cs="仿宋"/>
          <w:color w:val="auto"/>
          <w:sz w:val="24"/>
          <w:szCs w:val="24"/>
          <w:highlight w:val="none"/>
        </w:rPr>
        <w:t>。</w:t>
      </w:r>
    </w:p>
    <w:p>
      <w:pPr>
        <w:shd w:val="clear" w:color="000000" w:fill="auto"/>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26、无效投标的情形</w:t>
      </w:r>
    </w:p>
    <w:p>
      <w:pPr>
        <w:shd w:val="clear" w:color="000000" w:fill="auto"/>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26.1、资格性审查无效投标的情形</w:t>
      </w:r>
    </w:p>
    <w:p>
      <w:pPr>
        <w:pStyle w:val="14"/>
        <w:shd w:val="clear" w:color="010000" w:fill="auto"/>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（1）、被拒绝的投标文件；</w:t>
      </w:r>
    </w:p>
    <w:p>
      <w:pPr>
        <w:pStyle w:val="14"/>
        <w:shd w:val="clear" w:color="010000" w:fill="auto"/>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（2）、未通过报名的；</w:t>
      </w:r>
    </w:p>
    <w:p>
      <w:pPr>
        <w:pStyle w:val="14"/>
        <w:shd w:val="clear" w:color="010000" w:fill="auto"/>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）、投标文件份数不符合要求；</w:t>
      </w:r>
    </w:p>
    <w:p>
      <w:pPr>
        <w:pStyle w:val="14"/>
        <w:shd w:val="clear" w:color="010000" w:fill="auto"/>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）、资格证明文件不全，或者不符合招标文件标明的资格要求（参见招标公告）；  </w:t>
      </w:r>
    </w:p>
    <w:p>
      <w:pPr>
        <w:pStyle w:val="14"/>
        <w:shd w:val="clear" w:color="010000" w:fill="auto"/>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）、信用审查不通过的；</w:t>
      </w:r>
    </w:p>
    <w:p>
      <w:pPr>
        <w:shd w:val="clear" w:color="000000" w:fill="auto"/>
        <w:adjustRightInd w:val="0"/>
        <w:snapToGrid w:val="0"/>
        <w:spacing w:line="44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26.2、符合性审查及其他无效投标的情形</w:t>
      </w:r>
    </w:p>
    <w:p>
      <w:pPr>
        <w:pStyle w:val="14"/>
        <w:shd w:val="clear" w:color="010000" w:fill="auto"/>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（1）、投标文件封面、开标一览表、投标响应函、授权委托书，任意一项未加盖单位公章；</w:t>
      </w:r>
    </w:p>
    <w:p>
      <w:pPr>
        <w:pStyle w:val="14"/>
        <w:shd w:val="clear" w:color="010000" w:fill="auto"/>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（2）、开标一览表或投标响应函无法定代表人（或授权代表）签字；</w:t>
      </w:r>
    </w:p>
    <w:p>
      <w:pPr>
        <w:pStyle w:val="14"/>
        <w:shd w:val="clear" w:color="010000" w:fill="auto"/>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（3）、提供虚假证明材料；</w:t>
      </w:r>
    </w:p>
    <w:p>
      <w:pPr>
        <w:pStyle w:val="14"/>
        <w:shd w:val="clear" w:color="010000" w:fill="auto"/>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（4）、加“▲”的分项报价表中“品名”、“数量”与招标清单不一致或有缺项的；</w:t>
      </w:r>
    </w:p>
    <w:p>
      <w:pPr>
        <w:pStyle w:val="14"/>
        <w:shd w:val="clear" w:color="010000" w:fill="auto"/>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（5）、投标文件中对于招标需求中的实质性内容的响应表述不清或不响应，评标委员会不能确认为有效；</w:t>
      </w:r>
    </w:p>
    <w:p>
      <w:pPr>
        <w:pStyle w:val="14"/>
        <w:shd w:val="clear" w:color="010000" w:fill="auto"/>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（6）、投标文件组成中带“▲”资料提供不全的；</w:t>
      </w:r>
    </w:p>
    <w:p>
      <w:pPr>
        <w:pStyle w:val="14"/>
        <w:shd w:val="clear" w:color="010000" w:fill="auto"/>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（7）、投标技术方案不明确或存在备选（替代）投标方案；</w:t>
      </w:r>
    </w:p>
    <w:p>
      <w:pPr>
        <w:pStyle w:val="14"/>
        <w:shd w:val="clear" w:color="010000" w:fill="auto"/>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（8）、未按照招标文件标明的币种报价；</w:t>
      </w:r>
    </w:p>
    <w:p>
      <w:pPr>
        <w:pStyle w:val="14"/>
        <w:shd w:val="clear" w:color="010000" w:fill="auto"/>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（9）、报价超出最高限价，或者超出招标预算金额，招标人不能支付；</w:t>
      </w:r>
    </w:p>
    <w:p>
      <w:pPr>
        <w:pStyle w:val="14"/>
        <w:shd w:val="clear" w:color="010000" w:fill="auto"/>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（10）、投标报价具有选择性；</w:t>
      </w:r>
    </w:p>
    <w:p>
      <w:pPr>
        <w:pStyle w:val="14"/>
        <w:shd w:val="clear" w:color="010000" w:fill="auto"/>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（11）、报价文件之外其他投标文件中出现投标报价的（招标文件另有规定的除外）；</w:t>
      </w:r>
    </w:p>
    <w:p>
      <w:pPr>
        <w:pStyle w:val="14"/>
        <w:shd w:val="clear" w:color="010000" w:fill="auto"/>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（12）、投标人拒绝按招标文件规定的修正原则对投标文件进行修改的；</w:t>
      </w:r>
    </w:p>
    <w:p>
      <w:pPr>
        <w:pStyle w:val="14"/>
        <w:shd w:val="clear" w:color="010000" w:fill="auto"/>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（13）、投标人串通投标的；</w:t>
      </w:r>
    </w:p>
    <w:p>
      <w:pPr>
        <w:pStyle w:val="14"/>
        <w:shd w:val="clear" w:color="010000" w:fill="auto"/>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（14）、本项目如需招标节能清单中的政府强制招标的节能产品的，所投产品不在节能产品政府招标清单中的；</w:t>
      </w:r>
    </w:p>
    <w:p>
      <w:pPr>
        <w:pStyle w:val="14"/>
        <w:shd w:val="clear" w:color="010000" w:fill="auto"/>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（15）、投标文件中承诺的投标有效期少于招标文件中载明的投标有效期的；</w:t>
      </w:r>
    </w:p>
    <w:p>
      <w:pPr>
        <w:pStyle w:val="14"/>
        <w:shd w:val="clear" w:color="010000" w:fill="auto"/>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（16）、投标文件含有招标人不能接受的附加条件的;</w:t>
      </w:r>
    </w:p>
    <w:p>
      <w:pPr>
        <w:pStyle w:val="14"/>
        <w:shd w:val="clear" w:color="010000" w:fill="auto"/>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（17）、不符合法律、法规等相关规定或投标文件有招标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不能接受的附加条件；</w:t>
      </w:r>
    </w:p>
    <w:p>
      <w:pPr>
        <w:pStyle w:val="14"/>
        <w:shd w:val="clear" w:color="010000" w:fill="auto"/>
        <w:spacing w:line="440" w:lineRule="exact"/>
        <w:ind w:firstLine="470" w:firstLineChars="196"/>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rPr>
        <w:t xml:space="preserve">（18）、根据招标文件、相关法律法规等要求，评标委员会认为应当作无效投标处理的其他情况。 </w:t>
      </w:r>
      <w:r>
        <w:rPr>
          <w:rFonts w:hint="eastAsia" w:ascii="仿宋" w:hAnsi="仿宋" w:eastAsia="仿宋" w:cs="仿宋"/>
          <w:b/>
          <w:bCs/>
          <w:color w:val="auto"/>
          <w:sz w:val="24"/>
          <w:highlight w:val="none"/>
        </w:rPr>
        <w:t xml:space="preserve"> </w:t>
      </w:r>
      <w:r>
        <w:rPr>
          <w:rFonts w:hint="eastAsia" w:ascii="仿宋" w:hAnsi="仿宋" w:eastAsia="仿宋" w:cs="仿宋"/>
          <w:b/>
          <w:color w:val="auto"/>
          <w:sz w:val="24"/>
          <w:highlight w:val="none"/>
        </w:rPr>
        <w:t xml:space="preserve">                                                                                                    </w:t>
      </w:r>
    </w:p>
    <w:p>
      <w:pPr>
        <w:pStyle w:val="3"/>
        <w:shd w:val="clear" w:color="010000" w:fill="auto"/>
        <w:spacing w:line="440" w:lineRule="exact"/>
        <w:ind w:firstLine="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27、废标</w:t>
      </w:r>
    </w:p>
    <w:p>
      <w:pPr>
        <w:pStyle w:val="40"/>
        <w:shd w:val="clear" w:color="010000" w:fill="auto"/>
        <w:spacing w:before="0" w:line="440" w:lineRule="exact"/>
        <w:ind w:firstLine="600" w:firstLineChars="250"/>
        <w:rPr>
          <w:rFonts w:hint="eastAsia" w:ascii="仿宋" w:hAnsi="仿宋" w:eastAsia="仿宋" w:cs="仿宋"/>
          <w:color w:val="auto"/>
          <w:kern w:val="0"/>
          <w:szCs w:val="24"/>
          <w:highlight w:val="none"/>
          <w:lang w:val="zh-CN"/>
        </w:rPr>
      </w:pPr>
      <w:r>
        <w:rPr>
          <w:rFonts w:hint="eastAsia" w:ascii="仿宋" w:hAnsi="仿宋" w:eastAsia="仿宋" w:cs="仿宋"/>
          <w:color w:val="auto"/>
          <w:kern w:val="0"/>
          <w:szCs w:val="24"/>
          <w:highlight w:val="none"/>
          <w:lang w:val="zh-CN"/>
        </w:rPr>
        <w:t>在招标中，出现下列情形之一的，应予废标：</w:t>
      </w:r>
    </w:p>
    <w:p>
      <w:pPr>
        <w:widowControl/>
        <w:shd w:val="clear" w:color="010000" w:fill="auto"/>
        <w:spacing w:line="380" w:lineRule="atLeas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（一）符合条件的供应商或者对招标文件作实质响应的供应商不足</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家的；</w:t>
      </w:r>
    </w:p>
    <w:p>
      <w:pPr>
        <w:widowControl/>
        <w:shd w:val="clear" w:color="010000" w:fill="auto"/>
        <w:spacing w:line="380" w:lineRule="atLeas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（二）出现影响招标公正的违法、违规行为的；</w:t>
      </w:r>
    </w:p>
    <w:p>
      <w:pPr>
        <w:widowControl/>
        <w:shd w:val="clear" w:color="010000" w:fill="auto"/>
        <w:spacing w:line="380" w:lineRule="atLeas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（三）投标人的报价均超过了招标预算或最高限价</w:t>
      </w:r>
      <w:r>
        <w:rPr>
          <w:rFonts w:hint="eastAsia" w:ascii="仿宋" w:hAnsi="仿宋" w:eastAsia="仿宋" w:cs="仿宋"/>
          <w:color w:val="auto"/>
          <w:kern w:val="0"/>
          <w:sz w:val="24"/>
          <w:highlight w:val="none"/>
        </w:rPr>
        <w:t>，招标人不能支付的；</w:t>
      </w:r>
    </w:p>
    <w:p>
      <w:pPr>
        <w:widowControl/>
        <w:shd w:val="clear" w:color="010000" w:fill="auto"/>
        <w:spacing w:line="380" w:lineRule="atLeas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（四）因重大变故，招标任务取消的。</w:t>
      </w:r>
    </w:p>
    <w:p>
      <w:pPr>
        <w:shd w:val="clear" w:color="000000" w:fill="auto"/>
        <w:autoSpaceDE w:val="0"/>
        <w:autoSpaceDN w:val="0"/>
        <w:adjustRightInd w:val="0"/>
        <w:spacing w:line="440" w:lineRule="exact"/>
        <w:ind w:firstLine="57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第一条款按照有关法律法规，除作为废标外可经批准后继续按原招标方式进行或采取其它招标方式。废标后，招标代理机构将就废标理由通知所有投标人。</w:t>
      </w:r>
    </w:p>
    <w:p>
      <w:pPr>
        <w:pStyle w:val="3"/>
        <w:shd w:val="clear" w:color="010000" w:fill="auto"/>
        <w:spacing w:line="440" w:lineRule="exact"/>
        <w:ind w:firstLine="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28、评标内容的保密</w:t>
      </w:r>
    </w:p>
    <w:p>
      <w:pPr>
        <w:pStyle w:val="40"/>
        <w:shd w:val="clear" w:color="010000" w:fill="auto"/>
        <w:spacing w:before="0" w:line="44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28.1、凡属于审查、澄清、评价和比较投标的所有资料，不应向投标人或与评标无关的其他人泄漏。</w:t>
      </w:r>
    </w:p>
    <w:p>
      <w:pPr>
        <w:pStyle w:val="40"/>
        <w:shd w:val="clear" w:color="010000" w:fill="auto"/>
        <w:spacing w:before="0" w:line="44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28.2、在投标文件的审查、澄清、评价和比较以及确定中标单位过程中，投标人对招标代理机构和评标委员会施加影响的违规行为，都将导致</w:t>
      </w:r>
      <w:r>
        <w:rPr>
          <w:rFonts w:hint="eastAsia" w:ascii="仿宋" w:hAnsi="仿宋" w:eastAsia="仿宋" w:cs="仿宋"/>
          <w:color w:val="auto"/>
          <w:szCs w:val="24"/>
          <w:highlight w:val="none"/>
          <w:lang w:eastAsia="zh-CN"/>
        </w:rPr>
        <w:t>取消中标资格</w:t>
      </w:r>
      <w:r>
        <w:rPr>
          <w:rFonts w:hint="eastAsia" w:ascii="仿宋" w:hAnsi="仿宋" w:eastAsia="仿宋" w:cs="仿宋"/>
          <w:color w:val="auto"/>
          <w:szCs w:val="24"/>
          <w:highlight w:val="none"/>
        </w:rPr>
        <w:t>。</w:t>
      </w:r>
    </w:p>
    <w:p>
      <w:pPr>
        <w:pStyle w:val="40"/>
        <w:shd w:val="clear" w:color="010000" w:fill="auto"/>
        <w:spacing w:before="0" w:line="44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八、定标</w:t>
      </w:r>
    </w:p>
    <w:p>
      <w:pPr>
        <w:pStyle w:val="40"/>
        <w:shd w:val="clear" w:color="010000" w:fill="auto"/>
        <w:spacing w:before="0" w:line="44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 xml:space="preserve">29、 </w:t>
      </w:r>
      <w:r>
        <w:rPr>
          <w:rFonts w:hint="eastAsia" w:ascii="仿宋" w:hAnsi="仿宋" w:eastAsia="仿宋" w:cs="仿宋"/>
          <w:b/>
          <w:color w:val="auto"/>
          <w:highlight w:val="none"/>
        </w:rPr>
        <w:t>推荐中标单位</w:t>
      </w:r>
    </w:p>
    <w:p>
      <w:pPr>
        <w:pStyle w:val="40"/>
        <w:shd w:val="clear" w:color="010000" w:fill="auto"/>
        <w:spacing w:before="0" w:line="440" w:lineRule="exact"/>
        <w:ind w:firstLine="480"/>
        <w:rPr>
          <w:rFonts w:hint="eastAsia" w:ascii="仿宋" w:hAnsi="仿宋" w:eastAsia="仿宋" w:cs="仿宋"/>
          <w:color w:val="auto"/>
          <w:highlight w:val="none"/>
        </w:rPr>
      </w:pPr>
      <w:r>
        <w:rPr>
          <w:rFonts w:hint="eastAsia" w:ascii="仿宋" w:hAnsi="仿宋" w:eastAsia="仿宋" w:cs="仿宋"/>
          <w:color w:val="auto"/>
          <w:szCs w:val="24"/>
          <w:highlight w:val="none"/>
        </w:rPr>
        <w:t>29.1、</w:t>
      </w:r>
      <w:r>
        <w:rPr>
          <w:rFonts w:hint="eastAsia" w:ascii="仿宋" w:hAnsi="仿宋" w:eastAsia="仿宋" w:cs="仿宋"/>
          <w:b/>
          <w:bCs/>
          <w:color w:val="auto"/>
          <w:szCs w:val="24"/>
          <w:highlight w:val="none"/>
        </w:rPr>
        <w:t>综合评分法：</w:t>
      </w:r>
      <w:r>
        <w:rPr>
          <w:rFonts w:hint="eastAsia" w:ascii="仿宋" w:hAnsi="仿宋" w:eastAsia="仿宋" w:cs="仿宋"/>
          <w:color w:val="auto"/>
          <w:szCs w:val="24"/>
          <w:highlight w:val="none"/>
        </w:rPr>
        <w:t>评标委员会将根据招标文件和有关规定，履行评标工作职责，以评标原则和评标办法为标准，全面衡量各投标人对招标文件的响应情况后，对实质上响应招标要求的投标人，以招标文件规定的</w:t>
      </w:r>
      <w:r>
        <w:rPr>
          <w:rFonts w:hint="eastAsia" w:ascii="仿宋" w:hAnsi="仿宋" w:eastAsia="仿宋" w:cs="仿宋"/>
          <w:color w:val="auto"/>
          <w:kern w:val="0"/>
          <w:highlight w:val="none"/>
          <w:lang w:val="zh-CN"/>
        </w:rPr>
        <w:t>打分方法</w:t>
      </w:r>
      <w:r>
        <w:rPr>
          <w:rFonts w:hint="eastAsia" w:ascii="仿宋" w:hAnsi="仿宋" w:eastAsia="仿宋" w:cs="仿宋"/>
          <w:color w:val="auto"/>
          <w:highlight w:val="none"/>
        </w:rPr>
        <w:t>对各投标人</w:t>
      </w:r>
      <w:r>
        <w:rPr>
          <w:rFonts w:hint="eastAsia" w:ascii="仿宋" w:hAnsi="仿宋" w:eastAsia="仿宋" w:cs="仿宋"/>
          <w:color w:val="auto"/>
          <w:kern w:val="0"/>
          <w:highlight w:val="none"/>
          <w:lang w:val="zh-CN"/>
        </w:rPr>
        <w:t>进行综合评审，按评审后得分由高到低顺序排列。得分相同的，按投标报价由低到高顺序排列；得分且投标报价相同的，按技术指标优劣顺序排列。</w:t>
      </w:r>
      <w:r>
        <w:rPr>
          <w:rFonts w:hint="eastAsia" w:ascii="仿宋" w:hAnsi="仿宋" w:eastAsia="仿宋" w:cs="仿宋"/>
          <w:color w:val="auto"/>
          <w:highlight w:val="none"/>
          <w:lang w:val="zh-CN"/>
        </w:rPr>
        <w:t>通过评审的投标单位大于或等于</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val="zh-CN"/>
        </w:rPr>
        <w:t>家时，依次从高到低选取</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val="zh-CN"/>
        </w:rPr>
        <w:t>家为本项目的中标候选人，如最终评审的投标单位少于</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val="zh-CN"/>
        </w:rPr>
        <w:t>家的，则本次招标失败</w:t>
      </w:r>
      <w:r>
        <w:rPr>
          <w:rFonts w:hint="eastAsia" w:ascii="仿宋" w:hAnsi="仿宋" w:eastAsia="仿宋" w:cs="仿宋"/>
          <w:color w:val="auto"/>
          <w:highlight w:val="none"/>
        </w:rPr>
        <w:t>。</w:t>
      </w:r>
    </w:p>
    <w:p>
      <w:pPr>
        <w:widowControl w:val="0"/>
        <w:shd w:val="clear" w:color="010000" w:fill="auto"/>
        <w:spacing w:before="0" w:line="440" w:lineRule="exact"/>
        <w:ind w:firstLine="480" w:firstLineChars="200"/>
        <w:jc w:val="both"/>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29.2、</w:t>
      </w:r>
      <w:r>
        <w:rPr>
          <w:rFonts w:hint="eastAsia" w:ascii="仿宋" w:hAnsi="仿宋" w:eastAsia="仿宋" w:cs="仿宋"/>
          <w:color w:val="auto"/>
          <w:kern w:val="2"/>
          <w:sz w:val="24"/>
          <w:szCs w:val="20"/>
          <w:highlight w:val="none"/>
          <w:lang w:val="en-US" w:eastAsia="zh-CN" w:bidi="ar-SA"/>
        </w:rPr>
        <w:t>评标结果报经批准，最终确定中标单位。</w:t>
      </w:r>
    </w:p>
    <w:p>
      <w:pPr>
        <w:pStyle w:val="40"/>
        <w:shd w:val="clear" w:color="010000" w:fill="auto"/>
        <w:spacing w:before="0" w:line="44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30、定标</w:t>
      </w:r>
    </w:p>
    <w:p>
      <w:pPr>
        <w:pStyle w:val="40"/>
        <w:shd w:val="clear" w:color="010000" w:fill="auto"/>
        <w:spacing w:before="0" w:line="60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30.1采购代理机构在评标结束后</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个工作日内将评标报告交采购人确认。在发布招标公告的网站上对评标结果进行公示，公示时间为3</w:t>
      </w:r>
      <w:r>
        <w:rPr>
          <w:rFonts w:hint="eastAsia" w:ascii="仿宋" w:hAnsi="仿宋" w:eastAsia="仿宋" w:cs="仿宋"/>
          <w:color w:val="auto"/>
          <w:szCs w:val="24"/>
          <w:highlight w:val="none"/>
          <w:lang w:eastAsia="zh-CN"/>
        </w:rPr>
        <w:t>个工作</w:t>
      </w:r>
      <w:r>
        <w:rPr>
          <w:rFonts w:hint="eastAsia" w:ascii="仿宋" w:hAnsi="仿宋" w:eastAsia="仿宋" w:cs="仿宋"/>
          <w:color w:val="auto"/>
          <w:szCs w:val="24"/>
          <w:highlight w:val="none"/>
        </w:rPr>
        <w:t>日。</w:t>
      </w:r>
    </w:p>
    <w:p>
      <w:pPr>
        <w:pStyle w:val="40"/>
        <w:shd w:val="clear" w:color="010000" w:fill="auto"/>
        <w:spacing w:before="0" w:line="60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对于未中标单位，将不再另行通知，招标采购单位无义务解释未中标原因。</w:t>
      </w:r>
    </w:p>
    <w:p>
      <w:pPr>
        <w:pStyle w:val="40"/>
        <w:shd w:val="clear" w:color="010000" w:fill="auto"/>
        <w:spacing w:before="0" w:line="440" w:lineRule="exact"/>
        <w:ind w:firstLine="480"/>
        <w:rPr>
          <w:rFonts w:hint="eastAsia" w:ascii="仿宋" w:hAnsi="仿宋" w:eastAsia="仿宋" w:cs="仿宋"/>
          <w:color w:val="auto"/>
          <w:highlight w:val="none"/>
        </w:rPr>
      </w:pPr>
      <w:r>
        <w:rPr>
          <w:rFonts w:hint="eastAsia" w:ascii="仿宋" w:hAnsi="仿宋" w:eastAsia="仿宋" w:cs="仿宋"/>
          <w:color w:val="auto"/>
          <w:szCs w:val="24"/>
          <w:highlight w:val="none"/>
          <w:lang w:val="en-US" w:eastAsia="zh-CN"/>
        </w:rPr>
        <w:t>30</w:t>
      </w:r>
      <w:r>
        <w:rPr>
          <w:rFonts w:hint="eastAsia" w:ascii="仿宋" w:hAnsi="仿宋" w:eastAsia="仿宋" w:cs="仿宋"/>
          <w:color w:val="auto"/>
          <w:szCs w:val="24"/>
          <w:highlight w:val="none"/>
        </w:rPr>
        <w:t>.2、中标公告发布后，招标采</w:t>
      </w:r>
      <w:r>
        <w:rPr>
          <w:rFonts w:hint="eastAsia" w:ascii="仿宋" w:hAnsi="仿宋" w:eastAsia="仿宋" w:cs="仿宋"/>
          <w:color w:val="auto"/>
          <w:highlight w:val="none"/>
        </w:rPr>
        <w:t>购单位将以书面形式发出中标通知书原件，中标通知书原件一经发出即发生法律效力。中标通知书将作为签订合同的依据。</w:t>
      </w:r>
    </w:p>
    <w:p>
      <w:pPr>
        <w:pStyle w:val="40"/>
        <w:shd w:val="clear" w:color="010000" w:fill="auto"/>
        <w:spacing w:before="0" w:line="44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九、合同签订及其他</w:t>
      </w:r>
    </w:p>
    <w:p>
      <w:pPr>
        <w:pStyle w:val="40"/>
        <w:shd w:val="clear" w:color="010000" w:fill="auto"/>
        <w:spacing w:before="0" w:line="44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31、签订合同</w:t>
      </w:r>
    </w:p>
    <w:p>
      <w:pPr>
        <w:shd w:val="clear" w:color="000000" w:fill="auto"/>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31.1、招标人与中标单位应当在中标通知书发出之日起30日内签订合同。</w:t>
      </w:r>
    </w:p>
    <w:p>
      <w:pPr>
        <w:shd w:val="clear" w:color="000000" w:fill="auto"/>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31.2、招标文件、中标单位的投标文件、澄清文件及中标通知书等，均为签订合同的依据。</w:t>
      </w:r>
    </w:p>
    <w:p>
      <w:pPr>
        <w:shd w:val="clear" w:color="000000" w:fill="auto"/>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31.3、中标单位不遵守招标文件或投标文件的要约、承诺，擅自修改报价或在接到中标通知书规定时间内借故拖延、拒签合同者，招标人</w:t>
      </w:r>
      <w:r>
        <w:rPr>
          <w:rFonts w:hint="eastAsia" w:ascii="仿宋" w:hAnsi="仿宋" w:eastAsia="仿宋" w:cs="仿宋"/>
          <w:color w:val="auto"/>
          <w:sz w:val="24"/>
          <w:highlight w:val="none"/>
          <w:lang w:eastAsia="zh-CN"/>
        </w:rPr>
        <w:t>有权</w:t>
      </w:r>
      <w:r>
        <w:rPr>
          <w:rFonts w:hint="eastAsia" w:ascii="仿宋" w:hAnsi="仿宋" w:eastAsia="仿宋" w:cs="仿宋"/>
          <w:color w:val="auto"/>
          <w:sz w:val="24"/>
          <w:highlight w:val="none"/>
        </w:rPr>
        <w:t>取消该单位的中标权并处罚追究责任，将于下一中标候选人签订合同，或者重新</w:t>
      </w:r>
      <w:r>
        <w:rPr>
          <w:rFonts w:hint="eastAsia" w:ascii="仿宋" w:hAnsi="仿宋" w:eastAsia="仿宋" w:cs="仿宋"/>
          <w:color w:val="auto"/>
          <w:sz w:val="24"/>
          <w:highlight w:val="none"/>
          <w:lang w:eastAsia="zh-CN"/>
        </w:rPr>
        <w:t>组织</w:t>
      </w:r>
      <w:r>
        <w:rPr>
          <w:rFonts w:hint="eastAsia" w:ascii="仿宋" w:hAnsi="仿宋" w:eastAsia="仿宋" w:cs="仿宋"/>
          <w:color w:val="auto"/>
          <w:sz w:val="24"/>
          <w:highlight w:val="none"/>
        </w:rPr>
        <w:t>招标。</w:t>
      </w:r>
    </w:p>
    <w:p>
      <w:pPr>
        <w:shd w:val="clear" w:color="000000" w:fill="auto"/>
        <w:adjustRightInd w:val="0"/>
        <w:snapToGrid w:val="0"/>
        <w:spacing w:line="440" w:lineRule="exact"/>
        <w:ind w:firstLine="480" w:firstLineChars="200"/>
        <w:rPr>
          <w:rFonts w:hint="eastAsia" w:ascii="仿宋" w:hAnsi="仿宋" w:eastAsia="仿宋" w:cs="仿宋"/>
          <w:b/>
          <w:color w:val="auto"/>
          <w:sz w:val="24"/>
          <w:highlight w:val="none"/>
          <w:lang w:eastAsia="zh-CN"/>
        </w:rPr>
      </w:pPr>
      <w:r>
        <w:rPr>
          <w:rFonts w:hint="eastAsia" w:ascii="仿宋" w:hAnsi="仿宋" w:eastAsia="仿宋" w:cs="仿宋"/>
          <w:b w:val="0"/>
          <w:bCs/>
          <w:color w:val="auto"/>
          <w:sz w:val="24"/>
          <w:highlight w:val="none"/>
        </w:rPr>
        <w:t>31.4、</w:t>
      </w:r>
      <w:r>
        <w:rPr>
          <w:rFonts w:hint="eastAsia" w:ascii="仿宋" w:hAnsi="仿宋" w:eastAsia="仿宋" w:cs="仿宋"/>
          <w:color w:val="auto"/>
          <w:sz w:val="24"/>
          <w:highlight w:val="none"/>
        </w:rPr>
        <w:t>合同签订后，招标结束</w:t>
      </w:r>
      <w:r>
        <w:rPr>
          <w:rFonts w:hint="eastAsia" w:ascii="仿宋" w:hAnsi="仿宋" w:eastAsia="仿宋" w:cs="仿宋"/>
          <w:color w:val="auto"/>
          <w:sz w:val="24"/>
          <w:highlight w:val="none"/>
          <w:lang w:eastAsia="zh-CN"/>
        </w:rPr>
        <w:t>。</w:t>
      </w:r>
    </w:p>
    <w:p>
      <w:pPr>
        <w:pStyle w:val="40"/>
        <w:shd w:val="clear" w:color="010000" w:fill="auto"/>
        <w:spacing w:before="0" w:line="44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32、合同备案</w:t>
      </w:r>
    </w:p>
    <w:p>
      <w:pPr>
        <w:pStyle w:val="40"/>
        <w:shd w:val="clear" w:color="010000" w:fill="auto"/>
        <w:spacing w:before="0" w:line="44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合同一式多份，双方各自存档备案</w:t>
      </w:r>
      <w:r>
        <w:rPr>
          <w:rFonts w:hint="eastAsia" w:ascii="仿宋" w:hAnsi="仿宋" w:eastAsia="仿宋" w:cs="仿宋"/>
          <w:color w:val="auto"/>
          <w:szCs w:val="24"/>
          <w:highlight w:val="none"/>
          <w:lang w:eastAsia="zh-CN"/>
        </w:rPr>
        <w:t>，备案机关留存一份</w:t>
      </w:r>
      <w:r>
        <w:rPr>
          <w:rFonts w:hint="eastAsia" w:ascii="仿宋" w:hAnsi="仿宋" w:eastAsia="仿宋" w:cs="仿宋"/>
          <w:color w:val="auto"/>
          <w:szCs w:val="24"/>
          <w:highlight w:val="none"/>
        </w:rPr>
        <w:t>。</w:t>
      </w:r>
    </w:p>
    <w:p>
      <w:pPr>
        <w:pStyle w:val="40"/>
        <w:shd w:val="clear" w:color="010000" w:fill="auto"/>
        <w:spacing w:before="0" w:line="44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33、履约保证金、质量保证金</w:t>
      </w:r>
    </w:p>
    <w:p>
      <w:pPr>
        <w:shd w:val="clear" w:color="000000" w:fill="auto"/>
        <w:adjustRightInd w:val="0"/>
        <w:snapToGrid w:val="0"/>
        <w:spacing w:line="440" w:lineRule="exact"/>
        <w:ind w:firstLine="480" w:firstLineChars="200"/>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33.1、履约保证金、质量保证金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无。</w:t>
      </w:r>
    </w:p>
    <w:p>
      <w:pPr>
        <w:pStyle w:val="40"/>
        <w:shd w:val="clear" w:color="010000" w:fill="auto"/>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34、验收</w:t>
      </w:r>
    </w:p>
    <w:p>
      <w:pPr>
        <w:shd w:val="clear" w:color="000000" w:fill="auto"/>
        <w:adjustRightInd w:val="0"/>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详见</w:t>
      </w: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eastAsia="zh-CN"/>
        </w:rPr>
        <w:t>采购需求</w:t>
      </w:r>
    </w:p>
    <w:p>
      <w:pPr>
        <w:pStyle w:val="40"/>
        <w:shd w:val="clear" w:color="010000" w:fill="auto"/>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35、质疑与投诉</w:t>
      </w:r>
    </w:p>
    <w:p>
      <w:pPr>
        <w:shd w:val="clear" w:color="000000" w:fill="auto"/>
        <w:adjustRightInd w:val="0"/>
        <w:snapToGrid w:val="0"/>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35.</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如认为招标过程存在违法行为，使自身的合法权益受到损害的，可以在开标前10天以书面形式向招标代理单位提出质疑；投标人如认为招标结果的产生过程存在违法行为，使自身的合法权益受到损害的，可以拟中标单位公示期间，以书面形式向招标代理单位提出质疑</w:t>
      </w:r>
      <w:r>
        <w:rPr>
          <w:rFonts w:hint="eastAsia" w:ascii="仿宋" w:hAnsi="仿宋" w:eastAsia="仿宋" w:cs="仿宋"/>
          <w:color w:val="auto"/>
          <w:sz w:val="24"/>
          <w:highlight w:val="none"/>
          <w:lang w:eastAsia="zh-CN"/>
        </w:rPr>
        <w:t>。</w:t>
      </w:r>
    </w:p>
    <w:p>
      <w:pPr>
        <w:shd w:val="clear" w:color="000000" w:fill="auto"/>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35.2、</w:t>
      </w:r>
      <w:r>
        <w:rPr>
          <w:rFonts w:hint="eastAsia" w:ascii="仿宋" w:hAnsi="仿宋" w:eastAsia="仿宋" w:cs="仿宋"/>
          <w:color w:val="auto"/>
          <w:sz w:val="24"/>
          <w:highlight w:val="none"/>
        </w:rPr>
        <w:t xml:space="preserve"> 质疑、投诉应当采用书面形式，质疑书、投诉书均应明确阐述招标文件、招标过程或中标 结果中使自己合法权益受到损害的实质性内容，提供相关事实、依据和证据及其来源或线索，便于有关单位调查、答复和处理。</w:t>
      </w:r>
    </w:p>
    <w:p>
      <w:pPr>
        <w:shd w:val="clear" w:color="000000" w:fill="auto"/>
        <w:adjustRightInd w:val="0"/>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35.3、</w:t>
      </w:r>
      <w:r>
        <w:rPr>
          <w:rFonts w:hint="eastAsia" w:ascii="仿宋" w:hAnsi="仿宋" w:eastAsia="仿宋" w:cs="仿宋"/>
          <w:color w:val="auto"/>
          <w:sz w:val="24"/>
          <w:highlight w:val="none"/>
        </w:rPr>
        <w:t>潜在供应商应当按照规定方式获取采购文件，未按照规定方式获取采购文件的，不得对采购文件提起质疑投诉。</w:t>
      </w:r>
    </w:p>
    <w:p>
      <w:pPr>
        <w:pStyle w:val="4"/>
        <w:shd w:val="clear" w:color="010000" w:fill="auto"/>
        <w:rPr>
          <w:rFonts w:hint="eastAsia" w:ascii="仿宋" w:hAnsi="仿宋" w:eastAsia="仿宋" w:cs="仿宋"/>
          <w:color w:val="auto"/>
          <w:sz w:val="24"/>
          <w:highlight w:val="none"/>
        </w:rPr>
      </w:pPr>
    </w:p>
    <w:p>
      <w:pPr>
        <w:pStyle w:val="4"/>
        <w:shd w:val="clear" w:color="010000" w:fill="auto"/>
        <w:ind w:left="0" w:leftChars="0" w:firstLine="0" w:firstLineChars="0"/>
        <w:rPr>
          <w:rFonts w:hint="eastAsia" w:ascii="仿宋" w:hAnsi="仿宋" w:eastAsia="仿宋" w:cs="仿宋"/>
          <w:color w:val="auto"/>
          <w:sz w:val="24"/>
          <w:highlight w:val="none"/>
        </w:rPr>
      </w:pPr>
    </w:p>
    <w:p>
      <w:pPr>
        <w:numPr>
          <w:ilvl w:val="0"/>
          <w:numId w:val="4"/>
        </w:numPr>
        <w:shd w:val="clear" w:color="010000" w:fill="auto"/>
        <w:adjustRightInd w:val="0"/>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投标人须知之专用条款</w:t>
      </w:r>
    </w:p>
    <w:p>
      <w:pPr>
        <w:pStyle w:val="40"/>
        <w:shd w:val="clear" w:color="010000" w:fill="auto"/>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w:t>
      </w:r>
      <w:r>
        <w:rPr>
          <w:rFonts w:hint="eastAsia" w:ascii="仿宋" w:hAnsi="仿宋" w:eastAsia="仿宋" w:cs="仿宋"/>
          <w:b/>
          <w:color w:val="auto"/>
          <w:szCs w:val="24"/>
          <w:highlight w:val="none"/>
          <w:lang w:val="en-US" w:eastAsia="zh-CN"/>
        </w:rPr>
        <w:t>6</w:t>
      </w:r>
      <w:r>
        <w:rPr>
          <w:rFonts w:hint="eastAsia" w:ascii="仿宋" w:hAnsi="仿宋" w:eastAsia="仿宋" w:cs="仿宋"/>
          <w:b/>
          <w:color w:val="auto"/>
          <w:szCs w:val="24"/>
          <w:highlight w:val="none"/>
        </w:rPr>
        <w:t>、投标文件组成（加“</w:t>
      </w:r>
      <w:r>
        <w:rPr>
          <w:rFonts w:hint="eastAsia" w:ascii="仿宋" w:hAnsi="仿宋" w:eastAsia="仿宋" w:cs="仿宋"/>
          <w:b/>
          <w:color w:val="auto"/>
          <w:kern w:val="0"/>
          <w:szCs w:val="24"/>
          <w:highlight w:val="none"/>
        </w:rPr>
        <w:t>▲</w:t>
      </w:r>
      <w:r>
        <w:rPr>
          <w:rFonts w:hint="eastAsia" w:ascii="仿宋" w:hAnsi="仿宋" w:eastAsia="仿宋" w:cs="仿宋"/>
          <w:b/>
          <w:color w:val="auto"/>
          <w:szCs w:val="24"/>
          <w:highlight w:val="none"/>
        </w:rPr>
        <w:t>”的资料为必须提供，否则将视为无效标处理）</w:t>
      </w:r>
    </w:p>
    <w:p>
      <w:pPr>
        <w:shd w:val="clear" w:color="000000" w:fill="auto"/>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投标</w:t>
      </w:r>
      <w:r>
        <w:rPr>
          <w:rFonts w:hint="eastAsia" w:ascii="仿宋" w:hAnsi="仿宋" w:eastAsia="仿宋" w:cs="仿宋"/>
          <w:color w:val="auto"/>
          <w:kern w:val="0"/>
          <w:sz w:val="24"/>
          <w:highlight w:val="none"/>
          <w:lang w:val="zh-CN"/>
        </w:rPr>
        <w:t>文件应当包括以下主要内容：资格文件、报价文件、商务技术文件。</w:t>
      </w:r>
    </w:p>
    <w:p>
      <w:pPr>
        <w:shd w:val="clear" w:color="000000"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1、投标人的</w:t>
      </w:r>
      <w:r>
        <w:rPr>
          <w:rFonts w:hint="eastAsia" w:ascii="仿宋" w:hAnsi="仿宋" w:eastAsia="仿宋" w:cs="仿宋"/>
          <w:b/>
          <w:bCs/>
          <w:color w:val="auto"/>
          <w:kern w:val="0"/>
          <w:sz w:val="24"/>
          <w:highlight w:val="none"/>
          <w:lang w:val="zh-CN"/>
        </w:rPr>
        <w:t>资格文件</w:t>
      </w:r>
      <w:r>
        <w:rPr>
          <w:rFonts w:hint="eastAsia" w:ascii="仿宋" w:hAnsi="仿宋" w:eastAsia="仿宋" w:cs="仿宋"/>
          <w:color w:val="auto"/>
          <w:sz w:val="24"/>
          <w:highlight w:val="none"/>
        </w:rPr>
        <w:t xml:space="preserve">至少应包括以下内容： </w:t>
      </w:r>
    </w:p>
    <w:p>
      <w:pPr>
        <w:shd w:val="clear" w:color="000000" w:fill="auto"/>
        <w:snapToGrid w:val="0"/>
        <w:spacing w:line="360" w:lineRule="auto"/>
        <w:ind w:left="105" w:leftChars="50"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基本资格条件审查材料：</w:t>
      </w:r>
    </w:p>
    <w:p>
      <w:pPr>
        <w:shd w:val="clear" w:color="000000" w:fill="auto"/>
        <w:snapToGrid w:val="0"/>
        <w:spacing w:line="360" w:lineRule="auto"/>
        <w:ind w:left="105" w:leftChars="50"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包括：</w:t>
      </w:r>
    </w:p>
    <w:p>
      <w:pPr>
        <w:shd w:val="clear" w:color="000000" w:fill="auto"/>
        <w:snapToGrid w:val="0"/>
        <w:spacing w:line="360" w:lineRule="auto"/>
        <w:ind w:left="105" w:leftChars="50" w:firstLine="422" w:firstLineChars="200"/>
        <w:rPr>
          <w:rFonts w:hint="eastAsia" w:ascii="仿宋" w:hAnsi="仿宋" w:eastAsia="仿宋" w:cs="仿宋"/>
          <w:color w:val="auto"/>
          <w:sz w:val="24"/>
          <w:szCs w:val="21"/>
          <w:highlight w:val="none"/>
        </w:rPr>
      </w:pPr>
      <w:r>
        <w:rPr>
          <w:rFonts w:hint="eastAsia" w:ascii="仿宋" w:hAnsi="仿宋" w:eastAsia="仿宋" w:cs="仿宋"/>
          <w:b/>
          <w:color w:val="auto"/>
          <w:highlight w:val="none"/>
        </w:rPr>
        <w:t>▲</w:t>
      </w:r>
      <w:r>
        <w:rPr>
          <w:rFonts w:hint="eastAsia" w:ascii="仿宋" w:hAnsi="仿宋" w:eastAsia="仿宋" w:cs="仿宋"/>
          <w:color w:val="auto"/>
          <w:sz w:val="24"/>
          <w:szCs w:val="21"/>
          <w:highlight w:val="none"/>
        </w:rPr>
        <w:t>（1）</w:t>
      </w:r>
      <w:r>
        <w:rPr>
          <w:rFonts w:hint="eastAsia" w:ascii="仿宋" w:hAnsi="仿宋" w:eastAsia="仿宋" w:cs="仿宋"/>
          <w:b/>
          <w:color w:val="auto"/>
          <w:sz w:val="24"/>
          <w:szCs w:val="21"/>
          <w:highlight w:val="none"/>
        </w:rPr>
        <w:t>营业执照</w:t>
      </w:r>
      <w:r>
        <w:rPr>
          <w:rFonts w:hint="eastAsia" w:ascii="仿宋" w:hAnsi="仿宋" w:eastAsia="仿宋" w:cs="仿宋"/>
          <w:color w:val="auto"/>
          <w:sz w:val="24"/>
          <w:szCs w:val="21"/>
          <w:highlight w:val="none"/>
        </w:rPr>
        <w:t xml:space="preserve">(或事业法人登记证书或其它工商等登记证明材料；自然人参与采购，提供身份证)复印件； </w:t>
      </w:r>
    </w:p>
    <w:p>
      <w:pPr>
        <w:shd w:val="clear" w:color="000000" w:fill="auto"/>
        <w:snapToGrid w:val="0"/>
        <w:spacing w:line="360" w:lineRule="auto"/>
        <w:ind w:left="105" w:leftChars="50"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pPr>
        <w:shd w:val="clear" w:color="000000" w:fill="auto"/>
        <w:snapToGrid w:val="0"/>
        <w:spacing w:line="360" w:lineRule="auto"/>
        <w:ind w:left="105" w:leftChars="50"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▲（2）最近一年财务报表(复印件，新成立的公司提供情况说明)；</w:t>
      </w:r>
    </w:p>
    <w:p>
      <w:pPr>
        <w:shd w:val="clear" w:color="000000" w:fill="auto"/>
        <w:snapToGrid w:val="0"/>
        <w:spacing w:line="360" w:lineRule="auto"/>
        <w:ind w:left="105" w:leftChars="50"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▲（3）具有履行合同所必需的场地、设备和专业技术能力的承诺函；</w:t>
      </w:r>
      <w:r>
        <w:rPr>
          <w:rFonts w:hint="eastAsia" w:ascii="仿宋" w:hAnsi="仿宋" w:eastAsia="仿宋" w:cs="仿宋"/>
          <w:b/>
          <w:bCs/>
          <w:color w:val="auto"/>
          <w:sz w:val="24"/>
          <w:highlight w:val="none"/>
        </w:rPr>
        <w:t>（格式见第五部分 投标文件格式）</w:t>
      </w:r>
    </w:p>
    <w:p>
      <w:pPr>
        <w:shd w:val="clear" w:color="000000" w:fill="auto"/>
        <w:snapToGrid w:val="0"/>
        <w:spacing w:line="360" w:lineRule="auto"/>
        <w:ind w:left="105" w:leftChars="50"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▲（4）依法缴纳税收和社会保障资金的承诺函；</w:t>
      </w:r>
      <w:r>
        <w:rPr>
          <w:rFonts w:hint="eastAsia" w:ascii="仿宋" w:hAnsi="仿宋" w:eastAsia="仿宋" w:cs="仿宋"/>
          <w:b/>
          <w:bCs/>
          <w:color w:val="auto"/>
          <w:sz w:val="24"/>
          <w:highlight w:val="none"/>
        </w:rPr>
        <w:t>（格式见第五部分 投标文件格式）</w:t>
      </w:r>
    </w:p>
    <w:p>
      <w:pPr>
        <w:shd w:val="clear" w:color="000000" w:fill="auto"/>
        <w:snapToGrid w:val="0"/>
        <w:spacing w:line="360" w:lineRule="auto"/>
        <w:ind w:left="105" w:leftChars="50"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▲（5）参加采购活动前3年内在经营活动中没有重大违法记录的声明函；</w:t>
      </w:r>
      <w:r>
        <w:rPr>
          <w:rFonts w:hint="eastAsia" w:ascii="仿宋" w:hAnsi="仿宋" w:eastAsia="仿宋" w:cs="仿宋"/>
          <w:b/>
          <w:bCs/>
          <w:color w:val="auto"/>
          <w:sz w:val="24"/>
          <w:highlight w:val="none"/>
        </w:rPr>
        <w:t>（格式见第五部分 投标文件格式）</w:t>
      </w:r>
    </w:p>
    <w:p>
      <w:pPr>
        <w:shd w:val="clear" w:color="000000" w:fill="auto"/>
        <w:snapToGrid w:val="0"/>
        <w:spacing w:line="360" w:lineRule="auto"/>
        <w:ind w:left="105" w:leftChars="50"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▲（6）单位负责人为同一人或者存在直接控股、管理关系的不同供应商，不得参加同一合同项下的采购活动承诺函；</w:t>
      </w:r>
      <w:r>
        <w:rPr>
          <w:rFonts w:hint="eastAsia" w:ascii="仿宋" w:hAnsi="仿宋" w:eastAsia="仿宋" w:cs="仿宋"/>
          <w:b/>
          <w:bCs/>
          <w:color w:val="auto"/>
          <w:sz w:val="24"/>
          <w:highlight w:val="none"/>
        </w:rPr>
        <w:t>（格式见第五部分 投标文件格式）</w:t>
      </w:r>
    </w:p>
    <w:p>
      <w:pPr>
        <w:shd w:val="clear" w:color="000000" w:fill="auto"/>
        <w:snapToGrid w:val="0"/>
        <w:spacing w:line="360" w:lineRule="auto"/>
        <w:ind w:left="105" w:leftChars="50"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▲（7）投标供应商无失信记录承诺函；</w:t>
      </w:r>
      <w:r>
        <w:rPr>
          <w:rFonts w:hint="eastAsia" w:ascii="仿宋" w:hAnsi="仿宋" w:eastAsia="仿宋" w:cs="仿宋"/>
          <w:b/>
          <w:bCs/>
          <w:color w:val="auto"/>
          <w:sz w:val="24"/>
          <w:highlight w:val="none"/>
        </w:rPr>
        <w:t>（格式见第五部分 投标文件格式）</w:t>
      </w:r>
    </w:p>
    <w:p>
      <w:pPr>
        <w:shd w:val="clear" w:color="000000" w:fill="auto"/>
        <w:snapToGrid w:val="0"/>
        <w:spacing w:line="360" w:lineRule="auto"/>
        <w:ind w:left="105" w:leftChars="50"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上述资格条件审查材料有一项不提供的，视为资格审查不通过。</w:t>
      </w:r>
    </w:p>
    <w:p>
      <w:pPr>
        <w:shd w:val="clear" w:color="000000" w:fill="auto"/>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投标人的</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应包括以下内容： </w:t>
      </w:r>
    </w:p>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kern w:val="0"/>
          <w:sz w:val="24"/>
          <w:highlight w:val="none"/>
        </w:rPr>
        <w:t>投标响应函</w:t>
      </w:r>
      <w:r>
        <w:rPr>
          <w:rFonts w:hint="eastAsia" w:ascii="仿宋" w:hAnsi="仿宋" w:eastAsia="仿宋" w:cs="仿宋"/>
          <w:b/>
          <w:color w:val="auto"/>
          <w:sz w:val="24"/>
          <w:highlight w:val="none"/>
        </w:rPr>
        <w:t>；</w:t>
      </w:r>
    </w:p>
    <w:p>
      <w:pPr>
        <w:shd w:val="clear" w:color="000000" w:fill="auto"/>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w:t>
      </w:r>
      <w:r>
        <w:rPr>
          <w:rFonts w:hint="eastAsia" w:ascii="仿宋" w:hAnsi="仿宋" w:eastAsia="仿宋" w:cs="仿宋"/>
          <w:b/>
          <w:color w:val="auto"/>
          <w:sz w:val="24"/>
          <w:szCs w:val="24"/>
          <w:highlight w:val="none"/>
        </w:rPr>
        <w:t>开标一览表</w:t>
      </w:r>
      <w:r>
        <w:rPr>
          <w:rFonts w:hint="eastAsia" w:ascii="仿宋" w:hAnsi="仿宋" w:eastAsia="仿宋" w:cs="仿宋"/>
          <w:b/>
          <w:color w:val="auto"/>
          <w:sz w:val="24"/>
          <w:highlight w:val="none"/>
        </w:rPr>
        <w:t>；</w:t>
      </w:r>
    </w:p>
    <w:p>
      <w:pPr>
        <w:pStyle w:val="14"/>
        <w:shd w:val="clear" w:color="010000" w:fill="auto"/>
        <w:snapToGrid w:val="0"/>
        <w:spacing w:line="360" w:lineRule="auto"/>
        <w:ind w:firstLine="482" w:firstLineChars="200"/>
        <w:rPr>
          <w:rFonts w:hint="eastAsia" w:ascii="仿宋" w:hAnsi="仿宋" w:eastAsia="仿宋" w:cs="仿宋"/>
          <w:color w:val="auto"/>
          <w:highlight w:val="none"/>
          <w:lang w:val="en-US" w:eastAsia="zh-CN"/>
        </w:rPr>
      </w:pPr>
      <w:r>
        <w:rPr>
          <w:rFonts w:hint="eastAsia" w:ascii="仿宋" w:hAnsi="仿宋" w:eastAsia="仿宋" w:cs="仿宋"/>
          <w:b/>
          <w:bCs/>
          <w:color w:val="auto"/>
          <w:sz w:val="24"/>
          <w:highlight w:val="none"/>
        </w:rPr>
        <w:t>▲</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w:t>
      </w:r>
      <w:r>
        <w:rPr>
          <w:rFonts w:hint="eastAsia" w:ascii="仿宋" w:hAnsi="仿宋" w:eastAsia="仿宋" w:cs="仿宋"/>
          <w:b/>
          <w:color w:val="auto"/>
          <w:kern w:val="2"/>
          <w:sz w:val="24"/>
          <w:szCs w:val="24"/>
          <w:highlight w:val="none"/>
          <w:lang w:val="en-US" w:eastAsia="zh-CN" w:bidi="ar-SA"/>
        </w:rPr>
        <w:t>投标报价明细表</w:t>
      </w:r>
      <w:r>
        <w:rPr>
          <w:rFonts w:hint="eastAsia" w:ascii="仿宋" w:hAnsi="仿宋" w:eastAsia="仿宋" w:cs="仿宋"/>
          <w:b/>
          <w:color w:val="auto"/>
          <w:sz w:val="24"/>
          <w:szCs w:val="24"/>
          <w:highlight w:val="none"/>
        </w:rPr>
        <w:t>；</w:t>
      </w:r>
    </w:p>
    <w:p>
      <w:pPr>
        <w:shd w:val="clear" w:color="000000"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）其他相关的充分的证明材料。</w:t>
      </w:r>
      <w:r>
        <w:rPr>
          <w:rFonts w:hint="eastAsia" w:ascii="仿宋" w:hAnsi="仿宋" w:eastAsia="仿宋" w:cs="仿宋"/>
          <w:color w:val="auto"/>
          <w:sz w:val="24"/>
          <w:highlight w:val="none"/>
        </w:rPr>
        <w:t xml:space="preserve"> </w:t>
      </w:r>
    </w:p>
    <w:p>
      <w:pPr>
        <w:shd w:val="clear" w:color="000000" w:fill="auto"/>
        <w:adjustRightInd w:val="0"/>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投标报价注意事项：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投标报价应包括设备费、现场踏看、材料费、保管费、安装调试费、培训、货物验收、税收、售后服务、</w:t>
      </w:r>
      <w:r>
        <w:rPr>
          <w:rFonts w:hint="eastAsia" w:ascii="仿宋" w:hAnsi="仿宋" w:eastAsia="仿宋" w:cs="仿宋"/>
          <w:color w:val="auto"/>
          <w:sz w:val="24"/>
          <w:highlight w:val="none"/>
          <w:lang w:val="en-US" w:eastAsia="zh-CN"/>
        </w:rPr>
        <w:t>人工费、运输费、</w:t>
      </w:r>
      <w:r>
        <w:rPr>
          <w:rFonts w:hint="eastAsia" w:ascii="仿宋" w:hAnsi="仿宋" w:eastAsia="仿宋" w:cs="仿宋"/>
          <w:color w:val="auto"/>
          <w:sz w:val="24"/>
          <w:highlight w:val="none"/>
        </w:rPr>
        <w:t>采购需求中未提到但在实际采购和安装过程中需要配置的各种设备、材料及其他费用等须由招标人支付的所有费用。</w:t>
      </w:r>
    </w:p>
    <w:p>
      <w:pPr>
        <w:shd w:val="clear" w:color="000000" w:fill="auto"/>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）、投标报价应是唯一的，招标</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将拒绝有选择的报价。</w:t>
      </w:r>
    </w:p>
    <w:p>
      <w:pPr>
        <w:pStyle w:val="6"/>
        <w:shd w:val="clear" w:color="010000" w:fill="auto"/>
        <w:spacing w:before="0" w:after="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3</w:t>
      </w:r>
      <w:r>
        <w:rPr>
          <w:rFonts w:hint="eastAsia" w:ascii="仿宋" w:hAnsi="仿宋" w:eastAsia="仿宋" w:cs="仿宋"/>
          <w:bCs w:val="0"/>
          <w:color w:val="auto"/>
          <w:sz w:val="24"/>
          <w:szCs w:val="24"/>
          <w:highlight w:val="none"/>
        </w:rPr>
        <w:t>、</w:t>
      </w:r>
      <w:r>
        <w:rPr>
          <w:rFonts w:hint="eastAsia" w:ascii="仿宋" w:hAnsi="仿宋" w:eastAsia="仿宋" w:cs="仿宋"/>
          <w:b w:val="0"/>
          <w:bCs/>
          <w:color w:val="auto"/>
          <w:sz w:val="24"/>
          <w:szCs w:val="24"/>
          <w:highlight w:val="none"/>
        </w:rPr>
        <w:t>投标人的</w:t>
      </w:r>
      <w:r>
        <w:rPr>
          <w:rFonts w:hint="eastAsia" w:ascii="仿宋" w:hAnsi="仿宋" w:eastAsia="仿宋" w:cs="仿宋"/>
          <w:b/>
          <w:bCs w:val="0"/>
          <w:color w:val="auto"/>
          <w:sz w:val="24"/>
          <w:szCs w:val="24"/>
          <w:highlight w:val="none"/>
          <w:lang w:val="en-US" w:eastAsia="zh-CN"/>
        </w:rPr>
        <w:t>商务</w:t>
      </w:r>
      <w:r>
        <w:rPr>
          <w:rFonts w:hint="eastAsia" w:ascii="仿宋" w:hAnsi="仿宋" w:eastAsia="仿宋" w:cs="仿宋"/>
          <w:b/>
          <w:bCs w:val="0"/>
          <w:color w:val="auto"/>
          <w:sz w:val="24"/>
          <w:szCs w:val="24"/>
          <w:highlight w:val="none"/>
          <w:lang w:eastAsia="zh-CN"/>
        </w:rPr>
        <w:t>技术</w:t>
      </w:r>
      <w:r>
        <w:rPr>
          <w:rFonts w:hint="eastAsia" w:ascii="仿宋" w:hAnsi="仿宋" w:eastAsia="仿宋" w:cs="仿宋"/>
          <w:b/>
          <w:bCs w:val="0"/>
          <w:color w:val="auto"/>
          <w:sz w:val="24"/>
          <w:szCs w:val="24"/>
          <w:highlight w:val="none"/>
        </w:rPr>
        <w:t>文件</w:t>
      </w:r>
      <w:r>
        <w:rPr>
          <w:rFonts w:hint="eastAsia" w:ascii="仿宋" w:hAnsi="仿宋" w:eastAsia="仿宋" w:cs="仿宋"/>
          <w:b w:val="0"/>
          <w:bCs/>
          <w:color w:val="auto"/>
          <w:sz w:val="24"/>
          <w:szCs w:val="24"/>
          <w:highlight w:val="none"/>
        </w:rPr>
        <w:t>内容应当包含</w:t>
      </w:r>
      <w:r>
        <w:rPr>
          <w:rFonts w:hint="eastAsia" w:ascii="仿宋" w:hAnsi="仿宋" w:eastAsia="仿宋" w:cs="仿宋"/>
          <w:bCs w:val="0"/>
          <w:color w:val="auto"/>
          <w:sz w:val="24"/>
          <w:szCs w:val="24"/>
          <w:highlight w:val="none"/>
          <w:lang w:val="en-US"/>
        </w:rPr>
        <w:t>：</w:t>
      </w:r>
    </w:p>
    <w:p>
      <w:pPr>
        <w:shd w:val="clear" w:color="000000" w:fill="auto"/>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（1）、目录</w:t>
      </w:r>
    </w:p>
    <w:p>
      <w:pPr>
        <w:shd w:val="clear" w:color="000000" w:fill="auto"/>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（2）、评分响应表；</w:t>
      </w:r>
    </w:p>
    <w:p>
      <w:pPr>
        <w:shd w:val="clear" w:color="000000" w:fill="auto"/>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）、技术偏离表：投标人必须针对招标文件要求的技术参数逐个做出响应；</w:t>
      </w:r>
      <w:r>
        <w:rPr>
          <w:rFonts w:hint="eastAsia" w:ascii="仿宋" w:hAnsi="仿宋" w:eastAsia="仿宋" w:cs="仿宋"/>
          <w:b w:val="0"/>
          <w:bCs w:val="0"/>
          <w:color w:val="auto"/>
          <w:sz w:val="24"/>
          <w:highlight w:val="none"/>
        </w:rPr>
        <w:t>并按相关要求提供证明材料。</w:t>
      </w:r>
    </w:p>
    <w:p>
      <w:pPr>
        <w:shd w:val="clear" w:color="000000" w:fill="auto"/>
        <w:adjustRightInd w:val="0"/>
        <w:snapToGrid w:val="0"/>
        <w:spacing w:line="360" w:lineRule="auto"/>
        <w:ind w:firstLine="241" w:firstLineChars="1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）、采购需求实质性内容响应表（格式见第五部分 投标文件格式）；</w:t>
      </w:r>
    </w:p>
    <w:p>
      <w:pPr>
        <w:pStyle w:val="14"/>
        <w:shd w:val="clear" w:color="010000" w:fill="auto"/>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）、法定代表人授权委托书、授权代表的身份证正反面复印件。（法定代表授权委托书必须按照第五部分投标文件格式，如法定代表人直接参加投标并对相应文件签字的，只需提供其身份证正反面复印件）；</w:t>
      </w:r>
    </w:p>
    <w:p>
      <w:pPr>
        <w:pStyle w:val="14"/>
        <w:shd w:val="clear" w:color="010000" w:fill="auto"/>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）、无失信行为承诺书（必须按照第五部分格式）；</w:t>
      </w:r>
    </w:p>
    <w:p>
      <w:pPr>
        <w:shd w:val="clear" w:color="000000" w:fill="auto"/>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）、对应技术分评分细则提供相关证明资料，并根据要求盖章；</w:t>
      </w:r>
    </w:p>
    <w:p>
      <w:pPr>
        <w:shd w:val="clear" w:color="000000" w:fill="auto"/>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）、投标人认为需要提供的其他文件和</w:t>
      </w:r>
      <w:r>
        <w:rPr>
          <w:rFonts w:hint="eastAsia" w:ascii="仿宋" w:hAnsi="仿宋" w:eastAsia="仿宋" w:cs="仿宋"/>
          <w:color w:val="auto"/>
          <w:sz w:val="24"/>
          <w:highlight w:val="none"/>
          <w:lang w:eastAsia="zh-CN"/>
        </w:rPr>
        <w:t>资料</w:t>
      </w:r>
      <w:r>
        <w:rPr>
          <w:rFonts w:hint="eastAsia" w:ascii="仿宋" w:hAnsi="仿宋" w:eastAsia="仿宋" w:cs="仿宋"/>
          <w:color w:val="auto"/>
          <w:sz w:val="24"/>
          <w:highlight w:val="none"/>
        </w:rPr>
        <w:t>。</w:t>
      </w:r>
    </w:p>
    <w:p>
      <w:pPr>
        <w:pStyle w:val="14"/>
        <w:shd w:val="clear" w:color="010000" w:fill="auto"/>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）、投标人资料真实性承诺书</w:t>
      </w:r>
    </w:p>
    <w:p>
      <w:pPr>
        <w:pStyle w:val="14"/>
        <w:shd w:val="clear" w:color="010000" w:fill="auto"/>
        <w:snapToGrid w:val="0"/>
        <w:spacing w:line="360" w:lineRule="auto"/>
        <w:ind w:firstLine="482" w:firstLineChars="200"/>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投标文件中所需的各种证书、证件、证明资料如是复印件，须在复印件上加盖有效公章。</w:t>
      </w:r>
    </w:p>
    <w:p>
      <w:pPr>
        <w:pStyle w:val="14"/>
        <w:shd w:val="clear" w:color="010000" w:fill="auto"/>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lang w:val="zh-CN"/>
        </w:rPr>
        <w:t>投标人的</w:t>
      </w:r>
      <w:r>
        <w:rPr>
          <w:rFonts w:hint="eastAsia" w:ascii="仿宋" w:hAnsi="仿宋" w:eastAsia="仿宋" w:cs="仿宋"/>
          <w:b/>
          <w:color w:val="auto"/>
          <w:sz w:val="24"/>
          <w:szCs w:val="24"/>
          <w:highlight w:val="none"/>
        </w:rPr>
        <w:t>投标文件必须按照招标文件要求制作</w:t>
      </w:r>
      <w:r>
        <w:rPr>
          <w:rFonts w:hint="eastAsia" w:ascii="仿宋" w:hAnsi="仿宋" w:eastAsia="仿宋" w:cs="仿宋"/>
          <w:b/>
          <w:bCs/>
          <w:color w:val="auto"/>
          <w:sz w:val="24"/>
          <w:szCs w:val="24"/>
          <w:highlight w:val="none"/>
        </w:rPr>
        <w:t>。</w:t>
      </w:r>
    </w:p>
    <w:p>
      <w:pPr>
        <w:shd w:val="clear" w:color="000000" w:fill="auto"/>
        <w:adjustRightInd w:val="0"/>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37</w:t>
      </w:r>
      <w:r>
        <w:rPr>
          <w:rFonts w:hint="eastAsia" w:ascii="仿宋" w:hAnsi="仿宋" w:eastAsia="仿宋" w:cs="仿宋"/>
          <w:b/>
          <w:color w:val="auto"/>
          <w:sz w:val="24"/>
          <w:highlight w:val="none"/>
        </w:rPr>
        <w:t>、评标办法及评分标准：</w:t>
      </w:r>
    </w:p>
    <w:p>
      <w:pPr>
        <w:pStyle w:val="40"/>
        <w:shd w:val="clear" w:color="010000" w:fill="auto"/>
        <w:spacing w:before="0" w:after="0"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.1、总则</w:t>
      </w:r>
    </w:p>
    <w:p>
      <w:pPr>
        <w:pStyle w:val="40"/>
        <w:shd w:val="clear" w:color="010000" w:fill="auto"/>
        <w:spacing w:before="0" w:after="0" w:line="360" w:lineRule="auto"/>
        <w:ind w:firstLine="602" w:firstLineChars="250"/>
        <w:rPr>
          <w:rFonts w:hint="eastAsia" w:ascii="仿宋" w:hAnsi="仿宋" w:eastAsia="仿宋" w:cs="仿宋"/>
          <w:color w:val="auto"/>
          <w:highlight w:val="none"/>
        </w:rPr>
      </w:pPr>
      <w:r>
        <w:rPr>
          <w:rFonts w:hint="eastAsia" w:ascii="仿宋" w:hAnsi="仿宋" w:eastAsia="仿宋" w:cs="仿宋"/>
          <w:b/>
          <w:color w:val="auto"/>
          <w:highlight w:val="none"/>
        </w:rPr>
        <w:t>本次评标采用</w:t>
      </w:r>
      <w:bookmarkStart w:id="8" w:name="ruleMainCatName2"/>
      <w:r>
        <w:rPr>
          <w:rFonts w:hint="eastAsia" w:ascii="仿宋" w:hAnsi="仿宋" w:eastAsia="仿宋" w:cs="仿宋"/>
          <w:b/>
          <w:color w:val="auto"/>
          <w:highlight w:val="none"/>
        </w:rPr>
        <w:t>综合评分法</w:t>
      </w:r>
      <w:bookmarkEnd w:id="8"/>
      <w:r>
        <w:rPr>
          <w:rFonts w:hint="eastAsia" w:ascii="仿宋" w:hAnsi="仿宋" w:eastAsia="仿宋" w:cs="仿宋"/>
          <w:b/>
          <w:color w:val="auto"/>
          <w:highlight w:val="none"/>
        </w:rPr>
        <w:t>，总分为100分。</w:t>
      </w:r>
      <w:r>
        <w:rPr>
          <w:rFonts w:hint="eastAsia" w:ascii="仿宋" w:hAnsi="仿宋" w:eastAsia="仿宋" w:cs="仿宋"/>
          <w:color w:val="auto"/>
          <w:highlight w:val="none"/>
        </w:rPr>
        <w:t>合格投标人的评标得分为各项目汇总得分，中标候选资格按评标得分由高到低顺序排列，得分相同的，按投标报价由低到高顺序排列；得分且投标报价相同的，按技术指标优劣顺序排列。有效投标人家数≥</w:t>
      </w:r>
      <w:r>
        <w:rPr>
          <w:rFonts w:hint="eastAsia" w:ascii="仿宋" w:hAnsi="仿宋" w:eastAsia="仿宋" w:cs="仿宋"/>
          <w:color w:val="auto"/>
          <w:highlight w:val="none"/>
          <w:lang w:val="en-US" w:eastAsia="zh-CN"/>
        </w:rPr>
        <w:t>9家</w:t>
      </w:r>
      <w:r>
        <w:rPr>
          <w:rFonts w:hint="eastAsia" w:ascii="仿宋" w:hAnsi="仿宋" w:eastAsia="仿宋" w:cs="仿宋"/>
          <w:color w:val="auto"/>
          <w:highlight w:val="none"/>
        </w:rPr>
        <w:t>，排名前</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的单位</w:t>
      </w:r>
      <w:r>
        <w:rPr>
          <w:rFonts w:hint="eastAsia" w:ascii="仿宋" w:hAnsi="仿宋" w:eastAsia="仿宋" w:cs="仿宋"/>
          <w:color w:val="auto"/>
          <w:highlight w:val="none"/>
          <w:lang w:val="en-US" w:eastAsia="zh-CN"/>
        </w:rPr>
        <w:t>成为供应商</w:t>
      </w:r>
      <w:r>
        <w:rPr>
          <w:rFonts w:hint="eastAsia" w:ascii="仿宋" w:hAnsi="仿宋" w:eastAsia="仿宋" w:cs="仿宋"/>
          <w:color w:val="auto"/>
          <w:highlight w:val="none"/>
        </w:rPr>
        <w:t>。评分过程中采用四舍五入法，并保留小数2位。</w:t>
      </w:r>
    </w:p>
    <w:p>
      <w:pPr>
        <w:pStyle w:val="40"/>
        <w:shd w:val="clear" w:color="010000" w:fill="auto"/>
        <w:spacing w:before="0" w:after="0"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投标人评标综合得分=价格分+(</w:t>
      </w:r>
      <w:r>
        <w:rPr>
          <w:rFonts w:hint="eastAsia" w:ascii="仿宋" w:hAnsi="仿宋" w:eastAsia="仿宋" w:cs="仿宋"/>
          <w:color w:val="auto"/>
          <w:highlight w:val="none"/>
          <w:lang w:eastAsia="zh-CN"/>
        </w:rPr>
        <w:t>商务</w:t>
      </w:r>
      <w:r>
        <w:rPr>
          <w:rFonts w:hint="eastAsia" w:ascii="仿宋" w:hAnsi="仿宋" w:eastAsia="仿宋" w:cs="仿宋"/>
          <w:color w:val="auto"/>
          <w:highlight w:val="none"/>
        </w:rPr>
        <w:t>、技术分)</w:t>
      </w:r>
    </w:p>
    <w:p>
      <w:pPr>
        <w:pStyle w:val="40"/>
        <w:shd w:val="clear" w:color="010000" w:fill="auto"/>
        <w:spacing w:before="0" w:after="0"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.2、评标内容及标准</w:t>
      </w:r>
    </w:p>
    <w:p>
      <w:pPr>
        <w:shd w:val="clear" w:color="000000" w:fill="auto"/>
        <w:spacing w:line="6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color w:val="auto"/>
          <w:kern w:val="2"/>
          <w:sz w:val="24"/>
          <w:szCs w:val="20"/>
          <w:highlight w:val="none"/>
          <w:lang w:val="en-US" w:eastAsia="zh-CN" w:bidi="ar-SA"/>
        </w:rPr>
        <w:t>37.2.1、</w:t>
      </w:r>
      <w:r>
        <w:rPr>
          <w:rFonts w:hint="eastAsia" w:ascii="仿宋" w:hAnsi="仿宋" w:eastAsia="仿宋" w:cs="仿宋"/>
          <w:b/>
          <w:bCs/>
          <w:color w:val="auto"/>
          <w:sz w:val="24"/>
          <w:highlight w:val="none"/>
        </w:rPr>
        <w:t>价格分（</w:t>
      </w:r>
      <w:r>
        <w:rPr>
          <w:rFonts w:hint="eastAsia" w:ascii="仿宋" w:hAnsi="仿宋" w:eastAsia="仿宋" w:cs="仿宋"/>
          <w:b/>
          <w:bCs/>
          <w:color w:val="auto"/>
          <w:sz w:val="24"/>
          <w:highlight w:val="none"/>
          <w:lang w:val="en-US" w:eastAsia="zh-CN"/>
        </w:rPr>
        <w:t>30</w:t>
      </w:r>
      <w:r>
        <w:rPr>
          <w:rFonts w:hint="eastAsia" w:ascii="仿宋" w:hAnsi="仿宋" w:eastAsia="仿宋" w:cs="仿宋"/>
          <w:b/>
          <w:bCs/>
          <w:color w:val="auto"/>
          <w:sz w:val="24"/>
          <w:highlight w:val="none"/>
        </w:rPr>
        <w:t>分）</w:t>
      </w:r>
    </w:p>
    <w:p>
      <w:pPr>
        <w:pStyle w:val="40"/>
        <w:shd w:val="clear" w:color="010000" w:fill="auto"/>
        <w:spacing w:before="0" w:after="0"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评标基准价／投标报价)×价格权值×100（精确到小数点后二位）。</w:t>
      </w:r>
    </w:p>
    <w:p>
      <w:pPr>
        <w:pStyle w:val="40"/>
        <w:shd w:val="clear" w:color="010000" w:fill="auto"/>
        <w:spacing w:before="0" w:after="0" w:line="360" w:lineRule="auto"/>
        <w:ind w:firstLine="602" w:firstLineChars="250"/>
        <w:rPr>
          <w:rFonts w:hint="eastAsia"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.2.2、</w:t>
      </w:r>
      <w:r>
        <w:rPr>
          <w:rFonts w:hint="eastAsia" w:ascii="仿宋" w:hAnsi="仿宋" w:eastAsia="仿宋" w:cs="仿宋"/>
          <w:b/>
          <w:color w:val="auto"/>
          <w:highlight w:val="none"/>
          <w:lang w:eastAsia="zh-CN"/>
        </w:rPr>
        <w:t>商务</w:t>
      </w:r>
      <w:r>
        <w:rPr>
          <w:rFonts w:hint="eastAsia" w:ascii="仿宋" w:hAnsi="仿宋" w:eastAsia="仿宋" w:cs="仿宋"/>
          <w:b/>
          <w:color w:val="auto"/>
          <w:highlight w:val="none"/>
        </w:rPr>
        <w:t>、技术分（</w:t>
      </w:r>
      <w:r>
        <w:rPr>
          <w:rFonts w:hint="eastAsia" w:ascii="仿宋" w:hAnsi="仿宋" w:eastAsia="仿宋" w:cs="仿宋"/>
          <w:b/>
          <w:color w:val="auto"/>
          <w:highlight w:val="none"/>
          <w:lang w:val="en-US" w:eastAsia="zh-CN"/>
        </w:rPr>
        <w:t>70</w:t>
      </w:r>
      <w:r>
        <w:rPr>
          <w:rFonts w:hint="eastAsia" w:ascii="仿宋" w:hAnsi="仿宋" w:eastAsia="仿宋" w:cs="仿宋"/>
          <w:b/>
          <w:color w:val="auto"/>
          <w:highlight w:val="none"/>
        </w:rPr>
        <w:t>分）</w:t>
      </w:r>
    </w:p>
    <w:p>
      <w:pPr>
        <w:pStyle w:val="40"/>
        <w:shd w:val="clear" w:color="010000" w:fill="auto"/>
        <w:spacing w:before="0" w:after="0" w:line="360" w:lineRule="auto"/>
        <w:ind w:firstLine="602" w:firstLineChars="250"/>
        <w:rPr>
          <w:rFonts w:hint="eastAsia" w:ascii="仿宋" w:hAnsi="仿宋" w:eastAsia="仿宋" w:cs="仿宋"/>
          <w:b/>
          <w:color w:val="auto"/>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eastAsia="zh-CN"/>
        </w:rPr>
        <w:t>商务</w:t>
      </w:r>
      <w:r>
        <w:rPr>
          <w:rFonts w:hint="eastAsia" w:ascii="仿宋" w:hAnsi="仿宋" w:eastAsia="仿宋" w:cs="仿宋"/>
          <w:b/>
          <w:color w:val="auto"/>
          <w:highlight w:val="none"/>
        </w:rPr>
        <w:t>、技术分的计算：</w:t>
      </w:r>
    </w:p>
    <w:p>
      <w:pPr>
        <w:pStyle w:val="40"/>
        <w:shd w:val="clear" w:color="010000" w:fill="auto"/>
        <w:spacing w:before="0" w:after="0"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lang w:eastAsia="zh-CN"/>
        </w:rPr>
        <w:t>商务</w:t>
      </w:r>
      <w:r>
        <w:rPr>
          <w:rFonts w:hint="eastAsia" w:ascii="仿宋" w:hAnsi="仿宋" w:eastAsia="仿宋" w:cs="仿宋"/>
          <w:color w:val="auto"/>
          <w:highlight w:val="none"/>
        </w:rPr>
        <w:t>、技术分按照评标委员会成员的独立评分结果汇总数的算术平均分计算，计算公式为：</w:t>
      </w:r>
    </w:p>
    <w:p>
      <w:pPr>
        <w:pStyle w:val="40"/>
        <w:shd w:val="clear" w:color="010000" w:fill="auto"/>
        <w:spacing w:before="0" w:after="0"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lang w:eastAsia="zh-CN"/>
        </w:rPr>
        <w:t>商务</w:t>
      </w:r>
      <w:r>
        <w:rPr>
          <w:rFonts w:hint="eastAsia" w:ascii="仿宋" w:hAnsi="仿宋" w:eastAsia="仿宋" w:cs="仿宋"/>
          <w:color w:val="auto"/>
          <w:highlight w:val="none"/>
        </w:rPr>
        <w:t>、技术分=评标委员会所有成员评分合计数/评标委员会组成人员数</w:t>
      </w:r>
      <w:r>
        <w:rPr>
          <w:rFonts w:hint="eastAsia" w:ascii="仿宋" w:hAnsi="仿宋" w:eastAsia="仿宋" w:cs="仿宋"/>
          <w:color w:val="auto"/>
          <w:sz w:val="24"/>
          <w:szCs w:val="20"/>
          <w:highlight w:val="none"/>
        </w:rPr>
        <w:t>（精确到小数点后二位，第三位四舍五入）</w:t>
      </w:r>
    </w:p>
    <w:p>
      <w:pPr>
        <w:numPr>
          <w:ilvl w:val="0"/>
          <w:numId w:val="5"/>
        </w:numPr>
        <w:shd w:val="clear" w:color="010000" w:fill="auto"/>
        <w:adjustRightInd w:val="0"/>
        <w:snapToGrid w:val="0"/>
        <w:spacing w:line="360" w:lineRule="auto"/>
        <w:ind w:firstLine="482" w:firstLineChars="200"/>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、评分细则如下：</w:t>
      </w:r>
    </w:p>
    <w:p>
      <w:pPr>
        <w:shd w:val="clear" w:color="000000" w:fill="auto"/>
        <w:spacing w:line="600" w:lineRule="exact"/>
        <w:ind w:firstLine="482" w:firstLineChars="200"/>
        <w:rPr>
          <w:rFonts w:hint="eastAsia" w:ascii="仿宋" w:hAnsi="仿宋" w:eastAsia="仿宋" w:cs="仿宋"/>
          <w:b/>
          <w:bCs/>
          <w:color w:val="auto"/>
          <w:kern w:val="2"/>
          <w:sz w:val="24"/>
          <w:szCs w:val="24"/>
          <w:highlight w:val="none"/>
          <w:lang w:val="zh-CN" w:eastAsia="zh-CN"/>
        </w:rPr>
      </w:pPr>
      <w:r>
        <w:rPr>
          <w:rFonts w:hint="eastAsia" w:ascii="仿宋" w:hAnsi="仿宋" w:eastAsia="仿宋" w:cs="仿宋"/>
          <w:b/>
          <w:bCs/>
          <w:caps w:val="0"/>
          <w:smallCaps w:val="0"/>
          <w:strike w:val="0"/>
          <w:dstrike w:val="0"/>
          <w:color w:val="auto"/>
          <w:spacing w:val="0"/>
          <w:kern w:val="2"/>
          <w:position w:val="0"/>
          <w:sz w:val="24"/>
          <w:szCs w:val="24"/>
          <w:highlight w:val="none"/>
          <w:u w:val="none" w:color="000000"/>
          <w:lang w:val="zh-TW" w:eastAsia="zh-TW"/>
        </w:rPr>
        <w:t>技术</w:t>
      </w:r>
      <w:r>
        <w:rPr>
          <w:rFonts w:hint="eastAsia" w:ascii="仿宋" w:hAnsi="仿宋" w:eastAsia="仿宋" w:cs="仿宋"/>
          <w:b/>
          <w:bCs/>
          <w:color w:val="auto"/>
          <w:kern w:val="2"/>
          <w:sz w:val="24"/>
          <w:szCs w:val="24"/>
          <w:highlight w:val="none"/>
          <w:lang w:val="zh-CN" w:eastAsia="zh-CN"/>
        </w:rPr>
        <w:t>部分（</w:t>
      </w:r>
      <w:r>
        <w:rPr>
          <w:rFonts w:hint="eastAsia" w:ascii="仿宋" w:hAnsi="仿宋" w:eastAsia="仿宋" w:cs="仿宋"/>
          <w:b/>
          <w:bCs/>
          <w:color w:val="auto"/>
          <w:kern w:val="2"/>
          <w:sz w:val="24"/>
          <w:szCs w:val="24"/>
          <w:highlight w:val="none"/>
          <w:lang w:val="en-US" w:eastAsia="zh-CN"/>
        </w:rPr>
        <w:t>54</w:t>
      </w:r>
      <w:r>
        <w:rPr>
          <w:rFonts w:hint="eastAsia" w:ascii="仿宋" w:hAnsi="仿宋" w:eastAsia="仿宋" w:cs="仿宋"/>
          <w:b/>
          <w:bCs/>
          <w:color w:val="auto"/>
          <w:kern w:val="2"/>
          <w:sz w:val="24"/>
          <w:szCs w:val="24"/>
          <w:highlight w:val="none"/>
          <w:lang w:val="zh-CN" w:eastAsia="zh-CN"/>
        </w:rPr>
        <w:t>分）</w:t>
      </w:r>
    </w:p>
    <w:tbl>
      <w:tblPr>
        <w:tblStyle w:val="27"/>
        <w:tblW w:w="9453" w:type="dxa"/>
        <w:jc w:val="center"/>
        <w:tblLayout w:type="fixed"/>
        <w:tblCellMar>
          <w:top w:w="0" w:type="dxa"/>
          <w:left w:w="108" w:type="dxa"/>
          <w:bottom w:w="0" w:type="dxa"/>
          <w:right w:w="108" w:type="dxa"/>
        </w:tblCellMar>
      </w:tblPr>
      <w:tblGrid>
        <w:gridCol w:w="802"/>
        <w:gridCol w:w="1498"/>
        <w:gridCol w:w="908"/>
        <w:gridCol w:w="6245"/>
      </w:tblGrid>
      <w:tr>
        <w:tblPrEx>
          <w:tblCellMar>
            <w:top w:w="0" w:type="dxa"/>
            <w:left w:w="108" w:type="dxa"/>
            <w:bottom w:w="0" w:type="dxa"/>
            <w:right w:w="108" w:type="dxa"/>
          </w:tblCellMar>
        </w:tblPrEx>
        <w:trPr>
          <w:trHeight w:val="923"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3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0"/>
                <w:highlight w:val="none"/>
              </w:rPr>
              <w:t>序</w:t>
            </w:r>
            <w:r>
              <w:rPr>
                <w:rFonts w:hint="eastAsia" w:ascii="仿宋" w:hAnsi="仿宋" w:eastAsia="仿宋" w:cs="仿宋"/>
                <w:b/>
                <w:bCs/>
                <w:color w:val="auto"/>
                <w:sz w:val="24"/>
                <w:szCs w:val="20"/>
                <w:highlight w:val="none"/>
                <w:lang w:eastAsia="zh-CN"/>
              </w:rPr>
              <w:t>号</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3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0"/>
                <w:highlight w:val="none"/>
              </w:rPr>
              <w:t>评</w:t>
            </w:r>
            <w:r>
              <w:rPr>
                <w:rFonts w:hint="eastAsia" w:ascii="仿宋" w:hAnsi="仿宋" w:eastAsia="仿宋" w:cs="仿宋"/>
                <w:b/>
                <w:bCs/>
                <w:color w:val="auto"/>
                <w:sz w:val="24"/>
                <w:szCs w:val="20"/>
                <w:highlight w:val="none"/>
                <w:lang w:eastAsia="zh-CN"/>
              </w:rPr>
              <w:t>分</w:t>
            </w:r>
            <w:r>
              <w:rPr>
                <w:rFonts w:hint="eastAsia" w:ascii="仿宋" w:hAnsi="仿宋" w:eastAsia="仿宋" w:cs="仿宋"/>
                <w:b/>
                <w:bCs/>
                <w:color w:val="auto"/>
                <w:sz w:val="24"/>
                <w:szCs w:val="20"/>
                <w:highlight w:val="none"/>
              </w:rPr>
              <w:t>项目</w:t>
            </w:r>
          </w:p>
        </w:tc>
        <w:tc>
          <w:tcPr>
            <w:tcW w:w="908"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3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0"/>
                <w:highlight w:val="none"/>
              </w:rPr>
              <w:t>分值</w:t>
            </w:r>
          </w:p>
        </w:tc>
        <w:tc>
          <w:tcPr>
            <w:tcW w:w="624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0"/>
                <w:highlight w:val="none"/>
              </w:rPr>
              <w:t>评</w:t>
            </w:r>
            <w:r>
              <w:rPr>
                <w:rFonts w:hint="eastAsia" w:ascii="仿宋" w:hAnsi="仿宋" w:eastAsia="仿宋" w:cs="仿宋"/>
                <w:b/>
                <w:bCs/>
                <w:color w:val="auto"/>
                <w:sz w:val="24"/>
                <w:szCs w:val="20"/>
                <w:highlight w:val="none"/>
                <w:lang w:eastAsia="zh-CN"/>
              </w:rPr>
              <w:t>分标准</w:t>
            </w:r>
          </w:p>
        </w:tc>
      </w:tr>
      <w:tr>
        <w:tblPrEx>
          <w:tblCellMar>
            <w:top w:w="0" w:type="dxa"/>
            <w:left w:w="108" w:type="dxa"/>
            <w:bottom w:w="0" w:type="dxa"/>
            <w:right w:w="108" w:type="dxa"/>
          </w:tblCellMar>
        </w:tblPrEx>
        <w:trPr>
          <w:trHeight w:val="923"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投标方案</w:t>
            </w: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8分</w:t>
            </w:r>
          </w:p>
        </w:tc>
        <w:tc>
          <w:tcPr>
            <w:tcW w:w="6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投标人对项目的理解（0-2分）、重难点分析（0-2分）和实施方案内容齐全、结构完整、表述准确、条理清晰程度（0-2分），以及对招标人需求的满足程度（0-2分）进行打分。</w:t>
            </w:r>
          </w:p>
        </w:tc>
      </w:tr>
      <w:tr>
        <w:tblPrEx>
          <w:tblCellMar>
            <w:top w:w="0" w:type="dxa"/>
            <w:left w:w="108" w:type="dxa"/>
            <w:bottom w:w="0" w:type="dxa"/>
            <w:right w:w="108" w:type="dxa"/>
          </w:tblCellMar>
        </w:tblPrEx>
        <w:trPr>
          <w:trHeight w:val="923"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实施方案</w:t>
            </w: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17分</w:t>
            </w:r>
          </w:p>
        </w:tc>
        <w:tc>
          <w:tcPr>
            <w:tcW w:w="6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提供服务项目所需使用的舞台设备、美陈物料及其安装施工方案进行整体评价，对设备设施及物料种类的完整性及丰富度（0-5分）、品牌及质量（0-4分）、安装施工方案的组织性、安全性、可行性及效率（0-4分）、作业安装、验收的完成度、可靠性（0-4）进行打分。</w:t>
            </w:r>
          </w:p>
        </w:tc>
      </w:tr>
      <w:tr>
        <w:tblPrEx>
          <w:tblCellMar>
            <w:top w:w="0" w:type="dxa"/>
            <w:left w:w="108" w:type="dxa"/>
            <w:bottom w:w="0" w:type="dxa"/>
            <w:right w:w="108" w:type="dxa"/>
          </w:tblCellMar>
        </w:tblPrEx>
        <w:trPr>
          <w:trHeight w:val="923"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技术配备</w:t>
            </w: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c>
          <w:tcPr>
            <w:tcW w:w="6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灯光（0-2分）、音控（0-2分）、电工（0-2）等技术人员的专业资格证明或相关从业经验证明，每提供1人的得1分，每个工种最多得2分（电工需提供有效期内的电工证书，所有技术人员需提供在投标人单位缴纳的社保证明，否则不得分）。</w:t>
            </w:r>
          </w:p>
        </w:tc>
      </w:tr>
      <w:tr>
        <w:tblPrEx>
          <w:tblCellMar>
            <w:top w:w="0" w:type="dxa"/>
            <w:left w:w="108" w:type="dxa"/>
            <w:bottom w:w="0" w:type="dxa"/>
            <w:right w:w="108" w:type="dxa"/>
          </w:tblCellMar>
        </w:tblPrEx>
        <w:trPr>
          <w:trHeight w:val="923"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设计审美</w:t>
            </w: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6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具备平面设计、美术等专业人才(0-2分)，每人得0.5分（提供相关人员与岗位相匹配的学历证明或资格证书复制件，另附在投标人单位缴纳的社保证明，否则不得分）；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2）所搭建的舞台舞美或美陈设施具备一定美观度，符合大众审美（0-2分），可通过合作方书面认可或媒体平台对所承接活动中舞美、设计的宣传及网友评论佐证（需提供当次承接活动合同复印件证明，否则不得分）</w:t>
            </w:r>
          </w:p>
        </w:tc>
      </w:tr>
      <w:tr>
        <w:tblPrEx>
          <w:tblCellMar>
            <w:top w:w="0" w:type="dxa"/>
            <w:left w:w="108" w:type="dxa"/>
            <w:bottom w:w="0" w:type="dxa"/>
            <w:right w:w="108" w:type="dxa"/>
          </w:tblCellMar>
        </w:tblPrEx>
        <w:trPr>
          <w:trHeight w:val="923"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应急措施</w:t>
            </w: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c>
          <w:tcPr>
            <w:tcW w:w="6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1）对突发事件（包括发生台风、暴雨等灾害性天气及其他突发事件）时的应急预案及相应的措施</w:t>
            </w:r>
            <w:r>
              <w:rPr>
                <w:rFonts w:hint="eastAsia" w:ascii="仿宋" w:hAnsi="仿宋" w:eastAsia="仿宋" w:cs="仿宋"/>
                <w:color w:val="auto"/>
                <w:sz w:val="24"/>
                <w:szCs w:val="24"/>
                <w:highlight w:val="none"/>
                <w:lang w:eastAsia="zh-CN"/>
              </w:rPr>
              <w:t>，进行打分（</w:t>
            </w:r>
            <w:r>
              <w:rPr>
                <w:rFonts w:hint="eastAsia" w:ascii="仿宋" w:hAnsi="仿宋" w:eastAsia="仿宋" w:cs="仿宋"/>
                <w:color w:val="auto"/>
                <w:sz w:val="24"/>
                <w:szCs w:val="24"/>
                <w:highlight w:val="none"/>
                <w:lang w:val="en-US" w:eastAsia="zh-CN"/>
              </w:rPr>
              <w:t>0-2分)</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2）对项目服务的应急供电系统、电气照明装置等设备应急检修措施等</w:t>
            </w:r>
            <w:r>
              <w:rPr>
                <w:rFonts w:hint="eastAsia" w:ascii="仿宋" w:hAnsi="仿宋" w:eastAsia="仿宋" w:cs="仿宋"/>
                <w:color w:val="auto"/>
                <w:sz w:val="24"/>
                <w:szCs w:val="24"/>
                <w:highlight w:val="none"/>
                <w:lang w:eastAsia="zh-CN"/>
              </w:rPr>
              <w:t>，进行打分</w:t>
            </w:r>
            <w:r>
              <w:rPr>
                <w:rFonts w:hint="eastAsia" w:ascii="仿宋" w:hAnsi="仿宋" w:eastAsia="仿宋" w:cs="仿宋"/>
                <w:color w:val="auto"/>
                <w:sz w:val="24"/>
                <w:szCs w:val="24"/>
                <w:highlight w:val="none"/>
                <w:lang w:val="en-US" w:eastAsia="zh-CN"/>
              </w:rPr>
              <w:t>(0-2分)</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根据供应商提供应急预案可行性、合理性、科学性，安全保障承诺，</w:t>
            </w:r>
            <w:r>
              <w:rPr>
                <w:rFonts w:hint="eastAsia" w:ascii="仿宋" w:hAnsi="仿宋" w:eastAsia="仿宋" w:cs="仿宋"/>
                <w:color w:val="auto"/>
                <w:sz w:val="24"/>
                <w:szCs w:val="24"/>
                <w:highlight w:val="none"/>
                <w:lang w:eastAsia="zh-CN"/>
              </w:rPr>
              <w:t>进行打分</w:t>
            </w:r>
            <w:r>
              <w:rPr>
                <w:rFonts w:hint="eastAsia" w:ascii="仿宋" w:hAnsi="仿宋" w:eastAsia="仿宋" w:cs="仿宋"/>
                <w:color w:val="auto"/>
                <w:sz w:val="24"/>
                <w:szCs w:val="24"/>
                <w:highlight w:val="none"/>
                <w:lang w:val="en-US" w:eastAsia="zh-CN"/>
              </w:rPr>
              <w:t>(0-2分)。</w:t>
            </w:r>
          </w:p>
        </w:tc>
      </w:tr>
      <w:tr>
        <w:tblPrEx>
          <w:tblCellMar>
            <w:top w:w="0" w:type="dxa"/>
            <w:left w:w="108" w:type="dxa"/>
            <w:bottom w:w="0" w:type="dxa"/>
            <w:right w:w="108" w:type="dxa"/>
          </w:tblCellMar>
        </w:tblPrEx>
        <w:trPr>
          <w:trHeight w:val="923"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w:t>
            </w: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c>
          <w:tcPr>
            <w:tcW w:w="6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维修响应时间：</w:t>
            </w:r>
            <w:r>
              <w:rPr>
                <w:rFonts w:hint="eastAsia" w:ascii="仿宋" w:hAnsi="仿宋" w:eastAsia="仿宋" w:cs="仿宋"/>
                <w:color w:val="auto"/>
                <w:sz w:val="24"/>
                <w:szCs w:val="24"/>
                <w:highlight w:val="none"/>
                <w:lang w:val="en-US" w:eastAsia="zh-CN"/>
              </w:rPr>
              <w:t>承诺</w:t>
            </w:r>
            <w:r>
              <w:rPr>
                <w:rFonts w:hint="eastAsia" w:ascii="仿宋" w:hAnsi="仿宋" w:eastAsia="仿宋" w:cs="仿宋"/>
                <w:color w:val="auto"/>
                <w:sz w:val="24"/>
                <w:szCs w:val="24"/>
                <w:highlight w:val="none"/>
              </w:rPr>
              <w:t>接到采购人报修通知后</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小时现场响应得1分，每减少</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小时加1分，最高得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（2）应期巡查维护：质保期内、外对用易损坏件破损的响应、外理、应期巡查（维护）等情况进行打分（0-2分）。</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售后服务优惠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更换、维修等售后服务免费或优惠大的得2分，无售后服务的不得分。</w:t>
            </w:r>
          </w:p>
        </w:tc>
      </w:tr>
      <w:tr>
        <w:tblPrEx>
          <w:tblCellMar>
            <w:top w:w="0" w:type="dxa"/>
            <w:left w:w="108" w:type="dxa"/>
            <w:bottom w:w="0" w:type="dxa"/>
            <w:right w:w="108" w:type="dxa"/>
          </w:tblCellMar>
        </w:tblPrEx>
        <w:trPr>
          <w:trHeight w:val="923" w:hRule="atLeast"/>
          <w:jc w:val="center"/>
        </w:trPr>
        <w:tc>
          <w:tcPr>
            <w:tcW w:w="802" w:type="dxa"/>
            <w:tcBorders>
              <w:top w:val="single" w:color="auto" w:sz="4" w:space="0"/>
              <w:left w:val="single" w:color="auto" w:sz="4" w:space="0"/>
              <w:right w:val="single" w:color="auto" w:sz="4" w:space="0"/>
            </w:tcBorders>
            <w:noWrap w:val="0"/>
            <w:vAlign w:val="center"/>
          </w:tcPr>
          <w:p>
            <w:pPr>
              <w:widowControl/>
              <w:spacing w:beforeLines="0" w:afterLines="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49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便捷服务</w:t>
            </w: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7分</w:t>
            </w:r>
          </w:p>
        </w:tc>
        <w:tc>
          <w:tcPr>
            <w:tcW w:w="6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根据投标人的便捷</w:t>
            </w:r>
            <w:r>
              <w:rPr>
                <w:rFonts w:hint="eastAsia" w:ascii="仿宋" w:hAnsi="仿宋" w:eastAsia="仿宋" w:cs="仿宋"/>
                <w:color w:val="auto"/>
                <w:sz w:val="24"/>
                <w:szCs w:val="24"/>
                <w:highlight w:val="none"/>
                <w:lang w:eastAsia="zh-CN"/>
              </w:rPr>
              <w:t>化</w:t>
            </w:r>
            <w:r>
              <w:rPr>
                <w:rFonts w:hint="eastAsia" w:ascii="仿宋" w:hAnsi="仿宋" w:eastAsia="仿宋" w:cs="仿宋"/>
                <w:color w:val="auto"/>
                <w:sz w:val="24"/>
                <w:szCs w:val="24"/>
                <w:highlight w:val="none"/>
              </w:rPr>
              <w:t>服务能力，能够提供完善、快速的便捷化服务</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before="0" w:beforeLines="0" w:after="0" w:afterLines="0"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供应商距服务地点50公里内的得2分；</w:t>
            </w:r>
          </w:p>
          <w:p>
            <w:pPr>
              <w:keepNext w:val="0"/>
              <w:keepLines w:val="0"/>
              <w:pageBreakBefore w:val="0"/>
              <w:widowControl w:val="0"/>
              <w:numPr>
                <w:ilvl w:val="0"/>
                <w:numId w:val="7"/>
              </w:numPr>
              <w:kinsoku/>
              <w:wordWrap/>
              <w:overflowPunct/>
              <w:topLinePunct w:val="0"/>
              <w:autoSpaceDE/>
              <w:autoSpaceDN/>
              <w:bidi w:val="0"/>
              <w:adjustRightInd/>
              <w:snapToGrid/>
              <w:spacing w:before="0" w:beforeLines="0" w:after="0" w:afterLines="0"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接到采购人临时通知后可2小时内提供设计、现场勘察、现场安装或其他到场服务的得2分；</w:t>
            </w:r>
          </w:p>
          <w:p>
            <w:pPr>
              <w:pStyle w:val="39"/>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（3）针对春节等节假日工人返乡的情况，有充足的雇工提供服务的得2分。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（4）对上述服务的</w:t>
            </w:r>
            <w:r>
              <w:rPr>
                <w:rFonts w:hint="eastAsia" w:ascii="仿宋" w:hAnsi="仿宋" w:eastAsia="仿宋" w:cs="仿宋"/>
                <w:color w:val="auto"/>
                <w:sz w:val="24"/>
                <w:szCs w:val="24"/>
                <w:highlight w:val="none"/>
              </w:rPr>
              <w:t>证明及承诺等材料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可靠性</w:t>
            </w:r>
            <w:r>
              <w:rPr>
                <w:rFonts w:hint="eastAsia" w:ascii="仿宋" w:hAnsi="仿宋" w:eastAsia="仿宋" w:cs="仿宋"/>
                <w:color w:val="auto"/>
                <w:sz w:val="24"/>
                <w:szCs w:val="24"/>
                <w:highlight w:val="none"/>
              </w:rPr>
              <w:t>进行打分（</w:t>
            </w:r>
            <w:r>
              <w:rPr>
                <w:rFonts w:hint="eastAsia" w:ascii="仿宋" w:hAnsi="仿宋" w:eastAsia="仿宋" w:cs="仿宋"/>
                <w:color w:val="auto"/>
                <w:sz w:val="24"/>
                <w:szCs w:val="24"/>
                <w:highlight w:val="none"/>
                <w:lang w:val="en-US" w:eastAsia="zh-CN"/>
              </w:rPr>
              <w:t>有承诺及证明的得1分，没有的不得分</w:t>
            </w:r>
            <w:r>
              <w:rPr>
                <w:rFonts w:hint="eastAsia" w:ascii="仿宋" w:hAnsi="仿宋" w:eastAsia="仿宋" w:cs="仿宋"/>
                <w:color w:val="auto"/>
                <w:sz w:val="24"/>
                <w:szCs w:val="24"/>
                <w:highlight w:val="none"/>
              </w:rPr>
              <w:t>）。</w:t>
            </w:r>
          </w:p>
        </w:tc>
      </w:tr>
    </w:tbl>
    <w:p>
      <w:pPr>
        <w:shd w:val="clear" w:color="000000" w:fill="auto"/>
        <w:spacing w:line="600" w:lineRule="exact"/>
        <w:ind w:firstLine="482" w:firstLineChars="200"/>
        <w:rPr>
          <w:rFonts w:hint="eastAsia" w:ascii="仿宋" w:hAnsi="仿宋" w:eastAsia="仿宋" w:cs="仿宋"/>
          <w:b/>
          <w:bCs/>
          <w:caps w:val="0"/>
          <w:smallCaps w:val="0"/>
          <w:strike w:val="0"/>
          <w:dstrike w:val="0"/>
          <w:color w:val="auto"/>
          <w:spacing w:val="0"/>
          <w:kern w:val="2"/>
          <w:position w:val="0"/>
          <w:sz w:val="24"/>
          <w:szCs w:val="24"/>
          <w:highlight w:val="none"/>
          <w:u w:val="none"/>
          <w:lang w:val="en-US" w:eastAsia="zh-CN"/>
        </w:rPr>
      </w:pPr>
    </w:p>
    <w:p>
      <w:pPr>
        <w:shd w:val="clear" w:color="000000" w:fill="auto"/>
        <w:spacing w:line="600" w:lineRule="exact"/>
        <w:ind w:firstLine="482" w:firstLineChars="200"/>
        <w:rPr>
          <w:rFonts w:hint="eastAsia" w:ascii="仿宋" w:hAnsi="仿宋" w:eastAsia="仿宋" w:cs="仿宋"/>
          <w:b/>
          <w:bCs/>
          <w:caps w:val="0"/>
          <w:smallCaps w:val="0"/>
          <w:strike w:val="0"/>
          <w:dstrike w:val="0"/>
          <w:color w:val="auto"/>
          <w:spacing w:val="0"/>
          <w:kern w:val="2"/>
          <w:position w:val="0"/>
          <w:sz w:val="24"/>
          <w:szCs w:val="24"/>
          <w:highlight w:val="none"/>
          <w:u w:val="none"/>
          <w:lang w:val="en-US" w:eastAsia="zh-CN"/>
        </w:rPr>
      </w:pPr>
    </w:p>
    <w:p>
      <w:pPr>
        <w:shd w:val="clear" w:color="000000" w:fill="auto"/>
        <w:spacing w:line="600" w:lineRule="exact"/>
        <w:ind w:firstLine="482" w:firstLineChars="200"/>
        <w:rPr>
          <w:rFonts w:hint="eastAsia" w:ascii="仿宋" w:hAnsi="仿宋" w:eastAsia="仿宋" w:cs="仿宋"/>
          <w:b/>
          <w:bCs/>
          <w:caps w:val="0"/>
          <w:smallCaps w:val="0"/>
          <w:strike w:val="0"/>
          <w:dstrike w:val="0"/>
          <w:color w:val="auto"/>
          <w:spacing w:val="0"/>
          <w:kern w:val="2"/>
          <w:position w:val="0"/>
          <w:sz w:val="24"/>
          <w:szCs w:val="24"/>
          <w:highlight w:val="none"/>
          <w:u w:val="none"/>
          <w:lang w:val="en-US" w:eastAsia="zh-CN"/>
        </w:rPr>
      </w:pPr>
    </w:p>
    <w:p>
      <w:pPr>
        <w:shd w:val="clear" w:color="000000" w:fill="auto"/>
        <w:spacing w:line="600" w:lineRule="exact"/>
        <w:ind w:firstLine="482" w:firstLineChars="200"/>
        <w:rPr>
          <w:rFonts w:hint="eastAsia" w:ascii="仿宋" w:hAnsi="仿宋" w:eastAsia="仿宋" w:cs="仿宋"/>
          <w:b/>
          <w:bCs/>
          <w:color w:val="auto"/>
          <w:kern w:val="2"/>
          <w:sz w:val="24"/>
          <w:szCs w:val="24"/>
          <w:highlight w:val="none"/>
          <w:lang w:val="zh-CN" w:eastAsia="zh-CN"/>
        </w:rPr>
      </w:pPr>
      <w:r>
        <w:rPr>
          <w:rFonts w:hint="eastAsia" w:ascii="仿宋" w:hAnsi="仿宋" w:eastAsia="仿宋" w:cs="仿宋"/>
          <w:b/>
          <w:bCs/>
          <w:caps w:val="0"/>
          <w:smallCaps w:val="0"/>
          <w:strike w:val="0"/>
          <w:dstrike w:val="0"/>
          <w:color w:val="auto"/>
          <w:spacing w:val="0"/>
          <w:kern w:val="2"/>
          <w:position w:val="0"/>
          <w:sz w:val="24"/>
          <w:szCs w:val="24"/>
          <w:highlight w:val="none"/>
          <w:u w:val="none"/>
          <w:lang w:val="en-US" w:eastAsia="zh-CN"/>
        </w:rPr>
        <w:t>商务</w:t>
      </w:r>
      <w:r>
        <w:rPr>
          <w:rFonts w:hint="eastAsia" w:ascii="仿宋" w:hAnsi="仿宋" w:eastAsia="仿宋" w:cs="仿宋"/>
          <w:b/>
          <w:bCs/>
          <w:color w:val="auto"/>
          <w:kern w:val="2"/>
          <w:sz w:val="24"/>
          <w:szCs w:val="24"/>
          <w:highlight w:val="none"/>
          <w:lang w:val="en-US" w:eastAsia="zh-CN"/>
        </w:rPr>
        <w:t>分</w:t>
      </w:r>
      <w:r>
        <w:rPr>
          <w:rFonts w:hint="eastAsia" w:ascii="仿宋" w:hAnsi="仿宋" w:eastAsia="仿宋" w:cs="仿宋"/>
          <w:b/>
          <w:bCs/>
          <w:color w:val="auto"/>
          <w:kern w:val="2"/>
          <w:sz w:val="24"/>
          <w:szCs w:val="24"/>
          <w:highlight w:val="none"/>
          <w:lang w:val="zh-CN" w:eastAsia="zh-CN"/>
        </w:rPr>
        <w:t>（</w:t>
      </w:r>
      <w:r>
        <w:rPr>
          <w:rFonts w:hint="eastAsia" w:ascii="仿宋" w:hAnsi="仿宋" w:eastAsia="仿宋" w:cs="仿宋"/>
          <w:b/>
          <w:bCs/>
          <w:color w:val="auto"/>
          <w:kern w:val="2"/>
          <w:sz w:val="24"/>
          <w:szCs w:val="24"/>
          <w:highlight w:val="none"/>
          <w:lang w:val="en-US" w:eastAsia="zh-CN"/>
        </w:rPr>
        <w:t>16</w:t>
      </w:r>
      <w:r>
        <w:rPr>
          <w:rFonts w:hint="eastAsia" w:ascii="仿宋" w:hAnsi="仿宋" w:eastAsia="仿宋" w:cs="仿宋"/>
          <w:b/>
          <w:bCs/>
          <w:color w:val="auto"/>
          <w:kern w:val="2"/>
          <w:sz w:val="24"/>
          <w:szCs w:val="24"/>
          <w:highlight w:val="none"/>
          <w:lang w:val="zh-CN" w:eastAsia="zh-CN"/>
        </w:rPr>
        <w:t>分）</w:t>
      </w:r>
    </w:p>
    <w:tbl>
      <w:tblPr>
        <w:tblStyle w:val="27"/>
        <w:tblW w:w="9959" w:type="dxa"/>
        <w:jc w:val="center"/>
        <w:tblLayout w:type="fixed"/>
        <w:tblCellMar>
          <w:top w:w="0" w:type="dxa"/>
          <w:left w:w="108" w:type="dxa"/>
          <w:bottom w:w="0" w:type="dxa"/>
          <w:right w:w="108" w:type="dxa"/>
        </w:tblCellMar>
      </w:tblPr>
      <w:tblGrid>
        <w:gridCol w:w="726"/>
        <w:gridCol w:w="1374"/>
        <w:gridCol w:w="786"/>
        <w:gridCol w:w="7073"/>
      </w:tblGrid>
      <w:tr>
        <w:tblPrEx>
          <w:tblCellMar>
            <w:top w:w="0" w:type="dxa"/>
            <w:left w:w="108" w:type="dxa"/>
            <w:bottom w:w="0" w:type="dxa"/>
            <w:right w:w="108" w:type="dxa"/>
          </w:tblCellMar>
        </w:tblPrEx>
        <w:trPr>
          <w:trHeight w:val="566"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3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0"/>
                <w:highlight w:val="none"/>
              </w:rPr>
              <w:t>序</w:t>
            </w:r>
            <w:r>
              <w:rPr>
                <w:rFonts w:hint="eastAsia" w:ascii="宋体" w:hAnsi="宋体" w:eastAsia="宋体" w:cs="宋体"/>
                <w:b/>
                <w:bCs/>
                <w:color w:val="auto"/>
                <w:sz w:val="24"/>
                <w:szCs w:val="20"/>
                <w:highlight w:val="none"/>
                <w:lang w:eastAsia="zh-CN"/>
              </w:rPr>
              <w:t>号</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3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0"/>
                <w:highlight w:val="none"/>
              </w:rPr>
              <w:t>评</w:t>
            </w:r>
            <w:r>
              <w:rPr>
                <w:rFonts w:hint="eastAsia" w:ascii="宋体" w:hAnsi="宋体" w:eastAsia="宋体" w:cs="宋体"/>
                <w:b/>
                <w:bCs/>
                <w:color w:val="auto"/>
                <w:sz w:val="24"/>
                <w:szCs w:val="20"/>
                <w:highlight w:val="none"/>
                <w:lang w:eastAsia="zh-CN"/>
              </w:rPr>
              <w:t>分</w:t>
            </w:r>
            <w:r>
              <w:rPr>
                <w:rFonts w:hint="eastAsia" w:ascii="宋体" w:hAnsi="宋体" w:eastAsia="宋体" w:cs="宋体"/>
                <w:b/>
                <w:bCs/>
                <w:color w:val="auto"/>
                <w:sz w:val="24"/>
                <w:szCs w:val="20"/>
                <w:highlight w:val="none"/>
              </w:rPr>
              <w:t>项目</w:t>
            </w:r>
          </w:p>
        </w:tc>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3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0"/>
                <w:highlight w:val="none"/>
              </w:rPr>
              <w:t>分值</w:t>
            </w:r>
          </w:p>
        </w:tc>
        <w:tc>
          <w:tcPr>
            <w:tcW w:w="7073"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3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0"/>
                <w:highlight w:val="none"/>
              </w:rPr>
              <w:t>评</w:t>
            </w:r>
            <w:r>
              <w:rPr>
                <w:rFonts w:hint="eastAsia" w:ascii="宋体" w:hAnsi="宋体" w:eastAsia="宋体" w:cs="宋体"/>
                <w:b/>
                <w:bCs/>
                <w:color w:val="auto"/>
                <w:sz w:val="24"/>
                <w:szCs w:val="20"/>
                <w:highlight w:val="none"/>
                <w:lang w:eastAsia="zh-CN"/>
              </w:rPr>
              <w:t>分标准</w:t>
            </w:r>
          </w:p>
        </w:tc>
      </w:tr>
      <w:tr>
        <w:tblPrEx>
          <w:tblCellMar>
            <w:top w:w="0" w:type="dxa"/>
            <w:left w:w="108" w:type="dxa"/>
            <w:bottom w:w="0" w:type="dxa"/>
            <w:right w:w="108" w:type="dxa"/>
          </w:tblCellMar>
        </w:tblPrEx>
        <w:trPr>
          <w:trHeight w:val="1551"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0"/>
                <w:highlight w:val="none"/>
                <w:lang w:val="en-US" w:eastAsia="zh-CN"/>
              </w:rPr>
              <w:t>企业管理体系认证</w:t>
            </w:r>
          </w:p>
        </w:tc>
        <w:tc>
          <w:tcPr>
            <w:tcW w:w="7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7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获得有效期内的：质量管理体系认证（1分）、环境管理体系认证（1分）、职业健康安全管理体系认证（1分）、信息安全管理体系认证（1分）。</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0"/>
                <w:highlight w:val="none"/>
                <w:lang w:val="en-US" w:eastAsia="zh-CN"/>
              </w:rPr>
              <w:t>（提供证书复印件或扫描件并加盖公章。）</w:t>
            </w:r>
          </w:p>
        </w:tc>
      </w:tr>
      <w:tr>
        <w:tblPrEx>
          <w:tblCellMar>
            <w:top w:w="0" w:type="dxa"/>
            <w:left w:w="108" w:type="dxa"/>
            <w:bottom w:w="0" w:type="dxa"/>
            <w:right w:w="108" w:type="dxa"/>
          </w:tblCellMar>
        </w:tblPrEx>
        <w:trPr>
          <w:trHeight w:val="3045"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项目团队</w:t>
            </w:r>
          </w:p>
        </w:tc>
        <w:tc>
          <w:tcPr>
            <w:tcW w:w="7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7分</w:t>
            </w:r>
          </w:p>
        </w:tc>
        <w:tc>
          <w:tcPr>
            <w:tcW w:w="7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jc w:val="left"/>
              <w:textAlignment w:val="auto"/>
              <w:rPr>
                <w:rFonts w:hint="default"/>
                <w:color w:val="auto"/>
                <w:highlight w:val="none"/>
                <w:lang w:val="en-US" w:eastAsia="zh-CN"/>
              </w:rPr>
            </w:pPr>
            <w:r>
              <w:rPr>
                <w:rFonts w:hint="eastAsia" w:ascii="仿宋" w:hAnsi="仿宋" w:eastAsia="仿宋" w:cs="仿宋"/>
                <w:b w:val="0"/>
                <w:bCs w:val="0"/>
                <w:color w:val="auto"/>
                <w:sz w:val="24"/>
                <w:szCs w:val="20"/>
                <w:highlight w:val="none"/>
                <w:lang w:val="en-US" w:eastAsia="zh-CN"/>
              </w:rPr>
              <w:t>（1）项目负责人：承诺每场服务的前期对接、现场安装执行有负责人到场统一协调，及时响应采购方需求（2分）；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jc w:val="left"/>
              <w:textAlignment w:val="auto"/>
              <w:rPr>
                <w:rFonts w:hint="eastAsia"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（2）根据项目负责人的工作经验、履历、资格情况，有项目活动策划执行经验的，每增加1年加1分（2分）。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jc w:val="left"/>
              <w:textAlignment w:val="auto"/>
              <w:rPr>
                <w:rFonts w:hint="default"/>
                <w:color w:val="auto"/>
                <w:highlight w:val="none"/>
                <w:lang w:val="en-US" w:eastAsia="zh-CN"/>
              </w:rPr>
            </w:pPr>
            <w:r>
              <w:rPr>
                <w:rFonts w:hint="eastAsia" w:ascii="仿宋" w:hAnsi="仿宋" w:eastAsia="仿宋" w:cs="仿宋"/>
                <w:b w:val="0"/>
                <w:bCs w:val="0"/>
                <w:color w:val="auto"/>
                <w:sz w:val="24"/>
                <w:szCs w:val="20"/>
                <w:highlight w:val="none"/>
                <w:lang w:val="en-US" w:eastAsia="zh-CN"/>
              </w:rPr>
              <w:t>（3）策划文案、媒介媒体、仓储运输等团队成员的配备情况，每类型人员得1分，最高3分（策划、媒介人员需提供在投标单位缴纳社保证明，否则不得分）。</w:t>
            </w:r>
          </w:p>
        </w:tc>
      </w:tr>
      <w:tr>
        <w:tblPrEx>
          <w:tblCellMar>
            <w:top w:w="0" w:type="dxa"/>
            <w:left w:w="108" w:type="dxa"/>
            <w:bottom w:w="0" w:type="dxa"/>
            <w:right w:w="108" w:type="dxa"/>
          </w:tblCellMar>
        </w:tblPrEx>
        <w:trPr>
          <w:trHeight w:val="2978"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业绩案例</w:t>
            </w:r>
          </w:p>
        </w:tc>
        <w:tc>
          <w:tcPr>
            <w:tcW w:w="7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7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default"/>
                <w:color w:val="auto"/>
                <w:highlight w:val="none"/>
                <w:lang w:val="en-US" w:eastAsia="zh-CN"/>
              </w:rPr>
            </w:pPr>
            <w:r>
              <w:rPr>
                <w:rFonts w:hint="eastAsia" w:ascii="仿宋" w:hAnsi="仿宋" w:eastAsia="仿宋" w:cs="仿宋"/>
                <w:b w:val="0"/>
                <w:bCs w:val="0"/>
                <w:color w:val="auto"/>
                <w:sz w:val="24"/>
                <w:szCs w:val="20"/>
                <w:highlight w:val="none"/>
                <w:lang w:val="en-US" w:eastAsia="zh-CN"/>
              </w:rPr>
              <w:t>投标人2022年1月1日以来承担的政府（或国有投资企业）类似招标项目，每个得1分，最高得3分（提供合同复制件加盖公章）。</w:t>
            </w:r>
          </w:p>
        </w:tc>
      </w:tr>
      <w:tr>
        <w:tblPrEx>
          <w:tblCellMar>
            <w:top w:w="0" w:type="dxa"/>
            <w:left w:w="108" w:type="dxa"/>
            <w:bottom w:w="0" w:type="dxa"/>
            <w:right w:w="108" w:type="dxa"/>
          </w:tblCellMar>
        </w:tblPrEx>
        <w:trPr>
          <w:trHeight w:val="923"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投标人荣誉</w:t>
            </w:r>
          </w:p>
        </w:tc>
        <w:tc>
          <w:tcPr>
            <w:tcW w:w="7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w:t>
            </w:r>
          </w:p>
        </w:tc>
        <w:tc>
          <w:tcPr>
            <w:tcW w:w="7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投标人的具有国家信用等级公示系统官网认证的资信、信用等级证书情况：</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1）具有企业资信等级证书，AAA级得1分，AA级得0.5分，A级或没有的不得分；</w:t>
            </w:r>
            <w:bookmarkStart w:id="54" w:name="_GoBack"/>
            <w:bookmarkEnd w:id="54"/>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2）具有企业信用等级证书，AAA级得1分，AA级得0.5分，A级或没有的不得分；</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仿宋" w:hAnsi="仿宋" w:eastAsia="仿宋" w:cs="仿宋"/>
                <w:b w:val="0"/>
                <w:bCs w:val="0"/>
                <w:color w:val="auto"/>
                <w:sz w:val="24"/>
                <w:szCs w:val="20"/>
                <w:highlight w:val="none"/>
                <w:lang w:val="en-US" w:eastAsia="zh-CN"/>
              </w:rPr>
            </w:pPr>
            <w:r>
              <w:rPr>
                <w:rFonts w:hint="eastAsia" w:ascii="仿宋" w:hAnsi="仿宋" w:eastAsia="仿宋" w:cs="仿宋"/>
                <w:b w:val="0"/>
                <w:bCs w:val="0"/>
                <w:color w:val="auto"/>
                <w:sz w:val="24"/>
                <w:szCs w:val="20"/>
                <w:highlight w:val="none"/>
                <w:lang w:val="en-US" w:eastAsia="zh-CN"/>
              </w:rPr>
              <w:t>【投标文件中提供认证证书复印件及相关网站（全国信用等级公示系统官网(http://www.315.vg)查询网页的截图，否则不得分】</w:t>
            </w:r>
          </w:p>
        </w:tc>
      </w:tr>
    </w:tbl>
    <w:p>
      <w:pPr>
        <w:pStyle w:val="40"/>
        <w:shd w:val="clear" w:color="010000" w:fill="auto"/>
        <w:spacing w:before="0" w:line="440" w:lineRule="exact"/>
        <w:ind w:firstLine="0" w:firstLineChars="0"/>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3</w:t>
      </w:r>
      <w:r>
        <w:rPr>
          <w:rFonts w:hint="eastAsia" w:ascii="仿宋" w:hAnsi="仿宋" w:eastAsia="仿宋" w:cs="仿宋"/>
          <w:b/>
          <w:color w:val="auto"/>
          <w:kern w:val="0"/>
          <w:szCs w:val="24"/>
          <w:highlight w:val="none"/>
          <w:lang w:val="en-US" w:eastAsia="zh-CN"/>
        </w:rPr>
        <w:t>6</w:t>
      </w:r>
      <w:r>
        <w:rPr>
          <w:rFonts w:hint="eastAsia" w:ascii="仿宋" w:hAnsi="仿宋" w:eastAsia="仿宋" w:cs="仿宋"/>
          <w:b/>
          <w:color w:val="auto"/>
          <w:kern w:val="0"/>
          <w:szCs w:val="24"/>
          <w:highlight w:val="none"/>
        </w:rPr>
        <w:t>、解释权</w:t>
      </w:r>
    </w:p>
    <w:p>
      <w:pPr>
        <w:shd w:val="clear" w:color="000000" w:fill="auto"/>
        <w:adjustRightInd w:val="0"/>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专用条款与通用条款有矛盾之处，以专用条款为准。凡涉及本次招标文件的解释权属于招标人。  </w:t>
      </w:r>
    </w:p>
    <w:p>
      <w:pPr>
        <w:shd w:val="clear" w:color="000000" w:fill="auto"/>
        <w:adjustRightInd w:val="0"/>
        <w:snapToGrid w:val="0"/>
        <w:spacing w:line="440" w:lineRule="exact"/>
        <w:rPr>
          <w:rFonts w:hint="eastAsia" w:ascii="仿宋" w:hAnsi="仿宋" w:eastAsia="仿宋" w:cs="仿宋"/>
          <w:color w:val="auto"/>
          <w:kern w:val="0"/>
          <w:sz w:val="24"/>
          <w:highlight w:val="none"/>
        </w:rPr>
      </w:pPr>
    </w:p>
    <w:p>
      <w:pPr>
        <w:pStyle w:val="25"/>
        <w:shd w:val="clear" w:color="010000" w:fill="auto"/>
        <w:rPr>
          <w:rFonts w:hint="eastAsia" w:ascii="仿宋" w:hAnsi="仿宋" w:eastAsia="仿宋" w:cs="仿宋"/>
          <w:color w:val="auto"/>
          <w:sz w:val="44"/>
          <w:szCs w:val="44"/>
          <w:highlight w:val="none"/>
        </w:rPr>
      </w:pPr>
      <w:bookmarkStart w:id="9" w:name="_Toc482110466"/>
    </w:p>
    <w:p>
      <w:pPr>
        <w:pStyle w:val="25"/>
        <w:shd w:val="clear" w:color="010000" w:fill="auto"/>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p>
    <w:bookmarkEnd w:id="9"/>
    <w:p>
      <w:pPr>
        <w:pStyle w:val="25"/>
        <w:shd w:val="clear" w:color="010000" w:fill="auto"/>
        <w:rPr>
          <w:rFonts w:hint="eastAsia" w:ascii="仿宋" w:hAnsi="仿宋" w:eastAsia="仿宋" w:cs="仿宋"/>
          <w:color w:val="auto"/>
          <w:sz w:val="28"/>
          <w:szCs w:val="28"/>
          <w:highlight w:val="none"/>
        </w:rPr>
        <w:sectPr>
          <w:headerReference r:id="rId3" w:type="default"/>
          <w:footerReference r:id="rId4" w:type="default"/>
          <w:pgSz w:w="11906" w:h="16838"/>
          <w:pgMar w:top="1531" w:right="1191" w:bottom="1531" w:left="1191" w:header="851" w:footer="601" w:gutter="0"/>
          <w:pgBorders>
            <w:top w:val="none" w:sz="0" w:space="0"/>
            <w:left w:val="none" w:sz="0" w:space="0"/>
            <w:bottom w:val="none" w:sz="0" w:space="0"/>
            <w:right w:val="none" w:sz="0" w:space="0"/>
          </w:pgBorders>
          <w:pgNumType w:fmt="decimal"/>
          <w:cols w:space="720" w:num="1"/>
          <w:docGrid w:linePitch="312" w:charSpace="0"/>
        </w:sectPr>
      </w:pPr>
      <w:bookmarkStart w:id="10" w:name="_Toc5880"/>
      <w:bookmarkStart w:id="11" w:name="_Toc482110467"/>
    </w:p>
    <w:p>
      <w:pPr>
        <w:pStyle w:val="25"/>
        <w:shd w:val="clear" w:color="010000" w:fil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第三部分 采购需求</w:t>
      </w:r>
      <w:bookmarkEnd w:id="10"/>
    </w:p>
    <w:p>
      <w:pPr>
        <w:shd w:val="clear" w:color="000000" w:fill="auto"/>
        <w:spacing w:line="600" w:lineRule="exact"/>
        <w:ind w:firstLine="470" w:firstLineChars="196"/>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采购需求中带“●”条款为实质性内容，投标人须在投标文件中提供《采购需求实质性内容响应表》（格式见第五部分 投标文件</w:t>
      </w:r>
      <w:r>
        <w:rPr>
          <w:rFonts w:hint="eastAsia" w:ascii="仿宋" w:hAnsi="仿宋" w:eastAsia="仿宋" w:cs="仿宋"/>
          <w:b w:val="0"/>
          <w:bCs/>
          <w:color w:val="auto"/>
          <w:sz w:val="24"/>
          <w:highlight w:val="none"/>
          <w:lang w:eastAsia="zh-CN"/>
        </w:rPr>
        <w:t>格式</w:t>
      </w:r>
      <w:r>
        <w:rPr>
          <w:rFonts w:hint="eastAsia" w:ascii="仿宋" w:hAnsi="仿宋" w:eastAsia="仿宋" w:cs="仿宋"/>
          <w:b w:val="0"/>
          <w:bCs/>
          <w:color w:val="auto"/>
          <w:sz w:val="24"/>
          <w:highlight w:val="none"/>
        </w:rPr>
        <w:t>），如有任意一条未响应或不满足，将被视为无效。</w:t>
      </w:r>
    </w:p>
    <w:bookmarkEnd w:id="11"/>
    <w:p>
      <w:pPr>
        <w:shd w:val="clear" w:color="000000" w:fill="auto"/>
        <w:jc w:val="left"/>
        <w:rPr>
          <w:rFonts w:hint="eastAsia" w:ascii="仿宋" w:hAnsi="仿宋" w:eastAsia="仿宋" w:cs="仿宋"/>
          <w:color w:val="auto"/>
          <w:highlight w:val="none"/>
        </w:rPr>
      </w:pPr>
      <w:bookmarkStart w:id="12" w:name="_Toc482110468"/>
    </w:p>
    <w:p>
      <w:pPr>
        <w:pStyle w:val="60"/>
        <w:numPr>
          <w:ilvl w:val="0"/>
          <w:numId w:val="8"/>
        </w:numPr>
        <w:shd w:val="clear" w:color="020000" w:fill="auto"/>
        <w:spacing w:line="360" w:lineRule="auto"/>
        <w:ind w:firstLine="482"/>
        <w:outlineLvl w:val="0"/>
        <w:rPr>
          <w:rFonts w:hint="eastAsia" w:ascii="仿宋" w:hAnsi="仿宋" w:eastAsia="仿宋" w:cs="仿宋"/>
          <w:b/>
          <w:color w:val="auto"/>
          <w:sz w:val="24"/>
          <w:szCs w:val="24"/>
          <w:highlight w:val="none"/>
        </w:rPr>
      </w:pPr>
      <w:bookmarkStart w:id="13" w:name="_Toc22757"/>
      <w:bookmarkStart w:id="14" w:name="_Toc22000"/>
      <w:bookmarkStart w:id="15" w:name="_Toc13850"/>
      <w:r>
        <w:rPr>
          <w:rFonts w:hint="eastAsia" w:ascii="仿宋" w:hAnsi="仿宋" w:eastAsia="仿宋" w:cs="仿宋"/>
          <w:b/>
          <w:color w:val="auto"/>
          <w:sz w:val="24"/>
          <w:szCs w:val="24"/>
          <w:highlight w:val="none"/>
        </w:rPr>
        <w:t>项目</w:t>
      </w:r>
      <w:bookmarkEnd w:id="13"/>
      <w:bookmarkEnd w:id="14"/>
      <w:bookmarkEnd w:id="15"/>
      <w:r>
        <w:rPr>
          <w:rFonts w:hint="eastAsia" w:ascii="仿宋" w:hAnsi="仿宋" w:eastAsia="仿宋" w:cs="仿宋"/>
          <w:b/>
          <w:color w:val="auto"/>
          <w:sz w:val="24"/>
          <w:szCs w:val="24"/>
          <w:highlight w:val="none"/>
          <w:lang w:val="en-US" w:eastAsia="zh-CN"/>
        </w:rPr>
        <w:t>服务商</w:t>
      </w:r>
    </w:p>
    <w:p>
      <w:pPr>
        <w:pStyle w:val="60"/>
        <w:numPr>
          <w:ilvl w:val="0"/>
          <w:numId w:val="0"/>
        </w:numPr>
        <w:shd w:val="clear" w:color="020000" w:fill="auto"/>
        <w:spacing w:line="360" w:lineRule="auto"/>
        <w:ind w:firstLine="480" w:firstLineChars="200"/>
        <w:outlineLvl w:val="0"/>
        <w:rPr>
          <w:rFonts w:hint="eastAsia" w:ascii="仿宋" w:hAnsi="仿宋" w:eastAsia="仿宋" w:cs="仿宋"/>
          <w:b w:val="0"/>
          <w:bCs w:val="0"/>
          <w:color w:val="auto"/>
          <w:sz w:val="24"/>
          <w:szCs w:val="24"/>
          <w:highlight w:val="none"/>
        </w:rPr>
      </w:pPr>
      <w:bookmarkStart w:id="16" w:name="_Toc23010"/>
      <w:bookmarkStart w:id="17" w:name="_Toc8618"/>
      <w:r>
        <w:rPr>
          <w:rFonts w:hint="eastAsia" w:ascii="仿宋" w:hAnsi="仿宋" w:eastAsia="仿宋" w:cs="仿宋"/>
          <w:b w:val="0"/>
          <w:bCs w:val="0"/>
          <w:color w:val="auto"/>
          <w:sz w:val="24"/>
          <w:szCs w:val="24"/>
          <w:highlight w:val="none"/>
        </w:rPr>
        <w:t>本次采购为服务商框架协议采购项目，中标价格为采购最高价。业务量在5万元及以内项目，原则上由投标时该业务采购清单报价最低的服务商承接；业务量在5万以上项目，由3家中标服务商根据业务实际情况重新竞价，报价不得高于中标价格，由符合条件且价格最低者承接。若3家中标服务商报价一致时，由采购人根据项目实际需求综合考量后确定服务商，采购人有权按照实际需求确定中标3家服务商最终业务量。甲方可在中标价基础上二次议价，如</w:t>
      </w:r>
      <w:r>
        <w:rPr>
          <w:rFonts w:hint="eastAsia" w:ascii="仿宋" w:hAnsi="仿宋" w:eastAsia="仿宋" w:cs="仿宋"/>
          <w:b w:val="0"/>
          <w:bCs w:val="0"/>
          <w:color w:val="auto"/>
          <w:sz w:val="24"/>
          <w:szCs w:val="24"/>
          <w:highlight w:val="none"/>
          <w:lang w:val="en-US" w:eastAsia="zh-CN"/>
        </w:rPr>
        <w:t>采购人证明能够以更低价格向非入围供应商采购相同货物，且</w:t>
      </w:r>
      <w:r>
        <w:rPr>
          <w:rFonts w:hint="eastAsia" w:ascii="仿宋" w:hAnsi="仿宋" w:eastAsia="仿宋" w:cs="仿宋"/>
          <w:b w:val="0"/>
          <w:bCs w:val="0"/>
          <w:color w:val="auto"/>
          <w:sz w:val="24"/>
          <w:szCs w:val="24"/>
          <w:highlight w:val="none"/>
        </w:rPr>
        <w:t>3家供应商均不同意提供</w:t>
      </w:r>
      <w:r>
        <w:rPr>
          <w:rFonts w:hint="eastAsia" w:ascii="仿宋" w:hAnsi="仿宋" w:eastAsia="仿宋" w:cs="仿宋"/>
          <w:b w:val="0"/>
          <w:bCs w:val="0"/>
          <w:color w:val="auto"/>
          <w:sz w:val="24"/>
          <w:szCs w:val="24"/>
          <w:highlight w:val="none"/>
          <w:lang w:val="en-US" w:eastAsia="zh-CN"/>
        </w:rPr>
        <w:t>同样</w:t>
      </w:r>
      <w:r>
        <w:rPr>
          <w:rFonts w:hint="eastAsia" w:ascii="仿宋" w:hAnsi="仿宋" w:eastAsia="仿宋" w:cs="仿宋"/>
          <w:b w:val="0"/>
          <w:bCs w:val="0"/>
          <w:color w:val="auto"/>
          <w:sz w:val="24"/>
          <w:szCs w:val="24"/>
          <w:highlight w:val="none"/>
        </w:rPr>
        <w:t>的价格</w:t>
      </w:r>
      <w:r>
        <w:rPr>
          <w:rFonts w:hint="eastAsia" w:ascii="仿宋" w:hAnsi="仿宋" w:eastAsia="仿宋" w:cs="仿宋"/>
          <w:b w:val="0"/>
          <w:bCs w:val="0"/>
          <w:color w:val="auto"/>
          <w:sz w:val="24"/>
          <w:szCs w:val="24"/>
          <w:highlight w:val="none"/>
          <w:lang w:val="en-US" w:eastAsia="zh-CN"/>
        </w:rPr>
        <w:t>时</w:t>
      </w:r>
      <w:r>
        <w:rPr>
          <w:rFonts w:hint="eastAsia" w:ascii="仿宋" w:hAnsi="仿宋" w:eastAsia="仿宋" w:cs="仿宋"/>
          <w:b w:val="0"/>
          <w:bCs w:val="0"/>
          <w:color w:val="auto"/>
          <w:sz w:val="24"/>
          <w:szCs w:val="24"/>
          <w:highlight w:val="none"/>
        </w:rPr>
        <w:t>，甲方有权向中标单位以外的单位进行采购且如因甲方经营政策发生调整，甲方有权暂停或终止服务。</w:t>
      </w:r>
    </w:p>
    <w:p>
      <w:pPr>
        <w:pStyle w:val="60"/>
        <w:numPr>
          <w:ilvl w:val="0"/>
          <w:numId w:val="0"/>
        </w:numPr>
        <w:shd w:val="clear" w:color="020000" w:fill="auto"/>
        <w:spacing w:line="360" w:lineRule="auto"/>
        <w:ind w:firstLine="480" w:firstLineChars="200"/>
        <w:outlineLvl w:val="0"/>
        <w:rPr>
          <w:rFonts w:hint="eastAsia" w:ascii="仿宋" w:hAnsi="仿宋" w:eastAsia="仿宋" w:cs="仿宋"/>
          <w:b/>
          <w:color w:val="auto"/>
          <w:sz w:val="24"/>
          <w:szCs w:val="24"/>
          <w:highlight w:val="none"/>
        </w:rPr>
      </w:pPr>
      <w:r>
        <w:rPr>
          <w:rFonts w:hint="eastAsia" w:ascii="仿宋" w:hAnsi="仿宋" w:eastAsia="仿宋" w:cs="仿宋"/>
          <w:b w:val="0"/>
          <w:bCs w:val="0"/>
          <w:color w:val="auto"/>
          <w:sz w:val="24"/>
          <w:szCs w:val="24"/>
          <w:highlight w:val="none"/>
          <w:lang w:val="en-US" w:eastAsia="zh-CN"/>
        </w:rPr>
        <w:t>二、</w:t>
      </w:r>
      <w:r>
        <w:rPr>
          <w:rFonts w:hint="eastAsia" w:ascii="仿宋" w:hAnsi="仿宋" w:eastAsia="仿宋" w:cs="仿宋"/>
          <w:b/>
          <w:color w:val="auto"/>
          <w:sz w:val="24"/>
          <w:szCs w:val="24"/>
          <w:highlight w:val="none"/>
          <w:lang w:eastAsia="zh-CN"/>
        </w:rPr>
        <w:t>项目需求</w:t>
      </w:r>
      <w:bookmarkEnd w:id="16"/>
      <w:bookmarkEnd w:id="17"/>
      <w:r>
        <w:rPr>
          <w:rFonts w:hint="eastAsia" w:ascii="仿宋" w:hAnsi="仿宋" w:eastAsia="仿宋" w:cs="仿宋"/>
          <w:b/>
          <w:color w:val="auto"/>
          <w:sz w:val="24"/>
          <w:szCs w:val="24"/>
          <w:highlight w:val="none"/>
          <w:lang w:eastAsia="zh-CN"/>
        </w:rPr>
        <w:t>表</w:t>
      </w:r>
    </w:p>
    <w:tbl>
      <w:tblPr>
        <w:tblStyle w:val="27"/>
        <w:tblW w:w="4857" w:type="pct"/>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0"/>
        <w:gridCol w:w="1874"/>
        <w:gridCol w:w="2815"/>
        <w:gridCol w:w="824"/>
        <w:gridCol w:w="1178"/>
        <w:gridCol w:w="4692"/>
        <w:gridCol w:w="14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72" w:type="pct"/>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Style w:val="133"/>
                <w:rFonts w:hint="eastAsia" w:ascii="仿宋" w:hAnsi="仿宋" w:eastAsia="仿宋" w:cs="仿宋"/>
                <w:color w:val="auto"/>
                <w:highlight w:val="none"/>
                <w:lang w:val="en-US" w:eastAsia="zh-CN" w:bidi="ar"/>
              </w:rPr>
              <w:t>序号</w:t>
            </w:r>
          </w:p>
        </w:tc>
        <w:tc>
          <w:tcPr>
            <w:tcW w:w="689" w:type="pct"/>
            <w:vMerge w:val="restart"/>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Style w:val="133"/>
                <w:rFonts w:hint="eastAsia" w:ascii="仿宋" w:hAnsi="仿宋" w:eastAsia="仿宋" w:cs="仿宋"/>
                <w:color w:val="auto"/>
                <w:highlight w:val="none"/>
                <w:lang w:val="en-US" w:eastAsia="zh-CN" w:bidi="ar"/>
              </w:rPr>
              <w:t>类型</w:t>
            </w:r>
          </w:p>
        </w:tc>
        <w:tc>
          <w:tcPr>
            <w:tcW w:w="1035" w:type="pct"/>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Style w:val="133"/>
                <w:rFonts w:hint="eastAsia" w:ascii="仿宋" w:hAnsi="仿宋" w:eastAsia="仿宋" w:cs="仿宋"/>
                <w:color w:val="auto"/>
                <w:highlight w:val="none"/>
                <w:lang w:val="en-US" w:eastAsia="zh-CN" w:bidi="ar"/>
              </w:rPr>
              <w:t>项目内容</w:t>
            </w:r>
          </w:p>
        </w:tc>
        <w:tc>
          <w:tcPr>
            <w:tcW w:w="303" w:type="pct"/>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Style w:val="133"/>
                <w:rFonts w:hint="eastAsia" w:ascii="仿宋" w:hAnsi="仿宋" w:eastAsia="仿宋" w:cs="仿宋"/>
                <w:color w:val="auto"/>
                <w:highlight w:val="none"/>
                <w:lang w:val="en-US" w:eastAsia="zh-CN" w:bidi="ar"/>
              </w:rPr>
              <w:t>单位</w:t>
            </w:r>
          </w:p>
        </w:tc>
        <w:tc>
          <w:tcPr>
            <w:tcW w:w="433" w:type="pct"/>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Style w:val="133"/>
                <w:rFonts w:hint="eastAsia" w:ascii="仿宋" w:hAnsi="仿宋" w:eastAsia="仿宋" w:cs="仿宋"/>
                <w:color w:val="auto"/>
                <w:highlight w:val="none"/>
                <w:lang w:val="en-US" w:eastAsia="zh-CN" w:bidi="ar"/>
              </w:rPr>
              <w:t>综合单价最高限价（元）</w:t>
            </w:r>
          </w:p>
        </w:tc>
        <w:tc>
          <w:tcPr>
            <w:tcW w:w="1725" w:type="pct"/>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Style w:val="133"/>
                <w:rFonts w:hint="eastAsia" w:ascii="仿宋" w:hAnsi="仿宋" w:eastAsia="仿宋" w:cs="仿宋"/>
                <w:color w:val="auto"/>
                <w:highlight w:val="none"/>
                <w:lang w:val="en-US" w:eastAsia="zh-CN" w:bidi="ar"/>
              </w:rPr>
              <w:t>技术指标</w:t>
            </w:r>
          </w:p>
        </w:tc>
        <w:tc>
          <w:tcPr>
            <w:tcW w:w="540" w:type="pct"/>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Style w:val="133"/>
                <w:rFonts w:hint="eastAsia" w:ascii="仿宋" w:hAnsi="仿宋" w:eastAsia="仿宋" w:cs="仿宋"/>
                <w:color w:val="auto"/>
                <w:highlight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hint="eastAsia" w:ascii="仿宋" w:hAnsi="仿宋" w:eastAsia="仿宋" w:cs="仿宋"/>
                <w:b/>
                <w:bCs/>
                <w:i w:val="0"/>
                <w:iCs w:val="0"/>
                <w:color w:val="auto"/>
                <w:sz w:val="24"/>
                <w:szCs w:val="24"/>
                <w:highlight w:val="none"/>
                <w:u w:val="none"/>
              </w:rPr>
            </w:pPr>
          </w:p>
        </w:tc>
        <w:tc>
          <w:tcPr>
            <w:tcW w:w="689" w:type="pct"/>
            <w:vMerge w:val="continue"/>
            <w:tcBorders>
              <w:top w:val="single" w:color="000000" w:sz="8" w:space="0"/>
              <w:left w:val="nil"/>
              <w:bottom w:val="single" w:color="000000" w:sz="8" w:space="0"/>
              <w:right w:val="single" w:color="000000" w:sz="8" w:space="0"/>
            </w:tcBorders>
            <w:shd w:val="clear" w:color="auto" w:fill="FFFFFF"/>
            <w:noWrap/>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303"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433"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725"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540"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板材</w:t>
            </w: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闪光膜</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725"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（含人工及运输，异形图案按长款高最大距离计算）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户外KT板（单面）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闪光膜KT板（单面）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户外KT板（双面）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闪光膜KT板（双面）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KT板（冷）写真 (单面)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33</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KT板冷板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KT板（冷）写真 (双面)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KT板冷板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写真+PVC板 (单面)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 xml:space="preserve"> 3MMPVC板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写真+PVC板 (双面)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 xml:space="preserve"> 3MMPVC板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闪光膜+PVC板 (单面)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 xml:space="preserve"> 3MMPVC板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闪光膜+PVC板 (双面)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 xml:space="preserve"> 3MMPVC板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写真+PVC板 (单面)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 xml:space="preserve"> 5MMPVC板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写真+PVC板 (双面)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 xml:space="preserve"> 5MMPVC板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闪光膜+PVC板 (单面)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 xml:space="preserve"> 5MMPVC板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闪光膜+PVC板 (双面)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 xml:space="preserve"> 5MMPVC板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写真+PVC板 (单面)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10MMPVC板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写真+PVC板 (双面)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10MMPVC板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闪光膜+PVC板 (单面)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10MMPVC板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闪光膜+PVC板 (双面)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10MMPVC板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写真+PVC板 (单面)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15MMPVC板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写真+PVC板 (双面)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15MMPVC板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闪光膜+PVC板 (单面)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15MMPVC板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闪光膜+PVC板 (双面)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15MMPVC板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闪光膜+PVC板 (单面)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20MMPVC板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闪光膜+PVC板 (双面)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20MMPVC板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uv印刷+PVC</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10MMPVC板 uv印刷</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uv印刷+PVC</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20MMPVC板 uv印刷</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亚克力</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3mm亚克力 uv印刷</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亚克力</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5mm亚克力 uv印刷</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进口亚克力烤漆</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2cm亚克力 烤漆</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木制板墙（规整四边形造型）</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165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含定制设计 包画面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木制板墙（异形）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240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含定制设计 包画面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木工板</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66</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木工板 包画面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铝板</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户外常规3mm</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vMerge w:val="restart"/>
            <w:tcBorders>
              <w:top w:val="nil"/>
              <w:left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不锈钢板</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304常规1mm</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vMerge w:val="continue"/>
            <w:tcBorders>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304常规1.2mm</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铝塑板</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c>
          <w:tcPr>
            <w:tcW w:w="1725"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展架、临时指示牌</w:t>
            </w: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丽屏</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木工板定制 包画面</w:t>
            </w: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（含运费、人工费、撤场费）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80*180 包画面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80*180 包画面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仿真草皮</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常规尺寸，20cm11针</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木画架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0.6m*0.8m</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木画架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0.6m*0.8m</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易拉宝</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1000*2000，画面覆哑膜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易拉宝</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80cmX200cm,加厚铝合金易拉宝及写真画面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X展架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60cm*160cm 画面覆哑膜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80cm*180cm 画面覆哑膜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门型展架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80cmX180cm，画面PP纸写真亚膜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三角支架租赁</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5"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木质指示牌</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实木定制尺寸</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宣传指示牌</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1.5*0.8M，常规尺寸，非木材质</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A4立牌</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KT板支架</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A4立牌</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5mmPVC板支架</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A3立牌</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KT板支架</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A3立牌</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5mmPVC板支架</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人员去向牌及标识标牌等户外广告物料</w:t>
            </w: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人员去向牌、科室牌（亚克力）</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亚克力烤漆铣槽，加立体雕刻字，文字丝印</w:t>
            </w: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（含运输、人工搭建安装）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人员去向牌、科室牌（金属）</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3mm不锈钢金属镀钛工艺，内容丝印，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精神堡垒</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立地式，四面单独发光，厚度1.5mm不锈钢板激光切割焊接成型表面汽车烤漆面漆，内置日上LED防水灯源，浇筑预埋件，混泥土浇筑</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户外发光灯箱</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立地式，单面发光，厚度1.5mm不锈钢板激光切割焊接成型，环氧底漆，表面汽车烤漆面漆，内衬5mm乳白亚克力，装内置日上LED防水灯源，浇筑预埋件，混泥土浇筑</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导向标识</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立地式，双面发光，厚度1.5mm不锈钢板激光切割焊接成型，表面汽车烤漆面漆，内置日上LED防水灯源，浇筑预埋件，混泥土浇筑</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立地式，双面发光，多个指引方向，厚度1.5mm不锈钢板激光切割焊接成型，表面汽车烤漆面漆，内置日上LED防水灯源，浇筑预埋件，混泥土浇筑</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指示牌</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立地式，厚度1.5mm不锈钢板激光切割焊接成型，不锈钢圆管支架，环氧底漆，表面汽车烤漆面漆，文字图案户外油墨丝印，底座为铁板膨胀固定安装</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导视牌（立地弯折式）</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立地式，厚度1.2mm厚不锈钢激光切割成型，精工打磨，环氧底漆，表面汽车烤漆，图文户外油墨丝印，混泥土浇筑基础，底座为铁板膨胀固定安装</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告示牌</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立地式，双面内容，厚度1.5mm厚不锈钢激光切割成型，精工打磨，环氧底漆，表面汽车烤漆，图文户外油墨丝印，混泥土浇筑基础，底座为铁板膨胀固定安装</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ABS标牌</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厚度2mm ABS板表面UV数码打印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金属标牌</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贴附式，厚度3mm亚克力激光切割成型，环氧底漆，表面汽车烤漆面漆，图文户外油墨丝印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贴附式，厚度5mm亚克力激光切割成型，环氧底漆，表面汽车烤漆面漆，图文户外油墨丝印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贴附式，厚度1.5mm不锈钢激光切割成型，围边厚度20mm,精工打磨，环氧底漆，表面汽车烤漆，图文户外油墨丝印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贴附式，厚度1.5mm不锈钢激光雕刻+烤漆+户外油墨丝印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贴附式，厚度2mm铝板激光切割成型，围边厚度10mm，精工打磨，环氧底漆，表面汽车烤漆，文字图案户外油墨丝印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贴附式，厚度2mm铝板激光雕刻+烤漆+户外油墨丝印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摆放式，三角形，厚度1.5mm不锈钢激光切割焊接成型，精工打磨，环氧底漆，表面汽车烤漆，文字图案户外油墨丝印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Style w:val="133"/>
                <w:rFonts w:hint="eastAsia" w:ascii="仿宋" w:hAnsi="仿宋" w:eastAsia="仿宋" w:cs="仿宋"/>
                <w:color w:val="auto"/>
                <w:highlight w:val="none"/>
                <w:lang w:val="en-US" w:eastAsia="zh-CN" w:bidi="ar"/>
              </w:rPr>
              <w:t>党建文化相关</w:t>
            </w: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党建宣传、企业文化上墙</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进口2cm厚多层亚克力烤漆激光高精度雕刻，2cm厚高密度PVC多层激光高精度雕刻；</w:t>
            </w: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(含运输、安装费)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户外党建宣传栏</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1.5mm不锈钢雕刻折弯造型烤车漆，画面窗进口液压杆开启，高强度防爆钢化玻璃（包含方案设计及深化、制作、运输、安装、基础、模板、预埋件、挖填运方等）</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不锈钢材质，单双面移动宣传栏，1.2*2.4m（带画面）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不锈钢材质，单双面移动宣传栏，1.2*2m（带画面）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铝合金材质，单双面移动宣传栏，1.2*2.4m（带画面）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铝合金材质，单双面移动宣传栏，1.2*2m（带画面）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喷绘布</w:t>
            </w: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单独喷绘</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550喷绘布，黑胶、白底、灰胶</w:t>
            </w: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(含运输、安装费)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桁架租赁</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桁架</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桁架采购</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桁架</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框架、管材、支撑</w:t>
            </w: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木条</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规格不小于4cmx4cm</w:t>
            </w: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（含运输、人工搭建）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镀锌方管</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80*80mm镀锌方管框架、支撑</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镀锌方管</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60*60mm镀锌方管框架、支撑</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镀锌方管</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40*40mm镀锌方管框架、支撑</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镀锌方管</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40*60mm镀锌方管框架、支撑</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镀锌方管</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30*50mm镀锌方管框架、支撑</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镀锌方管支架+金属板</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1190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40*40mm镀锌方管框架、支撑，厚度2mm铝板表面汽车烤漆，文字图案反光</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桁架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w:t>
            </w:r>
          </w:p>
        </w:tc>
        <w:tc>
          <w:tcPr>
            <w:tcW w:w="1725" w:type="pc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直径50铝合金桁架100米起</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w:t>
            </w:r>
          </w:p>
        </w:tc>
        <w:tc>
          <w:tcPr>
            <w:tcW w:w="1725" w:type="pc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直径50铝合金桁架500米起</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725" w:type="pc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直径20镀锌方管桁架100米起</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1725" w:type="pc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直径20镀锌方管桁架200米起</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725" w:type="pc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直径20镀锌方管桁架300米起</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租赁时间超过5天按天叠加计算</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彩钢条（扣条）</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c>
          <w:tcPr>
            <w:tcW w:w="1725"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94</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印刷及贴纸</w:t>
            </w: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普通喷绘</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桁架加普通喷绘</w:t>
            </w: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（含运输，人工安装，异性图案按长款高最大距离计算）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写真背胶PP纸</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写真背胶PP纸</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刀刮布UV</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刀刮布UV</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刀刮布</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高精电脑写真，480g</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星空幕</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黑布上带小灯</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高精黑白布</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725"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网格布</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高精电脑写真</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无纺布</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28</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高精电脑写真</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油画布</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38</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高精电脑写真</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UV油画布</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132</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进口UV高清</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墙纸</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户外高清</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UV软膜</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UV软膜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绒布背景布</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1.6米门幅，红色/黑色</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绒布背景布</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2米门幅，红色/黑色</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欧根纱纱幔</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1.5米门幅</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数码印花布幔</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1.6米门幅</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室内背胶写真</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室内背胶写真</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反光背胶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反光背胶</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户内写真</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高精电脑写真 120克哑膜背胶</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户内双裱写真</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高精电脑写真 120克哑膜背胶</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户外写真</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高精电脑写真 120克哑膜背胶</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户外车贴写真</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白胶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户外车贴写真</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黑胶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户外单透写真</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高精电脑写真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转移背胶写真</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高精电脑写真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可移黑胶车贴</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55</w:t>
            </w:r>
          </w:p>
        </w:tc>
        <w:tc>
          <w:tcPr>
            <w:tcW w:w="1725"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不干胶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220</w:t>
            </w:r>
          </w:p>
        </w:tc>
        <w:tc>
          <w:tcPr>
            <w:tcW w:w="1725"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超透</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进口UV高清</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灰背贴画</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UV数码打印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单页</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尺寸：145*210mm  157g铜版纸+印刷  500张以上</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0.6</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尺寸：145*210mm  157g铜版纸+印刷  1000张以上</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尺寸：145*210mm  157g铜版纸+印刷  2000张以上</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提示卡/站位表</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725"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节目单（A4 ）</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活动现场节目单位，含印刷</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证书（12开）</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本</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小35</w:t>
            </w:r>
          </w:p>
        </w:tc>
        <w:tc>
          <w:tcPr>
            <w:tcW w:w="172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小35、中45、大55，含打印好</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本</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中45</w:t>
            </w:r>
          </w:p>
        </w:tc>
        <w:tc>
          <w:tcPr>
            <w:tcW w:w="172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本</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大55</w:t>
            </w:r>
          </w:p>
        </w:tc>
        <w:tc>
          <w:tcPr>
            <w:tcW w:w="172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UV软膜</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UV软膜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桌签</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尺寸：130*185mm；200g进口白卡纸，三折，粘口贴双面胶；双面数码打印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椅背贴</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可移车贴0.2*0.1m</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宣传单页、流程单</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A4大小，含设计</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邀请函</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含设计、特种纸</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136</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旗帜</w:t>
            </w: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彩旗</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杆</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纳米布印字（60*90cm）+竹竿</w:t>
            </w: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（含运输、人工安装）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杆</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纳米布印字（60*120cm）+竹竿</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杆</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纳米布印字（80*120cm）+竹竿</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杆</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纳米布印字（90*140cm）+竹竿</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杆</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纳米布印字（100*150cm）+竹竿</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刀旗</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面</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80CM左右户外竹竿彩旗</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国旗</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面</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4号国旗</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面</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5号国旗</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4号国旗+PVC旗杆+底座</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5号国旗+PVC旗杆+底座</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注水道旗（基础租赁，画面定制）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面</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含设计、定制，单喷：5米</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面</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含设计、定制，单喷：6米</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面</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含设计、定制，双喷：5米</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面</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含设计、定制，双喷：6米</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灯杆道旗</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50*120，单侧灯杆架+单侧画面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60*120，单侧灯杆架+单侧画面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60*160，单侧灯杆架+单侧画面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50*120，双侧灯杆架+双侧画面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60*120，双侧灯杆架+双侧画面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60*160，双侧灯杆架+双侧画面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丝印锦旗</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面</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定制</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串旗</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定制图案</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158</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灯笼</w:t>
            </w: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氛围布置灯笼</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定制普通横骨灯笼</w:t>
            </w: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（含运输、人工安装(此项根据设计稿难易程度，在最高限价下可二次议价。)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羊皮灯笼定制图案，直径20cm，高度30cm，LED光源</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羊皮灯笼定制图案，直径25cm，高度40cm，LED光源</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羊皮灯笼定制图案，直径30cm，高度50cm，LED光源</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羊皮灯笼定制图案，直径35cm，高度60cm，LED光源</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红色圆形灯笼</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433"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每组6个直径60cm</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433"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高度50cm</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433"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LED防水灯</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433"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2.5*2.5cm镀锌方管支架上下固定</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红色圆形大灯笼，直径1.2米</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花灯（龙鳞灯笼）</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定制发光龙鳞灯笼</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常规造型花灯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骨架由镀锌管和工艺铁丝手工焊接而成，发光光源是LED灯，表面是绸缎布分色裱糊</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常规造型花灯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骨架由镀锌管和工艺铁丝手工焊接而成，发光光源是LED灯，表面是绸缎布分色裱糊</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常规造型花灯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骨架由镀锌管和工艺铁丝手工焊接而成，发光光源是LED灯，表面是绸缎布分色裱糊</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卡通龙花灯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14000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骨架由镀锌管和工艺铁丝手工焊接而成，发光光源是LED灯，表面是绸缎布分色裱糊</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卡通龙花灯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骨架由镀锌管和工艺铁丝手工焊接而成，发光光源是LED灯，表面是绸缎布分色裱糊</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花灯底座</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发光花灯底座</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新春花灯组</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带春节元素，如中国节、鼓等，有地方特色文化，含2条2米以上卡通定制龙。骨架由镀锌管和工艺铁丝手工焊接而成，发光光源是LED灯，表面是绸缎布分色裱糊</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177</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舞台、地台搭建</w:t>
            </w: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地台</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金属烤漆</w:t>
            </w: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（含运输、人工搭建）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防水地台板</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防水多层板</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黑色防滑地胶</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地毯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灰色、黑色、蓝等</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舞台（普通）</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含加厚地毯</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舞台（雷亚）</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含加厚地毯</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舞台（承重）</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含加厚地毯,led屏专用</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舞台（定制）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含加厚地毯，异型加20元一平方</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地毯（加绒）</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加厚加绒</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雷亚架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吨</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需备注尺寸</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台队</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含地毯</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定制台阶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含地毯</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定制异形台阶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含地毯</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地台面材</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强化复合木板</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斜坡</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定制</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193</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灯光</w:t>
            </w: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面光灯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led光源250w成像灯</w:t>
            </w: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（含运输、人工安装）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光束灯和染色灯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大歌380轰天炮。三合一电脑摇头灯</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led帕灯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10W全彩/24颗</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led 摇头灯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40w／19颗</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追光灯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大歌 300W</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图案电脑灯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三合一电脑摇头图案灯</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射灯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盏</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常规尺寸</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筒灯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盏</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常规尺寸</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洗墙灯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盏</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LED全彩灯珠</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灯光架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 xml:space="preserve"> 400*400－520*760）</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灯光架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 600*1000）</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四头灯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500wLED光源</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ACME电脑大切割灯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1000w电脑切割灯</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成像灯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3天为一工作周期</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氛围灯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LED5CM大圆球串彩</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氛围灯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LED采灯防水灯串闪灯串</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照明灯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20w灯泡</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户外太阳能灯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1500w</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211</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音响及配套</w:t>
            </w: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音响线材，专业舞台阻燃电缆</w:t>
            </w:r>
          </w:p>
        </w:tc>
        <w:tc>
          <w:tcPr>
            <w:tcW w:w="303" w:type="pct"/>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 xml:space="preserve">  米</w:t>
            </w:r>
          </w:p>
        </w:tc>
        <w:tc>
          <w:tcPr>
            <w:tcW w:w="433" w:type="pct"/>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w:t>
            </w:r>
          </w:p>
        </w:tc>
        <w:tc>
          <w:tcPr>
            <w:tcW w:w="1725" w:type="pc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配套线材，不单独收费</w:t>
            </w: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（含运输、人工安装及人员调试费）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 xml:space="preserve"> 线阵音箱4+2</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租赁专业品牌</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 xml:space="preserve"> 线阵音箱8+2+2</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租赁专业品牌，含4支画筒</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 xml:space="preserve"> 线阵音箱8+4+4</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租赁专业品牌，含8支画筒</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返听音箱</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租赁M15</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专业监听音箱</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租赁专业品牌</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便携音箱</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租赁专业品牌</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双十五音响</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套（2个）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租赁800W专业音箱</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数字调音台</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租赁数字化专业级调音台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双头麦</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租赁有线电容式</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无线话筒</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支</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租赁超过4支收费</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鹅颈话筒/头戴话筒</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支</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租赁有线电容式讲台话筒</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电容话筒</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支</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租赁电容式小振膜话筒</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耳返</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租赁专业级入耳式监听耳机</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对讲机</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采购</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对讲机</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品牌笔记本电脑</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天</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无线耳麦</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耳麦（小蜜蜂）</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支</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租赁心形指向耳挂话筒</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话筒架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租赁K&amp;g</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系统线材</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主电源线、信号线材等</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胸麦</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支</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租赁全指向领夹</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233</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Style w:val="133"/>
                <w:rFonts w:hint="eastAsia" w:ascii="仿宋" w:hAnsi="仿宋" w:eastAsia="仿宋" w:cs="仿宋"/>
                <w:color w:val="auto"/>
                <w:highlight w:val="none"/>
                <w:lang w:val="en-US" w:eastAsia="zh-CN" w:bidi="ar"/>
              </w:rPr>
              <w:t>租赁机械、物料</w:t>
            </w: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干冰机（1天（含一次往返运输、安装））</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3000瓦/台</w:t>
            </w: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（含运输、人工安装及人员调试费）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雪花机</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1500瓦/台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森林雾机</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盏</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舞台特效</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气柱</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1500瓦/根</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泡泡机</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舞台特效</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彩虹机 1米</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舞台特效</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彩虹机 3米</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舞台特效</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慢烟机</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舞台特效</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直喷烟机</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舞台特效</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效果慢雾机</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舞台特效</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礼炮</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门</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仿古皇家礼炮租赁</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门</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5"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支</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手持礼炮，喷射高度大于2米</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电子彩烟</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直径0.2m，进口舞美特效（七彩）</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发言台</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座</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实木材质，含画面制作（租赁）</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座</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透明亚克力材质，含画面制作（租赁）</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移动厕所</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110cm*110cm*220cm(租赁)</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移动厕所</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双人位（1天）</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 xml:space="preserve">雨篷  </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顶</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3x3米 帐篷</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人字帐篷</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顶</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165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3*3米人字帐篷</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户外大型活动雨棚</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含搭建好</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欧式篷房</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含搭建好</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贵宾椅</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不含定制椅套</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折叠椅</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尺寸：450*440*800mm（白色、黑色）</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沙滩椅</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尺寸：400*380*780mm（白色）</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单人白色沙发</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一般沙发</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茶几（单人小茶几）</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小茶几</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吧桌</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尺寸：D600*1100mm（含桌布）</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吧椅</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座高可调/宽38/深38</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木圆桌</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高72*直径120</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玻璃圆桌</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直径80*高72</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面包凳</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40*40*高42</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礼宾柱（贵宾栏）</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黑色/金红/金蓝</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电子签约台</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8台以上按8台计</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电子签约设备（租赁）</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ipad，签约笔</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电子签约系统设计</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现场电子签约</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定制启动道具</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开花、异形等客户定制需求启动道具</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干冰启动道具</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4米，含人员道具及侧板</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干冰启动道具</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6米，含人员道具及侧板</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干冰启动道具</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8米，含人员道具及侧板</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常规启动道具</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8人以内启动</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鎏金沙</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w:t>
            </w:r>
          </w:p>
        </w:tc>
        <w:tc>
          <w:tcPr>
            <w:tcW w:w="1725"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画轴</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650</w:t>
            </w:r>
          </w:p>
        </w:tc>
        <w:tc>
          <w:tcPr>
            <w:tcW w:w="1725"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冰屏启动台</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w:t>
            </w:r>
          </w:p>
        </w:tc>
        <w:tc>
          <w:tcPr>
            <w:tcW w:w="1725"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全息启动球</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2000</w:t>
            </w:r>
          </w:p>
        </w:tc>
        <w:tc>
          <w:tcPr>
            <w:tcW w:w="1725"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抽签桶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725"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抢答器10个</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配笔记本2台，含答题系统设置服务</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抢答器8个</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配笔记本2台，含答题系统设置服务</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抢答器6个</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配笔记本2台，含答题系统设置服务</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评委打分投屏</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按9人计，配笔记本电脑2台，9人以上3500</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开业铜锣</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题词屏</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50-60液晶屏</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投票器</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无线租？</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长条桌（1.2m）</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1.2*0.6m 白裙白布</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长条桌（1.8m）</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1.8*0.6m 白裙白布</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集市木质摊位</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帐篷租赁</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3*3租赁</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一米线（租赁）</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2-3米</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演讲台（升降含包边）</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1.3-1.5m间</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292</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Style w:val="133"/>
                <w:rFonts w:hint="eastAsia" w:ascii="仿宋" w:hAnsi="仿宋" w:eastAsia="仿宋" w:cs="仿宋"/>
                <w:color w:val="auto"/>
                <w:highlight w:val="none"/>
                <w:lang w:val="en-US" w:eastAsia="zh-CN" w:bidi="ar"/>
              </w:rPr>
              <w:t>播放屏幕租赁</w:t>
            </w: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LED显示屏播放车</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场</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福田奥铃单排三座，p3屏，7小时/天，声音视屏不间断</w:t>
            </w: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（含运输、人工安装及人员调试费）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场</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福田奥铃单排三座，p4屏，7小时/天，声音视屏不间断</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LED屏</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P3</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地屏</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P3</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冰屏</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P3</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三角支架幕</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投影幕布</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大屏服务器</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多媒体服务器不含矩阵</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电视机</w:t>
            </w:r>
          </w:p>
        </w:tc>
        <w:tc>
          <w:tcPr>
            <w:tcW w:w="303"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800元</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65寸以下（含）</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1000元</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65寸以上</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301</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Style w:val="133"/>
                <w:rFonts w:hint="eastAsia" w:ascii="仿宋" w:hAnsi="仿宋" w:eastAsia="仿宋" w:cs="仿宋"/>
                <w:color w:val="auto"/>
                <w:highlight w:val="none"/>
                <w:lang w:val="en-US" w:eastAsia="zh-CN" w:bidi="ar"/>
              </w:rPr>
              <w:t>花艺、绿植</w:t>
            </w: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绿植盆栽</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盆</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10-50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50cm，视品种而定（购买）</w:t>
            </w:r>
          </w:p>
        </w:tc>
        <w:tc>
          <w:tcPr>
            <w:tcW w:w="540" w:type="pct"/>
            <w:vMerge w:val="restar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花艺造景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盆</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路引花、花球、挂花（购买）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长1米，花排（含底座）（购买）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长0.6米，底座+绿植（购买）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长1.2米，底座+绿植（购买）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花艺五件套+屏风套件（购买）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盆</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路引花（租赁）</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长1米，花排（含底座）（租赁）</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长0.6米，底座+绿植（租赁）</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仿真花（租赁）</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朵</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0.5-8</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视品种而定，含整体造型制作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鲜花</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朵</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0.5-8</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视品种而定，含整体造型制作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胸佩小红花</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鲜花</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绣球</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20cm大红绸缎扎花，配2米飘带</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30cm大红绸缎扎花，配4米飘带</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40cm大红绸缎扎花，配5米飘带</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50cm大红绸缎扎花，配5米飘带</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60cm大红绸缎扎花，配5米飘带</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剪彩绸带</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红色绸带+球花  (6人)</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红色绸带+球花  (8人)</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红色绸带+球花  (10人)</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321</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Style w:val="133"/>
                <w:rFonts w:hint="eastAsia" w:ascii="仿宋" w:hAnsi="仿宋" w:eastAsia="仿宋" w:cs="仿宋"/>
                <w:color w:val="auto"/>
                <w:highlight w:val="none"/>
                <w:lang w:val="en-US" w:eastAsia="zh-CN" w:bidi="ar"/>
              </w:rPr>
              <w:t>人员、设计</w:t>
            </w: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保安（/人）</w:t>
            </w:r>
          </w:p>
        </w:tc>
        <w:tc>
          <w:tcPr>
            <w:tcW w:w="303"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小时</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工作日50元/小时</w:t>
            </w:r>
          </w:p>
        </w:tc>
        <w:tc>
          <w:tcPr>
            <w:tcW w:w="172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2小时起，时长超过8小时需适当优惠</w:t>
            </w:r>
          </w:p>
        </w:tc>
        <w:tc>
          <w:tcPr>
            <w:tcW w:w="540" w:type="pct"/>
            <w:vMerge w:val="restar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非工作日60元/小时</w:t>
            </w:r>
          </w:p>
        </w:tc>
        <w:tc>
          <w:tcPr>
            <w:tcW w:w="172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礼仪</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含交通与服装</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模特礼仪</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含交通与服装</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平面设计</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版</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单场活动主K及延展设计，日常物料不支付设计费</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3D设计</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版</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如含制作，设计不单独计费。</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灯光师</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人</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w:t>
            </w:r>
          </w:p>
        </w:tc>
        <w:tc>
          <w:tcPr>
            <w:tcW w:w="1725"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调音师</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人</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w:t>
            </w:r>
          </w:p>
        </w:tc>
        <w:tc>
          <w:tcPr>
            <w:tcW w:w="1725"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启动视频</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30秒启动视频制作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电子邀请函基础版</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H5页面，添加名字1个版本加5元</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331</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Style w:val="133"/>
                <w:rFonts w:hint="eastAsia" w:ascii="仿宋" w:hAnsi="仿宋" w:eastAsia="仿宋" w:cs="仿宋"/>
                <w:color w:val="auto"/>
                <w:highlight w:val="none"/>
                <w:lang w:val="en-US" w:eastAsia="zh-CN" w:bidi="ar"/>
              </w:rPr>
              <w:t>接电、接设备等材料</w:t>
            </w: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光纤线缆</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次</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电信铺设线缆，直播用，含铺设</w:t>
            </w: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（含运输、人工安装及人员调试费）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线槽减速带</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725"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鱼线</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卷</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725"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泡沫胶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卷</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725"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地毯胶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卷</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1725"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集市接电线</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2.5平方</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插线板</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公牛</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电箱</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w:t>
            </w:r>
          </w:p>
        </w:tc>
        <w:tc>
          <w:tcPr>
            <w:tcW w:w="1725"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照明开关接口</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普通e27灯头吊线灯座1.8米带开关</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2*1.5纯铜电线</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护套线</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2*2.5纯铜电线</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护套线</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342</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Style w:val="133"/>
                <w:rFonts w:hint="eastAsia" w:ascii="仿宋" w:hAnsi="仿宋" w:eastAsia="仿宋" w:cs="仿宋"/>
                <w:color w:val="auto"/>
                <w:highlight w:val="none"/>
                <w:lang w:val="en-US" w:eastAsia="zh-CN" w:bidi="ar"/>
              </w:rPr>
              <w:t>造型字</w:t>
            </w: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PVC造型雕刻（一米以内）</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厘米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5mm</w:t>
            </w: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（含运输、人工安装）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厘米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10mm</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厘米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20mm</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15+3mm水晶字（一米以内）</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厘米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3.5每米</w:t>
            </w:r>
          </w:p>
        </w:tc>
        <w:tc>
          <w:tcPr>
            <w:tcW w:w="1725"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12+3mm水晶字（一米以内）</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厘米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3每米</w:t>
            </w:r>
          </w:p>
        </w:tc>
        <w:tc>
          <w:tcPr>
            <w:tcW w:w="1725"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10+3mm水晶字（一米以内）</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厘米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2.5每米</w:t>
            </w:r>
          </w:p>
        </w:tc>
        <w:tc>
          <w:tcPr>
            <w:tcW w:w="1725"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8+3mm水晶字（一米以内）</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厘米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1.8每米</w:t>
            </w:r>
          </w:p>
        </w:tc>
        <w:tc>
          <w:tcPr>
            <w:tcW w:w="1725"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5+3mm水晶字（一米以内）</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厘米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1.5每米</w:t>
            </w:r>
          </w:p>
        </w:tc>
        <w:tc>
          <w:tcPr>
            <w:tcW w:w="1725"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铁皮字（按一米算）</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常规厚度5公分厚</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铁皮字（按一米算）</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弯边厚度10公分以上</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亚克力迷你发光字</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m</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厚度30mm,内置日上LED防水光源，环氧底漆，表面汽车烤漆</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不锈钢背发光立体字</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m</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厚度1.5mm，不锈钢板激光切割造型，背衬15mm厚亚克力，内置LED防水光源</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不锈钢正发光立体字</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m</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厚度1.5mm，不锈钢板激光切割造型，背衬5mm厚亚克力，内置LED防水光源</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发光字基础支架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40*40mm镀锌方管切割焊接支架，防锈处理，与发光字和墙体连接固定</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立体雕刻字1m长*0.6m高</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含底座、设计安装固定</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立体发光雕刻字1m长*0.6m高</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含底座、设计安装固定</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358</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Style w:val="133"/>
                <w:rFonts w:hint="eastAsia" w:ascii="仿宋" w:hAnsi="仿宋" w:eastAsia="仿宋" w:cs="仿宋"/>
                <w:color w:val="auto"/>
                <w:highlight w:val="none"/>
                <w:lang w:val="en-US" w:eastAsia="zh-CN" w:bidi="ar"/>
              </w:rPr>
              <w:t>其他物料采购</w:t>
            </w: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雪糕筒—常规款（金属定制）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70cm（采购）</w:t>
            </w: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（含人工、运输）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雪糕筒—常规款（橡胶款）</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70cm（采购）</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麦标</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725"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公司竖牌（含人工及运输）</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基础：不锈钢/钛金，文字：UV/腐蚀30*200cm</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基础：不锈钢/钛金，文字：UV/腐蚀30*220cm</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基础：不锈钢/钛金，文字：UV/腐蚀35*220cm</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基础：不锈钢/钛金，文字：UV/腐蚀35*240cm</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基础：不锈钢/钛金，文字：UV/腐蚀40*220cm</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基础：不锈钢/钛金，文字：UV/腐蚀40*240cm</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铜牌</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小180</w:t>
            </w:r>
          </w:p>
        </w:tc>
        <w:tc>
          <w:tcPr>
            <w:tcW w:w="172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小=0.36*0.5M、中0.4*0.55M、大0.5*0.65M左右</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中220</w:t>
            </w:r>
          </w:p>
        </w:tc>
        <w:tc>
          <w:tcPr>
            <w:tcW w:w="172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大240</w:t>
            </w:r>
          </w:p>
        </w:tc>
        <w:tc>
          <w:tcPr>
            <w:tcW w:w="172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横幅/挂幅</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红底单字</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无线翻页系统</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普通翻页笔</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防撞条</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相之宝哑膜刻字粘贴</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红马甲</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件</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1725"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集市木质摊位</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采购</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一米线（购买）</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实心铸铁盘45mm高，底盘20，黑色单根</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一米线（购买）</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2米，铁皮增重</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一米线（购买）</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3米，铁皮增重</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工作证</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pvc含设计，定制款带挂绳</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绶带</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条</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含设计</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通行证</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含设计</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颁奖用托盘</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含圆盘，绸布</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文件或资料袋</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含设计</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雨伞</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把</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品牌天堂</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雨披</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件</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一次性，升级加厚</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空飘（含人工及运输）</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红色气球+竖幅</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定制气球+竖幅</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队列牌</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32*44*132cm框架+重底座+画面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40*60*140cm框架+重底座+画面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彩蛋</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高度：20cm      石膏金蛋</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高度：25cm      石膏金蛋</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高度：20cm      石膏彩蛋</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矿泉水.380ml农夫红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瓶</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725"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纯净水，水务公司</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瓶</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带标签</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铁马栏</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含运输，租赁时间1天，超出时间每天10元</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铁马套牛筯布普通款</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定制画面 包安装</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铁马套牛筯布高档款</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1725"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铁马套弹力布普通款</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w:t>
            </w:r>
          </w:p>
        </w:tc>
        <w:tc>
          <w:tcPr>
            <w:tcW w:w="1725"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铁马套弹力布高档款</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1725"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外表清洁（含人工及运输）</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172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标识外观玻璃、金属、亚克力等</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bl>
    <w:p>
      <w:pPr>
        <w:pStyle w:val="60"/>
        <w:numPr>
          <w:ilvl w:val="0"/>
          <w:numId w:val="0"/>
        </w:numPr>
        <w:shd w:val="clear" w:color="020000" w:fill="auto"/>
        <w:spacing w:line="360" w:lineRule="auto"/>
        <w:ind w:firstLine="0" w:firstLineChars="0"/>
        <w:outlineLvl w:val="0"/>
        <w:rPr>
          <w:rFonts w:hint="eastAsia" w:ascii="仿宋" w:hAnsi="仿宋" w:eastAsia="仿宋" w:cs="仿宋"/>
          <w:b/>
          <w:color w:val="auto"/>
          <w:sz w:val="24"/>
          <w:szCs w:val="24"/>
          <w:highlight w:val="none"/>
        </w:rPr>
      </w:pPr>
    </w:p>
    <w:p>
      <w:pPr>
        <w:pStyle w:val="12"/>
        <w:widowControl w:val="0"/>
        <w:shd w:val="clear" w:color="020000" w:fill="auto"/>
        <w:wordWrap/>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lang w:val="en-US" w:eastAsia="zh-CN"/>
        </w:rPr>
        <w:t>三</w:t>
      </w:r>
      <w:r>
        <w:rPr>
          <w:rFonts w:hint="eastAsia" w:ascii="仿宋" w:hAnsi="仿宋" w:eastAsia="仿宋" w:cs="仿宋"/>
          <w:b/>
          <w:bCs w:val="0"/>
          <w:color w:val="auto"/>
          <w:sz w:val="24"/>
          <w:szCs w:val="24"/>
          <w:highlight w:val="none"/>
        </w:rPr>
        <w:t>、服务期限</w:t>
      </w:r>
    </w:p>
    <w:p>
      <w:pPr>
        <w:widowControl w:val="0"/>
        <w:shd w:val="clear" w:color="010000" w:fill="auto"/>
        <w:wordWrap/>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合同签订之日起一年。</w:t>
      </w:r>
    </w:p>
    <w:p>
      <w:pPr>
        <w:widowControl w:val="0"/>
        <w:numPr>
          <w:ilvl w:val="0"/>
          <w:numId w:val="0"/>
        </w:numPr>
        <w:shd w:val="clear" w:color="020000" w:fill="auto"/>
        <w:wordWrap/>
        <w:adjustRightInd/>
        <w:snapToGrid/>
        <w:spacing w:line="360" w:lineRule="auto"/>
        <w:ind w:right="0" w:firstLine="241" w:firstLineChars="100"/>
        <w:jc w:val="both"/>
        <w:textAlignment w:val="auto"/>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四、物料要求</w:t>
      </w:r>
    </w:p>
    <w:p>
      <w:pPr>
        <w:widowControl w:val="0"/>
        <w:shd w:val="clear" w:color="010000" w:fill="auto"/>
        <w:wordWrap/>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主要</w:t>
      </w:r>
      <w:r>
        <w:rPr>
          <w:rFonts w:hint="eastAsia" w:ascii="仿宋" w:hAnsi="仿宋" w:eastAsia="仿宋" w:cs="仿宋"/>
          <w:color w:val="auto"/>
          <w:sz w:val="24"/>
          <w:szCs w:val="24"/>
          <w:highlight w:val="none"/>
          <w:lang w:val="en-US" w:eastAsia="zh-CN"/>
        </w:rPr>
        <w:t>材料须有产品合格证和质量保证书，符合节能、环保要求和国家规定的技术标准。</w:t>
      </w:r>
    </w:p>
    <w:p>
      <w:pPr>
        <w:widowControl w:val="0"/>
        <w:numPr>
          <w:ilvl w:val="0"/>
          <w:numId w:val="0"/>
        </w:numPr>
        <w:shd w:val="clear" w:color="020000" w:fill="auto"/>
        <w:wordWrap/>
        <w:adjustRightInd/>
        <w:snapToGrid/>
        <w:spacing w:line="360" w:lineRule="auto"/>
        <w:ind w:right="0" w:firstLine="241" w:firstLineChars="100"/>
        <w:jc w:val="both"/>
        <w:textAlignment w:val="auto"/>
        <w:outlineLvl w:val="9"/>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五、结算方式</w:t>
      </w:r>
    </w:p>
    <w:p>
      <w:pPr>
        <w:widowControl w:val="0"/>
        <w:shd w:val="clear" w:color="010000" w:fill="auto"/>
        <w:wordWrap/>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合同签订后，根据经第三方咨询单位或评估单位审核确认的实际工作量进行结算。</w:t>
      </w:r>
    </w:p>
    <w:p>
      <w:pPr>
        <w:widowControl w:val="0"/>
        <w:numPr>
          <w:ilvl w:val="0"/>
          <w:numId w:val="0"/>
        </w:numPr>
        <w:shd w:val="clear" w:color="020000" w:fill="auto"/>
        <w:wordWrap/>
        <w:adjustRightInd/>
        <w:snapToGrid/>
        <w:spacing w:line="360" w:lineRule="auto"/>
        <w:ind w:right="0" w:firstLine="241" w:firstLineChars="100"/>
        <w:jc w:val="both"/>
        <w:textAlignment w:val="auto"/>
        <w:outlineLvl w:val="9"/>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六、其他</w:t>
      </w:r>
    </w:p>
    <w:p>
      <w:pPr>
        <w:pStyle w:val="2"/>
        <w:widowControl w:val="0"/>
        <w:numPr>
          <w:ilvl w:val="0"/>
          <w:numId w:val="0"/>
        </w:numPr>
        <w:shd w:val="clear" w:color="010000" w:fill="auto"/>
        <w:spacing w:after="120" w:line="240" w:lineRule="auto"/>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 xml:space="preserve">   1）本项目预算公开，最高限价（预算价）按招标人设定综合单价的100%计取作为投标最高限价，招标人设定的综合单价限价详见招标文件“第三章 项目技术规范和服务要求”。投标人报价超过设定综合单价的100%作无效标处理</w:t>
      </w:r>
    </w:p>
    <w:p>
      <w:pPr>
        <w:pStyle w:val="2"/>
        <w:widowControl w:val="0"/>
        <w:numPr>
          <w:ilvl w:val="0"/>
          <w:numId w:val="0"/>
        </w:numPr>
        <w:shd w:val="clear" w:color="010000" w:fill="auto"/>
        <w:spacing w:after="120" w:line="240" w:lineRule="auto"/>
        <w:ind w:firstLine="241" w:firstLineChars="100"/>
        <w:jc w:val="both"/>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2）报价是中标的一个重要因素，但不是中标的唯一依据。</w:t>
      </w:r>
    </w:p>
    <w:p>
      <w:pPr>
        <w:pStyle w:val="2"/>
        <w:widowControl w:val="0"/>
        <w:numPr>
          <w:ilvl w:val="0"/>
          <w:numId w:val="0"/>
        </w:numPr>
        <w:shd w:val="clear" w:color="010000" w:fill="auto"/>
        <w:spacing w:after="120" w:line="240" w:lineRule="auto"/>
        <w:ind w:firstLine="241" w:firstLineChars="100"/>
        <w:jc w:val="both"/>
        <w:rPr>
          <w:rFonts w:hint="default" w:ascii="仿宋" w:hAnsi="仿宋" w:eastAsia="仿宋" w:cs="仿宋"/>
          <w:b/>
          <w:bCs w:val="0"/>
          <w:color w:val="auto"/>
          <w:kern w:val="2"/>
          <w:sz w:val="24"/>
          <w:szCs w:val="24"/>
          <w:highlight w:val="none"/>
          <w:lang w:val="en-US" w:eastAsia="zh-CN" w:bidi="ar-SA"/>
        </w:rPr>
        <w:sectPr>
          <w:pgSz w:w="16838" w:h="11906" w:orient="landscape"/>
          <w:pgMar w:top="1191" w:right="1531" w:bottom="1191" w:left="1531" w:header="851" w:footer="601"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b/>
          <w:bCs w:val="0"/>
          <w:color w:val="auto"/>
          <w:kern w:val="2"/>
          <w:sz w:val="24"/>
          <w:szCs w:val="24"/>
          <w:highlight w:val="none"/>
          <w:lang w:val="en-US" w:eastAsia="zh-CN" w:bidi="ar-SA"/>
        </w:rPr>
        <w:t>3) 本项目需开具增值税专用发票，税点为6%，少于6%按差额补足由乙方负担。</w:t>
      </w:r>
    </w:p>
    <w:p>
      <w:pPr>
        <w:widowControl w:val="0"/>
        <w:shd w:val="clear" w:color="010000" w:fill="auto"/>
        <w:spacing w:line="360" w:lineRule="auto"/>
        <w:ind w:firstLineChars="200"/>
        <w:jc w:val="center"/>
        <w:rPr>
          <w:rFonts w:hint="eastAsia" w:ascii="仿宋" w:hAnsi="仿宋" w:eastAsia="仿宋" w:cs="仿宋"/>
          <w:b/>
          <w:bCs/>
          <w:color w:val="auto"/>
          <w:spacing w:val="20"/>
          <w:sz w:val="44"/>
          <w:szCs w:val="44"/>
          <w:highlight w:val="none"/>
        </w:rPr>
      </w:pPr>
      <w:bookmarkStart w:id="18" w:name="_Toc23665"/>
      <w:r>
        <w:rPr>
          <w:rStyle w:val="132"/>
          <w:rFonts w:hint="eastAsia" w:ascii="仿宋" w:hAnsi="仿宋" w:eastAsia="仿宋" w:cs="仿宋"/>
          <w:b/>
          <w:bCs/>
          <w:color w:val="auto"/>
          <w:sz w:val="40"/>
          <w:szCs w:val="40"/>
          <w:highlight w:val="none"/>
        </w:rPr>
        <w:t xml:space="preserve">第四部分 </w:t>
      </w:r>
      <w:r>
        <w:rPr>
          <w:rStyle w:val="132"/>
          <w:rFonts w:hint="eastAsia" w:ascii="仿宋" w:hAnsi="仿宋" w:eastAsia="仿宋" w:cs="仿宋"/>
          <w:b/>
          <w:bCs/>
          <w:color w:val="auto"/>
          <w:sz w:val="40"/>
          <w:szCs w:val="40"/>
          <w:highlight w:val="none"/>
          <w:lang w:val="en-US" w:eastAsia="zh-CN"/>
        </w:rPr>
        <w:t xml:space="preserve"> </w:t>
      </w:r>
      <w:r>
        <w:rPr>
          <w:rStyle w:val="132"/>
          <w:rFonts w:hint="eastAsia" w:ascii="仿宋" w:hAnsi="仿宋" w:eastAsia="仿宋" w:cs="仿宋"/>
          <w:b/>
          <w:bCs/>
          <w:color w:val="auto"/>
          <w:sz w:val="40"/>
          <w:szCs w:val="40"/>
          <w:highlight w:val="none"/>
        </w:rPr>
        <w:t>合同样本</w:t>
      </w:r>
      <w:bookmarkEnd w:id="18"/>
    </w:p>
    <w:p>
      <w:pPr>
        <w:pStyle w:val="39"/>
        <w:shd w:val="clear" w:color="010000" w:fill="auto"/>
        <w:ind w:firstLine="963" w:firstLineChars="200"/>
        <w:jc w:val="center"/>
        <w:rPr>
          <w:rFonts w:hint="eastAsia" w:ascii="仿宋" w:hAnsi="仿宋" w:eastAsia="仿宋" w:cs="仿宋"/>
          <w:b/>
          <w:bCs/>
          <w:color w:val="auto"/>
          <w:spacing w:val="20"/>
          <w:sz w:val="44"/>
          <w:szCs w:val="44"/>
          <w:highlight w:val="none"/>
        </w:rPr>
      </w:pPr>
    </w:p>
    <w:p>
      <w:pPr>
        <w:shd w:val="clear" w:color="000000" w:fill="auto"/>
        <w:autoSpaceDE w:val="0"/>
        <w:autoSpaceDN w:val="0"/>
        <w:snapToGrid w:val="0"/>
        <w:spacing w:line="360" w:lineRule="auto"/>
        <w:ind w:firstLine="436" w:firstLineChars="182"/>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pPr>
        <w:pStyle w:val="14"/>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14"/>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pPr>
        <w:shd w:val="clear" w:color="000000"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p>
      <w:pPr>
        <w:pStyle w:val="69"/>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甲、乙双方根据</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项目（招标编号：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公开招标的结果，签署本合同。</w:t>
      </w:r>
    </w:p>
    <w:p>
      <w:pPr>
        <w:pStyle w:val="69"/>
        <w:shd w:val="clear" w:color="010000" w:fill="auto"/>
        <w:snapToGrid w:val="0"/>
        <w:spacing w:line="360" w:lineRule="auto"/>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一、服务内容</w:t>
      </w:r>
    </w:p>
    <w:tbl>
      <w:tblPr>
        <w:tblStyle w:val="27"/>
        <w:tblW w:w="98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7"/>
        <w:gridCol w:w="2451"/>
        <w:gridCol w:w="736"/>
        <w:gridCol w:w="1303"/>
        <w:gridCol w:w="3463"/>
        <w:gridCol w:w="1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jc w:val="center"/>
        </w:trPr>
        <w:tc>
          <w:tcPr>
            <w:tcW w:w="537" w:type="dxa"/>
            <w:tcBorders>
              <w:top w:val="single" w:color="auto" w:sz="4" w:space="0"/>
              <w:left w:val="single" w:color="auto" w:sz="4" w:space="0"/>
              <w:bottom w:val="single" w:color="auto" w:sz="4" w:space="0"/>
              <w:right w:val="single" w:color="auto" w:sz="4" w:space="0"/>
            </w:tcBorders>
            <w:vAlign w:val="center"/>
          </w:tcPr>
          <w:p>
            <w:pPr>
              <w:wordWrap/>
              <w:adjustRightInd/>
              <w:snapToGrid/>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2451" w:type="dxa"/>
            <w:tcBorders>
              <w:top w:val="single" w:color="auto" w:sz="4" w:space="0"/>
              <w:left w:val="nil"/>
              <w:bottom w:val="single" w:color="auto" w:sz="4" w:space="0"/>
              <w:right w:val="single" w:color="auto" w:sz="4" w:space="0"/>
            </w:tcBorders>
            <w:vAlign w:val="center"/>
          </w:tcPr>
          <w:p>
            <w:pPr>
              <w:wordWrap/>
              <w:adjustRightInd/>
              <w:snapToGrid/>
              <w:ind w:left="79" w:leftChars="-100" w:hanging="289" w:hangingChars="12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项目内容</w:t>
            </w:r>
          </w:p>
        </w:tc>
        <w:tc>
          <w:tcPr>
            <w:tcW w:w="736" w:type="dxa"/>
            <w:tcBorders>
              <w:top w:val="single" w:color="auto" w:sz="4" w:space="0"/>
              <w:left w:val="nil"/>
              <w:bottom w:val="single" w:color="auto" w:sz="4" w:space="0"/>
              <w:right w:val="single" w:color="auto" w:sz="4" w:space="0"/>
            </w:tcBorders>
            <w:vAlign w:val="center"/>
          </w:tcPr>
          <w:p>
            <w:pPr>
              <w:wordWrap/>
              <w:adjustRightInd/>
              <w:snapToGrid/>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1303" w:type="dxa"/>
            <w:tcBorders>
              <w:top w:val="single" w:color="auto" w:sz="4" w:space="0"/>
              <w:left w:val="nil"/>
              <w:bottom w:val="single" w:color="auto" w:sz="4" w:space="0"/>
              <w:right w:val="single" w:color="auto" w:sz="4" w:space="0"/>
            </w:tcBorders>
            <w:vAlign w:val="center"/>
          </w:tcPr>
          <w:p>
            <w:pPr>
              <w:wordWrap/>
              <w:adjustRightInd/>
              <w:snapToGrid/>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综合单价</w:t>
            </w:r>
          </w:p>
          <w:p>
            <w:pPr>
              <w:wordWrap/>
              <w:adjustRightInd/>
              <w:snapToGrid/>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（元）</w:t>
            </w:r>
          </w:p>
        </w:tc>
        <w:tc>
          <w:tcPr>
            <w:tcW w:w="3463" w:type="dxa"/>
            <w:tcBorders>
              <w:top w:val="single" w:color="auto" w:sz="4" w:space="0"/>
              <w:left w:val="nil"/>
              <w:bottom w:val="single" w:color="auto" w:sz="4" w:space="0"/>
              <w:right w:val="single" w:color="auto" w:sz="4" w:space="0"/>
            </w:tcBorders>
            <w:vAlign w:val="center"/>
          </w:tcPr>
          <w:p>
            <w:pPr>
              <w:wordWrap/>
              <w:adjustRightInd/>
              <w:snapToGrid/>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技术指标</w:t>
            </w:r>
          </w:p>
        </w:tc>
        <w:tc>
          <w:tcPr>
            <w:tcW w:w="1398" w:type="dxa"/>
            <w:tcBorders>
              <w:top w:val="single" w:color="auto" w:sz="4" w:space="0"/>
              <w:left w:val="nil"/>
              <w:bottom w:val="single" w:color="auto" w:sz="4" w:space="0"/>
              <w:right w:val="single" w:color="auto" w:sz="4" w:space="0"/>
            </w:tcBorders>
            <w:vAlign w:val="center"/>
          </w:tcPr>
          <w:p>
            <w:pPr>
              <w:wordWrap/>
              <w:adjustRightInd/>
              <w:snapToGrid/>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wordWrap/>
              <w:adjustRightInd/>
              <w:snapToGrid/>
              <w:ind w:left="0" w:leftChars="0" w:firstLine="0" w:firstLineChars="0"/>
              <w:jc w:val="both"/>
              <w:rPr>
                <w:rFonts w:hint="eastAsia" w:ascii="仿宋" w:hAnsi="仿宋" w:eastAsia="仿宋" w:cs="仿宋"/>
                <w:color w:val="auto"/>
                <w:sz w:val="24"/>
                <w:szCs w:val="24"/>
                <w:highlight w:val="none"/>
                <w:lang w:val="en-US" w:eastAsia="zh-CN"/>
              </w:rPr>
            </w:pPr>
          </w:p>
        </w:tc>
        <w:tc>
          <w:tcPr>
            <w:tcW w:w="2451" w:type="dxa"/>
            <w:tcBorders>
              <w:top w:val="single" w:color="auto" w:sz="4" w:space="0"/>
              <w:left w:val="nil"/>
              <w:bottom w:val="single" w:color="auto" w:sz="4" w:space="0"/>
              <w:right w:val="single" w:color="auto" w:sz="4" w:space="0"/>
            </w:tcBorders>
            <w:vAlign w:val="center"/>
          </w:tcPr>
          <w:p>
            <w:pPr>
              <w:widowControl/>
              <w:wordWrap/>
              <w:adjustRightInd/>
              <w:snapToGrid/>
              <w:jc w:val="left"/>
              <w:textAlignment w:val="center"/>
              <w:rPr>
                <w:rFonts w:hint="eastAsia" w:ascii="仿宋" w:hAnsi="仿宋" w:eastAsia="仿宋" w:cs="仿宋"/>
                <w:color w:val="auto"/>
                <w:sz w:val="24"/>
                <w:szCs w:val="24"/>
                <w:highlight w:val="none"/>
              </w:rPr>
            </w:pPr>
          </w:p>
        </w:tc>
        <w:tc>
          <w:tcPr>
            <w:tcW w:w="736" w:type="dxa"/>
            <w:tcBorders>
              <w:top w:val="single" w:color="auto" w:sz="4" w:space="0"/>
              <w:left w:val="nil"/>
              <w:bottom w:val="single" w:color="auto" w:sz="4" w:space="0"/>
              <w:right w:val="single" w:color="auto" w:sz="4" w:space="0"/>
            </w:tcBorders>
            <w:vAlign w:val="center"/>
          </w:tcPr>
          <w:p>
            <w:pPr>
              <w:widowControl/>
              <w:wordWrap/>
              <w:adjustRightInd/>
              <w:snapToGrid/>
              <w:jc w:val="center"/>
              <w:textAlignment w:val="center"/>
              <w:rPr>
                <w:rFonts w:hint="eastAsia" w:ascii="仿宋" w:hAnsi="仿宋" w:eastAsia="仿宋" w:cs="仿宋"/>
                <w:color w:val="auto"/>
                <w:sz w:val="24"/>
                <w:szCs w:val="24"/>
                <w:highlight w:val="none"/>
                <w:lang w:val="en-US" w:eastAsia="zh-CN"/>
              </w:rPr>
            </w:pPr>
          </w:p>
        </w:tc>
        <w:tc>
          <w:tcPr>
            <w:tcW w:w="1303" w:type="dxa"/>
            <w:tcBorders>
              <w:top w:val="single" w:color="auto" w:sz="4" w:space="0"/>
              <w:left w:val="nil"/>
              <w:bottom w:val="single" w:color="auto" w:sz="4" w:space="0"/>
              <w:right w:val="single" w:color="auto" w:sz="4" w:space="0"/>
            </w:tcBorders>
            <w:vAlign w:val="center"/>
          </w:tcPr>
          <w:p>
            <w:pPr>
              <w:wordWrap/>
              <w:adjustRightInd/>
              <w:snapToGrid/>
              <w:jc w:val="center"/>
              <w:rPr>
                <w:rFonts w:hint="eastAsia" w:ascii="仿宋" w:hAnsi="仿宋" w:eastAsia="仿宋" w:cs="仿宋"/>
                <w:color w:val="auto"/>
                <w:sz w:val="24"/>
                <w:szCs w:val="24"/>
                <w:highlight w:val="none"/>
                <w:lang w:val="en-US" w:eastAsia="zh-CN"/>
              </w:rPr>
            </w:pPr>
          </w:p>
        </w:tc>
        <w:tc>
          <w:tcPr>
            <w:tcW w:w="3463" w:type="dxa"/>
            <w:tcBorders>
              <w:top w:val="single" w:color="auto" w:sz="4" w:space="0"/>
              <w:left w:val="nil"/>
              <w:bottom w:val="single" w:color="auto" w:sz="4" w:space="0"/>
              <w:right w:val="single" w:color="auto" w:sz="4" w:space="0"/>
            </w:tcBorders>
            <w:vAlign w:val="center"/>
          </w:tcPr>
          <w:p>
            <w:pPr>
              <w:wordWrap/>
              <w:adjustRightInd/>
              <w:snapToGrid/>
              <w:jc w:val="left"/>
              <w:rPr>
                <w:rFonts w:hint="eastAsia" w:ascii="仿宋" w:hAnsi="仿宋" w:eastAsia="仿宋" w:cs="仿宋"/>
                <w:color w:val="auto"/>
                <w:sz w:val="24"/>
                <w:szCs w:val="24"/>
                <w:highlight w:val="none"/>
              </w:rPr>
            </w:pPr>
          </w:p>
        </w:tc>
        <w:tc>
          <w:tcPr>
            <w:tcW w:w="1398" w:type="dxa"/>
            <w:tcBorders>
              <w:top w:val="single" w:color="auto" w:sz="4" w:space="0"/>
              <w:left w:val="nil"/>
              <w:bottom w:val="single" w:color="auto" w:sz="4" w:space="0"/>
              <w:right w:val="single" w:color="auto" w:sz="4" w:space="0"/>
            </w:tcBorders>
            <w:vAlign w:val="center"/>
          </w:tcPr>
          <w:p>
            <w:pPr>
              <w:wordWrap/>
              <w:adjustRightInd/>
              <w:snapToGrid/>
              <w:jc w:val="left"/>
              <w:rPr>
                <w:rFonts w:hint="eastAsia" w:ascii="仿宋" w:hAnsi="仿宋" w:eastAsia="仿宋" w:cs="仿宋"/>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wordWrap/>
              <w:adjustRightInd/>
              <w:snapToGrid/>
              <w:ind w:left="0" w:leftChars="0" w:firstLine="0" w:firstLineChars="0"/>
              <w:jc w:val="both"/>
              <w:rPr>
                <w:rFonts w:hint="eastAsia" w:ascii="仿宋" w:hAnsi="仿宋" w:eastAsia="仿宋" w:cs="仿宋"/>
                <w:color w:val="auto"/>
                <w:sz w:val="24"/>
                <w:szCs w:val="24"/>
                <w:highlight w:val="none"/>
                <w:lang w:val="en-US" w:eastAsia="zh-CN"/>
              </w:rPr>
            </w:pPr>
          </w:p>
        </w:tc>
        <w:tc>
          <w:tcPr>
            <w:tcW w:w="2451" w:type="dxa"/>
            <w:tcBorders>
              <w:top w:val="single" w:color="auto" w:sz="4" w:space="0"/>
              <w:left w:val="nil"/>
              <w:bottom w:val="single" w:color="auto" w:sz="4" w:space="0"/>
              <w:right w:val="single" w:color="auto" w:sz="4" w:space="0"/>
            </w:tcBorders>
            <w:vAlign w:val="center"/>
          </w:tcPr>
          <w:p>
            <w:pPr>
              <w:widowControl/>
              <w:wordWrap/>
              <w:adjustRightInd/>
              <w:snapToGrid/>
              <w:jc w:val="left"/>
              <w:textAlignment w:val="center"/>
              <w:rPr>
                <w:rFonts w:hint="eastAsia" w:ascii="仿宋" w:hAnsi="仿宋" w:eastAsia="仿宋" w:cs="仿宋"/>
                <w:color w:val="auto"/>
                <w:sz w:val="24"/>
                <w:szCs w:val="24"/>
                <w:highlight w:val="none"/>
              </w:rPr>
            </w:pPr>
          </w:p>
        </w:tc>
        <w:tc>
          <w:tcPr>
            <w:tcW w:w="736" w:type="dxa"/>
            <w:tcBorders>
              <w:top w:val="single" w:color="auto" w:sz="4" w:space="0"/>
              <w:left w:val="nil"/>
              <w:bottom w:val="single" w:color="auto" w:sz="4" w:space="0"/>
              <w:right w:val="single" w:color="auto" w:sz="4" w:space="0"/>
            </w:tcBorders>
            <w:vAlign w:val="center"/>
          </w:tcPr>
          <w:p>
            <w:pPr>
              <w:widowControl/>
              <w:wordWrap/>
              <w:adjustRightInd/>
              <w:snapToGrid/>
              <w:jc w:val="center"/>
              <w:textAlignment w:val="center"/>
              <w:rPr>
                <w:rFonts w:hint="eastAsia" w:ascii="仿宋" w:hAnsi="仿宋" w:eastAsia="仿宋" w:cs="仿宋"/>
                <w:color w:val="auto"/>
                <w:sz w:val="24"/>
                <w:szCs w:val="24"/>
                <w:highlight w:val="none"/>
                <w:lang w:val="en-US" w:eastAsia="zh-CN"/>
              </w:rPr>
            </w:pPr>
          </w:p>
        </w:tc>
        <w:tc>
          <w:tcPr>
            <w:tcW w:w="1303" w:type="dxa"/>
            <w:tcBorders>
              <w:top w:val="single" w:color="auto" w:sz="4" w:space="0"/>
              <w:left w:val="nil"/>
              <w:bottom w:val="single" w:color="auto" w:sz="4" w:space="0"/>
              <w:right w:val="single" w:color="auto" w:sz="4" w:space="0"/>
            </w:tcBorders>
            <w:vAlign w:val="center"/>
          </w:tcPr>
          <w:p>
            <w:pPr>
              <w:wordWrap/>
              <w:adjustRightInd/>
              <w:snapToGrid/>
              <w:jc w:val="center"/>
              <w:rPr>
                <w:rFonts w:hint="eastAsia" w:ascii="仿宋" w:hAnsi="仿宋" w:eastAsia="仿宋" w:cs="仿宋"/>
                <w:color w:val="auto"/>
                <w:sz w:val="24"/>
                <w:szCs w:val="24"/>
                <w:highlight w:val="none"/>
                <w:lang w:val="en-US" w:eastAsia="zh-CN"/>
              </w:rPr>
            </w:pPr>
          </w:p>
        </w:tc>
        <w:tc>
          <w:tcPr>
            <w:tcW w:w="3463" w:type="dxa"/>
            <w:tcBorders>
              <w:top w:val="single" w:color="auto" w:sz="4" w:space="0"/>
              <w:left w:val="nil"/>
              <w:bottom w:val="single" w:color="auto" w:sz="4" w:space="0"/>
              <w:right w:val="single" w:color="auto" w:sz="4" w:space="0"/>
            </w:tcBorders>
            <w:vAlign w:val="center"/>
          </w:tcPr>
          <w:p>
            <w:pPr>
              <w:wordWrap/>
              <w:adjustRightInd/>
              <w:snapToGrid/>
              <w:jc w:val="left"/>
              <w:rPr>
                <w:rFonts w:hint="eastAsia" w:ascii="仿宋" w:hAnsi="仿宋" w:eastAsia="仿宋" w:cs="仿宋"/>
                <w:color w:val="auto"/>
                <w:sz w:val="24"/>
                <w:szCs w:val="24"/>
                <w:highlight w:val="none"/>
              </w:rPr>
            </w:pPr>
          </w:p>
        </w:tc>
        <w:tc>
          <w:tcPr>
            <w:tcW w:w="1398" w:type="dxa"/>
            <w:tcBorders>
              <w:top w:val="single" w:color="auto" w:sz="4" w:space="0"/>
              <w:left w:val="nil"/>
              <w:bottom w:val="single" w:color="auto" w:sz="4" w:space="0"/>
              <w:right w:val="single" w:color="auto" w:sz="4" w:space="0"/>
            </w:tcBorders>
            <w:vAlign w:val="center"/>
          </w:tcPr>
          <w:p>
            <w:pPr>
              <w:wordWrap/>
              <w:adjustRightInd/>
              <w:snapToGrid/>
              <w:jc w:val="left"/>
              <w:rPr>
                <w:rFonts w:hint="eastAsia" w:ascii="仿宋" w:hAnsi="仿宋" w:eastAsia="仿宋" w:cs="仿宋"/>
                <w:color w:val="auto"/>
                <w:sz w:val="24"/>
                <w:szCs w:val="24"/>
                <w:highlight w:val="none"/>
              </w:rPr>
            </w:pPr>
          </w:p>
        </w:tc>
      </w:tr>
    </w:tbl>
    <w:p>
      <w:pPr>
        <w:pStyle w:val="69"/>
        <w:shd w:val="clear" w:color="010000" w:fill="auto"/>
        <w:snapToGrid w:val="0"/>
        <w:spacing w:line="360" w:lineRule="auto"/>
        <w:ind w:firstLine="480" w:firstLineChars="200"/>
        <w:outlineLvl w:val="1"/>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先根据投标报价，按招标人设定综合单价（上表）的 **% 计取，再经发包人与承包人协商，明确各单项的折扣，最终按实结算。</w:t>
      </w:r>
    </w:p>
    <w:p>
      <w:pPr>
        <w:pStyle w:val="69"/>
        <w:shd w:val="clear" w:color="010000" w:fill="auto"/>
        <w:snapToGrid w:val="0"/>
        <w:spacing w:line="360" w:lineRule="auto"/>
        <w:ind w:firstLine="480" w:firstLineChars="200"/>
        <w:outlineLvl w:val="1"/>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rPr>
        <w:t>乙方须向甲方提供上述的</w:t>
      </w:r>
      <w:r>
        <w:rPr>
          <w:rFonts w:hint="eastAsia" w:ascii="仿宋" w:hAnsi="仿宋" w:eastAsia="仿宋" w:cs="仿宋"/>
          <w:color w:val="auto"/>
          <w:kern w:val="0"/>
          <w:sz w:val="24"/>
          <w:szCs w:val="24"/>
          <w:highlight w:val="none"/>
          <w:lang w:eastAsia="zh-CN"/>
        </w:rPr>
        <w:t>为实施项目所包含的所有</w:t>
      </w:r>
      <w:r>
        <w:rPr>
          <w:rFonts w:hint="eastAsia" w:ascii="仿宋" w:hAnsi="仿宋" w:eastAsia="仿宋" w:cs="仿宋"/>
          <w:color w:val="auto"/>
          <w:kern w:val="0"/>
          <w:sz w:val="24"/>
          <w:szCs w:val="24"/>
          <w:highlight w:val="none"/>
          <w:lang w:val="en-US" w:eastAsia="zh-CN"/>
        </w:rPr>
        <w:t>物料</w:t>
      </w:r>
      <w:r>
        <w:rPr>
          <w:rFonts w:hint="eastAsia" w:ascii="仿宋" w:hAnsi="仿宋" w:eastAsia="仿宋" w:cs="仿宋"/>
          <w:color w:val="auto"/>
          <w:kern w:val="0"/>
          <w:sz w:val="24"/>
          <w:szCs w:val="24"/>
          <w:highlight w:val="none"/>
          <w:lang w:eastAsia="zh-CN"/>
        </w:rPr>
        <w:t>费用,管理费、利润、税金，同时包括不限于其他所有费用；投标人应充分考虑实施期间市场风险和政策性调整确定风险系数</w:t>
      </w:r>
      <w:r>
        <w:rPr>
          <w:rFonts w:hint="eastAsia" w:ascii="仿宋" w:hAnsi="仿宋" w:eastAsia="仿宋" w:cs="仿宋"/>
          <w:color w:val="auto"/>
          <w:kern w:val="0"/>
          <w:sz w:val="24"/>
          <w:szCs w:val="24"/>
          <w:highlight w:val="none"/>
          <w:lang w:val="en-US" w:eastAsia="zh-CN"/>
        </w:rPr>
        <w:t>等须由投标人支付的一切费用</w:t>
      </w:r>
      <w:r>
        <w:rPr>
          <w:rFonts w:hint="eastAsia" w:ascii="仿宋" w:hAnsi="仿宋" w:eastAsia="仿宋" w:cs="仿宋"/>
          <w:color w:val="auto"/>
          <w:kern w:val="0"/>
          <w:sz w:val="24"/>
          <w:szCs w:val="24"/>
          <w:highlight w:val="none"/>
          <w:lang w:eastAsia="zh-CN"/>
        </w:rPr>
        <w:t>。</w:t>
      </w:r>
    </w:p>
    <w:p>
      <w:pPr>
        <w:pStyle w:val="69"/>
        <w:shd w:val="clear" w:color="010000" w:fill="auto"/>
        <w:snapToGrid w:val="0"/>
        <w:spacing w:line="360" w:lineRule="auto"/>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w:t>
      </w:r>
      <w:r>
        <w:rPr>
          <w:rFonts w:hint="eastAsia" w:ascii="仿宋" w:hAnsi="仿宋" w:eastAsia="仿宋" w:cs="仿宋"/>
          <w:b/>
          <w:bCs/>
          <w:color w:val="auto"/>
          <w:sz w:val="24"/>
          <w:highlight w:val="none"/>
          <w:lang w:bidi="en-US"/>
        </w:rPr>
        <w:t>服务时间要求</w:t>
      </w:r>
    </w:p>
    <w:p>
      <w:pPr>
        <w:pStyle w:val="69"/>
        <w:shd w:val="clear" w:color="010000" w:fill="auto"/>
        <w:snapToGrid w:val="0"/>
        <w:spacing w:line="360" w:lineRule="auto"/>
        <w:ind w:firstLine="480" w:firstLineChars="200"/>
        <w:outlineLvl w:val="1"/>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服务期限：自合同签订日起一年</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当</w:t>
      </w:r>
      <w:r>
        <w:rPr>
          <w:rFonts w:hint="eastAsia" w:ascii="仿宋" w:hAnsi="仿宋" w:eastAsia="仿宋" w:cs="仿宋"/>
          <w:color w:val="auto"/>
          <w:kern w:val="0"/>
          <w:sz w:val="24"/>
          <w:szCs w:val="24"/>
          <w:highlight w:val="none"/>
          <w:lang w:val="en-US" w:eastAsia="zh-CN"/>
        </w:rPr>
        <w:t>乙方服务支出</w:t>
      </w:r>
      <w:r>
        <w:rPr>
          <w:rFonts w:hint="eastAsia" w:ascii="仿宋" w:hAnsi="仿宋" w:eastAsia="仿宋" w:cs="仿宋"/>
          <w:color w:val="auto"/>
          <w:kern w:val="0"/>
          <w:sz w:val="24"/>
          <w:szCs w:val="24"/>
          <w:highlight w:val="none"/>
        </w:rPr>
        <w:t>费用达到预算价时合同提前自动终止</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本协议为框架协议，单次费用结算双方另行签定补充协议。</w:t>
      </w:r>
    </w:p>
    <w:p>
      <w:pPr>
        <w:pStyle w:val="69"/>
        <w:shd w:val="clear" w:color="010000" w:fill="auto"/>
        <w:snapToGrid w:val="0"/>
        <w:spacing w:line="360" w:lineRule="auto"/>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三、合同金额</w:t>
      </w:r>
    </w:p>
    <w:p>
      <w:pPr>
        <w:pStyle w:val="69"/>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乙方与本次中标其它</w:t>
      </w:r>
      <w:r>
        <w:rPr>
          <w:rFonts w:hint="eastAsia" w:ascii="仿宋" w:hAnsi="仿宋" w:eastAsia="仿宋" w:cs="仿宋"/>
          <w:color w:val="auto"/>
          <w:sz w:val="24"/>
          <w:szCs w:val="24"/>
          <w:highlight w:val="none"/>
          <w:lang w:val="en-US" w:eastAsia="zh-CN"/>
        </w:rPr>
        <w:t>两</w:t>
      </w:r>
      <w:r>
        <w:rPr>
          <w:rFonts w:hint="eastAsia" w:ascii="仿宋" w:hAnsi="仿宋" w:eastAsia="仿宋" w:cs="仿宋"/>
          <w:color w:val="auto"/>
          <w:sz w:val="24"/>
          <w:szCs w:val="24"/>
          <w:highlight w:val="none"/>
          <w:lang w:eastAsia="zh-CN"/>
        </w:rPr>
        <w:t>家供应商</w:t>
      </w:r>
      <w:r>
        <w:rPr>
          <w:rFonts w:hint="eastAsia" w:ascii="仿宋" w:hAnsi="仿宋" w:eastAsia="仿宋" w:cs="仿宋"/>
          <w:color w:val="auto"/>
          <w:sz w:val="24"/>
          <w:szCs w:val="24"/>
          <w:highlight w:val="none"/>
          <w:lang w:val="en-US" w:eastAsia="zh-CN"/>
        </w:rPr>
        <w:t>XXXXX本项目下</w:t>
      </w:r>
      <w:r>
        <w:rPr>
          <w:rFonts w:hint="eastAsia" w:ascii="仿宋" w:hAnsi="仿宋" w:eastAsia="仿宋" w:cs="仿宋"/>
          <w:color w:val="auto"/>
          <w:sz w:val="24"/>
          <w:szCs w:val="24"/>
          <w:highlight w:val="none"/>
        </w:rPr>
        <w:t>合同金额为</w:t>
      </w:r>
      <w:r>
        <w:rPr>
          <w:rFonts w:hint="eastAsia" w:ascii="仿宋" w:hAnsi="仿宋" w:eastAsia="仿宋" w:cs="仿宋"/>
          <w:b/>
          <w:color w:val="auto"/>
          <w:sz w:val="24"/>
          <w:szCs w:val="28"/>
          <w:highlight w:val="none"/>
          <w:lang w:val="en-US" w:eastAsia="zh-CN"/>
        </w:rPr>
        <w:t>不超过280万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合计满一年或</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家实际使用总金额达到</w:t>
      </w:r>
      <w:r>
        <w:rPr>
          <w:rFonts w:hint="eastAsia" w:ascii="仿宋" w:hAnsi="仿宋" w:eastAsia="仿宋" w:cs="仿宋"/>
          <w:color w:val="auto"/>
          <w:sz w:val="24"/>
          <w:szCs w:val="24"/>
          <w:highlight w:val="none"/>
          <w:lang w:val="en-US" w:eastAsia="zh-CN"/>
        </w:rPr>
        <w:t>280万时，本合同下内容全部作废。</w:t>
      </w:r>
    </w:p>
    <w:p>
      <w:pPr>
        <w:pStyle w:val="69"/>
        <w:shd w:val="clear" w:color="010000" w:fill="auto"/>
        <w:snapToGrid w:val="0"/>
        <w:spacing w:line="360" w:lineRule="auto"/>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四、技术资料</w:t>
      </w:r>
    </w:p>
    <w:p>
      <w:pPr>
        <w:pStyle w:val="69"/>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1、乙方应按招标文件规定的时间向甲方提供有关技术资料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并保证所提供资料真实、完整</w:t>
      </w:r>
      <w:r>
        <w:rPr>
          <w:rFonts w:hint="eastAsia" w:ascii="仿宋" w:hAnsi="仿宋" w:eastAsia="仿宋" w:cs="仿宋"/>
          <w:color w:val="auto"/>
          <w:sz w:val="24"/>
          <w:szCs w:val="24"/>
          <w:highlight w:val="none"/>
        </w:rPr>
        <w:t>。</w:t>
      </w:r>
    </w:p>
    <w:p>
      <w:pPr>
        <w:pStyle w:val="69"/>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2、没有甲方事先书面同意，乙方不得将由甲方提供的有关合同或任何合同条文、规格、计划、图纸、样品或资料提供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泄露</w:t>
      </w:r>
      <w:r>
        <w:rPr>
          <w:rFonts w:hint="eastAsia" w:ascii="仿宋" w:hAnsi="仿宋" w:eastAsia="仿宋" w:cs="仿宋"/>
          <w:color w:val="auto"/>
          <w:sz w:val="24"/>
          <w:szCs w:val="24"/>
          <w:highlight w:val="none"/>
        </w:rPr>
        <w:t>给与履行本合同无关的任何其他人。即使向履行本合同有关的人员提供，也应注意保密并限于履行合同的必需范围。</w:t>
      </w:r>
    </w:p>
    <w:p>
      <w:pPr>
        <w:pStyle w:val="69"/>
        <w:shd w:val="clear" w:color="010000" w:fill="auto"/>
        <w:snapToGrid w:val="0"/>
        <w:spacing w:line="360" w:lineRule="auto"/>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五、知识产权</w:t>
      </w:r>
    </w:p>
    <w:p>
      <w:pPr>
        <w:pStyle w:val="69"/>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乙方应保证提供服务过程中不会侵犯任何第三方的知识产权和其他权益，否则一切责任由乙方自行承担。</w:t>
      </w:r>
    </w:p>
    <w:p>
      <w:pPr>
        <w:pStyle w:val="69"/>
        <w:shd w:val="clear" w:color="010000" w:fill="auto"/>
        <w:snapToGrid w:val="0"/>
        <w:spacing w:line="360" w:lineRule="auto"/>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六、转包或分包</w:t>
      </w:r>
    </w:p>
    <w:p>
      <w:pPr>
        <w:pStyle w:val="69"/>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1、本合同范围的服务，应由乙方直接供应，不得转让他人供应；</w:t>
      </w:r>
    </w:p>
    <w:p>
      <w:pPr>
        <w:pStyle w:val="69"/>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2、除非得到甲方的书面同意，乙方不得将本合同范围的服务全部或部分分包给他人供应；</w:t>
      </w:r>
    </w:p>
    <w:p>
      <w:pPr>
        <w:pStyle w:val="69"/>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3、如有转让和未经甲方同意的分包行为，甲方有权解除合同，由此造成的一切损失（包括不限于实际损失、间接损失、为之维权所支付的一切费用等）由乙方承担。</w:t>
      </w:r>
    </w:p>
    <w:p>
      <w:pPr>
        <w:pStyle w:val="69"/>
        <w:shd w:val="clear" w:color="010000" w:fill="auto"/>
        <w:snapToGrid w:val="0"/>
        <w:spacing w:line="360" w:lineRule="auto"/>
        <w:ind w:firstLine="482" w:firstLineChars="200"/>
        <w:outlineLvl w:val="1"/>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、合同履行时间、履行方式及履行地点</w:t>
      </w:r>
    </w:p>
    <w:p>
      <w:pPr>
        <w:pStyle w:val="69"/>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1、履行时间：</w:t>
      </w:r>
      <w:r>
        <w:rPr>
          <w:rFonts w:hint="eastAsia" w:ascii="仿宋" w:hAnsi="仿宋" w:eastAsia="仿宋" w:cs="仿宋"/>
          <w:color w:val="auto"/>
          <w:sz w:val="24"/>
          <w:szCs w:val="24"/>
          <w:highlight w:val="none"/>
          <w:lang w:val="en-US" w:eastAsia="zh-CN"/>
        </w:rPr>
        <w:t xml:space="preserve">  </w:t>
      </w:r>
    </w:p>
    <w:p>
      <w:pPr>
        <w:pStyle w:val="69"/>
        <w:shd w:val="clear" w:color="010000"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highlight w:val="none"/>
        </w:rPr>
        <w:t>履行地点：按甲方指定地点。</w:t>
      </w:r>
    </w:p>
    <w:p>
      <w:pPr>
        <w:pStyle w:val="69"/>
        <w:shd w:val="clear" w:color="010000" w:fill="auto"/>
        <w:snapToGrid w:val="0"/>
        <w:spacing w:line="360" w:lineRule="auto"/>
        <w:ind w:firstLine="482" w:firstLineChars="200"/>
        <w:outlineLvl w:val="1"/>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、款项支付</w:t>
      </w:r>
    </w:p>
    <w:p>
      <w:pPr>
        <w:shd w:val="clear" w:color="000000" w:fill="auto"/>
        <w:autoSpaceDE w:val="0"/>
        <w:autoSpaceDN w:val="0"/>
        <w:snapToGrid w:val="0"/>
        <w:spacing w:line="360" w:lineRule="auto"/>
        <w:ind w:firstLine="480" w:firstLineChars="200"/>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每项活动结束后，经第三方咨询单位或评估单位审核确认的工作量支付最终费用。</w:t>
      </w:r>
    </w:p>
    <w:p>
      <w:pPr>
        <w:numPr>
          <w:ilvl w:val="0"/>
          <w:numId w:val="0"/>
        </w:numPr>
        <w:shd w:val="clear" w:color="010000" w:fill="auto"/>
        <w:autoSpaceDE w:val="0"/>
        <w:autoSpaceDN w:val="0"/>
        <w:snapToGrid w:val="0"/>
        <w:spacing w:line="360" w:lineRule="auto"/>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 xml:space="preserve">    九、生产安全责任</w:t>
      </w:r>
    </w:p>
    <w:p>
      <w:pPr>
        <w:pStyle w:val="39"/>
        <w:widowControl/>
        <w:numPr>
          <w:ilvl w:val="0"/>
          <w:numId w:val="0"/>
        </w:numPr>
        <w:shd w:val="clear" w:color="030000" w:fill="auto"/>
        <w:wordWrap/>
        <w:adjustRightInd/>
        <w:snapToGrid/>
        <w:spacing w:line="360" w:lineRule="auto"/>
        <w:ind w:left="0" w:leftChars="0" w:right="0" w:firstLine="0" w:firstLineChars="0"/>
        <w:jc w:val="left"/>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kern w:val="0"/>
          <w:sz w:val="24"/>
          <w:szCs w:val="24"/>
          <w:highlight w:val="none"/>
          <w:lang w:val="en-US" w:eastAsia="zh-CN" w:bidi="ar-SA"/>
        </w:rPr>
        <w:t xml:space="preserve"> </w:t>
      </w:r>
      <w:r>
        <w:rPr>
          <w:rFonts w:hint="eastAsia" w:ascii="仿宋" w:hAnsi="仿宋" w:eastAsia="仿宋" w:cs="仿宋"/>
          <w:color w:val="auto"/>
          <w:kern w:val="2"/>
          <w:sz w:val="24"/>
          <w:szCs w:val="24"/>
          <w:highlight w:val="none"/>
          <w:lang w:val="en-US" w:eastAsia="zh-CN" w:bidi="ar-SA"/>
        </w:rPr>
        <w:t xml:space="preserve"> 本合同项下活动物料、导向标识标牌、党建廉政布展等制作、搭建工作中产生的生产安全责任全部由乙方承担，甲方概不负责。乙方应当在搭建工作进行的同时，做好工作人员、搭建现场的安全保障工作。</w:t>
      </w:r>
    </w:p>
    <w:p>
      <w:pPr>
        <w:shd w:val="clear" w:color="000000" w:fill="auto"/>
        <w:autoSpaceDE w:val="0"/>
        <w:autoSpaceDN w:val="0"/>
        <w:snapToGrid w:val="0"/>
        <w:spacing w:line="360" w:lineRule="auto"/>
        <w:ind w:left="479" w:leftChars="228"/>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十、</w:t>
      </w:r>
      <w:r>
        <w:rPr>
          <w:rFonts w:hint="eastAsia" w:ascii="仿宋" w:hAnsi="仿宋" w:eastAsia="仿宋" w:cs="仿宋"/>
          <w:b/>
          <w:color w:val="auto"/>
          <w:sz w:val="24"/>
          <w:highlight w:val="none"/>
        </w:rPr>
        <w:t>税费</w:t>
      </w:r>
    </w:p>
    <w:p>
      <w:pPr>
        <w:pStyle w:val="69"/>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本合同执行中相关的一切税费均由乙方负担。</w:t>
      </w:r>
    </w:p>
    <w:p>
      <w:pPr>
        <w:pStyle w:val="69"/>
        <w:shd w:val="clear" w:color="010000" w:fill="auto"/>
        <w:snapToGrid w:val="0"/>
        <w:spacing w:line="360" w:lineRule="auto"/>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、质量保证及后续服务</w:t>
      </w:r>
    </w:p>
    <w:p>
      <w:pPr>
        <w:pStyle w:val="69"/>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1、乙方应按招标文件规定向甲方提供服务。</w:t>
      </w:r>
    </w:p>
    <w:p>
      <w:pPr>
        <w:pStyle w:val="69"/>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双方约定，本项目</w:t>
      </w:r>
      <w:r>
        <w:rPr>
          <w:rFonts w:hint="eastAsia" w:ascii="仿宋" w:hAnsi="仿宋" w:eastAsia="仿宋" w:cs="仿宋"/>
          <w:color w:val="auto"/>
          <w:sz w:val="24"/>
          <w:szCs w:val="24"/>
          <w:highlight w:val="none"/>
        </w:rPr>
        <w:t>服务质量保证期</w:t>
      </w:r>
      <w:r>
        <w:rPr>
          <w:rFonts w:hint="eastAsia" w:ascii="仿宋" w:hAnsi="仿宋" w:eastAsia="仿宋" w:cs="仿宋"/>
          <w:color w:val="auto"/>
          <w:sz w:val="24"/>
          <w:szCs w:val="24"/>
          <w:highlight w:val="none"/>
          <w:lang w:val="en-US" w:eastAsia="zh-CN"/>
        </w:rPr>
        <w:t>为一年。</w:t>
      </w:r>
      <w:r>
        <w:rPr>
          <w:rFonts w:hint="eastAsia" w:ascii="仿宋" w:hAnsi="仿宋" w:eastAsia="仿宋" w:cs="仿宋"/>
          <w:color w:val="auto"/>
          <w:sz w:val="24"/>
          <w:szCs w:val="24"/>
          <w:highlight w:val="none"/>
        </w:rPr>
        <w:t>乙方提供的服务成果在服务质量保证期内发生故障，乙方应负责免费提供后续服务。对达不到要求者，根据实际情况，经双方协商，可按以下办法处理：</w:t>
      </w:r>
    </w:p>
    <w:p>
      <w:pPr>
        <w:pStyle w:val="69"/>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（1）重做：</w:t>
      </w:r>
      <w:r>
        <w:rPr>
          <w:rFonts w:hint="eastAsia" w:ascii="仿宋" w:hAnsi="仿宋" w:eastAsia="仿宋" w:cs="仿宋"/>
          <w:color w:val="auto"/>
          <w:sz w:val="24"/>
          <w:szCs w:val="24"/>
          <w:highlight w:val="none"/>
          <w:lang w:eastAsia="zh-CN"/>
        </w:rPr>
        <w:t>达不到甲方设计需求需重做的物料，</w:t>
      </w:r>
      <w:r>
        <w:rPr>
          <w:rFonts w:hint="eastAsia" w:ascii="仿宋" w:hAnsi="仿宋" w:eastAsia="仿宋" w:cs="仿宋"/>
          <w:color w:val="auto"/>
          <w:sz w:val="24"/>
          <w:szCs w:val="24"/>
          <w:highlight w:val="none"/>
        </w:rPr>
        <w:t>由乙方承担所发生的全部费用。</w:t>
      </w:r>
    </w:p>
    <w:p>
      <w:pPr>
        <w:pStyle w:val="69"/>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（2）贬值处理：由甲、乙双方合议定价。</w:t>
      </w:r>
    </w:p>
    <w:p>
      <w:pPr>
        <w:pStyle w:val="69"/>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（3）解除合同</w:t>
      </w:r>
      <w:r>
        <w:rPr>
          <w:rFonts w:hint="eastAsia" w:ascii="仿宋" w:hAnsi="仿宋" w:eastAsia="仿宋" w:cs="仿宋"/>
          <w:color w:val="auto"/>
          <w:sz w:val="24"/>
          <w:szCs w:val="24"/>
          <w:highlight w:val="none"/>
          <w:lang w:val="en-US" w:eastAsia="zh-CN"/>
        </w:rPr>
        <w:t>并支付违约金</w:t>
      </w:r>
      <w:r>
        <w:rPr>
          <w:rFonts w:hint="eastAsia" w:ascii="仿宋" w:hAnsi="仿宋" w:eastAsia="仿宋" w:cs="仿宋"/>
          <w:color w:val="auto"/>
          <w:sz w:val="24"/>
          <w:szCs w:val="24"/>
          <w:highlight w:val="none"/>
        </w:rPr>
        <w:t>。</w:t>
      </w:r>
    </w:p>
    <w:p>
      <w:pPr>
        <w:pStyle w:val="69"/>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3、在服务质量保证期内，乙方应对出现的质量及安全问题负责处理解决并承担一切费用。</w:t>
      </w:r>
    </w:p>
    <w:p>
      <w:pPr>
        <w:pStyle w:val="69"/>
        <w:shd w:val="clear" w:color="010000" w:fill="auto"/>
        <w:snapToGrid w:val="0"/>
        <w:spacing w:line="360" w:lineRule="auto"/>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违约责任</w:t>
      </w:r>
    </w:p>
    <w:p>
      <w:pPr>
        <w:pStyle w:val="69"/>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w:t>
      </w:r>
      <w:r>
        <w:rPr>
          <w:rFonts w:hint="eastAsia" w:ascii="仿宋" w:hAnsi="仿宋" w:eastAsia="仿宋" w:cs="仿宋"/>
          <w:color w:val="auto"/>
          <w:sz w:val="24"/>
          <w:szCs w:val="24"/>
          <w:highlight w:val="none"/>
          <w:lang w:val="en-US" w:eastAsia="zh-CN"/>
        </w:rPr>
        <w:t>在乙方催告后</w:t>
      </w:r>
      <w:r>
        <w:rPr>
          <w:rFonts w:hint="eastAsia" w:ascii="仿宋" w:hAnsi="仿宋" w:eastAsia="仿宋" w:cs="仿宋"/>
          <w:color w:val="auto"/>
          <w:sz w:val="24"/>
          <w:szCs w:val="24"/>
          <w:highlight w:val="none"/>
        </w:rPr>
        <w:t>无正当理由拒收接受服务的，甲方向乙方偿付合同款项百分之五作为违约金。</w:t>
      </w:r>
    </w:p>
    <w:p>
      <w:pPr>
        <w:pStyle w:val="69"/>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2、甲方无故逾期验收和办理款项支付手续的，甲方应按逾期付款总额每日万分之五向乙方支付违约金，赔付上限为合同总额的百分之五。</w:t>
      </w:r>
    </w:p>
    <w:p>
      <w:pPr>
        <w:pStyle w:val="69"/>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3、乙方未如期足额缴纳履约保证金的，甲方有权解除合同并要求乙方承担合同款项百分之五的违约金。</w:t>
      </w:r>
    </w:p>
    <w:p>
      <w:pPr>
        <w:pStyle w:val="69"/>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4、乙方未能如期提供服务的，每逾期一日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向甲方支付合同款项的万分之五作为违约金，逾期累计超过15个工作日的，甲方有权单方解除合同，</w:t>
      </w:r>
      <w:r>
        <w:rPr>
          <w:rFonts w:hint="eastAsia" w:ascii="仿宋" w:hAnsi="仿宋" w:eastAsia="仿宋" w:cs="仿宋"/>
          <w:color w:val="auto"/>
          <w:sz w:val="24"/>
          <w:szCs w:val="24"/>
          <w:highlight w:val="none"/>
          <w:lang w:val="en-US" w:eastAsia="zh-CN"/>
        </w:rPr>
        <w:t>并要求乙方支付本合同总金额20%作为违约金，</w:t>
      </w:r>
      <w:r>
        <w:rPr>
          <w:rFonts w:hint="eastAsia" w:ascii="仿宋" w:hAnsi="仿宋" w:eastAsia="仿宋" w:cs="仿宋"/>
          <w:color w:val="auto"/>
          <w:sz w:val="24"/>
          <w:szCs w:val="24"/>
          <w:highlight w:val="none"/>
        </w:rPr>
        <w:t>由此造成的一切损失（包括不限于实际损失、间接损失、为之维权所支付的一切费用等）由乙方承担。</w:t>
      </w:r>
    </w:p>
    <w:p>
      <w:pPr>
        <w:pStyle w:val="69"/>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5、乙方因未能如期提供服务或因其他违约行为导致甲方解除合同的，乙方应向甲方支付合同总值的百分之五违约金。如造成甲方损失超过违约金的，超出部分由乙方继续承担赔偿责任。</w:t>
      </w:r>
    </w:p>
    <w:p>
      <w:pPr>
        <w:pStyle w:val="69"/>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乙方须确保所提供服务的质量，对其所提供的物料及服务负有安全责任，如因乙方提供的物料质量有瑕疵、人员管领不到位、安全防护措施不到位等可归咎于乙方的原因造成安全事故，则乙方须承担由此造成的一切损失（包括不限于实际损失、间接损失、为之维权所支付的一切费用等），甲方为此不负责任。</w:t>
      </w:r>
    </w:p>
    <w:p>
      <w:pPr>
        <w:pStyle w:val="69"/>
        <w:shd w:val="clear" w:color="010000" w:fill="auto"/>
        <w:snapToGrid w:val="0"/>
        <w:spacing w:line="360" w:lineRule="auto"/>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、不可抗力事件处理</w:t>
      </w:r>
    </w:p>
    <w:p>
      <w:pPr>
        <w:pStyle w:val="69"/>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pPr>
        <w:pStyle w:val="69"/>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2、不可抗力事件发生后，应立即通知对方，采取合理措施减轻损失，并寄送有关权威机构出具的证明。</w:t>
      </w:r>
    </w:p>
    <w:p>
      <w:pPr>
        <w:pStyle w:val="69"/>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3、不可抗力事件延续120天以上，双方应通过友好协商，确定是否继续履行合同。</w:t>
      </w:r>
    </w:p>
    <w:p>
      <w:pPr>
        <w:pStyle w:val="69"/>
        <w:shd w:val="clear" w:color="010000" w:fill="auto"/>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4、乙方因延迟履行义务而遭受不可抗力事件的，不得免除责任。</w:t>
      </w:r>
    </w:p>
    <w:p>
      <w:pPr>
        <w:pStyle w:val="69"/>
        <w:shd w:val="clear" w:color="010000" w:fill="auto"/>
        <w:snapToGrid w:val="0"/>
        <w:spacing w:line="360" w:lineRule="auto"/>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、诉讼</w:t>
      </w:r>
    </w:p>
    <w:p>
      <w:pPr>
        <w:pStyle w:val="69"/>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双方在执行合同中所发生的一切争议，应通过协商解决。如协商不成，可向甲方所在地法院起诉。</w:t>
      </w:r>
    </w:p>
    <w:p>
      <w:pPr>
        <w:pStyle w:val="69"/>
        <w:shd w:val="clear" w:color="010000" w:fill="auto"/>
        <w:snapToGrid w:val="0"/>
        <w:spacing w:line="360" w:lineRule="auto"/>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、合同生效及其它</w:t>
      </w:r>
    </w:p>
    <w:p>
      <w:pPr>
        <w:pStyle w:val="69"/>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1、合同经双方法定代表人或授权代表签字或盖章并加盖单位公章后生效。</w:t>
      </w:r>
    </w:p>
    <w:p>
      <w:pPr>
        <w:pStyle w:val="69"/>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2、合同执行中涉及采购资金和采购内容修改或补充的，须</w:t>
      </w:r>
      <w:r>
        <w:rPr>
          <w:rFonts w:hint="eastAsia" w:ascii="仿宋" w:hAnsi="仿宋" w:eastAsia="仿宋" w:cs="仿宋"/>
          <w:color w:val="auto"/>
          <w:sz w:val="24"/>
          <w:szCs w:val="24"/>
          <w:highlight w:val="none"/>
          <w:lang w:val="en-US" w:eastAsia="zh-CN"/>
        </w:rPr>
        <w:t>另行</w:t>
      </w:r>
      <w:r>
        <w:rPr>
          <w:rFonts w:hint="eastAsia" w:ascii="仿宋" w:hAnsi="仿宋" w:eastAsia="仿宋" w:cs="仿宋"/>
          <w:color w:val="auto"/>
          <w:sz w:val="24"/>
          <w:szCs w:val="24"/>
          <w:highlight w:val="none"/>
        </w:rPr>
        <w:t>签</w:t>
      </w:r>
      <w:r>
        <w:rPr>
          <w:rFonts w:hint="eastAsia" w:ascii="仿宋" w:hAnsi="仿宋" w:eastAsia="仿宋" w:cs="仿宋"/>
          <w:color w:val="auto"/>
          <w:sz w:val="24"/>
          <w:szCs w:val="24"/>
          <w:highlight w:val="none"/>
          <w:lang w:val="en-US" w:eastAsia="zh-CN"/>
        </w:rPr>
        <w:t>署</w:t>
      </w:r>
      <w:r>
        <w:rPr>
          <w:rFonts w:hint="eastAsia" w:ascii="仿宋" w:hAnsi="仿宋" w:eastAsia="仿宋" w:cs="仿宋"/>
          <w:color w:val="auto"/>
          <w:sz w:val="24"/>
          <w:szCs w:val="24"/>
          <w:highlight w:val="none"/>
        </w:rPr>
        <w:t>书面补充协议，方可作为主合同不可分割的一部分并备案。</w:t>
      </w:r>
    </w:p>
    <w:p>
      <w:pPr>
        <w:shd w:val="clear" w:color="auto"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征集</w:t>
      </w:r>
      <w:r>
        <w:rPr>
          <w:rFonts w:hint="eastAsia" w:ascii="仿宋" w:hAnsi="仿宋" w:eastAsia="仿宋" w:cs="仿宋"/>
          <w:color w:val="auto"/>
          <w:sz w:val="24"/>
          <w:highlight w:val="none"/>
        </w:rPr>
        <w:t>文件、投标文件及评标过程中形成的文字资料、询标纪要均作为本合同的组成部分，具有同等效力。本合同未尽事宜，依据《中华人民共和国民法典》的有关规定，双方协商。</w:t>
      </w:r>
    </w:p>
    <w:p>
      <w:pPr>
        <w:pStyle w:val="14"/>
        <w:shd w:val="clear" w:color="010000"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4、本合同一式陆份，具有同等法律效力，甲乙双方各执叁份。</w:t>
      </w:r>
    </w:p>
    <w:p>
      <w:pPr>
        <w:shd w:val="clear" w:color="000000" w:fill="auto"/>
        <w:snapToGrid w:val="0"/>
        <w:spacing w:line="360" w:lineRule="auto"/>
        <w:ind w:firstLine="480" w:firstLineChars="200"/>
        <w:rPr>
          <w:rFonts w:hint="eastAsia" w:ascii="仿宋" w:hAnsi="仿宋" w:eastAsia="仿宋" w:cs="仿宋"/>
          <w:color w:val="auto"/>
          <w:sz w:val="24"/>
          <w:highlight w:val="none"/>
        </w:rPr>
      </w:pPr>
    </w:p>
    <w:p>
      <w:pPr>
        <w:pStyle w:val="39"/>
        <w:shd w:val="clear" w:color="010000" w:fill="auto"/>
        <w:rPr>
          <w:rFonts w:hint="eastAsia" w:ascii="仿宋" w:hAnsi="仿宋" w:eastAsia="仿宋" w:cs="仿宋"/>
          <w:color w:val="auto"/>
          <w:highlight w:val="none"/>
        </w:rPr>
      </w:pPr>
    </w:p>
    <w:p>
      <w:pPr>
        <w:shd w:val="clear" w:color="000000" w:fill="auto"/>
        <w:snapToGrid w:val="0"/>
        <w:spacing w:line="360" w:lineRule="auto"/>
        <w:ind w:left="6959" w:leftChars="228" w:hanging="6480" w:hangingChars="27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甲方（盖章）：                         乙方（盖章）：      </w:t>
      </w:r>
    </w:p>
    <w:p>
      <w:pPr>
        <w:shd w:val="clear" w:color="000000" w:fill="auto"/>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                           法定代表人：    </w:t>
      </w:r>
    </w:p>
    <w:p>
      <w:pPr>
        <w:shd w:val="clear" w:color="000000"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val="en-US" w:eastAsia="zh-CN"/>
        </w:rPr>
        <w:t>授权代表</w:t>
      </w:r>
      <w:r>
        <w:rPr>
          <w:rFonts w:hint="eastAsia" w:ascii="仿宋" w:hAnsi="仿宋" w:eastAsia="仿宋" w:cs="仿宋"/>
          <w:color w:val="auto"/>
          <w:sz w:val="24"/>
          <w:highlight w:val="none"/>
        </w:rPr>
        <w:t>（签字或盖章）：             或</w:t>
      </w:r>
      <w:r>
        <w:rPr>
          <w:rFonts w:hint="eastAsia" w:ascii="仿宋" w:hAnsi="仿宋" w:eastAsia="仿宋" w:cs="仿宋"/>
          <w:color w:val="auto"/>
          <w:sz w:val="24"/>
          <w:highlight w:val="none"/>
          <w:lang w:val="en-US" w:eastAsia="zh-CN"/>
        </w:rPr>
        <w:t>授权代表</w:t>
      </w:r>
      <w:r>
        <w:rPr>
          <w:rFonts w:hint="eastAsia" w:ascii="仿宋" w:hAnsi="仿宋" w:eastAsia="仿宋" w:cs="仿宋"/>
          <w:color w:val="auto"/>
          <w:sz w:val="24"/>
          <w:highlight w:val="none"/>
        </w:rPr>
        <w:t xml:space="preserve">（签字或盖章）：  </w:t>
      </w:r>
    </w:p>
    <w:p>
      <w:pPr>
        <w:shd w:val="clear" w:color="000000"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联系人：</w:t>
      </w:r>
    </w:p>
    <w:p>
      <w:pPr>
        <w:shd w:val="clear" w:color="000000" w:fill="auto"/>
        <w:snapToGrid w:val="0"/>
        <w:spacing w:line="360" w:lineRule="auto"/>
        <w:ind w:left="6239" w:leftChars="228" w:hanging="5760" w:hangingChars="24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地址：</w:t>
      </w:r>
    </w:p>
    <w:p>
      <w:pPr>
        <w:shd w:val="clear" w:color="000000"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电话：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电话：                               </w:t>
      </w:r>
    </w:p>
    <w:p>
      <w:pPr>
        <w:shd w:val="clear" w:color="000000"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传真： </w:t>
      </w:r>
    </w:p>
    <w:p>
      <w:pPr>
        <w:shd w:val="clear" w:color="000000" w:fill="auto"/>
        <w:snapToGrid w:val="0"/>
        <w:spacing w:line="360" w:lineRule="auto"/>
        <w:ind w:left="6719" w:leftChars="228" w:hanging="6240" w:hangingChars="26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                             开户银行：</w:t>
      </w:r>
    </w:p>
    <w:p>
      <w:pPr>
        <w:shd w:val="clear" w:color="000000" w:fill="auto"/>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帐号：                                 帐号：</w:t>
      </w:r>
    </w:p>
    <w:p>
      <w:pPr>
        <w:shd w:val="clear" w:color="000000" w:fill="auto"/>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日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签订时间： 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pPr>
        <w:pStyle w:val="25"/>
        <w:shd w:val="clear" w:color="010000" w:fill="auto"/>
        <w:rPr>
          <w:rFonts w:hint="eastAsia" w:ascii="仿宋" w:hAnsi="仿宋" w:eastAsia="仿宋" w:cs="仿宋"/>
          <w:color w:val="auto"/>
          <w:sz w:val="32"/>
          <w:szCs w:val="32"/>
          <w:highlight w:val="none"/>
        </w:rPr>
        <w:sectPr>
          <w:pgSz w:w="11906" w:h="16838"/>
          <w:pgMar w:top="1531" w:right="1304" w:bottom="1531" w:left="1361" w:header="851" w:footer="601" w:gutter="0"/>
          <w:pgBorders>
            <w:top w:val="none" w:sz="0" w:space="0"/>
            <w:left w:val="none" w:sz="0" w:space="0"/>
            <w:bottom w:val="none" w:sz="0" w:space="0"/>
            <w:right w:val="none" w:sz="0" w:space="0"/>
          </w:pgBorders>
          <w:pgNumType w:fmt="decimal"/>
          <w:cols w:space="720" w:num="1"/>
          <w:docGrid w:linePitch="312" w:charSpace="0"/>
        </w:sectPr>
      </w:pPr>
    </w:p>
    <w:p>
      <w:pPr>
        <w:widowControl w:val="0"/>
        <w:shd w:val="clear" w:color="010000" w:fill="auto"/>
        <w:spacing w:line="360" w:lineRule="auto"/>
        <w:ind w:firstLineChars="200"/>
        <w:jc w:val="center"/>
        <w:rPr>
          <w:rStyle w:val="132"/>
          <w:rFonts w:hint="eastAsia" w:ascii="仿宋" w:hAnsi="仿宋" w:eastAsia="仿宋" w:cs="仿宋"/>
          <w:b/>
          <w:bCs/>
          <w:color w:val="auto"/>
          <w:sz w:val="40"/>
          <w:szCs w:val="40"/>
          <w:highlight w:val="none"/>
          <w:lang w:eastAsia="zh-CN"/>
        </w:rPr>
      </w:pPr>
      <w:bookmarkStart w:id="19" w:name="_Toc30399"/>
      <w:r>
        <w:rPr>
          <w:rStyle w:val="132"/>
          <w:rFonts w:hint="eastAsia" w:ascii="仿宋" w:hAnsi="仿宋" w:eastAsia="仿宋" w:cs="仿宋"/>
          <w:b/>
          <w:bCs/>
          <w:color w:val="auto"/>
          <w:sz w:val="40"/>
          <w:szCs w:val="40"/>
          <w:highlight w:val="none"/>
          <w:lang w:eastAsia="zh-CN"/>
        </w:rPr>
        <w:t xml:space="preserve">第五部分  </w:t>
      </w:r>
      <w:bookmarkEnd w:id="12"/>
      <w:r>
        <w:rPr>
          <w:rStyle w:val="132"/>
          <w:rFonts w:hint="eastAsia" w:ascii="仿宋" w:hAnsi="仿宋" w:eastAsia="仿宋" w:cs="仿宋"/>
          <w:b/>
          <w:bCs/>
          <w:color w:val="auto"/>
          <w:sz w:val="40"/>
          <w:szCs w:val="40"/>
          <w:highlight w:val="none"/>
          <w:lang w:eastAsia="zh-CN"/>
        </w:rPr>
        <w:t>投标文件格式</w:t>
      </w:r>
    </w:p>
    <w:bookmarkEnd w:id="19"/>
    <w:p>
      <w:pPr>
        <w:spacing w:line="360" w:lineRule="auto"/>
        <w:jc w:val="center"/>
        <w:rPr>
          <w:rFonts w:hint="eastAsia" w:ascii="仿宋" w:hAnsi="仿宋" w:eastAsia="仿宋" w:cs="仿宋"/>
          <w:b/>
          <w:color w:val="auto"/>
          <w:kern w:val="0"/>
          <w:sz w:val="32"/>
          <w:szCs w:val="32"/>
          <w:highlight w:val="none"/>
          <w:lang w:eastAsia="zh-CN"/>
        </w:rPr>
      </w:pPr>
      <w:bookmarkStart w:id="20" w:name="_Toc33194405"/>
      <w:bookmarkStart w:id="21" w:name="_Toc27119254"/>
      <w:r>
        <w:rPr>
          <w:rFonts w:hint="eastAsia" w:ascii="仿宋" w:hAnsi="仿宋" w:eastAsia="仿宋" w:cs="仿宋"/>
          <w:b/>
          <w:color w:val="auto"/>
          <w:kern w:val="0"/>
          <w:sz w:val="32"/>
          <w:szCs w:val="32"/>
          <w:highlight w:val="none"/>
          <w:lang w:eastAsia="zh-CN"/>
        </w:rPr>
        <w:t>一、具有履行合同所必需的场地、设备和专业技术能力的承诺函</w:t>
      </w:r>
      <w:bookmarkEnd w:id="20"/>
      <w:bookmarkEnd w:id="21"/>
    </w:p>
    <w:p>
      <w:pPr>
        <w:snapToGrid w:val="0"/>
        <w:spacing w:line="360" w:lineRule="auto"/>
        <w:rPr>
          <w:rFonts w:hint="eastAsia" w:ascii="仿宋" w:hAnsi="仿宋" w:eastAsia="仿宋" w:cs="仿宋"/>
          <w:color w:val="auto"/>
          <w:highlight w:val="none"/>
        </w:rPr>
      </w:pPr>
    </w:p>
    <w:p>
      <w:pPr>
        <w:snapToGrid w:val="0"/>
        <w:spacing w:line="360" w:lineRule="auto"/>
        <w:rPr>
          <w:rFonts w:hint="eastAsia" w:ascii="仿宋" w:hAnsi="仿宋" w:eastAsia="仿宋" w:cs="仿宋"/>
          <w:color w:val="auto"/>
          <w:highlight w:val="none"/>
        </w:rPr>
      </w:pPr>
    </w:p>
    <w:p>
      <w:pPr>
        <w:shd w:val="clear" w:color="auto" w:fill="FFFFFF"/>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杭州临平旅游文化创意有限公司</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杭州华瑞新洲工程造价咨询有限公司</w:t>
      </w:r>
      <w:r>
        <w:rPr>
          <w:rFonts w:hint="eastAsia" w:ascii="仿宋" w:hAnsi="仿宋" w:eastAsia="仿宋" w:cs="仿宋"/>
          <w:color w:val="auto"/>
          <w:kern w:val="0"/>
          <w:sz w:val="24"/>
          <w:highlight w:val="none"/>
        </w:rPr>
        <w:t>：</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w:t>
      </w:r>
      <w:r>
        <w:rPr>
          <w:rFonts w:hint="eastAsia" w:ascii="仿宋" w:hAnsi="仿宋" w:eastAsia="仿宋" w:cs="仿宋"/>
          <w:color w:val="auto"/>
          <w:kern w:val="0"/>
          <w:sz w:val="24"/>
          <w:highlight w:val="none"/>
          <w:u w:val="single"/>
        </w:rPr>
        <w:t xml:space="preserve"> （供应商）</w:t>
      </w:r>
      <w:r>
        <w:rPr>
          <w:rFonts w:hint="eastAsia" w:ascii="仿宋" w:hAnsi="仿宋" w:eastAsia="仿宋" w:cs="仿宋"/>
          <w:color w:val="auto"/>
          <w:kern w:val="0"/>
          <w:sz w:val="24"/>
          <w:highlight w:val="none"/>
        </w:rPr>
        <w:t>承诺具有履行合同所必需的场地、设备和专业技术能力。如有虚假，采购人可取消我方任何资格（投标/中标/签订合同），我方对此无任何异议。</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特此承诺！</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供应商名称（盖章） ：</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法定代表人或其授权代表（签字或盖章）：</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pPr>
        <w:widowControl/>
        <w:snapToGrid w:val="0"/>
        <w:spacing w:line="360" w:lineRule="auto"/>
        <w:ind w:firstLine="420" w:firstLineChars="200"/>
        <w:jc w:val="left"/>
        <w:rPr>
          <w:rFonts w:hint="eastAsia" w:ascii="仿宋" w:hAnsi="仿宋" w:eastAsia="仿宋" w:cs="仿宋"/>
          <w:color w:val="auto"/>
          <w:kern w:val="0"/>
          <w:szCs w:val="21"/>
          <w:highlight w:val="none"/>
        </w:rPr>
      </w:pPr>
    </w:p>
    <w:p>
      <w:pPr>
        <w:widowControl/>
        <w:snapToGrid w:val="0"/>
        <w:spacing w:line="360" w:lineRule="auto"/>
        <w:ind w:firstLine="420" w:firstLineChars="200"/>
        <w:jc w:val="left"/>
        <w:rPr>
          <w:rFonts w:hint="eastAsia" w:ascii="仿宋" w:hAnsi="仿宋" w:eastAsia="仿宋" w:cs="仿宋"/>
          <w:color w:val="auto"/>
          <w:kern w:val="0"/>
          <w:szCs w:val="21"/>
          <w:highlight w:val="none"/>
        </w:rPr>
      </w:pPr>
    </w:p>
    <w:p>
      <w:pPr>
        <w:widowControl/>
        <w:snapToGrid w:val="0"/>
        <w:spacing w:line="360" w:lineRule="auto"/>
        <w:ind w:firstLine="420" w:firstLineChars="200"/>
        <w:jc w:val="left"/>
        <w:rPr>
          <w:rFonts w:hint="eastAsia" w:ascii="仿宋" w:hAnsi="仿宋" w:eastAsia="仿宋" w:cs="仿宋"/>
          <w:color w:val="auto"/>
          <w:kern w:val="0"/>
          <w:szCs w:val="21"/>
          <w:highlight w:val="none"/>
        </w:rPr>
      </w:pPr>
    </w:p>
    <w:p>
      <w:pPr>
        <w:widowControl/>
        <w:snapToGrid w:val="0"/>
        <w:spacing w:line="360" w:lineRule="auto"/>
        <w:ind w:firstLine="420" w:firstLineChars="200"/>
        <w:jc w:val="left"/>
        <w:rPr>
          <w:rFonts w:hint="eastAsia" w:ascii="仿宋" w:hAnsi="仿宋" w:eastAsia="仿宋" w:cs="仿宋"/>
          <w:color w:val="auto"/>
          <w:kern w:val="0"/>
          <w:szCs w:val="21"/>
          <w:highlight w:val="none"/>
        </w:rPr>
      </w:pPr>
    </w:p>
    <w:p>
      <w:pPr>
        <w:widowControl/>
        <w:snapToGrid w:val="0"/>
        <w:spacing w:line="360" w:lineRule="auto"/>
        <w:ind w:firstLine="420" w:firstLineChars="200"/>
        <w:jc w:val="left"/>
        <w:rPr>
          <w:rFonts w:hint="eastAsia" w:ascii="仿宋" w:hAnsi="仿宋" w:eastAsia="仿宋" w:cs="仿宋"/>
          <w:color w:val="auto"/>
          <w:kern w:val="0"/>
          <w:szCs w:val="21"/>
          <w:highlight w:val="none"/>
        </w:rPr>
      </w:pPr>
    </w:p>
    <w:p>
      <w:pPr>
        <w:widowControl/>
        <w:snapToGrid w:val="0"/>
        <w:spacing w:line="360" w:lineRule="auto"/>
        <w:ind w:firstLine="420" w:firstLineChars="200"/>
        <w:jc w:val="left"/>
        <w:rPr>
          <w:rFonts w:hint="eastAsia" w:ascii="仿宋" w:hAnsi="仿宋" w:eastAsia="仿宋" w:cs="仿宋"/>
          <w:color w:val="auto"/>
          <w:kern w:val="0"/>
          <w:szCs w:val="21"/>
          <w:highlight w:val="none"/>
        </w:rPr>
      </w:pPr>
    </w:p>
    <w:p>
      <w:pPr>
        <w:widowControl/>
        <w:snapToGrid w:val="0"/>
        <w:spacing w:line="360" w:lineRule="auto"/>
        <w:ind w:firstLine="420" w:firstLineChars="200"/>
        <w:jc w:val="left"/>
        <w:rPr>
          <w:rFonts w:hint="eastAsia" w:ascii="仿宋" w:hAnsi="仿宋" w:eastAsia="仿宋" w:cs="仿宋"/>
          <w:color w:val="auto"/>
          <w:kern w:val="0"/>
          <w:szCs w:val="21"/>
          <w:highlight w:val="none"/>
        </w:rPr>
      </w:pPr>
    </w:p>
    <w:p>
      <w:pPr>
        <w:widowControl/>
        <w:snapToGrid w:val="0"/>
        <w:spacing w:line="360" w:lineRule="auto"/>
        <w:ind w:firstLine="420" w:firstLineChars="200"/>
        <w:jc w:val="left"/>
        <w:rPr>
          <w:rFonts w:hint="eastAsia" w:ascii="仿宋" w:hAnsi="仿宋" w:eastAsia="仿宋" w:cs="仿宋"/>
          <w:color w:val="auto"/>
          <w:kern w:val="0"/>
          <w:szCs w:val="21"/>
          <w:highlight w:val="none"/>
        </w:rPr>
      </w:pPr>
    </w:p>
    <w:p>
      <w:pPr>
        <w:widowControl/>
        <w:snapToGrid w:val="0"/>
        <w:spacing w:line="360" w:lineRule="auto"/>
        <w:ind w:firstLine="420" w:firstLineChars="200"/>
        <w:jc w:val="left"/>
        <w:rPr>
          <w:rFonts w:hint="eastAsia" w:ascii="仿宋" w:hAnsi="仿宋" w:eastAsia="仿宋" w:cs="仿宋"/>
          <w:color w:val="auto"/>
          <w:kern w:val="0"/>
          <w:szCs w:val="21"/>
          <w:highlight w:val="none"/>
        </w:rPr>
      </w:pPr>
    </w:p>
    <w:p>
      <w:pPr>
        <w:widowControl/>
        <w:snapToGrid w:val="0"/>
        <w:spacing w:line="360" w:lineRule="auto"/>
        <w:ind w:firstLine="420" w:firstLineChars="200"/>
        <w:jc w:val="left"/>
        <w:rPr>
          <w:rFonts w:hint="eastAsia" w:ascii="仿宋" w:hAnsi="仿宋" w:eastAsia="仿宋" w:cs="仿宋"/>
          <w:color w:val="auto"/>
          <w:kern w:val="0"/>
          <w:szCs w:val="21"/>
          <w:highlight w:val="none"/>
        </w:rPr>
      </w:pPr>
    </w:p>
    <w:p>
      <w:pPr>
        <w:widowControl/>
        <w:snapToGrid w:val="0"/>
        <w:spacing w:line="360" w:lineRule="auto"/>
        <w:jc w:val="left"/>
        <w:rPr>
          <w:rFonts w:hint="eastAsia" w:ascii="仿宋" w:hAnsi="仿宋" w:eastAsia="仿宋" w:cs="仿宋"/>
          <w:color w:val="auto"/>
          <w:kern w:val="0"/>
          <w:szCs w:val="21"/>
          <w:highlight w:val="none"/>
        </w:rPr>
      </w:pPr>
    </w:p>
    <w:p>
      <w:pPr>
        <w:spacing w:line="360" w:lineRule="auto"/>
        <w:jc w:val="center"/>
        <w:rPr>
          <w:rFonts w:hint="eastAsia" w:ascii="仿宋" w:hAnsi="仿宋" w:eastAsia="仿宋" w:cs="仿宋"/>
          <w:b/>
          <w:color w:val="auto"/>
          <w:kern w:val="36"/>
          <w:sz w:val="32"/>
          <w:szCs w:val="28"/>
          <w:highlight w:val="none"/>
        </w:rPr>
        <w:sectPr>
          <w:pgSz w:w="11906" w:h="16838"/>
          <w:pgMar w:top="1440" w:right="1800" w:bottom="1440" w:left="1800" w:header="851" w:footer="992" w:gutter="0"/>
          <w:cols w:space="720" w:num="1"/>
          <w:docGrid w:type="lines" w:linePitch="312" w:charSpace="0"/>
        </w:sectPr>
      </w:pPr>
    </w:p>
    <w:p>
      <w:pPr>
        <w:spacing w:line="360" w:lineRule="auto"/>
        <w:jc w:val="center"/>
        <w:rPr>
          <w:rFonts w:hint="eastAsia" w:ascii="仿宋" w:hAnsi="仿宋" w:eastAsia="仿宋" w:cs="仿宋"/>
          <w:b/>
          <w:color w:val="auto"/>
          <w:kern w:val="36"/>
          <w:sz w:val="32"/>
          <w:szCs w:val="28"/>
          <w:highlight w:val="none"/>
        </w:rPr>
      </w:pPr>
      <w:r>
        <w:rPr>
          <w:rFonts w:hint="eastAsia" w:ascii="仿宋" w:hAnsi="仿宋" w:eastAsia="仿宋" w:cs="仿宋"/>
          <w:b/>
          <w:color w:val="auto"/>
          <w:kern w:val="36"/>
          <w:sz w:val="32"/>
          <w:szCs w:val="28"/>
          <w:highlight w:val="none"/>
          <w:lang w:eastAsia="zh-CN"/>
        </w:rPr>
        <w:t>二</w:t>
      </w:r>
      <w:r>
        <w:rPr>
          <w:rFonts w:hint="eastAsia" w:ascii="仿宋" w:hAnsi="仿宋" w:eastAsia="仿宋" w:cs="仿宋"/>
          <w:b/>
          <w:color w:val="auto"/>
          <w:kern w:val="36"/>
          <w:sz w:val="32"/>
          <w:szCs w:val="28"/>
          <w:highlight w:val="none"/>
        </w:rPr>
        <w:t>、依法缴纳税收和社会保障资金的承诺函</w:t>
      </w:r>
    </w:p>
    <w:p>
      <w:pPr>
        <w:spacing w:line="360" w:lineRule="auto"/>
        <w:rPr>
          <w:rFonts w:hint="eastAsia" w:ascii="仿宋" w:hAnsi="仿宋" w:eastAsia="仿宋" w:cs="仿宋"/>
          <w:b/>
          <w:color w:val="auto"/>
          <w:kern w:val="0"/>
          <w:sz w:val="24"/>
          <w:szCs w:val="28"/>
          <w:highlight w:val="none"/>
          <w:u w:val="single"/>
        </w:rPr>
      </w:pPr>
    </w:p>
    <w:p>
      <w:pPr>
        <w:shd w:val="clear" w:color="auto" w:fill="FFFFFF"/>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杭州临平旅游文化创意有限公司</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杭州华瑞新洲工程造价咨询有限公司</w:t>
      </w:r>
      <w:r>
        <w:rPr>
          <w:rFonts w:hint="eastAsia" w:ascii="仿宋" w:hAnsi="仿宋" w:eastAsia="仿宋" w:cs="仿宋"/>
          <w:color w:val="auto"/>
          <w:kern w:val="0"/>
          <w:sz w:val="24"/>
          <w:highlight w:val="none"/>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我公司郑重声明，我公司严格依法缴纳税收和社会保障资金，本文件中所提供的相关材料均真实有效，不存在虚假、造假行为。如有违反，愿承担一切责任。</w:t>
      </w:r>
    </w:p>
    <w:p>
      <w:pPr>
        <w:spacing w:line="360" w:lineRule="auto"/>
        <w:ind w:firstLine="480" w:firstLineChars="200"/>
        <w:rPr>
          <w:rFonts w:hint="eastAsia" w:ascii="仿宋" w:hAnsi="仿宋" w:eastAsia="仿宋" w:cs="仿宋"/>
          <w:color w:val="auto"/>
          <w:kern w:val="0"/>
          <w:sz w:val="24"/>
          <w:highlight w:val="none"/>
        </w:rPr>
      </w:pP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特此承诺！</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供应商名称（盖章） ：</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法定代表人或其授权代表（签字或盖章）：</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p>
    <w:p>
      <w:pPr>
        <w:widowControl/>
        <w:snapToGrid w:val="0"/>
        <w:spacing w:line="360" w:lineRule="auto"/>
        <w:jc w:val="left"/>
        <w:rPr>
          <w:rFonts w:hint="eastAsia" w:ascii="仿宋" w:hAnsi="仿宋" w:eastAsia="仿宋" w:cs="仿宋"/>
          <w:color w:val="auto"/>
          <w:kern w:val="0"/>
          <w:szCs w:val="21"/>
          <w:highlight w:val="none"/>
        </w:rPr>
      </w:pPr>
    </w:p>
    <w:p>
      <w:pPr>
        <w:widowControl/>
        <w:snapToGrid w:val="0"/>
        <w:spacing w:line="360" w:lineRule="auto"/>
        <w:jc w:val="left"/>
        <w:rPr>
          <w:rFonts w:hint="eastAsia" w:ascii="仿宋" w:hAnsi="仿宋" w:eastAsia="仿宋" w:cs="仿宋"/>
          <w:color w:val="auto"/>
          <w:kern w:val="0"/>
          <w:szCs w:val="21"/>
          <w:highlight w:val="none"/>
        </w:rPr>
      </w:pPr>
    </w:p>
    <w:p>
      <w:pPr>
        <w:widowControl/>
        <w:snapToGrid w:val="0"/>
        <w:spacing w:line="360" w:lineRule="auto"/>
        <w:jc w:val="left"/>
        <w:rPr>
          <w:rFonts w:hint="eastAsia" w:ascii="仿宋" w:hAnsi="仿宋" w:eastAsia="仿宋" w:cs="仿宋"/>
          <w:color w:val="auto"/>
          <w:kern w:val="0"/>
          <w:szCs w:val="21"/>
          <w:highlight w:val="none"/>
        </w:rPr>
      </w:pPr>
    </w:p>
    <w:p>
      <w:pPr>
        <w:widowControl/>
        <w:snapToGrid w:val="0"/>
        <w:spacing w:line="360" w:lineRule="auto"/>
        <w:jc w:val="left"/>
        <w:rPr>
          <w:rFonts w:hint="eastAsia" w:ascii="仿宋" w:hAnsi="仿宋" w:eastAsia="仿宋" w:cs="仿宋"/>
          <w:color w:val="auto"/>
          <w:kern w:val="0"/>
          <w:szCs w:val="21"/>
          <w:highlight w:val="none"/>
        </w:rPr>
      </w:pPr>
    </w:p>
    <w:p>
      <w:pPr>
        <w:widowControl/>
        <w:snapToGrid w:val="0"/>
        <w:spacing w:line="360" w:lineRule="auto"/>
        <w:jc w:val="left"/>
        <w:rPr>
          <w:rFonts w:hint="eastAsia" w:ascii="仿宋" w:hAnsi="仿宋" w:eastAsia="仿宋" w:cs="仿宋"/>
          <w:color w:val="auto"/>
          <w:kern w:val="0"/>
          <w:szCs w:val="21"/>
          <w:highlight w:val="none"/>
        </w:rPr>
      </w:pPr>
    </w:p>
    <w:p>
      <w:pPr>
        <w:widowControl/>
        <w:snapToGrid w:val="0"/>
        <w:spacing w:line="360" w:lineRule="auto"/>
        <w:jc w:val="left"/>
        <w:rPr>
          <w:rFonts w:hint="eastAsia" w:ascii="仿宋" w:hAnsi="仿宋" w:eastAsia="仿宋" w:cs="仿宋"/>
          <w:color w:val="auto"/>
          <w:kern w:val="0"/>
          <w:szCs w:val="21"/>
          <w:highlight w:val="none"/>
        </w:rPr>
      </w:pPr>
    </w:p>
    <w:p>
      <w:pPr>
        <w:widowControl/>
        <w:snapToGrid w:val="0"/>
        <w:spacing w:line="360" w:lineRule="auto"/>
        <w:jc w:val="left"/>
        <w:rPr>
          <w:rFonts w:hint="eastAsia" w:ascii="仿宋" w:hAnsi="仿宋" w:eastAsia="仿宋" w:cs="仿宋"/>
          <w:color w:val="auto"/>
          <w:kern w:val="0"/>
          <w:szCs w:val="21"/>
          <w:highlight w:val="none"/>
        </w:rPr>
      </w:pPr>
    </w:p>
    <w:p>
      <w:pPr>
        <w:widowControl/>
        <w:snapToGrid w:val="0"/>
        <w:spacing w:line="360" w:lineRule="auto"/>
        <w:jc w:val="left"/>
        <w:rPr>
          <w:rFonts w:hint="eastAsia" w:ascii="仿宋" w:hAnsi="仿宋" w:eastAsia="仿宋" w:cs="仿宋"/>
          <w:color w:val="auto"/>
          <w:kern w:val="0"/>
          <w:szCs w:val="21"/>
          <w:highlight w:val="none"/>
        </w:rPr>
      </w:pPr>
    </w:p>
    <w:p>
      <w:pPr>
        <w:widowControl/>
        <w:snapToGrid w:val="0"/>
        <w:spacing w:line="360" w:lineRule="auto"/>
        <w:jc w:val="left"/>
        <w:rPr>
          <w:rFonts w:hint="eastAsia" w:ascii="仿宋" w:hAnsi="仿宋" w:eastAsia="仿宋" w:cs="仿宋"/>
          <w:color w:val="auto"/>
          <w:kern w:val="0"/>
          <w:szCs w:val="21"/>
          <w:highlight w:val="none"/>
        </w:rPr>
      </w:pPr>
    </w:p>
    <w:p>
      <w:pPr>
        <w:widowControl/>
        <w:snapToGrid w:val="0"/>
        <w:spacing w:line="360" w:lineRule="auto"/>
        <w:jc w:val="left"/>
        <w:rPr>
          <w:rFonts w:hint="eastAsia" w:ascii="仿宋" w:hAnsi="仿宋" w:eastAsia="仿宋" w:cs="仿宋"/>
          <w:color w:val="auto"/>
          <w:kern w:val="0"/>
          <w:szCs w:val="21"/>
          <w:highlight w:val="none"/>
        </w:rPr>
      </w:pPr>
    </w:p>
    <w:p>
      <w:pPr>
        <w:widowControl/>
        <w:snapToGrid w:val="0"/>
        <w:spacing w:line="360" w:lineRule="auto"/>
        <w:jc w:val="left"/>
        <w:rPr>
          <w:rFonts w:hint="eastAsia" w:ascii="仿宋" w:hAnsi="仿宋" w:eastAsia="仿宋" w:cs="仿宋"/>
          <w:color w:val="auto"/>
          <w:kern w:val="0"/>
          <w:szCs w:val="21"/>
          <w:highlight w:val="none"/>
        </w:rPr>
      </w:pPr>
    </w:p>
    <w:p>
      <w:pPr>
        <w:widowControl/>
        <w:snapToGrid w:val="0"/>
        <w:spacing w:line="360" w:lineRule="auto"/>
        <w:jc w:val="left"/>
        <w:rPr>
          <w:rFonts w:hint="eastAsia" w:ascii="仿宋" w:hAnsi="仿宋" w:eastAsia="仿宋" w:cs="仿宋"/>
          <w:color w:val="auto"/>
          <w:kern w:val="0"/>
          <w:szCs w:val="21"/>
          <w:highlight w:val="none"/>
        </w:rPr>
      </w:pPr>
    </w:p>
    <w:p>
      <w:pPr>
        <w:spacing w:line="360" w:lineRule="auto"/>
        <w:jc w:val="center"/>
        <w:rPr>
          <w:rFonts w:hint="eastAsia" w:ascii="仿宋" w:hAnsi="仿宋" w:eastAsia="仿宋" w:cs="仿宋"/>
          <w:b/>
          <w:color w:val="auto"/>
          <w:kern w:val="0"/>
          <w:sz w:val="32"/>
          <w:szCs w:val="32"/>
          <w:highlight w:val="none"/>
        </w:rPr>
      </w:pPr>
      <w:bookmarkStart w:id="22" w:name="_Toc14988"/>
      <w:bookmarkStart w:id="23" w:name="_Toc10630"/>
      <w:bookmarkStart w:id="24" w:name="_Toc14589"/>
      <w:bookmarkStart w:id="25" w:name="_Toc11360"/>
      <w:bookmarkStart w:id="26" w:name="_Toc31544"/>
      <w:bookmarkStart w:id="27" w:name="_Toc33194406"/>
      <w:bookmarkStart w:id="28" w:name="_Toc18304"/>
      <w:bookmarkStart w:id="29" w:name="_Toc27119255"/>
      <w:bookmarkStart w:id="30" w:name="_Toc28957"/>
      <w:bookmarkStart w:id="31" w:name="_Toc31784"/>
      <w:bookmarkStart w:id="32" w:name="_Toc6606"/>
      <w:bookmarkStart w:id="33" w:name="_Toc13669"/>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、参加采购活动前3年内在经营活动中没有重大违法记录的声明函</w:t>
      </w:r>
      <w:bookmarkEnd w:id="22"/>
      <w:bookmarkEnd w:id="23"/>
      <w:bookmarkEnd w:id="24"/>
      <w:bookmarkEnd w:id="25"/>
      <w:bookmarkEnd w:id="26"/>
      <w:bookmarkEnd w:id="27"/>
      <w:bookmarkEnd w:id="28"/>
      <w:bookmarkEnd w:id="29"/>
      <w:bookmarkEnd w:id="30"/>
      <w:bookmarkEnd w:id="31"/>
      <w:bookmarkEnd w:id="32"/>
      <w:bookmarkEnd w:id="33"/>
    </w:p>
    <w:p>
      <w:pPr>
        <w:shd w:val="clear" w:color="auto" w:fill="FFFFFF"/>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杭州临平旅游文化创意有限公司</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杭州华瑞新洲工程造价咨询有限公司</w:t>
      </w:r>
      <w:r>
        <w:rPr>
          <w:rFonts w:hint="eastAsia" w:ascii="仿宋" w:hAnsi="仿宋" w:eastAsia="仿宋" w:cs="仿宋"/>
          <w:color w:val="auto"/>
          <w:kern w:val="0"/>
          <w:sz w:val="24"/>
          <w:highlight w:val="none"/>
        </w:rPr>
        <w:t>：</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w:t>
      </w:r>
      <w:r>
        <w:rPr>
          <w:rFonts w:hint="eastAsia" w:ascii="仿宋" w:hAnsi="仿宋" w:eastAsia="仿宋" w:cs="仿宋"/>
          <w:color w:val="auto"/>
          <w:kern w:val="0"/>
          <w:sz w:val="24"/>
          <w:highlight w:val="none"/>
          <w:u w:val="single"/>
        </w:rPr>
        <w:t xml:space="preserve"> （供应商）</w:t>
      </w:r>
      <w:r>
        <w:rPr>
          <w:rFonts w:hint="eastAsia" w:ascii="仿宋" w:hAnsi="仿宋" w:eastAsia="仿宋" w:cs="仿宋"/>
          <w:color w:val="auto"/>
          <w:kern w:val="0"/>
          <w:sz w:val="24"/>
          <w:highlight w:val="none"/>
        </w:rPr>
        <w:t>具有良好的商业信誉，依法缴纳税收和社会保障资金，未被列入失信被执行人名单、重大税收违法案件当事人名单、采购严重违法失信行为记录名单，参加本次采购活动前3年内在经营活动中没有重大违法记录（没有因违法经营受到刑事处罚，没有被责令停产停业、被吊销许可证或者执照、被处以较大数额罚款等行政处罚，没有因违法经营被禁止参加采购活动的期限未满情形）。如有虚假，采购人可取消我方任何资格（投标/中标/签订合同），我方对此无任何异议。</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特此承诺！</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供应商名称（盖章） ：</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法定代表人或其授权代表（签字或盖章）：</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pPr>
        <w:pStyle w:val="6"/>
        <w:tabs>
          <w:tab w:val="left" w:pos="706"/>
          <w:tab w:val="left" w:pos="1110"/>
        </w:tabs>
        <w:ind w:left="106" w:firstLine="454"/>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kern w:val="36"/>
          <w:sz w:val="32"/>
          <w:szCs w:val="28"/>
          <w:highlight w:val="none"/>
        </w:rPr>
        <w:sectPr>
          <w:pgSz w:w="11906" w:h="16838"/>
          <w:pgMar w:top="1440" w:right="1800" w:bottom="1440" w:left="1800" w:header="851" w:footer="992" w:gutter="0"/>
          <w:cols w:space="720" w:num="1"/>
          <w:docGrid w:type="lines" w:linePitch="312" w:charSpace="0"/>
        </w:sectPr>
      </w:pPr>
    </w:p>
    <w:p>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36"/>
          <w:sz w:val="32"/>
          <w:szCs w:val="28"/>
          <w:highlight w:val="none"/>
          <w:lang w:eastAsia="zh-CN"/>
        </w:rPr>
        <w:t>四</w:t>
      </w:r>
      <w:r>
        <w:rPr>
          <w:rFonts w:hint="eastAsia" w:ascii="仿宋" w:hAnsi="仿宋" w:eastAsia="仿宋" w:cs="仿宋"/>
          <w:b/>
          <w:color w:val="auto"/>
          <w:kern w:val="36"/>
          <w:sz w:val="32"/>
          <w:szCs w:val="28"/>
          <w:highlight w:val="none"/>
        </w:rPr>
        <w:t>、</w:t>
      </w:r>
      <w:r>
        <w:rPr>
          <w:rFonts w:hint="eastAsia" w:ascii="仿宋" w:hAnsi="仿宋" w:eastAsia="仿宋" w:cs="仿宋"/>
          <w:b/>
          <w:color w:val="auto"/>
          <w:kern w:val="0"/>
          <w:sz w:val="32"/>
          <w:szCs w:val="32"/>
          <w:highlight w:val="none"/>
        </w:rPr>
        <w:t>与参加本次项目同一合同项下采购活动的其他供应商不存在单位负责人为同一人或者直接控股、管理关系的</w:t>
      </w:r>
    </w:p>
    <w:p>
      <w:pPr>
        <w:spacing w:line="360" w:lineRule="auto"/>
        <w:jc w:val="center"/>
        <w:rPr>
          <w:rFonts w:hint="eastAsia" w:ascii="仿宋" w:hAnsi="仿宋" w:eastAsia="仿宋" w:cs="仿宋"/>
          <w:b/>
          <w:color w:val="auto"/>
          <w:w w:val="80"/>
          <w:kern w:val="0"/>
          <w:sz w:val="32"/>
          <w:szCs w:val="32"/>
          <w:highlight w:val="none"/>
        </w:rPr>
      </w:pPr>
      <w:r>
        <w:rPr>
          <w:rFonts w:hint="eastAsia" w:ascii="仿宋" w:hAnsi="仿宋" w:eastAsia="仿宋" w:cs="仿宋"/>
          <w:b/>
          <w:color w:val="auto"/>
          <w:kern w:val="0"/>
          <w:sz w:val="32"/>
          <w:szCs w:val="32"/>
          <w:highlight w:val="none"/>
        </w:rPr>
        <w:t>承诺函</w:t>
      </w:r>
    </w:p>
    <w:p>
      <w:pPr>
        <w:shd w:val="clear" w:color="auto" w:fill="FFFFFF"/>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杭州临平旅游文化创意有限公司</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杭州华瑞新洲工程造价咨询有限公司</w:t>
      </w:r>
      <w:r>
        <w:rPr>
          <w:rFonts w:hint="eastAsia" w:ascii="仿宋" w:hAnsi="仿宋" w:eastAsia="仿宋" w:cs="仿宋"/>
          <w:color w:val="auto"/>
          <w:kern w:val="0"/>
          <w:sz w:val="24"/>
          <w:highlight w:val="none"/>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我方郑重承诺，我方此次参加</w:t>
      </w:r>
      <w:r>
        <w:rPr>
          <w:rFonts w:hint="eastAsia" w:ascii="仿宋" w:hAnsi="仿宋" w:eastAsia="仿宋" w:cs="仿宋"/>
          <w:color w:val="auto"/>
          <w:kern w:val="0"/>
          <w:sz w:val="24"/>
          <w:highlight w:val="none"/>
          <w:lang w:eastAsia="zh-CN"/>
        </w:rPr>
        <w:t>临平区中医院数据中心和网络安全运维服务项目</w:t>
      </w:r>
      <w:r>
        <w:rPr>
          <w:rFonts w:hint="eastAsia" w:ascii="仿宋" w:hAnsi="仿宋" w:eastAsia="仿宋" w:cs="仿宋"/>
          <w:color w:val="auto"/>
          <w:kern w:val="0"/>
          <w:sz w:val="24"/>
          <w:highlight w:val="none"/>
        </w:rPr>
        <w:t>的投标，与参加本次项目同一合同项下采购活动的其他供应商不存在单位负责人为同一人或者直接控股、管理关系。如有虚假或隐瞒，愿意承担一切后果。</w:t>
      </w:r>
    </w:p>
    <w:p>
      <w:pPr>
        <w:shd w:val="clear" w:color="auto" w:fill="FFFFFF"/>
        <w:snapToGrid w:val="0"/>
        <w:spacing w:line="360" w:lineRule="auto"/>
        <w:jc w:val="center"/>
        <w:rPr>
          <w:rFonts w:hint="eastAsia" w:ascii="仿宋" w:hAnsi="仿宋" w:eastAsia="仿宋" w:cs="仿宋"/>
          <w:b/>
          <w:color w:val="auto"/>
          <w:kern w:val="36"/>
          <w:sz w:val="24"/>
          <w:highlight w:val="none"/>
        </w:rPr>
      </w:pP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特此承诺！</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供应商名称（盖章） ：</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法定代表人或其授权代表（签字或盖章）：</w:t>
      </w:r>
    </w:p>
    <w:p>
      <w:pPr>
        <w:widowControl/>
        <w:adjustRightInd w:val="0"/>
        <w:snapToGrid w:val="0"/>
        <w:spacing w:line="360" w:lineRule="auto"/>
        <w:ind w:firstLine="480" w:firstLineChars="200"/>
        <w:jc w:val="left"/>
        <w:rPr>
          <w:rFonts w:hint="eastAsia" w:ascii="仿宋" w:hAnsi="仿宋" w:eastAsia="仿宋" w:cs="仿宋"/>
          <w:color w:val="auto"/>
          <w:kern w:val="0"/>
          <w:sz w:val="24"/>
          <w:highlight w:val="none"/>
        </w:rPr>
      </w:pPr>
    </w:p>
    <w:p>
      <w:pPr>
        <w:widowControl/>
        <w:adjustRightInd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pPr>
        <w:shd w:val="clear" w:color="auto" w:fill="FFFFFF"/>
        <w:snapToGrid w:val="0"/>
        <w:spacing w:line="360" w:lineRule="auto"/>
        <w:rPr>
          <w:rFonts w:hint="eastAsia" w:ascii="仿宋" w:hAnsi="仿宋" w:eastAsia="仿宋" w:cs="仿宋"/>
          <w:color w:val="auto"/>
          <w:sz w:val="24"/>
          <w:highlight w:val="none"/>
        </w:rPr>
      </w:pPr>
    </w:p>
    <w:p>
      <w:pPr>
        <w:shd w:val="clear" w:color="auto" w:fill="FFFFFF"/>
        <w:snapToGrid w:val="0"/>
        <w:spacing w:line="360" w:lineRule="auto"/>
        <w:jc w:val="cente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kern w:val="36"/>
          <w:sz w:val="32"/>
          <w:szCs w:val="28"/>
          <w:highlight w:val="none"/>
        </w:rPr>
      </w:pPr>
      <w:r>
        <w:rPr>
          <w:rFonts w:hint="eastAsia" w:ascii="仿宋" w:hAnsi="仿宋" w:eastAsia="仿宋" w:cs="仿宋"/>
          <w:b/>
          <w:color w:val="auto"/>
          <w:kern w:val="0"/>
          <w:sz w:val="32"/>
          <w:szCs w:val="32"/>
          <w:highlight w:val="none"/>
          <w:lang w:eastAsia="zh-CN"/>
        </w:rPr>
        <w:t>五</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36"/>
          <w:sz w:val="32"/>
          <w:szCs w:val="28"/>
          <w:highlight w:val="none"/>
        </w:rPr>
        <w:t>投标供应商</w:t>
      </w:r>
      <w:r>
        <w:rPr>
          <w:rFonts w:hint="eastAsia" w:ascii="仿宋" w:hAnsi="仿宋" w:eastAsia="仿宋" w:cs="仿宋"/>
          <w:b/>
          <w:color w:val="auto"/>
          <w:kern w:val="36"/>
          <w:sz w:val="32"/>
          <w:szCs w:val="28"/>
          <w:highlight w:val="none"/>
          <w:lang w:eastAsia="zh-CN"/>
        </w:rPr>
        <w:t>无</w:t>
      </w:r>
      <w:r>
        <w:rPr>
          <w:rFonts w:hint="eastAsia" w:ascii="仿宋" w:hAnsi="仿宋" w:eastAsia="仿宋" w:cs="仿宋"/>
          <w:b/>
          <w:color w:val="auto"/>
          <w:kern w:val="36"/>
          <w:sz w:val="32"/>
          <w:szCs w:val="28"/>
          <w:highlight w:val="none"/>
        </w:rPr>
        <w:t>失信记录承诺函</w:t>
      </w:r>
    </w:p>
    <w:p>
      <w:pPr>
        <w:shd w:val="clear" w:color="auto" w:fill="FFFFFF"/>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杭州临平旅游文化创意有限公司</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杭州华瑞新洲工程造价咨询有限公司</w:t>
      </w:r>
      <w:r>
        <w:rPr>
          <w:rFonts w:hint="eastAsia" w:ascii="仿宋" w:hAnsi="仿宋" w:eastAsia="仿宋" w:cs="仿宋"/>
          <w:color w:val="auto"/>
          <w:kern w:val="0"/>
          <w:sz w:val="24"/>
          <w:highlight w:val="none"/>
        </w:rPr>
        <w:t>：</w:t>
      </w:r>
    </w:p>
    <w:p>
      <w:pPr>
        <w:spacing w:line="360" w:lineRule="auto"/>
        <w:ind w:firstLine="484" w:firstLineChars="202"/>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hd w:val="clear" w:color="auto" w:fill="FFFFFF"/>
        <w:snapToGrid w:val="0"/>
        <w:spacing w:line="360" w:lineRule="auto"/>
        <w:rPr>
          <w:rFonts w:hint="eastAsia" w:ascii="仿宋" w:hAnsi="仿宋" w:eastAsia="仿宋" w:cs="仿宋"/>
          <w:color w:val="auto"/>
          <w:sz w:val="24"/>
          <w:highlight w:val="none"/>
        </w:rPr>
      </w:pP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特此承诺！</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供应商名称（盖章） ：</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法定代表人或其授权代表（签字或盖章）：</w:t>
      </w:r>
    </w:p>
    <w:p>
      <w:pPr>
        <w:widowControl/>
        <w:adjustRightInd w:val="0"/>
        <w:snapToGrid w:val="0"/>
        <w:spacing w:line="360" w:lineRule="auto"/>
        <w:ind w:firstLine="480" w:firstLineChars="200"/>
        <w:jc w:val="left"/>
        <w:rPr>
          <w:rFonts w:hint="eastAsia" w:ascii="仿宋" w:hAnsi="仿宋" w:eastAsia="仿宋" w:cs="仿宋"/>
          <w:color w:val="auto"/>
          <w:kern w:val="0"/>
          <w:sz w:val="24"/>
          <w:highlight w:val="none"/>
        </w:rPr>
      </w:pPr>
    </w:p>
    <w:p>
      <w:pPr>
        <w:widowControl/>
        <w:adjustRightInd w:val="0"/>
        <w:snapToGrid w:val="0"/>
        <w:spacing w:line="360" w:lineRule="auto"/>
        <w:ind w:firstLine="480" w:firstLineChars="200"/>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pPr>
        <w:pStyle w:val="2"/>
        <w:rPr>
          <w:rFonts w:hint="eastAsia" w:ascii="仿宋" w:hAnsi="仿宋" w:eastAsia="仿宋" w:cs="仿宋"/>
          <w:color w:val="auto"/>
          <w:highlight w:val="none"/>
        </w:rPr>
        <w:sectPr>
          <w:pgSz w:w="11906" w:h="16838"/>
          <w:pgMar w:top="1531" w:right="1304" w:bottom="1531" w:left="1361" w:header="851" w:footer="601"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center"/>
        <w:rPr>
          <w:rFonts w:hint="eastAsia" w:ascii="仿宋" w:hAnsi="仿宋" w:eastAsia="仿宋" w:cs="仿宋"/>
          <w:b/>
          <w:color w:val="auto"/>
          <w:kern w:val="36"/>
          <w:sz w:val="32"/>
          <w:szCs w:val="28"/>
          <w:highlight w:val="none"/>
        </w:rPr>
      </w:pPr>
      <w:bookmarkStart w:id="34" w:name="_Toc328381294"/>
      <w:bookmarkStart w:id="35" w:name="_Toc349721556"/>
      <w:bookmarkStart w:id="36" w:name="_Toc339872470"/>
      <w:bookmarkStart w:id="37" w:name="_Toc297472825"/>
      <w:bookmarkStart w:id="38" w:name="_Toc303256683"/>
      <w:bookmarkStart w:id="39" w:name="_Toc297472057"/>
      <w:bookmarkStart w:id="40" w:name="_Toc350327367"/>
      <w:bookmarkStart w:id="41" w:name="_Toc354859551"/>
      <w:bookmarkStart w:id="42" w:name="_Toc354859632"/>
      <w:bookmarkStart w:id="43" w:name="_Toc354859475"/>
      <w:bookmarkStart w:id="44" w:name="_Toc233618991"/>
      <w:r>
        <w:rPr>
          <w:rFonts w:hint="eastAsia" w:ascii="仿宋" w:hAnsi="仿宋" w:eastAsia="仿宋" w:cs="仿宋"/>
          <w:b/>
          <w:color w:val="auto"/>
          <w:kern w:val="36"/>
          <w:sz w:val="32"/>
          <w:szCs w:val="28"/>
          <w:highlight w:val="none"/>
          <w:lang w:val="en-US" w:eastAsia="zh-CN"/>
        </w:rPr>
        <w:t>六</w:t>
      </w:r>
      <w:r>
        <w:rPr>
          <w:rFonts w:hint="eastAsia" w:ascii="仿宋" w:hAnsi="仿宋" w:eastAsia="仿宋" w:cs="仿宋"/>
          <w:b/>
          <w:color w:val="auto"/>
          <w:kern w:val="36"/>
          <w:sz w:val="32"/>
          <w:szCs w:val="28"/>
          <w:highlight w:val="none"/>
        </w:rPr>
        <w:t>、投标响应函</w:t>
      </w:r>
      <w:bookmarkEnd w:id="34"/>
      <w:bookmarkEnd w:id="35"/>
      <w:bookmarkEnd w:id="36"/>
      <w:bookmarkEnd w:id="37"/>
      <w:bookmarkEnd w:id="38"/>
      <w:bookmarkEnd w:id="39"/>
      <w:bookmarkEnd w:id="40"/>
    </w:p>
    <w:p>
      <w:pPr>
        <w:widowControl w:val="0"/>
        <w:shd w:val="clear" w:color="010000" w:fill="auto"/>
        <w:wordWrap/>
        <w:spacing w:line="6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杭州临平旅游文化创意有限公司</w:t>
      </w:r>
      <w:r>
        <w:rPr>
          <w:rFonts w:hint="eastAsia" w:ascii="仿宋" w:hAnsi="仿宋" w:eastAsia="仿宋" w:cs="仿宋"/>
          <w:b/>
          <w:color w:val="auto"/>
          <w:sz w:val="24"/>
          <w:highlight w:val="none"/>
        </w:rPr>
        <w:t>：</w:t>
      </w:r>
    </w:p>
    <w:p>
      <w:pPr>
        <w:widowControl w:val="0"/>
        <w:shd w:val="clear" w:color="010000" w:fill="auto"/>
        <w:wordWrap/>
        <w:adjustRightInd w:val="0"/>
        <w:snapToGrid w:val="0"/>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(投标人全称)授权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(全权代表姓名)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(职务、职称)为全权代表，参加贵方组织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项目（项目编号：</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）采购的有关活动，并对此项目进行投标。全部投标文件，包括</w:t>
      </w:r>
      <w:r>
        <w:rPr>
          <w:rFonts w:hint="eastAsia" w:ascii="仿宋" w:hAnsi="仿宋" w:eastAsia="仿宋" w:cs="仿宋"/>
          <w:color w:val="auto"/>
          <w:sz w:val="24"/>
          <w:highlight w:val="none"/>
          <w:lang w:eastAsia="zh-CN"/>
        </w:rPr>
        <w:t>资格文件</w:t>
      </w:r>
      <w:r>
        <w:rPr>
          <w:rFonts w:hint="eastAsia" w:ascii="仿宋" w:hAnsi="仿宋" w:eastAsia="仿宋" w:cs="仿宋"/>
          <w:color w:val="auto"/>
          <w:sz w:val="24"/>
          <w:highlight w:val="none"/>
        </w:rPr>
        <w:t>正本一份、副本</w:t>
      </w:r>
      <w:r>
        <w:rPr>
          <w:rFonts w:hint="eastAsia" w:ascii="仿宋" w:hAnsi="仿宋" w:eastAsia="仿宋" w:cs="仿宋"/>
          <w:color w:val="auto"/>
          <w:sz w:val="24"/>
          <w:highlight w:val="none"/>
          <w:lang w:eastAsia="zh-CN"/>
        </w:rPr>
        <w:t>四</w:t>
      </w:r>
      <w:r>
        <w:rPr>
          <w:rFonts w:hint="eastAsia" w:ascii="仿宋" w:hAnsi="仿宋" w:eastAsia="仿宋" w:cs="仿宋"/>
          <w:color w:val="auto"/>
          <w:sz w:val="24"/>
          <w:highlight w:val="none"/>
        </w:rPr>
        <w:t>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报价文件正本一份、副本</w:t>
      </w:r>
      <w:r>
        <w:rPr>
          <w:rFonts w:hint="eastAsia" w:ascii="仿宋" w:hAnsi="仿宋" w:eastAsia="仿宋" w:cs="仿宋"/>
          <w:color w:val="auto"/>
          <w:sz w:val="24"/>
          <w:highlight w:val="none"/>
          <w:lang w:eastAsia="zh-CN"/>
        </w:rPr>
        <w:t>四</w:t>
      </w:r>
      <w:r>
        <w:rPr>
          <w:rFonts w:hint="eastAsia" w:ascii="仿宋" w:hAnsi="仿宋" w:eastAsia="仿宋" w:cs="仿宋"/>
          <w:color w:val="auto"/>
          <w:sz w:val="24"/>
          <w:highlight w:val="none"/>
        </w:rPr>
        <w:t>份，</w:t>
      </w:r>
      <w:r>
        <w:rPr>
          <w:rFonts w:hint="eastAsia" w:ascii="仿宋" w:hAnsi="仿宋" w:eastAsia="仿宋" w:cs="仿宋"/>
          <w:color w:val="auto"/>
          <w:sz w:val="24"/>
          <w:highlight w:val="none"/>
          <w:lang w:eastAsia="zh-CN"/>
        </w:rPr>
        <w:t>商务</w:t>
      </w:r>
      <w:r>
        <w:rPr>
          <w:rFonts w:hint="eastAsia" w:ascii="仿宋" w:hAnsi="仿宋" w:eastAsia="仿宋" w:cs="仿宋"/>
          <w:color w:val="auto"/>
          <w:sz w:val="24"/>
          <w:highlight w:val="none"/>
        </w:rPr>
        <w:t>/技术文件正本一份、副本</w:t>
      </w:r>
      <w:r>
        <w:rPr>
          <w:rFonts w:hint="eastAsia" w:ascii="仿宋" w:hAnsi="仿宋" w:eastAsia="仿宋" w:cs="仿宋"/>
          <w:color w:val="auto"/>
          <w:sz w:val="24"/>
          <w:highlight w:val="none"/>
          <w:lang w:eastAsia="zh-CN"/>
        </w:rPr>
        <w:t>四</w:t>
      </w:r>
      <w:r>
        <w:rPr>
          <w:rFonts w:hint="eastAsia" w:ascii="仿宋" w:hAnsi="仿宋" w:eastAsia="仿宋" w:cs="仿宋"/>
          <w:color w:val="auto"/>
          <w:sz w:val="24"/>
          <w:highlight w:val="none"/>
        </w:rPr>
        <w:t>份，以及其他要求投标人提交的全部文件。</w:t>
      </w:r>
    </w:p>
    <w:p>
      <w:pPr>
        <w:widowControl w:val="0"/>
        <w:shd w:val="clear" w:color="010000" w:fill="auto"/>
        <w:wordWrap/>
        <w:adjustRightInd w:val="0"/>
        <w:snapToGrid w:val="0"/>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据此函，签字代表宣布同意如下：</w:t>
      </w:r>
    </w:p>
    <w:p>
      <w:pPr>
        <w:widowControl w:val="0"/>
        <w:shd w:val="clear" w:color="010000" w:fill="auto"/>
        <w:wordWrap/>
        <w:adjustRightInd w:val="0"/>
        <w:snapToGrid w:val="0"/>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1、我方承诺已经具备的条件：</w:t>
      </w:r>
    </w:p>
    <w:p>
      <w:pPr>
        <w:widowControl w:val="0"/>
        <w:shd w:val="clear" w:color="010000" w:fill="auto"/>
        <w:wordWrap/>
        <w:adjustRightInd w:val="0"/>
        <w:snapToGrid w:val="0"/>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（一）具有独立承担民事责任的能力；</w:t>
      </w:r>
    </w:p>
    <w:p>
      <w:pPr>
        <w:widowControl w:val="0"/>
        <w:shd w:val="clear" w:color="010000" w:fill="auto"/>
        <w:wordWrap/>
        <w:adjustRightInd w:val="0"/>
        <w:snapToGrid w:val="0"/>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（二）具有良好的商业信誉和健全的财务会计制度；</w:t>
      </w:r>
    </w:p>
    <w:p>
      <w:pPr>
        <w:widowControl w:val="0"/>
        <w:shd w:val="clear" w:color="010000" w:fill="auto"/>
        <w:wordWrap/>
        <w:adjustRightInd w:val="0"/>
        <w:snapToGrid w:val="0"/>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（三）具有履行合同所必需的设备和专业技术能力；</w:t>
      </w:r>
    </w:p>
    <w:p>
      <w:pPr>
        <w:widowControl w:val="0"/>
        <w:shd w:val="clear" w:color="010000" w:fill="auto"/>
        <w:wordWrap/>
        <w:adjustRightInd w:val="0"/>
        <w:snapToGrid w:val="0"/>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（四）有依法缴纳税收和社会保障资金的良好记录；</w:t>
      </w:r>
    </w:p>
    <w:p>
      <w:pPr>
        <w:widowControl w:val="0"/>
        <w:shd w:val="clear" w:color="010000" w:fill="auto"/>
        <w:wordWrap/>
        <w:adjustRightInd w:val="0"/>
        <w:snapToGrid w:val="0"/>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（五）参加采购活动前三年内，在经营活动中没有重大违法记录；</w:t>
      </w:r>
    </w:p>
    <w:p>
      <w:pPr>
        <w:widowControl w:val="0"/>
        <w:shd w:val="clear" w:color="010000" w:fill="auto"/>
        <w:wordWrap/>
        <w:adjustRightInd w:val="0"/>
        <w:snapToGrid w:val="0"/>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（六）法律、行政法规规定的其他条件。</w:t>
      </w:r>
    </w:p>
    <w:p>
      <w:pPr>
        <w:widowControl w:val="0"/>
        <w:shd w:val="clear" w:color="010000" w:fill="auto"/>
        <w:wordWrap/>
        <w:adjustRightInd w:val="0"/>
        <w:snapToGrid w:val="0"/>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2、本投标有效期自投标文件合格递交之日起</w:t>
      </w:r>
      <w:r>
        <w:rPr>
          <w:rFonts w:hint="eastAsia" w:ascii="仿宋" w:hAnsi="仿宋" w:eastAsia="仿宋" w:cs="仿宋"/>
          <w:b/>
          <w:color w:val="auto"/>
          <w:sz w:val="24"/>
          <w:highlight w:val="none"/>
          <w:u w:val="thick"/>
        </w:rPr>
        <w:t xml:space="preserve"> 60日</w:t>
      </w:r>
      <w:r>
        <w:rPr>
          <w:rFonts w:hint="eastAsia" w:ascii="仿宋" w:hAnsi="仿宋" w:eastAsia="仿宋" w:cs="仿宋"/>
          <w:color w:val="auto"/>
          <w:sz w:val="24"/>
          <w:highlight w:val="none"/>
        </w:rPr>
        <w:t>。</w:t>
      </w:r>
    </w:p>
    <w:p>
      <w:pPr>
        <w:widowControl w:val="0"/>
        <w:shd w:val="clear" w:color="010000" w:fill="auto"/>
        <w:wordWrap/>
        <w:adjustRightInd w:val="0"/>
        <w:snapToGrid w:val="0"/>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3、如我方中标，本投标文件至本项目合同履行完毕止均保持有效，我方将按招标文件及采购法律、法规的规定履行合同责任和义务。</w:t>
      </w:r>
    </w:p>
    <w:p>
      <w:pPr>
        <w:widowControl w:val="0"/>
        <w:shd w:val="clear" w:color="010000" w:fill="auto"/>
        <w:wordWrap/>
        <w:adjustRightInd w:val="0"/>
        <w:snapToGrid w:val="0"/>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4、如果在开标后规定的投标有效期内撤回投标，我方的投标保证金将不被退还。</w:t>
      </w:r>
    </w:p>
    <w:p>
      <w:pPr>
        <w:widowControl w:val="0"/>
        <w:shd w:val="clear" w:color="010000" w:fill="auto"/>
        <w:wordWrap/>
        <w:adjustRightInd w:val="0"/>
        <w:snapToGrid w:val="0"/>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5、我方完全理解贵方不一定要接受最低价的投标。</w:t>
      </w:r>
    </w:p>
    <w:p>
      <w:pPr>
        <w:widowControl w:val="0"/>
        <w:shd w:val="clear" w:color="010000" w:fill="auto"/>
        <w:wordWrap/>
        <w:adjustRightInd w:val="0"/>
        <w:snapToGrid w:val="0"/>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6、我方同意按照贵方要求提供与投标有关的一切数据或资料，配合招标采购单位进行评标、验收等与本次采购相关工作。</w:t>
      </w:r>
    </w:p>
    <w:p>
      <w:pPr>
        <w:widowControl w:val="0"/>
        <w:shd w:val="clear" w:color="010000" w:fill="auto"/>
        <w:wordWrap/>
        <w:adjustRightInd w:val="0"/>
        <w:snapToGrid w:val="0"/>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7、我方在投标之前已经与贵方进行了充分的沟通，完全理解并接受招标文件的各项规定和要求，对招标文件的合理性、合法性不再有异议。并保证遵守采购文件中的有关规定。</w:t>
      </w:r>
    </w:p>
    <w:p>
      <w:pPr>
        <w:widowControl w:val="0"/>
        <w:shd w:val="clear" w:color="010000" w:fill="auto"/>
        <w:wordWrap/>
        <w:adjustRightInd w:val="0"/>
        <w:snapToGrid w:val="0"/>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8、我方已详细审查全部招标文件，包括更正通知（如有的话）以及全部参考资料和有关附件，已经了解我方对于招标文件、采购过程、采购结果有依法进行询问、质疑、投诉的权利及相关渠道和要求。</w:t>
      </w:r>
    </w:p>
    <w:p>
      <w:pPr>
        <w:widowControl w:val="0"/>
        <w:shd w:val="clear" w:color="010000" w:fill="auto"/>
        <w:wordWrap/>
        <w:adjustRightInd w:val="0"/>
        <w:snapToGrid w:val="0"/>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9、我方向贵方提交的所有投标文件、资料都是准确的和真实的。</w:t>
      </w:r>
    </w:p>
    <w:p>
      <w:pPr>
        <w:widowControl w:val="0"/>
        <w:shd w:val="clear" w:color="010000" w:fill="auto"/>
        <w:wordWrap/>
        <w:adjustRightInd w:val="0"/>
        <w:snapToGrid w:val="0"/>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我方将严格遵守规定，供应商有下列情形之一的，处以采购金额千分之五以上千分之十以下的罚款，列入不良行为记录名单，在一至三年内禁止参加采购活动，有违法所得的，并处没收违法所得，情节严重的，由工商行政管理机关吊销营业执照；构成犯罪的，依法追究刑事责任：</w:t>
      </w:r>
    </w:p>
    <w:p>
      <w:pPr>
        <w:widowControl w:val="0"/>
        <w:shd w:val="clear" w:color="010000" w:fill="auto"/>
        <w:wordWrap/>
        <w:adjustRightInd w:val="0"/>
        <w:snapToGrid w:val="0"/>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（一）提供虚假材料谋取中标、成交的；</w:t>
      </w:r>
    </w:p>
    <w:p>
      <w:pPr>
        <w:widowControl w:val="0"/>
        <w:shd w:val="clear" w:color="010000" w:fill="auto"/>
        <w:wordWrap/>
        <w:adjustRightInd w:val="0"/>
        <w:snapToGrid w:val="0"/>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（二）采取不正当手段诋毁、排挤其他供应商的；</w:t>
      </w:r>
    </w:p>
    <w:p>
      <w:pPr>
        <w:widowControl w:val="0"/>
        <w:shd w:val="clear" w:color="010000" w:fill="auto"/>
        <w:wordWrap/>
        <w:adjustRightInd w:val="0"/>
        <w:snapToGrid w:val="0"/>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（三）与采购人、其他供应商或者采购代理机构恶意串通的；</w:t>
      </w:r>
    </w:p>
    <w:p>
      <w:pPr>
        <w:widowControl w:val="0"/>
        <w:shd w:val="clear" w:color="010000" w:fill="auto"/>
        <w:wordWrap/>
        <w:adjustRightInd w:val="0"/>
        <w:snapToGrid w:val="0"/>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（四）向采购人、采购代理机构行贿或者提供其他不正当利益的；</w:t>
      </w:r>
    </w:p>
    <w:p>
      <w:pPr>
        <w:widowControl w:val="0"/>
        <w:shd w:val="clear" w:color="010000" w:fill="auto"/>
        <w:wordWrap/>
        <w:adjustRightInd w:val="0"/>
        <w:snapToGrid w:val="0"/>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（五）在招标采购过程中与采购人进行协商谈判的；</w:t>
      </w:r>
    </w:p>
    <w:p>
      <w:pPr>
        <w:widowControl w:val="0"/>
        <w:shd w:val="clear" w:color="010000" w:fill="auto"/>
        <w:wordWrap/>
        <w:adjustRightInd w:val="0"/>
        <w:snapToGrid w:val="0"/>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（六）拒绝有关部门监督检查或者提供虚假情况的。</w:t>
      </w:r>
    </w:p>
    <w:p>
      <w:pPr>
        <w:widowControl w:val="0"/>
        <w:shd w:val="clear" w:color="010000" w:fill="auto"/>
        <w:wordWrap/>
        <w:adjustRightInd w:val="0"/>
        <w:snapToGrid w:val="0"/>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供应商有前款第（一）至（五）项情形之一的，中标、成交无效。</w:t>
      </w:r>
    </w:p>
    <w:p>
      <w:pPr>
        <w:widowControl w:val="0"/>
        <w:shd w:val="clear" w:color="010000" w:fill="auto"/>
        <w:wordWrap/>
        <w:autoSpaceDE w:val="0"/>
        <w:autoSpaceDN w:val="0"/>
        <w:adjustRightInd w:val="0"/>
        <w:spacing w:line="600" w:lineRule="exact"/>
        <w:textAlignment w:val="auto"/>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highlight w:val="none"/>
          <w:lang w:val="zh-CN"/>
        </w:rPr>
        <w:t xml:space="preserve">法定代表人或授权代表（签字）： </w:t>
      </w:r>
      <w:r>
        <w:rPr>
          <w:rFonts w:hint="eastAsia" w:ascii="仿宋" w:hAnsi="仿宋" w:eastAsia="仿宋" w:cs="仿宋"/>
          <w:color w:val="auto"/>
          <w:kern w:val="0"/>
          <w:sz w:val="24"/>
          <w:highlight w:val="none"/>
          <w:u w:val="single"/>
          <w:lang w:val="zh-CN"/>
        </w:rPr>
        <w:t xml:space="preserve">                     </w:t>
      </w:r>
    </w:p>
    <w:p>
      <w:pPr>
        <w:widowControl w:val="0"/>
        <w:shd w:val="clear" w:color="010000" w:fill="auto"/>
        <w:wordWrap/>
        <w:autoSpaceDE w:val="0"/>
        <w:autoSpaceDN w:val="0"/>
        <w:adjustRightInd w:val="0"/>
        <w:spacing w:line="600" w:lineRule="exact"/>
        <w:textAlignment w:val="auto"/>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highlight w:val="none"/>
          <w:lang w:val="zh-CN"/>
        </w:rPr>
        <w:t xml:space="preserve">投标人（公章）：  </w:t>
      </w:r>
      <w:r>
        <w:rPr>
          <w:rFonts w:hint="eastAsia" w:ascii="仿宋" w:hAnsi="仿宋" w:eastAsia="仿宋" w:cs="仿宋"/>
          <w:color w:val="auto"/>
          <w:kern w:val="0"/>
          <w:sz w:val="24"/>
          <w:highlight w:val="none"/>
          <w:u w:val="single"/>
          <w:lang w:val="zh-CN"/>
        </w:rPr>
        <w:t xml:space="preserve">                       </w:t>
      </w:r>
    </w:p>
    <w:p>
      <w:pPr>
        <w:widowControl w:val="0"/>
        <w:shd w:val="clear" w:color="010000" w:fill="auto"/>
        <w:wordWrap/>
        <w:autoSpaceDE w:val="0"/>
        <w:autoSpaceDN w:val="0"/>
        <w:adjustRightInd w:val="0"/>
        <w:spacing w:line="6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联系人：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 xml:space="preserve">  邮政编码：</w:t>
      </w:r>
      <w:r>
        <w:rPr>
          <w:rFonts w:hint="eastAsia" w:ascii="仿宋" w:hAnsi="仿宋" w:eastAsia="仿宋" w:cs="仿宋"/>
          <w:color w:val="auto"/>
          <w:kern w:val="0"/>
          <w:sz w:val="24"/>
          <w:highlight w:val="none"/>
          <w:u w:val="single"/>
          <w:lang w:val="zh-CN"/>
        </w:rPr>
        <w:t xml:space="preserve">                     </w:t>
      </w:r>
    </w:p>
    <w:p>
      <w:pPr>
        <w:widowControl w:val="0"/>
        <w:shd w:val="clear" w:color="010000" w:fill="auto"/>
        <w:wordWrap/>
        <w:autoSpaceDE w:val="0"/>
        <w:autoSpaceDN w:val="0"/>
        <w:adjustRightInd w:val="0"/>
        <w:spacing w:line="6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联系地址：</w:t>
      </w:r>
      <w:r>
        <w:rPr>
          <w:rFonts w:hint="eastAsia" w:ascii="仿宋" w:hAnsi="仿宋" w:eastAsia="仿宋" w:cs="仿宋"/>
          <w:color w:val="auto"/>
          <w:kern w:val="0"/>
          <w:sz w:val="24"/>
          <w:highlight w:val="none"/>
          <w:u w:val="single"/>
          <w:lang w:val="zh-CN"/>
        </w:rPr>
        <w:t xml:space="preserve">                                                             </w:t>
      </w:r>
    </w:p>
    <w:p>
      <w:pPr>
        <w:widowControl w:val="0"/>
        <w:shd w:val="clear" w:color="010000" w:fill="auto"/>
        <w:wordWrap/>
        <w:autoSpaceDE w:val="0"/>
        <w:autoSpaceDN w:val="0"/>
        <w:adjustRightInd w:val="0"/>
        <w:spacing w:line="6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联系电话：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传真号码：</w:t>
      </w:r>
      <w:r>
        <w:rPr>
          <w:rFonts w:hint="eastAsia" w:ascii="仿宋" w:hAnsi="仿宋" w:eastAsia="仿宋" w:cs="仿宋"/>
          <w:color w:val="auto"/>
          <w:kern w:val="0"/>
          <w:sz w:val="24"/>
          <w:highlight w:val="none"/>
          <w:u w:val="single"/>
          <w:lang w:val="zh-CN"/>
        </w:rPr>
        <w:t xml:space="preserve">               </w:t>
      </w:r>
    </w:p>
    <w:p>
      <w:pPr>
        <w:widowControl w:val="0"/>
        <w:shd w:val="clear" w:color="010000" w:fill="auto"/>
        <w:wordWrap/>
        <w:spacing w:line="600" w:lineRule="exac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期</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lang w:val="zh-CN"/>
        </w:rPr>
        <w:t>日</w:t>
      </w:r>
    </w:p>
    <w:p>
      <w:pPr>
        <w:pStyle w:val="2"/>
        <w:shd w:val="clear" w:color="010000" w:fill="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32"/>
          <w:szCs w:val="32"/>
          <w:highlight w:val="none"/>
        </w:rPr>
        <w:br w:type="page"/>
      </w:r>
    </w:p>
    <w:p>
      <w:pPr>
        <w:spacing w:line="360" w:lineRule="auto"/>
        <w:jc w:val="center"/>
        <w:rPr>
          <w:rFonts w:hint="eastAsia" w:ascii="仿宋" w:hAnsi="仿宋" w:eastAsia="仿宋" w:cs="仿宋"/>
          <w:b/>
          <w:color w:val="auto"/>
          <w:kern w:val="0"/>
          <w:sz w:val="32"/>
          <w:szCs w:val="32"/>
          <w:highlight w:val="none"/>
          <w:lang w:eastAsia="zh-CN"/>
        </w:rPr>
        <w:sectPr>
          <w:pgSz w:w="11906" w:h="16838"/>
          <w:pgMar w:top="1531" w:right="1304" w:bottom="1531" w:left="1361" w:header="851" w:footer="601"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cente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t>七、开标一览表</w:t>
      </w:r>
      <w:bookmarkEnd w:id="41"/>
      <w:bookmarkEnd w:id="42"/>
      <w:bookmarkEnd w:id="43"/>
      <w:bookmarkEnd w:id="44"/>
    </w:p>
    <w:p>
      <w:pPr>
        <w:pStyle w:val="2"/>
        <w:rPr>
          <w:rFonts w:hint="eastAsia" w:ascii="仿宋" w:hAnsi="仿宋" w:eastAsia="仿宋" w:cs="仿宋"/>
          <w:color w:val="auto"/>
          <w:highlight w:val="none"/>
        </w:rPr>
      </w:pPr>
    </w:p>
    <w:p>
      <w:pPr>
        <w:shd w:val="clear" w:color="000000" w:fill="auto"/>
        <w:rPr>
          <w:rFonts w:hint="eastAsia" w:ascii="仿宋" w:hAnsi="仿宋" w:eastAsia="仿宋" w:cs="仿宋"/>
          <w:color w:val="auto"/>
          <w:szCs w:val="21"/>
          <w:highlight w:val="none"/>
        </w:rPr>
      </w:pPr>
    </w:p>
    <w:p>
      <w:pPr>
        <w:shd w:val="clear" w:color="auto" w:fill="auto"/>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杭州临平旅游文化创意有限公司</w:t>
      </w:r>
    </w:p>
    <w:p>
      <w:pPr>
        <w:shd w:val="clear" w:color="auto" w:fill="auto"/>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杭州华瑞新洲工程造价咨询有限公司</w:t>
      </w:r>
      <w:r>
        <w:rPr>
          <w:rFonts w:hint="eastAsia" w:ascii="仿宋" w:hAnsi="仿宋" w:eastAsia="仿宋" w:cs="仿宋"/>
          <w:color w:val="auto"/>
          <w:sz w:val="24"/>
          <w:highlight w:val="none"/>
        </w:rPr>
        <w:t>：</w:t>
      </w:r>
    </w:p>
    <w:p>
      <w:pPr>
        <w:shd w:val="clear" w:color="auto" w:fill="auto"/>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按你方招标文件要求，我们，本投标文件签字方，谨此向你方发出要约如下：如你方接受本投标文件，我方承诺按照如下开标一览表的价格完成编号为</w:t>
      </w:r>
    </w:p>
    <w:p>
      <w:pPr>
        <w:shd w:val="clear" w:color="auto" w:fill="auto"/>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的招标文件[项目名称：</w:t>
      </w:r>
      <w:r>
        <w:rPr>
          <w:rFonts w:hint="eastAsia" w:ascii="仿宋" w:hAnsi="仿宋" w:eastAsia="仿宋" w:cs="仿宋"/>
          <w:color w:val="auto"/>
          <w:sz w:val="24"/>
          <w:highlight w:val="none"/>
          <w:lang w:eastAsia="zh-CN"/>
        </w:rPr>
        <w:t>2024-2025年度活动灯光舞台舞美租赁、布展物料采购合作项目（第二次）</w:t>
      </w:r>
      <w:r>
        <w:rPr>
          <w:rFonts w:hint="eastAsia" w:ascii="仿宋" w:hAnsi="仿宋" w:eastAsia="仿宋" w:cs="仿宋"/>
          <w:color w:val="auto"/>
          <w:kern w:val="0"/>
          <w:sz w:val="24"/>
          <w:highlight w:val="none"/>
          <w:lang w:val="zh-CN"/>
        </w:rPr>
        <w:t>]实施。</w:t>
      </w:r>
    </w:p>
    <w:p>
      <w:pPr>
        <w:shd w:val="clear" w:color="auto" w:fill="auto"/>
        <w:snapToGrid w:val="0"/>
        <w:spacing w:line="360" w:lineRule="auto"/>
        <w:jc w:val="center"/>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val="zh-CN"/>
        </w:rPr>
        <w:t>开标一览表</w:t>
      </w:r>
    </w:p>
    <w:tbl>
      <w:tblPr>
        <w:tblStyle w:val="27"/>
        <w:tblW w:w="957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98"/>
        <w:gridCol w:w="2366"/>
        <w:gridCol w:w="28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11" w:hRule="atLeast"/>
          <w:tblHeader/>
          <w:jc w:val="center"/>
        </w:trPr>
        <w:tc>
          <w:tcPr>
            <w:tcW w:w="4398" w:type="dxa"/>
            <w:tcBorders>
              <w:right w:val="single" w:color="auto" w:sz="4" w:space="0"/>
            </w:tcBorders>
            <w:vAlign w:val="center"/>
          </w:tcPr>
          <w:p>
            <w:pPr>
              <w:shd w:val="clear" w:color="000000"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2366" w:type="dxa"/>
            <w:tcBorders>
              <w:left w:val="single" w:color="auto" w:sz="4" w:space="0"/>
              <w:right w:val="single" w:color="auto" w:sz="4" w:space="0"/>
            </w:tcBorders>
            <w:vAlign w:val="center"/>
          </w:tcPr>
          <w:p>
            <w:pPr>
              <w:shd w:val="clear" w:color="000000"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服务期</w:t>
            </w:r>
          </w:p>
        </w:tc>
        <w:tc>
          <w:tcPr>
            <w:tcW w:w="2813" w:type="dxa"/>
            <w:tcBorders>
              <w:left w:val="single" w:color="auto" w:sz="4" w:space="0"/>
              <w:right w:val="single" w:color="auto" w:sz="4" w:space="0"/>
            </w:tcBorders>
            <w:vAlign w:val="center"/>
          </w:tcPr>
          <w:p>
            <w:pPr>
              <w:shd w:val="clear" w:color="000000" w:fill="auto"/>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投标报价（折扣报价%）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2" w:hRule="atLeast"/>
          <w:jc w:val="center"/>
        </w:trPr>
        <w:tc>
          <w:tcPr>
            <w:tcW w:w="4398" w:type="dxa"/>
            <w:tcBorders>
              <w:right w:val="single" w:color="auto" w:sz="4" w:space="0"/>
            </w:tcBorders>
            <w:vAlign w:val="center"/>
          </w:tcPr>
          <w:p>
            <w:pPr>
              <w:shd w:val="clear" w:color="000000" w:fill="auto"/>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2024-2025年度活动灯光舞台舞美租赁、布展物料采购合作项目（第二次）</w:t>
            </w:r>
          </w:p>
        </w:tc>
        <w:tc>
          <w:tcPr>
            <w:tcW w:w="2366" w:type="dxa"/>
            <w:tcBorders>
              <w:left w:val="single" w:color="auto" w:sz="4" w:space="0"/>
              <w:right w:val="single" w:color="auto" w:sz="4" w:space="0"/>
            </w:tcBorders>
            <w:vAlign w:val="center"/>
          </w:tcPr>
          <w:p>
            <w:pPr>
              <w:shd w:val="clear" w:color="000000"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响应招标文件要求</w:t>
            </w:r>
          </w:p>
        </w:tc>
        <w:tc>
          <w:tcPr>
            <w:tcW w:w="2813" w:type="dxa"/>
            <w:tcBorders>
              <w:left w:val="single" w:color="auto" w:sz="4" w:space="0"/>
              <w:right w:val="single" w:color="auto" w:sz="4" w:space="0"/>
            </w:tcBorders>
            <w:vAlign w:val="center"/>
          </w:tcPr>
          <w:p>
            <w:pPr>
              <w:shd w:val="clear" w:color="000000" w:fill="auto"/>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按招标人设定综合单价</w:t>
            </w:r>
            <w:r>
              <w:rPr>
                <w:rFonts w:hint="eastAsia" w:ascii="仿宋" w:hAnsi="仿宋" w:eastAsia="仿宋" w:cs="仿宋"/>
                <w:color w:val="auto"/>
                <w:sz w:val="24"/>
                <w:highlight w:val="none"/>
                <w:lang w:eastAsia="zh-CN"/>
              </w:rPr>
              <w:t>最高限价</w:t>
            </w:r>
            <w:r>
              <w:rPr>
                <w:rFonts w:hint="eastAsia" w:ascii="仿宋" w:hAnsi="仿宋" w:eastAsia="仿宋" w:cs="仿宋"/>
                <w:color w:val="auto"/>
                <w:sz w:val="24"/>
                <w:highlight w:val="none"/>
              </w:rPr>
              <w:t>的   %计取</w:t>
            </w:r>
          </w:p>
        </w:tc>
      </w:tr>
    </w:tbl>
    <w:p>
      <w:pPr>
        <w:shd w:val="clear" w:color="auto" w:fill="auto"/>
        <w:snapToGrid w:val="0"/>
        <w:spacing w:line="360" w:lineRule="auto"/>
        <w:ind w:firstLine="480"/>
        <w:rPr>
          <w:rFonts w:hint="eastAsia" w:ascii="仿宋" w:hAnsi="仿宋" w:eastAsia="仿宋" w:cs="仿宋"/>
          <w:color w:val="auto"/>
          <w:kern w:val="0"/>
          <w:sz w:val="24"/>
          <w:highlight w:val="none"/>
        </w:rPr>
      </w:pPr>
    </w:p>
    <w:p>
      <w:pPr>
        <w:shd w:val="clear" w:color="auto" w:fill="auto"/>
        <w:snapToGrid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1、投标报价按折扣进行报价，最高限价（预算价）按招标人设定综合单价的</w:t>
      </w:r>
      <w:r>
        <w:rPr>
          <w:rFonts w:hint="eastAsia" w:ascii="仿宋" w:hAnsi="仿宋" w:eastAsia="仿宋" w:cs="仿宋"/>
          <w:color w:val="auto"/>
          <w:kern w:val="0"/>
          <w:sz w:val="24"/>
          <w:highlight w:val="none"/>
          <w:lang w:val="en-US" w:eastAsia="zh-CN"/>
        </w:rPr>
        <w:t>100</w:t>
      </w:r>
      <w:r>
        <w:rPr>
          <w:rFonts w:hint="eastAsia" w:ascii="仿宋" w:hAnsi="仿宋" w:eastAsia="仿宋" w:cs="仿宋"/>
          <w:color w:val="auto"/>
          <w:kern w:val="0"/>
          <w:sz w:val="24"/>
          <w:highlight w:val="none"/>
        </w:rPr>
        <w:t>%计取作为投标最高限价。</w:t>
      </w:r>
    </w:p>
    <w:p>
      <w:pPr>
        <w:shd w:val="clear" w:color="auto" w:fill="auto"/>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、本投标文件及其所附文件涵盖了我方要约的全部内容。</w:t>
      </w:r>
    </w:p>
    <w:p>
      <w:pPr>
        <w:shd w:val="clear" w:color="auto" w:fill="auto"/>
        <w:snapToGrid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(1)我方要约有效期为自投标截止；日起</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lang w:val="zh-CN"/>
        </w:rPr>
        <w:t>0天；</w:t>
      </w:r>
    </w:p>
    <w:p>
      <w:pPr>
        <w:shd w:val="clear" w:color="auto" w:fill="auto"/>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(2)在投标有效标期内，我方受投标文件之价目表上我方要约金额的约束。</w:t>
      </w:r>
    </w:p>
    <w:p>
      <w:pPr>
        <w:shd w:val="clear" w:color="auto" w:fill="auto"/>
        <w:snapToGrid w:val="0"/>
        <w:spacing w:line="360" w:lineRule="auto"/>
        <w:ind w:firstLine="480"/>
        <w:rPr>
          <w:rFonts w:hint="eastAsia" w:ascii="仿宋" w:hAnsi="仿宋" w:eastAsia="仿宋" w:cs="仿宋"/>
          <w:color w:val="auto"/>
          <w:kern w:val="0"/>
          <w:sz w:val="24"/>
          <w:highlight w:val="none"/>
          <w:lang w:val="zh-CN"/>
        </w:rPr>
      </w:pPr>
    </w:p>
    <w:p>
      <w:pPr>
        <w:shd w:val="clear" w:color="auto" w:fill="auto"/>
        <w:snapToGrid w:val="0"/>
        <w:spacing w:line="360" w:lineRule="auto"/>
        <w:ind w:firstLine="360" w:firstLineChars="150"/>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highlight w:val="none"/>
          <w:lang w:val="zh-CN"/>
        </w:rPr>
        <w:t>法定代表人（签字）：</w:t>
      </w:r>
      <w:r>
        <w:rPr>
          <w:rFonts w:hint="eastAsia" w:ascii="仿宋" w:hAnsi="仿宋" w:eastAsia="仿宋" w:cs="仿宋"/>
          <w:color w:val="auto"/>
          <w:kern w:val="0"/>
          <w:sz w:val="24"/>
          <w:highlight w:val="none"/>
          <w:u w:val="single"/>
          <w:lang w:val="zh-CN"/>
        </w:rPr>
        <w:t xml:space="preserve">                </w:t>
      </w:r>
    </w:p>
    <w:p>
      <w:pPr>
        <w:shd w:val="clear" w:color="auto" w:fill="auto"/>
        <w:snapToGrid w:val="0"/>
        <w:spacing w:line="360" w:lineRule="auto"/>
        <w:ind w:firstLine="360" w:firstLineChars="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投标人名称（公章）:</w:t>
      </w:r>
      <w:r>
        <w:rPr>
          <w:rFonts w:hint="eastAsia" w:ascii="仿宋" w:hAnsi="仿宋" w:eastAsia="仿宋" w:cs="仿宋"/>
          <w:color w:val="auto"/>
          <w:kern w:val="0"/>
          <w:sz w:val="24"/>
          <w:highlight w:val="none"/>
          <w:u w:val="single"/>
          <w:lang w:val="zh-CN"/>
        </w:rPr>
        <w:t xml:space="preserve">                </w:t>
      </w:r>
    </w:p>
    <w:p>
      <w:pPr>
        <w:shd w:val="clear" w:color="auto" w:fill="auto"/>
        <w:snapToGrid w:val="0"/>
        <w:spacing w:line="360" w:lineRule="auto"/>
        <w:ind w:firstLine="360" w:firstLineChars="150"/>
        <w:rPr>
          <w:rFonts w:hint="eastAsia" w:ascii="仿宋" w:hAnsi="仿宋" w:eastAsia="仿宋" w:cs="仿宋"/>
          <w:color w:val="auto"/>
          <w:kern w:val="0"/>
          <w:sz w:val="24"/>
          <w:highlight w:val="none"/>
          <w:u w:val="single"/>
          <w:lang w:val="zh-CN"/>
        </w:rPr>
        <w:sectPr>
          <w:pgSz w:w="11906" w:h="16838"/>
          <w:pgMar w:top="1531" w:right="1304" w:bottom="1531" w:left="1361" w:header="851" w:footer="601"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u w:val="single"/>
          <w:lang w:val="zh-CN"/>
        </w:rPr>
        <w:t xml:space="preserve">                </w:t>
      </w:r>
    </w:p>
    <w:p>
      <w:pPr>
        <w:numPr>
          <w:ilvl w:val="0"/>
          <w:numId w:val="0"/>
        </w:numPr>
        <w:shd w:val="clear" w:color="010000" w:fill="auto"/>
        <w:spacing w:line="440" w:lineRule="exact"/>
        <w:jc w:val="center"/>
        <w:outlineLvl w:val="1"/>
        <w:rPr>
          <w:rFonts w:hint="eastAsia" w:ascii="仿宋" w:hAnsi="仿宋" w:eastAsia="仿宋" w:cs="仿宋"/>
          <w:b/>
          <w:color w:val="auto"/>
          <w:kern w:val="0"/>
          <w:sz w:val="32"/>
          <w:szCs w:val="32"/>
          <w:highlight w:val="none"/>
          <w:lang w:eastAsia="zh-CN"/>
        </w:rPr>
      </w:pPr>
    </w:p>
    <w:p>
      <w:pPr>
        <w:numPr>
          <w:ilvl w:val="0"/>
          <w:numId w:val="0"/>
        </w:numPr>
        <w:shd w:val="clear" w:color="010000" w:fill="auto"/>
        <w:spacing w:line="440" w:lineRule="exact"/>
        <w:jc w:val="center"/>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八、</w:t>
      </w:r>
      <w:r>
        <w:rPr>
          <w:rFonts w:hint="eastAsia" w:ascii="仿宋" w:hAnsi="仿宋" w:eastAsia="仿宋" w:cs="仿宋"/>
          <w:b/>
          <w:color w:val="auto"/>
          <w:kern w:val="0"/>
          <w:sz w:val="32"/>
          <w:szCs w:val="32"/>
          <w:highlight w:val="none"/>
        </w:rPr>
        <w:t>投标报价明细表</w:t>
      </w:r>
    </w:p>
    <w:tbl>
      <w:tblPr>
        <w:tblStyle w:val="27"/>
        <w:tblW w:w="4857" w:type="pct"/>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0"/>
        <w:gridCol w:w="1874"/>
        <w:gridCol w:w="2816"/>
        <w:gridCol w:w="824"/>
        <w:gridCol w:w="1178"/>
        <w:gridCol w:w="4690"/>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72" w:type="pct"/>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Style w:val="133"/>
                <w:rFonts w:hint="eastAsia" w:ascii="仿宋" w:hAnsi="仿宋" w:eastAsia="仿宋" w:cs="仿宋"/>
                <w:color w:val="auto"/>
                <w:highlight w:val="none"/>
                <w:lang w:val="en-US" w:eastAsia="zh-CN" w:bidi="ar"/>
              </w:rPr>
              <w:t>序号</w:t>
            </w:r>
          </w:p>
        </w:tc>
        <w:tc>
          <w:tcPr>
            <w:tcW w:w="689" w:type="pct"/>
            <w:vMerge w:val="restart"/>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Style w:val="133"/>
                <w:rFonts w:hint="eastAsia" w:ascii="仿宋" w:hAnsi="仿宋" w:eastAsia="仿宋" w:cs="仿宋"/>
                <w:color w:val="auto"/>
                <w:highlight w:val="none"/>
                <w:lang w:val="en-US" w:eastAsia="zh-CN" w:bidi="ar"/>
              </w:rPr>
              <w:t>类型</w:t>
            </w:r>
          </w:p>
        </w:tc>
        <w:tc>
          <w:tcPr>
            <w:tcW w:w="1035" w:type="pct"/>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Style w:val="133"/>
                <w:rFonts w:hint="eastAsia" w:ascii="仿宋" w:hAnsi="仿宋" w:eastAsia="仿宋" w:cs="仿宋"/>
                <w:color w:val="auto"/>
                <w:highlight w:val="none"/>
                <w:lang w:val="en-US" w:eastAsia="zh-CN" w:bidi="ar"/>
              </w:rPr>
              <w:t>项目内容</w:t>
            </w:r>
          </w:p>
        </w:tc>
        <w:tc>
          <w:tcPr>
            <w:tcW w:w="303" w:type="pct"/>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Style w:val="133"/>
                <w:rFonts w:hint="eastAsia" w:ascii="仿宋" w:hAnsi="仿宋" w:eastAsia="仿宋" w:cs="仿宋"/>
                <w:color w:val="auto"/>
                <w:highlight w:val="none"/>
                <w:lang w:val="en-US" w:eastAsia="zh-CN" w:bidi="ar"/>
              </w:rPr>
              <w:t>单位</w:t>
            </w:r>
          </w:p>
        </w:tc>
        <w:tc>
          <w:tcPr>
            <w:tcW w:w="433" w:type="pct"/>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Style w:val="133"/>
                <w:rFonts w:hint="eastAsia" w:ascii="仿宋" w:hAnsi="仿宋" w:eastAsia="仿宋" w:cs="仿宋"/>
                <w:color w:val="auto"/>
                <w:highlight w:val="none"/>
                <w:lang w:val="en-US" w:eastAsia="zh-CN" w:bidi="ar"/>
              </w:rPr>
              <w:t>综合单价最高限价（元）</w:t>
            </w:r>
          </w:p>
        </w:tc>
        <w:tc>
          <w:tcPr>
            <w:tcW w:w="1724" w:type="pct"/>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Style w:val="133"/>
                <w:rFonts w:hint="eastAsia" w:ascii="仿宋" w:hAnsi="仿宋" w:eastAsia="仿宋" w:cs="仿宋"/>
                <w:color w:val="auto"/>
                <w:highlight w:val="none"/>
                <w:lang w:val="en-US" w:eastAsia="zh-CN" w:bidi="ar"/>
              </w:rPr>
              <w:t>技术指标</w:t>
            </w:r>
          </w:p>
        </w:tc>
        <w:tc>
          <w:tcPr>
            <w:tcW w:w="540" w:type="pct"/>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Style w:val="133"/>
                <w:rFonts w:hint="eastAsia" w:ascii="仿宋" w:hAnsi="仿宋" w:eastAsia="仿宋" w:cs="仿宋"/>
                <w:color w:val="auto"/>
                <w:highlight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hint="eastAsia" w:ascii="仿宋" w:hAnsi="仿宋" w:eastAsia="仿宋" w:cs="仿宋"/>
                <w:b/>
                <w:bCs/>
                <w:i w:val="0"/>
                <w:iCs w:val="0"/>
                <w:color w:val="auto"/>
                <w:sz w:val="24"/>
                <w:szCs w:val="24"/>
                <w:highlight w:val="none"/>
                <w:u w:val="none"/>
              </w:rPr>
            </w:pPr>
          </w:p>
        </w:tc>
        <w:tc>
          <w:tcPr>
            <w:tcW w:w="689" w:type="pct"/>
            <w:vMerge w:val="continue"/>
            <w:tcBorders>
              <w:top w:val="single" w:color="000000" w:sz="8" w:space="0"/>
              <w:left w:val="nil"/>
              <w:bottom w:val="single" w:color="000000" w:sz="8" w:space="0"/>
              <w:right w:val="single" w:color="000000" w:sz="8" w:space="0"/>
            </w:tcBorders>
            <w:shd w:val="clear" w:color="auto" w:fill="FFFFFF"/>
            <w:noWrap/>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303"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433"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724"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540" w:type="pct"/>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板材</w:t>
            </w: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闪光膜</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724"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（含人工及运输）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户外KT板（单面）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闪光膜KT板（单面）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户外KT板（双面）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闪光膜KT板（双面）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KT板（冷）写真 (单面)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KT板冷板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KT板（冷）写真 (双面)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KT板冷板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写真+PVC板 (单面)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 xml:space="preserve"> 3MMPVC板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写真+PVC板 (双面)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 xml:space="preserve"> 3MMPVC板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闪光膜+PVC板 (单面)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 xml:space="preserve"> 3MMPVC板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闪光膜+PVC板 (双面)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 xml:space="preserve"> 3MMPVC板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写真+PVC板 (单面)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 xml:space="preserve"> 5MMPVC板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写真+PVC板 (双面)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 xml:space="preserve"> 5MMPVC板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闪光膜+PVC板 (单面)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 xml:space="preserve"> 5MMPVC板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闪光膜+PVC板 (双面)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 xml:space="preserve"> 5MMPVC板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写真+PVC板 (单面)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10MMPVC板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写真+PVC板 (双面)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10MMPVC板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闪光膜+PVC板 (单面)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10MMPVC板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闪光膜+PVC板 (双面)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10MMPVC板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写真+PVC板 (单面)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15MMPVC板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写真+PVC板 (双面)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15MMPVC板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闪光膜+PVC板 (单面)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15MMPVC板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闪光膜+PVC板 (双面)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15MMPVC板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闪光膜+PVC板 (单面)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20MMPVC板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闪光膜+PVC板 (双面)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20MMPVC板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uv印刷+PVC</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10MMPVC板 uv印刷</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uv印刷+PVC</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20MMPVC板 uv印刷</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亚克力</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3mm亚克力 uv印刷</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亚克力</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5mm亚克力 uv印刷</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进口亚克力烤漆</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2cm亚克力 烤漆</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木制板墙（规整四边形造型）</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含定制设计 包画面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木制板墙（异形）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含定制设计 包画面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木工板</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木工板 包画面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铝板</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户外常规3mm</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jc w:val="center"/>
              <w:rPr>
                <w:rFonts w:hint="eastAsia" w:ascii="仿宋" w:hAnsi="仿宋" w:eastAsia="仿宋" w:cs="仿宋"/>
                <w:i w:val="0"/>
                <w:iCs w:val="0"/>
                <w:color w:val="auto"/>
                <w:sz w:val="24"/>
                <w:szCs w:val="24"/>
                <w:highlight w:val="none"/>
                <w:u w:val="none"/>
              </w:rPr>
            </w:pP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不锈钢板</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304常规1mm</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304常规1.2mm</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铝塑板</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c>
          <w:tcPr>
            <w:tcW w:w="1724"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展架、临时指示牌</w:t>
            </w: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丽屏</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木工板定制 包画面</w:t>
            </w: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（含运费、人工费、撤场费）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80*180 包画面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80*180 包画面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仿真草皮</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常规尺寸，20cm11针</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木画架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0.6m*0.8m</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木画架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0.6m*0.8m</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易拉宝</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1000*2000，画面覆哑膜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易拉宝</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80cmX200cm,加厚铝合金易拉宝及写真画面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X展架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60cm*160cm 画面覆哑膜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80cm*180cm 画面覆哑膜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门型展架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80cmX180cm，画面PP纸写真亚膜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三角支架租赁</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4"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木质指示牌</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实木定制尺寸</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宣传指示牌</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1.5*0.8M，常规尺寸，非木材质</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A4立牌</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KT板支架</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A4立牌</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5mmPVC板支架</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A3立牌</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KT板支架</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A3立牌</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5mmPVC板支架</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人员去向牌及标识标牌等户外广告物料</w:t>
            </w: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人员去向牌、科室牌（亚克力）</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亚克力烤漆铣槽，加立体雕刻字，文字丝印</w:t>
            </w: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（含运输、人工搭建安装）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人员去向牌、科室牌（金属）</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3mm不锈钢金属镀钛工艺，内容丝印，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精神堡垒</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立地式，四面单独发光，厚度1.5mm不锈钢板激光切割焊接成型表面汽车烤漆面漆，内置日上LED防水灯源，浇筑预埋件，混泥土浇筑</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户外发光灯箱</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立地式，单面发光，厚度1.5mm不锈钢板激光切割焊接成型，环氧底漆，表面汽车烤漆面漆，内衬5mm乳白亚克力，装内置日上LED防水灯源，浇筑预埋件，混泥土浇筑</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导向标识</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立地式，双面发光，厚度1.5mm不锈钢板激光切割焊接成型，表面汽车烤漆面漆，内置日上LED防水灯源，浇筑预埋件，混泥土浇筑</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立地式，双面发光，多个指引方向，厚度1.5mm不锈钢板激光切割焊接成型，表面汽车烤漆面漆，内置日上LED防水灯源，浇筑预埋件，混泥土浇筑</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指示牌</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立地式，厚度1.5mm不锈钢板激光切割焊接成型，不锈钢圆管支架，环氧底漆，表面汽车烤漆面漆，文字图案户外油墨丝印，底座为铁板膨胀固定安装</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导视牌（立地弯折式）</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立地式，厚度1.2mm厚不锈钢激光切割成型，精工打磨，环氧底漆，表面汽车烤漆，图文户外油墨丝印，混泥土浇筑基础，底座为铁板膨胀固定安装</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告示牌</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立地式，双面内容，厚度1.5mm厚不锈钢激光切割成型，精工打磨，环氧底漆，表面汽车烤漆，图文户外油墨丝印，混泥土浇筑基础，底座为铁板膨胀固定安装</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ABS标牌</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厚度2mm ABS板表面UV数码打印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金属标牌</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贴附式，厚度3mm亚克力激光切割成型，环氧底漆，表面汽车烤漆面漆，图文户外油墨丝印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贴附式，厚度5mm亚克力激光切割成型，环氧底漆，表面汽车烤漆面漆，图文户外油墨丝印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贴附式，厚度1.5mm不锈钢激光切割成型，围边厚度20mm,精工打磨，环氧底漆，表面汽车烤漆，图文户外油墨丝印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贴附式，厚度1.5mm不锈钢激光雕刻+烤漆+户外油墨丝印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贴附式，厚度2mm铝板激光切割成型，围边厚度10mm，精工打磨，环氧底漆，表面汽车烤漆，文字图案户外油墨丝印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贴附式，厚度2mm铝板激光雕刻+烤漆+户外油墨丝印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摆放式，三角形，厚度1.5mm不锈钢激光切割焊接成型，精工打磨，环氧底漆，表面汽车烤漆，文字图案户外油墨丝印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Style w:val="133"/>
                <w:rFonts w:hint="eastAsia" w:ascii="仿宋" w:hAnsi="仿宋" w:eastAsia="仿宋" w:cs="仿宋"/>
                <w:color w:val="auto"/>
                <w:highlight w:val="none"/>
                <w:lang w:val="en-US" w:eastAsia="zh-CN" w:bidi="ar"/>
              </w:rPr>
              <w:t>党建文化相关</w:t>
            </w: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党建宣传、企业文化上墙</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进口2cm厚多层亚克力烤漆激光高精度雕刻，2cm厚高密度PVC多层激光高精度雕刻；</w:t>
            </w: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(含运输、安装费)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户外党建宣传栏</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1.5mm不锈钢雕刻折弯造型烤车漆，画面窗进口液压杆开启，高强度防爆钢化玻璃（包含方案设计及深化、制作、运输、安装、基础、模板、预埋件、挖填运方等）</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不锈钢材质，单双面移动宣传栏，1.2*2.4m（带画面）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不锈钢材质，单双面移动宣传栏，1.2*2m（带画面）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铝合金材质，单双面移动宣传栏，1.2*2.4m（带画面）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铝合金材质，单双面移动宣传栏，1.2*2m（带画面）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喷绘布</w:t>
            </w: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单独喷绘</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550喷绘布，黑胶、白底、灰胶</w:t>
            </w: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(含运输、安装费)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桁架租赁</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桁架</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桁架采购</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桁架</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框架、管材、支撑</w:t>
            </w: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木条</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规格不小于4cmx4cm</w:t>
            </w: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（含运输、人工搭建）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镀锌方管</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80*80mm镀锌方管框架、支撑</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镀锌方管</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60*60mm镀锌方管框架、支撑</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镀锌方管</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40*40mm镀锌方管框架、支撑</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镀锌方管</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40*60mm镀锌方管框架、支撑</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镀锌方管</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30*50mm镀锌方管框架、支撑</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镀锌方管支架+金属板</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1190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40*40mm镀锌方管框架、支撑，厚度2mm铝板表面汽车烤漆，文字图案反光</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桁架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w:t>
            </w:r>
          </w:p>
        </w:tc>
        <w:tc>
          <w:tcPr>
            <w:tcW w:w="1724" w:type="pc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直径50铝合金桁架100米起</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w:t>
            </w:r>
          </w:p>
        </w:tc>
        <w:tc>
          <w:tcPr>
            <w:tcW w:w="1724" w:type="pc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直径50铝合金桁架500米起</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724" w:type="pc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直径20镀锌方管桁架100米起</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1724" w:type="pc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直径20镀锌方管桁架200米起</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724" w:type="pc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直径20镀锌方管桁架300米起</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租赁时间超过5天按天叠加计算</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彩钢条（扣条）</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c>
          <w:tcPr>
            <w:tcW w:w="1724"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94</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印刷及贴纸</w:t>
            </w: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普通喷绘</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桁架加普通喷绘</w:t>
            </w: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（含运输，人工安装，异性图案按长款高最大距离计算）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写真背胶PP纸</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写真背胶PP纸</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刀刮布UV</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刀刮布UV</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刀刮布</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高精电脑写真，480g</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星空幕</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黑布上带小灯</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高精黑白布</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724"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网格布</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高精电脑写真</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无纺布</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高精电脑写真</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油画布</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高精电脑写真</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UV油画布</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进口UV高清</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墙纸</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户外高清</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UV软膜</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UV软膜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绒布背景布</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1.6米门幅，红色/黑色</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绒布背景布</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2米门幅，红色/黑色</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欧根纱纱幔</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1.5米门幅</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数码印花布幔</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1.6米门幅</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室内背胶写真</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室内背胶写真</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反光背胶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反光背胶</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户内写真</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高精电脑写真 120克哑膜背胶</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户内双裱写真</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高精电脑写真 120克哑膜背胶</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户外写真</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高精电脑写真 120克哑膜背胶</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户外车贴写真</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白胶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户外车贴写真</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黑胶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户外单透写真</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高精电脑写真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转移背胶写真</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高精电脑写真 720dpi腹哑膜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可移黑胶车贴</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724"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不干胶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220</w:t>
            </w:r>
          </w:p>
        </w:tc>
        <w:tc>
          <w:tcPr>
            <w:tcW w:w="1724"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超透</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进口UV高清</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灰背贴画</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UV数码打印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单页</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尺寸：145*210mm  157g铜版纸+印刷  500张以上</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0.6</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尺寸：145*210mm  157g铜版纸+印刷  1000张以上</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尺寸：145*210mm  157g铜版纸+印刷  2000张以上</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提示卡/站位表</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724"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节目单（A4 ）</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活动现场节目单位，含印刷</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证书（12开）</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本</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小35</w:t>
            </w:r>
          </w:p>
        </w:tc>
        <w:tc>
          <w:tcPr>
            <w:tcW w:w="1724"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小35、中45、大55，含打印好</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本</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中45</w:t>
            </w:r>
          </w:p>
        </w:tc>
        <w:tc>
          <w:tcPr>
            <w:tcW w:w="1724"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本</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大55</w:t>
            </w:r>
          </w:p>
        </w:tc>
        <w:tc>
          <w:tcPr>
            <w:tcW w:w="1724"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UV软膜</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UV软膜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桌签</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尺寸：130*185mm；200g进口白卡纸，三折，粘口贴双面胶；双面数码打印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椅背贴</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可移车贴0.2*0.1m</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宣传单页、流程单</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A4大小，含设计</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邀请函</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含设计、特种纸</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136</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旗帜</w:t>
            </w: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彩旗</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杆</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纳米布印字（60*90cm）+竹竿</w:t>
            </w: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（含运输、人工安装）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杆</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纳米布印字（60*120cm）+竹竿</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杆</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纳米布印字（80*120cm）+竹竿</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杆</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纳米布印字（90*140cm）+竹竿</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杆</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纳米布印字（100*150cm）+竹竿</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刀旗</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面</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80CM左右户外竹竿彩旗</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国旗</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面</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4号国旗</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面</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5号国旗</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4号国旗+PVC旗杆+底座</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5号国旗+PVC旗杆+底座</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注水道旗（基础租赁，画面定制）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面</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含设计、定制，单喷：5米</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面</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含设计、定制，单喷：6米</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面</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含设计、定制，双喷：5米</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面</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含设计、定制，双喷：6米</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灯杆道旗</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50*120，单侧灯杆架+单侧画面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60*120，单侧灯杆架+单侧画面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60*160，单侧灯杆架+单侧画面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50*120，双侧灯杆架+双侧画面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60*120，双侧灯杆架+双侧画面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60*160，双侧灯杆架+双侧画面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丝印锦旗</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面</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定制</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串旗</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定制图案</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158</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灯笼</w:t>
            </w: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氛围布置灯笼</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定制普通横骨灯笼</w:t>
            </w: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（含运输、人工安装(此项根据设计稿难易程度，在最高限价下可二次议价。)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羊皮灯笼定制图案，直径20cm，高度30cm，LED光源</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羊皮灯笼定制图案，直径25cm，高度40cm，LED光源</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羊皮灯笼定制图案，直径30cm，高度50cm，LED光源</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羊皮灯笼定制图案，直径35cm，高度60cm，LED光源</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红色圆形灯笼</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433"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每组6个直径60cm</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433"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高度50cm</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433"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LED防水灯</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433"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2.5*2.5cm镀锌方管支架上下固定</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红色圆形大灯笼，直径1.2米</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花灯（龙鳞灯笼）</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定制发光龙鳞灯笼</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常规造型花灯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骨架由镀锌管和工艺铁丝手工焊接而成，发光光源是LED灯，表面是绸缎布分色裱糊</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常规造型花灯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骨架由镀锌管和工艺铁丝手工焊接而成，发光光源是LED灯，表面是绸缎布分色裱糊</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常规造型花灯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骨架由镀锌管和工艺铁丝手工焊接而成，发光光源是LED灯，表面是绸缎布分色裱糊</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卡通龙花灯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14000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骨架由镀锌管和工艺铁丝手工焊接而成，发光光源是LED灯，表面是绸缎布分色裱糊</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卡通龙花灯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骨架由镀锌管和工艺铁丝手工焊接而成，发光光源是LED灯，表面是绸缎布分色裱糊</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花灯底座</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发光花灯底座</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新春花灯组</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带春节元素，如中国节、鼓等，有地方特色文化，含2条2米以上卡通定制龙。骨架由镀锌管和工艺铁丝手工焊接而成，发光光源是LED灯，表面是绸缎布分色裱糊</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177</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舞台、地台搭建</w:t>
            </w: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地台</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金属烤漆</w:t>
            </w: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（含运输、人工搭建）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防水地台板</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防水多层板</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黑色防滑地胶</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地毯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灰色、黑色、蓝等</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舞台（普通）</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含加厚地毯</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舞台（雷亚）</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含加厚地毯</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舞台（承重）</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含加厚地毯,led屏专用</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舞台（定制）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含加厚地毯，异型加20元一平方</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地毯（加绒）</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加厚加绒</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雷亚架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吨</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需备注尺寸</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台队</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含地毯</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定制台阶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含地毯</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定制异形台阶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含地毯</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地台面材</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强化复合木板</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斜坡</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定制</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193</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灯光</w:t>
            </w: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面光灯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led光源250w成像灯</w:t>
            </w: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（含运输、人工安装）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光束灯和染色灯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大歌380轰天炮。三合一电脑摇头灯</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led帕灯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10W全彩/24颗</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led 摇头灯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40w／19颗</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追光灯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大歌 300W</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图案电脑灯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三合一电脑摇头图案灯</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射灯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盏</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常规尺寸</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筒灯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盏</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常规尺寸</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洗墙灯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盏</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LED全彩灯珠</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灯光架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 xml:space="preserve"> 400*400－520*760）</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灯光架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 600*1000）</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四头灯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500wLED光源</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ACME电脑大切割灯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1000w电脑切割灯</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成像灯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3天为一工作周期</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氛围灯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LED5CM大圆球串彩</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氛围灯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LED采灯防水灯串闪灯串</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照明灯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20w灯泡</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户外太阳能灯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1500w</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211</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音响及配套</w:t>
            </w: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音响线材，专业舞台阻燃电缆</w:t>
            </w:r>
          </w:p>
        </w:tc>
        <w:tc>
          <w:tcPr>
            <w:tcW w:w="303" w:type="pct"/>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 xml:space="preserve">  米</w:t>
            </w:r>
          </w:p>
        </w:tc>
        <w:tc>
          <w:tcPr>
            <w:tcW w:w="433" w:type="pct"/>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w:t>
            </w:r>
          </w:p>
        </w:tc>
        <w:tc>
          <w:tcPr>
            <w:tcW w:w="1724" w:type="pc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配套线材，不单独收费</w:t>
            </w: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（含运输、人工安装及人员调试费）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 xml:space="preserve"> 线阵音箱4+2</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租赁专业品牌</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 xml:space="preserve"> 线阵音箱8+2+2</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租赁专业品牌，含4支画筒</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 xml:space="preserve"> 线阵音箱8+4+4</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租赁专业品牌，含8支画筒</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返听音箱</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租赁M15</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专业监听音箱</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租赁专业品牌</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便携音箱</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租赁专业品牌</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双十五音响</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套（2个）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租赁800W专业音箱</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数字调音台</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租赁数字化专业级调音台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双头麦</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租赁有线电容式</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无线话筒</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支</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租赁超过4支收费</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鹅颈话筒/头戴话筒</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支</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租赁有线电容式讲台话筒</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电容话筒</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支</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租赁电容式小振膜话筒</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耳返</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租赁专业级入耳式监听耳机</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对讲机</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采购</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对讲机</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品牌笔记本电脑</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天</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无线耳麦</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耳麦（小蜜蜂）</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支</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租赁心形指向耳挂话筒</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话筒架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租赁K&amp;g</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系统线材</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主电源线、信号线材等</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胸麦</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支</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租赁全指向领夹</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233</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Style w:val="133"/>
                <w:rFonts w:hint="eastAsia" w:ascii="仿宋" w:hAnsi="仿宋" w:eastAsia="仿宋" w:cs="仿宋"/>
                <w:color w:val="auto"/>
                <w:highlight w:val="none"/>
                <w:lang w:val="en-US" w:eastAsia="zh-CN" w:bidi="ar"/>
              </w:rPr>
              <w:t>租赁机械、物料</w:t>
            </w: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干冰机（1天（含一次往返运输、安装））</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3000瓦/台</w:t>
            </w: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（含运输、人工安装及人员调试费）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雪花机</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1500瓦/台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森林雾机</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盏</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舞台特效</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气柱</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1500瓦/根</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泡泡机</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舞台特效</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彩虹机 1米</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舞台特效</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彩虹机 3米</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舞台特效</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慢烟机</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舞台特效</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直喷烟机</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舞台特效</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效果慢雾机</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舞台特效</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礼炮</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门</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仿古皇家礼炮租赁</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门</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4"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支</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手持礼炮，喷射高度大于2米</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电子彩烟</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直径0.2m，进口舞美特效（七彩）</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发言台</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座</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实木材质，含画面制作（租赁）</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座</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透明亚克力材质，含画面制作（租赁）</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移动厕所</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110cm*110cm*220cm(租赁)</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移动厕所</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双人位（1天）</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 xml:space="preserve">雨篷  </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顶</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3x3米 帐篷</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人字帐篷</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顶</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3*3米人字帐篷</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户外大型活动雨棚</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含搭建好</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欧式篷房</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含搭建好</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贵宾椅</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不含定制椅套</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折叠椅</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尺寸：450*440*800mm（白色、黑色）</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沙滩椅</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尺寸：400*380*780mm（白色）</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单人白色沙发</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一般沙发</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茶几（单人小茶几）</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小茶几</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吧桌</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尺寸：D600*1100mm（含桌布）</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吧椅</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座高可调/宽38/深38</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木圆桌</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高72*直径120</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玻璃圆桌</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直径80*高72</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面包凳</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40*40*高42</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礼宾柱（贵宾栏）</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黑色/金红/金蓝</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电子签约台</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8台以上按8台计</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电子签约设备（租赁）</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ipad，签约笔</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电子签约系统设计</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现场电子签约</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定制启动道具</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开花、异形等客户定制需求启动道具</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干冰启动道具</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4米，含人员道具及侧板</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干冰启动道具</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6米，含人员道具及侧板</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干冰启动道具</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8米，含人员道具及侧板</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常规启动道具</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8人以内启动</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鎏金沙</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w:t>
            </w:r>
          </w:p>
        </w:tc>
        <w:tc>
          <w:tcPr>
            <w:tcW w:w="1724"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画轴</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650</w:t>
            </w:r>
          </w:p>
        </w:tc>
        <w:tc>
          <w:tcPr>
            <w:tcW w:w="1724"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冰屏启动台</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w:t>
            </w:r>
          </w:p>
        </w:tc>
        <w:tc>
          <w:tcPr>
            <w:tcW w:w="1724"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全息启动球</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2000</w:t>
            </w:r>
          </w:p>
        </w:tc>
        <w:tc>
          <w:tcPr>
            <w:tcW w:w="1724"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抽签桶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724"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抢答器10个</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配笔记本2台，含答题系统设置服务</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抢答器8个</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配笔记本2台，含答题系统设置服务</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抢答器6个</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配笔记本2台，含答题系统设置服务</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评委打分投屏</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按9人计，配笔记本电脑2台，9人以上3500</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开业铜锣</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题词屏</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50-60液晶屏</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投票器</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无线租？</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长条桌（1.2m）</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1.2*0.6m 白裙白布</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长条桌（1.8m）</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1.8*0.6m 白裙白布</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集市木质摊位</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租赁</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帐篷租赁</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3*3租赁</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一米线（租赁）</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2-3米</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演讲台（升降含包边）</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1.3-1.5m间</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292</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Style w:val="133"/>
                <w:rFonts w:hint="eastAsia" w:ascii="仿宋" w:hAnsi="仿宋" w:eastAsia="仿宋" w:cs="仿宋"/>
                <w:color w:val="auto"/>
                <w:highlight w:val="none"/>
                <w:lang w:val="en-US" w:eastAsia="zh-CN" w:bidi="ar"/>
              </w:rPr>
              <w:t>播放屏幕租赁</w:t>
            </w: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LED显示屏播放车</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场</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福田奥铃单排三座，p3屏，7小时/天，声音视屏不间断</w:t>
            </w: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（含运输、人工安装及人员调试费）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场</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福田奥铃单排三座，p4屏，7小时/天，声音视屏不间断</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LED屏</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P3</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地屏</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P3</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冰屏</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P3</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三角支架幕</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投影幕布</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大屏服务器</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多媒体服务器不含矩阵</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电视机</w:t>
            </w:r>
          </w:p>
        </w:tc>
        <w:tc>
          <w:tcPr>
            <w:tcW w:w="303"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台</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800元</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65寸以下（含）</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1000元</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65寸以上</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301</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Style w:val="133"/>
                <w:rFonts w:hint="eastAsia" w:ascii="仿宋" w:hAnsi="仿宋" w:eastAsia="仿宋" w:cs="仿宋"/>
                <w:color w:val="auto"/>
                <w:highlight w:val="none"/>
                <w:lang w:val="en-US" w:eastAsia="zh-CN" w:bidi="ar"/>
              </w:rPr>
              <w:t>花艺、绿植</w:t>
            </w: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绿植盆栽</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盆</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10-50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50cm，视品种而定（购买）</w:t>
            </w:r>
          </w:p>
        </w:tc>
        <w:tc>
          <w:tcPr>
            <w:tcW w:w="540" w:type="pct"/>
            <w:vMerge w:val="restar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花艺造景</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盆</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路引花、花球、挂花（购买）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长1米，花排（含底座）（购买）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长0.6米，底座+绿植（购买）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长1.2米，底座+绿植（购买）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花艺五件套+屏风套件（购买）</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盆</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路引花（租赁）</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长1米，花排（含底座）（租赁）</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组</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长0.6米，底座+绿植（租赁）</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仿真花（租赁）</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朵</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0.5-8</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视品种而定，含整体造型制作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鲜花</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朵</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0.5-8</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视品种而定，含整体造型制作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胸佩小红花</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鲜花</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绣球</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20cm大红绸缎扎花，配2米飘带</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30cm大红绸缎扎花，配4米飘带</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40cm大红绸缎扎花，配5米飘带</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50cm大红绸缎扎花，配5米飘带</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60cm大红绸缎扎花，配5米飘带</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剪彩绸带</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红色绸带+球花  (6人)</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红色绸带+球花  (8人)</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红色绸带+球花  (10人)</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321</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Style w:val="133"/>
                <w:rFonts w:hint="eastAsia" w:ascii="仿宋" w:hAnsi="仿宋" w:eastAsia="仿宋" w:cs="仿宋"/>
                <w:color w:val="auto"/>
                <w:highlight w:val="none"/>
                <w:lang w:val="en-US" w:eastAsia="zh-CN" w:bidi="ar"/>
              </w:rPr>
              <w:t>人员、设计</w:t>
            </w: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保安（/人）</w:t>
            </w:r>
          </w:p>
        </w:tc>
        <w:tc>
          <w:tcPr>
            <w:tcW w:w="303"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小时</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工作日50元/小时</w:t>
            </w:r>
          </w:p>
        </w:tc>
        <w:tc>
          <w:tcPr>
            <w:tcW w:w="1724"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2小时起，时长超过8小时需适当优惠</w:t>
            </w:r>
          </w:p>
        </w:tc>
        <w:tc>
          <w:tcPr>
            <w:tcW w:w="540" w:type="pct"/>
            <w:vMerge w:val="restar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非工作日60元/小时</w:t>
            </w:r>
          </w:p>
        </w:tc>
        <w:tc>
          <w:tcPr>
            <w:tcW w:w="1724"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礼仪</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含交通与服装</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模特礼仪</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含交通与服装</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平面设计</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版</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单场活动主K及延展设计，日常物料不支付设计费</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3D设计</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版</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如含制作，设计不单独计费。</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灯光师</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人</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w:t>
            </w:r>
          </w:p>
        </w:tc>
        <w:tc>
          <w:tcPr>
            <w:tcW w:w="1724"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调音师</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人</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w:t>
            </w:r>
          </w:p>
        </w:tc>
        <w:tc>
          <w:tcPr>
            <w:tcW w:w="1724"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启动视频</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30秒启动视频制作</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电子邀请函基础版</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H5页面，添加名字1个版本加5元</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331</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Style w:val="133"/>
                <w:rFonts w:hint="eastAsia" w:ascii="仿宋" w:hAnsi="仿宋" w:eastAsia="仿宋" w:cs="仿宋"/>
                <w:color w:val="auto"/>
                <w:highlight w:val="none"/>
                <w:lang w:val="en-US" w:eastAsia="zh-CN" w:bidi="ar"/>
              </w:rPr>
              <w:t>接电、接设备等材料</w:t>
            </w: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光纤线缆</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次</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电信铺设线缆，直播用，含铺设</w:t>
            </w: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（含运输、人工安装及人员调试费）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线槽减速带</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724"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鱼线</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卷</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724"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泡沫胶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卷</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724"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地毯胶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卷</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1724"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集市接电线</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2.5平方</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插线板</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公牛</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电箱</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w:t>
            </w:r>
          </w:p>
        </w:tc>
        <w:tc>
          <w:tcPr>
            <w:tcW w:w="1724"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照明开关接口</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普通e27灯头吊线灯座1.8米带开关</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2*1.5纯铜电线</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护套线</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2*2.5纯铜电线</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护套线</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342</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Style w:val="133"/>
                <w:rFonts w:hint="eastAsia" w:ascii="仿宋" w:hAnsi="仿宋" w:eastAsia="仿宋" w:cs="仿宋"/>
                <w:color w:val="auto"/>
                <w:highlight w:val="none"/>
                <w:lang w:val="en-US" w:eastAsia="zh-CN" w:bidi="ar"/>
              </w:rPr>
              <w:t>造型字</w:t>
            </w: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PVC造型雕刻（一米以内）</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厘米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5mm</w:t>
            </w: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（含运输、人工安装）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厘米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10mm</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厘米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20mm</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15+3mm水晶字（一米以内）</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厘米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3.5每米</w:t>
            </w:r>
          </w:p>
        </w:tc>
        <w:tc>
          <w:tcPr>
            <w:tcW w:w="1724"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12+3mm水晶字（一米以内）</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厘米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3每米</w:t>
            </w:r>
          </w:p>
        </w:tc>
        <w:tc>
          <w:tcPr>
            <w:tcW w:w="1724"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10+3mm水晶字（一米以内）</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厘米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2.5每米</w:t>
            </w:r>
          </w:p>
        </w:tc>
        <w:tc>
          <w:tcPr>
            <w:tcW w:w="1724"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8+3mm水晶字（一米以内）</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厘米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1.8每米</w:t>
            </w:r>
          </w:p>
        </w:tc>
        <w:tc>
          <w:tcPr>
            <w:tcW w:w="1724"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5+3mm水晶字（一米以内）</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厘米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1.5每米</w:t>
            </w:r>
          </w:p>
        </w:tc>
        <w:tc>
          <w:tcPr>
            <w:tcW w:w="1724"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铁皮字（按一米算）</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常规厚度5公分厚</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铁皮字（按一米算）</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弯边厚度10公分以上</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亚克力迷你发光字</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m</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厚度30mm,内置日上LED防水光源，环氧底漆，表面汽车烤漆</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不锈钢背发光立体字</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m</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厚度1.5mm，不锈钢板激光切割造型，背衬15mm厚亚克力，内置LED防水光源</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不锈钢正发光立体字</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m</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厚度1.5mm，不锈钢板激光切割造型，背衬5mm厚亚克力，内置LED防水光源</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发光字基础支架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40*40mm镀锌方管切割焊接支架，防锈处理，与发光字和墙体连接固定</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立体雕刻字1m长*0.6m高</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含底座、设计安装固定</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立体发光雕刻字1m长*0.6m高</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含底座、设计安装固定</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358</w:t>
            </w:r>
          </w:p>
        </w:tc>
        <w:tc>
          <w:tcPr>
            <w:tcW w:w="689"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Style w:val="133"/>
                <w:rFonts w:hint="eastAsia" w:ascii="仿宋" w:hAnsi="仿宋" w:eastAsia="仿宋" w:cs="仿宋"/>
                <w:color w:val="auto"/>
                <w:highlight w:val="none"/>
                <w:lang w:val="en-US" w:eastAsia="zh-CN" w:bidi="ar"/>
              </w:rPr>
              <w:t>其他物料采购</w:t>
            </w: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雪糕筒—常规款（金属定制）</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70cm（采购）</w:t>
            </w:r>
          </w:p>
        </w:tc>
        <w:tc>
          <w:tcPr>
            <w:tcW w:w="540"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（含人工、运输）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雪糕筒—常规款（橡胶款）</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70cm（采购）</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麦标</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724"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公司竖牌（含人工及运输）</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基础：不锈钢/钛金，文字：UV/腐蚀30*200cm</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基础：不锈钢/钛金，文字：UV/腐蚀30*220cm</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基础：不锈钢/钛金，文字：UV/腐蚀35*220cm</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基础：不锈钢/钛金，文字：UV/腐蚀35*240cm</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基础：不锈钢/钛金，文字：UV/腐蚀40*220cm</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基础：不锈钢/钛金，文字：UV/腐蚀40*240cm</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铜牌</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小180</w:t>
            </w:r>
          </w:p>
        </w:tc>
        <w:tc>
          <w:tcPr>
            <w:tcW w:w="1724"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小=0.36*0.5M、中0.4*0.55M、大0.5*0.65M左右</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中220</w:t>
            </w:r>
          </w:p>
        </w:tc>
        <w:tc>
          <w:tcPr>
            <w:tcW w:w="1724"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大240</w:t>
            </w:r>
          </w:p>
        </w:tc>
        <w:tc>
          <w:tcPr>
            <w:tcW w:w="1724"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横幅/挂幅</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红底单字</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无线翻页系统</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项</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普通翻页笔</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防撞条</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平方米</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相之宝哑膜刻字粘贴</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红马甲</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件</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1724"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集市木质摊位</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采购</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一米线（购买）</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实心铸铁盘45mm高，底盘20，黑色单根</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一米线（购买）</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2米，铁皮增重</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一米线（购买）</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3米，铁皮增重</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工作证</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pvc含设计，定制款带挂绳</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绶带</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条</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含设计</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通行证</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张</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含设计</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颁奖用托盘</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含圆盘，绸布</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文件或资料袋</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含设计</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雨伞</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把</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品牌天堂</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雨披</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件</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一次性，升级加厚</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空飘（含人工及运输）</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红色气球+竖幅</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定制气球+竖幅</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队列牌</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32*44*132cm框架+重底座+画面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块</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40*60*140cm框架+重底座+画面</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彩蛋</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高度：20cm      石膏金蛋</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390</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高度：25cm      石膏金蛋</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391</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高度：20cm      石膏彩蛋</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392</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矿泉水.380ml农夫红</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瓶</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724"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393</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纯净水，水务公司</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瓶</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带标签</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394</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铁马栏</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含运输，租赁时间1天，超出时间每天10元</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395</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铁马套牛筯布普通款</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定制画面 包安装</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396</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铁马套牛筯布高档款</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1724"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397</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铁马套弹力布普通款</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w:t>
            </w:r>
          </w:p>
        </w:tc>
        <w:tc>
          <w:tcPr>
            <w:tcW w:w="1724"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398</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铁马套弹力布高档款</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个</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1724" w:type="pct"/>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72" w:type="pct"/>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399</w:t>
            </w:r>
          </w:p>
        </w:tc>
        <w:tc>
          <w:tcPr>
            <w:tcW w:w="689"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b/>
                <w:bCs/>
                <w:i w:val="0"/>
                <w:iCs w:val="0"/>
                <w:color w:val="auto"/>
                <w:sz w:val="24"/>
                <w:szCs w:val="24"/>
                <w:highlight w:val="none"/>
                <w:u w:val="none"/>
              </w:rPr>
            </w:pPr>
          </w:p>
        </w:tc>
        <w:tc>
          <w:tcPr>
            <w:tcW w:w="1035"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外表清洁（含人工及运输）</w:t>
            </w:r>
          </w:p>
        </w:tc>
        <w:tc>
          <w:tcPr>
            <w:tcW w:w="30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w:t>
            </w:r>
          </w:p>
        </w:tc>
        <w:tc>
          <w:tcPr>
            <w:tcW w:w="433"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1724" w:type="pc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Style w:val="134"/>
                <w:rFonts w:hint="eastAsia" w:ascii="仿宋" w:hAnsi="仿宋" w:eastAsia="仿宋" w:cs="仿宋"/>
                <w:color w:val="auto"/>
                <w:highlight w:val="none"/>
                <w:lang w:val="en-US" w:eastAsia="zh-CN" w:bidi="ar"/>
              </w:rPr>
              <w:t>标识外观玻璃、金属、亚克力等</w:t>
            </w:r>
          </w:p>
        </w:tc>
        <w:tc>
          <w:tcPr>
            <w:tcW w:w="540" w:type="pct"/>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auto"/>
                <w:sz w:val="24"/>
                <w:szCs w:val="24"/>
                <w:highlight w:val="none"/>
                <w:u w:val="none"/>
              </w:rPr>
            </w:pPr>
          </w:p>
        </w:tc>
      </w:tr>
    </w:tbl>
    <w:p>
      <w:pPr>
        <w:pStyle w:val="2"/>
        <w:numPr>
          <w:ilvl w:val="0"/>
          <w:numId w:val="0"/>
        </w:numPr>
        <w:shd w:val="clear" w:color="020000" w:fill="auto"/>
        <w:rPr>
          <w:rFonts w:hint="eastAsia" w:ascii="仿宋" w:hAnsi="仿宋" w:eastAsia="仿宋" w:cs="仿宋"/>
          <w:b/>
          <w:color w:val="auto"/>
          <w:kern w:val="0"/>
          <w:sz w:val="32"/>
          <w:szCs w:val="32"/>
          <w:highlight w:val="none"/>
        </w:rPr>
      </w:pPr>
    </w:p>
    <w:p>
      <w:pPr>
        <w:shd w:val="clear" w:color="000000" w:fill="auto"/>
        <w:autoSpaceDE w:val="0"/>
        <w:autoSpaceDN w:val="0"/>
        <w:adjustRightInd w:val="0"/>
        <w:spacing w:line="440" w:lineRule="exact"/>
        <w:jc w:val="center"/>
        <w:rPr>
          <w:rFonts w:hint="eastAsia" w:ascii="仿宋" w:hAnsi="仿宋" w:eastAsia="仿宋" w:cs="仿宋"/>
          <w:b/>
          <w:color w:val="auto"/>
          <w:kern w:val="0"/>
          <w:sz w:val="24"/>
          <w:highlight w:val="none"/>
        </w:rPr>
      </w:pPr>
    </w:p>
    <w:p>
      <w:pPr>
        <w:shd w:val="clear" w:color="000000" w:fill="auto"/>
        <w:autoSpaceDE w:val="0"/>
        <w:autoSpaceDN w:val="0"/>
        <w:adjustRightInd w:val="0"/>
        <w:spacing w:line="440" w:lineRule="exact"/>
        <w:rPr>
          <w:rFonts w:hint="eastAsia" w:ascii="仿宋" w:hAnsi="仿宋" w:eastAsia="仿宋" w:cs="仿宋"/>
          <w:color w:val="auto"/>
          <w:kern w:val="0"/>
          <w:sz w:val="24"/>
          <w:highlight w:val="none"/>
        </w:rPr>
      </w:pPr>
    </w:p>
    <w:p>
      <w:pPr>
        <w:shd w:val="clear" w:color="000000" w:fill="auto"/>
        <w:wordWrap w:val="0"/>
        <w:autoSpaceDE w:val="0"/>
        <w:autoSpaceDN w:val="0"/>
        <w:adjustRightInd w:val="0"/>
        <w:spacing w:line="440" w:lineRule="exact"/>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 xml:space="preserve">             投标人（公章）：     </w:t>
      </w:r>
    </w:p>
    <w:p>
      <w:pPr>
        <w:shd w:val="clear" w:color="000000" w:fill="auto"/>
        <w:wordWrap w:val="0"/>
        <w:autoSpaceDE w:val="0"/>
        <w:autoSpaceDN w:val="0"/>
        <w:adjustRightInd w:val="0"/>
        <w:spacing w:line="440" w:lineRule="exact"/>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法定代表人或授权代表（签字）：     </w:t>
      </w:r>
    </w:p>
    <w:p>
      <w:pPr>
        <w:shd w:val="clear" w:color="000000" w:fill="auto"/>
        <w:spacing w:line="440" w:lineRule="exact"/>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 xml:space="preserve"> 日期：20  年  月   日    </w:t>
      </w:r>
    </w:p>
    <w:p>
      <w:pPr>
        <w:pStyle w:val="2"/>
        <w:shd w:val="clear" w:color="010000" w:fill="auto"/>
        <w:rPr>
          <w:rFonts w:hint="eastAsia" w:ascii="仿宋" w:hAnsi="仿宋" w:eastAsia="仿宋" w:cs="仿宋"/>
          <w:b/>
          <w:color w:val="auto"/>
          <w:kern w:val="0"/>
          <w:sz w:val="32"/>
          <w:szCs w:val="32"/>
          <w:highlight w:val="none"/>
        </w:rPr>
        <w:sectPr>
          <w:pgSz w:w="16838" w:h="11906" w:orient="landscape"/>
          <w:pgMar w:top="1361" w:right="1531" w:bottom="1304" w:left="1531" w:header="851" w:footer="601"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b/>
          <w:color w:val="auto"/>
          <w:kern w:val="0"/>
          <w:sz w:val="32"/>
          <w:szCs w:val="32"/>
          <w:highlight w:val="none"/>
        </w:rPr>
        <w:br w:type="page"/>
      </w:r>
    </w:p>
    <w:p>
      <w:pPr>
        <w:shd w:val="clear" w:color="000000" w:fill="auto"/>
        <w:spacing w:line="440" w:lineRule="exact"/>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28"/>
          <w:szCs w:val="28"/>
          <w:highlight w:val="none"/>
          <w:lang w:val="zh-CN"/>
        </w:rPr>
        <w:t>九</w:t>
      </w:r>
      <w:r>
        <w:rPr>
          <w:rFonts w:hint="eastAsia" w:ascii="仿宋" w:hAnsi="仿宋" w:eastAsia="仿宋" w:cs="仿宋"/>
          <w:b/>
          <w:color w:val="auto"/>
          <w:kern w:val="0"/>
          <w:sz w:val="28"/>
          <w:szCs w:val="28"/>
          <w:highlight w:val="none"/>
        </w:rPr>
        <w:t>、评分</w:t>
      </w:r>
      <w:r>
        <w:rPr>
          <w:rFonts w:hint="eastAsia" w:ascii="仿宋" w:hAnsi="仿宋" w:eastAsia="仿宋" w:cs="仿宋"/>
          <w:b/>
          <w:color w:val="auto"/>
          <w:kern w:val="0"/>
          <w:sz w:val="28"/>
          <w:szCs w:val="28"/>
          <w:highlight w:val="none"/>
          <w:lang w:eastAsia="zh-CN"/>
        </w:rPr>
        <w:t>响应</w:t>
      </w:r>
      <w:r>
        <w:rPr>
          <w:rFonts w:hint="eastAsia" w:ascii="仿宋" w:hAnsi="仿宋" w:eastAsia="仿宋" w:cs="仿宋"/>
          <w:b/>
          <w:color w:val="auto"/>
          <w:kern w:val="0"/>
          <w:sz w:val="28"/>
          <w:szCs w:val="28"/>
          <w:highlight w:val="none"/>
        </w:rPr>
        <w:t>表</w:t>
      </w:r>
    </w:p>
    <w:p>
      <w:pPr>
        <w:shd w:val="clear" w:color="000000" w:fill="auto"/>
        <w:spacing w:line="440" w:lineRule="exact"/>
        <w:ind w:firstLine="361" w:firstLineChars="15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 xml:space="preserve">                                   </w:t>
      </w:r>
    </w:p>
    <w:p>
      <w:pPr>
        <w:shd w:val="clear" w:color="000000" w:fill="auto"/>
        <w:autoSpaceDE w:val="0"/>
        <w:autoSpaceDN w:val="0"/>
        <w:adjustRightInd w:val="0"/>
        <w:spacing w:line="440" w:lineRule="exact"/>
        <w:ind w:firstLine="479" w:firstLineChars="199"/>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项目编号：</w:t>
      </w:r>
      <w:r>
        <w:rPr>
          <w:rFonts w:hint="eastAsia" w:ascii="仿宋" w:hAnsi="仿宋" w:eastAsia="仿宋" w:cs="仿宋"/>
          <w:b/>
          <w:color w:val="auto"/>
          <w:kern w:val="0"/>
          <w:sz w:val="24"/>
          <w:highlight w:val="none"/>
          <w:lang w:eastAsia="zh-CN"/>
        </w:rPr>
        <w:t xml:space="preserve">  </w:t>
      </w:r>
      <w:r>
        <w:rPr>
          <w:rFonts w:hint="eastAsia" w:ascii="仿宋" w:hAnsi="仿宋" w:eastAsia="仿宋" w:cs="仿宋"/>
          <w:b/>
          <w:color w:val="auto"/>
          <w:kern w:val="0"/>
          <w:sz w:val="24"/>
          <w:highlight w:val="none"/>
        </w:rPr>
        <w:t xml:space="preserve"> </w:t>
      </w:r>
    </w:p>
    <w:tbl>
      <w:tblPr>
        <w:tblStyle w:val="27"/>
        <w:tblW w:w="88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9"/>
        <w:gridCol w:w="1403"/>
        <w:gridCol w:w="3325"/>
        <w:gridCol w:w="28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pPr>
              <w:pStyle w:val="21"/>
              <w:shd w:val="clear" w:color="010000" w:fill="auto"/>
              <w:ind w:left="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1403" w:type="dxa"/>
            <w:tcBorders>
              <w:top w:val="single" w:color="auto" w:sz="4" w:space="0"/>
              <w:left w:val="single" w:color="auto" w:sz="4" w:space="0"/>
              <w:bottom w:val="single" w:color="auto" w:sz="4" w:space="0"/>
              <w:right w:val="single" w:color="auto" w:sz="4" w:space="0"/>
            </w:tcBorders>
            <w:vAlign w:val="center"/>
          </w:tcPr>
          <w:p>
            <w:pPr>
              <w:pStyle w:val="21"/>
              <w:shd w:val="clear" w:color="010000" w:fill="auto"/>
              <w:ind w:left="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评审内容</w:t>
            </w:r>
          </w:p>
        </w:tc>
        <w:tc>
          <w:tcPr>
            <w:tcW w:w="3325" w:type="dxa"/>
            <w:tcBorders>
              <w:top w:val="single" w:color="auto" w:sz="4" w:space="0"/>
              <w:left w:val="single" w:color="auto" w:sz="4" w:space="0"/>
              <w:bottom w:val="single" w:color="auto" w:sz="4" w:space="0"/>
              <w:right w:val="single" w:color="auto" w:sz="4" w:space="0"/>
            </w:tcBorders>
            <w:vAlign w:val="center"/>
          </w:tcPr>
          <w:p>
            <w:pPr>
              <w:pStyle w:val="21"/>
              <w:shd w:val="clear" w:color="010000" w:fill="auto"/>
              <w:ind w:left="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评分标准</w:t>
            </w:r>
          </w:p>
        </w:tc>
        <w:tc>
          <w:tcPr>
            <w:tcW w:w="2873" w:type="dxa"/>
            <w:tcBorders>
              <w:top w:val="single" w:color="auto" w:sz="4" w:space="0"/>
              <w:left w:val="single" w:color="auto" w:sz="4" w:space="0"/>
              <w:bottom w:val="single" w:color="auto" w:sz="4" w:space="0"/>
              <w:right w:val="single" w:color="auto" w:sz="4" w:space="0"/>
            </w:tcBorders>
            <w:vAlign w:val="center"/>
          </w:tcPr>
          <w:p>
            <w:pPr>
              <w:pStyle w:val="21"/>
              <w:shd w:val="clear" w:color="010000" w:fill="auto"/>
              <w:ind w:left="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pPr>
              <w:pStyle w:val="21"/>
              <w:shd w:val="clear" w:color="010000" w:fill="auto"/>
              <w:ind w:left="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w:t>
            </w:r>
          </w:p>
        </w:tc>
        <w:tc>
          <w:tcPr>
            <w:tcW w:w="1403" w:type="dxa"/>
            <w:tcBorders>
              <w:top w:val="single" w:color="auto" w:sz="4" w:space="0"/>
              <w:left w:val="single" w:color="auto" w:sz="4" w:space="0"/>
              <w:bottom w:val="single" w:color="auto" w:sz="4" w:space="0"/>
              <w:right w:val="single" w:color="auto" w:sz="4" w:space="0"/>
            </w:tcBorders>
            <w:vAlign w:val="center"/>
          </w:tcPr>
          <w:p>
            <w:pPr>
              <w:pStyle w:val="21"/>
              <w:shd w:val="clear" w:color="010000" w:fill="auto"/>
              <w:ind w:left="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技术分</w:t>
            </w:r>
          </w:p>
        </w:tc>
        <w:tc>
          <w:tcPr>
            <w:tcW w:w="3325" w:type="dxa"/>
            <w:tcBorders>
              <w:top w:val="single" w:color="auto" w:sz="4" w:space="0"/>
              <w:left w:val="single" w:color="auto" w:sz="4" w:space="0"/>
              <w:bottom w:val="single" w:color="auto" w:sz="4" w:space="0"/>
              <w:right w:val="single" w:color="auto" w:sz="4" w:space="0"/>
            </w:tcBorders>
            <w:vAlign w:val="center"/>
          </w:tcPr>
          <w:p>
            <w:pPr>
              <w:pStyle w:val="21"/>
              <w:shd w:val="clear" w:color="010000" w:fill="auto"/>
              <w:ind w:firstLine="482"/>
              <w:jc w:val="center"/>
              <w:rPr>
                <w:rFonts w:hint="eastAsia" w:ascii="仿宋" w:hAnsi="仿宋" w:eastAsia="仿宋" w:cs="仿宋"/>
                <w:b/>
                <w:bCs/>
                <w:color w:val="auto"/>
                <w:sz w:val="24"/>
                <w:szCs w:val="24"/>
                <w:highlight w:val="none"/>
                <w:lang w:val="en-US" w:eastAsia="zh-CN"/>
              </w:rPr>
            </w:pPr>
          </w:p>
        </w:tc>
        <w:tc>
          <w:tcPr>
            <w:tcW w:w="2873" w:type="dxa"/>
            <w:tcBorders>
              <w:top w:val="single" w:color="auto" w:sz="4" w:space="0"/>
              <w:left w:val="single" w:color="auto" w:sz="4" w:space="0"/>
              <w:bottom w:val="single" w:color="auto" w:sz="4" w:space="0"/>
              <w:right w:val="single" w:color="auto" w:sz="4" w:space="0"/>
            </w:tcBorders>
            <w:vAlign w:val="center"/>
          </w:tcPr>
          <w:p>
            <w:pPr>
              <w:pStyle w:val="21"/>
              <w:shd w:val="clear" w:color="010000" w:fill="auto"/>
              <w:jc w:val="center"/>
              <w:rPr>
                <w:rFonts w:hint="eastAsia" w:ascii="仿宋" w:hAnsi="仿宋" w:eastAsia="仿宋" w:cs="仿宋"/>
                <w:b/>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pPr>
              <w:widowControl/>
              <w:shd w:val="clear" w:color="010000"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03" w:type="dxa"/>
            <w:tcBorders>
              <w:top w:val="single" w:color="auto" w:sz="4" w:space="0"/>
              <w:left w:val="single" w:color="auto" w:sz="4" w:space="0"/>
              <w:bottom w:val="single" w:color="auto" w:sz="4" w:space="0"/>
              <w:right w:val="single" w:color="auto" w:sz="4" w:space="0"/>
            </w:tcBorders>
            <w:vAlign w:val="center"/>
          </w:tcPr>
          <w:p>
            <w:pPr>
              <w:shd w:val="clear" w:color="000000" w:fill="auto"/>
              <w:jc w:val="center"/>
              <w:rPr>
                <w:rFonts w:hint="eastAsia" w:ascii="仿宋" w:hAnsi="仿宋" w:eastAsia="仿宋" w:cs="仿宋"/>
                <w:color w:val="auto"/>
                <w:sz w:val="24"/>
                <w:highlight w:val="none"/>
              </w:rPr>
            </w:pPr>
          </w:p>
        </w:tc>
        <w:tc>
          <w:tcPr>
            <w:tcW w:w="3325" w:type="dxa"/>
            <w:tcBorders>
              <w:top w:val="single" w:color="auto" w:sz="4" w:space="0"/>
              <w:left w:val="single" w:color="auto" w:sz="4" w:space="0"/>
              <w:bottom w:val="nil"/>
              <w:right w:val="single" w:color="auto" w:sz="4" w:space="0"/>
            </w:tcBorders>
            <w:vAlign w:val="center"/>
          </w:tcPr>
          <w:p>
            <w:pPr>
              <w:shd w:val="clear" w:color="000000" w:fill="auto"/>
              <w:jc w:val="center"/>
              <w:rPr>
                <w:rFonts w:hint="eastAsia" w:ascii="仿宋" w:hAnsi="仿宋" w:eastAsia="仿宋" w:cs="仿宋"/>
                <w:color w:val="auto"/>
                <w:sz w:val="24"/>
                <w:highlight w:val="none"/>
              </w:rPr>
            </w:pPr>
          </w:p>
        </w:tc>
        <w:tc>
          <w:tcPr>
            <w:tcW w:w="2873" w:type="dxa"/>
            <w:tcBorders>
              <w:top w:val="single" w:color="auto" w:sz="4" w:space="0"/>
              <w:left w:val="single" w:color="auto" w:sz="4" w:space="0"/>
              <w:bottom w:val="nil"/>
              <w:right w:val="single" w:color="auto" w:sz="4" w:space="0"/>
            </w:tcBorders>
            <w:vAlign w:val="center"/>
          </w:tcPr>
          <w:p>
            <w:pPr>
              <w:shd w:val="clear" w:color="000000" w:fill="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8"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pPr>
              <w:widowControl/>
              <w:shd w:val="clear" w:color="010000"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03" w:type="dxa"/>
            <w:tcBorders>
              <w:top w:val="single" w:color="auto" w:sz="4" w:space="0"/>
              <w:left w:val="single" w:color="auto" w:sz="4" w:space="0"/>
              <w:bottom w:val="single" w:color="auto" w:sz="4" w:space="0"/>
              <w:right w:val="single" w:color="auto" w:sz="4" w:space="0"/>
            </w:tcBorders>
            <w:vAlign w:val="center"/>
          </w:tcPr>
          <w:p>
            <w:pPr>
              <w:shd w:val="clear" w:color="000000" w:fill="auto"/>
              <w:spacing w:line="320" w:lineRule="exact"/>
              <w:jc w:val="center"/>
              <w:rPr>
                <w:rFonts w:hint="eastAsia" w:ascii="仿宋" w:hAnsi="仿宋" w:eastAsia="仿宋" w:cs="仿宋"/>
                <w:color w:val="auto"/>
                <w:sz w:val="24"/>
                <w:highlight w:val="none"/>
              </w:rPr>
            </w:pPr>
          </w:p>
        </w:tc>
        <w:tc>
          <w:tcPr>
            <w:tcW w:w="3325" w:type="dxa"/>
            <w:tcBorders>
              <w:top w:val="single" w:color="auto" w:sz="4" w:space="0"/>
              <w:left w:val="single" w:color="auto" w:sz="4" w:space="0"/>
              <w:bottom w:val="nil"/>
              <w:right w:val="single" w:color="auto" w:sz="4" w:space="0"/>
            </w:tcBorders>
            <w:vAlign w:val="center"/>
          </w:tcPr>
          <w:p>
            <w:pPr>
              <w:widowControl/>
              <w:shd w:val="clear" w:color="010000" w:fill="auto"/>
              <w:jc w:val="center"/>
              <w:rPr>
                <w:rFonts w:hint="eastAsia" w:ascii="仿宋" w:hAnsi="仿宋" w:eastAsia="仿宋" w:cs="仿宋"/>
                <w:color w:val="auto"/>
                <w:kern w:val="0"/>
                <w:sz w:val="24"/>
                <w:highlight w:val="none"/>
              </w:rPr>
            </w:pPr>
          </w:p>
        </w:tc>
        <w:tc>
          <w:tcPr>
            <w:tcW w:w="2873" w:type="dxa"/>
            <w:tcBorders>
              <w:top w:val="single" w:color="auto" w:sz="4" w:space="0"/>
              <w:left w:val="single" w:color="auto" w:sz="4" w:space="0"/>
              <w:bottom w:val="nil"/>
              <w:right w:val="single" w:color="auto" w:sz="4" w:space="0"/>
            </w:tcBorders>
            <w:vAlign w:val="center"/>
          </w:tcPr>
          <w:p>
            <w:pPr>
              <w:shd w:val="clear" w:color="000000" w:fill="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3" w:hRule="atLeast"/>
          <w:jc w:val="center"/>
        </w:trPr>
        <w:tc>
          <w:tcPr>
            <w:tcW w:w="1199" w:type="dxa"/>
            <w:tcBorders>
              <w:top w:val="nil"/>
              <w:left w:val="single" w:color="auto" w:sz="4" w:space="0"/>
              <w:bottom w:val="single" w:color="auto" w:sz="4" w:space="0"/>
              <w:right w:val="single" w:color="auto" w:sz="4" w:space="0"/>
            </w:tcBorders>
            <w:vAlign w:val="center"/>
          </w:tcPr>
          <w:p>
            <w:pPr>
              <w:widowControl/>
              <w:shd w:val="clear" w:color="010000"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03" w:type="dxa"/>
            <w:tcBorders>
              <w:top w:val="nil"/>
              <w:left w:val="single" w:color="auto" w:sz="4" w:space="0"/>
              <w:bottom w:val="single" w:color="auto" w:sz="4" w:space="0"/>
              <w:right w:val="single" w:color="auto" w:sz="4" w:space="0"/>
            </w:tcBorders>
            <w:vAlign w:val="center"/>
          </w:tcPr>
          <w:p>
            <w:pPr>
              <w:widowControl/>
              <w:shd w:val="clear" w:color="010000" w:fill="auto"/>
              <w:jc w:val="center"/>
              <w:rPr>
                <w:rFonts w:hint="eastAsia" w:ascii="仿宋" w:hAnsi="仿宋" w:eastAsia="仿宋" w:cs="仿宋"/>
                <w:color w:val="auto"/>
                <w:kern w:val="0"/>
                <w:sz w:val="24"/>
                <w:highlight w:val="none"/>
              </w:rPr>
            </w:pPr>
          </w:p>
        </w:tc>
        <w:tc>
          <w:tcPr>
            <w:tcW w:w="3325" w:type="dxa"/>
            <w:tcBorders>
              <w:top w:val="single" w:color="auto" w:sz="4" w:space="0"/>
              <w:left w:val="single" w:color="auto" w:sz="4" w:space="0"/>
              <w:bottom w:val="single" w:color="auto" w:sz="4" w:space="0"/>
              <w:right w:val="single" w:color="auto" w:sz="4" w:space="0"/>
            </w:tcBorders>
            <w:vAlign w:val="center"/>
          </w:tcPr>
          <w:p>
            <w:pPr>
              <w:shd w:val="clear" w:color="000000" w:fill="auto"/>
              <w:ind w:left="55" w:leftChars="26"/>
              <w:jc w:val="center"/>
              <w:rPr>
                <w:rFonts w:hint="eastAsia" w:ascii="仿宋" w:hAnsi="仿宋" w:eastAsia="仿宋" w:cs="仿宋"/>
                <w:color w:val="auto"/>
                <w:kern w:val="0"/>
                <w:sz w:val="24"/>
                <w:highlight w:val="none"/>
              </w:rPr>
            </w:pPr>
          </w:p>
        </w:tc>
        <w:tc>
          <w:tcPr>
            <w:tcW w:w="2873" w:type="dxa"/>
            <w:tcBorders>
              <w:top w:val="single" w:color="auto" w:sz="4" w:space="0"/>
              <w:left w:val="single" w:color="auto" w:sz="4" w:space="0"/>
              <w:bottom w:val="single" w:color="auto" w:sz="4" w:space="0"/>
              <w:right w:val="single" w:color="auto" w:sz="4" w:space="0"/>
            </w:tcBorders>
            <w:vAlign w:val="center"/>
          </w:tcPr>
          <w:p>
            <w:pPr>
              <w:shd w:val="clear" w:color="000000" w:fill="auto"/>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8"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pPr>
              <w:widowControl/>
              <w:shd w:val="clear" w:color="010000"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p>
        </w:tc>
        <w:tc>
          <w:tcPr>
            <w:tcW w:w="1403" w:type="dxa"/>
            <w:tcBorders>
              <w:top w:val="single" w:color="auto" w:sz="4" w:space="0"/>
              <w:left w:val="single" w:color="auto" w:sz="4" w:space="0"/>
              <w:bottom w:val="single" w:color="auto" w:sz="4" w:space="0"/>
              <w:right w:val="single" w:color="auto" w:sz="4" w:space="0"/>
            </w:tcBorders>
            <w:vAlign w:val="center"/>
          </w:tcPr>
          <w:p>
            <w:pPr>
              <w:widowControl/>
              <w:shd w:val="clear" w:color="010000"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商务</w:t>
            </w:r>
            <w:r>
              <w:rPr>
                <w:rFonts w:hint="eastAsia" w:ascii="仿宋" w:hAnsi="仿宋" w:eastAsia="仿宋" w:cs="仿宋"/>
                <w:b/>
                <w:color w:val="auto"/>
                <w:sz w:val="24"/>
                <w:highlight w:val="none"/>
              </w:rPr>
              <w:t>分</w:t>
            </w:r>
          </w:p>
        </w:tc>
        <w:tc>
          <w:tcPr>
            <w:tcW w:w="3325" w:type="dxa"/>
            <w:tcBorders>
              <w:top w:val="single" w:color="auto" w:sz="4" w:space="0"/>
              <w:left w:val="single" w:color="auto" w:sz="4" w:space="0"/>
              <w:bottom w:val="single" w:color="auto" w:sz="4" w:space="0"/>
              <w:right w:val="single" w:color="auto" w:sz="4" w:space="0"/>
            </w:tcBorders>
            <w:vAlign w:val="center"/>
          </w:tcPr>
          <w:p>
            <w:pPr>
              <w:pStyle w:val="21"/>
              <w:shd w:val="clear" w:color="010000" w:fill="auto"/>
              <w:jc w:val="center"/>
              <w:rPr>
                <w:rFonts w:hint="eastAsia" w:ascii="仿宋" w:hAnsi="仿宋" w:eastAsia="仿宋" w:cs="仿宋"/>
                <w:b/>
                <w:color w:val="auto"/>
                <w:sz w:val="24"/>
                <w:szCs w:val="24"/>
                <w:highlight w:val="none"/>
                <w:lang w:val="en-US" w:eastAsia="zh-CN"/>
              </w:rPr>
            </w:pPr>
          </w:p>
        </w:tc>
        <w:tc>
          <w:tcPr>
            <w:tcW w:w="2873" w:type="dxa"/>
            <w:tcBorders>
              <w:top w:val="single" w:color="auto" w:sz="4" w:space="0"/>
              <w:left w:val="single" w:color="auto" w:sz="4" w:space="0"/>
              <w:bottom w:val="single" w:color="auto" w:sz="4" w:space="0"/>
              <w:right w:val="single" w:color="auto" w:sz="4" w:space="0"/>
            </w:tcBorders>
            <w:vAlign w:val="center"/>
          </w:tcPr>
          <w:p>
            <w:pPr>
              <w:pStyle w:val="21"/>
              <w:shd w:val="clear" w:color="010000" w:fill="auto"/>
              <w:jc w:val="center"/>
              <w:rPr>
                <w:rFonts w:hint="eastAsia" w:ascii="仿宋" w:hAnsi="仿宋" w:eastAsia="仿宋" w:cs="仿宋"/>
                <w:b/>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1"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pPr>
              <w:widowControl/>
              <w:shd w:val="clear" w:color="010000" w:fill="auto"/>
              <w:jc w:val="center"/>
              <w:rPr>
                <w:rFonts w:hint="eastAsia" w:ascii="仿宋" w:hAnsi="仿宋" w:eastAsia="仿宋" w:cs="仿宋"/>
                <w:color w:val="auto"/>
                <w:sz w:val="24"/>
                <w:highlight w:val="none"/>
              </w:rPr>
            </w:pPr>
          </w:p>
        </w:tc>
        <w:tc>
          <w:tcPr>
            <w:tcW w:w="1403" w:type="dxa"/>
            <w:tcBorders>
              <w:top w:val="single" w:color="auto" w:sz="4" w:space="0"/>
              <w:left w:val="single" w:color="auto" w:sz="4" w:space="0"/>
              <w:bottom w:val="single" w:color="auto" w:sz="4" w:space="0"/>
              <w:right w:val="single" w:color="auto" w:sz="4" w:space="0"/>
            </w:tcBorders>
            <w:vAlign w:val="center"/>
          </w:tcPr>
          <w:p>
            <w:pPr>
              <w:shd w:val="clear" w:color="000000" w:fill="auto"/>
              <w:spacing w:line="320" w:lineRule="exact"/>
              <w:jc w:val="center"/>
              <w:rPr>
                <w:rFonts w:hint="eastAsia" w:ascii="仿宋" w:hAnsi="仿宋" w:eastAsia="仿宋" w:cs="仿宋"/>
                <w:color w:val="auto"/>
                <w:kern w:val="0"/>
                <w:sz w:val="24"/>
                <w:highlight w:val="none"/>
              </w:rPr>
            </w:pPr>
          </w:p>
        </w:tc>
        <w:tc>
          <w:tcPr>
            <w:tcW w:w="3325" w:type="dxa"/>
            <w:tcBorders>
              <w:top w:val="single" w:color="auto" w:sz="4" w:space="0"/>
              <w:left w:val="single" w:color="auto" w:sz="4" w:space="0"/>
              <w:bottom w:val="single" w:color="auto" w:sz="4" w:space="0"/>
              <w:right w:val="single" w:color="auto" w:sz="4" w:space="0"/>
            </w:tcBorders>
            <w:vAlign w:val="center"/>
          </w:tcPr>
          <w:p>
            <w:pPr>
              <w:shd w:val="clear" w:color="000000" w:fill="auto"/>
              <w:spacing w:line="320" w:lineRule="exact"/>
              <w:jc w:val="center"/>
              <w:rPr>
                <w:rFonts w:hint="eastAsia" w:ascii="仿宋" w:hAnsi="仿宋" w:eastAsia="仿宋" w:cs="仿宋"/>
                <w:color w:val="auto"/>
                <w:kern w:val="0"/>
                <w:sz w:val="24"/>
                <w:highlight w:val="none"/>
              </w:rPr>
            </w:pPr>
          </w:p>
        </w:tc>
        <w:tc>
          <w:tcPr>
            <w:tcW w:w="2873" w:type="dxa"/>
            <w:tcBorders>
              <w:top w:val="single" w:color="auto" w:sz="4" w:space="0"/>
              <w:left w:val="single" w:color="auto" w:sz="4" w:space="0"/>
              <w:bottom w:val="single" w:color="auto" w:sz="4" w:space="0"/>
              <w:right w:val="single" w:color="auto" w:sz="4" w:space="0"/>
            </w:tcBorders>
            <w:vAlign w:val="center"/>
          </w:tcPr>
          <w:p>
            <w:pPr>
              <w:shd w:val="clear" w:color="000000" w:fil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详见</w:t>
            </w:r>
            <w:r>
              <w:rPr>
                <w:rFonts w:hint="eastAsia" w:ascii="仿宋" w:hAnsi="仿宋" w:eastAsia="仿宋" w:cs="仿宋"/>
                <w:bCs/>
                <w:color w:val="auto"/>
                <w:sz w:val="24"/>
                <w:highlight w:val="none"/>
                <w:lang w:eastAsia="zh-CN"/>
              </w:rPr>
              <w:t>商务</w:t>
            </w:r>
            <w:r>
              <w:rPr>
                <w:rFonts w:hint="eastAsia" w:ascii="仿宋" w:hAnsi="仿宋" w:eastAsia="仿宋" w:cs="仿宋"/>
                <w:bCs/>
                <w:color w:val="auto"/>
                <w:sz w:val="24"/>
                <w:highlight w:val="none"/>
              </w:rPr>
              <w:t>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6"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pPr>
              <w:widowControl/>
              <w:shd w:val="clear" w:color="010000" w:fill="auto"/>
              <w:jc w:val="center"/>
              <w:rPr>
                <w:rFonts w:hint="eastAsia" w:ascii="仿宋" w:hAnsi="仿宋" w:eastAsia="仿宋" w:cs="仿宋"/>
                <w:color w:val="auto"/>
                <w:sz w:val="24"/>
                <w:highlight w:val="none"/>
              </w:rPr>
            </w:pPr>
          </w:p>
        </w:tc>
        <w:tc>
          <w:tcPr>
            <w:tcW w:w="1403" w:type="dxa"/>
            <w:tcBorders>
              <w:top w:val="single" w:color="auto" w:sz="4" w:space="0"/>
              <w:left w:val="single" w:color="auto" w:sz="4" w:space="0"/>
              <w:bottom w:val="single" w:color="auto" w:sz="4" w:space="0"/>
              <w:right w:val="single" w:color="auto" w:sz="4" w:space="0"/>
            </w:tcBorders>
            <w:vAlign w:val="center"/>
          </w:tcPr>
          <w:p>
            <w:pPr>
              <w:shd w:val="clear" w:color="000000" w:fill="auto"/>
              <w:jc w:val="center"/>
              <w:rPr>
                <w:rFonts w:hint="eastAsia" w:ascii="仿宋" w:hAnsi="仿宋" w:eastAsia="仿宋" w:cs="仿宋"/>
                <w:color w:val="auto"/>
                <w:sz w:val="24"/>
                <w:highlight w:val="none"/>
              </w:rPr>
            </w:pPr>
          </w:p>
        </w:tc>
        <w:tc>
          <w:tcPr>
            <w:tcW w:w="3325" w:type="dxa"/>
            <w:tcBorders>
              <w:top w:val="single" w:color="auto" w:sz="4" w:space="0"/>
              <w:left w:val="single" w:color="auto" w:sz="4" w:space="0"/>
              <w:bottom w:val="single" w:color="auto" w:sz="4" w:space="0"/>
              <w:right w:val="single" w:color="auto" w:sz="4" w:space="0"/>
            </w:tcBorders>
            <w:vAlign w:val="center"/>
          </w:tcPr>
          <w:p>
            <w:pPr>
              <w:shd w:val="clear" w:color="000000" w:fill="auto"/>
              <w:jc w:val="center"/>
              <w:rPr>
                <w:rFonts w:hint="eastAsia" w:ascii="仿宋" w:hAnsi="仿宋" w:eastAsia="仿宋" w:cs="仿宋"/>
                <w:color w:val="auto"/>
                <w:sz w:val="24"/>
                <w:highlight w:val="none"/>
              </w:rPr>
            </w:pPr>
          </w:p>
        </w:tc>
        <w:tc>
          <w:tcPr>
            <w:tcW w:w="2873" w:type="dxa"/>
            <w:tcBorders>
              <w:top w:val="single" w:color="auto" w:sz="4" w:space="0"/>
              <w:left w:val="single" w:color="auto" w:sz="4" w:space="0"/>
              <w:bottom w:val="single" w:color="auto" w:sz="4" w:space="0"/>
              <w:right w:val="single" w:color="auto" w:sz="4" w:space="0"/>
            </w:tcBorders>
            <w:vAlign w:val="center"/>
          </w:tcPr>
          <w:p>
            <w:pPr>
              <w:pStyle w:val="21"/>
              <w:shd w:val="clear" w:color="010000" w:fill="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6"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pPr>
              <w:widowControl/>
              <w:shd w:val="clear" w:color="010000" w:fill="auto"/>
              <w:jc w:val="center"/>
              <w:rPr>
                <w:rFonts w:hint="eastAsia" w:ascii="仿宋" w:hAnsi="仿宋" w:eastAsia="仿宋" w:cs="仿宋"/>
                <w:color w:val="auto"/>
                <w:sz w:val="24"/>
                <w:highlight w:val="none"/>
              </w:rPr>
            </w:pPr>
          </w:p>
        </w:tc>
        <w:tc>
          <w:tcPr>
            <w:tcW w:w="1403" w:type="dxa"/>
            <w:tcBorders>
              <w:top w:val="single" w:color="auto" w:sz="4" w:space="0"/>
              <w:left w:val="single" w:color="auto" w:sz="4" w:space="0"/>
              <w:bottom w:val="single" w:color="auto" w:sz="4" w:space="0"/>
              <w:right w:val="single" w:color="auto" w:sz="4" w:space="0"/>
            </w:tcBorders>
            <w:vAlign w:val="center"/>
          </w:tcPr>
          <w:p>
            <w:pPr>
              <w:shd w:val="clear" w:color="000000" w:fill="auto"/>
              <w:jc w:val="center"/>
              <w:rPr>
                <w:rFonts w:hint="eastAsia" w:ascii="仿宋" w:hAnsi="仿宋" w:eastAsia="仿宋" w:cs="仿宋"/>
                <w:color w:val="auto"/>
                <w:sz w:val="24"/>
                <w:highlight w:val="none"/>
              </w:rPr>
            </w:pPr>
          </w:p>
        </w:tc>
        <w:tc>
          <w:tcPr>
            <w:tcW w:w="3325" w:type="dxa"/>
            <w:tcBorders>
              <w:top w:val="single" w:color="auto" w:sz="4" w:space="0"/>
              <w:left w:val="single" w:color="auto" w:sz="4" w:space="0"/>
              <w:bottom w:val="single" w:color="auto" w:sz="4" w:space="0"/>
              <w:right w:val="single" w:color="auto" w:sz="4" w:space="0"/>
            </w:tcBorders>
            <w:vAlign w:val="center"/>
          </w:tcPr>
          <w:p>
            <w:pPr>
              <w:shd w:val="clear" w:color="000000" w:fill="auto"/>
              <w:jc w:val="center"/>
              <w:rPr>
                <w:rFonts w:hint="eastAsia" w:ascii="仿宋" w:hAnsi="仿宋" w:eastAsia="仿宋" w:cs="仿宋"/>
                <w:color w:val="auto"/>
                <w:sz w:val="24"/>
                <w:highlight w:val="none"/>
              </w:rPr>
            </w:pPr>
          </w:p>
        </w:tc>
        <w:tc>
          <w:tcPr>
            <w:tcW w:w="2873" w:type="dxa"/>
            <w:tcBorders>
              <w:top w:val="single" w:color="auto" w:sz="4" w:space="0"/>
              <w:left w:val="single" w:color="auto" w:sz="4" w:space="0"/>
              <w:bottom w:val="single" w:color="auto" w:sz="4" w:space="0"/>
              <w:right w:val="single" w:color="auto" w:sz="4" w:space="0"/>
            </w:tcBorders>
            <w:vAlign w:val="center"/>
          </w:tcPr>
          <w:p>
            <w:pPr>
              <w:pStyle w:val="21"/>
              <w:shd w:val="clear" w:color="010000" w:fill="auto"/>
              <w:jc w:val="center"/>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atLeast"/>
          <w:jc w:val="center"/>
        </w:trPr>
        <w:tc>
          <w:tcPr>
            <w:tcW w:w="1199" w:type="dxa"/>
            <w:tcBorders>
              <w:top w:val="nil"/>
              <w:left w:val="single" w:color="auto" w:sz="4" w:space="0"/>
              <w:bottom w:val="single" w:color="auto" w:sz="4" w:space="0"/>
              <w:right w:val="single" w:color="auto" w:sz="4" w:space="0"/>
            </w:tcBorders>
            <w:vAlign w:val="center"/>
          </w:tcPr>
          <w:p>
            <w:pPr>
              <w:widowControl/>
              <w:shd w:val="clear" w:color="010000" w:fill="auto"/>
              <w:jc w:val="center"/>
              <w:rPr>
                <w:rFonts w:hint="eastAsia" w:ascii="仿宋" w:hAnsi="仿宋" w:eastAsia="仿宋" w:cs="仿宋"/>
                <w:color w:val="auto"/>
                <w:sz w:val="24"/>
                <w:highlight w:val="none"/>
              </w:rPr>
            </w:pPr>
          </w:p>
        </w:tc>
        <w:tc>
          <w:tcPr>
            <w:tcW w:w="1403" w:type="dxa"/>
            <w:tcBorders>
              <w:top w:val="nil"/>
              <w:left w:val="single" w:color="auto" w:sz="4" w:space="0"/>
              <w:bottom w:val="single" w:color="auto" w:sz="4" w:space="0"/>
              <w:right w:val="single" w:color="auto" w:sz="4" w:space="0"/>
            </w:tcBorders>
            <w:vAlign w:val="center"/>
          </w:tcPr>
          <w:p>
            <w:pPr>
              <w:widowControl/>
              <w:shd w:val="clear" w:color="010000" w:fill="auto"/>
              <w:jc w:val="center"/>
              <w:rPr>
                <w:rFonts w:hint="eastAsia" w:ascii="仿宋" w:hAnsi="仿宋" w:eastAsia="仿宋" w:cs="仿宋"/>
                <w:b/>
                <w:color w:val="auto"/>
                <w:sz w:val="24"/>
                <w:highlight w:val="none"/>
              </w:rPr>
            </w:pPr>
          </w:p>
        </w:tc>
        <w:tc>
          <w:tcPr>
            <w:tcW w:w="3325" w:type="dxa"/>
            <w:tcBorders>
              <w:top w:val="single" w:color="auto" w:sz="4" w:space="0"/>
              <w:left w:val="single" w:color="auto" w:sz="4" w:space="0"/>
              <w:bottom w:val="single" w:color="auto" w:sz="4" w:space="0"/>
              <w:right w:val="single" w:color="auto" w:sz="4" w:space="0"/>
            </w:tcBorders>
            <w:vAlign w:val="center"/>
          </w:tcPr>
          <w:p>
            <w:pPr>
              <w:pStyle w:val="21"/>
              <w:shd w:val="clear" w:color="010000" w:fill="auto"/>
              <w:jc w:val="center"/>
              <w:rPr>
                <w:rFonts w:hint="eastAsia" w:ascii="仿宋" w:hAnsi="仿宋" w:eastAsia="仿宋" w:cs="仿宋"/>
                <w:color w:val="auto"/>
                <w:sz w:val="24"/>
                <w:szCs w:val="24"/>
                <w:highlight w:val="none"/>
                <w:lang w:val="en-US" w:eastAsia="zh-CN"/>
              </w:rPr>
            </w:pPr>
          </w:p>
        </w:tc>
        <w:tc>
          <w:tcPr>
            <w:tcW w:w="2873" w:type="dxa"/>
            <w:tcBorders>
              <w:top w:val="single" w:color="auto" w:sz="4" w:space="0"/>
              <w:left w:val="single" w:color="auto" w:sz="4" w:space="0"/>
              <w:bottom w:val="single" w:color="auto" w:sz="4" w:space="0"/>
              <w:right w:val="single" w:color="auto" w:sz="4" w:space="0"/>
            </w:tcBorders>
            <w:vAlign w:val="center"/>
          </w:tcPr>
          <w:p>
            <w:pPr>
              <w:widowControl/>
              <w:shd w:val="clear" w:color="010000" w:fill="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199" w:type="dxa"/>
            <w:tcBorders>
              <w:top w:val="nil"/>
              <w:left w:val="single" w:color="auto" w:sz="4" w:space="0"/>
              <w:bottom w:val="single" w:color="auto" w:sz="4" w:space="0"/>
              <w:right w:val="single" w:color="auto" w:sz="4" w:space="0"/>
            </w:tcBorders>
            <w:vAlign w:val="center"/>
          </w:tcPr>
          <w:p>
            <w:pPr>
              <w:widowControl/>
              <w:shd w:val="clear" w:color="010000" w:fill="auto"/>
              <w:jc w:val="center"/>
              <w:rPr>
                <w:rFonts w:hint="eastAsia" w:ascii="仿宋" w:hAnsi="仿宋" w:eastAsia="仿宋" w:cs="仿宋"/>
                <w:color w:val="auto"/>
                <w:sz w:val="24"/>
                <w:highlight w:val="none"/>
              </w:rPr>
            </w:pPr>
          </w:p>
        </w:tc>
        <w:tc>
          <w:tcPr>
            <w:tcW w:w="1403" w:type="dxa"/>
            <w:tcBorders>
              <w:top w:val="nil"/>
              <w:left w:val="single" w:color="auto" w:sz="4" w:space="0"/>
              <w:bottom w:val="single" w:color="auto" w:sz="4" w:space="0"/>
              <w:right w:val="single" w:color="auto" w:sz="4" w:space="0"/>
            </w:tcBorders>
            <w:vAlign w:val="center"/>
          </w:tcPr>
          <w:p>
            <w:pPr>
              <w:shd w:val="clear" w:color="000000" w:fill="auto"/>
              <w:spacing w:line="320" w:lineRule="exact"/>
              <w:jc w:val="center"/>
              <w:rPr>
                <w:rFonts w:hint="eastAsia" w:ascii="仿宋" w:hAnsi="仿宋" w:eastAsia="仿宋" w:cs="仿宋"/>
                <w:bCs/>
                <w:color w:val="auto"/>
                <w:sz w:val="24"/>
                <w:highlight w:val="none"/>
              </w:rPr>
            </w:pPr>
          </w:p>
        </w:tc>
        <w:tc>
          <w:tcPr>
            <w:tcW w:w="3325" w:type="dxa"/>
            <w:tcBorders>
              <w:top w:val="single" w:color="auto" w:sz="4" w:space="0"/>
              <w:left w:val="single" w:color="auto" w:sz="4" w:space="0"/>
              <w:bottom w:val="single" w:color="auto" w:sz="4" w:space="0"/>
              <w:right w:val="single" w:color="auto" w:sz="4" w:space="0"/>
            </w:tcBorders>
            <w:vAlign w:val="center"/>
          </w:tcPr>
          <w:p>
            <w:pPr>
              <w:shd w:val="clear" w:color="000000" w:fill="auto"/>
              <w:jc w:val="center"/>
              <w:rPr>
                <w:rFonts w:hint="eastAsia" w:ascii="仿宋" w:hAnsi="仿宋" w:eastAsia="仿宋" w:cs="仿宋"/>
                <w:bCs/>
                <w:color w:val="auto"/>
                <w:sz w:val="24"/>
                <w:highlight w:val="none"/>
              </w:rPr>
            </w:pPr>
          </w:p>
        </w:tc>
        <w:tc>
          <w:tcPr>
            <w:tcW w:w="2873" w:type="dxa"/>
            <w:tcBorders>
              <w:top w:val="single" w:color="auto" w:sz="4" w:space="0"/>
              <w:left w:val="single" w:color="auto" w:sz="4" w:space="0"/>
              <w:bottom w:val="single" w:color="auto" w:sz="4" w:space="0"/>
              <w:right w:val="single" w:color="auto" w:sz="4" w:space="0"/>
            </w:tcBorders>
            <w:vAlign w:val="center"/>
          </w:tcPr>
          <w:p>
            <w:pPr>
              <w:shd w:val="clear" w:color="000000" w:fill="auto"/>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pPr>
              <w:widowControl/>
              <w:shd w:val="clear" w:color="010000" w:fill="auto"/>
              <w:jc w:val="center"/>
              <w:rPr>
                <w:rFonts w:hint="eastAsia" w:ascii="仿宋" w:hAnsi="仿宋" w:eastAsia="仿宋" w:cs="仿宋"/>
                <w:color w:val="auto"/>
                <w:sz w:val="24"/>
                <w:highlight w:val="none"/>
              </w:rPr>
            </w:pPr>
          </w:p>
        </w:tc>
        <w:tc>
          <w:tcPr>
            <w:tcW w:w="1403" w:type="dxa"/>
            <w:tcBorders>
              <w:top w:val="single" w:color="auto" w:sz="4" w:space="0"/>
              <w:left w:val="single" w:color="auto" w:sz="4" w:space="0"/>
              <w:bottom w:val="single" w:color="auto" w:sz="4" w:space="0"/>
              <w:right w:val="single" w:color="auto" w:sz="4" w:space="0"/>
            </w:tcBorders>
            <w:vAlign w:val="center"/>
          </w:tcPr>
          <w:p>
            <w:pPr>
              <w:shd w:val="clear" w:color="000000" w:fill="auto"/>
              <w:spacing w:line="320" w:lineRule="exact"/>
              <w:jc w:val="center"/>
              <w:rPr>
                <w:rFonts w:hint="eastAsia" w:ascii="仿宋" w:hAnsi="仿宋" w:eastAsia="仿宋" w:cs="仿宋"/>
                <w:bCs/>
                <w:color w:val="auto"/>
                <w:sz w:val="24"/>
                <w:highlight w:val="none"/>
              </w:rPr>
            </w:pPr>
          </w:p>
        </w:tc>
        <w:tc>
          <w:tcPr>
            <w:tcW w:w="3325" w:type="dxa"/>
            <w:tcBorders>
              <w:top w:val="single" w:color="auto" w:sz="4" w:space="0"/>
              <w:left w:val="single" w:color="auto" w:sz="4" w:space="0"/>
              <w:bottom w:val="single" w:color="auto" w:sz="4" w:space="0"/>
              <w:right w:val="single" w:color="auto" w:sz="4" w:space="0"/>
            </w:tcBorders>
            <w:vAlign w:val="center"/>
          </w:tcPr>
          <w:p>
            <w:pPr>
              <w:shd w:val="clear" w:color="000000" w:fill="auto"/>
              <w:jc w:val="center"/>
              <w:rPr>
                <w:rFonts w:hint="eastAsia" w:ascii="仿宋" w:hAnsi="仿宋" w:eastAsia="仿宋" w:cs="仿宋"/>
                <w:bCs/>
                <w:color w:val="auto"/>
                <w:sz w:val="24"/>
                <w:highlight w:val="none"/>
              </w:rPr>
            </w:pPr>
          </w:p>
        </w:tc>
        <w:tc>
          <w:tcPr>
            <w:tcW w:w="2873" w:type="dxa"/>
            <w:tcBorders>
              <w:top w:val="single" w:color="auto" w:sz="4" w:space="0"/>
              <w:left w:val="single" w:color="auto" w:sz="4" w:space="0"/>
              <w:bottom w:val="single" w:color="auto" w:sz="4" w:space="0"/>
              <w:right w:val="single" w:color="auto" w:sz="4" w:space="0"/>
            </w:tcBorders>
            <w:vAlign w:val="center"/>
          </w:tcPr>
          <w:p>
            <w:pPr>
              <w:shd w:val="clear" w:color="000000" w:fill="auto"/>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pPr>
              <w:widowControl/>
              <w:shd w:val="clear" w:color="010000" w:fill="auto"/>
              <w:jc w:val="center"/>
              <w:rPr>
                <w:rFonts w:hint="eastAsia" w:ascii="仿宋" w:hAnsi="仿宋" w:eastAsia="仿宋" w:cs="仿宋"/>
                <w:color w:val="auto"/>
                <w:sz w:val="24"/>
                <w:highlight w:val="none"/>
              </w:rPr>
            </w:pPr>
          </w:p>
        </w:tc>
        <w:tc>
          <w:tcPr>
            <w:tcW w:w="1403" w:type="dxa"/>
            <w:tcBorders>
              <w:top w:val="single" w:color="auto" w:sz="4" w:space="0"/>
              <w:left w:val="single" w:color="auto" w:sz="4" w:space="0"/>
              <w:bottom w:val="single" w:color="auto" w:sz="4" w:space="0"/>
              <w:right w:val="single" w:color="auto" w:sz="4" w:space="0"/>
            </w:tcBorders>
            <w:vAlign w:val="center"/>
          </w:tcPr>
          <w:p>
            <w:pPr>
              <w:shd w:val="clear" w:color="000000" w:fill="auto"/>
              <w:spacing w:line="320" w:lineRule="exact"/>
              <w:jc w:val="center"/>
              <w:rPr>
                <w:rFonts w:hint="eastAsia" w:ascii="仿宋" w:hAnsi="仿宋" w:eastAsia="仿宋" w:cs="仿宋"/>
                <w:bCs/>
                <w:color w:val="auto"/>
                <w:sz w:val="24"/>
                <w:highlight w:val="none"/>
              </w:rPr>
            </w:pPr>
          </w:p>
        </w:tc>
        <w:tc>
          <w:tcPr>
            <w:tcW w:w="3325" w:type="dxa"/>
            <w:tcBorders>
              <w:top w:val="single" w:color="auto" w:sz="4" w:space="0"/>
              <w:left w:val="single" w:color="auto" w:sz="4" w:space="0"/>
              <w:bottom w:val="single" w:color="auto" w:sz="4" w:space="0"/>
              <w:right w:val="single" w:color="auto" w:sz="4" w:space="0"/>
            </w:tcBorders>
            <w:vAlign w:val="center"/>
          </w:tcPr>
          <w:p>
            <w:pPr>
              <w:shd w:val="clear" w:color="000000" w:fill="auto"/>
              <w:jc w:val="center"/>
              <w:rPr>
                <w:rFonts w:hint="eastAsia" w:ascii="仿宋" w:hAnsi="仿宋" w:eastAsia="仿宋" w:cs="仿宋"/>
                <w:bCs/>
                <w:color w:val="auto"/>
                <w:sz w:val="24"/>
                <w:highlight w:val="none"/>
              </w:rPr>
            </w:pPr>
          </w:p>
        </w:tc>
        <w:tc>
          <w:tcPr>
            <w:tcW w:w="2873" w:type="dxa"/>
            <w:tcBorders>
              <w:top w:val="single" w:color="auto" w:sz="4" w:space="0"/>
              <w:left w:val="single" w:color="auto" w:sz="4" w:space="0"/>
              <w:bottom w:val="single" w:color="auto" w:sz="4" w:space="0"/>
              <w:right w:val="single" w:color="auto" w:sz="4" w:space="0"/>
            </w:tcBorders>
            <w:vAlign w:val="center"/>
          </w:tcPr>
          <w:p>
            <w:pPr>
              <w:shd w:val="clear" w:color="000000" w:fill="auto"/>
              <w:jc w:val="center"/>
              <w:rPr>
                <w:rFonts w:hint="eastAsia" w:ascii="仿宋" w:hAnsi="仿宋" w:eastAsia="仿宋" w:cs="仿宋"/>
                <w:bCs/>
                <w:color w:val="auto"/>
                <w:sz w:val="24"/>
                <w:highlight w:val="none"/>
              </w:rPr>
            </w:pPr>
          </w:p>
        </w:tc>
      </w:tr>
    </w:tbl>
    <w:p>
      <w:pPr>
        <w:shd w:val="clear" w:color="000000" w:fill="auto"/>
        <w:snapToGrid w:val="0"/>
        <w:spacing w:before="50" w:after="50"/>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注：评分对应表主要用于作为专家评分的一个参考及查阅依据。</w:t>
      </w:r>
    </w:p>
    <w:p>
      <w:pPr>
        <w:shd w:val="clear" w:color="000000" w:fill="auto"/>
        <w:snapToGrid w:val="0"/>
        <w:spacing w:before="50" w:after="50"/>
        <w:rPr>
          <w:rFonts w:hint="eastAsia" w:ascii="仿宋" w:hAnsi="仿宋" w:eastAsia="仿宋" w:cs="仿宋"/>
          <w:color w:val="auto"/>
          <w:sz w:val="24"/>
          <w:highlight w:val="none"/>
        </w:rPr>
      </w:pPr>
    </w:p>
    <w:p>
      <w:pPr>
        <w:shd w:val="clear" w:color="000000" w:fill="auto"/>
        <w:spacing w:line="360" w:lineRule="auto"/>
        <w:jc w:val="center"/>
        <w:rPr>
          <w:rFonts w:hint="eastAsia" w:ascii="仿宋" w:hAnsi="仿宋" w:eastAsia="仿宋" w:cs="仿宋"/>
          <w:b/>
          <w:color w:val="auto"/>
          <w:kern w:val="0"/>
          <w:sz w:val="32"/>
          <w:szCs w:val="32"/>
          <w:highlight w:val="none"/>
        </w:rPr>
        <w:sectPr>
          <w:pgSz w:w="11906" w:h="16838"/>
          <w:pgMar w:top="1531" w:right="1304" w:bottom="1531" w:left="1361" w:header="851" w:footer="601"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b/>
          <w:color w:val="auto"/>
          <w:kern w:val="0"/>
          <w:sz w:val="32"/>
          <w:szCs w:val="32"/>
          <w:highlight w:val="none"/>
        </w:rPr>
        <w:br w:type="page"/>
      </w:r>
      <w:bookmarkStart w:id="45" w:name="_Toc297472830"/>
      <w:bookmarkStart w:id="46" w:name="_Toc297472063"/>
    </w:p>
    <w:p>
      <w:pPr>
        <w:snapToGrid w:val="0"/>
        <w:spacing w:line="360" w:lineRule="auto"/>
        <w:ind w:left="570"/>
        <w:jc w:val="center"/>
        <w:outlineLvl w:val="2"/>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eastAsia="zh-CN"/>
        </w:rPr>
        <w:t>十</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zh-CN"/>
        </w:rPr>
        <w:t>技术偏离表</w:t>
      </w:r>
    </w:p>
    <w:p>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招标编号：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55" w:type="dxa"/>
            <w:tcBorders>
              <w:bottom w:val="single" w:color="auto" w:sz="4" w:space="0"/>
            </w:tcBorders>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内  容</w:t>
            </w:r>
          </w:p>
        </w:tc>
        <w:tc>
          <w:tcPr>
            <w:tcW w:w="1957" w:type="dxa"/>
            <w:tcBorders>
              <w:bottom w:val="single" w:color="auto" w:sz="4" w:space="0"/>
            </w:tcBorders>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招标文件</w:t>
            </w: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规范要求</w:t>
            </w:r>
          </w:p>
        </w:tc>
        <w:tc>
          <w:tcPr>
            <w:tcW w:w="1620" w:type="dxa"/>
            <w:tcBorders>
              <w:bottom w:val="single" w:color="auto" w:sz="4" w:space="0"/>
            </w:tcBorders>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w:t>
            </w: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对应规范</w:t>
            </w:r>
          </w:p>
        </w:tc>
        <w:tc>
          <w:tcPr>
            <w:tcW w:w="2524" w:type="dxa"/>
            <w:tcBorders>
              <w:bottom w:val="single" w:color="auto" w:sz="4" w:space="0"/>
            </w:tcBorders>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pPr>
              <w:spacing w:line="360" w:lineRule="auto"/>
              <w:jc w:val="center"/>
              <w:rPr>
                <w:rFonts w:hint="eastAsia" w:ascii="仿宋" w:hAnsi="仿宋" w:eastAsia="仿宋" w:cs="仿宋"/>
                <w:color w:val="auto"/>
                <w:sz w:val="24"/>
                <w:highlight w:val="none"/>
              </w:rPr>
            </w:pPr>
          </w:p>
        </w:tc>
        <w:tc>
          <w:tcPr>
            <w:tcW w:w="1855" w:type="dxa"/>
            <w:noWrap w:val="0"/>
            <w:vAlign w:val="top"/>
          </w:tcPr>
          <w:p>
            <w:pPr>
              <w:spacing w:line="360" w:lineRule="auto"/>
              <w:rPr>
                <w:rFonts w:hint="eastAsia" w:ascii="仿宋" w:hAnsi="仿宋" w:eastAsia="仿宋" w:cs="仿宋"/>
                <w:color w:val="auto"/>
                <w:sz w:val="24"/>
                <w:highlight w:val="none"/>
              </w:rPr>
            </w:pPr>
          </w:p>
        </w:tc>
        <w:tc>
          <w:tcPr>
            <w:tcW w:w="1957" w:type="dxa"/>
            <w:noWrap w:val="0"/>
            <w:vAlign w:val="top"/>
          </w:tcPr>
          <w:p>
            <w:pPr>
              <w:spacing w:line="360" w:lineRule="auto"/>
              <w:rPr>
                <w:rFonts w:hint="eastAsia" w:ascii="仿宋" w:hAnsi="仿宋" w:eastAsia="仿宋" w:cs="仿宋"/>
                <w:color w:val="auto"/>
                <w:sz w:val="24"/>
                <w:highlight w:val="none"/>
              </w:rPr>
            </w:pPr>
          </w:p>
        </w:tc>
        <w:tc>
          <w:tcPr>
            <w:tcW w:w="1620" w:type="dxa"/>
            <w:noWrap w:val="0"/>
            <w:vAlign w:val="top"/>
          </w:tcPr>
          <w:p>
            <w:pPr>
              <w:spacing w:line="360" w:lineRule="auto"/>
              <w:rPr>
                <w:rFonts w:hint="eastAsia" w:ascii="仿宋" w:hAnsi="仿宋" w:eastAsia="仿宋" w:cs="仿宋"/>
                <w:color w:val="auto"/>
                <w:sz w:val="24"/>
                <w:highlight w:val="none"/>
              </w:rPr>
            </w:pPr>
          </w:p>
        </w:tc>
        <w:tc>
          <w:tcPr>
            <w:tcW w:w="2524" w:type="dxa"/>
            <w:noWrap w:val="0"/>
            <w:vAlign w:val="top"/>
          </w:tcPr>
          <w:p>
            <w:pPr>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pPr>
              <w:spacing w:line="360" w:lineRule="auto"/>
              <w:rPr>
                <w:rFonts w:hint="eastAsia" w:ascii="仿宋" w:hAnsi="仿宋" w:eastAsia="仿宋" w:cs="仿宋"/>
                <w:color w:val="auto"/>
                <w:sz w:val="24"/>
                <w:highlight w:val="none"/>
              </w:rPr>
            </w:pPr>
          </w:p>
        </w:tc>
        <w:tc>
          <w:tcPr>
            <w:tcW w:w="1855" w:type="dxa"/>
            <w:noWrap w:val="0"/>
            <w:vAlign w:val="top"/>
          </w:tcPr>
          <w:p>
            <w:pPr>
              <w:spacing w:line="360" w:lineRule="auto"/>
              <w:rPr>
                <w:rFonts w:hint="eastAsia" w:ascii="仿宋" w:hAnsi="仿宋" w:eastAsia="仿宋" w:cs="仿宋"/>
                <w:color w:val="auto"/>
                <w:sz w:val="24"/>
                <w:highlight w:val="none"/>
              </w:rPr>
            </w:pPr>
          </w:p>
        </w:tc>
        <w:tc>
          <w:tcPr>
            <w:tcW w:w="1957" w:type="dxa"/>
            <w:noWrap w:val="0"/>
            <w:vAlign w:val="top"/>
          </w:tcPr>
          <w:p>
            <w:pPr>
              <w:spacing w:line="360" w:lineRule="auto"/>
              <w:rPr>
                <w:rFonts w:hint="eastAsia" w:ascii="仿宋" w:hAnsi="仿宋" w:eastAsia="仿宋" w:cs="仿宋"/>
                <w:color w:val="auto"/>
                <w:sz w:val="24"/>
                <w:highlight w:val="none"/>
              </w:rPr>
            </w:pPr>
          </w:p>
        </w:tc>
        <w:tc>
          <w:tcPr>
            <w:tcW w:w="1620" w:type="dxa"/>
            <w:noWrap w:val="0"/>
            <w:vAlign w:val="top"/>
          </w:tcPr>
          <w:p>
            <w:pPr>
              <w:spacing w:line="360" w:lineRule="auto"/>
              <w:rPr>
                <w:rFonts w:hint="eastAsia" w:ascii="仿宋" w:hAnsi="仿宋" w:eastAsia="仿宋" w:cs="仿宋"/>
                <w:color w:val="auto"/>
                <w:sz w:val="24"/>
                <w:highlight w:val="none"/>
              </w:rPr>
            </w:pPr>
          </w:p>
        </w:tc>
        <w:tc>
          <w:tcPr>
            <w:tcW w:w="2524" w:type="dxa"/>
            <w:noWrap w:val="0"/>
            <w:vAlign w:val="top"/>
          </w:tcPr>
          <w:p>
            <w:pPr>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top"/>
          </w:tcPr>
          <w:p>
            <w:pPr>
              <w:spacing w:line="360" w:lineRule="auto"/>
              <w:rPr>
                <w:rFonts w:hint="eastAsia" w:ascii="仿宋" w:hAnsi="仿宋" w:eastAsia="仿宋" w:cs="仿宋"/>
                <w:color w:val="auto"/>
                <w:sz w:val="24"/>
                <w:highlight w:val="none"/>
              </w:rPr>
            </w:pPr>
          </w:p>
        </w:tc>
        <w:tc>
          <w:tcPr>
            <w:tcW w:w="1855" w:type="dxa"/>
            <w:noWrap w:val="0"/>
            <w:vAlign w:val="top"/>
          </w:tcPr>
          <w:p>
            <w:pPr>
              <w:spacing w:line="360" w:lineRule="auto"/>
              <w:rPr>
                <w:rFonts w:hint="eastAsia" w:ascii="仿宋" w:hAnsi="仿宋" w:eastAsia="仿宋" w:cs="仿宋"/>
                <w:color w:val="auto"/>
                <w:sz w:val="24"/>
                <w:highlight w:val="none"/>
              </w:rPr>
            </w:pPr>
          </w:p>
        </w:tc>
        <w:tc>
          <w:tcPr>
            <w:tcW w:w="1957" w:type="dxa"/>
            <w:noWrap w:val="0"/>
            <w:vAlign w:val="top"/>
          </w:tcPr>
          <w:p>
            <w:pPr>
              <w:spacing w:line="360" w:lineRule="auto"/>
              <w:rPr>
                <w:rFonts w:hint="eastAsia" w:ascii="仿宋" w:hAnsi="仿宋" w:eastAsia="仿宋" w:cs="仿宋"/>
                <w:color w:val="auto"/>
                <w:sz w:val="24"/>
                <w:highlight w:val="none"/>
              </w:rPr>
            </w:pPr>
          </w:p>
        </w:tc>
        <w:tc>
          <w:tcPr>
            <w:tcW w:w="1620" w:type="dxa"/>
            <w:noWrap w:val="0"/>
            <w:vAlign w:val="top"/>
          </w:tcPr>
          <w:p>
            <w:pPr>
              <w:spacing w:line="360" w:lineRule="auto"/>
              <w:rPr>
                <w:rFonts w:hint="eastAsia" w:ascii="仿宋" w:hAnsi="仿宋" w:eastAsia="仿宋" w:cs="仿宋"/>
                <w:color w:val="auto"/>
                <w:sz w:val="24"/>
                <w:highlight w:val="none"/>
              </w:rPr>
            </w:pPr>
          </w:p>
        </w:tc>
        <w:tc>
          <w:tcPr>
            <w:tcW w:w="2524" w:type="dxa"/>
            <w:noWrap w:val="0"/>
            <w:vAlign w:val="top"/>
          </w:tcPr>
          <w:p>
            <w:pPr>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noWrap w:val="0"/>
            <w:vAlign w:val="top"/>
          </w:tcPr>
          <w:p>
            <w:pPr>
              <w:spacing w:line="360" w:lineRule="auto"/>
              <w:rPr>
                <w:rFonts w:hint="eastAsia" w:ascii="仿宋" w:hAnsi="仿宋" w:eastAsia="仿宋" w:cs="仿宋"/>
                <w:color w:val="auto"/>
                <w:sz w:val="24"/>
                <w:highlight w:val="none"/>
              </w:rPr>
            </w:pPr>
          </w:p>
        </w:tc>
        <w:tc>
          <w:tcPr>
            <w:tcW w:w="1855" w:type="dxa"/>
            <w:noWrap w:val="0"/>
            <w:vAlign w:val="top"/>
          </w:tcPr>
          <w:p>
            <w:pPr>
              <w:spacing w:line="360" w:lineRule="auto"/>
              <w:rPr>
                <w:rFonts w:hint="eastAsia" w:ascii="仿宋" w:hAnsi="仿宋" w:eastAsia="仿宋" w:cs="仿宋"/>
                <w:color w:val="auto"/>
                <w:sz w:val="24"/>
                <w:highlight w:val="none"/>
              </w:rPr>
            </w:pPr>
          </w:p>
        </w:tc>
        <w:tc>
          <w:tcPr>
            <w:tcW w:w="1957" w:type="dxa"/>
            <w:noWrap w:val="0"/>
            <w:vAlign w:val="top"/>
          </w:tcPr>
          <w:p>
            <w:pPr>
              <w:spacing w:line="360" w:lineRule="auto"/>
              <w:rPr>
                <w:rFonts w:hint="eastAsia" w:ascii="仿宋" w:hAnsi="仿宋" w:eastAsia="仿宋" w:cs="仿宋"/>
                <w:color w:val="auto"/>
                <w:sz w:val="24"/>
                <w:highlight w:val="none"/>
              </w:rPr>
            </w:pPr>
          </w:p>
        </w:tc>
        <w:tc>
          <w:tcPr>
            <w:tcW w:w="1620" w:type="dxa"/>
            <w:noWrap w:val="0"/>
            <w:vAlign w:val="top"/>
          </w:tcPr>
          <w:p>
            <w:pPr>
              <w:spacing w:line="360" w:lineRule="auto"/>
              <w:rPr>
                <w:rFonts w:hint="eastAsia" w:ascii="仿宋" w:hAnsi="仿宋" w:eastAsia="仿宋" w:cs="仿宋"/>
                <w:color w:val="auto"/>
                <w:sz w:val="24"/>
                <w:highlight w:val="none"/>
              </w:rPr>
            </w:pPr>
          </w:p>
        </w:tc>
        <w:tc>
          <w:tcPr>
            <w:tcW w:w="2524" w:type="dxa"/>
            <w:noWrap w:val="0"/>
            <w:vAlign w:val="top"/>
          </w:tcPr>
          <w:p>
            <w:pPr>
              <w:spacing w:line="360" w:lineRule="auto"/>
              <w:rPr>
                <w:rFonts w:hint="eastAsia" w:ascii="仿宋" w:hAnsi="仿宋" w:eastAsia="仿宋" w:cs="仿宋"/>
                <w:color w:val="auto"/>
                <w:sz w:val="24"/>
                <w:highlight w:val="none"/>
              </w:rPr>
            </w:pPr>
          </w:p>
        </w:tc>
      </w:tr>
    </w:tbl>
    <w:p>
      <w:pPr>
        <w:autoSpaceDE w:val="0"/>
        <w:autoSpaceDN w:val="0"/>
        <w:adjustRightInd w:val="0"/>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备注：投标人应根据投标设备的性能指标、对照招标文件要求在“偏离情况”栏注明“正偏离”、“负偏离”或“无偏离”。</w:t>
      </w:r>
    </w:p>
    <w:p>
      <w:pPr>
        <w:snapToGrid w:val="0"/>
        <w:spacing w:line="360" w:lineRule="auto"/>
        <w:ind w:firstLine="211" w:firstLineChars="100"/>
        <w:rPr>
          <w:rFonts w:hint="eastAsia" w:ascii="仿宋" w:hAnsi="仿宋" w:eastAsia="仿宋" w:cs="仿宋"/>
          <w:b/>
          <w:bCs/>
          <w:color w:val="auto"/>
          <w:highlight w:val="none"/>
        </w:rPr>
      </w:pPr>
    </w:p>
    <w:p>
      <w:pPr>
        <w:snapToGrid w:val="0"/>
        <w:spacing w:line="360" w:lineRule="auto"/>
        <w:ind w:firstLine="211" w:firstLineChars="100"/>
        <w:rPr>
          <w:rFonts w:hint="eastAsia" w:ascii="仿宋" w:hAnsi="仿宋" w:eastAsia="仿宋" w:cs="仿宋"/>
          <w:b/>
          <w:bCs/>
          <w:color w:val="auto"/>
          <w:highlight w:val="none"/>
        </w:rPr>
      </w:pPr>
    </w:p>
    <w:p>
      <w:pPr>
        <w:snapToGrid w:val="0"/>
        <w:spacing w:line="360" w:lineRule="auto"/>
        <w:ind w:firstLine="240" w:firstLineChars="100"/>
        <w:rPr>
          <w:rFonts w:hint="eastAsia" w:ascii="仿宋" w:hAnsi="仿宋" w:eastAsia="仿宋" w:cs="仿宋"/>
          <w:color w:val="auto"/>
          <w:kern w:val="0"/>
          <w:sz w:val="24"/>
          <w:highlight w:val="none"/>
          <w:lang w:val="zh-CN"/>
        </w:rPr>
      </w:pPr>
    </w:p>
    <w:p>
      <w:pPr>
        <w:autoSpaceDE w:val="0"/>
        <w:autoSpaceDN w:val="0"/>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投标人名称（公章）：      </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法定代表人或其授权代表（签字或盖章）：</w:t>
      </w:r>
    </w:p>
    <w:p>
      <w:pPr>
        <w:autoSpaceDE w:val="0"/>
        <w:autoSpaceDN w:val="0"/>
        <w:snapToGrid w:val="0"/>
        <w:spacing w:line="360" w:lineRule="auto"/>
        <w:rPr>
          <w:rFonts w:hint="eastAsia" w:ascii="仿宋" w:hAnsi="仿宋" w:eastAsia="仿宋" w:cs="仿宋"/>
          <w:color w:val="auto"/>
          <w:kern w:val="0"/>
          <w:sz w:val="24"/>
          <w:highlight w:val="none"/>
          <w:lang w:val="zh-CN"/>
        </w:rPr>
      </w:pPr>
    </w:p>
    <w:p>
      <w:pPr>
        <w:autoSpaceDE w:val="0"/>
        <w:autoSpaceDN w:val="0"/>
        <w:snapToGrid w:val="0"/>
        <w:spacing w:line="360" w:lineRule="auto"/>
        <w:ind w:firstLine="5160" w:firstLineChars="21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hd w:val="clear" w:color="000000" w:fill="auto"/>
        <w:spacing w:line="360" w:lineRule="auto"/>
        <w:jc w:val="center"/>
        <w:rPr>
          <w:rFonts w:hint="eastAsia" w:ascii="仿宋" w:hAnsi="仿宋" w:eastAsia="仿宋" w:cs="仿宋"/>
          <w:b/>
          <w:color w:val="auto"/>
          <w:kern w:val="0"/>
          <w:sz w:val="28"/>
          <w:szCs w:val="28"/>
          <w:highlight w:val="none"/>
          <w:lang w:val="zh-CN" w:eastAsia="zh-CN"/>
        </w:rPr>
        <w:sectPr>
          <w:pgSz w:w="11906" w:h="16838"/>
          <w:pgMar w:top="1531" w:right="1304" w:bottom="1531" w:left="1361" w:header="851" w:footer="601" w:gutter="0"/>
          <w:pgBorders>
            <w:top w:val="none" w:sz="0" w:space="0"/>
            <w:left w:val="none" w:sz="0" w:space="0"/>
            <w:bottom w:val="none" w:sz="0" w:space="0"/>
            <w:right w:val="none" w:sz="0" w:space="0"/>
          </w:pgBorders>
          <w:pgNumType w:fmt="decimal"/>
          <w:cols w:space="720" w:num="1"/>
          <w:docGrid w:linePitch="312" w:charSpace="0"/>
        </w:sectPr>
      </w:pPr>
    </w:p>
    <w:p>
      <w:pPr>
        <w:shd w:val="clear" w:color="000000" w:fill="auto"/>
        <w:spacing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zh-CN" w:eastAsia="zh-CN"/>
        </w:rPr>
        <w:t>十一</w:t>
      </w:r>
      <w:r>
        <w:rPr>
          <w:rFonts w:hint="eastAsia" w:ascii="仿宋" w:hAnsi="仿宋" w:eastAsia="仿宋" w:cs="仿宋"/>
          <w:b/>
          <w:color w:val="auto"/>
          <w:kern w:val="0"/>
          <w:sz w:val="28"/>
          <w:szCs w:val="28"/>
          <w:highlight w:val="none"/>
          <w:lang w:val="zh-CN"/>
        </w:rPr>
        <w:t>、采购需求实质性内容响应表</w:t>
      </w:r>
    </w:p>
    <w:p>
      <w:pPr>
        <w:shd w:val="clear" w:color="000000" w:fill="auto"/>
        <w:autoSpaceDE w:val="0"/>
        <w:autoSpaceDN w:val="0"/>
        <w:adjustRightInd w:val="0"/>
        <w:spacing w:line="360" w:lineRule="auto"/>
        <w:jc w:val="center"/>
        <w:rPr>
          <w:rFonts w:hint="eastAsia" w:ascii="仿宋" w:hAnsi="仿宋" w:eastAsia="仿宋" w:cs="仿宋"/>
          <w:b/>
          <w:color w:val="auto"/>
          <w:kern w:val="0"/>
          <w:sz w:val="32"/>
          <w:szCs w:val="32"/>
          <w:highlight w:val="none"/>
        </w:rPr>
      </w:pPr>
    </w:p>
    <w:p>
      <w:pPr>
        <w:shd w:val="clear" w:color="000000" w:fill="auto"/>
        <w:autoSpaceDE w:val="0"/>
        <w:autoSpaceDN w:val="0"/>
        <w:adjustRightInd w:val="0"/>
        <w:spacing w:line="360" w:lineRule="auto"/>
        <w:ind w:firstLine="361" w:firstLineChars="15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项目编号：</w:t>
      </w:r>
      <w:r>
        <w:rPr>
          <w:rFonts w:hint="eastAsia" w:ascii="仿宋" w:hAnsi="仿宋" w:eastAsia="仿宋" w:cs="仿宋"/>
          <w:b/>
          <w:color w:val="auto"/>
          <w:kern w:val="0"/>
          <w:sz w:val="24"/>
          <w:highlight w:val="none"/>
          <w:lang w:eastAsia="zh-CN"/>
        </w:rPr>
        <w:t xml:space="preserve">  </w:t>
      </w:r>
      <w:r>
        <w:rPr>
          <w:rFonts w:hint="eastAsia" w:ascii="仿宋" w:hAnsi="仿宋" w:eastAsia="仿宋" w:cs="仿宋"/>
          <w:b/>
          <w:color w:val="auto"/>
          <w:kern w:val="0"/>
          <w:sz w:val="24"/>
          <w:highlight w:val="none"/>
        </w:rPr>
        <w:t xml:space="preserve"> </w:t>
      </w:r>
    </w:p>
    <w:tbl>
      <w:tblPr>
        <w:tblStyle w:val="27"/>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2414"/>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8" w:type="dxa"/>
            <w:tcBorders>
              <w:bottom w:val="single" w:color="auto" w:sz="4" w:space="0"/>
            </w:tcBorders>
            <w:vAlign w:val="center"/>
          </w:tcPr>
          <w:p>
            <w:pPr>
              <w:shd w:val="clear" w:color="000000"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855" w:type="dxa"/>
            <w:tcBorders>
              <w:bottom w:val="single" w:color="auto" w:sz="4" w:space="0"/>
            </w:tcBorders>
            <w:vAlign w:val="center"/>
          </w:tcPr>
          <w:p>
            <w:pPr>
              <w:shd w:val="clear" w:color="000000"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实质性条款</w:t>
            </w:r>
          </w:p>
        </w:tc>
        <w:tc>
          <w:tcPr>
            <w:tcW w:w="1957" w:type="dxa"/>
            <w:tcBorders>
              <w:bottom w:val="single" w:color="auto" w:sz="4" w:space="0"/>
            </w:tcBorders>
            <w:vAlign w:val="center"/>
          </w:tcPr>
          <w:p>
            <w:pPr>
              <w:shd w:val="clear" w:color="000000"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招标文件要求</w:t>
            </w:r>
          </w:p>
        </w:tc>
        <w:tc>
          <w:tcPr>
            <w:tcW w:w="2414" w:type="dxa"/>
            <w:tcBorders>
              <w:bottom w:val="single" w:color="auto" w:sz="4" w:space="0"/>
            </w:tcBorders>
            <w:vAlign w:val="center"/>
          </w:tcPr>
          <w:p>
            <w:pPr>
              <w:shd w:val="clear" w:color="000000"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投标承诺或说明</w:t>
            </w:r>
          </w:p>
        </w:tc>
        <w:tc>
          <w:tcPr>
            <w:tcW w:w="1730" w:type="dxa"/>
            <w:tcBorders>
              <w:bottom w:val="single" w:color="auto" w:sz="4" w:space="0"/>
            </w:tcBorders>
            <w:vAlign w:val="center"/>
          </w:tcPr>
          <w:p>
            <w:pPr>
              <w:shd w:val="clear" w:color="000000" w:fill="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8" w:type="dxa"/>
            <w:vAlign w:val="center"/>
          </w:tcPr>
          <w:p>
            <w:pPr>
              <w:shd w:val="clear" w:color="000000"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55" w:type="dxa"/>
            <w:vAlign w:val="center"/>
          </w:tcPr>
          <w:p>
            <w:pPr>
              <w:shd w:val="clear" w:color="000000" w:fill="auto"/>
              <w:jc w:val="center"/>
              <w:rPr>
                <w:rFonts w:hint="eastAsia" w:ascii="仿宋" w:hAnsi="仿宋" w:eastAsia="仿宋" w:cs="仿宋"/>
                <w:color w:val="auto"/>
                <w:sz w:val="24"/>
                <w:highlight w:val="none"/>
              </w:rPr>
            </w:pPr>
          </w:p>
        </w:tc>
        <w:tc>
          <w:tcPr>
            <w:tcW w:w="1957" w:type="dxa"/>
            <w:vAlign w:val="center"/>
          </w:tcPr>
          <w:p>
            <w:pPr>
              <w:shd w:val="clear" w:color="000000" w:fill="auto"/>
              <w:jc w:val="center"/>
              <w:rPr>
                <w:rFonts w:hint="eastAsia" w:ascii="仿宋" w:hAnsi="仿宋" w:eastAsia="仿宋" w:cs="仿宋"/>
                <w:color w:val="auto"/>
                <w:sz w:val="24"/>
                <w:highlight w:val="none"/>
              </w:rPr>
            </w:pPr>
          </w:p>
        </w:tc>
        <w:tc>
          <w:tcPr>
            <w:tcW w:w="2414" w:type="dxa"/>
            <w:vAlign w:val="center"/>
          </w:tcPr>
          <w:p>
            <w:pPr>
              <w:shd w:val="clear" w:color="000000" w:fill="auto"/>
              <w:jc w:val="center"/>
              <w:rPr>
                <w:rFonts w:hint="eastAsia" w:ascii="仿宋" w:hAnsi="仿宋" w:eastAsia="仿宋" w:cs="仿宋"/>
                <w:color w:val="auto"/>
                <w:sz w:val="24"/>
                <w:highlight w:val="none"/>
              </w:rPr>
            </w:pPr>
          </w:p>
        </w:tc>
        <w:tc>
          <w:tcPr>
            <w:tcW w:w="1730" w:type="dxa"/>
            <w:vAlign w:val="center"/>
          </w:tcPr>
          <w:p>
            <w:pPr>
              <w:shd w:val="clear" w:color="000000" w:fill="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8" w:type="dxa"/>
            <w:vAlign w:val="center"/>
          </w:tcPr>
          <w:p>
            <w:pPr>
              <w:shd w:val="clear" w:color="000000"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55" w:type="dxa"/>
            <w:vAlign w:val="center"/>
          </w:tcPr>
          <w:p>
            <w:pPr>
              <w:shd w:val="clear" w:color="000000" w:fill="auto"/>
              <w:jc w:val="center"/>
              <w:rPr>
                <w:rFonts w:hint="eastAsia" w:ascii="仿宋" w:hAnsi="仿宋" w:eastAsia="仿宋" w:cs="仿宋"/>
                <w:color w:val="auto"/>
                <w:sz w:val="24"/>
                <w:highlight w:val="none"/>
              </w:rPr>
            </w:pPr>
          </w:p>
        </w:tc>
        <w:tc>
          <w:tcPr>
            <w:tcW w:w="1957" w:type="dxa"/>
            <w:vAlign w:val="center"/>
          </w:tcPr>
          <w:p>
            <w:pPr>
              <w:shd w:val="clear" w:color="000000" w:fill="auto"/>
              <w:jc w:val="center"/>
              <w:rPr>
                <w:rFonts w:hint="eastAsia" w:ascii="仿宋" w:hAnsi="仿宋" w:eastAsia="仿宋" w:cs="仿宋"/>
                <w:color w:val="auto"/>
                <w:sz w:val="24"/>
                <w:highlight w:val="none"/>
              </w:rPr>
            </w:pPr>
          </w:p>
        </w:tc>
        <w:tc>
          <w:tcPr>
            <w:tcW w:w="2414" w:type="dxa"/>
            <w:vAlign w:val="center"/>
          </w:tcPr>
          <w:p>
            <w:pPr>
              <w:shd w:val="clear" w:color="000000" w:fill="auto"/>
              <w:jc w:val="center"/>
              <w:rPr>
                <w:rFonts w:hint="eastAsia" w:ascii="仿宋" w:hAnsi="仿宋" w:eastAsia="仿宋" w:cs="仿宋"/>
                <w:color w:val="auto"/>
                <w:sz w:val="24"/>
                <w:highlight w:val="none"/>
              </w:rPr>
            </w:pPr>
          </w:p>
        </w:tc>
        <w:tc>
          <w:tcPr>
            <w:tcW w:w="1730" w:type="dxa"/>
            <w:vAlign w:val="center"/>
          </w:tcPr>
          <w:p>
            <w:pPr>
              <w:shd w:val="clear" w:color="000000" w:fill="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8" w:type="dxa"/>
            <w:vAlign w:val="center"/>
          </w:tcPr>
          <w:p>
            <w:pPr>
              <w:shd w:val="clear" w:color="000000"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55" w:type="dxa"/>
            <w:vAlign w:val="center"/>
          </w:tcPr>
          <w:p>
            <w:pPr>
              <w:shd w:val="clear" w:color="000000" w:fill="auto"/>
              <w:jc w:val="center"/>
              <w:rPr>
                <w:rFonts w:hint="eastAsia" w:ascii="仿宋" w:hAnsi="仿宋" w:eastAsia="仿宋" w:cs="仿宋"/>
                <w:color w:val="auto"/>
                <w:sz w:val="24"/>
                <w:highlight w:val="none"/>
              </w:rPr>
            </w:pPr>
          </w:p>
        </w:tc>
        <w:tc>
          <w:tcPr>
            <w:tcW w:w="1957" w:type="dxa"/>
            <w:vAlign w:val="center"/>
          </w:tcPr>
          <w:p>
            <w:pPr>
              <w:shd w:val="clear" w:color="000000" w:fill="auto"/>
              <w:jc w:val="center"/>
              <w:rPr>
                <w:rFonts w:hint="eastAsia" w:ascii="仿宋" w:hAnsi="仿宋" w:eastAsia="仿宋" w:cs="仿宋"/>
                <w:color w:val="auto"/>
                <w:sz w:val="24"/>
                <w:highlight w:val="none"/>
              </w:rPr>
            </w:pPr>
          </w:p>
        </w:tc>
        <w:tc>
          <w:tcPr>
            <w:tcW w:w="2414" w:type="dxa"/>
            <w:vAlign w:val="center"/>
          </w:tcPr>
          <w:p>
            <w:pPr>
              <w:shd w:val="clear" w:color="000000" w:fill="auto"/>
              <w:jc w:val="center"/>
              <w:rPr>
                <w:rFonts w:hint="eastAsia" w:ascii="仿宋" w:hAnsi="仿宋" w:eastAsia="仿宋" w:cs="仿宋"/>
                <w:color w:val="auto"/>
                <w:sz w:val="24"/>
                <w:highlight w:val="none"/>
              </w:rPr>
            </w:pPr>
          </w:p>
        </w:tc>
        <w:tc>
          <w:tcPr>
            <w:tcW w:w="1730" w:type="dxa"/>
            <w:vAlign w:val="center"/>
          </w:tcPr>
          <w:p>
            <w:pPr>
              <w:shd w:val="clear" w:color="000000" w:fill="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8" w:type="dxa"/>
            <w:vAlign w:val="center"/>
          </w:tcPr>
          <w:p>
            <w:pPr>
              <w:shd w:val="clear" w:color="000000"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55" w:type="dxa"/>
            <w:vAlign w:val="center"/>
          </w:tcPr>
          <w:p>
            <w:pPr>
              <w:shd w:val="clear" w:color="000000" w:fill="auto"/>
              <w:jc w:val="center"/>
              <w:rPr>
                <w:rFonts w:hint="eastAsia" w:ascii="仿宋" w:hAnsi="仿宋" w:eastAsia="仿宋" w:cs="仿宋"/>
                <w:color w:val="auto"/>
                <w:sz w:val="24"/>
                <w:highlight w:val="none"/>
              </w:rPr>
            </w:pPr>
          </w:p>
        </w:tc>
        <w:tc>
          <w:tcPr>
            <w:tcW w:w="1957" w:type="dxa"/>
            <w:vAlign w:val="center"/>
          </w:tcPr>
          <w:p>
            <w:pPr>
              <w:shd w:val="clear" w:color="000000" w:fill="auto"/>
              <w:jc w:val="center"/>
              <w:rPr>
                <w:rFonts w:hint="eastAsia" w:ascii="仿宋" w:hAnsi="仿宋" w:eastAsia="仿宋" w:cs="仿宋"/>
                <w:color w:val="auto"/>
                <w:sz w:val="24"/>
                <w:highlight w:val="none"/>
              </w:rPr>
            </w:pPr>
          </w:p>
        </w:tc>
        <w:tc>
          <w:tcPr>
            <w:tcW w:w="2414" w:type="dxa"/>
            <w:vAlign w:val="center"/>
          </w:tcPr>
          <w:p>
            <w:pPr>
              <w:shd w:val="clear" w:color="000000" w:fill="auto"/>
              <w:jc w:val="center"/>
              <w:rPr>
                <w:rFonts w:hint="eastAsia" w:ascii="仿宋" w:hAnsi="仿宋" w:eastAsia="仿宋" w:cs="仿宋"/>
                <w:color w:val="auto"/>
                <w:sz w:val="24"/>
                <w:highlight w:val="none"/>
              </w:rPr>
            </w:pPr>
          </w:p>
        </w:tc>
        <w:tc>
          <w:tcPr>
            <w:tcW w:w="1730" w:type="dxa"/>
            <w:vAlign w:val="center"/>
          </w:tcPr>
          <w:p>
            <w:pPr>
              <w:shd w:val="clear" w:color="000000" w:fill="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8" w:type="dxa"/>
            <w:vAlign w:val="center"/>
          </w:tcPr>
          <w:p>
            <w:pPr>
              <w:shd w:val="clear" w:color="000000"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55" w:type="dxa"/>
            <w:vAlign w:val="center"/>
          </w:tcPr>
          <w:p>
            <w:pPr>
              <w:shd w:val="clear" w:color="000000" w:fill="auto"/>
              <w:jc w:val="center"/>
              <w:rPr>
                <w:rFonts w:hint="eastAsia" w:ascii="仿宋" w:hAnsi="仿宋" w:eastAsia="仿宋" w:cs="仿宋"/>
                <w:color w:val="auto"/>
                <w:sz w:val="24"/>
                <w:highlight w:val="none"/>
              </w:rPr>
            </w:pPr>
          </w:p>
        </w:tc>
        <w:tc>
          <w:tcPr>
            <w:tcW w:w="1957" w:type="dxa"/>
            <w:vAlign w:val="center"/>
          </w:tcPr>
          <w:p>
            <w:pPr>
              <w:shd w:val="clear" w:color="000000" w:fill="auto"/>
              <w:jc w:val="center"/>
              <w:rPr>
                <w:rFonts w:hint="eastAsia" w:ascii="仿宋" w:hAnsi="仿宋" w:eastAsia="仿宋" w:cs="仿宋"/>
                <w:color w:val="auto"/>
                <w:sz w:val="24"/>
                <w:highlight w:val="none"/>
              </w:rPr>
            </w:pPr>
          </w:p>
        </w:tc>
        <w:tc>
          <w:tcPr>
            <w:tcW w:w="2414" w:type="dxa"/>
            <w:vAlign w:val="center"/>
          </w:tcPr>
          <w:p>
            <w:pPr>
              <w:shd w:val="clear" w:color="000000" w:fill="auto"/>
              <w:jc w:val="center"/>
              <w:rPr>
                <w:rFonts w:hint="eastAsia" w:ascii="仿宋" w:hAnsi="仿宋" w:eastAsia="仿宋" w:cs="仿宋"/>
                <w:color w:val="auto"/>
                <w:sz w:val="24"/>
                <w:highlight w:val="none"/>
              </w:rPr>
            </w:pPr>
          </w:p>
        </w:tc>
        <w:tc>
          <w:tcPr>
            <w:tcW w:w="1730" w:type="dxa"/>
            <w:vAlign w:val="center"/>
          </w:tcPr>
          <w:p>
            <w:pPr>
              <w:shd w:val="clear" w:color="000000" w:fill="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8" w:type="dxa"/>
            <w:vAlign w:val="center"/>
          </w:tcPr>
          <w:p>
            <w:pPr>
              <w:shd w:val="clear" w:color="000000"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55" w:type="dxa"/>
            <w:vAlign w:val="center"/>
          </w:tcPr>
          <w:p>
            <w:pPr>
              <w:shd w:val="clear" w:color="000000" w:fill="auto"/>
              <w:jc w:val="center"/>
              <w:rPr>
                <w:rFonts w:hint="eastAsia" w:ascii="仿宋" w:hAnsi="仿宋" w:eastAsia="仿宋" w:cs="仿宋"/>
                <w:color w:val="auto"/>
                <w:sz w:val="24"/>
                <w:highlight w:val="none"/>
              </w:rPr>
            </w:pPr>
          </w:p>
        </w:tc>
        <w:tc>
          <w:tcPr>
            <w:tcW w:w="1957" w:type="dxa"/>
            <w:vAlign w:val="center"/>
          </w:tcPr>
          <w:p>
            <w:pPr>
              <w:shd w:val="clear" w:color="000000" w:fill="auto"/>
              <w:jc w:val="center"/>
              <w:rPr>
                <w:rFonts w:hint="eastAsia" w:ascii="仿宋" w:hAnsi="仿宋" w:eastAsia="仿宋" w:cs="仿宋"/>
                <w:color w:val="auto"/>
                <w:sz w:val="24"/>
                <w:highlight w:val="none"/>
              </w:rPr>
            </w:pPr>
          </w:p>
        </w:tc>
        <w:tc>
          <w:tcPr>
            <w:tcW w:w="2414" w:type="dxa"/>
            <w:vAlign w:val="center"/>
          </w:tcPr>
          <w:p>
            <w:pPr>
              <w:shd w:val="clear" w:color="000000" w:fill="auto"/>
              <w:jc w:val="center"/>
              <w:rPr>
                <w:rFonts w:hint="eastAsia" w:ascii="仿宋" w:hAnsi="仿宋" w:eastAsia="仿宋" w:cs="仿宋"/>
                <w:color w:val="auto"/>
                <w:sz w:val="24"/>
                <w:highlight w:val="none"/>
              </w:rPr>
            </w:pPr>
          </w:p>
        </w:tc>
        <w:tc>
          <w:tcPr>
            <w:tcW w:w="1730" w:type="dxa"/>
            <w:vAlign w:val="center"/>
          </w:tcPr>
          <w:p>
            <w:pPr>
              <w:shd w:val="clear" w:color="000000" w:fill="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8" w:type="dxa"/>
            <w:vAlign w:val="center"/>
          </w:tcPr>
          <w:p>
            <w:pPr>
              <w:shd w:val="clear" w:color="000000"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55" w:type="dxa"/>
            <w:vAlign w:val="center"/>
          </w:tcPr>
          <w:p>
            <w:pPr>
              <w:shd w:val="clear" w:color="000000" w:fill="auto"/>
              <w:jc w:val="center"/>
              <w:rPr>
                <w:rFonts w:hint="eastAsia" w:ascii="仿宋" w:hAnsi="仿宋" w:eastAsia="仿宋" w:cs="仿宋"/>
                <w:color w:val="auto"/>
                <w:sz w:val="24"/>
                <w:highlight w:val="none"/>
              </w:rPr>
            </w:pPr>
          </w:p>
        </w:tc>
        <w:tc>
          <w:tcPr>
            <w:tcW w:w="1957" w:type="dxa"/>
            <w:vAlign w:val="center"/>
          </w:tcPr>
          <w:p>
            <w:pPr>
              <w:shd w:val="clear" w:color="000000" w:fill="auto"/>
              <w:jc w:val="center"/>
              <w:rPr>
                <w:rFonts w:hint="eastAsia" w:ascii="仿宋" w:hAnsi="仿宋" w:eastAsia="仿宋" w:cs="仿宋"/>
                <w:color w:val="auto"/>
                <w:sz w:val="24"/>
                <w:highlight w:val="none"/>
              </w:rPr>
            </w:pPr>
          </w:p>
        </w:tc>
        <w:tc>
          <w:tcPr>
            <w:tcW w:w="2414" w:type="dxa"/>
            <w:vAlign w:val="center"/>
          </w:tcPr>
          <w:p>
            <w:pPr>
              <w:shd w:val="clear" w:color="000000" w:fill="auto"/>
              <w:jc w:val="center"/>
              <w:rPr>
                <w:rFonts w:hint="eastAsia" w:ascii="仿宋" w:hAnsi="仿宋" w:eastAsia="仿宋" w:cs="仿宋"/>
                <w:color w:val="auto"/>
                <w:sz w:val="24"/>
                <w:highlight w:val="none"/>
              </w:rPr>
            </w:pPr>
          </w:p>
        </w:tc>
        <w:tc>
          <w:tcPr>
            <w:tcW w:w="1730" w:type="dxa"/>
            <w:vAlign w:val="center"/>
          </w:tcPr>
          <w:p>
            <w:pPr>
              <w:shd w:val="clear" w:color="000000" w:fill="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8" w:type="dxa"/>
            <w:vAlign w:val="center"/>
          </w:tcPr>
          <w:p>
            <w:pPr>
              <w:shd w:val="clear" w:color="000000" w:fill="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55" w:type="dxa"/>
            <w:vAlign w:val="center"/>
          </w:tcPr>
          <w:p>
            <w:pPr>
              <w:shd w:val="clear" w:color="000000" w:fill="auto"/>
              <w:jc w:val="center"/>
              <w:rPr>
                <w:rFonts w:hint="eastAsia" w:ascii="仿宋" w:hAnsi="仿宋" w:eastAsia="仿宋" w:cs="仿宋"/>
                <w:color w:val="auto"/>
                <w:sz w:val="24"/>
                <w:highlight w:val="none"/>
              </w:rPr>
            </w:pPr>
          </w:p>
        </w:tc>
        <w:tc>
          <w:tcPr>
            <w:tcW w:w="1957" w:type="dxa"/>
            <w:vAlign w:val="center"/>
          </w:tcPr>
          <w:p>
            <w:pPr>
              <w:shd w:val="clear" w:color="000000" w:fill="auto"/>
              <w:jc w:val="center"/>
              <w:rPr>
                <w:rFonts w:hint="eastAsia" w:ascii="仿宋" w:hAnsi="仿宋" w:eastAsia="仿宋" w:cs="仿宋"/>
                <w:color w:val="auto"/>
                <w:sz w:val="24"/>
                <w:highlight w:val="none"/>
              </w:rPr>
            </w:pPr>
          </w:p>
        </w:tc>
        <w:tc>
          <w:tcPr>
            <w:tcW w:w="2414" w:type="dxa"/>
            <w:vAlign w:val="center"/>
          </w:tcPr>
          <w:p>
            <w:pPr>
              <w:shd w:val="clear" w:color="000000" w:fill="auto"/>
              <w:jc w:val="center"/>
              <w:rPr>
                <w:rFonts w:hint="eastAsia" w:ascii="仿宋" w:hAnsi="仿宋" w:eastAsia="仿宋" w:cs="仿宋"/>
                <w:color w:val="auto"/>
                <w:sz w:val="24"/>
                <w:highlight w:val="none"/>
              </w:rPr>
            </w:pPr>
          </w:p>
        </w:tc>
        <w:tc>
          <w:tcPr>
            <w:tcW w:w="1730" w:type="dxa"/>
            <w:vAlign w:val="center"/>
          </w:tcPr>
          <w:p>
            <w:pPr>
              <w:shd w:val="clear" w:color="000000" w:fill="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8" w:type="dxa"/>
            <w:vAlign w:val="center"/>
          </w:tcPr>
          <w:p>
            <w:pPr>
              <w:shd w:val="clear" w:color="000000" w:fill="auto"/>
              <w:jc w:val="center"/>
              <w:rPr>
                <w:rFonts w:hint="eastAsia" w:ascii="仿宋" w:hAnsi="仿宋" w:eastAsia="仿宋" w:cs="仿宋"/>
                <w:color w:val="auto"/>
                <w:sz w:val="24"/>
                <w:highlight w:val="none"/>
              </w:rPr>
            </w:pPr>
          </w:p>
        </w:tc>
        <w:tc>
          <w:tcPr>
            <w:tcW w:w="1855" w:type="dxa"/>
            <w:vAlign w:val="center"/>
          </w:tcPr>
          <w:p>
            <w:pPr>
              <w:shd w:val="clear" w:color="000000" w:fill="auto"/>
              <w:jc w:val="center"/>
              <w:rPr>
                <w:rFonts w:hint="eastAsia" w:ascii="仿宋" w:hAnsi="仿宋" w:eastAsia="仿宋" w:cs="仿宋"/>
                <w:color w:val="auto"/>
                <w:sz w:val="24"/>
                <w:highlight w:val="none"/>
              </w:rPr>
            </w:pPr>
          </w:p>
        </w:tc>
        <w:tc>
          <w:tcPr>
            <w:tcW w:w="1957" w:type="dxa"/>
            <w:vAlign w:val="center"/>
          </w:tcPr>
          <w:p>
            <w:pPr>
              <w:shd w:val="clear" w:color="000000" w:fill="auto"/>
              <w:jc w:val="center"/>
              <w:rPr>
                <w:rFonts w:hint="eastAsia" w:ascii="仿宋" w:hAnsi="仿宋" w:eastAsia="仿宋" w:cs="仿宋"/>
                <w:color w:val="auto"/>
                <w:sz w:val="24"/>
                <w:highlight w:val="none"/>
              </w:rPr>
            </w:pPr>
          </w:p>
        </w:tc>
        <w:tc>
          <w:tcPr>
            <w:tcW w:w="2414" w:type="dxa"/>
            <w:vAlign w:val="center"/>
          </w:tcPr>
          <w:p>
            <w:pPr>
              <w:shd w:val="clear" w:color="000000" w:fill="auto"/>
              <w:jc w:val="center"/>
              <w:rPr>
                <w:rFonts w:hint="eastAsia" w:ascii="仿宋" w:hAnsi="仿宋" w:eastAsia="仿宋" w:cs="仿宋"/>
                <w:color w:val="auto"/>
                <w:sz w:val="24"/>
                <w:highlight w:val="none"/>
              </w:rPr>
            </w:pPr>
          </w:p>
        </w:tc>
        <w:tc>
          <w:tcPr>
            <w:tcW w:w="1730" w:type="dxa"/>
            <w:vAlign w:val="center"/>
          </w:tcPr>
          <w:p>
            <w:pPr>
              <w:shd w:val="clear" w:color="000000" w:fill="auto"/>
              <w:jc w:val="center"/>
              <w:rPr>
                <w:rFonts w:hint="eastAsia" w:ascii="仿宋" w:hAnsi="仿宋" w:eastAsia="仿宋" w:cs="仿宋"/>
                <w:color w:val="auto"/>
                <w:sz w:val="24"/>
                <w:highlight w:val="none"/>
              </w:rPr>
            </w:pPr>
          </w:p>
        </w:tc>
      </w:tr>
    </w:tbl>
    <w:p>
      <w:pPr>
        <w:shd w:val="clear" w:color="000000" w:fill="auto"/>
        <w:adjustRightInd w:val="0"/>
        <w:snapToGrid w:val="0"/>
        <w:spacing w:line="5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填表说明：</w:t>
      </w:r>
    </w:p>
    <w:p>
      <w:pPr>
        <w:shd w:val="clear" w:color="000000" w:fill="auto"/>
        <w:adjustRightInd w:val="0"/>
        <w:snapToGrid w:val="0"/>
        <w:spacing w:line="50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“实质性内容”详见“第三部分 采购需求”中带“●”条款，本表中所列条款仅供参考；</w:t>
      </w:r>
    </w:p>
    <w:p>
      <w:pPr>
        <w:shd w:val="clear" w:color="000000" w:fill="auto"/>
        <w:adjustRightInd w:val="0"/>
        <w:snapToGrid w:val="0"/>
        <w:spacing w:line="5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w:t>
      </w:r>
      <w:r>
        <w:rPr>
          <w:rFonts w:hint="eastAsia" w:ascii="仿宋" w:hAnsi="仿宋" w:eastAsia="仿宋" w:cs="仿宋"/>
          <w:color w:val="auto"/>
          <w:kern w:val="0"/>
          <w:sz w:val="24"/>
          <w:highlight w:val="none"/>
        </w:rPr>
        <w:t>投标人应根据投标承诺或说明，对照招标文件要求在“满足情况”栏注明“满足”或“不满足”；</w:t>
      </w:r>
    </w:p>
    <w:p>
      <w:pPr>
        <w:shd w:val="clear" w:color="000000" w:fill="auto"/>
        <w:adjustRightInd w:val="0"/>
        <w:snapToGrid w:val="0"/>
        <w:spacing w:line="50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本项目“第三部分 采购需求”中所有带“●”条款，投标人必须作出实质性响应，如有任意一条未响应或不满足，将被视为无效。</w:t>
      </w:r>
    </w:p>
    <w:p>
      <w:pPr>
        <w:shd w:val="clear" w:color="000000" w:fill="auto"/>
        <w:autoSpaceDE w:val="0"/>
        <w:autoSpaceDN w:val="0"/>
        <w:adjustRightInd w:val="0"/>
        <w:spacing w:line="360" w:lineRule="auto"/>
        <w:rPr>
          <w:rFonts w:hint="eastAsia" w:ascii="仿宋" w:hAnsi="仿宋" w:eastAsia="仿宋" w:cs="仿宋"/>
          <w:color w:val="auto"/>
          <w:kern w:val="0"/>
          <w:sz w:val="24"/>
          <w:highlight w:val="none"/>
          <w:lang w:val="zh-CN"/>
        </w:rPr>
      </w:pPr>
    </w:p>
    <w:p>
      <w:pPr>
        <w:shd w:val="clear" w:color="000000" w:fill="auto"/>
        <w:autoSpaceDE w:val="0"/>
        <w:autoSpaceDN w:val="0"/>
        <w:adjustRightInd w:val="0"/>
        <w:spacing w:line="440" w:lineRule="exact"/>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投标人（公章）：</w:t>
      </w:r>
    </w:p>
    <w:p>
      <w:pPr>
        <w:shd w:val="clear" w:color="000000" w:fill="auto"/>
        <w:autoSpaceDE w:val="0"/>
        <w:autoSpaceDN w:val="0"/>
        <w:adjustRightInd w:val="0"/>
        <w:spacing w:line="440" w:lineRule="exact"/>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法定代表人或授权代表（签字）：</w:t>
      </w:r>
    </w:p>
    <w:p>
      <w:pPr>
        <w:shd w:val="clear" w:color="000000" w:fill="auto"/>
        <w:autoSpaceDE w:val="0"/>
        <w:autoSpaceDN w:val="0"/>
        <w:adjustRightInd w:val="0"/>
        <w:spacing w:line="440" w:lineRule="exact"/>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日期：20  年  月  日</w:t>
      </w:r>
    </w:p>
    <w:p>
      <w:pPr>
        <w:shd w:val="clear" w:color="000000" w:fill="auto"/>
        <w:autoSpaceDE w:val="0"/>
        <w:autoSpaceDN w:val="0"/>
        <w:adjustRightInd w:val="0"/>
        <w:spacing w:line="440" w:lineRule="exact"/>
        <w:jc w:val="center"/>
        <w:rPr>
          <w:rFonts w:hint="eastAsia" w:ascii="仿宋" w:hAnsi="仿宋" w:eastAsia="仿宋" w:cs="仿宋"/>
          <w:color w:val="auto"/>
          <w:kern w:val="0"/>
          <w:sz w:val="24"/>
          <w:highlight w:val="none"/>
          <w:lang w:val="zh-CN"/>
        </w:rPr>
      </w:pPr>
    </w:p>
    <w:p>
      <w:pPr>
        <w:shd w:val="clear" w:color="000000" w:fill="auto"/>
        <w:autoSpaceDE w:val="0"/>
        <w:autoSpaceDN w:val="0"/>
        <w:adjustRightInd w:val="0"/>
        <w:spacing w:line="440" w:lineRule="exact"/>
        <w:jc w:val="center"/>
        <w:rPr>
          <w:rFonts w:hint="eastAsia" w:ascii="仿宋" w:hAnsi="仿宋" w:eastAsia="仿宋" w:cs="仿宋"/>
          <w:color w:val="auto"/>
          <w:kern w:val="0"/>
          <w:sz w:val="24"/>
          <w:highlight w:val="none"/>
          <w:lang w:val="zh-CN"/>
        </w:rPr>
      </w:pPr>
    </w:p>
    <w:p>
      <w:pPr>
        <w:shd w:val="clear" w:color="000000" w:fill="auto"/>
        <w:autoSpaceDE w:val="0"/>
        <w:autoSpaceDN w:val="0"/>
        <w:adjustRightInd w:val="0"/>
        <w:spacing w:line="440" w:lineRule="exact"/>
        <w:jc w:val="center"/>
        <w:rPr>
          <w:rFonts w:hint="eastAsia" w:ascii="仿宋" w:hAnsi="仿宋" w:eastAsia="仿宋" w:cs="仿宋"/>
          <w:color w:val="auto"/>
          <w:kern w:val="0"/>
          <w:sz w:val="24"/>
          <w:highlight w:val="none"/>
          <w:lang w:val="zh-CN"/>
        </w:rPr>
        <w:sectPr>
          <w:pgSz w:w="11906" w:h="16838"/>
          <w:pgMar w:top="1531" w:right="1304" w:bottom="1531" w:left="1361" w:header="851" w:footer="601" w:gutter="0"/>
          <w:pgBorders>
            <w:top w:val="none" w:sz="0" w:space="0"/>
            <w:left w:val="none" w:sz="0" w:space="0"/>
            <w:bottom w:val="none" w:sz="0" w:space="0"/>
            <w:right w:val="none" w:sz="0" w:space="0"/>
          </w:pgBorders>
          <w:pgNumType w:fmt="decimal"/>
          <w:cols w:space="720" w:num="1"/>
          <w:docGrid w:linePitch="312" w:charSpace="0"/>
        </w:sectPr>
      </w:pPr>
    </w:p>
    <w:bookmarkEnd w:id="45"/>
    <w:bookmarkEnd w:id="46"/>
    <w:p>
      <w:pPr>
        <w:shd w:val="clear" w:color="000000" w:fill="auto"/>
        <w:autoSpaceDE w:val="0"/>
        <w:autoSpaceDN w:val="0"/>
        <w:adjustRightInd w:val="0"/>
        <w:spacing w:line="440" w:lineRule="exact"/>
        <w:jc w:val="center"/>
        <w:rPr>
          <w:rFonts w:hint="eastAsia" w:ascii="仿宋" w:hAnsi="仿宋" w:eastAsia="仿宋" w:cs="仿宋"/>
          <w:b/>
          <w:color w:val="auto"/>
          <w:sz w:val="28"/>
          <w:szCs w:val="28"/>
          <w:highlight w:val="none"/>
        </w:rPr>
      </w:pPr>
      <w:bookmarkStart w:id="47" w:name="_Toc91899922"/>
      <w:r>
        <w:rPr>
          <w:rFonts w:hint="eastAsia" w:ascii="仿宋" w:hAnsi="仿宋" w:eastAsia="仿宋" w:cs="仿宋"/>
          <w:b/>
          <w:color w:val="auto"/>
          <w:kern w:val="0"/>
          <w:sz w:val="32"/>
          <w:szCs w:val="32"/>
          <w:highlight w:val="none"/>
          <w:lang w:val="en-US" w:eastAsia="zh-CN"/>
        </w:rPr>
        <w:t>十二</w:t>
      </w:r>
      <w:r>
        <w:rPr>
          <w:rFonts w:hint="eastAsia" w:ascii="仿宋" w:hAnsi="仿宋" w:eastAsia="仿宋" w:cs="仿宋"/>
          <w:b/>
          <w:color w:val="auto"/>
          <w:sz w:val="28"/>
          <w:szCs w:val="28"/>
          <w:highlight w:val="none"/>
        </w:rPr>
        <w:t>、法定代表人授权委托书</w:t>
      </w:r>
    </w:p>
    <w:p>
      <w:pPr>
        <w:shd w:val="clear" w:color="000000" w:fill="auto"/>
        <w:spacing w:line="440" w:lineRule="exact"/>
        <w:jc w:val="center"/>
        <w:rPr>
          <w:rFonts w:hint="eastAsia" w:ascii="仿宋" w:hAnsi="仿宋" w:eastAsia="仿宋" w:cs="仿宋"/>
          <w:b/>
          <w:color w:val="auto"/>
          <w:sz w:val="32"/>
          <w:szCs w:val="32"/>
          <w:highlight w:val="none"/>
        </w:rPr>
      </w:pPr>
    </w:p>
    <w:p>
      <w:pPr>
        <w:shd w:val="clear" w:color="000000" w:fill="auto"/>
        <w:spacing w:line="6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杭州临平旅游文化创意有限公司</w:t>
      </w:r>
      <w:r>
        <w:rPr>
          <w:rFonts w:hint="eastAsia" w:ascii="仿宋" w:hAnsi="仿宋" w:eastAsia="仿宋" w:cs="仿宋"/>
          <w:b/>
          <w:color w:val="auto"/>
          <w:sz w:val="24"/>
          <w:highlight w:val="none"/>
        </w:rPr>
        <w:t>：</w:t>
      </w:r>
    </w:p>
    <w:p>
      <w:pPr>
        <w:shd w:val="clear" w:color="000000" w:fill="auto"/>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兹委派我公司</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先生/女士（其在本公司的职务是：</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，手机：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，身份证号：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）代表我公司全权处理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项目（项目编号：</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rPr>
        <w:t xml:space="preserve">   ）的一切事项，若中标则全权代表本公司签订合同，并负责处理合同履行等事宜。</w:t>
      </w:r>
    </w:p>
    <w:p>
      <w:pPr>
        <w:shd w:val="clear" w:color="000000" w:fill="auto"/>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在撤销授权的书面通知以前，本授权书一直有效。授权代表在授权书有效期内签署的所有文件不因授权的撤销而失效。</w:t>
      </w:r>
    </w:p>
    <w:p>
      <w:pPr>
        <w:shd w:val="clear" w:color="000000" w:fill="auto"/>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pPr>
        <w:shd w:val="clear" w:color="000000" w:fill="auto"/>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特此告知。</w:t>
      </w:r>
    </w:p>
    <w:p>
      <w:pPr>
        <w:shd w:val="clear" w:color="000000" w:fill="auto"/>
        <w:spacing w:line="600" w:lineRule="exact"/>
        <w:rPr>
          <w:rFonts w:hint="eastAsia" w:ascii="仿宋" w:hAnsi="仿宋" w:eastAsia="仿宋" w:cs="仿宋"/>
          <w:color w:val="auto"/>
          <w:sz w:val="24"/>
          <w:highlight w:val="none"/>
        </w:rPr>
      </w:pPr>
    </w:p>
    <w:p>
      <w:pPr>
        <w:shd w:val="clear" w:color="000000" w:fill="auto"/>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法定代表人（签字）：                     授权代表（签字）：           </w:t>
      </w:r>
    </w:p>
    <w:p>
      <w:pPr>
        <w:shd w:val="clear" w:color="000000" w:fill="auto"/>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职务：                                  职务：</w:t>
      </w:r>
    </w:p>
    <w:p>
      <w:pPr>
        <w:shd w:val="clear" w:color="000000" w:fill="auto"/>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身份证号码：                            身份证号码：</w:t>
      </w:r>
    </w:p>
    <w:p>
      <w:pPr>
        <w:shd w:val="clear" w:color="000000" w:fill="auto"/>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color="000000" w:fill="auto"/>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hd w:val="clear" w:color="000000" w:fill="auto"/>
        <w:wordWrap w:val="0"/>
        <w:autoSpaceDE w:val="0"/>
        <w:autoSpaceDN w:val="0"/>
        <w:adjustRightInd w:val="0"/>
        <w:spacing w:line="600" w:lineRule="exact"/>
        <w:ind w:right="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（法定代表人、授权代表的身份证正反面复印件附后。）  </w:t>
      </w:r>
    </w:p>
    <w:p>
      <w:pPr>
        <w:shd w:val="clear" w:color="000000" w:fill="auto"/>
        <w:spacing w:line="600" w:lineRule="exact"/>
        <w:ind w:firstLine="480" w:firstLineChars="200"/>
        <w:rPr>
          <w:rFonts w:hint="eastAsia" w:ascii="仿宋" w:hAnsi="仿宋" w:eastAsia="仿宋" w:cs="仿宋"/>
          <w:color w:val="auto"/>
          <w:sz w:val="24"/>
          <w:highlight w:val="none"/>
        </w:rPr>
      </w:pPr>
    </w:p>
    <w:p>
      <w:pPr>
        <w:shd w:val="clear" w:color="000000" w:fill="auto"/>
        <w:wordWrap w:val="0"/>
        <w:autoSpaceDE w:val="0"/>
        <w:autoSpaceDN w:val="0"/>
        <w:adjustRightInd w:val="0"/>
        <w:spacing w:line="600" w:lineRule="exact"/>
        <w:ind w:right="480"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投标人（公章）：     </w:t>
      </w:r>
    </w:p>
    <w:p>
      <w:pPr>
        <w:shd w:val="clear" w:color="000000" w:fill="auto"/>
        <w:wordWrap w:val="0"/>
        <w:autoSpaceDE w:val="0"/>
        <w:autoSpaceDN w:val="0"/>
        <w:adjustRightInd w:val="0"/>
        <w:spacing w:line="600" w:lineRule="exact"/>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sz w:val="24"/>
          <w:highlight w:val="none"/>
        </w:rPr>
        <w:t>授权委托日期</w:t>
      </w:r>
      <w:r>
        <w:rPr>
          <w:rFonts w:hint="eastAsia" w:ascii="仿宋" w:hAnsi="仿宋" w:eastAsia="仿宋" w:cs="仿宋"/>
          <w:color w:val="auto"/>
          <w:kern w:val="0"/>
          <w:sz w:val="24"/>
          <w:highlight w:val="none"/>
          <w:lang w:val="zh-CN"/>
        </w:rPr>
        <w:t xml:space="preserve">：20  年  月   日      </w:t>
      </w:r>
    </w:p>
    <w:p>
      <w:pPr>
        <w:pStyle w:val="3"/>
        <w:shd w:val="clear" w:color="010000" w:fill="auto"/>
        <w:wordWrap/>
        <w:rPr>
          <w:rFonts w:hint="eastAsia" w:ascii="仿宋" w:hAnsi="仿宋" w:eastAsia="仿宋" w:cs="仿宋"/>
          <w:color w:val="auto"/>
          <w:kern w:val="0"/>
          <w:sz w:val="24"/>
          <w:highlight w:val="none"/>
          <w:lang w:val="zh-CN"/>
        </w:rPr>
      </w:pPr>
    </w:p>
    <w:p>
      <w:pPr>
        <w:pStyle w:val="3"/>
        <w:shd w:val="clear" w:color="010000" w:fill="auto"/>
        <w:rPr>
          <w:rFonts w:hint="eastAsia" w:ascii="仿宋" w:hAnsi="仿宋" w:eastAsia="仿宋" w:cs="仿宋"/>
          <w:color w:val="auto"/>
          <w:highlight w:val="none"/>
        </w:rPr>
      </w:pPr>
    </w:p>
    <w:p>
      <w:pPr>
        <w:pStyle w:val="3"/>
        <w:shd w:val="clear" w:color="010000" w:fill="auto"/>
        <w:rPr>
          <w:rFonts w:hint="eastAsia" w:ascii="仿宋" w:hAnsi="仿宋" w:eastAsia="仿宋" w:cs="仿宋"/>
          <w:color w:val="auto"/>
          <w:sz w:val="24"/>
          <w:highlight w:val="none"/>
        </w:rPr>
      </w:pPr>
    </w:p>
    <w:p>
      <w:pPr>
        <w:pStyle w:val="2"/>
        <w:shd w:val="clear" w:color="010000" w:fill="auto"/>
        <w:rPr>
          <w:rFonts w:hint="eastAsia" w:ascii="仿宋" w:hAnsi="仿宋" w:eastAsia="仿宋" w:cs="仿宋"/>
          <w:color w:val="auto"/>
          <w:sz w:val="24"/>
          <w:highlight w:val="none"/>
        </w:rPr>
      </w:pPr>
    </w:p>
    <w:p>
      <w:pPr>
        <w:shd w:val="clear" w:color="000000" w:fill="auto"/>
        <w:rPr>
          <w:rFonts w:hint="eastAsia" w:ascii="仿宋" w:hAnsi="仿宋" w:eastAsia="仿宋" w:cs="仿宋"/>
          <w:color w:val="auto"/>
          <w:sz w:val="24"/>
          <w:highlight w:val="none"/>
        </w:rPr>
      </w:pPr>
    </w:p>
    <w:p>
      <w:pPr>
        <w:pStyle w:val="3"/>
        <w:shd w:val="clear" w:color="010000" w:fill="auto"/>
        <w:rPr>
          <w:rFonts w:hint="eastAsia" w:ascii="仿宋" w:hAnsi="仿宋" w:eastAsia="仿宋" w:cs="仿宋"/>
          <w:color w:val="auto"/>
          <w:sz w:val="24"/>
          <w:highlight w:val="none"/>
        </w:rPr>
      </w:pPr>
    </w:p>
    <w:p>
      <w:pPr>
        <w:shd w:val="clear" w:color="000000" w:fill="auto"/>
        <w:spacing w:line="240" w:lineRule="atLeast"/>
        <w:jc w:val="center"/>
        <w:rPr>
          <w:rFonts w:hint="eastAsia" w:ascii="仿宋" w:hAnsi="仿宋" w:eastAsia="仿宋" w:cs="仿宋"/>
          <w:b/>
          <w:color w:val="auto"/>
          <w:spacing w:val="-6"/>
          <w:sz w:val="28"/>
          <w:szCs w:val="28"/>
          <w:highlight w:val="none"/>
        </w:rPr>
      </w:pPr>
      <w:r>
        <w:rPr>
          <w:rFonts w:hint="eastAsia" w:ascii="仿宋" w:hAnsi="仿宋" w:eastAsia="仿宋" w:cs="仿宋"/>
          <w:b/>
          <w:color w:val="auto"/>
          <w:sz w:val="28"/>
          <w:szCs w:val="28"/>
          <w:highlight w:val="none"/>
          <w:lang w:eastAsia="zh-CN"/>
        </w:rPr>
        <w:t>十三</w:t>
      </w:r>
      <w:r>
        <w:rPr>
          <w:rFonts w:hint="eastAsia" w:ascii="仿宋" w:hAnsi="仿宋" w:eastAsia="仿宋" w:cs="仿宋"/>
          <w:b/>
          <w:color w:val="auto"/>
          <w:sz w:val="28"/>
          <w:szCs w:val="28"/>
          <w:highlight w:val="none"/>
        </w:rPr>
        <w:t>、</w:t>
      </w:r>
      <w:r>
        <w:rPr>
          <w:rFonts w:hint="eastAsia" w:ascii="仿宋" w:hAnsi="仿宋" w:eastAsia="仿宋" w:cs="仿宋"/>
          <w:b/>
          <w:color w:val="auto"/>
          <w:spacing w:val="-6"/>
          <w:sz w:val="28"/>
          <w:szCs w:val="28"/>
          <w:highlight w:val="none"/>
        </w:rPr>
        <w:t>无失信行为承诺书</w:t>
      </w:r>
    </w:p>
    <w:p>
      <w:pPr>
        <w:shd w:val="clear" w:color="000000" w:fill="auto"/>
        <w:spacing w:line="240" w:lineRule="atLeast"/>
        <w:ind w:firstLine="2156" w:firstLineChars="700"/>
        <w:rPr>
          <w:rFonts w:hint="eastAsia" w:ascii="仿宋" w:hAnsi="仿宋" w:eastAsia="仿宋" w:cs="仿宋"/>
          <w:color w:val="auto"/>
          <w:spacing w:val="-6"/>
          <w:sz w:val="32"/>
          <w:szCs w:val="32"/>
          <w:highlight w:val="none"/>
        </w:rPr>
      </w:pPr>
    </w:p>
    <w:p>
      <w:pPr>
        <w:shd w:val="clear" w:color="000000" w:fill="auto"/>
        <w:spacing w:line="60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杭州临平旅游文化创意有限公司：</w:t>
      </w:r>
    </w:p>
    <w:p>
      <w:pPr>
        <w:shd w:val="clear" w:color="000000" w:fill="auto"/>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承诺：在本项目采购和执行期间，本公司、公司法定代表人及项目负责人不在国家相关行政主管部门公布的不良信用记录名单中，愿意接受社会各界监督。若本公司、公司法定代表人及项目负责人在此期间被列入失信被执行人等失信行为记录名单，自愿依法接受取消投标资格、记入信用档案、取消中标资格等有关处理，给采购人造成损失的，依法承担赔偿责任，并愿意承担相关法律责任。</w:t>
      </w:r>
    </w:p>
    <w:p>
      <w:pPr>
        <w:shd w:val="clear" w:color="000000" w:fill="auto"/>
        <w:spacing w:line="600" w:lineRule="exact"/>
        <w:rPr>
          <w:rFonts w:hint="eastAsia" w:ascii="仿宋" w:hAnsi="仿宋" w:eastAsia="仿宋" w:cs="仿宋"/>
          <w:color w:val="auto"/>
          <w:sz w:val="24"/>
          <w:highlight w:val="none"/>
        </w:rPr>
      </w:pPr>
    </w:p>
    <w:p>
      <w:pPr>
        <w:shd w:val="clear" w:color="000000" w:fill="auto"/>
        <w:spacing w:line="600" w:lineRule="exact"/>
        <w:jc w:val="right"/>
        <w:rPr>
          <w:rFonts w:hint="eastAsia" w:ascii="仿宋" w:hAnsi="仿宋" w:eastAsia="仿宋" w:cs="仿宋"/>
          <w:color w:val="auto"/>
          <w:sz w:val="24"/>
          <w:highlight w:val="none"/>
          <w:lang w:val="zh-CN"/>
        </w:rPr>
      </w:pPr>
    </w:p>
    <w:p>
      <w:pPr>
        <w:shd w:val="clear" w:color="000000" w:fill="auto"/>
        <w:spacing w:line="600" w:lineRule="exact"/>
        <w:jc w:val="righ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法定代表人（签字或盖章）：</w:t>
      </w:r>
    </w:p>
    <w:p>
      <w:pPr>
        <w:shd w:val="clear" w:color="000000" w:fill="auto"/>
        <w:spacing w:line="600" w:lineRule="exact"/>
        <w:jc w:val="righ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投标人（公章）： </w:t>
      </w:r>
    </w:p>
    <w:p>
      <w:pPr>
        <w:shd w:val="clear" w:color="000000" w:fill="auto"/>
        <w:spacing w:line="600" w:lineRule="exact"/>
        <w:jc w:val="righ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w:t>
      </w:r>
    </w:p>
    <w:p>
      <w:pPr>
        <w:shd w:val="clear" w:color="000000" w:fill="auto"/>
        <w:spacing w:line="600" w:lineRule="exact"/>
        <w:jc w:val="right"/>
        <w:rPr>
          <w:rFonts w:hint="eastAsia" w:ascii="仿宋" w:hAnsi="仿宋" w:eastAsia="仿宋" w:cs="仿宋"/>
          <w:color w:val="auto"/>
          <w:sz w:val="24"/>
          <w:highlight w:val="none"/>
          <w:lang w:val="zh-CN"/>
        </w:rPr>
        <w:sectPr>
          <w:headerReference r:id="rId5" w:type="default"/>
          <w:footerReference r:id="rId6" w:type="default"/>
          <w:pgSz w:w="11907" w:h="16840"/>
          <w:pgMar w:top="1304" w:right="1565" w:bottom="1247" w:left="1344"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auto"/>
          <w:sz w:val="24"/>
          <w:highlight w:val="none"/>
          <w:lang w:val="zh-CN"/>
        </w:rPr>
        <w:t xml:space="preserve">                                          日期：20  年  月   日  </w:t>
      </w:r>
    </w:p>
    <w:p>
      <w:pPr>
        <w:spacing w:line="360" w:lineRule="auto"/>
        <w:jc w:val="center"/>
        <w:outlineLvl w:val="1"/>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十四、投标人资料真实性承诺书</w:t>
      </w:r>
    </w:p>
    <w:p>
      <w:pPr>
        <w:spacing w:line="360" w:lineRule="auto"/>
        <w:ind w:firstLine="480" w:firstLineChars="200"/>
        <w:rPr>
          <w:rFonts w:hint="eastAsia" w:ascii="仿宋" w:hAnsi="仿宋" w:eastAsia="仿宋" w:cs="仿宋"/>
          <w:color w:val="auto"/>
          <w:sz w:val="24"/>
          <w:highlight w:val="none"/>
        </w:rPr>
      </w:pPr>
    </w:p>
    <w:p>
      <w:pPr>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致:</w:t>
      </w:r>
      <w:r>
        <w:rPr>
          <w:rFonts w:hint="eastAsia" w:ascii="仿宋" w:hAnsi="仿宋" w:eastAsia="仿宋" w:cs="仿宋"/>
          <w:color w:val="auto"/>
          <w:highlight w:val="none"/>
        </w:rPr>
        <w:t xml:space="preserve"> </w:t>
      </w:r>
      <w:r>
        <w:rPr>
          <w:rFonts w:hint="eastAsia" w:ascii="仿宋" w:hAnsi="仿宋" w:eastAsia="仿宋" w:cs="仿宋"/>
          <w:b/>
          <w:bCs/>
          <w:color w:val="auto"/>
          <w:sz w:val="24"/>
          <w:highlight w:val="none"/>
          <w:lang w:eastAsia="zh-CN"/>
        </w:rPr>
        <w:t>杭州临平旅游文化创意有限公司</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杭州华瑞新洲工程造价咨询有限公司</w:t>
      </w:r>
      <w:r>
        <w:rPr>
          <w:rFonts w:hint="eastAsia" w:ascii="仿宋" w:hAnsi="仿宋" w:eastAsia="仿宋" w:cs="仿宋"/>
          <w:b/>
          <w:bCs/>
          <w:color w:val="auto"/>
          <w:sz w:val="24"/>
          <w:highlight w:val="none"/>
        </w:rPr>
        <w:t>：</w:t>
      </w:r>
    </w:p>
    <w:p>
      <w:pPr>
        <w:spacing w:line="360" w:lineRule="auto"/>
        <w:ind w:firstLine="482" w:firstLineChars="200"/>
        <w:rPr>
          <w:rFonts w:hint="eastAsia" w:ascii="仿宋" w:hAnsi="仿宋" w:eastAsia="仿宋" w:cs="仿宋"/>
          <w:b/>
          <w:bCs/>
          <w:color w:val="auto"/>
          <w:sz w:val="24"/>
          <w:highlight w:val="none"/>
        </w:rPr>
      </w:pP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人以法定代表人的资格，郑重承诺:本单位此次参加投标所提交的所有资料都是真实的。如有虚假，本单位愿意接受采购人作出的取消投标、中标资格决定，同时愿意接受行政主管部门依法作出的罚款，列入不良行为记录名单，在一至三年内禁止参加采购活动，有违法所得的，并处没收违法所得，情节严重的，由工商行政管理机关吊销营业执照；构成犯罪的，依法追究刑事责任等全部处罚。</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投标人:(盖章)</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法定代表人或其授权代表：（签字或盖章）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日期:20  年   月    日</w:t>
      </w:r>
    </w:p>
    <w:p>
      <w:pPr>
        <w:pStyle w:val="2"/>
        <w:rPr>
          <w:rFonts w:hint="eastAsia" w:ascii="仿宋" w:hAnsi="仿宋" w:eastAsia="仿宋" w:cs="仿宋"/>
          <w:color w:val="auto"/>
          <w:highlight w:val="none"/>
          <w:lang w:val="zh-CN"/>
        </w:rPr>
        <w:sectPr>
          <w:pgSz w:w="11907" w:h="16840"/>
          <w:pgMar w:top="1304" w:right="1565" w:bottom="1247" w:left="1344" w:header="851" w:footer="992" w:gutter="0"/>
          <w:pgBorders>
            <w:top w:val="none" w:sz="0" w:space="0"/>
            <w:left w:val="none" w:sz="0" w:space="0"/>
            <w:bottom w:val="none" w:sz="0" w:space="0"/>
            <w:right w:val="none" w:sz="0" w:space="0"/>
          </w:pgBorders>
          <w:pgNumType w:fmt="decimal"/>
          <w:cols w:space="720" w:num="1"/>
          <w:docGrid w:linePitch="312" w:charSpace="0"/>
        </w:sectPr>
      </w:pPr>
    </w:p>
    <w:p>
      <w:pPr>
        <w:shd w:val="clear" w:color="000000" w:fill="auto"/>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十五</w:t>
      </w:r>
      <w:r>
        <w:rPr>
          <w:rFonts w:hint="eastAsia" w:ascii="仿宋" w:hAnsi="仿宋" w:eastAsia="仿宋" w:cs="仿宋"/>
          <w:b/>
          <w:color w:val="auto"/>
          <w:sz w:val="28"/>
          <w:szCs w:val="28"/>
          <w:highlight w:val="none"/>
        </w:rPr>
        <w:t>、</w:t>
      </w:r>
      <w:bookmarkEnd w:id="47"/>
      <w:r>
        <w:rPr>
          <w:rFonts w:hint="eastAsia" w:ascii="仿宋" w:hAnsi="仿宋" w:eastAsia="仿宋" w:cs="仿宋"/>
          <w:b/>
          <w:color w:val="auto"/>
          <w:sz w:val="28"/>
          <w:szCs w:val="28"/>
          <w:highlight w:val="none"/>
        </w:rPr>
        <w:t>类似项目实施业绩一览表</w:t>
      </w:r>
    </w:p>
    <w:tbl>
      <w:tblPr>
        <w:tblStyle w:val="27"/>
        <w:tblW w:w="972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281"/>
        <w:gridCol w:w="1356"/>
        <w:gridCol w:w="1773"/>
        <w:gridCol w:w="1365"/>
        <w:gridCol w:w="247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470" w:type="dxa"/>
            <w:tcBorders>
              <w:top w:val="double" w:color="auto" w:sz="4" w:space="0"/>
              <w:left w:val="double" w:color="auto" w:sz="4" w:space="0"/>
              <w:bottom w:val="single" w:color="auto" w:sz="4" w:space="0"/>
              <w:right w:val="single" w:color="auto" w:sz="4" w:space="0"/>
            </w:tcBorders>
            <w:shd w:val="clear" w:color="auto" w:fill="FFFF99"/>
            <w:vAlign w:val="center"/>
          </w:tcPr>
          <w:p>
            <w:pPr>
              <w:shd w:val="clear" w:color="000000" w:fill="auto"/>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项目名称</w:t>
            </w:r>
          </w:p>
        </w:tc>
        <w:tc>
          <w:tcPr>
            <w:tcW w:w="1281" w:type="dxa"/>
            <w:tcBorders>
              <w:top w:val="double" w:color="auto" w:sz="4" w:space="0"/>
              <w:left w:val="single" w:color="auto" w:sz="4" w:space="0"/>
              <w:bottom w:val="single" w:color="auto" w:sz="4" w:space="0"/>
              <w:right w:val="single" w:color="auto" w:sz="4" w:space="0"/>
            </w:tcBorders>
            <w:shd w:val="clear" w:color="auto" w:fill="FFFF99"/>
            <w:vAlign w:val="center"/>
          </w:tcPr>
          <w:p>
            <w:pPr>
              <w:shd w:val="clear" w:color="000000" w:fill="auto"/>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项目</w:t>
            </w:r>
          </w:p>
          <w:p>
            <w:pPr>
              <w:shd w:val="clear" w:color="000000" w:fill="auto"/>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类型</w:t>
            </w:r>
          </w:p>
        </w:tc>
        <w:tc>
          <w:tcPr>
            <w:tcW w:w="1356" w:type="dxa"/>
            <w:tcBorders>
              <w:top w:val="double" w:color="auto" w:sz="4" w:space="0"/>
              <w:left w:val="single" w:color="auto" w:sz="4" w:space="0"/>
              <w:bottom w:val="single" w:color="auto" w:sz="4" w:space="0"/>
              <w:right w:val="single" w:color="auto" w:sz="4" w:space="0"/>
            </w:tcBorders>
            <w:shd w:val="clear" w:color="auto" w:fill="FFFF99"/>
            <w:vAlign w:val="center"/>
          </w:tcPr>
          <w:p>
            <w:pPr>
              <w:shd w:val="clear" w:color="000000" w:fill="auto"/>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简要描述</w:t>
            </w:r>
          </w:p>
        </w:tc>
        <w:tc>
          <w:tcPr>
            <w:tcW w:w="1773" w:type="dxa"/>
            <w:tcBorders>
              <w:top w:val="double" w:color="auto" w:sz="4" w:space="0"/>
              <w:left w:val="single" w:color="auto" w:sz="4" w:space="0"/>
              <w:bottom w:val="single" w:color="auto" w:sz="4" w:space="0"/>
              <w:right w:val="single" w:color="auto" w:sz="4" w:space="0"/>
            </w:tcBorders>
            <w:shd w:val="clear" w:color="auto" w:fill="FFFF99"/>
            <w:vAlign w:val="center"/>
          </w:tcPr>
          <w:p>
            <w:pPr>
              <w:shd w:val="clear" w:color="000000" w:fill="auto"/>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项目金额</w:t>
            </w:r>
          </w:p>
          <w:p>
            <w:pPr>
              <w:shd w:val="clear" w:color="000000" w:fill="auto"/>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（万元）</w:t>
            </w:r>
          </w:p>
        </w:tc>
        <w:tc>
          <w:tcPr>
            <w:tcW w:w="1365" w:type="dxa"/>
            <w:tcBorders>
              <w:top w:val="double" w:color="auto" w:sz="4" w:space="0"/>
              <w:left w:val="single" w:color="auto" w:sz="4" w:space="0"/>
              <w:bottom w:val="single" w:color="auto" w:sz="4" w:space="0"/>
              <w:right w:val="single" w:color="auto" w:sz="4" w:space="0"/>
            </w:tcBorders>
            <w:shd w:val="clear" w:color="auto" w:fill="FFFF99"/>
            <w:vAlign w:val="center"/>
          </w:tcPr>
          <w:p>
            <w:pPr>
              <w:shd w:val="clear" w:color="000000" w:fill="auto"/>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合同签订时间</w:t>
            </w:r>
          </w:p>
        </w:tc>
        <w:tc>
          <w:tcPr>
            <w:tcW w:w="2475" w:type="dxa"/>
            <w:tcBorders>
              <w:top w:val="double" w:color="auto" w:sz="4" w:space="0"/>
              <w:left w:val="single" w:color="auto" w:sz="4" w:space="0"/>
              <w:bottom w:val="single" w:color="auto" w:sz="4" w:space="0"/>
              <w:right w:val="double" w:color="auto" w:sz="4" w:space="0"/>
            </w:tcBorders>
            <w:shd w:val="clear" w:color="auto" w:fill="FFFF99"/>
            <w:vAlign w:val="center"/>
          </w:tcPr>
          <w:p>
            <w:pPr>
              <w:widowControl/>
              <w:shd w:val="clear" w:color="010000" w:fill="auto"/>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项目单位</w:t>
            </w:r>
          </w:p>
          <w:p>
            <w:pPr>
              <w:shd w:val="clear" w:color="000000" w:fill="auto"/>
              <w:autoSpaceDE w:val="0"/>
              <w:autoSpaceDN w:val="0"/>
              <w:adjustRightInd w:val="0"/>
              <w:spacing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联系人及电话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70" w:type="dxa"/>
            <w:tcBorders>
              <w:top w:val="single" w:color="auto" w:sz="4" w:space="0"/>
              <w:left w:val="doub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281"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356"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773"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365"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2475" w:type="dxa"/>
            <w:tcBorders>
              <w:top w:val="single" w:color="auto" w:sz="4" w:space="0"/>
              <w:left w:val="single" w:color="auto" w:sz="4" w:space="0"/>
              <w:bottom w:val="single" w:color="auto" w:sz="4" w:space="0"/>
              <w:right w:val="doub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281"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356"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773"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365"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2475" w:type="dxa"/>
            <w:tcBorders>
              <w:top w:val="single" w:color="auto" w:sz="4" w:space="0"/>
              <w:left w:val="single" w:color="auto" w:sz="4" w:space="0"/>
              <w:bottom w:val="single" w:color="auto" w:sz="4" w:space="0"/>
              <w:right w:val="doub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281"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356"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773"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365"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2475" w:type="dxa"/>
            <w:tcBorders>
              <w:top w:val="single" w:color="auto" w:sz="4" w:space="0"/>
              <w:left w:val="single" w:color="auto" w:sz="4" w:space="0"/>
              <w:bottom w:val="single" w:color="auto" w:sz="4" w:space="0"/>
              <w:right w:val="doub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281"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356"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773"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365"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2475" w:type="dxa"/>
            <w:tcBorders>
              <w:top w:val="single" w:color="auto" w:sz="4" w:space="0"/>
              <w:left w:val="single" w:color="auto" w:sz="4" w:space="0"/>
              <w:bottom w:val="single" w:color="auto" w:sz="4" w:space="0"/>
              <w:right w:val="doub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281"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356"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773"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365"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2475" w:type="dxa"/>
            <w:tcBorders>
              <w:top w:val="single" w:color="auto" w:sz="4" w:space="0"/>
              <w:left w:val="single" w:color="auto" w:sz="4" w:space="0"/>
              <w:bottom w:val="single" w:color="auto" w:sz="4" w:space="0"/>
              <w:right w:val="doub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281"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356"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773"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365"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2475" w:type="dxa"/>
            <w:tcBorders>
              <w:top w:val="single" w:color="auto" w:sz="4" w:space="0"/>
              <w:left w:val="single" w:color="auto" w:sz="4" w:space="0"/>
              <w:bottom w:val="single" w:color="auto" w:sz="4" w:space="0"/>
              <w:right w:val="doub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281"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356"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773"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365"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2475" w:type="dxa"/>
            <w:tcBorders>
              <w:top w:val="single" w:color="auto" w:sz="4" w:space="0"/>
              <w:left w:val="single" w:color="auto" w:sz="4" w:space="0"/>
              <w:bottom w:val="single" w:color="auto" w:sz="4" w:space="0"/>
              <w:right w:val="doub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281"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356"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773"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365"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2475" w:type="dxa"/>
            <w:tcBorders>
              <w:top w:val="single" w:color="auto" w:sz="4" w:space="0"/>
              <w:left w:val="single" w:color="auto" w:sz="4" w:space="0"/>
              <w:bottom w:val="single" w:color="auto" w:sz="4" w:space="0"/>
              <w:right w:val="doub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281"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356"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773"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365"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2475" w:type="dxa"/>
            <w:tcBorders>
              <w:top w:val="single" w:color="auto" w:sz="4" w:space="0"/>
              <w:left w:val="single" w:color="auto" w:sz="4" w:space="0"/>
              <w:bottom w:val="single" w:color="auto" w:sz="4" w:space="0"/>
              <w:right w:val="doub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281"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356"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773"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365" w:type="dxa"/>
            <w:tcBorders>
              <w:top w:val="single" w:color="auto" w:sz="4" w:space="0"/>
              <w:left w:val="single" w:color="auto" w:sz="4" w:space="0"/>
              <w:bottom w:val="sing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2475" w:type="dxa"/>
            <w:tcBorders>
              <w:top w:val="single" w:color="auto" w:sz="4" w:space="0"/>
              <w:left w:val="single" w:color="auto" w:sz="4" w:space="0"/>
              <w:bottom w:val="single" w:color="auto" w:sz="4" w:space="0"/>
              <w:right w:val="doub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70" w:type="dxa"/>
            <w:tcBorders>
              <w:top w:val="single" w:color="auto" w:sz="4" w:space="0"/>
              <w:left w:val="double" w:color="auto" w:sz="4" w:space="0"/>
              <w:bottom w:val="doub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281" w:type="dxa"/>
            <w:tcBorders>
              <w:top w:val="single" w:color="auto" w:sz="4" w:space="0"/>
              <w:left w:val="single" w:color="auto" w:sz="4" w:space="0"/>
              <w:bottom w:val="doub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356" w:type="dxa"/>
            <w:tcBorders>
              <w:top w:val="single" w:color="auto" w:sz="4" w:space="0"/>
              <w:left w:val="single" w:color="auto" w:sz="4" w:space="0"/>
              <w:bottom w:val="doub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773" w:type="dxa"/>
            <w:tcBorders>
              <w:top w:val="single" w:color="auto" w:sz="4" w:space="0"/>
              <w:left w:val="single" w:color="auto" w:sz="4" w:space="0"/>
              <w:bottom w:val="doub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1365" w:type="dxa"/>
            <w:tcBorders>
              <w:top w:val="single" w:color="auto" w:sz="4" w:space="0"/>
              <w:left w:val="single" w:color="auto" w:sz="4" w:space="0"/>
              <w:bottom w:val="double" w:color="auto" w:sz="4" w:space="0"/>
              <w:right w:val="sing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c>
          <w:tcPr>
            <w:tcW w:w="2475" w:type="dxa"/>
            <w:tcBorders>
              <w:top w:val="single" w:color="auto" w:sz="4" w:space="0"/>
              <w:left w:val="single" w:color="auto" w:sz="4" w:space="0"/>
              <w:bottom w:val="double" w:color="auto" w:sz="4" w:space="0"/>
              <w:right w:val="double" w:color="auto" w:sz="4" w:space="0"/>
            </w:tcBorders>
            <w:vAlign w:val="top"/>
          </w:tcPr>
          <w:p>
            <w:pPr>
              <w:shd w:val="clear" w:color="000000" w:fill="auto"/>
              <w:autoSpaceDE w:val="0"/>
              <w:autoSpaceDN w:val="0"/>
              <w:adjustRightInd w:val="0"/>
              <w:spacing w:line="360" w:lineRule="auto"/>
              <w:rPr>
                <w:rFonts w:hint="eastAsia" w:ascii="仿宋" w:hAnsi="仿宋" w:eastAsia="仿宋" w:cs="仿宋"/>
                <w:color w:val="auto"/>
                <w:sz w:val="24"/>
                <w:highlight w:val="none"/>
                <w:lang w:val="zh-CN"/>
              </w:rPr>
            </w:pPr>
          </w:p>
        </w:tc>
      </w:tr>
    </w:tbl>
    <w:p>
      <w:pPr>
        <w:pStyle w:val="40"/>
        <w:shd w:val="clear" w:color="010000" w:fill="auto"/>
        <w:spacing w:before="0" w:line="440" w:lineRule="exact"/>
        <w:ind w:firstLine="600" w:firstLineChars="250"/>
        <w:rPr>
          <w:rFonts w:hint="eastAsia" w:ascii="仿宋" w:hAnsi="仿宋" w:eastAsia="仿宋" w:cs="仿宋"/>
          <w:color w:val="auto"/>
          <w:highlight w:val="none"/>
        </w:rPr>
      </w:pPr>
    </w:p>
    <w:p>
      <w:pPr>
        <w:shd w:val="clear" w:color="000000" w:fill="auto"/>
        <w:wordWrap w:val="0"/>
        <w:autoSpaceDE w:val="0"/>
        <w:autoSpaceDN w:val="0"/>
        <w:adjustRightInd w:val="0"/>
        <w:spacing w:line="440" w:lineRule="exact"/>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hd w:val="clear" w:color="000000" w:fill="auto"/>
        <w:wordWrap w:val="0"/>
        <w:autoSpaceDE w:val="0"/>
        <w:autoSpaceDN w:val="0"/>
        <w:adjustRightInd w:val="0"/>
        <w:spacing w:line="440" w:lineRule="exact"/>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投标人（公章）：     </w:t>
      </w:r>
    </w:p>
    <w:p>
      <w:pPr>
        <w:shd w:val="clear" w:color="000000" w:fill="auto"/>
        <w:wordWrap w:val="0"/>
        <w:autoSpaceDE w:val="0"/>
        <w:autoSpaceDN w:val="0"/>
        <w:adjustRightInd w:val="0"/>
        <w:spacing w:line="440" w:lineRule="exact"/>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法定代表人或授权代表（签字）：     </w:t>
      </w:r>
    </w:p>
    <w:p>
      <w:pPr>
        <w:shd w:val="clear" w:color="000000" w:fill="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日期：20  年  月   日      </w:t>
      </w:r>
    </w:p>
    <w:p>
      <w:pPr>
        <w:widowControl w:val="0"/>
        <w:shd w:val="clear" w:color="010000" w:fill="auto"/>
        <w:wordWrap/>
        <w:adjustRightInd/>
        <w:snapToGrid/>
        <w:spacing w:line="480" w:lineRule="auto"/>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widowControl w:val="0"/>
        <w:shd w:val="clear" w:color="010000" w:fill="auto"/>
        <w:wordWrap/>
        <w:adjustRightInd/>
        <w:snapToGrid/>
        <w:spacing w:line="480" w:lineRule="auto"/>
        <w:jc w:val="center"/>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28"/>
          <w:szCs w:val="28"/>
          <w:highlight w:val="none"/>
          <w:lang w:eastAsia="zh-CN"/>
        </w:rPr>
        <w:t>十六</w:t>
      </w:r>
      <w:r>
        <w:rPr>
          <w:rFonts w:hint="eastAsia" w:ascii="仿宋" w:hAnsi="仿宋" w:eastAsia="仿宋" w:cs="仿宋"/>
          <w:b/>
          <w:color w:val="auto"/>
          <w:sz w:val="28"/>
          <w:szCs w:val="28"/>
          <w:highlight w:val="none"/>
        </w:rPr>
        <w:t>、投标文件外层包装封面（格式供参考）</w:t>
      </w:r>
    </w:p>
    <w:p>
      <w:pPr>
        <w:shd w:val="clear" w:color="000000" w:fill="auto"/>
        <w:rPr>
          <w:rFonts w:hint="eastAsia" w:ascii="仿宋" w:hAnsi="仿宋" w:eastAsia="仿宋" w:cs="仿宋"/>
          <w:b/>
          <w:color w:val="auto"/>
          <w:sz w:val="30"/>
          <w:szCs w:val="30"/>
          <w:highlight w:val="none"/>
        </w:rPr>
      </w:pPr>
      <w:bookmarkStart w:id="48" w:name="_Toc297472064"/>
    </w:p>
    <w:p>
      <w:pPr>
        <w:widowControl w:val="0"/>
        <w:shd w:val="clear" w:color="010000" w:fill="auto"/>
        <w:wordWrap/>
        <w:adjustRightInd/>
        <w:snapToGrid/>
        <w:spacing w:line="440" w:lineRule="exac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w:t>
      </w:r>
      <w:r>
        <w:rPr>
          <w:rFonts w:hint="eastAsia" w:ascii="仿宋" w:hAnsi="仿宋" w:eastAsia="仿宋" w:cs="仿宋"/>
          <w:b/>
          <w:color w:val="auto"/>
          <w:sz w:val="30"/>
          <w:szCs w:val="30"/>
          <w:highlight w:val="none"/>
          <w:lang w:eastAsia="zh-CN"/>
        </w:rPr>
        <w:t>资格</w:t>
      </w:r>
      <w:r>
        <w:rPr>
          <w:rFonts w:hint="eastAsia" w:ascii="仿宋" w:hAnsi="仿宋" w:eastAsia="仿宋" w:cs="仿宋"/>
          <w:b/>
          <w:color w:val="auto"/>
          <w:sz w:val="30"/>
          <w:szCs w:val="30"/>
          <w:highlight w:val="none"/>
        </w:rPr>
        <w:t>文件外层包装封面</w:t>
      </w:r>
    </w:p>
    <w:p>
      <w:pPr>
        <w:widowControl w:val="0"/>
        <w:shd w:val="clear" w:color="010000" w:fill="auto"/>
        <w:wordWrap/>
        <w:adjustRightInd/>
        <w:snapToGrid/>
        <w:spacing w:line="440" w:lineRule="exact"/>
        <w:jc w:val="center"/>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资格</w:t>
      </w:r>
      <w:r>
        <w:rPr>
          <w:rFonts w:hint="eastAsia" w:ascii="仿宋" w:hAnsi="仿宋" w:eastAsia="仿宋" w:cs="仿宋"/>
          <w:b/>
          <w:color w:val="auto"/>
          <w:sz w:val="30"/>
          <w:szCs w:val="30"/>
          <w:highlight w:val="none"/>
        </w:rPr>
        <w:t>文件</w:t>
      </w:r>
    </w:p>
    <w:p>
      <w:pPr>
        <w:widowControl w:val="0"/>
        <w:shd w:val="clear" w:color="010000" w:fill="auto"/>
        <w:wordWrap/>
        <w:adjustRightInd/>
        <w:snapToGrid/>
        <w:spacing w:line="440" w:lineRule="exact"/>
        <w:jc w:val="center"/>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lang w:eastAsia="zh-CN"/>
        </w:rPr>
        <w:t>开</w:t>
      </w:r>
      <w:r>
        <w:rPr>
          <w:rFonts w:hint="eastAsia" w:ascii="仿宋" w:hAnsi="仿宋" w:eastAsia="仿宋" w:cs="仿宋"/>
          <w:b/>
          <w:color w:val="auto"/>
          <w:sz w:val="30"/>
          <w:szCs w:val="30"/>
          <w:highlight w:val="none"/>
        </w:rPr>
        <w:t>标时启封)</w:t>
      </w:r>
    </w:p>
    <w:p>
      <w:pPr>
        <w:widowControl w:val="0"/>
        <w:shd w:val="clear" w:color="010000" w:fill="auto"/>
        <w:wordWrap/>
        <w:adjustRightInd/>
        <w:snapToGrid/>
        <w:spacing w:line="440" w:lineRule="exac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项目名称：</w:t>
      </w:r>
      <w:r>
        <w:rPr>
          <w:rFonts w:hint="eastAsia" w:ascii="仿宋" w:hAnsi="仿宋" w:eastAsia="仿宋" w:cs="仿宋"/>
          <w:b/>
          <w:color w:val="auto"/>
          <w:sz w:val="30"/>
          <w:szCs w:val="30"/>
          <w:highlight w:val="none"/>
          <w:u w:val="single"/>
        </w:rPr>
        <w:t xml:space="preserve">                                    </w:t>
      </w:r>
    </w:p>
    <w:p>
      <w:pPr>
        <w:widowControl w:val="0"/>
        <w:shd w:val="clear" w:color="010000" w:fill="auto"/>
        <w:wordWrap/>
        <w:adjustRightInd/>
        <w:snapToGrid/>
        <w:spacing w:line="440" w:lineRule="exac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项目编号：</w:t>
      </w:r>
      <w:r>
        <w:rPr>
          <w:rFonts w:hint="eastAsia" w:ascii="仿宋" w:hAnsi="仿宋" w:eastAsia="仿宋" w:cs="仿宋"/>
          <w:b/>
          <w:color w:val="auto"/>
          <w:sz w:val="30"/>
          <w:szCs w:val="30"/>
          <w:highlight w:val="none"/>
          <w:u w:val="single"/>
        </w:rPr>
        <w:t xml:space="preserve">                                    </w:t>
      </w:r>
    </w:p>
    <w:p>
      <w:pPr>
        <w:widowControl w:val="0"/>
        <w:shd w:val="clear" w:color="010000" w:fill="auto"/>
        <w:wordWrap/>
        <w:adjustRightInd/>
        <w:snapToGrid/>
        <w:spacing w:line="440" w:lineRule="exac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投标人名称（盖章）：</w:t>
      </w:r>
      <w:r>
        <w:rPr>
          <w:rFonts w:hint="eastAsia" w:ascii="仿宋" w:hAnsi="仿宋" w:eastAsia="仿宋" w:cs="仿宋"/>
          <w:b/>
          <w:color w:val="auto"/>
          <w:sz w:val="30"/>
          <w:szCs w:val="30"/>
          <w:highlight w:val="none"/>
          <w:u w:val="single"/>
        </w:rPr>
        <w:t xml:space="preserve">                           </w:t>
      </w:r>
      <w:r>
        <w:rPr>
          <w:rFonts w:hint="eastAsia" w:ascii="仿宋" w:hAnsi="仿宋" w:eastAsia="仿宋" w:cs="仿宋"/>
          <w:b/>
          <w:color w:val="auto"/>
          <w:sz w:val="30"/>
          <w:szCs w:val="30"/>
          <w:highlight w:val="none"/>
        </w:rPr>
        <w:t xml:space="preserve">  </w:t>
      </w:r>
    </w:p>
    <w:p>
      <w:pPr>
        <w:widowControl w:val="0"/>
        <w:shd w:val="clear" w:color="010000" w:fill="auto"/>
        <w:wordWrap/>
        <w:adjustRightInd/>
        <w:snapToGrid/>
        <w:spacing w:line="440" w:lineRule="exact"/>
        <w:textAlignment w:val="auto"/>
        <w:rPr>
          <w:rFonts w:hint="eastAsia" w:ascii="仿宋" w:hAnsi="仿宋" w:eastAsia="仿宋" w:cs="仿宋"/>
          <w:b/>
          <w:color w:val="auto"/>
          <w:sz w:val="30"/>
          <w:szCs w:val="30"/>
          <w:highlight w:val="none"/>
        </w:rPr>
      </w:pPr>
    </w:p>
    <w:p>
      <w:pPr>
        <w:widowControl w:val="0"/>
        <w:shd w:val="clear" w:color="010000" w:fill="auto"/>
        <w:wordWrap/>
        <w:adjustRightInd/>
        <w:snapToGrid/>
        <w:spacing w:line="440" w:lineRule="exact"/>
        <w:textAlignment w:val="auto"/>
        <w:rPr>
          <w:rFonts w:hint="eastAsia" w:ascii="仿宋" w:hAnsi="仿宋" w:eastAsia="仿宋" w:cs="仿宋"/>
          <w:b w:val="0"/>
          <w:bCs/>
          <w:color w:val="auto"/>
          <w:sz w:val="30"/>
          <w:szCs w:val="30"/>
          <w:highlight w:val="none"/>
        </w:rPr>
      </w:pPr>
      <w:r>
        <w:rPr>
          <w:rFonts w:hint="eastAsia" w:ascii="仿宋" w:hAnsi="仿宋" w:eastAsia="仿宋" w:cs="仿宋"/>
          <w:b/>
          <w:color w:val="auto"/>
          <w:sz w:val="30"/>
          <w:szCs w:val="30"/>
          <w:highlight w:val="none"/>
        </w:rPr>
        <w:t>在    年    月     日     时     分之前不得启封</w:t>
      </w:r>
    </w:p>
    <w:p>
      <w:pPr>
        <w:widowControl w:val="0"/>
        <w:shd w:val="clear" w:color="010000" w:fill="auto"/>
        <w:wordWrap/>
        <w:adjustRightInd/>
        <w:snapToGrid/>
        <w:spacing w:line="440" w:lineRule="exact"/>
        <w:textAlignment w:val="auto"/>
        <w:rPr>
          <w:rFonts w:hint="eastAsia" w:ascii="仿宋" w:hAnsi="仿宋" w:eastAsia="仿宋" w:cs="仿宋"/>
          <w:b/>
          <w:color w:val="auto"/>
          <w:sz w:val="30"/>
          <w:szCs w:val="30"/>
          <w:highlight w:val="none"/>
          <w:lang w:val="en-US" w:eastAsia="zh-CN"/>
        </w:rPr>
      </w:pPr>
    </w:p>
    <w:p>
      <w:pPr>
        <w:widowControl w:val="0"/>
        <w:shd w:val="clear" w:color="010000" w:fill="auto"/>
        <w:wordWrap/>
        <w:adjustRightInd/>
        <w:snapToGrid/>
        <w:spacing w:line="440" w:lineRule="exac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2</w:t>
      </w:r>
      <w:r>
        <w:rPr>
          <w:rFonts w:hint="eastAsia" w:ascii="仿宋" w:hAnsi="仿宋" w:eastAsia="仿宋" w:cs="仿宋"/>
          <w:b/>
          <w:color w:val="auto"/>
          <w:sz w:val="30"/>
          <w:szCs w:val="30"/>
          <w:highlight w:val="none"/>
        </w:rPr>
        <w:t>、报价文件外层包装封面</w:t>
      </w:r>
    </w:p>
    <w:p>
      <w:pPr>
        <w:widowControl w:val="0"/>
        <w:shd w:val="clear" w:color="010000" w:fill="auto"/>
        <w:wordWrap/>
        <w:adjustRightInd/>
        <w:snapToGrid/>
        <w:spacing w:line="440" w:lineRule="exact"/>
        <w:jc w:val="center"/>
        <w:textAlignment w:val="auto"/>
        <w:rPr>
          <w:rFonts w:hint="eastAsia" w:ascii="仿宋" w:hAnsi="仿宋" w:eastAsia="仿宋" w:cs="仿宋"/>
          <w:b/>
          <w:color w:val="auto"/>
          <w:sz w:val="30"/>
          <w:szCs w:val="30"/>
          <w:highlight w:val="none"/>
        </w:rPr>
      </w:pPr>
      <w:bookmarkStart w:id="49" w:name="_Toc297472068"/>
      <w:r>
        <w:rPr>
          <w:rFonts w:hint="eastAsia" w:ascii="仿宋" w:hAnsi="仿宋" w:eastAsia="仿宋" w:cs="仿宋"/>
          <w:b/>
          <w:color w:val="auto"/>
          <w:sz w:val="30"/>
          <w:szCs w:val="30"/>
          <w:highlight w:val="none"/>
        </w:rPr>
        <w:t>报价文件</w:t>
      </w:r>
      <w:bookmarkEnd w:id="49"/>
    </w:p>
    <w:p>
      <w:pPr>
        <w:widowControl w:val="0"/>
        <w:shd w:val="clear" w:color="010000" w:fill="auto"/>
        <w:wordWrap/>
        <w:adjustRightInd/>
        <w:snapToGrid/>
        <w:spacing w:line="440" w:lineRule="exact"/>
        <w:jc w:val="center"/>
        <w:textAlignment w:val="auto"/>
        <w:rPr>
          <w:rFonts w:hint="eastAsia" w:ascii="仿宋" w:hAnsi="仿宋" w:eastAsia="仿宋" w:cs="仿宋"/>
          <w:b/>
          <w:color w:val="auto"/>
          <w:sz w:val="30"/>
          <w:szCs w:val="30"/>
          <w:highlight w:val="none"/>
        </w:rPr>
      </w:pPr>
      <w:bookmarkStart w:id="50" w:name="_Toc297472069"/>
      <w:r>
        <w:rPr>
          <w:rFonts w:hint="eastAsia" w:ascii="仿宋" w:hAnsi="仿宋" w:eastAsia="仿宋" w:cs="仿宋"/>
          <w:b/>
          <w:color w:val="auto"/>
          <w:sz w:val="30"/>
          <w:szCs w:val="30"/>
          <w:highlight w:val="none"/>
        </w:rPr>
        <w:t>(唱标时启封)</w:t>
      </w:r>
      <w:bookmarkEnd w:id="50"/>
    </w:p>
    <w:p>
      <w:pPr>
        <w:widowControl w:val="0"/>
        <w:shd w:val="clear" w:color="010000" w:fill="auto"/>
        <w:wordWrap/>
        <w:adjustRightInd/>
        <w:snapToGrid/>
        <w:spacing w:line="440" w:lineRule="exac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项目名称：</w:t>
      </w:r>
      <w:r>
        <w:rPr>
          <w:rFonts w:hint="eastAsia" w:ascii="仿宋" w:hAnsi="仿宋" w:eastAsia="仿宋" w:cs="仿宋"/>
          <w:b/>
          <w:color w:val="auto"/>
          <w:sz w:val="30"/>
          <w:szCs w:val="30"/>
          <w:highlight w:val="none"/>
          <w:u w:val="single"/>
        </w:rPr>
        <w:t xml:space="preserve">                                    </w:t>
      </w:r>
    </w:p>
    <w:p>
      <w:pPr>
        <w:widowControl w:val="0"/>
        <w:shd w:val="clear" w:color="010000" w:fill="auto"/>
        <w:wordWrap/>
        <w:adjustRightInd/>
        <w:snapToGrid/>
        <w:spacing w:line="440" w:lineRule="exac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项目编号：</w:t>
      </w:r>
      <w:r>
        <w:rPr>
          <w:rFonts w:hint="eastAsia" w:ascii="仿宋" w:hAnsi="仿宋" w:eastAsia="仿宋" w:cs="仿宋"/>
          <w:b/>
          <w:color w:val="auto"/>
          <w:sz w:val="30"/>
          <w:szCs w:val="30"/>
          <w:highlight w:val="none"/>
          <w:u w:val="single"/>
        </w:rPr>
        <w:t xml:space="preserve">                                    </w:t>
      </w:r>
    </w:p>
    <w:p>
      <w:pPr>
        <w:widowControl w:val="0"/>
        <w:shd w:val="clear" w:color="010000" w:fill="auto"/>
        <w:wordWrap/>
        <w:adjustRightInd/>
        <w:snapToGrid/>
        <w:spacing w:line="440" w:lineRule="exac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投标人名称（盖章）：</w:t>
      </w:r>
      <w:r>
        <w:rPr>
          <w:rFonts w:hint="eastAsia" w:ascii="仿宋" w:hAnsi="仿宋" w:eastAsia="仿宋" w:cs="仿宋"/>
          <w:b/>
          <w:color w:val="auto"/>
          <w:sz w:val="30"/>
          <w:szCs w:val="30"/>
          <w:highlight w:val="none"/>
          <w:u w:val="single"/>
        </w:rPr>
        <w:t xml:space="preserve">                           </w:t>
      </w:r>
      <w:r>
        <w:rPr>
          <w:rFonts w:hint="eastAsia" w:ascii="仿宋" w:hAnsi="仿宋" w:eastAsia="仿宋" w:cs="仿宋"/>
          <w:b/>
          <w:color w:val="auto"/>
          <w:sz w:val="30"/>
          <w:szCs w:val="30"/>
          <w:highlight w:val="none"/>
        </w:rPr>
        <w:t xml:space="preserve">  </w:t>
      </w:r>
    </w:p>
    <w:p>
      <w:pPr>
        <w:widowControl w:val="0"/>
        <w:shd w:val="clear" w:color="010000" w:fill="auto"/>
        <w:wordWrap/>
        <w:adjustRightInd/>
        <w:snapToGrid/>
        <w:spacing w:line="440" w:lineRule="exact"/>
        <w:textAlignment w:val="auto"/>
        <w:rPr>
          <w:rFonts w:hint="eastAsia" w:ascii="仿宋" w:hAnsi="仿宋" w:eastAsia="仿宋" w:cs="仿宋"/>
          <w:b/>
          <w:color w:val="auto"/>
          <w:sz w:val="30"/>
          <w:szCs w:val="30"/>
          <w:highlight w:val="none"/>
        </w:rPr>
      </w:pPr>
    </w:p>
    <w:p>
      <w:pPr>
        <w:widowControl w:val="0"/>
        <w:shd w:val="clear" w:color="010000" w:fill="auto"/>
        <w:wordWrap/>
        <w:adjustRightInd/>
        <w:snapToGrid/>
        <w:spacing w:line="440" w:lineRule="exac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在    年    月     日     时     分之前不得启封</w:t>
      </w:r>
    </w:p>
    <w:p>
      <w:pPr>
        <w:widowControl w:val="0"/>
        <w:shd w:val="clear" w:color="010000" w:fill="auto"/>
        <w:wordWrap/>
        <w:adjustRightInd/>
        <w:snapToGrid/>
        <w:spacing w:line="440" w:lineRule="exact"/>
        <w:textAlignment w:val="auto"/>
        <w:rPr>
          <w:rFonts w:hint="eastAsia" w:ascii="仿宋" w:hAnsi="仿宋" w:eastAsia="仿宋" w:cs="仿宋"/>
          <w:b/>
          <w:color w:val="auto"/>
          <w:sz w:val="30"/>
          <w:szCs w:val="30"/>
          <w:highlight w:val="none"/>
        </w:rPr>
      </w:pPr>
    </w:p>
    <w:p>
      <w:pPr>
        <w:widowControl w:val="0"/>
        <w:shd w:val="clear" w:color="010000" w:fill="auto"/>
        <w:wordWrap/>
        <w:adjustRightInd/>
        <w:snapToGrid/>
        <w:spacing w:line="440" w:lineRule="exac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3</w:t>
      </w: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lang w:eastAsia="zh-CN"/>
        </w:rPr>
        <w:t>商务</w:t>
      </w:r>
      <w:r>
        <w:rPr>
          <w:rFonts w:hint="eastAsia" w:ascii="仿宋" w:hAnsi="仿宋" w:eastAsia="仿宋" w:cs="仿宋"/>
          <w:b/>
          <w:color w:val="auto"/>
          <w:sz w:val="30"/>
          <w:szCs w:val="30"/>
          <w:highlight w:val="none"/>
        </w:rPr>
        <w:t>/技术文件外层包装封面</w:t>
      </w:r>
      <w:bookmarkEnd w:id="48"/>
    </w:p>
    <w:p>
      <w:pPr>
        <w:widowControl w:val="0"/>
        <w:shd w:val="clear" w:color="010000" w:fill="auto"/>
        <w:wordWrap/>
        <w:adjustRightInd/>
        <w:snapToGrid/>
        <w:spacing w:line="440" w:lineRule="exact"/>
        <w:jc w:val="center"/>
        <w:textAlignment w:val="auto"/>
        <w:rPr>
          <w:rFonts w:hint="eastAsia" w:ascii="仿宋" w:hAnsi="仿宋" w:eastAsia="仿宋" w:cs="仿宋"/>
          <w:b/>
          <w:color w:val="auto"/>
          <w:sz w:val="30"/>
          <w:szCs w:val="30"/>
          <w:highlight w:val="none"/>
        </w:rPr>
      </w:pPr>
      <w:bookmarkStart w:id="51" w:name="_Toc297472065"/>
      <w:r>
        <w:rPr>
          <w:rFonts w:hint="eastAsia" w:ascii="仿宋" w:hAnsi="仿宋" w:eastAsia="仿宋" w:cs="仿宋"/>
          <w:b/>
          <w:color w:val="auto"/>
          <w:sz w:val="30"/>
          <w:szCs w:val="30"/>
          <w:highlight w:val="none"/>
          <w:lang w:eastAsia="zh-CN"/>
        </w:rPr>
        <w:t>商务</w:t>
      </w:r>
      <w:r>
        <w:rPr>
          <w:rFonts w:hint="eastAsia" w:ascii="仿宋" w:hAnsi="仿宋" w:eastAsia="仿宋" w:cs="仿宋"/>
          <w:b/>
          <w:color w:val="auto"/>
          <w:sz w:val="30"/>
          <w:szCs w:val="30"/>
          <w:highlight w:val="none"/>
        </w:rPr>
        <w:t>/技术文件</w:t>
      </w:r>
      <w:bookmarkEnd w:id="51"/>
    </w:p>
    <w:p>
      <w:pPr>
        <w:widowControl w:val="0"/>
        <w:shd w:val="clear" w:color="010000" w:fill="auto"/>
        <w:wordWrap/>
        <w:adjustRightInd/>
        <w:snapToGrid/>
        <w:spacing w:line="440" w:lineRule="exact"/>
        <w:jc w:val="center"/>
        <w:textAlignment w:val="auto"/>
        <w:rPr>
          <w:rFonts w:hint="eastAsia" w:ascii="仿宋" w:hAnsi="仿宋" w:eastAsia="仿宋" w:cs="仿宋"/>
          <w:b/>
          <w:color w:val="auto"/>
          <w:sz w:val="30"/>
          <w:szCs w:val="30"/>
          <w:highlight w:val="none"/>
        </w:rPr>
      </w:pPr>
      <w:bookmarkStart w:id="52" w:name="_Toc297472066"/>
      <w:r>
        <w:rPr>
          <w:rFonts w:hint="eastAsia" w:ascii="仿宋" w:hAnsi="仿宋" w:eastAsia="仿宋" w:cs="仿宋"/>
          <w:b/>
          <w:color w:val="auto"/>
          <w:sz w:val="30"/>
          <w:szCs w:val="30"/>
          <w:highlight w:val="none"/>
        </w:rPr>
        <w:t>(开标时启封)</w:t>
      </w:r>
      <w:bookmarkEnd w:id="52"/>
    </w:p>
    <w:p>
      <w:pPr>
        <w:widowControl w:val="0"/>
        <w:shd w:val="clear" w:color="010000" w:fill="auto"/>
        <w:wordWrap/>
        <w:adjustRightInd/>
        <w:snapToGrid/>
        <w:spacing w:line="440" w:lineRule="exac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项目名称：</w:t>
      </w:r>
      <w:r>
        <w:rPr>
          <w:rFonts w:hint="eastAsia" w:ascii="仿宋" w:hAnsi="仿宋" w:eastAsia="仿宋" w:cs="仿宋"/>
          <w:b/>
          <w:color w:val="auto"/>
          <w:sz w:val="30"/>
          <w:szCs w:val="30"/>
          <w:highlight w:val="none"/>
          <w:u w:val="single"/>
        </w:rPr>
        <w:t xml:space="preserve">                                    </w:t>
      </w:r>
    </w:p>
    <w:p>
      <w:pPr>
        <w:widowControl w:val="0"/>
        <w:shd w:val="clear" w:color="010000" w:fill="auto"/>
        <w:wordWrap/>
        <w:adjustRightInd/>
        <w:snapToGrid/>
        <w:spacing w:line="440" w:lineRule="exac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项目编号：</w:t>
      </w:r>
      <w:r>
        <w:rPr>
          <w:rFonts w:hint="eastAsia" w:ascii="仿宋" w:hAnsi="仿宋" w:eastAsia="仿宋" w:cs="仿宋"/>
          <w:b/>
          <w:color w:val="auto"/>
          <w:sz w:val="30"/>
          <w:szCs w:val="30"/>
          <w:highlight w:val="none"/>
          <w:u w:val="single"/>
        </w:rPr>
        <w:t xml:space="preserve">                                    </w:t>
      </w:r>
    </w:p>
    <w:p>
      <w:pPr>
        <w:widowControl w:val="0"/>
        <w:shd w:val="clear" w:color="010000" w:fill="auto"/>
        <w:wordWrap/>
        <w:adjustRightInd/>
        <w:snapToGrid/>
        <w:spacing w:line="440" w:lineRule="exac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投标人名称（盖章）：</w:t>
      </w:r>
      <w:r>
        <w:rPr>
          <w:rFonts w:hint="eastAsia" w:ascii="仿宋" w:hAnsi="仿宋" w:eastAsia="仿宋" w:cs="仿宋"/>
          <w:b/>
          <w:color w:val="auto"/>
          <w:sz w:val="30"/>
          <w:szCs w:val="30"/>
          <w:highlight w:val="none"/>
          <w:u w:val="single"/>
        </w:rPr>
        <w:t xml:space="preserve">                           </w:t>
      </w:r>
      <w:r>
        <w:rPr>
          <w:rFonts w:hint="eastAsia" w:ascii="仿宋" w:hAnsi="仿宋" w:eastAsia="仿宋" w:cs="仿宋"/>
          <w:b/>
          <w:color w:val="auto"/>
          <w:sz w:val="30"/>
          <w:szCs w:val="30"/>
          <w:highlight w:val="none"/>
        </w:rPr>
        <w:t xml:space="preserve">  </w:t>
      </w:r>
    </w:p>
    <w:p>
      <w:pPr>
        <w:widowControl w:val="0"/>
        <w:shd w:val="clear" w:color="010000" w:fill="auto"/>
        <w:wordWrap/>
        <w:adjustRightInd/>
        <w:snapToGrid/>
        <w:spacing w:line="440" w:lineRule="exac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     </w:t>
      </w:r>
    </w:p>
    <w:p>
      <w:pPr>
        <w:widowControl w:val="0"/>
        <w:shd w:val="clear" w:color="010000" w:fill="auto"/>
        <w:wordWrap/>
        <w:adjustRightInd/>
        <w:snapToGrid/>
        <w:spacing w:line="440" w:lineRule="exac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在    年    月     日     时     分之前不得启封</w:t>
      </w:r>
    </w:p>
    <w:p>
      <w:pPr>
        <w:shd w:val="clear" w:color="000000" w:fill="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eastAsia="zh-CN"/>
        </w:rPr>
        <w:t>七</w:t>
      </w:r>
      <w:r>
        <w:rPr>
          <w:rFonts w:hint="eastAsia" w:ascii="仿宋" w:hAnsi="仿宋" w:eastAsia="仿宋" w:cs="仿宋"/>
          <w:b/>
          <w:color w:val="auto"/>
          <w:sz w:val="28"/>
          <w:szCs w:val="28"/>
          <w:highlight w:val="none"/>
        </w:rPr>
        <w:t>、投标文件封面（格式供参考）</w:t>
      </w:r>
    </w:p>
    <w:p>
      <w:pPr>
        <w:shd w:val="clear" w:color="000000" w:fill="auto"/>
        <w:autoSpaceDE w:val="0"/>
        <w:autoSpaceDN w:val="0"/>
        <w:adjustRightInd w:val="0"/>
        <w:spacing w:line="360" w:lineRule="auto"/>
        <w:rPr>
          <w:rFonts w:hint="eastAsia" w:ascii="仿宋" w:hAnsi="仿宋" w:eastAsia="仿宋" w:cs="仿宋"/>
          <w:b/>
          <w:color w:val="auto"/>
          <w:sz w:val="32"/>
          <w:szCs w:val="32"/>
          <w:highlight w:val="none"/>
        </w:rPr>
      </w:pPr>
    </w:p>
    <w:p>
      <w:pPr>
        <w:widowControl w:val="0"/>
        <w:shd w:val="clear" w:color="010000" w:fill="auto"/>
        <w:wordWrap/>
        <w:autoSpaceDE w:val="0"/>
        <w:autoSpaceDN w:val="0"/>
        <w:adjustRightInd w:val="0"/>
        <w:snapToGrid/>
        <w:spacing w:line="500" w:lineRule="exac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w:t>
      </w:r>
      <w:r>
        <w:rPr>
          <w:rFonts w:hint="eastAsia" w:ascii="仿宋" w:hAnsi="仿宋" w:eastAsia="仿宋" w:cs="仿宋"/>
          <w:b/>
          <w:color w:val="auto"/>
          <w:sz w:val="32"/>
          <w:szCs w:val="32"/>
          <w:highlight w:val="none"/>
          <w:lang w:eastAsia="zh-CN"/>
        </w:rPr>
        <w:t>资格</w:t>
      </w:r>
      <w:r>
        <w:rPr>
          <w:rFonts w:hint="eastAsia" w:ascii="仿宋" w:hAnsi="仿宋" w:eastAsia="仿宋" w:cs="仿宋"/>
          <w:b/>
          <w:color w:val="auto"/>
          <w:sz w:val="32"/>
          <w:szCs w:val="32"/>
          <w:highlight w:val="none"/>
        </w:rPr>
        <w:t>文件封面</w:t>
      </w:r>
    </w:p>
    <w:p>
      <w:pPr>
        <w:widowControl w:val="0"/>
        <w:shd w:val="clear" w:color="010000" w:fill="auto"/>
        <w:wordWrap/>
        <w:autoSpaceDE w:val="0"/>
        <w:autoSpaceDN w:val="0"/>
        <w:adjustRightInd w:val="0"/>
        <w:snapToGrid/>
        <w:spacing w:line="500" w:lineRule="exact"/>
        <w:jc w:val="righ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z w:val="24"/>
          <w:highlight w:val="none"/>
        </w:rPr>
        <w:t xml:space="preserve"> </w:t>
      </w:r>
      <w:r>
        <w:rPr>
          <w:rFonts w:hint="eastAsia" w:ascii="仿宋" w:hAnsi="仿宋" w:eastAsia="仿宋" w:cs="仿宋"/>
          <w:b/>
          <w:color w:val="auto"/>
          <w:sz w:val="28"/>
          <w:szCs w:val="28"/>
          <w:highlight w:val="none"/>
        </w:rPr>
        <w:t>正本/副本</w:t>
      </w:r>
    </w:p>
    <w:p>
      <w:pPr>
        <w:widowControl w:val="0"/>
        <w:shd w:val="clear" w:color="010000" w:fill="auto"/>
        <w:wordWrap/>
        <w:autoSpaceDE w:val="0"/>
        <w:autoSpaceDN w:val="0"/>
        <w:adjustRightInd w:val="0"/>
        <w:snapToGrid/>
        <w:spacing w:line="500" w:lineRule="exact"/>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资格</w:t>
      </w:r>
      <w:r>
        <w:rPr>
          <w:rFonts w:hint="eastAsia" w:ascii="仿宋" w:hAnsi="仿宋" w:eastAsia="仿宋" w:cs="仿宋"/>
          <w:b/>
          <w:color w:val="auto"/>
          <w:sz w:val="32"/>
          <w:szCs w:val="32"/>
          <w:highlight w:val="none"/>
        </w:rPr>
        <w:t>文件</w:t>
      </w:r>
    </w:p>
    <w:p>
      <w:pPr>
        <w:widowControl w:val="0"/>
        <w:shd w:val="clear" w:color="010000" w:fill="auto"/>
        <w:wordWrap/>
        <w:autoSpaceDE w:val="0"/>
        <w:autoSpaceDN w:val="0"/>
        <w:adjustRightInd w:val="0"/>
        <w:snapToGrid/>
        <w:spacing w:line="500" w:lineRule="exac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u w:val="single"/>
        </w:rPr>
        <w:t xml:space="preserve">                                    </w:t>
      </w:r>
    </w:p>
    <w:p>
      <w:pPr>
        <w:widowControl w:val="0"/>
        <w:shd w:val="clear" w:color="010000" w:fill="auto"/>
        <w:wordWrap/>
        <w:autoSpaceDE w:val="0"/>
        <w:autoSpaceDN w:val="0"/>
        <w:adjustRightInd w:val="0"/>
        <w:snapToGrid/>
        <w:spacing w:line="500" w:lineRule="exac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u w:val="single"/>
        </w:rPr>
        <w:t xml:space="preserve">                                    </w:t>
      </w:r>
    </w:p>
    <w:p>
      <w:pPr>
        <w:widowControl w:val="0"/>
        <w:shd w:val="clear" w:color="010000" w:fill="auto"/>
        <w:wordWrap/>
        <w:autoSpaceDE w:val="0"/>
        <w:autoSpaceDN w:val="0"/>
        <w:adjustRightInd w:val="0"/>
        <w:snapToGrid/>
        <w:spacing w:line="500" w:lineRule="exac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投标人名称（盖章）：</w:t>
      </w:r>
      <w:r>
        <w:rPr>
          <w:rFonts w:hint="eastAsia" w:ascii="仿宋" w:hAnsi="仿宋" w:eastAsia="仿宋" w:cs="仿宋"/>
          <w:b/>
          <w:color w:val="auto"/>
          <w:sz w:val="32"/>
          <w:szCs w:val="32"/>
          <w:highlight w:val="none"/>
          <w:u w:val="single"/>
        </w:rPr>
        <w:t xml:space="preserve">                           </w:t>
      </w:r>
    </w:p>
    <w:p>
      <w:pPr>
        <w:widowControl w:val="0"/>
        <w:shd w:val="clear" w:color="010000" w:fill="auto"/>
        <w:wordWrap/>
        <w:autoSpaceDE w:val="0"/>
        <w:autoSpaceDN w:val="0"/>
        <w:adjustRightInd w:val="0"/>
        <w:snapToGrid/>
        <w:spacing w:line="500" w:lineRule="exac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法定代表人或授权代表签字：</w:t>
      </w:r>
      <w:r>
        <w:rPr>
          <w:rFonts w:hint="eastAsia" w:ascii="仿宋" w:hAnsi="仿宋" w:eastAsia="仿宋" w:cs="仿宋"/>
          <w:b/>
          <w:color w:val="auto"/>
          <w:sz w:val="32"/>
          <w:szCs w:val="32"/>
          <w:highlight w:val="none"/>
          <w:u w:val="single"/>
        </w:rPr>
        <w:t xml:space="preserve">                    </w:t>
      </w:r>
      <w:r>
        <w:rPr>
          <w:rFonts w:hint="eastAsia" w:ascii="仿宋" w:hAnsi="仿宋" w:eastAsia="仿宋" w:cs="仿宋"/>
          <w:b/>
          <w:color w:val="auto"/>
          <w:sz w:val="32"/>
          <w:szCs w:val="32"/>
          <w:highlight w:val="none"/>
        </w:rPr>
        <w:t xml:space="preserve"> </w:t>
      </w:r>
    </w:p>
    <w:p>
      <w:pPr>
        <w:widowControl w:val="0"/>
        <w:shd w:val="clear" w:color="010000" w:fill="auto"/>
        <w:wordWrap/>
        <w:autoSpaceDE w:val="0"/>
        <w:autoSpaceDN w:val="0"/>
        <w:adjustRightInd w:val="0"/>
        <w:snapToGrid/>
        <w:spacing w:line="500" w:lineRule="exac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w:t>
      </w:r>
      <w:r>
        <w:rPr>
          <w:rFonts w:hint="eastAsia" w:ascii="仿宋" w:hAnsi="仿宋" w:eastAsia="仿宋" w:cs="仿宋"/>
          <w:b/>
          <w:color w:val="auto"/>
          <w:sz w:val="32"/>
          <w:szCs w:val="32"/>
          <w:highlight w:val="none"/>
        </w:rPr>
        <w:t>、报价文件封面</w:t>
      </w:r>
    </w:p>
    <w:p>
      <w:pPr>
        <w:widowControl w:val="0"/>
        <w:shd w:val="clear" w:color="010000" w:fill="auto"/>
        <w:wordWrap/>
        <w:autoSpaceDE w:val="0"/>
        <w:autoSpaceDN w:val="0"/>
        <w:adjustRightInd w:val="0"/>
        <w:snapToGrid/>
        <w:spacing w:line="500" w:lineRule="exact"/>
        <w:jc w:val="righ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z w:val="24"/>
          <w:highlight w:val="none"/>
        </w:rPr>
        <w:t xml:space="preserve"> </w:t>
      </w:r>
      <w:r>
        <w:rPr>
          <w:rFonts w:hint="eastAsia" w:ascii="仿宋" w:hAnsi="仿宋" w:eastAsia="仿宋" w:cs="仿宋"/>
          <w:b/>
          <w:color w:val="auto"/>
          <w:sz w:val="28"/>
          <w:szCs w:val="28"/>
          <w:highlight w:val="none"/>
        </w:rPr>
        <w:t>正本/副本</w:t>
      </w:r>
    </w:p>
    <w:p>
      <w:pPr>
        <w:widowControl w:val="0"/>
        <w:shd w:val="clear" w:color="010000" w:fill="auto"/>
        <w:wordWrap/>
        <w:autoSpaceDE w:val="0"/>
        <w:autoSpaceDN w:val="0"/>
        <w:adjustRightInd w:val="0"/>
        <w:snapToGrid/>
        <w:spacing w:line="500" w:lineRule="exact"/>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报价文件</w:t>
      </w:r>
    </w:p>
    <w:p>
      <w:pPr>
        <w:widowControl w:val="0"/>
        <w:shd w:val="clear" w:color="010000" w:fill="auto"/>
        <w:wordWrap/>
        <w:autoSpaceDE w:val="0"/>
        <w:autoSpaceDN w:val="0"/>
        <w:adjustRightInd w:val="0"/>
        <w:snapToGrid/>
        <w:spacing w:line="500" w:lineRule="exac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u w:val="single"/>
        </w:rPr>
        <w:t xml:space="preserve">                                    </w:t>
      </w:r>
    </w:p>
    <w:p>
      <w:pPr>
        <w:widowControl w:val="0"/>
        <w:shd w:val="clear" w:color="010000" w:fill="auto"/>
        <w:wordWrap/>
        <w:autoSpaceDE w:val="0"/>
        <w:autoSpaceDN w:val="0"/>
        <w:adjustRightInd w:val="0"/>
        <w:snapToGrid/>
        <w:spacing w:line="500" w:lineRule="exac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u w:val="single"/>
        </w:rPr>
        <w:t xml:space="preserve">                                    </w:t>
      </w:r>
    </w:p>
    <w:p>
      <w:pPr>
        <w:widowControl w:val="0"/>
        <w:shd w:val="clear" w:color="010000" w:fill="auto"/>
        <w:wordWrap/>
        <w:autoSpaceDE w:val="0"/>
        <w:autoSpaceDN w:val="0"/>
        <w:adjustRightInd w:val="0"/>
        <w:snapToGrid/>
        <w:spacing w:line="500" w:lineRule="exac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投标人名称（盖章）：</w:t>
      </w:r>
      <w:r>
        <w:rPr>
          <w:rFonts w:hint="eastAsia" w:ascii="仿宋" w:hAnsi="仿宋" w:eastAsia="仿宋" w:cs="仿宋"/>
          <w:b/>
          <w:color w:val="auto"/>
          <w:sz w:val="32"/>
          <w:szCs w:val="32"/>
          <w:highlight w:val="none"/>
          <w:u w:val="single"/>
        </w:rPr>
        <w:t xml:space="preserve">                           </w:t>
      </w:r>
      <w:bookmarkStart w:id="53" w:name="_Toc339872474"/>
    </w:p>
    <w:p>
      <w:pPr>
        <w:widowControl w:val="0"/>
        <w:shd w:val="clear" w:color="010000" w:fill="auto"/>
        <w:wordWrap/>
        <w:autoSpaceDE w:val="0"/>
        <w:autoSpaceDN w:val="0"/>
        <w:adjustRightInd w:val="0"/>
        <w:snapToGrid/>
        <w:spacing w:line="500" w:lineRule="exac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法定代表人或授权代表签字：</w:t>
      </w:r>
      <w:bookmarkEnd w:id="53"/>
      <w:r>
        <w:rPr>
          <w:rFonts w:hint="eastAsia" w:ascii="仿宋" w:hAnsi="仿宋" w:eastAsia="仿宋" w:cs="仿宋"/>
          <w:b/>
          <w:color w:val="auto"/>
          <w:sz w:val="32"/>
          <w:szCs w:val="32"/>
          <w:highlight w:val="none"/>
          <w:u w:val="single"/>
        </w:rPr>
        <w:t xml:space="preserve">                    </w:t>
      </w:r>
      <w:r>
        <w:rPr>
          <w:rFonts w:hint="eastAsia" w:ascii="仿宋" w:hAnsi="仿宋" w:eastAsia="仿宋" w:cs="仿宋"/>
          <w:b/>
          <w:color w:val="auto"/>
          <w:sz w:val="32"/>
          <w:szCs w:val="32"/>
          <w:highlight w:val="none"/>
        </w:rPr>
        <w:t xml:space="preserve"> </w:t>
      </w:r>
    </w:p>
    <w:p>
      <w:pPr>
        <w:widowControl w:val="0"/>
        <w:shd w:val="clear" w:color="010000" w:fill="auto"/>
        <w:wordWrap/>
        <w:autoSpaceDE w:val="0"/>
        <w:autoSpaceDN w:val="0"/>
        <w:adjustRightInd w:val="0"/>
        <w:snapToGrid/>
        <w:spacing w:line="500" w:lineRule="exact"/>
        <w:textAlignment w:val="auto"/>
        <w:rPr>
          <w:rFonts w:hint="eastAsia" w:ascii="仿宋" w:hAnsi="仿宋" w:eastAsia="仿宋" w:cs="仿宋"/>
          <w:b/>
          <w:color w:val="auto"/>
          <w:sz w:val="32"/>
          <w:szCs w:val="32"/>
          <w:highlight w:val="none"/>
        </w:rPr>
      </w:pPr>
    </w:p>
    <w:p>
      <w:pPr>
        <w:widowControl w:val="0"/>
        <w:shd w:val="clear" w:color="010000" w:fill="auto"/>
        <w:wordWrap/>
        <w:autoSpaceDE w:val="0"/>
        <w:autoSpaceDN w:val="0"/>
        <w:adjustRightInd w:val="0"/>
        <w:snapToGrid/>
        <w:spacing w:line="500" w:lineRule="exact"/>
        <w:textAlignment w:val="auto"/>
        <w:rPr>
          <w:rFonts w:hint="eastAsia" w:ascii="仿宋" w:hAnsi="仿宋" w:eastAsia="仿宋" w:cs="仿宋"/>
          <w:b/>
          <w:color w:val="auto"/>
          <w:sz w:val="32"/>
          <w:szCs w:val="32"/>
          <w:highlight w:val="none"/>
        </w:rPr>
      </w:pPr>
    </w:p>
    <w:p>
      <w:pPr>
        <w:widowControl w:val="0"/>
        <w:shd w:val="clear" w:color="010000" w:fill="auto"/>
        <w:wordWrap/>
        <w:autoSpaceDE w:val="0"/>
        <w:autoSpaceDN w:val="0"/>
        <w:adjustRightInd w:val="0"/>
        <w:snapToGrid/>
        <w:spacing w:line="500" w:lineRule="exact"/>
        <w:textAlignment w:val="auto"/>
        <w:rPr>
          <w:rFonts w:hint="eastAsia" w:ascii="仿宋" w:hAnsi="仿宋" w:eastAsia="仿宋" w:cs="仿宋"/>
          <w:b/>
          <w:color w:val="auto"/>
          <w:sz w:val="32"/>
          <w:szCs w:val="32"/>
          <w:highlight w:val="none"/>
        </w:rPr>
      </w:pPr>
    </w:p>
    <w:p>
      <w:pPr>
        <w:widowControl w:val="0"/>
        <w:shd w:val="clear" w:color="010000" w:fill="auto"/>
        <w:wordWrap/>
        <w:autoSpaceDE w:val="0"/>
        <w:autoSpaceDN w:val="0"/>
        <w:adjustRightInd w:val="0"/>
        <w:snapToGrid/>
        <w:spacing w:line="500" w:lineRule="exac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w:t>
      </w:r>
      <w:r>
        <w:rPr>
          <w:rFonts w:hint="eastAsia" w:ascii="仿宋" w:hAnsi="仿宋" w:eastAsia="仿宋" w:cs="仿宋"/>
          <w:b/>
          <w:color w:val="auto"/>
          <w:sz w:val="32"/>
          <w:szCs w:val="32"/>
          <w:highlight w:val="none"/>
          <w:lang w:eastAsia="zh-CN"/>
        </w:rPr>
        <w:t>商务</w:t>
      </w:r>
      <w:r>
        <w:rPr>
          <w:rFonts w:hint="eastAsia" w:ascii="仿宋" w:hAnsi="仿宋" w:eastAsia="仿宋" w:cs="仿宋"/>
          <w:b/>
          <w:color w:val="auto"/>
          <w:sz w:val="32"/>
          <w:szCs w:val="32"/>
          <w:highlight w:val="none"/>
        </w:rPr>
        <w:t>/技术文件封面</w:t>
      </w:r>
    </w:p>
    <w:p>
      <w:pPr>
        <w:widowControl w:val="0"/>
        <w:shd w:val="clear" w:color="010000" w:fill="auto"/>
        <w:wordWrap/>
        <w:autoSpaceDE w:val="0"/>
        <w:autoSpaceDN w:val="0"/>
        <w:adjustRightInd w:val="0"/>
        <w:snapToGrid/>
        <w:spacing w:line="500" w:lineRule="exact"/>
        <w:jc w:val="righ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z w:val="28"/>
          <w:szCs w:val="28"/>
          <w:highlight w:val="none"/>
        </w:rPr>
        <w:t>正本/副本</w:t>
      </w:r>
    </w:p>
    <w:p>
      <w:pPr>
        <w:widowControl w:val="0"/>
        <w:shd w:val="clear" w:color="010000" w:fill="auto"/>
        <w:wordWrap/>
        <w:autoSpaceDE w:val="0"/>
        <w:autoSpaceDN w:val="0"/>
        <w:adjustRightInd w:val="0"/>
        <w:snapToGrid/>
        <w:spacing w:line="500" w:lineRule="exact"/>
        <w:ind w:firstLine="4160" w:firstLineChars="1295"/>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商务</w:t>
      </w:r>
      <w:r>
        <w:rPr>
          <w:rFonts w:hint="eastAsia" w:ascii="仿宋" w:hAnsi="仿宋" w:eastAsia="仿宋" w:cs="仿宋"/>
          <w:b/>
          <w:color w:val="auto"/>
          <w:sz w:val="32"/>
          <w:szCs w:val="32"/>
          <w:highlight w:val="none"/>
        </w:rPr>
        <w:t>/技术文件</w:t>
      </w:r>
    </w:p>
    <w:p>
      <w:pPr>
        <w:widowControl w:val="0"/>
        <w:shd w:val="clear" w:color="010000" w:fill="auto"/>
        <w:wordWrap/>
        <w:autoSpaceDE w:val="0"/>
        <w:autoSpaceDN w:val="0"/>
        <w:adjustRightInd w:val="0"/>
        <w:snapToGrid/>
        <w:spacing w:line="500" w:lineRule="exact"/>
        <w:textAlignment w:val="auto"/>
        <w:rPr>
          <w:rFonts w:hint="eastAsia" w:ascii="仿宋" w:hAnsi="仿宋" w:eastAsia="仿宋" w:cs="仿宋"/>
          <w:b/>
          <w:color w:val="auto"/>
          <w:sz w:val="32"/>
          <w:szCs w:val="32"/>
          <w:highlight w:val="none"/>
        </w:rPr>
      </w:pPr>
    </w:p>
    <w:p>
      <w:pPr>
        <w:widowControl w:val="0"/>
        <w:shd w:val="clear" w:color="010000" w:fill="auto"/>
        <w:wordWrap/>
        <w:autoSpaceDE w:val="0"/>
        <w:autoSpaceDN w:val="0"/>
        <w:adjustRightInd w:val="0"/>
        <w:snapToGrid/>
        <w:spacing w:line="500" w:lineRule="exac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u w:val="single"/>
        </w:rPr>
        <w:t xml:space="preserve">                                    </w:t>
      </w:r>
    </w:p>
    <w:p>
      <w:pPr>
        <w:widowControl w:val="0"/>
        <w:shd w:val="clear" w:color="010000" w:fill="auto"/>
        <w:wordWrap/>
        <w:autoSpaceDE w:val="0"/>
        <w:autoSpaceDN w:val="0"/>
        <w:adjustRightInd w:val="0"/>
        <w:snapToGrid/>
        <w:spacing w:line="500" w:lineRule="exac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u w:val="single"/>
        </w:rPr>
        <w:t xml:space="preserve">                                    </w:t>
      </w:r>
    </w:p>
    <w:p>
      <w:pPr>
        <w:widowControl w:val="0"/>
        <w:shd w:val="clear" w:color="010000" w:fill="auto"/>
        <w:wordWrap/>
        <w:autoSpaceDE w:val="0"/>
        <w:autoSpaceDN w:val="0"/>
        <w:adjustRightInd w:val="0"/>
        <w:snapToGrid/>
        <w:spacing w:line="500" w:lineRule="exac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投标人名称（盖章）：</w:t>
      </w:r>
      <w:r>
        <w:rPr>
          <w:rFonts w:hint="eastAsia" w:ascii="仿宋" w:hAnsi="仿宋" w:eastAsia="仿宋" w:cs="仿宋"/>
          <w:b/>
          <w:color w:val="auto"/>
          <w:sz w:val="32"/>
          <w:szCs w:val="32"/>
          <w:highlight w:val="none"/>
          <w:u w:val="single"/>
        </w:rPr>
        <w:t xml:space="preserve">                           </w:t>
      </w:r>
    </w:p>
    <w:p>
      <w:pPr>
        <w:widowControl w:val="0"/>
        <w:shd w:val="clear" w:color="010000" w:fill="auto"/>
        <w:wordWrap/>
        <w:autoSpaceDE w:val="0"/>
        <w:autoSpaceDN w:val="0"/>
        <w:adjustRightInd w:val="0"/>
        <w:snapToGrid/>
        <w:spacing w:line="500" w:lineRule="exact"/>
        <w:textAlignment w:val="auto"/>
        <w:rPr>
          <w:rFonts w:hint="eastAsia" w:ascii="仿宋" w:hAnsi="仿宋" w:eastAsia="仿宋" w:cs="仿宋"/>
          <w:color w:val="auto"/>
          <w:szCs w:val="21"/>
          <w:highlight w:val="none"/>
        </w:rPr>
      </w:pPr>
      <w:r>
        <w:rPr>
          <w:rFonts w:hint="eastAsia" w:ascii="仿宋" w:hAnsi="仿宋" w:eastAsia="仿宋" w:cs="仿宋"/>
          <w:b/>
          <w:color w:val="auto"/>
          <w:sz w:val="32"/>
          <w:szCs w:val="32"/>
          <w:highlight w:val="none"/>
        </w:rPr>
        <w:t xml:space="preserve">法定代表人或授权代表签字： </w:t>
      </w:r>
      <w:r>
        <w:rPr>
          <w:rFonts w:hint="eastAsia" w:ascii="仿宋" w:hAnsi="仿宋" w:eastAsia="仿宋" w:cs="仿宋"/>
          <w:b/>
          <w:color w:val="auto"/>
          <w:sz w:val="32"/>
          <w:szCs w:val="32"/>
          <w:highlight w:val="none"/>
          <w:u w:val="single"/>
        </w:rPr>
        <w:t xml:space="preserve">                  </w:t>
      </w:r>
    </w:p>
    <w:sectPr>
      <w:pgSz w:w="11907" w:h="16840"/>
      <w:pgMar w:top="1304" w:right="1565" w:bottom="1247" w:left="134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ascii="仿宋_GB2312" w:hAnsi="Times New Roman" w:eastAsia="仿宋_GB2312" w:cs="Times New Roman"/>
        <w:b/>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YtBhFxQEAAJADAAAOAAAAAAAAAAEAIAAAAB8BAABkcnMvZTJvRG9jLnht&#10;bFBLBQYAAAAABgAGAFkBAABW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ascii="仿宋_GB2312" w:hAnsi="Times New Roman" w:eastAsia="仿宋_GB2312" w:cs="Times New Roman"/>
        <w:b/>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57</w:t>
                          </w:r>
                          <w:r>
                            <w:rPr>
                              <w:rFonts w:hint="eastAsia"/>
                              <w:sz w:val="18"/>
                              <w:lang w:eastAsia="zh-CN"/>
                            </w:rP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eEQHxxQEAAJADAAAOAAAAAAAAAAEAIAAAAB8BAABkcnMvZTJvRG9jLnht&#10;bFBLBQYAAAAABgAGAFkBAABW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57</w:t>
                    </w:r>
                    <w:r>
                      <w:rPr>
                        <w:rFonts w:hint="eastAsia"/>
                        <w:sz w:val="18"/>
                        <w:lang w:eastAsia="zh-CN"/>
                      </w:rPr>
                      <w:fldChar w:fldCharType="end"/>
                    </w:r>
                  </w:p>
                </w:txbxContent>
              </v:textbox>
            </v:rect>
          </w:pict>
        </mc:Fallback>
      </mc:AlternateContent>
    </w:r>
    <w:r>
      <w:rPr>
        <w:rFonts w:ascii="仿宋_GB2312" w:hAnsi="Times New Roman" w:eastAsia="仿宋_GB2312" w:cs="Times New Roman"/>
        <w:b/>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1026795" cy="147955"/>
              <wp:effectExtent l="0" t="0" r="0" b="0"/>
              <wp:wrapNone/>
              <wp:docPr id="63" name="矩形 1026"/>
              <wp:cNvGraphicFramePr/>
              <a:graphic xmlns:a="http://schemas.openxmlformats.org/drawingml/2006/main">
                <a:graphicData uri="http://schemas.microsoft.com/office/word/2010/wordprocessingShape">
                  <wps:wsp>
                    <wps:cNvSpPr/>
                    <wps:spPr>
                      <a:xfrm>
                        <a:off x="0" y="0"/>
                        <a:ext cx="1026795" cy="147955"/>
                      </a:xfrm>
                      <a:prstGeom prst="rect">
                        <a:avLst/>
                      </a:prstGeom>
                      <a:noFill/>
                      <a:ln>
                        <a:noFill/>
                      </a:ln>
                    </wps:spPr>
                    <wps:txbx>
                      <w:txbxContent>
                        <w:p>
                          <w:pPr>
                            <w:snapToGrid w:val="0"/>
                            <w:jc w:val="both"/>
                            <w:rPr>
                              <w:sz w:val="18"/>
                            </w:rPr>
                          </w:pPr>
                        </w:p>
                      </w:txbxContent>
                    </wps:txbx>
                    <wps:bodyPr lIns="0" tIns="0" rIns="0" bIns="0" upright="1"/>
                  </wps:wsp>
                </a:graphicData>
              </a:graphic>
            </wp:anchor>
          </w:drawing>
        </mc:Choice>
        <mc:Fallback>
          <w:pict>
            <v:rect id="矩形 1026" o:spid="_x0000_s1026" o:spt="1" style="position:absolute;left:0pt;margin-top:0.05pt;height:11.65pt;width:80.85pt;mso-position-horizontal:center;mso-position-horizontal-relative:margin;z-index:251659264;mso-width-relative:page;mso-height-relative:page;" filled="f" stroked="f" coordsize="21600,21600" o:gfxdata="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e3gDw&#10;1gAAAAQBAAAPAAAAAAAAAAEAIAAAACIAAABkcnMvZG93bnJldi54bWxQSwECFAAUAAAACACHTuJA&#10;42SfUrEBAABpAwAADgAAAAAAAAABACAAAAAlAQAAZHJzL2Uyb0RvYy54bWxQSwUGAAAAAAYABgBZ&#10;AQAASAUAAAAA&#10;">
              <v:fill on="f" focussize="0,0"/>
              <v:stroke on="f"/>
              <v:imagedata o:title=""/>
              <o:lock v:ext="edit" aspectratio="f"/>
              <v:textbox inset="0mm,0mm,0mm,0mm">
                <w:txbxContent>
                  <w:p>
                    <w:pPr>
                      <w:snapToGrid w:val="0"/>
                      <w:jc w:val="both"/>
                      <w:rPr>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08933"/>
    <w:multiLevelType w:val="singleLevel"/>
    <w:tmpl w:val="97008933"/>
    <w:lvl w:ilvl="0" w:tentative="0">
      <w:start w:val="2"/>
      <w:numFmt w:val="decimal"/>
      <w:suff w:val="nothing"/>
      <w:lvlText w:val="（%1）"/>
      <w:lvlJc w:val="left"/>
    </w:lvl>
  </w:abstractNum>
  <w:abstractNum w:abstractNumId="1">
    <w:nsid w:val="B90341B9"/>
    <w:multiLevelType w:val="singleLevel"/>
    <w:tmpl w:val="B90341B9"/>
    <w:lvl w:ilvl="0" w:tentative="0">
      <w:start w:val="1"/>
      <w:numFmt w:val="decimal"/>
      <w:suff w:val="nothing"/>
      <w:lvlText w:val="（%1）"/>
      <w:lvlJc w:val="left"/>
    </w:lvl>
  </w:abstractNum>
  <w:abstractNum w:abstractNumId="2">
    <w:nsid w:val="C8EEE7A6"/>
    <w:multiLevelType w:val="singleLevel"/>
    <w:tmpl w:val="C8EEE7A6"/>
    <w:lvl w:ilvl="0" w:tentative="0">
      <w:start w:val="22"/>
      <w:numFmt w:val="decimal"/>
      <w:suff w:val="nothing"/>
      <w:lvlText w:val="%1、"/>
      <w:lvlJc w:val="left"/>
    </w:lvl>
  </w:abstractNum>
  <w:abstractNum w:abstractNumId="3">
    <w:nsid w:val="09F426A0"/>
    <w:multiLevelType w:val="singleLevel"/>
    <w:tmpl w:val="09F426A0"/>
    <w:lvl w:ilvl="0" w:tentative="0">
      <w:start w:val="1"/>
      <w:numFmt w:val="chineseCounting"/>
      <w:suff w:val="nothing"/>
      <w:lvlText w:val="%1、"/>
      <w:lvlJc w:val="left"/>
      <w:rPr>
        <w:rFonts w:hint="eastAsia"/>
      </w:rPr>
    </w:lvl>
  </w:abstractNum>
  <w:abstractNum w:abstractNumId="4">
    <w:nsid w:val="185C2619"/>
    <w:multiLevelType w:val="singleLevel"/>
    <w:tmpl w:val="185C2619"/>
    <w:lvl w:ilvl="0" w:tentative="0">
      <w:start w:val="1"/>
      <w:numFmt w:val="decimal"/>
      <w:suff w:val="nothing"/>
      <w:lvlText w:val="（%1）"/>
      <w:lvlJc w:val="left"/>
    </w:lvl>
  </w:abstractNum>
  <w:abstractNum w:abstractNumId="5">
    <w:nsid w:val="3A6E3BF8"/>
    <w:multiLevelType w:val="multilevel"/>
    <w:tmpl w:val="3A6E3BF8"/>
    <w:lvl w:ilvl="0" w:tentative="0">
      <w:start w:val="1"/>
      <w:numFmt w:val="bullet"/>
      <w:pStyle w:val="53"/>
      <w:lvlText w:val=""/>
      <w:lvlJc w:val="left"/>
      <w:pPr>
        <w:ind w:left="420" w:hanging="420"/>
      </w:pPr>
      <w:rPr>
        <w:rFonts w:hint="default" w:ascii="Symbol" w:hAnsi="Symbol"/>
        <w:color w:val="auto"/>
        <w:position w:val="-2"/>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44F23151"/>
    <w:multiLevelType w:val="multilevel"/>
    <w:tmpl w:val="44F23151"/>
    <w:lvl w:ilvl="0" w:tentative="0">
      <w:start w:val="2"/>
      <w:numFmt w:val="japaneseCounting"/>
      <w:lvlText w:val="第%1节"/>
      <w:lvlJc w:val="left"/>
      <w:pPr>
        <w:tabs>
          <w:tab w:val="left" w:pos="1176"/>
        </w:tabs>
        <w:ind w:left="1176" w:hanging="1080"/>
      </w:pPr>
      <w:rPr>
        <w:rFonts w:hint="default"/>
      </w:rPr>
    </w:lvl>
    <w:lvl w:ilvl="1" w:tentative="0">
      <w:start w:val="1"/>
      <w:numFmt w:val="lowerLetter"/>
      <w:lvlText w:val="%2)"/>
      <w:lvlJc w:val="left"/>
      <w:pPr>
        <w:tabs>
          <w:tab w:val="left" w:pos="936"/>
        </w:tabs>
        <w:ind w:left="936" w:hanging="420"/>
      </w:pPr>
    </w:lvl>
    <w:lvl w:ilvl="2" w:tentative="0">
      <w:start w:val="1"/>
      <w:numFmt w:val="lowerRoman"/>
      <w:lvlText w:val="%3."/>
      <w:lvlJc w:val="right"/>
      <w:pPr>
        <w:tabs>
          <w:tab w:val="left" w:pos="1356"/>
        </w:tabs>
        <w:ind w:left="1356" w:hanging="420"/>
      </w:pPr>
    </w:lvl>
    <w:lvl w:ilvl="3" w:tentative="0">
      <w:start w:val="1"/>
      <w:numFmt w:val="decimal"/>
      <w:lvlText w:val="%4."/>
      <w:lvlJc w:val="left"/>
      <w:pPr>
        <w:tabs>
          <w:tab w:val="left" w:pos="1776"/>
        </w:tabs>
        <w:ind w:left="1776" w:hanging="420"/>
      </w:pPr>
    </w:lvl>
    <w:lvl w:ilvl="4" w:tentative="0">
      <w:start w:val="1"/>
      <w:numFmt w:val="lowerLetter"/>
      <w:lvlText w:val="%5)"/>
      <w:lvlJc w:val="left"/>
      <w:pPr>
        <w:tabs>
          <w:tab w:val="left" w:pos="2196"/>
        </w:tabs>
        <w:ind w:left="2196" w:hanging="420"/>
      </w:pPr>
    </w:lvl>
    <w:lvl w:ilvl="5" w:tentative="0">
      <w:start w:val="1"/>
      <w:numFmt w:val="lowerRoman"/>
      <w:lvlText w:val="%6."/>
      <w:lvlJc w:val="right"/>
      <w:pPr>
        <w:tabs>
          <w:tab w:val="left" w:pos="2616"/>
        </w:tabs>
        <w:ind w:left="2616" w:hanging="420"/>
      </w:pPr>
    </w:lvl>
    <w:lvl w:ilvl="6" w:tentative="0">
      <w:start w:val="1"/>
      <w:numFmt w:val="decimal"/>
      <w:lvlText w:val="%7."/>
      <w:lvlJc w:val="left"/>
      <w:pPr>
        <w:tabs>
          <w:tab w:val="left" w:pos="3036"/>
        </w:tabs>
        <w:ind w:left="3036" w:hanging="420"/>
      </w:pPr>
    </w:lvl>
    <w:lvl w:ilvl="7" w:tentative="0">
      <w:start w:val="1"/>
      <w:numFmt w:val="lowerLetter"/>
      <w:lvlText w:val="%8)"/>
      <w:lvlJc w:val="left"/>
      <w:pPr>
        <w:tabs>
          <w:tab w:val="left" w:pos="3456"/>
        </w:tabs>
        <w:ind w:left="3456" w:hanging="420"/>
      </w:pPr>
    </w:lvl>
    <w:lvl w:ilvl="8" w:tentative="0">
      <w:start w:val="1"/>
      <w:numFmt w:val="lowerRoman"/>
      <w:lvlText w:val="%9."/>
      <w:lvlJc w:val="right"/>
      <w:pPr>
        <w:tabs>
          <w:tab w:val="left" w:pos="3876"/>
        </w:tabs>
        <w:ind w:left="3876" w:hanging="420"/>
      </w:pPr>
    </w:lvl>
  </w:abstractNum>
  <w:abstractNum w:abstractNumId="7">
    <w:nsid w:val="6F0F50FB"/>
    <w:multiLevelType w:val="multilevel"/>
    <w:tmpl w:val="6F0F50FB"/>
    <w:lvl w:ilvl="0" w:tentative="0">
      <w:start w:val="1"/>
      <w:numFmt w:val="chineseCountingThousand"/>
      <w:lvlText w:val="第%1部分"/>
      <w:lvlJc w:val="left"/>
      <w:rPr>
        <w:rFonts w:hint="eastAsia" w:cs="Times New Roman"/>
      </w:rPr>
    </w:lvl>
    <w:lvl w:ilvl="1" w:tentative="0">
      <w:start w:val="1"/>
      <w:numFmt w:val="chineseCountingThousand"/>
      <w:lvlText w:val="第%2章"/>
      <w:lvlJc w:val="left"/>
      <w:rPr>
        <w:rFonts w:hint="eastAsia" w:cs="Times New Roman"/>
      </w:rPr>
    </w:lvl>
    <w:lvl w:ilvl="2" w:tentative="0">
      <w:start w:val="1"/>
      <w:numFmt w:val="chineseCountingThousand"/>
      <w:pStyle w:val="56"/>
      <w:lvlText w:val="%3、"/>
      <w:lvlJc w:val="left"/>
      <w:rPr>
        <w:rFonts w:hint="eastAsia" w:cs="Times New Roman"/>
      </w:rPr>
    </w:lvl>
    <w:lvl w:ilvl="3" w:tentative="0">
      <w:start w:val="1"/>
      <w:numFmt w:val="decimal"/>
      <w:lvlText w:val="%4、"/>
      <w:lvlJc w:val="left"/>
      <w:rPr>
        <w:rFonts w:hint="eastAsia" w:ascii="仿宋" w:hAnsi="仿宋" w:eastAsia="仿宋"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5"/>
  </w:num>
  <w:num w:numId="2">
    <w:abstractNumId w:val="7"/>
  </w:num>
  <w:num w:numId="3">
    <w:abstractNumId w:val="2"/>
  </w:num>
  <w:num w:numId="4">
    <w:abstractNumId w:val="6"/>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MTJhYjg1Y2U0YTVmNjU0MzlkMjE0NjVhM2FhZWIifQ=="/>
    <w:docVar w:name="KSO_WPS_MARK_KEY" w:val="ea7439c0-85f6-450f-a25b-eeaf0b224cd8"/>
  </w:docVars>
  <w:rsids>
    <w:rsidRoot w:val="00000000"/>
    <w:rsid w:val="01DD02FC"/>
    <w:rsid w:val="01E611BA"/>
    <w:rsid w:val="06622973"/>
    <w:rsid w:val="07064E94"/>
    <w:rsid w:val="08626AD1"/>
    <w:rsid w:val="087B794E"/>
    <w:rsid w:val="0AC043F3"/>
    <w:rsid w:val="0CE67DA0"/>
    <w:rsid w:val="0EB168B9"/>
    <w:rsid w:val="0F000490"/>
    <w:rsid w:val="114B10F9"/>
    <w:rsid w:val="157273ED"/>
    <w:rsid w:val="1E181D5B"/>
    <w:rsid w:val="21815F4B"/>
    <w:rsid w:val="224463AA"/>
    <w:rsid w:val="26855745"/>
    <w:rsid w:val="26860DF0"/>
    <w:rsid w:val="296B5BB5"/>
    <w:rsid w:val="29EF367F"/>
    <w:rsid w:val="29EF742E"/>
    <w:rsid w:val="2ED3590C"/>
    <w:rsid w:val="2EF51D26"/>
    <w:rsid w:val="2F6610BA"/>
    <w:rsid w:val="344E322C"/>
    <w:rsid w:val="37D91A7D"/>
    <w:rsid w:val="39CA2862"/>
    <w:rsid w:val="3AAB15DF"/>
    <w:rsid w:val="3BE95EF6"/>
    <w:rsid w:val="3D023C3D"/>
    <w:rsid w:val="3D13471D"/>
    <w:rsid w:val="3ED935D4"/>
    <w:rsid w:val="451F3201"/>
    <w:rsid w:val="470A4108"/>
    <w:rsid w:val="48725C9F"/>
    <w:rsid w:val="48A741D6"/>
    <w:rsid w:val="4AD47A07"/>
    <w:rsid w:val="53323EFC"/>
    <w:rsid w:val="53E47AF0"/>
    <w:rsid w:val="543C5B7E"/>
    <w:rsid w:val="56373DFF"/>
    <w:rsid w:val="57A001D2"/>
    <w:rsid w:val="588F49B5"/>
    <w:rsid w:val="5ACF6A2C"/>
    <w:rsid w:val="5ADD1BEE"/>
    <w:rsid w:val="5B960F05"/>
    <w:rsid w:val="5E950C9B"/>
    <w:rsid w:val="5FB7677E"/>
    <w:rsid w:val="60106ECB"/>
    <w:rsid w:val="63F6527C"/>
    <w:rsid w:val="652F25A5"/>
    <w:rsid w:val="68620284"/>
    <w:rsid w:val="69787514"/>
    <w:rsid w:val="6AD466B8"/>
    <w:rsid w:val="6BBB2DF3"/>
    <w:rsid w:val="6D280375"/>
    <w:rsid w:val="70D966CF"/>
    <w:rsid w:val="71687658"/>
    <w:rsid w:val="72A602C5"/>
    <w:rsid w:val="74181E87"/>
    <w:rsid w:val="7B395821"/>
    <w:rsid w:val="7CEF12C7"/>
    <w:rsid w:val="7D785AE0"/>
    <w:rsid w:val="7EA177FD"/>
    <w:rsid w:val="FD1B88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32"/>
    <w:qFormat/>
    <w:uiPriority w:val="0"/>
    <w:pPr>
      <w:keepNext/>
      <w:keepLines/>
      <w:spacing w:before="340" w:after="330" w:line="578" w:lineRule="auto"/>
      <w:outlineLvl w:val="0"/>
    </w:pPr>
    <w:rPr>
      <w:rFonts w:ascii="仿宋_GB2312" w:eastAsia="仿宋_GB2312"/>
      <w:b/>
      <w:bCs/>
      <w:kern w:val="44"/>
      <w:sz w:val="44"/>
      <w:szCs w:val="44"/>
    </w:rPr>
  </w:style>
  <w:style w:type="paragraph" w:styleId="6">
    <w:name w:val="heading 2"/>
    <w:basedOn w:val="1"/>
    <w:next w:val="1"/>
    <w:autoRedefine/>
    <w:qFormat/>
    <w:uiPriority w:val="0"/>
    <w:pPr>
      <w:keepNext/>
      <w:keepLines/>
      <w:spacing w:before="260" w:after="260" w:line="413" w:lineRule="auto"/>
      <w:outlineLvl w:val="1"/>
    </w:pPr>
    <w:rPr>
      <w:rFonts w:ascii="Cambria" w:hAnsi="Cambria"/>
      <w:b/>
      <w:bCs/>
      <w:kern w:val="0"/>
      <w:sz w:val="32"/>
      <w:szCs w:val="32"/>
    </w:rPr>
  </w:style>
  <w:style w:type="paragraph" w:styleId="7">
    <w:name w:val="heading 4"/>
    <w:basedOn w:val="1"/>
    <w:next w:val="1"/>
    <w:autoRedefine/>
    <w:qFormat/>
    <w:uiPriority w:val="0"/>
    <w:pPr>
      <w:keepNext/>
      <w:keepLines/>
      <w:spacing w:before="280" w:after="290" w:line="376" w:lineRule="auto"/>
      <w:outlineLvl w:val="3"/>
    </w:pPr>
    <w:rPr>
      <w:rFonts w:ascii="Arial" w:hAnsi="Arial" w:eastAsia="黑体" w:cs="Arial"/>
      <w:b/>
      <w:bCs/>
      <w:sz w:val="28"/>
      <w:szCs w:val="28"/>
    </w:rPr>
  </w:style>
  <w:style w:type="character" w:default="1" w:styleId="29">
    <w:name w:val="Default Paragraph Font"/>
    <w:autoRedefine/>
    <w:unhideWhenUsed/>
    <w:qFormat/>
    <w:uiPriority w:val="1"/>
  </w:style>
  <w:style w:type="table" w:default="1" w:styleId="27">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paragraph" w:styleId="3">
    <w:name w:val="Body Text Indent"/>
    <w:basedOn w:val="1"/>
    <w:next w:val="4"/>
    <w:link w:val="78"/>
    <w:autoRedefine/>
    <w:qFormat/>
    <w:uiPriority w:val="0"/>
    <w:pPr>
      <w:ind w:firstLine="645"/>
    </w:pPr>
    <w:rPr>
      <w:sz w:val="28"/>
      <w:szCs w:val="22"/>
    </w:rPr>
  </w:style>
  <w:style w:type="paragraph" w:customStyle="1" w:styleId="4">
    <w:name w:val="正文文本首行缩进 2"/>
    <w:basedOn w:val="3"/>
    <w:autoRedefine/>
    <w:qFormat/>
    <w:uiPriority w:val="99"/>
    <w:pPr>
      <w:spacing w:line="200" w:lineRule="atLeast"/>
      <w:ind w:firstLine="420"/>
    </w:pPr>
    <w:rPr>
      <w:rFonts w:ascii="宋体" w:hAnsi="Courier New"/>
      <w:spacing w:val="-4"/>
      <w:sz w:val="18"/>
    </w:rPr>
  </w:style>
  <w:style w:type="paragraph" w:styleId="8">
    <w:name w:val="Normal Indent"/>
    <w:basedOn w:val="1"/>
    <w:next w:val="3"/>
    <w:link w:val="93"/>
    <w:autoRedefine/>
    <w:qFormat/>
    <w:uiPriority w:val="0"/>
    <w:pPr>
      <w:ind w:firstLine="420"/>
    </w:pPr>
    <w:rPr>
      <w:rFonts w:ascii="仿宋_GB2312"/>
      <w:b/>
      <w:szCs w:val="32"/>
    </w:rPr>
  </w:style>
  <w:style w:type="paragraph" w:styleId="9">
    <w:name w:val="Document Map"/>
    <w:basedOn w:val="1"/>
    <w:link w:val="88"/>
    <w:autoRedefine/>
    <w:qFormat/>
    <w:uiPriority w:val="0"/>
    <w:rPr>
      <w:rFonts w:ascii="宋体"/>
      <w:sz w:val="18"/>
      <w:szCs w:val="18"/>
    </w:rPr>
  </w:style>
  <w:style w:type="paragraph" w:styleId="10">
    <w:name w:val="annotation text"/>
    <w:basedOn w:val="1"/>
    <w:autoRedefine/>
    <w:semiHidden/>
    <w:qFormat/>
    <w:uiPriority w:val="0"/>
    <w:pPr>
      <w:jc w:val="left"/>
    </w:pPr>
  </w:style>
  <w:style w:type="paragraph" w:styleId="11">
    <w:name w:val="Body Text"/>
    <w:basedOn w:val="1"/>
    <w:next w:val="12"/>
    <w:autoRedefine/>
    <w:qFormat/>
    <w:uiPriority w:val="0"/>
    <w:pPr>
      <w:spacing w:after="120"/>
    </w:pPr>
  </w:style>
  <w:style w:type="paragraph" w:styleId="12">
    <w:name w:val="Body Text First Indent"/>
    <w:basedOn w:val="11"/>
    <w:next w:val="1"/>
    <w:autoRedefine/>
    <w:qFormat/>
    <w:uiPriority w:val="99"/>
    <w:pPr>
      <w:ind w:firstLine="420" w:firstLineChars="100"/>
    </w:pPr>
    <w:rPr>
      <w:rFonts w:ascii="Calibri" w:hAnsi="Calibri" w:eastAsia="宋体" w:cs="Times New Roman"/>
      <w:sz w:val="21"/>
      <w:szCs w:val="22"/>
    </w:rPr>
  </w:style>
  <w:style w:type="paragraph" w:styleId="13">
    <w:name w:val="toc 3"/>
    <w:basedOn w:val="1"/>
    <w:next w:val="1"/>
    <w:autoRedefine/>
    <w:qFormat/>
    <w:uiPriority w:val="39"/>
    <w:pPr>
      <w:widowControl/>
      <w:spacing w:after="100" w:line="276" w:lineRule="auto"/>
      <w:ind w:left="440"/>
      <w:jc w:val="left"/>
    </w:pPr>
    <w:rPr>
      <w:kern w:val="0"/>
      <w:sz w:val="22"/>
      <w:szCs w:val="22"/>
    </w:rPr>
  </w:style>
  <w:style w:type="paragraph" w:styleId="14">
    <w:name w:val="Plain Text"/>
    <w:basedOn w:val="1"/>
    <w:next w:val="1"/>
    <w:link w:val="91"/>
    <w:autoRedefine/>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5">
    <w:name w:val="Body Text Indent 2"/>
    <w:basedOn w:val="1"/>
    <w:autoRedefine/>
    <w:qFormat/>
    <w:uiPriority w:val="0"/>
    <w:pPr>
      <w:spacing w:line="400" w:lineRule="exact"/>
      <w:ind w:firstLine="540" w:firstLineChars="225"/>
    </w:pPr>
    <w:rPr>
      <w:sz w:val="24"/>
    </w:rPr>
  </w:style>
  <w:style w:type="paragraph" w:styleId="16">
    <w:name w:val="Balloon Text"/>
    <w:basedOn w:val="1"/>
    <w:autoRedefine/>
    <w:semiHidden/>
    <w:qFormat/>
    <w:uiPriority w:val="0"/>
    <w:rPr>
      <w:sz w:val="18"/>
      <w:szCs w:val="18"/>
    </w:rPr>
  </w:style>
  <w:style w:type="paragraph" w:styleId="17">
    <w:name w:val="footer"/>
    <w:basedOn w:val="1"/>
    <w:link w:val="77"/>
    <w:autoRedefine/>
    <w:qFormat/>
    <w:uiPriority w:val="0"/>
    <w:pPr>
      <w:tabs>
        <w:tab w:val="center" w:pos="4153"/>
        <w:tab w:val="right" w:pos="8306"/>
      </w:tabs>
      <w:snapToGrid w:val="0"/>
      <w:jc w:val="left"/>
    </w:pPr>
    <w:rPr>
      <w:rFonts w:ascii="仿宋_GB2312" w:eastAsia="仿宋_GB2312"/>
      <w:b/>
      <w:sz w:val="18"/>
      <w:szCs w:val="18"/>
    </w:rPr>
  </w:style>
  <w:style w:type="paragraph" w:styleId="18">
    <w:name w:val="header"/>
    <w:basedOn w:val="1"/>
    <w:link w:val="82"/>
    <w:autoRedefine/>
    <w:qFormat/>
    <w:uiPriority w:val="0"/>
    <w:pPr>
      <w:pBdr>
        <w:bottom w:val="single" w:color="auto" w:sz="6" w:space="1"/>
      </w:pBdr>
      <w:tabs>
        <w:tab w:val="center" w:pos="4153"/>
        <w:tab w:val="right" w:pos="8306"/>
      </w:tabs>
      <w:snapToGrid w:val="0"/>
      <w:jc w:val="center"/>
    </w:pPr>
    <w:rPr>
      <w:rFonts w:ascii="仿宋_GB2312" w:eastAsia="仿宋_GB2312"/>
      <w:b/>
      <w:sz w:val="18"/>
      <w:szCs w:val="18"/>
    </w:rPr>
  </w:style>
  <w:style w:type="paragraph" w:styleId="19">
    <w:name w:val="toc 1"/>
    <w:basedOn w:val="1"/>
    <w:next w:val="1"/>
    <w:autoRedefine/>
    <w:qFormat/>
    <w:uiPriority w:val="0"/>
    <w:pPr>
      <w:widowControl/>
      <w:spacing w:after="100" w:line="276" w:lineRule="auto"/>
      <w:jc w:val="left"/>
    </w:pPr>
    <w:rPr>
      <w:rFonts w:ascii="Calibri" w:hAnsi="Calibri"/>
      <w:kern w:val="0"/>
      <w:sz w:val="22"/>
      <w:szCs w:val="22"/>
    </w:rPr>
  </w:style>
  <w:style w:type="paragraph" w:styleId="20">
    <w:name w:val="toc 6"/>
    <w:basedOn w:val="1"/>
    <w:next w:val="1"/>
    <w:autoRedefine/>
    <w:qFormat/>
    <w:uiPriority w:val="0"/>
    <w:pPr>
      <w:ind w:left="1200"/>
      <w:jc w:val="left"/>
    </w:pPr>
    <w:rPr>
      <w:sz w:val="18"/>
      <w:szCs w:val="18"/>
    </w:rPr>
  </w:style>
  <w:style w:type="paragraph" w:styleId="21">
    <w:name w:val="Body Text Indent 3"/>
    <w:basedOn w:val="1"/>
    <w:link w:val="80"/>
    <w:autoRedefine/>
    <w:unhideWhenUsed/>
    <w:qFormat/>
    <w:uiPriority w:val="0"/>
    <w:pPr>
      <w:ind w:left="420"/>
    </w:pPr>
    <w:rPr>
      <w:rFonts w:ascii="宋体" w:hAnsi="宋体"/>
      <w:sz w:val="32"/>
      <w:szCs w:val="22"/>
    </w:rPr>
  </w:style>
  <w:style w:type="paragraph" w:styleId="22">
    <w:name w:val="toc 2"/>
    <w:basedOn w:val="1"/>
    <w:next w:val="1"/>
    <w:autoRedefine/>
    <w:semiHidden/>
    <w:qFormat/>
    <w:uiPriority w:val="0"/>
    <w:pPr>
      <w:ind w:left="420" w:leftChars="200"/>
    </w:pPr>
  </w:style>
  <w:style w:type="paragraph" w:styleId="23">
    <w:name w:val="Body Text 2"/>
    <w:basedOn w:val="1"/>
    <w:autoRedefine/>
    <w:qFormat/>
    <w:uiPriority w:val="0"/>
    <w:pPr>
      <w:spacing w:after="120" w:line="480" w:lineRule="auto"/>
    </w:pPr>
    <w:rPr>
      <w:rFonts w:ascii="Calibri" w:hAnsi="Calibri"/>
      <w:szCs w:val="22"/>
    </w:rPr>
  </w:style>
  <w:style w:type="paragraph" w:styleId="24">
    <w:name w:val="Normal (Web)"/>
    <w:basedOn w:val="1"/>
    <w:autoRedefine/>
    <w:qFormat/>
    <w:uiPriority w:val="0"/>
    <w:pPr>
      <w:spacing w:before="100" w:beforeAutospacing="1" w:after="100" w:afterAutospacing="1"/>
      <w:jc w:val="left"/>
    </w:pPr>
    <w:rPr>
      <w:kern w:val="0"/>
      <w:sz w:val="24"/>
    </w:rPr>
  </w:style>
  <w:style w:type="paragraph" w:styleId="25">
    <w:name w:val="Title"/>
    <w:basedOn w:val="1"/>
    <w:next w:val="1"/>
    <w:link w:val="83"/>
    <w:autoRedefine/>
    <w:qFormat/>
    <w:uiPriority w:val="0"/>
    <w:pPr>
      <w:spacing w:before="240" w:after="60"/>
      <w:jc w:val="center"/>
      <w:outlineLvl w:val="0"/>
    </w:pPr>
    <w:rPr>
      <w:rFonts w:ascii="Cambria" w:hAnsi="Cambria"/>
      <w:b/>
      <w:bCs/>
      <w:kern w:val="0"/>
      <w:sz w:val="32"/>
      <w:szCs w:val="32"/>
    </w:rPr>
  </w:style>
  <w:style w:type="paragraph" w:styleId="26">
    <w:name w:val="annotation subject"/>
    <w:basedOn w:val="10"/>
    <w:next w:val="10"/>
    <w:autoRedefine/>
    <w:semiHidden/>
    <w:qFormat/>
    <w:uiPriority w:val="0"/>
    <w:rPr>
      <w:b/>
      <w:bCs/>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0"/>
    <w:rPr>
      <w:rFonts w:ascii="仿宋_GB2312" w:eastAsia="仿宋_GB2312"/>
      <w:b/>
      <w:sz w:val="32"/>
      <w:szCs w:val="32"/>
    </w:rPr>
  </w:style>
  <w:style w:type="character" w:styleId="31">
    <w:name w:val="page number"/>
    <w:basedOn w:val="29"/>
    <w:autoRedefine/>
    <w:qFormat/>
    <w:uiPriority w:val="0"/>
    <w:rPr>
      <w:rFonts w:ascii="仿宋_GB2312" w:eastAsia="仿宋_GB2312"/>
      <w:b/>
      <w:sz w:val="32"/>
      <w:szCs w:val="32"/>
    </w:rPr>
  </w:style>
  <w:style w:type="character" w:styleId="32">
    <w:name w:val="FollowedHyperlink"/>
    <w:autoRedefine/>
    <w:qFormat/>
    <w:uiPriority w:val="0"/>
    <w:rPr>
      <w:rFonts w:ascii="仿宋_GB2312" w:eastAsia="仿宋_GB2312"/>
      <w:b/>
      <w:color w:val="0066CC"/>
      <w:sz w:val="32"/>
      <w:szCs w:val="32"/>
      <w:u w:val="none"/>
    </w:rPr>
  </w:style>
  <w:style w:type="character" w:styleId="33">
    <w:name w:val="Emphasis"/>
    <w:autoRedefine/>
    <w:qFormat/>
    <w:uiPriority w:val="0"/>
    <w:rPr>
      <w:rFonts w:ascii="仿宋_GB2312" w:eastAsia="仿宋_GB2312"/>
      <w:b/>
      <w:color w:val="CC0000"/>
      <w:sz w:val="32"/>
      <w:szCs w:val="32"/>
    </w:rPr>
  </w:style>
  <w:style w:type="character" w:styleId="34">
    <w:name w:val="HTML Definition"/>
    <w:basedOn w:val="29"/>
    <w:autoRedefine/>
    <w:qFormat/>
    <w:uiPriority w:val="0"/>
  </w:style>
  <w:style w:type="character" w:styleId="35">
    <w:name w:val="HTML Variable"/>
    <w:basedOn w:val="29"/>
    <w:autoRedefine/>
    <w:qFormat/>
    <w:uiPriority w:val="0"/>
  </w:style>
  <w:style w:type="character" w:styleId="36">
    <w:name w:val="Hyperlink"/>
    <w:autoRedefine/>
    <w:qFormat/>
    <w:uiPriority w:val="0"/>
    <w:rPr>
      <w:rFonts w:ascii="仿宋_GB2312" w:eastAsia="仿宋_GB2312"/>
      <w:b/>
      <w:color w:val="0066CC"/>
      <w:sz w:val="32"/>
      <w:szCs w:val="32"/>
      <w:u w:val="none"/>
    </w:rPr>
  </w:style>
  <w:style w:type="character" w:styleId="37">
    <w:name w:val="annotation reference"/>
    <w:autoRedefine/>
    <w:semiHidden/>
    <w:qFormat/>
    <w:uiPriority w:val="0"/>
    <w:rPr>
      <w:rFonts w:ascii="仿宋_GB2312" w:eastAsia="仿宋_GB2312"/>
      <w:b/>
      <w:sz w:val="21"/>
      <w:szCs w:val="21"/>
    </w:rPr>
  </w:style>
  <w:style w:type="character" w:styleId="38">
    <w:name w:val="HTML Cite"/>
    <w:autoRedefine/>
    <w:qFormat/>
    <w:uiPriority w:val="0"/>
    <w:rPr>
      <w:rFonts w:ascii="仿宋_GB2312" w:eastAsia="仿宋_GB2312"/>
      <w:b/>
      <w:color w:val="008000"/>
      <w:sz w:val="32"/>
      <w:szCs w:val="32"/>
    </w:rPr>
  </w:style>
  <w:style w:type="paragraph" w:customStyle="1" w:styleId="39">
    <w:name w:val="[Normal]"/>
    <w:autoRedefine/>
    <w:qFormat/>
    <w:uiPriority w:val="0"/>
    <w:rPr>
      <w:rFonts w:ascii="宋体" w:hAnsi="宋体" w:eastAsia="宋体" w:cs="Times New Roman"/>
      <w:sz w:val="24"/>
      <w:szCs w:val="22"/>
      <w:lang w:val="zh-CN" w:eastAsia="zh-CN" w:bidi="ar-SA"/>
    </w:rPr>
  </w:style>
  <w:style w:type="paragraph" w:customStyle="1" w:styleId="40">
    <w:name w:val="正文2"/>
    <w:basedOn w:val="1"/>
    <w:link w:val="96"/>
    <w:autoRedefine/>
    <w:qFormat/>
    <w:uiPriority w:val="0"/>
    <w:pPr>
      <w:spacing w:before="156" w:line="360" w:lineRule="auto"/>
      <w:ind w:firstLine="510" w:firstLineChars="200"/>
    </w:pPr>
    <w:rPr>
      <w:sz w:val="24"/>
      <w:szCs w:val="20"/>
    </w:rPr>
  </w:style>
  <w:style w:type="paragraph" w:customStyle="1" w:styleId="41">
    <w:name w:val="列出段落1"/>
    <w:basedOn w:val="1"/>
    <w:autoRedefine/>
    <w:qFormat/>
    <w:uiPriority w:val="34"/>
    <w:pPr>
      <w:spacing w:line="360" w:lineRule="auto"/>
      <w:ind w:firstLine="420" w:firstLineChars="200"/>
    </w:pPr>
    <w:rPr>
      <w:rFonts w:ascii="Calibri" w:hAnsi="Calibri"/>
      <w:sz w:val="24"/>
      <w:szCs w:val="22"/>
    </w:rPr>
  </w:style>
  <w:style w:type="paragraph" w:customStyle="1" w:styleId="42">
    <w:name w:val="Char"/>
    <w:basedOn w:val="1"/>
    <w:autoRedefine/>
    <w:qFormat/>
    <w:uiPriority w:val="0"/>
    <w:rPr>
      <w:rFonts w:ascii="仿宋_GB2312" w:eastAsia="仿宋_GB2312"/>
      <w:b/>
      <w:sz w:val="32"/>
      <w:szCs w:val="32"/>
    </w:rPr>
  </w:style>
  <w:style w:type="paragraph" w:customStyle="1" w:styleId="43">
    <w:name w:val="2"/>
    <w:basedOn w:val="1"/>
    <w:next w:val="1"/>
    <w:autoRedefine/>
    <w:qFormat/>
    <w:uiPriority w:val="0"/>
    <w:rPr>
      <w:rFonts w:ascii="Calibri" w:hAnsi="Calibri" w:eastAsia="仿宋_GB2312"/>
      <w:sz w:val="18"/>
      <w:szCs w:val="20"/>
    </w:rPr>
  </w:style>
  <w:style w:type="paragraph" w:customStyle="1" w:styleId="44">
    <w:name w:val="无格式"/>
    <w:next w:val="1"/>
    <w:autoRedefine/>
    <w:qFormat/>
    <w:uiPriority w:val="0"/>
    <w:pPr>
      <w:jc w:val="both"/>
    </w:pPr>
    <w:rPr>
      <w:rFonts w:ascii="Times New Roman" w:hAnsi="Times New Roman" w:eastAsia="宋体" w:cs="Times New Roman"/>
      <w:bCs/>
      <w:kern w:val="2"/>
      <w:sz w:val="24"/>
      <w:szCs w:val="24"/>
      <w:lang w:val="en-US" w:eastAsia="zh-CN" w:bidi="ar-SA"/>
    </w:rPr>
  </w:style>
  <w:style w:type="paragraph" w:customStyle="1" w:styleId="45">
    <w:name w:val="列表段落1"/>
    <w:basedOn w:val="1"/>
    <w:autoRedefine/>
    <w:qFormat/>
    <w:uiPriority w:val="99"/>
    <w:pPr>
      <w:ind w:firstLine="420" w:firstLineChars="200"/>
    </w:pPr>
    <w:rPr>
      <w:rFonts w:ascii="Calibri" w:hAnsi="Calibri" w:cs="Calibri"/>
    </w:rPr>
  </w:style>
  <w:style w:type="paragraph" w:customStyle="1" w:styleId="46">
    <w:name w:val="_Style 22"/>
    <w:basedOn w:val="1"/>
    <w:autoRedefine/>
    <w:qFormat/>
    <w:uiPriority w:val="0"/>
    <w:rPr>
      <w:rFonts w:ascii="仿宋_GB2312" w:eastAsia="仿宋_GB2312"/>
      <w:b/>
      <w:sz w:val="32"/>
      <w:szCs w:val="32"/>
    </w:rPr>
  </w:style>
  <w:style w:type="paragraph" w:customStyle="1" w:styleId="47">
    <w:name w:val="样式1"/>
    <w:basedOn w:val="5"/>
    <w:autoRedefine/>
    <w:qFormat/>
    <w:uiPriority w:val="0"/>
    <w:pPr>
      <w:spacing w:line="576" w:lineRule="auto"/>
      <w:jc w:val="center"/>
    </w:pPr>
    <w:rPr>
      <w:rFonts w:ascii="Calibri" w:hAnsi="Calibri" w:eastAsia="黑体"/>
    </w:rPr>
  </w:style>
  <w:style w:type="paragraph" w:customStyle="1" w:styleId="48">
    <w:name w:val="_Style 1"/>
    <w:basedOn w:val="1"/>
    <w:autoRedefine/>
    <w:qFormat/>
    <w:uiPriority w:val="0"/>
    <w:pPr>
      <w:spacing w:line="360" w:lineRule="auto"/>
    </w:pPr>
    <w:rPr>
      <w:szCs w:val="22"/>
    </w:rPr>
  </w:style>
  <w:style w:type="paragraph" w:customStyle="1" w:styleId="49">
    <w:name w:val="_Style 5"/>
    <w:basedOn w:val="1"/>
    <w:autoRedefine/>
    <w:qFormat/>
    <w:uiPriority w:val="0"/>
    <w:pPr>
      <w:spacing w:line="360" w:lineRule="auto"/>
    </w:pPr>
    <w:rPr>
      <w:szCs w:val="22"/>
    </w:rPr>
  </w:style>
  <w:style w:type="paragraph" w:customStyle="1" w:styleId="50">
    <w:name w:val="Char Char10"/>
    <w:basedOn w:val="1"/>
    <w:autoRedefine/>
    <w:qFormat/>
    <w:uiPriority w:val="0"/>
    <w:rPr>
      <w:rFonts w:ascii="宋体"/>
      <w:sz w:val="28"/>
      <w:szCs w:val="20"/>
    </w:rPr>
  </w:style>
  <w:style w:type="paragraph" w:customStyle="1" w:styleId="51">
    <w:name w:val="HTML Top of Form"/>
    <w:basedOn w:val="1"/>
    <w:next w:val="1"/>
    <w:autoRedefine/>
    <w:qFormat/>
    <w:uiPriority w:val="0"/>
    <w:pPr>
      <w:pBdr>
        <w:bottom w:val="single" w:color="auto" w:sz="6" w:space="1"/>
      </w:pBdr>
      <w:jc w:val="center"/>
    </w:pPr>
    <w:rPr>
      <w:rFonts w:ascii="Arial"/>
      <w:vanish/>
      <w:sz w:val="16"/>
    </w:rPr>
  </w:style>
  <w:style w:type="paragraph" w:customStyle="1" w:styleId="52">
    <w:name w:val="Char1"/>
    <w:basedOn w:val="1"/>
    <w:autoRedefine/>
    <w:qFormat/>
    <w:uiPriority w:val="0"/>
    <w:rPr>
      <w:rFonts w:ascii="Tahoma" w:hAnsi="Tahoma"/>
      <w:sz w:val="24"/>
      <w:szCs w:val="20"/>
    </w:rPr>
  </w:style>
  <w:style w:type="paragraph" w:customStyle="1" w:styleId="53">
    <w:name w:val="Item List"/>
    <w:basedOn w:val="1"/>
    <w:autoRedefine/>
    <w:qFormat/>
    <w:uiPriority w:val="0"/>
    <w:pPr>
      <w:numPr>
        <w:ilvl w:val="0"/>
        <w:numId w:val="1"/>
      </w:numPr>
      <w:spacing w:line="180" w:lineRule="auto"/>
      <w:ind w:left="237" w:hanging="237" w:hangingChars="158"/>
    </w:pPr>
    <w:rPr>
      <w:rFonts w:ascii="Arial" w:hAnsi="Arial" w:cs="Arial"/>
      <w:kern w:val="0"/>
      <w:sz w:val="15"/>
      <w:szCs w:val="15"/>
    </w:rPr>
  </w:style>
  <w:style w:type="paragraph" w:customStyle="1" w:styleId="54">
    <w:name w:val="Char Char Char Char Char Char2 Char Char Char Char"/>
    <w:basedOn w:val="1"/>
    <w:autoRedefine/>
    <w:qFormat/>
    <w:uiPriority w:val="0"/>
    <w:rPr>
      <w:szCs w:val="20"/>
    </w:rPr>
  </w:style>
  <w:style w:type="paragraph" w:customStyle="1" w:styleId="55">
    <w:name w:val="1册标题1"/>
    <w:basedOn w:val="1"/>
    <w:next w:val="1"/>
    <w:autoRedefine/>
    <w:qFormat/>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56">
    <w:name w:val="雅黑三级四号上下间距各0.5行"/>
    <w:basedOn w:val="1"/>
    <w:autoRedefine/>
    <w:qFormat/>
    <w:uiPriority w:val="0"/>
    <w:pPr>
      <w:numPr>
        <w:ilvl w:val="2"/>
        <w:numId w:val="2"/>
      </w:numPr>
      <w:spacing w:beforeLines="100" w:afterLines="50"/>
      <w:outlineLvl w:val="2"/>
    </w:pPr>
    <w:rPr>
      <w:rFonts w:eastAsia="微软雅黑"/>
      <w:sz w:val="28"/>
      <w:szCs w:val="28"/>
    </w:rPr>
  </w:style>
  <w:style w:type="paragraph" w:customStyle="1" w:styleId="57">
    <w:name w:val="HTML Bottom of Form"/>
    <w:basedOn w:val="1"/>
    <w:next w:val="1"/>
    <w:autoRedefine/>
    <w:qFormat/>
    <w:uiPriority w:val="0"/>
    <w:pPr>
      <w:pBdr>
        <w:top w:val="single" w:color="auto" w:sz="6" w:space="1"/>
      </w:pBdr>
      <w:jc w:val="center"/>
    </w:pPr>
    <w:rPr>
      <w:rFonts w:ascii="Arial"/>
      <w:vanish/>
      <w:sz w:val="16"/>
    </w:rPr>
  </w:style>
  <w:style w:type="paragraph" w:customStyle="1" w:styleId="58">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9">
    <w:name w:val="Char Char2"/>
    <w:basedOn w:val="1"/>
    <w:autoRedefine/>
    <w:qFormat/>
    <w:uiPriority w:val="0"/>
    <w:pPr>
      <w:spacing w:line="360" w:lineRule="auto"/>
    </w:pPr>
    <w:rPr>
      <w:rFonts w:ascii="Tahoma" w:hAnsi="Tahoma"/>
      <w:sz w:val="24"/>
      <w:szCs w:val="20"/>
    </w:rPr>
  </w:style>
  <w:style w:type="paragraph" w:customStyle="1" w:styleId="60">
    <w:name w:val="List Paragraph"/>
    <w:basedOn w:val="1"/>
    <w:autoRedefine/>
    <w:qFormat/>
    <w:uiPriority w:val="99"/>
    <w:pPr>
      <w:ind w:firstLine="420" w:firstLineChars="200"/>
    </w:pPr>
  </w:style>
  <w:style w:type="paragraph" w:customStyle="1" w:styleId="61">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2">
    <w:name w:val="正文1"/>
    <w:basedOn w:val="13"/>
    <w:next w:val="1"/>
    <w:autoRedefine/>
    <w:qFormat/>
    <w:uiPriority w:val="0"/>
    <w:pPr>
      <w:spacing w:before="156" w:line="360" w:lineRule="auto"/>
      <w:ind w:left="426"/>
    </w:pPr>
    <w:rPr>
      <w:sz w:val="24"/>
      <w:szCs w:val="20"/>
    </w:rPr>
  </w:style>
  <w:style w:type="paragraph" w:customStyle="1" w:styleId="6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表格文字"/>
    <w:basedOn w:val="1"/>
    <w:next w:val="11"/>
    <w:autoRedefine/>
    <w:qFormat/>
    <w:uiPriority w:val="0"/>
    <w:pPr>
      <w:autoSpaceDE w:val="0"/>
      <w:autoSpaceDN w:val="0"/>
      <w:adjustRightInd w:val="0"/>
      <w:spacing w:before="100" w:beforeAutospacing="1" w:after="100" w:afterAutospacing="1" w:line="360" w:lineRule="auto"/>
      <w:jc w:val="center"/>
      <w:textAlignment w:val="baseline"/>
    </w:pPr>
    <w:rPr>
      <w:rFonts w:ascii="Times New Roman" w:hAnsi="Times New Roman" w:eastAsia="楷体_GB2312" w:cs="Times New Roman"/>
      <w:color w:val="000000"/>
      <w:kern w:val="0"/>
      <w:sz w:val="24"/>
      <w:szCs w:val="20"/>
    </w:rPr>
  </w:style>
  <w:style w:type="paragraph" w:customStyle="1" w:styleId="65">
    <w:name w:val="Table Paragraph"/>
    <w:basedOn w:val="1"/>
    <w:autoRedefine/>
    <w:qFormat/>
    <w:uiPriority w:val="1"/>
    <w:rPr>
      <w:rFonts w:ascii="宋体" w:hAnsi="宋体" w:cs="宋体"/>
      <w:lang w:val="zh-CN" w:bidi="zh-CN"/>
    </w:rPr>
  </w:style>
  <w:style w:type="paragraph" w:customStyle="1" w:styleId="66">
    <w:name w:val="_Style 2"/>
    <w:basedOn w:val="1"/>
    <w:next w:val="1"/>
    <w:autoRedefine/>
    <w:qFormat/>
    <w:uiPriority w:val="0"/>
    <w:pPr>
      <w:pBdr>
        <w:bottom w:val="single" w:color="auto" w:sz="6" w:space="1"/>
      </w:pBdr>
      <w:jc w:val="center"/>
    </w:pPr>
    <w:rPr>
      <w:rFonts w:ascii="Arial" w:eastAsia="宋体"/>
      <w:vanish/>
      <w:sz w:val="16"/>
    </w:rPr>
  </w:style>
  <w:style w:type="paragraph" w:customStyle="1" w:styleId="67">
    <w:name w:val="默认"/>
    <w:autoRedefine/>
    <w:qFormat/>
    <w:uiPriority w:val="0"/>
    <w:pPr>
      <w:widowControl/>
      <w:shd w:val="clear" w:color="auto" w:fill="auto"/>
      <w:spacing w:before="0" w:after="0" w:line="240" w:lineRule="auto"/>
      <w:ind w:left="0" w:right="0" w:firstLine="0"/>
      <w:jc w:val="left"/>
      <w:outlineLvl w:val="9"/>
    </w:pPr>
    <w:rPr>
      <w:rFonts w:hint="eastAsia" w:ascii="Arial Unicode MS" w:hAnsi="Arial Unicode MS" w:eastAsia="Helvetica" w:cs="Arial Unicode MS"/>
      <w:color w:val="000000"/>
      <w:spacing w:val="0"/>
      <w:w w:val="100"/>
      <w:kern w:val="0"/>
      <w:position w:val="0"/>
      <w:sz w:val="22"/>
      <w:szCs w:val="22"/>
      <w:u w:val="none" w:color="auto"/>
      <w:lang w:val="zh-TW" w:eastAsia="zh-TW" w:bidi="ar-SA"/>
    </w:rPr>
  </w:style>
  <w:style w:type="paragraph" w:customStyle="1" w:styleId="68">
    <w:name w:val="正文首行缩进 21"/>
    <w:basedOn w:val="3"/>
    <w:autoRedefine/>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paragraph" w:customStyle="1" w:styleId="69">
    <w:name w:val="No Spacing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Table Text"/>
    <w:basedOn w:val="1"/>
    <w:autoRedefine/>
    <w:semiHidden/>
    <w:qFormat/>
    <w:uiPriority w:val="0"/>
    <w:rPr>
      <w:rFonts w:ascii="宋体" w:hAnsi="宋体" w:eastAsia="宋体" w:cs="宋体"/>
      <w:sz w:val="24"/>
      <w:szCs w:val="24"/>
      <w:lang w:val="en-US" w:eastAsia="en-US" w:bidi="ar-SA"/>
    </w:rPr>
  </w:style>
  <w:style w:type="paragraph" w:customStyle="1" w:styleId="71">
    <w:name w:val="正文文本_3"/>
    <w:basedOn w:val="72"/>
    <w:next w:val="72"/>
    <w:autoRedefine/>
    <w:qFormat/>
    <w:uiPriority w:val="0"/>
    <w:pPr>
      <w:spacing w:after="120"/>
    </w:pPr>
    <w:rPr>
      <w:rFonts w:ascii="Times New Roman" w:hAnsi="Times New Roman"/>
      <w:szCs w:val="24"/>
    </w:rPr>
  </w:style>
  <w:style w:type="paragraph" w:customStyle="1" w:styleId="72">
    <w:name w:val="正文_4"/>
    <w:next w:val="7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首行缩进_3"/>
    <w:basedOn w:val="71"/>
    <w:next w:val="72"/>
    <w:autoRedefine/>
    <w:qFormat/>
    <w:uiPriority w:val="0"/>
    <w:pPr>
      <w:ind w:firstLine="420" w:firstLineChars="100"/>
    </w:pPr>
    <w:rPr>
      <w:rFonts w:ascii="Times New Roman" w:hAnsi="Times New Roman" w:eastAsia="宋体" w:cs="Times New Roman"/>
    </w:rPr>
  </w:style>
  <w:style w:type="character" w:customStyle="1" w:styleId="74">
    <w:name w:val="op-map-singlepoint-info-right"/>
    <w:basedOn w:val="29"/>
    <w:autoRedefine/>
    <w:qFormat/>
    <w:uiPriority w:val="99"/>
    <w:rPr>
      <w:rFonts w:ascii="仿宋_GB2312" w:eastAsia="仿宋_GB2312"/>
      <w:b/>
      <w:sz w:val="32"/>
      <w:szCs w:val="32"/>
    </w:rPr>
  </w:style>
  <w:style w:type="character" w:customStyle="1" w:styleId="75">
    <w:name w:val="正文2 Char Char"/>
    <w:autoRedefine/>
    <w:qFormat/>
    <w:uiPriority w:val="0"/>
    <w:rPr>
      <w:kern w:val="2"/>
      <w:sz w:val="24"/>
    </w:rPr>
  </w:style>
  <w:style w:type="character" w:customStyle="1" w:styleId="76">
    <w:name w:val="Char Char"/>
    <w:autoRedefine/>
    <w:qFormat/>
    <w:uiPriority w:val="0"/>
    <w:rPr>
      <w:rFonts w:ascii="宋体" w:hAnsi="宋体" w:eastAsia="宋体" w:cs="宋体"/>
      <w:b/>
      <w:bCs/>
      <w:kern w:val="36"/>
      <w:sz w:val="48"/>
      <w:szCs w:val="48"/>
      <w:lang w:val="en-US" w:eastAsia="zh-CN" w:bidi="ar-SA"/>
    </w:rPr>
  </w:style>
  <w:style w:type="character" w:customStyle="1" w:styleId="77">
    <w:name w:val="页脚 字符"/>
    <w:link w:val="17"/>
    <w:autoRedefine/>
    <w:qFormat/>
    <w:uiPriority w:val="0"/>
    <w:rPr>
      <w:rFonts w:ascii="仿宋_GB2312" w:eastAsia="仿宋_GB2312"/>
      <w:b/>
      <w:kern w:val="2"/>
      <w:sz w:val="18"/>
      <w:szCs w:val="18"/>
    </w:rPr>
  </w:style>
  <w:style w:type="character" w:customStyle="1" w:styleId="78">
    <w:name w:val="正文文本缩进 字符"/>
    <w:link w:val="3"/>
    <w:autoRedefine/>
    <w:qFormat/>
    <w:uiPriority w:val="0"/>
    <w:rPr>
      <w:kern w:val="2"/>
      <w:sz w:val="28"/>
      <w:szCs w:val="22"/>
    </w:rPr>
  </w:style>
  <w:style w:type="character" w:customStyle="1" w:styleId="79">
    <w:name w:val="普通文字 Char Char2"/>
    <w:autoRedefine/>
    <w:qFormat/>
    <w:uiPriority w:val="0"/>
    <w:rPr>
      <w:rFonts w:ascii="宋体" w:hAnsi="Courier New"/>
      <w:sz w:val="21"/>
      <w:lang w:val="en-US" w:eastAsia="zh-CN"/>
    </w:rPr>
  </w:style>
  <w:style w:type="character" w:customStyle="1" w:styleId="80">
    <w:name w:val="正文文本缩进 3 字符"/>
    <w:link w:val="21"/>
    <w:autoRedefine/>
    <w:qFormat/>
    <w:uiPriority w:val="0"/>
    <w:rPr>
      <w:rFonts w:ascii="宋体" w:hAnsi="宋体"/>
      <w:kern w:val="2"/>
      <w:sz w:val="32"/>
      <w:szCs w:val="22"/>
    </w:rPr>
  </w:style>
  <w:style w:type="character" w:customStyle="1" w:styleId="81">
    <w:name w:val="标题 1 字符"/>
    <w:link w:val="5"/>
    <w:autoRedefine/>
    <w:qFormat/>
    <w:uiPriority w:val="0"/>
    <w:rPr>
      <w:rFonts w:ascii="仿宋_GB2312" w:eastAsia="仿宋_GB2312"/>
      <w:b/>
      <w:bCs/>
      <w:kern w:val="44"/>
      <w:sz w:val="44"/>
      <w:szCs w:val="44"/>
    </w:rPr>
  </w:style>
  <w:style w:type="character" w:customStyle="1" w:styleId="82">
    <w:name w:val="页眉 字符"/>
    <w:link w:val="18"/>
    <w:autoRedefine/>
    <w:qFormat/>
    <w:uiPriority w:val="0"/>
    <w:rPr>
      <w:rFonts w:ascii="仿宋_GB2312" w:eastAsia="仿宋_GB2312"/>
      <w:b/>
      <w:kern w:val="2"/>
      <w:sz w:val="18"/>
      <w:szCs w:val="18"/>
    </w:rPr>
  </w:style>
  <w:style w:type="character" w:customStyle="1" w:styleId="83">
    <w:name w:val="标题 字符"/>
    <w:link w:val="25"/>
    <w:autoRedefine/>
    <w:qFormat/>
    <w:uiPriority w:val="0"/>
    <w:rPr>
      <w:rFonts w:ascii="Cambria" w:hAnsi="Cambria"/>
      <w:b/>
      <w:bCs/>
      <w:sz w:val="32"/>
      <w:szCs w:val="32"/>
    </w:rPr>
  </w:style>
  <w:style w:type="character" w:customStyle="1" w:styleId="84">
    <w:name w:val="正文文本缩进 Char1"/>
    <w:autoRedefine/>
    <w:qFormat/>
    <w:uiPriority w:val="0"/>
    <w:rPr>
      <w:rFonts w:ascii="仿宋_GB2312" w:eastAsia="仿宋_GB2312"/>
      <w:b/>
      <w:kern w:val="2"/>
      <w:sz w:val="21"/>
      <w:szCs w:val="24"/>
    </w:rPr>
  </w:style>
  <w:style w:type="character" w:customStyle="1" w:styleId="85">
    <w:name w:val="纯文本 Char"/>
    <w:autoRedefine/>
    <w:qFormat/>
    <w:locked/>
    <w:uiPriority w:val="0"/>
    <w:rPr>
      <w:rFonts w:ascii="宋体" w:hAnsi="Courier New" w:eastAsia="宋体" w:cs="Times New Roman"/>
      <w:sz w:val="20"/>
    </w:rPr>
  </w:style>
  <w:style w:type="character" w:customStyle="1" w:styleId="86">
    <w:name w:val="标题 Char1"/>
    <w:autoRedefine/>
    <w:qFormat/>
    <w:uiPriority w:val="0"/>
    <w:rPr>
      <w:rFonts w:ascii="Cambria" w:hAnsi="Cambria" w:eastAsia="仿宋_GB2312" w:cs="Times New Roman"/>
      <w:b/>
      <w:bCs/>
      <w:kern w:val="2"/>
      <w:sz w:val="32"/>
      <w:szCs w:val="32"/>
    </w:rPr>
  </w:style>
  <w:style w:type="character" w:customStyle="1" w:styleId="87">
    <w:name w:val="h Char1"/>
    <w:autoRedefine/>
    <w:qFormat/>
    <w:uiPriority w:val="0"/>
    <w:rPr>
      <w:rFonts w:ascii="Calibri" w:hAnsi="Calibri" w:eastAsia="宋体"/>
      <w:kern w:val="2"/>
      <w:sz w:val="18"/>
      <w:szCs w:val="18"/>
      <w:lang w:val="en-US" w:eastAsia="zh-CN" w:bidi="ar-SA"/>
    </w:rPr>
  </w:style>
  <w:style w:type="character" w:customStyle="1" w:styleId="88">
    <w:name w:val="文档结构图 字符"/>
    <w:link w:val="9"/>
    <w:autoRedefine/>
    <w:qFormat/>
    <w:uiPriority w:val="0"/>
    <w:rPr>
      <w:rFonts w:ascii="宋体"/>
      <w:kern w:val="2"/>
      <w:sz w:val="18"/>
      <w:szCs w:val="18"/>
    </w:rPr>
  </w:style>
  <w:style w:type="character" w:customStyle="1" w:styleId="89">
    <w:name w:val="正文文本缩进 3 Char1"/>
    <w:autoRedefine/>
    <w:qFormat/>
    <w:uiPriority w:val="0"/>
    <w:rPr>
      <w:rFonts w:ascii="仿宋_GB2312" w:eastAsia="仿宋_GB2312"/>
      <w:b/>
      <w:kern w:val="2"/>
      <w:sz w:val="16"/>
      <w:szCs w:val="16"/>
    </w:rPr>
  </w:style>
  <w:style w:type="character" w:customStyle="1" w:styleId="90">
    <w:name w:val="标题 1 Char Char"/>
    <w:autoRedefine/>
    <w:qFormat/>
    <w:uiPriority w:val="0"/>
    <w:rPr>
      <w:rFonts w:eastAsia="宋体"/>
      <w:b/>
      <w:spacing w:val="-2"/>
      <w:sz w:val="24"/>
      <w:lang w:val="en-US" w:eastAsia="zh-CN"/>
    </w:rPr>
  </w:style>
  <w:style w:type="character" w:customStyle="1" w:styleId="91">
    <w:name w:val="纯文本 字符"/>
    <w:link w:val="14"/>
    <w:autoRedefine/>
    <w:qFormat/>
    <w:uiPriority w:val="0"/>
    <w:rPr>
      <w:rFonts w:ascii="宋体" w:hAnsi="Courier New"/>
      <w:sz w:val="21"/>
      <w:lang w:val="en-US" w:eastAsia="zh-CN"/>
    </w:rPr>
  </w:style>
  <w:style w:type="character" w:customStyle="1" w:styleId="92">
    <w:name w:val="pubtime"/>
    <w:autoRedefine/>
    <w:qFormat/>
    <w:uiPriority w:val="0"/>
    <w:rPr>
      <w:rFonts w:ascii="仿宋_GB2312" w:eastAsia="仿宋_GB2312"/>
      <w:color w:val="000000"/>
      <w:sz w:val="14"/>
      <w:szCs w:val="14"/>
    </w:rPr>
  </w:style>
  <w:style w:type="character" w:customStyle="1" w:styleId="93">
    <w:name w:val="正文缩进 字符"/>
    <w:link w:val="8"/>
    <w:autoRedefine/>
    <w:qFormat/>
    <w:uiPriority w:val="0"/>
    <w:rPr>
      <w:rFonts w:ascii="仿宋_GB2312" w:eastAsia="宋体"/>
      <w:b/>
      <w:kern w:val="2"/>
      <w:sz w:val="21"/>
      <w:szCs w:val="32"/>
      <w:lang w:val="en-US" w:eastAsia="zh-CN" w:bidi="ar-SA"/>
    </w:rPr>
  </w:style>
  <w:style w:type="character" w:customStyle="1" w:styleId="94">
    <w:name w:val="文档结构图 Char1"/>
    <w:autoRedefine/>
    <w:qFormat/>
    <w:uiPriority w:val="0"/>
    <w:rPr>
      <w:rFonts w:ascii="宋体" w:eastAsia="仿宋_GB2312"/>
      <w:b/>
      <w:kern w:val="2"/>
      <w:sz w:val="18"/>
      <w:szCs w:val="18"/>
    </w:rPr>
  </w:style>
  <w:style w:type="character" w:customStyle="1" w:styleId="95">
    <w:name w:val="Char Char1"/>
    <w:autoRedefine/>
    <w:qFormat/>
    <w:uiPriority w:val="0"/>
    <w:rPr>
      <w:rFonts w:ascii="Calibri" w:hAnsi="Calibri" w:eastAsia="宋体"/>
      <w:kern w:val="2"/>
      <w:sz w:val="18"/>
      <w:szCs w:val="18"/>
      <w:lang w:val="en-US" w:eastAsia="zh-CN" w:bidi="ar-SA"/>
    </w:rPr>
  </w:style>
  <w:style w:type="character" w:customStyle="1" w:styleId="96">
    <w:name w:val="正文2 Char"/>
    <w:link w:val="40"/>
    <w:autoRedefine/>
    <w:qFormat/>
    <w:uiPriority w:val="0"/>
    <w:rPr>
      <w:rFonts w:ascii="Calibri" w:hAnsi="Calibri"/>
      <w:kern w:val="2"/>
      <w:sz w:val="24"/>
    </w:rPr>
  </w:style>
  <w:style w:type="character" w:customStyle="1" w:styleId="97">
    <w:name w:val="font01"/>
    <w:basedOn w:val="29"/>
    <w:autoRedefine/>
    <w:qFormat/>
    <w:uiPriority w:val="0"/>
    <w:rPr>
      <w:rFonts w:hint="eastAsia" w:ascii="宋体" w:hAnsi="宋体" w:eastAsia="宋体" w:cs="宋体"/>
      <w:color w:val="000000"/>
      <w:sz w:val="21"/>
      <w:szCs w:val="21"/>
      <w:u w:val="none"/>
    </w:rPr>
  </w:style>
  <w:style w:type="character" w:customStyle="1" w:styleId="98">
    <w:name w:val="margin"/>
    <w:basedOn w:val="29"/>
    <w:autoRedefine/>
    <w:qFormat/>
    <w:uiPriority w:val="0"/>
    <w:rPr>
      <w:color w:val="666666"/>
    </w:rPr>
  </w:style>
  <w:style w:type="character" w:customStyle="1" w:styleId="99">
    <w:name w:val="first-child"/>
    <w:basedOn w:val="29"/>
    <w:autoRedefine/>
    <w:qFormat/>
    <w:uiPriority w:val="0"/>
  </w:style>
  <w:style w:type="character" w:customStyle="1" w:styleId="100">
    <w:name w:val="first-child1"/>
    <w:basedOn w:val="29"/>
    <w:autoRedefine/>
    <w:qFormat/>
    <w:uiPriority w:val="0"/>
  </w:style>
  <w:style w:type="character" w:customStyle="1" w:styleId="101">
    <w:name w:val="dhtmlxcalendar_selected_date"/>
    <w:basedOn w:val="29"/>
    <w:autoRedefine/>
    <w:qFormat/>
    <w:uiPriority w:val="0"/>
  </w:style>
  <w:style w:type="character" w:customStyle="1" w:styleId="102">
    <w:name w:val="dhtmlxcalendar_selected_date1"/>
    <w:basedOn w:val="29"/>
    <w:autoRedefine/>
    <w:qFormat/>
    <w:uiPriority w:val="0"/>
  </w:style>
  <w:style w:type="character" w:customStyle="1" w:styleId="103">
    <w:name w:val="percentage"/>
    <w:basedOn w:val="29"/>
    <w:autoRedefine/>
    <w:qFormat/>
    <w:uiPriority w:val="0"/>
    <w:rPr>
      <w:shd w:val="clear" w:color="000000" w:fill="1483D8"/>
    </w:rPr>
  </w:style>
  <w:style w:type="character" w:customStyle="1" w:styleId="104">
    <w:name w:val="selectedtreerow_lor4"/>
    <w:basedOn w:val="29"/>
    <w:autoRedefine/>
    <w:qFormat/>
    <w:uiPriority w:val="0"/>
    <w:rPr>
      <w:color w:val="000000"/>
      <w:shd w:val="clear" w:color="010000" w:fill="85D3FF"/>
    </w:rPr>
  </w:style>
  <w:style w:type="character" w:customStyle="1" w:styleId="105">
    <w:name w:val="selectedtreerow_lor5"/>
    <w:basedOn w:val="29"/>
    <w:autoRedefine/>
    <w:qFormat/>
    <w:uiPriority w:val="0"/>
  </w:style>
  <w:style w:type="character" w:customStyle="1" w:styleId="106">
    <w:name w:val="rotateright"/>
    <w:basedOn w:val="29"/>
    <w:autoRedefine/>
    <w:qFormat/>
    <w:uiPriority w:val="0"/>
  </w:style>
  <w:style w:type="character" w:customStyle="1" w:styleId="107">
    <w:name w:val="edui-clickable"/>
    <w:basedOn w:val="29"/>
    <w:autoRedefine/>
    <w:qFormat/>
    <w:uiPriority w:val="0"/>
    <w:rPr>
      <w:color w:val="0000FF"/>
      <w:u w:val="single"/>
    </w:rPr>
  </w:style>
  <w:style w:type="character" w:customStyle="1" w:styleId="108">
    <w:name w:val="cancel"/>
    <w:basedOn w:val="29"/>
    <w:autoRedefine/>
    <w:qFormat/>
    <w:uiPriority w:val="0"/>
  </w:style>
  <w:style w:type="character" w:customStyle="1" w:styleId="109">
    <w:name w:val="recordsinfoblock"/>
    <w:basedOn w:val="29"/>
    <w:autoRedefine/>
    <w:qFormat/>
    <w:uiPriority w:val="0"/>
    <w:rPr>
      <w:rFonts w:ascii="Tahoma" w:hAnsi="Tahoma" w:eastAsia="Tahoma" w:cs="Tahoma"/>
      <w:color w:val="000000"/>
      <w:sz w:val="18"/>
      <w:szCs w:val="18"/>
    </w:rPr>
  </w:style>
  <w:style w:type="character" w:customStyle="1" w:styleId="110">
    <w:name w:val="checkbox2"/>
    <w:basedOn w:val="29"/>
    <w:autoRedefine/>
    <w:qFormat/>
    <w:uiPriority w:val="0"/>
    <w:rPr>
      <w:color w:val="666666"/>
    </w:rPr>
  </w:style>
  <w:style w:type="character" w:customStyle="1" w:styleId="111">
    <w:name w:val="checkbox3"/>
    <w:basedOn w:val="29"/>
    <w:autoRedefine/>
    <w:qFormat/>
    <w:uiPriority w:val="0"/>
    <w:rPr>
      <w:color w:val="666666"/>
    </w:rPr>
  </w:style>
  <w:style w:type="character" w:customStyle="1" w:styleId="112">
    <w:name w:val="radio2"/>
    <w:basedOn w:val="29"/>
    <w:autoRedefine/>
    <w:qFormat/>
    <w:uiPriority w:val="0"/>
    <w:rPr>
      <w:color w:val="666666"/>
    </w:rPr>
  </w:style>
  <w:style w:type="character" w:customStyle="1" w:styleId="113">
    <w:name w:val="nav_link"/>
    <w:basedOn w:val="29"/>
    <w:autoRedefine/>
    <w:qFormat/>
    <w:uiPriority w:val="0"/>
  </w:style>
  <w:style w:type="character" w:customStyle="1" w:styleId="114">
    <w:name w:val="operation2"/>
    <w:basedOn w:val="29"/>
    <w:autoRedefine/>
    <w:qFormat/>
    <w:uiPriority w:val="0"/>
    <w:rPr>
      <w:color w:val="F39800"/>
    </w:rPr>
  </w:style>
  <w:style w:type="character" w:customStyle="1" w:styleId="115">
    <w:name w:val="jedateymchri"/>
    <w:basedOn w:val="29"/>
    <w:autoRedefine/>
    <w:qFormat/>
    <w:uiPriority w:val="0"/>
    <w:rPr>
      <w:color w:val="1F547E"/>
      <w:sz w:val="24"/>
      <w:szCs w:val="24"/>
      <w:shd w:val="clear" w:color="030000" w:fill="ECF4FB"/>
    </w:rPr>
  </w:style>
  <w:style w:type="character" w:customStyle="1" w:styleId="116">
    <w:name w:val="rotateleft"/>
    <w:basedOn w:val="29"/>
    <w:autoRedefine/>
    <w:qFormat/>
    <w:uiPriority w:val="0"/>
  </w:style>
  <w:style w:type="character" w:customStyle="1" w:styleId="117">
    <w:name w:val="jedateymchok"/>
    <w:basedOn w:val="29"/>
    <w:autoRedefine/>
    <w:qFormat/>
    <w:uiPriority w:val="0"/>
    <w:rPr>
      <w:color w:val="FFFFFF"/>
      <w:sz w:val="18"/>
      <w:szCs w:val="18"/>
      <w:shd w:val="clear" w:color="030000" w:fill="1065C2"/>
    </w:rPr>
  </w:style>
  <w:style w:type="character" w:customStyle="1" w:styleId="118">
    <w:name w:val="dhxform_item_required"/>
    <w:basedOn w:val="29"/>
    <w:autoRedefine/>
    <w:qFormat/>
    <w:uiPriority w:val="0"/>
    <w:rPr>
      <w:color w:val="FF0000"/>
    </w:rPr>
  </w:style>
  <w:style w:type="character" w:customStyle="1" w:styleId="119">
    <w:name w:val="dhxform_item_required1"/>
    <w:basedOn w:val="29"/>
    <w:autoRedefine/>
    <w:qFormat/>
    <w:uiPriority w:val="0"/>
    <w:rPr>
      <w:color w:val="B2B2B2"/>
    </w:rPr>
  </w:style>
  <w:style w:type="character" w:customStyle="1" w:styleId="120">
    <w:name w:val="text"/>
    <w:basedOn w:val="29"/>
    <w:autoRedefine/>
    <w:qFormat/>
    <w:uiPriority w:val="0"/>
  </w:style>
  <w:style w:type="character" w:customStyle="1" w:styleId="121">
    <w:name w:val="swzz"/>
    <w:basedOn w:val="29"/>
    <w:autoRedefine/>
    <w:qFormat/>
    <w:uiPriority w:val="0"/>
    <w:rPr>
      <w:color w:val="F39800"/>
    </w:rPr>
  </w:style>
  <w:style w:type="character" w:customStyle="1" w:styleId="122">
    <w:name w:val="user"/>
    <w:basedOn w:val="29"/>
    <w:autoRedefine/>
    <w:qFormat/>
    <w:uiPriority w:val="0"/>
    <w:rPr>
      <w:b/>
      <w:color w:val="1065C2"/>
    </w:rPr>
  </w:style>
  <w:style w:type="character" w:customStyle="1" w:styleId="123">
    <w:name w:val="jedateymchle"/>
    <w:basedOn w:val="29"/>
    <w:autoRedefine/>
    <w:qFormat/>
    <w:uiPriority w:val="0"/>
    <w:rPr>
      <w:color w:val="1F547E"/>
      <w:sz w:val="24"/>
      <w:szCs w:val="24"/>
      <w:shd w:val="clear" w:color="030000" w:fill="ECF4FB"/>
    </w:rPr>
  </w:style>
  <w:style w:type="character" w:customStyle="1" w:styleId="124">
    <w:name w:val="layui-layer-tabnow"/>
    <w:basedOn w:val="29"/>
    <w:autoRedefine/>
    <w:qFormat/>
    <w:uiPriority w:val="0"/>
    <w:rPr>
      <w:bdr w:val="single" w:color="CCCCCC" w:sz="6" w:space="0"/>
      <w:shd w:val="clear" w:color="010000" w:fill="FFFFFF"/>
    </w:rPr>
  </w:style>
  <w:style w:type="character" w:customStyle="1" w:styleId="125">
    <w:name w:val="selectedtreerow6"/>
    <w:basedOn w:val="29"/>
    <w:autoRedefine/>
    <w:qFormat/>
    <w:uiPriority w:val="0"/>
    <w:rPr>
      <w:color w:val="000000"/>
      <w:shd w:val="clear" w:color="010000" w:fill="85D3FF"/>
    </w:rPr>
  </w:style>
  <w:style w:type="character" w:customStyle="1" w:styleId="126">
    <w:name w:val="selectedtreerow7"/>
    <w:basedOn w:val="29"/>
    <w:autoRedefine/>
    <w:qFormat/>
    <w:uiPriority w:val="0"/>
  </w:style>
  <w:style w:type="character" w:customStyle="1" w:styleId="127">
    <w:name w:val="standarttreerow6"/>
    <w:basedOn w:val="29"/>
    <w:autoRedefine/>
    <w:qFormat/>
    <w:uiPriority w:val="0"/>
  </w:style>
  <w:style w:type="character" w:customStyle="1" w:styleId="128">
    <w:name w:val="space"/>
    <w:basedOn w:val="29"/>
    <w:autoRedefine/>
    <w:qFormat/>
    <w:uiPriority w:val="0"/>
  </w:style>
  <w:style w:type="character" w:customStyle="1" w:styleId="129">
    <w:name w:val="dhxform_info"/>
    <w:basedOn w:val="29"/>
    <w:autoRedefine/>
    <w:qFormat/>
    <w:uiPriority w:val="0"/>
    <w:rPr>
      <w:rFonts w:hint="default" w:ascii="Tahoma" w:hAnsi="Tahoma" w:eastAsia="Tahoma" w:cs="Tahoma"/>
      <w:color w:val="808080"/>
      <w:sz w:val="12"/>
      <w:szCs w:val="12"/>
    </w:rPr>
  </w:style>
  <w:style w:type="character" w:customStyle="1" w:styleId="130">
    <w:name w:val="dhxtabbar_tabs_text_test_dhx_skyblue"/>
    <w:basedOn w:val="29"/>
    <w:autoRedefine/>
    <w:qFormat/>
    <w:uiPriority w:val="0"/>
    <w:rPr>
      <w:rFonts w:hint="default" w:ascii="Tahoma" w:hAnsi="Tahoma" w:eastAsia="Tahoma" w:cs="Tahoma"/>
      <w:b/>
      <w:color w:val="000000"/>
      <w:sz w:val="16"/>
      <w:szCs w:val="16"/>
    </w:rPr>
  </w:style>
  <w:style w:type="character" w:customStyle="1" w:styleId="131">
    <w:name w:val="edui-unclickable"/>
    <w:basedOn w:val="29"/>
    <w:autoRedefine/>
    <w:qFormat/>
    <w:uiPriority w:val="0"/>
    <w:rPr>
      <w:color w:val="808080"/>
    </w:rPr>
  </w:style>
  <w:style w:type="character" w:customStyle="1" w:styleId="132">
    <w:name w:val="标题 1 Char"/>
    <w:link w:val="5"/>
    <w:autoRedefine/>
    <w:qFormat/>
    <w:uiPriority w:val="0"/>
    <w:rPr>
      <w:rFonts w:ascii="Times New Roman" w:hAnsi="Times New Roman" w:eastAsia="宋体" w:cs="Times New Roman"/>
      <w:b/>
      <w:bCs/>
      <w:kern w:val="44"/>
      <w:sz w:val="44"/>
      <w:szCs w:val="44"/>
    </w:rPr>
  </w:style>
  <w:style w:type="character" w:customStyle="1" w:styleId="133">
    <w:name w:val="font11"/>
    <w:basedOn w:val="29"/>
    <w:autoRedefine/>
    <w:qFormat/>
    <w:uiPriority w:val="0"/>
    <w:rPr>
      <w:rFonts w:hint="eastAsia" w:ascii="宋体" w:hAnsi="宋体" w:eastAsia="宋体" w:cs="宋体"/>
      <w:b/>
      <w:bCs/>
      <w:color w:val="000000"/>
      <w:sz w:val="24"/>
      <w:szCs w:val="24"/>
      <w:u w:val="none"/>
    </w:rPr>
  </w:style>
  <w:style w:type="character" w:customStyle="1" w:styleId="134">
    <w:name w:val="font21"/>
    <w:basedOn w:val="29"/>
    <w:autoRedefine/>
    <w:qFormat/>
    <w:uiPriority w:val="0"/>
    <w:rPr>
      <w:rFonts w:hint="eastAsia" w:ascii="宋体" w:hAnsi="宋体" w:eastAsia="宋体" w:cs="宋体"/>
      <w:color w:val="000000"/>
      <w:sz w:val="20"/>
      <w:szCs w:val="20"/>
      <w:u w:val="none"/>
    </w:rPr>
  </w:style>
  <w:style w:type="character" w:customStyle="1" w:styleId="135">
    <w:name w:val="font51"/>
    <w:basedOn w:val="29"/>
    <w:autoRedefine/>
    <w:qFormat/>
    <w:uiPriority w:val="0"/>
    <w:rPr>
      <w:rFonts w:hint="eastAsia" w:ascii="宋体" w:hAnsi="宋体" w:eastAsia="宋体" w:cs="宋体"/>
      <w:color w:val="000000"/>
      <w:sz w:val="21"/>
      <w:szCs w:val="21"/>
      <w:u w:val="none"/>
    </w:rPr>
  </w:style>
  <w:style w:type="table" w:customStyle="1" w:styleId="136">
    <w:name w:val="Table Normal"/>
    <w:autoRedefine/>
    <w:unhideWhenUsed/>
    <w:qFormat/>
    <w:uiPriority w:val="0"/>
    <w:tblPr>
      <w:tblCellMar>
        <w:top w:w="0" w:type="dxa"/>
        <w:left w:w="0" w:type="dxa"/>
        <w:bottom w:w="0" w:type="dxa"/>
        <w:right w:w="0" w:type="dxa"/>
      </w:tblCellMar>
    </w:tblPr>
  </w:style>
  <w:style w:type="paragraph" w:customStyle="1" w:styleId="137">
    <w:name w:val="正文文本首行缩进 21"/>
    <w:basedOn w:val="3"/>
    <w:autoRedefine/>
    <w:qFormat/>
    <w:uiPriority w:val="99"/>
    <w:pPr>
      <w:spacing w:line="200" w:lineRule="atLeast"/>
      <w:ind w:firstLine="420"/>
    </w:pPr>
    <w:rPr>
      <w:rFonts w:ascii="宋体" w:hAnsi="Courier New"/>
      <w:spacing w:val="-4"/>
      <w:sz w:val="18"/>
    </w:rPr>
  </w:style>
  <w:style w:type="character" w:customStyle="1" w:styleId="138">
    <w:name w:val="font71"/>
    <w:basedOn w:val="29"/>
    <w:autoRedefine/>
    <w:qFormat/>
    <w:uiPriority w:val="0"/>
    <w:rPr>
      <w:rFonts w:hint="eastAsia" w:ascii="宋体" w:hAnsi="宋体" w:eastAsia="宋体" w:cs="宋体"/>
      <w:color w:val="FF0000"/>
      <w:sz w:val="20"/>
      <w:szCs w:val="20"/>
      <w:u w:val="none"/>
    </w:rPr>
  </w:style>
  <w:style w:type="character" w:customStyle="1" w:styleId="139">
    <w:name w:val="font31"/>
    <w:basedOn w:val="29"/>
    <w:autoRedefine/>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33566</Words>
  <Characters>39317</Characters>
  <Lines>183</Lines>
  <Paragraphs>51</Paragraphs>
  <TotalTime>60</TotalTime>
  <ScaleCrop>false</ScaleCrop>
  <LinksUpToDate>false</LinksUpToDate>
  <CharactersWithSpaces>42371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2020-04-30T05:25:00Z</dcterms:created>
  <dc:creator>dell</dc:creator>
  <cp:lastModifiedBy>ohyes</cp:lastModifiedBy>
  <cp:lastPrinted>2024-02-05T10:31:00Z</cp:lastPrinted>
  <dcterms:modified xsi:type="dcterms:W3CDTF">2025-01-10T07:40:13Z</dcterms:modified>
  <dc:title>浙江省打印机政府采购协议供货合同书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50D06399502D429CA0B649B67BD008CA_13</vt:lpwstr>
  </property>
</Properties>
</file>