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EF9FF">
      <w:pPr>
        <w:spacing w:line="360" w:lineRule="auto"/>
        <w:rPr>
          <w:rFonts w:cs="仿宋"/>
          <w:color w:val="auto"/>
        </w:rPr>
      </w:pPr>
    </w:p>
    <w:p w14:paraId="69B19069">
      <w:pPr>
        <w:spacing w:line="360" w:lineRule="auto"/>
        <w:rPr>
          <w:rFonts w:cs="仿宋"/>
          <w:color w:val="auto"/>
        </w:rPr>
      </w:pPr>
    </w:p>
    <w:p w14:paraId="539302E1">
      <w:pPr>
        <w:spacing w:line="360" w:lineRule="auto"/>
        <w:jc w:val="center"/>
        <w:rPr>
          <w:rFonts w:hint="eastAsia" w:cs="仿宋"/>
          <w:b w:val="0"/>
          <w:bCs w:val="0"/>
          <w:color w:val="auto"/>
          <w:sz w:val="48"/>
          <w:szCs w:val="36"/>
          <w:lang w:eastAsia="zh-CN"/>
        </w:rPr>
      </w:pPr>
      <w:r>
        <w:rPr>
          <w:rFonts w:hint="eastAsia" w:cs="仿宋"/>
          <w:b w:val="0"/>
          <w:bCs w:val="0"/>
          <w:color w:val="auto"/>
          <w:sz w:val="48"/>
          <w:szCs w:val="36"/>
          <w:lang w:eastAsia="zh-CN"/>
        </w:rPr>
        <w:t>杭州市萧山区中医院牙科电动</w:t>
      </w:r>
    </w:p>
    <w:p w14:paraId="6C4CAEBF">
      <w:pPr>
        <w:spacing w:line="360" w:lineRule="auto"/>
        <w:jc w:val="center"/>
        <w:rPr>
          <w:rFonts w:hint="default" w:eastAsia="仿宋" w:cs="仿宋"/>
          <w:b w:val="0"/>
          <w:bCs w:val="0"/>
          <w:color w:val="auto"/>
          <w:sz w:val="40"/>
          <w:lang w:val="en-US" w:eastAsia="zh-CN"/>
        </w:rPr>
      </w:pPr>
      <w:r>
        <w:rPr>
          <w:rFonts w:hint="eastAsia" w:cs="仿宋"/>
          <w:b w:val="0"/>
          <w:bCs w:val="0"/>
          <w:color w:val="auto"/>
          <w:sz w:val="48"/>
          <w:szCs w:val="36"/>
          <w:lang w:eastAsia="zh-CN"/>
        </w:rPr>
        <w:t>抽吸系统采购项目</w:t>
      </w:r>
    </w:p>
    <w:p w14:paraId="773F4C92">
      <w:pPr>
        <w:spacing w:line="360" w:lineRule="auto"/>
        <w:jc w:val="center"/>
        <w:rPr>
          <w:rFonts w:cs="仿宋"/>
          <w:b w:val="0"/>
          <w:bCs w:val="0"/>
          <w:color w:val="auto"/>
          <w:sz w:val="44"/>
          <w:szCs w:val="28"/>
        </w:rPr>
      </w:pPr>
      <w:r>
        <w:rPr>
          <w:rFonts w:hint="eastAsia" w:cs="仿宋"/>
          <w:b w:val="0"/>
          <w:bCs w:val="0"/>
          <w:color w:val="auto"/>
          <w:sz w:val="44"/>
          <w:szCs w:val="28"/>
        </w:rPr>
        <w:t>交易文件</w:t>
      </w:r>
    </w:p>
    <w:p w14:paraId="0947B53E">
      <w:pPr>
        <w:spacing w:line="360" w:lineRule="auto"/>
        <w:jc w:val="center"/>
        <w:rPr>
          <w:rFonts w:cs="仿宋"/>
          <w:color w:val="auto"/>
          <w:sz w:val="40"/>
        </w:rPr>
      </w:pPr>
      <w:r>
        <w:rPr>
          <w:rFonts w:hint="eastAsia" w:cs="仿宋"/>
          <w:color w:val="auto"/>
          <w:sz w:val="40"/>
        </w:rPr>
        <w:t>（</w:t>
      </w:r>
      <w:r>
        <w:rPr>
          <w:rFonts w:hint="eastAsia" w:ascii="仿宋" w:hAnsi="仿宋" w:eastAsia="仿宋" w:cs="仿宋"/>
          <w:color w:val="auto"/>
          <w:sz w:val="36"/>
          <w:szCs w:val="36"/>
          <w:lang w:val="en-US" w:eastAsia="zh-CN"/>
        </w:rPr>
        <w:t>公开竞争</w:t>
      </w:r>
      <w:r>
        <w:rPr>
          <w:rFonts w:hint="eastAsia" w:cs="仿宋"/>
          <w:color w:val="auto"/>
          <w:sz w:val="40"/>
        </w:rPr>
        <w:t>）</w:t>
      </w:r>
    </w:p>
    <w:p w14:paraId="74E818F0">
      <w:pPr>
        <w:spacing w:line="360" w:lineRule="auto"/>
        <w:jc w:val="center"/>
        <w:rPr>
          <w:rFonts w:hint="default" w:eastAsia="仿宋" w:cs="仿宋"/>
          <w:color w:val="auto"/>
          <w:sz w:val="36"/>
          <w:highlight w:val="none"/>
          <w:lang w:val="en-US" w:eastAsia="zh-CN"/>
        </w:rPr>
      </w:pPr>
      <w:r>
        <w:rPr>
          <w:rFonts w:hint="eastAsia" w:cs="仿宋"/>
          <w:color w:val="auto"/>
          <w:sz w:val="36"/>
          <w:highlight w:val="none"/>
        </w:rPr>
        <w:t>编号:</w:t>
      </w:r>
      <w:r>
        <w:rPr>
          <w:rFonts w:hint="eastAsia" w:cs="仿宋"/>
          <w:color w:val="auto"/>
          <w:sz w:val="36"/>
          <w:highlight w:val="none"/>
          <w:lang w:eastAsia="zh-CN"/>
        </w:rPr>
        <w:t>ZFZX2024-CG13</w:t>
      </w:r>
      <w:r>
        <w:rPr>
          <w:rFonts w:hint="eastAsia" w:cs="仿宋"/>
          <w:color w:val="auto"/>
          <w:sz w:val="36"/>
          <w:highlight w:val="none"/>
          <w:lang w:val="en-US" w:eastAsia="zh-CN"/>
        </w:rPr>
        <w:t>0</w:t>
      </w:r>
    </w:p>
    <w:p w14:paraId="2B4669B1">
      <w:pPr>
        <w:spacing w:line="360" w:lineRule="auto"/>
        <w:jc w:val="center"/>
        <w:rPr>
          <w:rFonts w:cs="仿宋"/>
          <w:color w:val="auto"/>
          <w:sz w:val="36"/>
        </w:rPr>
      </w:pPr>
    </w:p>
    <w:p w14:paraId="7B3A6E12">
      <w:pPr>
        <w:spacing w:line="360" w:lineRule="auto"/>
        <w:jc w:val="center"/>
        <w:rPr>
          <w:rFonts w:cs="仿宋"/>
          <w:color w:val="auto"/>
          <w:sz w:val="36"/>
        </w:rPr>
      </w:pPr>
    </w:p>
    <w:p w14:paraId="33B2397B">
      <w:pPr>
        <w:spacing w:line="360" w:lineRule="auto"/>
        <w:jc w:val="center"/>
        <w:rPr>
          <w:rFonts w:cs="仿宋"/>
          <w:color w:val="auto"/>
          <w:sz w:val="36"/>
        </w:rPr>
      </w:pPr>
    </w:p>
    <w:p w14:paraId="4524D712">
      <w:pPr>
        <w:spacing w:line="360" w:lineRule="auto"/>
        <w:rPr>
          <w:rFonts w:cs="仿宋"/>
          <w:color w:val="auto"/>
        </w:rPr>
      </w:pPr>
    </w:p>
    <w:p w14:paraId="5A369396">
      <w:pPr>
        <w:spacing w:line="360" w:lineRule="auto"/>
        <w:jc w:val="center"/>
        <w:rPr>
          <w:rFonts w:cs="仿宋"/>
          <w:color w:val="auto"/>
        </w:rPr>
      </w:pPr>
    </w:p>
    <w:p w14:paraId="7B30BD0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36"/>
          <w:highlight w:val="none"/>
        </w:rPr>
      </w:pPr>
    </w:p>
    <w:p w14:paraId="5578612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36"/>
          <w:highlight w:val="none"/>
        </w:rPr>
      </w:pPr>
    </w:p>
    <w:p w14:paraId="762BF3F7">
      <w:pPr>
        <w:spacing w:line="360" w:lineRule="auto"/>
        <w:jc w:val="center"/>
        <w:rPr>
          <w:rFonts w:hint="eastAsia" w:cs="仿宋"/>
          <w:color w:val="auto"/>
          <w:sz w:val="36"/>
          <w:highlight w:val="none"/>
          <w:lang w:val="en-US" w:eastAsia="zh-CN"/>
        </w:rPr>
      </w:pPr>
    </w:p>
    <w:p w14:paraId="1C734478">
      <w:pPr>
        <w:spacing w:line="360" w:lineRule="auto"/>
        <w:jc w:val="center"/>
        <w:rPr>
          <w:rFonts w:hint="eastAsia" w:cs="仿宋"/>
          <w:color w:val="auto"/>
          <w:sz w:val="36"/>
          <w:highlight w:val="none"/>
          <w:lang w:val="en-US" w:eastAsia="zh-CN"/>
        </w:rPr>
      </w:pPr>
      <w:r>
        <w:rPr>
          <w:rFonts w:hint="eastAsia" w:cs="仿宋"/>
          <w:color w:val="auto"/>
          <w:sz w:val="36"/>
          <w:highlight w:val="none"/>
          <w:lang w:val="en-US" w:eastAsia="zh-CN"/>
        </w:rPr>
        <w:t>杭州市萧山区中医院</w:t>
      </w:r>
    </w:p>
    <w:p w14:paraId="1AA3D48F">
      <w:pPr>
        <w:spacing w:line="360" w:lineRule="auto"/>
        <w:jc w:val="center"/>
        <w:rPr>
          <w:rFonts w:hint="eastAsia" w:cs="仿宋"/>
          <w:color w:val="auto"/>
          <w:sz w:val="36"/>
          <w:highlight w:val="none"/>
          <w:lang w:val="en-US" w:eastAsia="zh-CN"/>
        </w:rPr>
      </w:pPr>
      <w:r>
        <w:rPr>
          <w:rFonts w:hint="eastAsia" w:cs="仿宋"/>
          <w:color w:val="auto"/>
          <w:sz w:val="36"/>
          <w:highlight w:val="none"/>
          <w:lang w:val="en-US" w:eastAsia="zh-CN"/>
        </w:rPr>
        <w:t>浙江省房地产管理咨询有限公司</w:t>
      </w:r>
    </w:p>
    <w:p w14:paraId="3A825EE2">
      <w:pPr>
        <w:spacing w:line="360" w:lineRule="auto"/>
        <w:jc w:val="center"/>
        <w:rPr>
          <w:rFonts w:hint="eastAsia" w:ascii="仿宋" w:eastAsia="仿宋" w:cs="仿宋"/>
          <w:color w:val="auto"/>
          <w:u w:val="single"/>
        </w:rPr>
      </w:pPr>
      <w:r>
        <w:rPr>
          <w:rFonts w:hint="eastAsia" w:cs="仿宋"/>
          <w:color w:val="auto"/>
          <w:sz w:val="36"/>
          <w:highlight w:val="none"/>
          <w:lang w:val="en-US" w:eastAsia="zh-CN"/>
        </w:rPr>
        <w:t>2024年12月31日</w:t>
      </w:r>
    </w:p>
    <w:p w14:paraId="138CB006">
      <w:pPr>
        <w:pStyle w:val="2"/>
        <w:spacing w:line="360" w:lineRule="auto"/>
        <w:jc w:val="center"/>
        <w:rPr>
          <w:rFonts w:ascii="仿宋" w:eastAsia="仿宋" w:cs="仿宋"/>
          <w:color w:val="auto"/>
          <w:sz w:val="44"/>
          <w:szCs w:val="44"/>
        </w:rPr>
      </w:pPr>
      <w:r>
        <w:rPr>
          <w:rFonts w:hint="eastAsia" w:ascii="仿宋" w:eastAsia="仿宋" w:cs="仿宋"/>
          <w:color w:val="auto"/>
          <w:sz w:val="44"/>
          <w:szCs w:val="44"/>
        </w:rPr>
        <w:t>目  录</w:t>
      </w:r>
    </w:p>
    <w:p w14:paraId="624FED5D">
      <w:pPr>
        <w:spacing w:line="360" w:lineRule="auto"/>
        <w:rPr>
          <w:rFonts w:cs="仿宋"/>
          <w:color w:val="auto"/>
        </w:rPr>
      </w:pPr>
    </w:p>
    <w:p w14:paraId="5D936D5A">
      <w:pPr>
        <w:spacing w:line="360" w:lineRule="auto"/>
        <w:rPr>
          <w:rFonts w:cs="仿宋"/>
          <w:color w:val="auto"/>
        </w:rPr>
      </w:pPr>
    </w:p>
    <w:p w14:paraId="1185F6F1">
      <w:pPr>
        <w:spacing w:line="360" w:lineRule="auto"/>
        <w:rPr>
          <w:rFonts w:cs="仿宋"/>
          <w:color w:val="auto"/>
          <w:sz w:val="32"/>
        </w:rPr>
      </w:pPr>
      <w:r>
        <w:rPr>
          <w:rFonts w:hint="eastAsia" w:cs="仿宋"/>
          <w:color w:val="auto"/>
          <w:sz w:val="32"/>
        </w:rPr>
        <w:t>第一部分      交易公告</w:t>
      </w:r>
    </w:p>
    <w:p w14:paraId="2037AA6B">
      <w:pPr>
        <w:spacing w:line="360" w:lineRule="auto"/>
        <w:rPr>
          <w:rFonts w:cs="仿宋"/>
          <w:color w:val="auto"/>
          <w:sz w:val="32"/>
        </w:rPr>
      </w:pPr>
      <w:r>
        <w:rPr>
          <w:rFonts w:hint="eastAsia" w:cs="仿宋"/>
          <w:color w:val="auto"/>
          <w:sz w:val="32"/>
        </w:rPr>
        <w:t>第二部分      供应商须知</w:t>
      </w:r>
    </w:p>
    <w:p w14:paraId="64D4030E">
      <w:pPr>
        <w:spacing w:line="360" w:lineRule="auto"/>
        <w:rPr>
          <w:rFonts w:cs="仿宋"/>
          <w:color w:val="auto"/>
          <w:sz w:val="32"/>
        </w:rPr>
      </w:pPr>
      <w:r>
        <w:rPr>
          <w:rFonts w:hint="eastAsia" w:cs="仿宋"/>
          <w:color w:val="auto"/>
          <w:sz w:val="32"/>
        </w:rPr>
        <w:t>第三部分      采购需求</w:t>
      </w:r>
    </w:p>
    <w:p w14:paraId="7B689D65">
      <w:pPr>
        <w:spacing w:line="360" w:lineRule="auto"/>
        <w:rPr>
          <w:rFonts w:cs="仿宋"/>
          <w:color w:val="auto"/>
          <w:sz w:val="32"/>
        </w:rPr>
      </w:pPr>
      <w:r>
        <w:rPr>
          <w:rFonts w:hint="eastAsia" w:cs="仿宋"/>
          <w:color w:val="auto"/>
          <w:sz w:val="32"/>
        </w:rPr>
        <w:t>第四部分      评审办法</w:t>
      </w:r>
    </w:p>
    <w:p w14:paraId="6E74864A">
      <w:pPr>
        <w:spacing w:line="360" w:lineRule="auto"/>
        <w:rPr>
          <w:rFonts w:cs="仿宋"/>
          <w:color w:val="auto"/>
          <w:sz w:val="32"/>
        </w:rPr>
      </w:pPr>
      <w:r>
        <w:rPr>
          <w:rFonts w:hint="eastAsia" w:cs="仿宋"/>
          <w:color w:val="auto"/>
          <w:sz w:val="32"/>
        </w:rPr>
        <w:t>第五部分      拟签订的合同文本</w:t>
      </w:r>
    </w:p>
    <w:p w14:paraId="26A7F896">
      <w:pPr>
        <w:spacing w:line="360" w:lineRule="auto"/>
        <w:rPr>
          <w:rFonts w:cs="仿宋"/>
          <w:color w:val="auto"/>
          <w:sz w:val="32"/>
        </w:rPr>
      </w:pPr>
      <w:r>
        <w:rPr>
          <w:rFonts w:hint="eastAsia" w:cs="仿宋"/>
          <w:color w:val="auto"/>
          <w:sz w:val="32"/>
        </w:rPr>
        <w:t>第六部分      应提交的有关格式范例</w:t>
      </w:r>
    </w:p>
    <w:p w14:paraId="1718C9BF">
      <w:pPr>
        <w:pStyle w:val="2"/>
        <w:spacing w:line="360" w:lineRule="auto"/>
        <w:rPr>
          <w:rFonts w:hint="eastAsia" w:ascii="仿宋" w:eastAsia="仿宋" w:cs="仿宋"/>
          <w:color w:val="auto"/>
        </w:rPr>
      </w:pPr>
    </w:p>
    <w:p w14:paraId="48C18A40">
      <w:pPr>
        <w:rPr>
          <w:rFonts w:hint="eastAsia" w:ascii="仿宋" w:eastAsia="仿宋" w:cs="仿宋"/>
          <w:color w:val="auto"/>
        </w:rPr>
      </w:pPr>
    </w:p>
    <w:p w14:paraId="46B19504">
      <w:pPr>
        <w:pStyle w:val="28"/>
        <w:rPr>
          <w:rFonts w:hint="eastAsia" w:ascii="仿宋" w:eastAsia="仿宋" w:cs="仿宋"/>
          <w:color w:val="auto"/>
        </w:rPr>
      </w:pPr>
    </w:p>
    <w:p w14:paraId="2EAAA4F1">
      <w:pPr>
        <w:rPr>
          <w:rFonts w:hint="eastAsia" w:ascii="仿宋" w:eastAsia="仿宋" w:cs="仿宋"/>
          <w:color w:val="auto"/>
        </w:rPr>
      </w:pPr>
    </w:p>
    <w:p w14:paraId="2159FB80">
      <w:pPr>
        <w:pStyle w:val="28"/>
        <w:rPr>
          <w:rFonts w:hint="eastAsia" w:ascii="仿宋" w:eastAsia="仿宋" w:cs="仿宋"/>
          <w:color w:val="auto"/>
        </w:rPr>
      </w:pPr>
    </w:p>
    <w:p w14:paraId="2B222706">
      <w:pPr>
        <w:rPr>
          <w:rFonts w:hint="eastAsia"/>
          <w:color w:val="auto"/>
        </w:rPr>
      </w:pPr>
    </w:p>
    <w:p w14:paraId="0FEF712B">
      <w:pPr>
        <w:pStyle w:val="2"/>
        <w:spacing w:line="360" w:lineRule="auto"/>
        <w:rPr>
          <w:rFonts w:hint="eastAsia" w:ascii="仿宋" w:eastAsia="仿宋" w:cs="仿宋"/>
          <w:color w:val="auto"/>
        </w:rPr>
      </w:pPr>
    </w:p>
    <w:p w14:paraId="708BA585">
      <w:pPr>
        <w:rPr>
          <w:rFonts w:hint="eastAsia" w:ascii="仿宋" w:eastAsia="仿宋" w:cs="仿宋"/>
          <w:color w:val="auto"/>
        </w:rPr>
      </w:pPr>
      <w:r>
        <w:rPr>
          <w:rFonts w:hint="eastAsia" w:ascii="仿宋" w:eastAsia="仿宋" w:cs="仿宋"/>
          <w:color w:val="auto"/>
        </w:rPr>
        <w:br w:type="page"/>
      </w:r>
    </w:p>
    <w:p w14:paraId="2B4089FB">
      <w:pPr>
        <w:pStyle w:val="2"/>
        <w:spacing w:line="360" w:lineRule="auto"/>
        <w:rPr>
          <w:rFonts w:ascii="仿宋" w:eastAsia="仿宋" w:cs="仿宋"/>
          <w:color w:val="auto"/>
        </w:rPr>
      </w:pPr>
      <w:r>
        <w:rPr>
          <w:rFonts w:hint="eastAsia" w:ascii="仿宋" w:eastAsia="仿宋" w:cs="仿宋"/>
          <w:color w:val="auto"/>
        </w:rPr>
        <w:t>第一部分 交易公告</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9B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CAEB35A">
            <w:pPr>
              <w:spacing w:after="0" w:line="360" w:lineRule="auto"/>
              <w:ind w:firstLine="480" w:firstLineChars="200"/>
              <w:rPr>
                <w:rFonts w:cs="仿宋"/>
                <w:color w:val="auto"/>
              </w:rPr>
            </w:pPr>
            <w:r>
              <w:rPr>
                <w:rFonts w:hint="eastAsia" w:cs="仿宋"/>
                <w:color w:val="auto"/>
              </w:rPr>
              <w:t>项目概况</w:t>
            </w:r>
          </w:p>
          <w:p w14:paraId="26F82F86">
            <w:pPr>
              <w:keepNext w:val="0"/>
              <w:keepLines/>
              <w:pageBreakBefore w:val="0"/>
              <w:widowControl/>
              <w:kinsoku/>
              <w:wordWrap w:val="0"/>
              <w:overflowPunct/>
              <w:topLinePunct/>
              <w:autoSpaceDE/>
              <w:autoSpaceDN/>
              <w:bidi w:val="0"/>
              <w:adjustRightInd/>
              <w:snapToGrid/>
              <w:spacing w:after="0" w:line="360" w:lineRule="auto"/>
              <w:ind w:firstLine="480" w:firstLineChars="200"/>
              <w:textAlignment w:val="auto"/>
              <w:rPr>
                <w:rFonts w:cs="仿宋"/>
                <w:color w:val="auto"/>
              </w:rPr>
            </w:pPr>
            <w:r>
              <w:rPr>
                <w:rFonts w:hint="eastAsia" w:cs="仿宋"/>
                <w:color w:val="auto"/>
                <w:u w:val="single"/>
                <w:lang w:eastAsia="zh-CN"/>
              </w:rPr>
              <w:t>（</w:t>
            </w:r>
            <w:r>
              <w:rPr>
                <w:rFonts w:hint="eastAsia" w:cs="仿宋"/>
                <w:color w:val="auto"/>
                <w:u w:val="single"/>
              </w:rPr>
              <w:t>杭州市萧山区中医院牙科电动抽吸系统采购项目</w:t>
            </w:r>
            <w:r>
              <w:rPr>
                <w:rFonts w:hint="eastAsia" w:cs="仿宋"/>
                <w:color w:val="auto"/>
                <w:u w:val="single"/>
                <w:lang w:eastAsia="zh-CN"/>
              </w:rPr>
              <w:t>）</w:t>
            </w:r>
            <w:r>
              <w:rPr>
                <w:rFonts w:hint="eastAsia" w:cs="仿宋"/>
                <w:color w:val="auto"/>
                <w:u w:val="none"/>
              </w:rPr>
              <w:t>交易</w:t>
            </w:r>
            <w:r>
              <w:rPr>
                <w:rFonts w:hint="eastAsia" w:cs="仿宋"/>
                <w:color w:val="auto"/>
              </w:rPr>
              <w:t>项目的潜在供应商应在</w:t>
            </w:r>
            <w:r>
              <w:rPr>
                <w:rFonts w:hint="eastAsia" w:cs="仿宋"/>
                <w:color w:val="auto"/>
                <w:lang w:eastAsia="zh-CN"/>
              </w:rPr>
              <w:t>乐采云平台</w:t>
            </w:r>
            <w:r>
              <w:rPr>
                <w:rFonts w:hint="eastAsia" w:cs="仿宋"/>
                <w:color w:val="auto"/>
              </w:rPr>
              <w:t>（</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37"/>
                <w:rFonts w:hint="eastAsia" w:cs="仿宋"/>
                <w:color w:val="auto"/>
                <w:kern w:val="2"/>
                <w:sz w:val="24"/>
                <w:szCs w:val="24"/>
                <w:lang w:eastAsia="zh-CN"/>
              </w:rPr>
              <w:t>www.lecaiyun.com</w:t>
            </w:r>
            <w:r>
              <w:rPr>
                <w:rStyle w:val="37"/>
                <w:rFonts w:hint="eastAsia" w:ascii="仿宋" w:hAnsi="仿宋" w:eastAsia="仿宋" w:cs="仿宋"/>
                <w:color w:val="auto"/>
                <w:kern w:val="2"/>
                <w:sz w:val="24"/>
                <w:szCs w:val="24"/>
              </w:rPr>
              <w:t>）获取（下载）交易文件，并于</w:t>
            </w:r>
            <w:r>
              <w:rPr>
                <w:rFonts w:hint="eastAsia" w:cs="仿宋"/>
                <w:color w:val="auto"/>
                <w:u w:val="single"/>
              </w:rPr>
              <w:t>202</w:t>
            </w:r>
            <w:r>
              <w:rPr>
                <w:rFonts w:hint="eastAsia" w:cs="仿宋"/>
                <w:color w:val="auto"/>
                <w:u w:val="single"/>
                <w:lang w:val="en-US" w:eastAsia="zh-CN"/>
              </w:rPr>
              <w:t>5</w:t>
            </w:r>
            <w:r>
              <w:rPr>
                <w:rFonts w:hint="eastAsia" w:cs="仿宋"/>
                <w:color w:val="auto"/>
                <w:u w:val="single"/>
              </w:rPr>
              <w:t>年</w:t>
            </w:r>
            <w:r>
              <w:rPr>
                <w:rFonts w:hint="eastAsia" w:cs="仿宋"/>
                <w:color w:val="auto"/>
                <w:u w:val="single"/>
                <w:lang w:val="en-US" w:eastAsia="zh-CN"/>
              </w:rPr>
              <w:t>01</w:t>
            </w:r>
            <w:r>
              <w:rPr>
                <w:rFonts w:hint="eastAsia" w:cs="仿宋"/>
                <w:color w:val="auto"/>
                <w:u w:val="single"/>
              </w:rPr>
              <w:t>月</w:t>
            </w:r>
            <w:r>
              <w:rPr>
                <w:rFonts w:hint="eastAsia" w:cs="仿宋"/>
                <w:color w:val="auto"/>
                <w:u w:val="single"/>
                <w:lang w:val="en-US" w:eastAsia="zh-CN"/>
              </w:rPr>
              <w:t>10</w:t>
            </w:r>
            <w:r>
              <w:rPr>
                <w:rFonts w:hint="eastAsia" w:cs="仿宋"/>
                <w:color w:val="auto"/>
                <w:u w:val="single"/>
              </w:rPr>
              <w:t>日</w:t>
            </w:r>
            <w:r>
              <w:rPr>
                <w:rFonts w:hint="eastAsia" w:cs="仿宋"/>
                <w:color w:val="auto"/>
                <w:u w:val="single"/>
                <w:lang w:val="en-US" w:eastAsia="zh-CN"/>
              </w:rPr>
              <w:t>14</w:t>
            </w:r>
            <w:r>
              <w:rPr>
                <w:rFonts w:hint="eastAsia" w:cs="仿宋"/>
                <w:color w:val="auto"/>
                <w:u w:val="single"/>
              </w:rPr>
              <w:t>点</w:t>
            </w:r>
            <w:r>
              <w:rPr>
                <w:rFonts w:hint="eastAsia" w:cs="仿宋"/>
                <w:color w:val="auto"/>
                <w:u w:val="single"/>
                <w:lang w:val="en-US" w:eastAsia="zh-CN"/>
              </w:rPr>
              <w:t>00</w:t>
            </w:r>
            <w:r>
              <w:rPr>
                <w:rFonts w:hint="eastAsia" w:cs="仿宋"/>
                <w:color w:val="auto"/>
                <w:u w:val="single"/>
              </w:rPr>
              <w:t>分</w:t>
            </w:r>
            <w:r>
              <w:rPr>
                <w:rFonts w:hint="eastAsia" w:cs="仿宋"/>
                <w:bCs/>
                <w:color w:val="auto"/>
                <w:u w:val="single"/>
              </w:rPr>
              <w:t>00秒</w:t>
            </w:r>
            <w:r>
              <w:rPr>
                <w:rFonts w:hint="eastAsia" w:cs="仿宋"/>
                <w:bCs/>
                <w:color w:val="auto"/>
                <w:u w:val="single"/>
              </w:rPr>
              <w:fldChar w:fldCharType="end"/>
            </w:r>
            <w:r>
              <w:rPr>
                <w:rFonts w:hint="eastAsia" w:cs="仿宋"/>
                <w:bCs/>
                <w:color w:val="auto"/>
              </w:rPr>
              <w:t>（北京时间）前</w:t>
            </w:r>
            <w:r>
              <w:rPr>
                <w:rFonts w:hint="eastAsia" w:cs="仿宋"/>
                <w:color w:val="auto"/>
              </w:rPr>
              <w:t>递交（上传）响应文件。</w:t>
            </w:r>
          </w:p>
        </w:tc>
      </w:tr>
    </w:tbl>
    <w:p w14:paraId="05216AF0">
      <w:pPr>
        <w:snapToGrid w:val="0"/>
        <w:spacing w:after="0" w:line="360" w:lineRule="auto"/>
        <w:rPr>
          <w:rFonts w:cs="仿宋"/>
          <w:b/>
          <w:color w:val="auto"/>
        </w:rPr>
      </w:pPr>
      <w:r>
        <w:rPr>
          <w:rFonts w:hint="eastAsia" w:cs="仿宋"/>
          <w:b/>
          <w:color w:val="auto"/>
        </w:rPr>
        <w:t xml:space="preserve">一、项目基本情况                                            </w:t>
      </w:r>
    </w:p>
    <w:p w14:paraId="34E0A39B">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eastAsia="仿宋" w:cs="仿宋"/>
          <w:color w:val="auto"/>
          <w:highlight w:val="none"/>
          <w:lang w:val="en-US" w:eastAsia="zh-CN"/>
        </w:rPr>
      </w:pPr>
      <w:r>
        <w:rPr>
          <w:rFonts w:hint="eastAsia" w:cs="仿宋"/>
          <w:color w:val="auto"/>
          <w:highlight w:val="none"/>
        </w:rPr>
        <w:t>项目编号：ZFZX2024-CG13</w:t>
      </w:r>
      <w:r>
        <w:rPr>
          <w:rFonts w:hint="eastAsia" w:cs="仿宋"/>
          <w:color w:val="auto"/>
          <w:highlight w:val="none"/>
          <w:lang w:val="en-US" w:eastAsia="zh-CN"/>
        </w:rPr>
        <w:t>0</w:t>
      </w:r>
    </w:p>
    <w:p w14:paraId="4812FC43">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eastAsia="仿宋" w:cs="仿宋"/>
          <w:color w:val="auto"/>
          <w:lang w:eastAsia="zh-CN"/>
        </w:rPr>
      </w:pPr>
      <w:r>
        <w:rPr>
          <w:rFonts w:hint="eastAsia" w:cs="仿宋"/>
          <w:color w:val="auto"/>
        </w:rPr>
        <w:t>项目名称：</w:t>
      </w:r>
      <w:r>
        <w:rPr>
          <w:rFonts w:hint="eastAsia" w:cs="仿宋"/>
          <w:color w:val="auto"/>
          <w:lang w:eastAsia="zh-CN"/>
        </w:rPr>
        <w:t>杭州市萧山区中医院牙科电动抽吸系统采购项目</w:t>
      </w:r>
    </w:p>
    <w:p w14:paraId="6BDF805D">
      <w:pPr>
        <w:keepNext w:val="0"/>
        <w:keepLines w:val="0"/>
        <w:pageBreakBefore w:val="0"/>
        <w:widowControl/>
        <w:kinsoku/>
        <w:wordWrap/>
        <w:overflowPunct/>
        <w:topLinePunct w:val="0"/>
        <w:autoSpaceDE/>
        <w:autoSpaceDN/>
        <w:bidi w:val="0"/>
        <w:adjustRightInd/>
        <w:spacing w:after="0" w:line="336" w:lineRule="auto"/>
        <w:textAlignment w:val="auto"/>
        <w:rPr>
          <w:rFonts w:hint="default" w:eastAsia="仿宋"/>
          <w:b/>
          <w:bCs/>
          <w:color w:val="auto"/>
          <w:highlight w:val="none"/>
          <w:lang w:val="en-US" w:eastAsia="zh-CN"/>
        </w:rPr>
      </w:pPr>
      <w:r>
        <w:rPr>
          <w:b/>
          <w:bCs/>
          <w:color w:val="auto"/>
          <w:highlight w:val="none"/>
        </w:rPr>
        <w:t>预算金额（元）：</w:t>
      </w:r>
      <w:r>
        <w:rPr>
          <w:rFonts w:hint="eastAsia"/>
          <w:b/>
          <w:bCs/>
          <w:color w:val="auto"/>
          <w:highlight w:val="none"/>
          <w:lang w:val="en-US" w:eastAsia="zh-CN"/>
        </w:rPr>
        <w:t>250000.00</w:t>
      </w:r>
    </w:p>
    <w:p w14:paraId="3C69E391">
      <w:pPr>
        <w:keepNext w:val="0"/>
        <w:keepLines w:val="0"/>
        <w:pageBreakBefore w:val="0"/>
        <w:widowControl/>
        <w:kinsoku/>
        <w:wordWrap/>
        <w:overflowPunct/>
        <w:topLinePunct w:val="0"/>
        <w:autoSpaceDE/>
        <w:autoSpaceDN/>
        <w:bidi w:val="0"/>
        <w:adjustRightInd/>
        <w:spacing w:after="0" w:line="336" w:lineRule="auto"/>
        <w:textAlignment w:val="auto"/>
        <w:rPr>
          <w:b/>
          <w:bCs/>
          <w:color w:val="auto"/>
          <w:highlight w:val="none"/>
        </w:rPr>
      </w:pPr>
      <w:r>
        <w:rPr>
          <w:rFonts w:hint="eastAsia"/>
          <w:b/>
          <w:bCs/>
          <w:color w:val="auto"/>
          <w:highlight w:val="none"/>
        </w:rPr>
        <w:t>最高限价（元）：</w:t>
      </w:r>
      <w:r>
        <w:rPr>
          <w:rFonts w:hint="eastAsia"/>
          <w:b/>
          <w:bCs/>
          <w:color w:val="auto"/>
          <w:highlight w:val="none"/>
          <w:lang w:val="en-US" w:eastAsia="zh-CN"/>
        </w:rPr>
        <w:t>250000.00</w:t>
      </w:r>
    </w:p>
    <w:p w14:paraId="1BD38E9C">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采购需求：</w:t>
      </w:r>
      <w:r>
        <w:rPr>
          <w:rFonts w:hint="eastAsia" w:cs="仿宋"/>
          <w:color w:val="auto"/>
          <w:highlight w:val="none"/>
        </w:rPr>
        <w:t>主要内容为</w:t>
      </w:r>
      <w:r>
        <w:rPr>
          <w:rFonts w:hint="eastAsia" w:cs="仿宋"/>
          <w:color w:val="auto"/>
          <w:lang w:eastAsia="zh-CN"/>
        </w:rPr>
        <w:t>牙科电动抽吸系统采购</w:t>
      </w:r>
      <w:r>
        <w:rPr>
          <w:rFonts w:hint="eastAsia" w:cs="仿宋"/>
          <w:color w:val="auto"/>
          <w:highlight w:val="none"/>
        </w:rPr>
        <w:t>,</w:t>
      </w:r>
      <w:r>
        <w:rPr>
          <w:rFonts w:hint="eastAsia" w:cs="仿宋"/>
          <w:color w:val="auto"/>
        </w:rPr>
        <w:t>详见交易文件第三部分采购需求。</w:t>
      </w:r>
    </w:p>
    <w:p w14:paraId="5140667D">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合同履约期限：详见第三部分采购需求。</w:t>
      </w:r>
    </w:p>
    <w:p w14:paraId="3E164735">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本项目</w:t>
      </w:r>
      <w:r>
        <w:rPr>
          <w:rFonts w:hint="eastAsia" w:cs="仿宋"/>
          <w:color w:val="auto"/>
          <w:highlight w:val="none"/>
          <w:lang w:val="en-US" w:eastAsia="zh-CN"/>
        </w:rPr>
        <w:t>是否</w:t>
      </w:r>
      <w:r>
        <w:rPr>
          <w:rFonts w:hint="eastAsia" w:ascii="仿宋" w:hAnsi="仿宋" w:eastAsia="仿宋" w:cs="仿宋"/>
          <w:color w:val="auto"/>
          <w:highlight w:val="none"/>
        </w:rPr>
        <w:t>接受联合体</w:t>
      </w:r>
      <w:r>
        <w:rPr>
          <w:rFonts w:hint="eastAsia" w:cs="仿宋"/>
          <w:color w:val="auto"/>
          <w:highlight w:val="none"/>
          <w:lang w:val="en-US" w:eastAsia="zh-CN"/>
        </w:rPr>
        <w:t>响应</w:t>
      </w:r>
      <w:r>
        <w:rPr>
          <w:rFonts w:hint="eastAsia" w:ascii="仿宋" w:hAnsi="仿宋" w:eastAsia="仿宋" w:cs="仿宋"/>
          <w:color w:val="auto"/>
          <w:highlight w:val="none"/>
        </w:rPr>
        <w:t>：（</w:t>
      </w:r>
      <w:r>
        <w:rPr>
          <w:rFonts w:hint="eastAsia" w:cs="仿宋"/>
          <w:color w:val="auto"/>
          <w:highlight w:val="none"/>
          <w:lang w:val="en-US" w:eastAsia="zh-CN"/>
        </w:rPr>
        <w:t xml:space="preserve">  </w:t>
      </w:r>
      <w:r>
        <w:rPr>
          <w:rFonts w:hint="eastAsia" w:ascii="仿宋" w:hAnsi="仿宋" w:eastAsia="仿宋" w:cs="仿宋"/>
          <w:color w:val="auto"/>
          <w:highlight w:val="none"/>
        </w:rPr>
        <w:t>）是；（√）否</w:t>
      </w:r>
    </w:p>
    <w:p w14:paraId="3E497AB7">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b w:val="0"/>
          <w:bCs/>
          <w:color w:val="auto"/>
          <w:highlight w:val="none"/>
        </w:rPr>
      </w:pPr>
      <w:r>
        <w:rPr>
          <w:rFonts w:hint="eastAsia" w:cs="仿宋"/>
          <w:b w:val="0"/>
          <w:bCs/>
          <w:color w:val="auto"/>
          <w:highlight w:val="none"/>
        </w:rPr>
        <w:t>二、申请人的资格要求：</w:t>
      </w:r>
    </w:p>
    <w:p w14:paraId="219192D5">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 xml:space="preserve">1、具有独立承担民事责任的能力； </w:t>
      </w:r>
    </w:p>
    <w:p w14:paraId="113E452C">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 xml:space="preserve">2、具有良好的商业信誉和健全的财务会计制度； </w:t>
      </w:r>
    </w:p>
    <w:p w14:paraId="2022F88B">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 xml:space="preserve">3、具有履行合同所必需的设备和专业技术能力； </w:t>
      </w:r>
    </w:p>
    <w:p w14:paraId="7ECE587E">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4、有依法缴纳税收和社会保障资金的良好记录；</w:t>
      </w:r>
    </w:p>
    <w:p w14:paraId="0796B09C">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5、参加交易活动前三年内，在经营活动中没有重大违法记录；</w:t>
      </w:r>
    </w:p>
    <w:p w14:paraId="692C8257">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6、法律、行政法规规定的其他条件；</w:t>
      </w:r>
    </w:p>
    <w:p w14:paraId="6746AF1C">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color w:val="auto"/>
          <w:highlight w:val="none"/>
        </w:rPr>
      </w:pPr>
      <w:r>
        <w:rPr>
          <w:rFonts w:hint="eastAsia" w:cs="仿宋"/>
          <w:color w:val="auto"/>
        </w:rPr>
        <w:t>7、落实政府采购政策需满足的资格要求：</w:t>
      </w:r>
      <w:r>
        <w:rPr>
          <w:rFonts w:hint="eastAsia" w:ascii="仿宋" w:hAnsi="仿宋" w:eastAsia="仿宋" w:cs="仿宋"/>
          <w:color w:val="auto"/>
          <w:highlight w:val="none"/>
        </w:rPr>
        <w:t>无；</w:t>
      </w:r>
    </w:p>
    <w:p w14:paraId="19C909A0">
      <w:pPr>
        <w:spacing w:after="0" w:line="360" w:lineRule="auto"/>
        <w:rPr>
          <w:rFonts w:hint="eastAsia" w:cs="仿宋"/>
          <w:b w:val="0"/>
          <w:bCs w:val="0"/>
          <w:color w:val="auto"/>
        </w:rPr>
      </w:pPr>
      <w:r>
        <w:rPr>
          <w:rFonts w:hint="eastAsia" w:cs="仿宋"/>
          <w:b w:val="0"/>
          <w:bCs w:val="0"/>
          <w:color w:val="auto"/>
          <w:lang w:val="en-US" w:eastAsia="zh-CN"/>
        </w:rPr>
        <w:t>8、</w:t>
      </w:r>
      <w:r>
        <w:rPr>
          <w:rFonts w:hint="eastAsia" w:cs="仿宋"/>
          <w:b w:val="0"/>
          <w:bCs w:val="0"/>
          <w:color w:val="auto"/>
        </w:rPr>
        <w:t>本项目的特定资格要求：</w:t>
      </w:r>
      <w:r>
        <w:rPr>
          <w:rFonts w:hint="eastAsia" w:ascii="仿宋_GB2312" w:eastAsia="仿宋_GB2312"/>
          <w:color w:val="auto"/>
          <w:lang w:val="en-US" w:eastAsia="zh-CN"/>
        </w:rPr>
        <w:t>无</w:t>
      </w:r>
      <w:r>
        <w:rPr>
          <w:rFonts w:hint="eastAsia"/>
          <w:color w:val="auto"/>
        </w:rPr>
        <w:t>；</w:t>
      </w:r>
    </w:p>
    <w:p w14:paraId="2EBA55F7">
      <w:pPr>
        <w:keepNext w:val="0"/>
        <w:keepLines w:val="0"/>
        <w:pageBreakBefore w:val="0"/>
        <w:widowControl/>
        <w:numPr>
          <w:ilvl w:val="0"/>
          <w:numId w:val="0"/>
        </w:numPr>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9、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318A650">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b/>
          <w:color w:val="auto"/>
        </w:rPr>
      </w:pPr>
      <w:r>
        <w:rPr>
          <w:rFonts w:hint="eastAsia" w:cs="仿宋"/>
          <w:b/>
          <w:color w:val="auto"/>
        </w:rPr>
        <w:t xml:space="preserve">三、获取交易文件 </w:t>
      </w:r>
    </w:p>
    <w:p w14:paraId="4312F736">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时间：/至202</w:t>
      </w:r>
      <w:r>
        <w:rPr>
          <w:rFonts w:hint="eastAsia" w:cs="仿宋"/>
          <w:color w:val="auto"/>
          <w:lang w:val="en-US" w:eastAsia="zh-CN"/>
        </w:rPr>
        <w:t>5</w:t>
      </w:r>
      <w:r>
        <w:rPr>
          <w:rFonts w:hint="eastAsia" w:cs="仿宋"/>
          <w:color w:val="auto"/>
        </w:rPr>
        <w:t>年</w:t>
      </w:r>
      <w:r>
        <w:rPr>
          <w:rFonts w:hint="eastAsia" w:cs="仿宋"/>
          <w:color w:val="auto"/>
          <w:lang w:val="en-US" w:eastAsia="zh-CN"/>
        </w:rPr>
        <w:t>01</w:t>
      </w:r>
      <w:r>
        <w:rPr>
          <w:rFonts w:hint="eastAsia" w:cs="仿宋"/>
          <w:color w:val="auto"/>
        </w:rPr>
        <w:t>月</w:t>
      </w:r>
      <w:r>
        <w:rPr>
          <w:rFonts w:hint="eastAsia" w:cs="仿宋"/>
          <w:color w:val="auto"/>
          <w:lang w:val="en-US" w:eastAsia="zh-CN"/>
        </w:rPr>
        <w:t>10</w:t>
      </w:r>
      <w:r>
        <w:rPr>
          <w:rFonts w:hint="eastAsia" w:cs="仿宋"/>
          <w:color w:val="auto"/>
        </w:rPr>
        <w:t>日，每天上午00:00至12:00 ，下午12:00至23:59（北京时间，线上获取法定节假日均可，线下获取文件法定节假日除</w:t>
      </w:r>
      <w:bookmarkStart w:id="366" w:name="_GoBack"/>
      <w:bookmarkEnd w:id="366"/>
      <w:r>
        <w:rPr>
          <w:rFonts w:hint="eastAsia" w:cs="仿宋"/>
          <w:color w:val="auto"/>
        </w:rPr>
        <w:t>外）</w:t>
      </w:r>
    </w:p>
    <w:p w14:paraId="29A73B4B">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eastAsia="仿宋" w:cs="仿宋"/>
          <w:color w:val="auto"/>
          <w:lang w:eastAsia="zh-CN"/>
        </w:rPr>
      </w:pPr>
      <w:r>
        <w:rPr>
          <w:rFonts w:hint="eastAsia" w:cs="仿宋"/>
          <w:color w:val="auto"/>
        </w:rPr>
        <w:t>地点（网址）：</w:t>
      </w:r>
      <w:r>
        <w:rPr>
          <w:rFonts w:hint="eastAsia" w:cs="仿宋"/>
          <w:color w:val="auto"/>
          <w:lang w:eastAsia="zh-CN"/>
        </w:rPr>
        <w:t>乐采云平台（www.lecaiyun.com）</w:t>
      </w:r>
    </w:p>
    <w:p w14:paraId="04893B7C">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方式：供应商登录</w:t>
      </w:r>
      <w:r>
        <w:rPr>
          <w:rFonts w:hint="eastAsia" w:cs="仿宋"/>
          <w:color w:val="auto"/>
          <w:lang w:eastAsia="zh-CN"/>
        </w:rPr>
        <w:t>乐采云平台www.lecaiyun.com</w:t>
      </w:r>
      <w:r>
        <w:rPr>
          <w:rFonts w:hint="eastAsia" w:cs="仿宋"/>
          <w:color w:val="auto"/>
        </w:rPr>
        <w:t xml:space="preserve">在线申请获取采购文件（进入“项目采购”应用，在获取采购文件菜单中选择项目，申请获取采购文件）。 </w:t>
      </w:r>
    </w:p>
    <w:p w14:paraId="38BDD40B">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 xml:space="preserve">售价（元）：0 </w:t>
      </w:r>
      <w:r>
        <w:rPr>
          <w:rFonts w:hint="eastAsia" w:cs="仿宋"/>
          <w:color w:val="auto"/>
        </w:rPr>
        <w:tab/>
      </w:r>
    </w:p>
    <w:p w14:paraId="6858EE0A">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b/>
          <w:color w:val="auto"/>
        </w:rPr>
      </w:pPr>
      <w:r>
        <w:rPr>
          <w:rFonts w:hint="eastAsia" w:cs="仿宋"/>
          <w:b/>
          <w:color w:val="auto"/>
        </w:rPr>
        <w:t>四、提交响应文件截止时间、交易时间和地点</w:t>
      </w:r>
    </w:p>
    <w:p w14:paraId="5A572356">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提交响应文件截止时间：202</w:t>
      </w:r>
      <w:r>
        <w:rPr>
          <w:rFonts w:hint="eastAsia" w:cs="仿宋"/>
          <w:color w:val="auto"/>
          <w:lang w:val="en-US" w:eastAsia="zh-CN"/>
        </w:rPr>
        <w:t>5</w:t>
      </w:r>
      <w:r>
        <w:rPr>
          <w:rFonts w:hint="eastAsia" w:cs="仿宋"/>
          <w:color w:val="auto"/>
        </w:rPr>
        <w:t>年</w:t>
      </w:r>
      <w:r>
        <w:rPr>
          <w:rFonts w:hint="eastAsia" w:cs="仿宋"/>
          <w:color w:val="auto"/>
          <w:lang w:val="en-US" w:eastAsia="zh-CN"/>
        </w:rPr>
        <w:t>01</w:t>
      </w:r>
      <w:r>
        <w:rPr>
          <w:rFonts w:hint="eastAsia" w:cs="仿宋"/>
          <w:color w:val="auto"/>
        </w:rPr>
        <w:t>月</w:t>
      </w:r>
      <w:r>
        <w:rPr>
          <w:rFonts w:hint="eastAsia" w:cs="仿宋"/>
          <w:color w:val="auto"/>
          <w:lang w:val="en-US" w:eastAsia="zh-CN"/>
        </w:rPr>
        <w:t>10</w:t>
      </w:r>
      <w:r>
        <w:rPr>
          <w:rFonts w:hint="eastAsia" w:cs="仿宋"/>
          <w:color w:val="auto"/>
        </w:rPr>
        <w:t>日</w:t>
      </w:r>
      <w:r>
        <w:rPr>
          <w:rFonts w:hint="eastAsia" w:cs="仿宋"/>
          <w:color w:val="auto"/>
          <w:lang w:val="en-US" w:eastAsia="zh-CN"/>
        </w:rPr>
        <w:t>14</w:t>
      </w:r>
      <w:r>
        <w:rPr>
          <w:rFonts w:hint="eastAsia" w:cs="仿宋"/>
          <w:color w:val="auto"/>
        </w:rPr>
        <w:t>点</w:t>
      </w:r>
      <w:r>
        <w:rPr>
          <w:rFonts w:hint="eastAsia" w:cs="仿宋"/>
          <w:color w:val="auto"/>
          <w:lang w:val="en-US" w:eastAsia="zh-CN"/>
        </w:rPr>
        <w:t>00</w:t>
      </w:r>
      <w:r>
        <w:rPr>
          <w:rFonts w:hint="eastAsia" w:cs="仿宋"/>
          <w:color w:val="auto"/>
        </w:rPr>
        <w:t>分（北京时间）</w:t>
      </w:r>
    </w:p>
    <w:p w14:paraId="73B85494">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eastAsia="仿宋" w:cs="仿宋"/>
          <w:color w:val="auto"/>
          <w:lang w:eastAsia="zh-CN"/>
        </w:rPr>
      </w:pPr>
      <w:r>
        <w:rPr>
          <w:rFonts w:hint="eastAsia" w:cs="仿宋"/>
          <w:color w:val="auto"/>
        </w:rPr>
        <w:t>响应地点（网址）：</w:t>
      </w:r>
      <w:r>
        <w:rPr>
          <w:rFonts w:hint="eastAsia" w:cs="仿宋"/>
          <w:color w:val="auto"/>
          <w:lang w:eastAsia="zh-CN"/>
        </w:rPr>
        <w:t>乐采云平台（www.lecaiyun.com）</w:t>
      </w:r>
    </w:p>
    <w:p w14:paraId="22722C03">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交易时间：202</w:t>
      </w:r>
      <w:r>
        <w:rPr>
          <w:rFonts w:hint="eastAsia" w:cs="仿宋"/>
          <w:color w:val="auto"/>
          <w:lang w:val="en-US" w:eastAsia="zh-CN"/>
        </w:rPr>
        <w:t>5</w:t>
      </w:r>
      <w:r>
        <w:rPr>
          <w:rFonts w:hint="eastAsia" w:cs="仿宋"/>
          <w:color w:val="auto"/>
        </w:rPr>
        <w:t>年</w:t>
      </w:r>
      <w:r>
        <w:rPr>
          <w:rFonts w:hint="eastAsia" w:cs="仿宋"/>
          <w:color w:val="auto"/>
          <w:lang w:val="en-US" w:eastAsia="zh-CN"/>
        </w:rPr>
        <w:t>01</w:t>
      </w:r>
      <w:r>
        <w:rPr>
          <w:rFonts w:hint="eastAsia" w:cs="仿宋"/>
          <w:color w:val="auto"/>
        </w:rPr>
        <w:t>月</w:t>
      </w:r>
      <w:r>
        <w:rPr>
          <w:rFonts w:hint="eastAsia" w:cs="仿宋"/>
          <w:color w:val="auto"/>
          <w:lang w:val="en-US" w:eastAsia="zh-CN"/>
        </w:rPr>
        <w:t>10</w:t>
      </w:r>
      <w:r>
        <w:rPr>
          <w:rFonts w:hint="eastAsia" w:cs="仿宋"/>
          <w:color w:val="auto"/>
        </w:rPr>
        <w:t>日</w:t>
      </w:r>
      <w:r>
        <w:rPr>
          <w:rFonts w:hint="eastAsia" w:cs="仿宋"/>
          <w:color w:val="auto"/>
          <w:lang w:val="en-US" w:eastAsia="zh-CN"/>
        </w:rPr>
        <w:t>14</w:t>
      </w:r>
      <w:r>
        <w:rPr>
          <w:rFonts w:hint="eastAsia" w:cs="仿宋"/>
          <w:color w:val="auto"/>
        </w:rPr>
        <w:t>点</w:t>
      </w:r>
      <w:r>
        <w:rPr>
          <w:rFonts w:hint="eastAsia" w:cs="仿宋"/>
          <w:color w:val="auto"/>
          <w:lang w:val="en-US" w:eastAsia="zh-CN"/>
        </w:rPr>
        <w:t>00</w:t>
      </w:r>
      <w:r>
        <w:rPr>
          <w:rFonts w:hint="eastAsia" w:cs="仿宋"/>
          <w:color w:val="auto"/>
        </w:rPr>
        <w:t xml:space="preserve">分（北京时间） </w:t>
      </w:r>
    </w:p>
    <w:p w14:paraId="33E03DD4">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交易地点（网址）：</w:t>
      </w:r>
      <w:r>
        <w:rPr>
          <w:rFonts w:hint="eastAsia" w:cs="仿宋"/>
          <w:color w:val="auto"/>
          <w:lang w:eastAsia="zh-CN"/>
        </w:rPr>
        <w:t>乐采云平台</w:t>
      </w:r>
      <w:r>
        <w:rPr>
          <w:rFonts w:hint="eastAsia" w:cs="仿宋"/>
          <w:color w:val="auto"/>
        </w:rPr>
        <w:t>（</w:t>
      </w:r>
      <w:r>
        <w:rPr>
          <w:rFonts w:hint="eastAsia" w:cs="仿宋"/>
          <w:color w:val="auto"/>
          <w:lang w:eastAsia="zh-CN"/>
        </w:rPr>
        <w:t>www.lecaiyun.com</w:t>
      </w:r>
      <w:r>
        <w:rPr>
          <w:rFonts w:hint="eastAsia" w:cs="仿宋"/>
          <w:color w:val="auto"/>
        </w:rPr>
        <w:t>）</w:t>
      </w:r>
    </w:p>
    <w:p w14:paraId="35E8683D">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b/>
          <w:color w:val="auto"/>
        </w:rPr>
      </w:pPr>
      <w:r>
        <w:rPr>
          <w:rFonts w:hint="eastAsia" w:cs="仿宋"/>
          <w:b/>
          <w:color w:val="auto"/>
        </w:rPr>
        <w:t xml:space="preserve">五、公告期限 </w:t>
      </w:r>
    </w:p>
    <w:p w14:paraId="48DF7342">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自本公告发布之日起5个工作日。</w:t>
      </w:r>
    </w:p>
    <w:p w14:paraId="3D26A1D5">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b/>
          <w:color w:val="auto"/>
        </w:rPr>
      </w:pPr>
      <w:r>
        <w:rPr>
          <w:rFonts w:hint="eastAsia" w:cs="仿宋"/>
          <w:b/>
          <w:color w:val="auto"/>
        </w:rPr>
        <w:t>六、其他补充事宜</w:t>
      </w:r>
    </w:p>
    <w:p w14:paraId="77BF724B">
      <w:pPr>
        <w:keepNext w:val="0"/>
        <w:keepLines w:val="0"/>
        <w:pageBreakBefore w:val="0"/>
        <w:widowControl/>
        <w:kinsoku/>
        <w:wordWrap/>
        <w:overflowPunct/>
        <w:topLinePunct w:val="0"/>
        <w:autoSpaceDE/>
        <w:autoSpaceDN/>
        <w:bidi w:val="0"/>
        <w:adjustRightInd/>
        <w:spacing w:after="0" w:line="336" w:lineRule="auto"/>
        <w:textAlignment w:val="auto"/>
        <w:rPr>
          <w:rFonts w:cs="仿宋"/>
          <w:color w:val="auto"/>
        </w:rPr>
      </w:pPr>
      <w:r>
        <w:rPr>
          <w:rFonts w:hint="eastAsia" w:cs="仿宋"/>
          <w:color w:val="auto"/>
        </w:rPr>
        <w:t>1.供应商认为交易文件使自己的权益受到损害的，可以自获取交易文件之日或者交易文件公告期限届满之日（公告期限届满后获取交易文件的，以公告期限届满之日为准）起</w:t>
      </w:r>
      <w:r>
        <w:rPr>
          <w:rFonts w:hint="eastAsia" w:cs="仿宋"/>
          <w:color w:val="auto"/>
          <w:lang w:val="en-US" w:eastAsia="zh-CN"/>
        </w:rPr>
        <w:t>5</w:t>
      </w:r>
      <w:r>
        <w:rPr>
          <w:rFonts w:hint="eastAsia" w:cs="仿宋"/>
          <w:color w:val="auto"/>
        </w:rPr>
        <w:t>日内，以书面形式向</w:t>
      </w:r>
      <w:r>
        <w:rPr>
          <w:rFonts w:hint="eastAsia" w:cs="仿宋"/>
          <w:color w:val="auto"/>
          <w:lang w:eastAsia="zh-CN"/>
        </w:rPr>
        <w:t>交易发起人</w:t>
      </w:r>
      <w:r>
        <w:rPr>
          <w:rFonts w:hint="eastAsia" w:cs="仿宋"/>
          <w:color w:val="auto"/>
        </w:rPr>
        <w:t>和采购代理机构提出质疑。质疑供应商对</w:t>
      </w:r>
      <w:r>
        <w:rPr>
          <w:rFonts w:hint="eastAsia" w:cs="仿宋"/>
          <w:color w:val="auto"/>
          <w:lang w:eastAsia="zh-CN"/>
        </w:rPr>
        <w:t>交易发起人</w:t>
      </w:r>
      <w:r>
        <w:rPr>
          <w:rFonts w:hint="eastAsia" w:cs="仿宋"/>
          <w:color w:val="auto"/>
        </w:rPr>
        <w:t>、采购代理机构的答复不满意或者</w:t>
      </w:r>
      <w:r>
        <w:rPr>
          <w:rFonts w:hint="eastAsia" w:cs="仿宋"/>
          <w:color w:val="auto"/>
          <w:lang w:eastAsia="zh-CN"/>
        </w:rPr>
        <w:t>交易发起人</w:t>
      </w:r>
      <w:r>
        <w:rPr>
          <w:rFonts w:hint="eastAsia" w:cs="仿宋"/>
          <w:color w:val="auto"/>
        </w:rPr>
        <w:t>、采购代理机构未在规定的时间内作出答复的，可以在答复期满后十五个工作日内向同级采购监督管理部门投诉。质疑函范本、投诉书范本请到浙江政府采购网下载专区下载。</w:t>
      </w:r>
    </w:p>
    <w:p w14:paraId="3A98CD47">
      <w:pPr>
        <w:keepNext w:val="0"/>
        <w:keepLines w:val="0"/>
        <w:pageBreakBefore w:val="0"/>
        <w:widowControl/>
        <w:kinsoku/>
        <w:wordWrap/>
        <w:overflowPunct/>
        <w:topLinePunct w:val="0"/>
        <w:autoSpaceDE/>
        <w:autoSpaceDN/>
        <w:bidi w:val="0"/>
        <w:adjustRightInd/>
        <w:spacing w:after="0" w:line="336" w:lineRule="auto"/>
        <w:textAlignment w:val="auto"/>
        <w:rPr>
          <w:rFonts w:cs="仿宋"/>
          <w:color w:val="auto"/>
        </w:rPr>
      </w:pPr>
      <w:r>
        <w:rPr>
          <w:rFonts w:hint="eastAsia" w:cs="仿宋"/>
          <w:color w:val="auto"/>
        </w:rPr>
        <w:t>2.其他事项：（1）需要落实的政府采购政策：包括节约资源、保护环境、支持创新、促进中小企业发展等。详见交易文件的第二部分总则。（2）电子交易（招投标）的说明：①电子交易：本项目以数据电文形式，依托“政府采购云平台（www.zcygov.cn）”进行交易活动，不接受纸质响应文件；②响应准备：注册账号--点击“商家入驻”，进行政府采购供应商资料填写；申领CA数字证书---申领流程详见“浙江政府采购网-下载专区-电子交易客户端-CA驱动和申领流程”；安装“</w:t>
      </w:r>
      <w:r>
        <w:rPr>
          <w:rFonts w:hint="eastAsia" w:cs="仿宋"/>
          <w:color w:val="auto"/>
          <w:lang w:eastAsia="zh-CN"/>
        </w:rPr>
        <w:t>萧采云</w:t>
      </w:r>
      <w:r>
        <w:rPr>
          <w:rFonts w:hint="eastAsia" w:cs="仿宋"/>
          <w:color w:val="auto"/>
        </w:rPr>
        <w:t>电子交易客户端”----前往“浙江政府采购网-下载专区-电子交易客户端”进行下载并安装；③交易文件的获取：使用账号登录或者使用CA登录</w:t>
      </w:r>
      <w:r>
        <w:rPr>
          <w:rFonts w:hint="eastAsia" w:cs="仿宋"/>
          <w:color w:val="auto"/>
          <w:lang w:eastAsia="zh-CN"/>
        </w:rPr>
        <w:t>乐采云平台</w:t>
      </w:r>
      <w:r>
        <w:rPr>
          <w:rFonts w:hint="eastAsia" w:cs="仿宋"/>
          <w:color w:val="auto"/>
        </w:rPr>
        <w:t>；进入“项目采购”应用，在获取采购文件菜单中选择项目，获取交易文件；④响应文件的制作：在“</w:t>
      </w:r>
      <w:r>
        <w:rPr>
          <w:rFonts w:hint="eastAsia" w:cs="仿宋"/>
          <w:color w:val="auto"/>
          <w:lang w:eastAsia="zh-CN"/>
        </w:rPr>
        <w:t>萧采云</w:t>
      </w:r>
      <w:r>
        <w:rPr>
          <w:rFonts w:hint="eastAsia" w:cs="仿宋"/>
          <w:color w:val="auto"/>
        </w:rPr>
        <w:t>电子交易客户端”中完成“填写基本信息”、“导入响应文件”、“标书关联”、“标书检查”、“电子签名”、“生成电子标书”等操作；⑤</w:t>
      </w:r>
      <w:r>
        <w:rPr>
          <w:rFonts w:hint="eastAsia" w:cs="仿宋"/>
          <w:color w:val="auto"/>
          <w:lang w:eastAsia="zh-CN"/>
        </w:rPr>
        <w:t>交易发起人</w:t>
      </w:r>
      <w:r>
        <w:rPr>
          <w:rFonts w:hint="eastAsia" w:cs="仿宋"/>
          <w:color w:val="auto"/>
        </w:rPr>
        <w:t>、采购机构将依托</w:t>
      </w:r>
      <w:r>
        <w:rPr>
          <w:rFonts w:hint="eastAsia" w:cs="仿宋"/>
          <w:color w:val="auto"/>
          <w:lang w:eastAsia="zh-CN"/>
        </w:rPr>
        <w:t>乐采云平台</w:t>
      </w:r>
      <w:r>
        <w:rPr>
          <w:rFonts w:hint="eastAsia" w:cs="仿宋"/>
          <w:color w:val="auto"/>
        </w:rPr>
        <w:t>完成本项目的电子交易活动，平台不接受未按上述方式获取交易文件的供应商进行交易活动； ⑥对未按上述方式获取交易文件的供应商对该文件提出的质疑，</w:t>
      </w:r>
      <w:r>
        <w:rPr>
          <w:rFonts w:hint="eastAsia" w:cs="仿宋"/>
          <w:color w:val="auto"/>
          <w:lang w:eastAsia="zh-CN"/>
        </w:rPr>
        <w:t>交易发起人</w:t>
      </w:r>
      <w:r>
        <w:rPr>
          <w:rFonts w:hint="eastAsia" w:cs="仿宋"/>
          <w:color w:val="auto"/>
        </w:rPr>
        <w:t>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无效；⑩具体操作指南：详见</w:t>
      </w:r>
      <w:r>
        <w:rPr>
          <w:rFonts w:hint="eastAsia" w:cs="仿宋"/>
          <w:color w:val="auto"/>
          <w:lang w:eastAsia="zh-CN"/>
        </w:rPr>
        <w:t>乐采云平台</w:t>
      </w:r>
      <w:r>
        <w:rPr>
          <w:rFonts w:hint="eastAsia" w:cs="仿宋"/>
          <w:color w:val="auto"/>
        </w:rPr>
        <w:t>“服务中心-帮助文档-项目采购-操作流程-电子招投标-政府采购项目电子交易管理操作指南-供应商”。</w:t>
      </w:r>
    </w:p>
    <w:p w14:paraId="3F2D563B">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b/>
          <w:color w:val="auto"/>
        </w:rPr>
      </w:pPr>
      <w:r>
        <w:rPr>
          <w:rFonts w:hint="eastAsia" w:cs="仿宋"/>
          <w:b/>
          <w:color w:val="auto"/>
        </w:rPr>
        <w:t>七、对本次采购提出询问、质疑、投诉，请按以下方式联系</w:t>
      </w:r>
    </w:p>
    <w:p w14:paraId="2D144911">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cs="仿宋"/>
          <w:color w:val="auto"/>
        </w:rPr>
      </w:pPr>
      <w:r>
        <w:rPr>
          <w:rFonts w:hint="eastAsia" w:cs="仿宋"/>
          <w:color w:val="auto"/>
        </w:rPr>
        <w:t>1.采购人信息</w:t>
      </w:r>
    </w:p>
    <w:p w14:paraId="34E42A4E">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cs="仿宋"/>
          <w:color w:val="auto"/>
        </w:rPr>
      </w:pPr>
      <w:r>
        <w:rPr>
          <w:rFonts w:hint="eastAsia" w:cs="仿宋"/>
          <w:color w:val="auto"/>
        </w:rPr>
        <w:t>名 称：杭州市萧山区中医院</w:t>
      </w:r>
    </w:p>
    <w:p w14:paraId="39B3E67A">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cs="仿宋"/>
          <w:color w:val="auto"/>
        </w:rPr>
      </w:pPr>
      <w:r>
        <w:rPr>
          <w:rFonts w:hint="eastAsia" w:cs="仿宋"/>
          <w:color w:val="auto"/>
        </w:rPr>
        <w:t>地址：杭州市萧山区育才路156号</w:t>
      </w:r>
    </w:p>
    <w:p w14:paraId="1B6ED784">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cs="仿宋"/>
          <w:color w:val="auto"/>
        </w:rPr>
      </w:pPr>
      <w:r>
        <w:rPr>
          <w:rFonts w:hint="eastAsia" w:cs="仿宋"/>
          <w:color w:val="auto"/>
        </w:rPr>
        <w:t>传真：/</w:t>
      </w:r>
    </w:p>
    <w:p w14:paraId="41E539FC">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eastAsia="仿宋" w:cs="仿宋"/>
          <w:color w:val="auto"/>
          <w:lang w:val="en-US" w:eastAsia="zh-CN"/>
        </w:rPr>
      </w:pPr>
      <w:r>
        <w:rPr>
          <w:rFonts w:hint="eastAsia" w:cs="仿宋"/>
          <w:color w:val="auto"/>
        </w:rPr>
        <w:t>项目联系人（询问）：</w:t>
      </w:r>
      <w:r>
        <w:rPr>
          <w:rFonts w:hint="eastAsia" w:hAnsi="宋体" w:cs="宋体"/>
          <w:color w:val="auto"/>
        </w:rPr>
        <w:t>徐亦生</w:t>
      </w:r>
    </w:p>
    <w:p w14:paraId="6B18980F">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cs="仿宋"/>
          <w:color w:val="auto"/>
        </w:rPr>
      </w:pPr>
      <w:r>
        <w:rPr>
          <w:rFonts w:hint="eastAsia" w:cs="仿宋"/>
          <w:color w:val="auto"/>
        </w:rPr>
        <w:t>项目联系方式（询问）：</w:t>
      </w:r>
      <w:r>
        <w:rPr>
          <w:rFonts w:hint="eastAsia" w:hAnsi="宋体" w:cs="宋体"/>
          <w:color w:val="auto"/>
          <w:lang w:bidi="zh-CN"/>
        </w:rPr>
        <w:t>0571-</w:t>
      </w:r>
      <w:r>
        <w:rPr>
          <w:rFonts w:hAnsi="宋体" w:cs="宋体"/>
          <w:color w:val="auto"/>
          <w:lang w:bidi="zh-CN"/>
        </w:rPr>
        <w:t>83812050</w:t>
      </w:r>
    </w:p>
    <w:p w14:paraId="696BC756">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cs="仿宋"/>
          <w:color w:val="auto"/>
        </w:rPr>
      </w:pPr>
      <w:r>
        <w:rPr>
          <w:rFonts w:hint="eastAsia" w:cs="仿宋"/>
          <w:color w:val="auto"/>
        </w:rPr>
        <w:t>质疑联系人：</w:t>
      </w:r>
      <w:r>
        <w:rPr>
          <w:rFonts w:hint="eastAsia" w:ascii="仿宋" w:hAnsi="仿宋" w:eastAsia="仿宋" w:cs="仿宋"/>
          <w:color w:val="auto"/>
          <w:sz w:val="24"/>
          <w:highlight w:val="none"/>
        </w:rPr>
        <w:t>黄坚钢</w:t>
      </w:r>
    </w:p>
    <w:p w14:paraId="49DF3EC4">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cs="仿宋"/>
          <w:color w:val="auto"/>
        </w:rPr>
      </w:pPr>
      <w:r>
        <w:rPr>
          <w:rFonts w:hint="eastAsia" w:cs="仿宋"/>
          <w:color w:val="auto"/>
        </w:rPr>
        <w:t>质疑联系方式：</w:t>
      </w:r>
      <w:r>
        <w:rPr>
          <w:rFonts w:hint="eastAsia" w:ascii="仿宋" w:hAnsi="仿宋" w:eastAsia="仿宋" w:cs="仿宋"/>
          <w:color w:val="auto"/>
          <w:sz w:val="24"/>
          <w:highlight w:val="none"/>
        </w:rPr>
        <w:t>15372091802</w:t>
      </w:r>
    </w:p>
    <w:p w14:paraId="3990020F">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cs="仿宋"/>
          <w:color w:val="auto"/>
        </w:rPr>
      </w:pPr>
      <w:r>
        <w:rPr>
          <w:rFonts w:hint="eastAsia" w:cs="仿宋"/>
          <w:color w:val="auto"/>
        </w:rPr>
        <w:t>2.采购代理机构信息</w:t>
      </w:r>
    </w:p>
    <w:p w14:paraId="48BD7FF8">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cs="仿宋"/>
          <w:color w:val="auto"/>
        </w:rPr>
      </w:pPr>
      <w:r>
        <w:rPr>
          <w:rFonts w:hint="eastAsia" w:cs="仿宋"/>
          <w:color w:val="auto"/>
        </w:rPr>
        <w:t>名称：浙江省房地产管理咨询有限公司</w:t>
      </w:r>
    </w:p>
    <w:p w14:paraId="7EAF9D83">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cs="仿宋"/>
          <w:color w:val="auto"/>
        </w:rPr>
      </w:pPr>
      <w:r>
        <w:rPr>
          <w:rFonts w:hint="eastAsia" w:cs="仿宋"/>
          <w:color w:val="auto"/>
        </w:rPr>
        <w:t>地址：萧山区蜀山街道柳桥南和城4幢1单元1003室</w:t>
      </w:r>
    </w:p>
    <w:p w14:paraId="10F3FC0B">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cs="仿宋"/>
          <w:color w:val="auto"/>
        </w:rPr>
      </w:pPr>
      <w:r>
        <w:rPr>
          <w:rFonts w:hint="eastAsia" w:cs="仿宋"/>
          <w:color w:val="auto"/>
        </w:rPr>
        <w:t>传真：/</w:t>
      </w:r>
    </w:p>
    <w:p w14:paraId="34A400AE">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cs="仿宋"/>
          <w:color w:val="auto"/>
        </w:rPr>
      </w:pPr>
      <w:r>
        <w:rPr>
          <w:rFonts w:hint="eastAsia" w:cs="仿宋"/>
          <w:color w:val="auto"/>
        </w:rPr>
        <w:t>项目联系人（询问）：巫铭</w:t>
      </w:r>
    </w:p>
    <w:p w14:paraId="75E21AF2">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cs="仿宋"/>
          <w:color w:val="auto"/>
        </w:rPr>
      </w:pPr>
      <w:r>
        <w:rPr>
          <w:rFonts w:hint="eastAsia" w:cs="仿宋"/>
          <w:color w:val="auto"/>
        </w:rPr>
        <w:t>项目联系方式（询问）：17316915702</w:t>
      </w:r>
    </w:p>
    <w:p w14:paraId="4790BADC">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cs="仿宋"/>
          <w:color w:val="auto"/>
        </w:rPr>
      </w:pPr>
      <w:r>
        <w:rPr>
          <w:rFonts w:hint="eastAsia" w:cs="仿宋"/>
          <w:color w:val="auto"/>
        </w:rPr>
        <w:t>质疑联系人：田岳</w:t>
      </w:r>
    </w:p>
    <w:p w14:paraId="5A1CC8D0">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质疑联系方式：0571-83731873</w:t>
      </w:r>
    </w:p>
    <w:p w14:paraId="2713261E">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若对项目采购电子交易系统操作有疑问，可登录</w:t>
      </w:r>
      <w:r>
        <w:rPr>
          <w:rFonts w:hint="eastAsia" w:cs="仿宋"/>
          <w:color w:val="auto"/>
          <w:lang w:eastAsia="zh-CN"/>
        </w:rPr>
        <w:t>萧采云</w:t>
      </w:r>
      <w:r>
        <w:rPr>
          <w:rFonts w:hint="eastAsia" w:cs="仿宋"/>
          <w:color w:val="auto"/>
        </w:rPr>
        <w:t>（</w:t>
      </w:r>
      <w:r>
        <w:rPr>
          <w:rFonts w:hint="eastAsia" w:cs="仿宋"/>
          <w:color w:val="auto"/>
          <w:lang w:eastAsia="zh-CN"/>
        </w:rPr>
        <w:t>www.lecaiyun.com</w:t>
      </w:r>
      <w:r>
        <w:rPr>
          <w:rFonts w:hint="eastAsia" w:cs="仿宋"/>
          <w:color w:val="auto"/>
        </w:rPr>
        <w:t>），点击右侧咨询小采，获取采小蜜智能服务管家帮助，或拨打</w:t>
      </w:r>
      <w:r>
        <w:rPr>
          <w:rFonts w:hint="eastAsia" w:cs="仿宋"/>
          <w:color w:val="auto"/>
          <w:lang w:eastAsia="zh-CN"/>
        </w:rPr>
        <w:t>萧采云</w:t>
      </w:r>
      <w:r>
        <w:rPr>
          <w:rFonts w:hint="eastAsia" w:cs="仿宋"/>
          <w:color w:val="auto"/>
        </w:rPr>
        <w:t>服务热线400-881-7190获取热线服务帮助。</w:t>
      </w:r>
    </w:p>
    <w:p w14:paraId="3570FB0D">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cs="仿宋"/>
          <w:color w:val="auto"/>
        </w:rPr>
      </w:pPr>
      <w:r>
        <w:rPr>
          <w:rFonts w:hint="eastAsia" w:cs="仿宋"/>
          <w:color w:val="auto"/>
        </w:rPr>
        <w:t>CA问题联系电话（人工）：汇信CA 400-888-4636；天谷CA 400-087-8198。</w:t>
      </w:r>
    </w:p>
    <w:p w14:paraId="55BC55B7">
      <w:pPr>
        <w:spacing w:line="360" w:lineRule="auto"/>
        <w:rPr>
          <w:rFonts w:cs="仿宋"/>
          <w:b/>
          <w:smallCaps/>
          <w:color w:val="auto"/>
          <w:spacing w:val="5"/>
          <w:sz w:val="36"/>
          <w:szCs w:val="36"/>
        </w:rPr>
      </w:pPr>
      <w:r>
        <w:rPr>
          <w:rFonts w:hint="eastAsia" w:cs="仿宋"/>
          <w:color w:val="auto"/>
        </w:rPr>
        <w:br w:type="page"/>
      </w:r>
    </w:p>
    <w:p w14:paraId="7593F922">
      <w:pPr>
        <w:pStyle w:val="2"/>
        <w:spacing w:line="360" w:lineRule="auto"/>
        <w:rPr>
          <w:rFonts w:ascii="仿宋" w:eastAsia="仿宋" w:cs="仿宋"/>
          <w:color w:val="auto"/>
        </w:rPr>
      </w:pPr>
      <w:r>
        <w:rPr>
          <w:rFonts w:hint="eastAsia" w:ascii="仿宋" w:eastAsia="仿宋" w:cs="仿宋"/>
          <w:color w:val="auto"/>
        </w:rPr>
        <w:t>第二部分 供应商须知</w:t>
      </w:r>
    </w:p>
    <w:p w14:paraId="74A57949">
      <w:pPr>
        <w:pStyle w:val="3"/>
        <w:spacing w:line="360" w:lineRule="auto"/>
        <w:rPr>
          <w:rFonts w:cs="仿宋"/>
          <w:color w:val="auto"/>
        </w:rPr>
      </w:pPr>
      <w:r>
        <w:rPr>
          <w:rFonts w:hint="eastAsia" w:cs="仿宋"/>
          <w:color w:val="auto"/>
        </w:rPr>
        <w:t>前附表</w:t>
      </w:r>
    </w:p>
    <w:tbl>
      <w:tblPr>
        <w:tblStyle w:val="33"/>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589"/>
        <w:gridCol w:w="6580"/>
      </w:tblGrid>
      <w:tr w14:paraId="79BB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14:paraId="4A7BF172">
            <w:pPr>
              <w:spacing w:after="0" w:line="360" w:lineRule="auto"/>
              <w:jc w:val="center"/>
              <w:rPr>
                <w:rFonts w:cs="仿宋"/>
                <w:color w:val="auto"/>
                <w:sz w:val="24"/>
                <w:szCs w:val="24"/>
              </w:rPr>
            </w:pPr>
            <w:r>
              <w:rPr>
                <w:rFonts w:hint="eastAsia" w:cs="仿宋"/>
                <w:color w:val="auto"/>
                <w:sz w:val="24"/>
                <w:szCs w:val="24"/>
              </w:rPr>
              <w:t>序号</w:t>
            </w:r>
          </w:p>
        </w:tc>
        <w:tc>
          <w:tcPr>
            <w:tcW w:w="912" w:type="pct"/>
            <w:vAlign w:val="center"/>
          </w:tcPr>
          <w:p w14:paraId="083E6386">
            <w:pPr>
              <w:spacing w:after="0" w:line="360" w:lineRule="auto"/>
              <w:jc w:val="center"/>
              <w:rPr>
                <w:rFonts w:cs="仿宋"/>
                <w:color w:val="auto"/>
                <w:sz w:val="24"/>
                <w:szCs w:val="24"/>
              </w:rPr>
            </w:pPr>
            <w:r>
              <w:rPr>
                <w:rFonts w:hint="eastAsia" w:cs="仿宋"/>
                <w:color w:val="auto"/>
                <w:sz w:val="24"/>
                <w:szCs w:val="24"/>
              </w:rPr>
              <w:t>事项</w:t>
            </w:r>
          </w:p>
        </w:tc>
        <w:tc>
          <w:tcPr>
            <w:tcW w:w="3777" w:type="pct"/>
            <w:vAlign w:val="center"/>
          </w:tcPr>
          <w:p w14:paraId="62C614A2">
            <w:pPr>
              <w:spacing w:after="0" w:line="360" w:lineRule="auto"/>
              <w:jc w:val="center"/>
              <w:rPr>
                <w:rFonts w:cs="仿宋"/>
                <w:color w:val="auto"/>
                <w:sz w:val="24"/>
                <w:szCs w:val="24"/>
              </w:rPr>
            </w:pPr>
            <w:r>
              <w:rPr>
                <w:rFonts w:hint="eastAsia" w:cs="仿宋"/>
                <w:color w:val="auto"/>
                <w:sz w:val="24"/>
                <w:szCs w:val="24"/>
              </w:rPr>
              <w:t>本项目特别规定</w:t>
            </w:r>
          </w:p>
        </w:tc>
      </w:tr>
      <w:tr w14:paraId="574F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0" w:type="pct"/>
            <w:vAlign w:val="center"/>
          </w:tcPr>
          <w:p w14:paraId="7EFF4FB4">
            <w:pPr>
              <w:spacing w:after="0" w:line="360" w:lineRule="auto"/>
              <w:jc w:val="center"/>
              <w:rPr>
                <w:rFonts w:cs="仿宋"/>
                <w:color w:val="auto"/>
                <w:sz w:val="24"/>
                <w:szCs w:val="24"/>
              </w:rPr>
            </w:pPr>
            <w:r>
              <w:rPr>
                <w:rFonts w:hint="eastAsia" w:cs="仿宋"/>
                <w:color w:val="auto"/>
                <w:sz w:val="24"/>
                <w:szCs w:val="24"/>
              </w:rPr>
              <w:t>1</w:t>
            </w:r>
          </w:p>
        </w:tc>
        <w:tc>
          <w:tcPr>
            <w:tcW w:w="912" w:type="pct"/>
            <w:vAlign w:val="center"/>
          </w:tcPr>
          <w:p w14:paraId="2E55E590">
            <w:pPr>
              <w:spacing w:after="0" w:line="360" w:lineRule="auto"/>
              <w:rPr>
                <w:rFonts w:cs="仿宋"/>
                <w:color w:val="auto"/>
                <w:sz w:val="24"/>
                <w:szCs w:val="24"/>
              </w:rPr>
            </w:pPr>
            <w:r>
              <w:rPr>
                <w:rFonts w:hint="eastAsia" w:cs="仿宋"/>
                <w:b/>
                <w:color w:val="auto"/>
                <w:sz w:val="24"/>
                <w:szCs w:val="24"/>
              </w:rPr>
              <w:t>项目属性与核心产品</w:t>
            </w:r>
          </w:p>
        </w:tc>
        <w:tc>
          <w:tcPr>
            <w:tcW w:w="3777" w:type="pct"/>
            <w:vAlign w:val="center"/>
          </w:tcPr>
          <w:p w14:paraId="64DA9A63">
            <w:pPr>
              <w:keepNext w:val="0"/>
              <w:keepLines w:val="0"/>
              <w:pageBreakBefore w:val="0"/>
              <w:widowControl/>
              <w:kinsoku/>
              <w:wordWrap/>
              <w:overflowPunct/>
              <w:topLinePunct w:val="0"/>
              <w:autoSpaceDE/>
              <w:autoSpaceDN/>
              <w:bidi w:val="0"/>
              <w:adjustRightInd/>
              <w:spacing w:after="0" w:line="312" w:lineRule="auto"/>
              <w:textAlignment w:val="auto"/>
              <w:rPr>
                <w:rFonts w:cs="仿宋"/>
                <w:color w:val="auto"/>
                <w:sz w:val="24"/>
                <w:szCs w:val="24"/>
              </w:rPr>
            </w:pPr>
            <w:r>
              <w:rPr>
                <w:rFonts w:hint="eastAsia" w:cs="仿宋"/>
                <w:color w:val="auto"/>
                <w:sz w:val="24"/>
                <w:szCs w:val="24"/>
              </w:rPr>
              <w:t>(√)</w:t>
            </w:r>
            <w:r>
              <w:rPr>
                <w:rFonts w:hint="eastAsia" w:cs="仿宋"/>
                <w:color w:val="auto"/>
                <w:sz w:val="24"/>
                <w:szCs w:val="24"/>
                <w:lang w:val="en-US" w:eastAsia="zh-CN"/>
              </w:rPr>
              <w:t>A货物</w:t>
            </w:r>
            <w:r>
              <w:rPr>
                <w:rFonts w:hint="eastAsia" w:cs="仿宋"/>
                <w:color w:val="auto"/>
                <w:sz w:val="24"/>
                <w:szCs w:val="24"/>
              </w:rPr>
              <w:t>类。</w:t>
            </w:r>
          </w:p>
        </w:tc>
      </w:tr>
      <w:tr w14:paraId="3ECB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vAlign w:val="center"/>
          </w:tcPr>
          <w:p w14:paraId="4DC4636D">
            <w:pPr>
              <w:spacing w:after="0" w:line="360" w:lineRule="auto"/>
              <w:jc w:val="center"/>
              <w:rPr>
                <w:rFonts w:cs="仿宋"/>
                <w:color w:val="auto"/>
                <w:sz w:val="24"/>
                <w:szCs w:val="24"/>
              </w:rPr>
            </w:pPr>
            <w:r>
              <w:rPr>
                <w:rFonts w:hint="eastAsia" w:cs="仿宋"/>
                <w:color w:val="auto"/>
                <w:sz w:val="24"/>
                <w:szCs w:val="24"/>
              </w:rPr>
              <w:t>2</w:t>
            </w:r>
          </w:p>
        </w:tc>
        <w:tc>
          <w:tcPr>
            <w:tcW w:w="912" w:type="pct"/>
            <w:vAlign w:val="center"/>
          </w:tcPr>
          <w:p w14:paraId="6119A10B">
            <w:pPr>
              <w:spacing w:after="0" w:line="360" w:lineRule="auto"/>
              <w:rPr>
                <w:rFonts w:cs="仿宋"/>
                <w:color w:val="auto"/>
                <w:sz w:val="24"/>
                <w:szCs w:val="24"/>
              </w:rPr>
            </w:pPr>
            <w:r>
              <w:rPr>
                <w:rFonts w:hint="eastAsia" w:cs="仿宋"/>
                <w:b/>
                <w:color w:val="auto"/>
                <w:sz w:val="24"/>
                <w:szCs w:val="24"/>
              </w:rPr>
              <w:t>采购标的对应的中小企业划分标准所属行业</w:t>
            </w:r>
          </w:p>
        </w:tc>
        <w:tc>
          <w:tcPr>
            <w:tcW w:w="3777" w:type="pct"/>
            <w:vAlign w:val="center"/>
          </w:tcPr>
          <w:p w14:paraId="6F252AE2">
            <w:pPr>
              <w:keepNext w:val="0"/>
              <w:keepLines w:val="0"/>
              <w:pageBreakBefore w:val="0"/>
              <w:widowControl/>
              <w:kinsoku/>
              <w:wordWrap/>
              <w:overflowPunct/>
              <w:topLinePunct w:val="0"/>
              <w:autoSpaceDE/>
              <w:autoSpaceDN/>
              <w:bidi w:val="0"/>
              <w:adjustRightInd/>
              <w:snapToGrid w:val="0"/>
              <w:spacing w:after="0" w:line="312" w:lineRule="auto"/>
              <w:textAlignment w:val="auto"/>
              <w:rPr>
                <w:rFonts w:cs="仿宋"/>
                <w:color w:val="auto"/>
                <w:sz w:val="24"/>
                <w:szCs w:val="24"/>
              </w:rPr>
            </w:pPr>
            <w:r>
              <w:rPr>
                <w:rFonts w:hint="eastAsia" w:cs="仿宋"/>
                <w:color w:val="auto"/>
                <w:sz w:val="24"/>
                <w:szCs w:val="24"/>
              </w:rPr>
              <w:t>（1）标的：</w:t>
            </w:r>
            <w:r>
              <w:rPr>
                <w:rFonts w:hint="eastAsia" w:cs="仿宋"/>
                <w:color w:val="auto"/>
                <w:lang w:eastAsia="zh-CN"/>
              </w:rPr>
              <w:t>牙科电动抽吸系统</w:t>
            </w:r>
            <w:r>
              <w:rPr>
                <w:rFonts w:hint="eastAsia" w:cs="仿宋"/>
                <w:color w:val="auto"/>
                <w:sz w:val="24"/>
                <w:szCs w:val="24"/>
              </w:rPr>
              <w:t>，</w:t>
            </w:r>
            <w:r>
              <w:rPr>
                <w:rFonts w:hint="eastAsia" w:cs="仿宋"/>
                <w:color w:val="auto"/>
                <w:sz w:val="24"/>
                <w:szCs w:val="24"/>
                <w:highlight w:val="none"/>
              </w:rPr>
              <w:t>属于</w:t>
            </w:r>
            <w:r>
              <w:rPr>
                <w:rFonts w:hint="eastAsia" w:cs="仿宋"/>
                <w:color w:val="auto"/>
                <w:sz w:val="24"/>
                <w:szCs w:val="24"/>
                <w:highlight w:val="none"/>
                <w:u w:val="single"/>
                <w:lang w:val="en-US" w:eastAsia="zh-CN"/>
              </w:rPr>
              <w:t>工业</w:t>
            </w:r>
            <w:r>
              <w:rPr>
                <w:rFonts w:hint="eastAsia" w:cs="仿宋"/>
                <w:color w:val="auto"/>
                <w:sz w:val="24"/>
                <w:szCs w:val="24"/>
                <w:highlight w:val="none"/>
              </w:rPr>
              <w:t>；</w:t>
            </w:r>
          </w:p>
          <w:p w14:paraId="18C619DB">
            <w:pPr>
              <w:keepNext w:val="0"/>
              <w:keepLines w:val="0"/>
              <w:pageBreakBefore w:val="0"/>
              <w:widowControl/>
              <w:kinsoku/>
              <w:wordWrap/>
              <w:overflowPunct/>
              <w:topLinePunct w:val="0"/>
              <w:autoSpaceDE/>
              <w:autoSpaceDN/>
              <w:bidi w:val="0"/>
              <w:adjustRightInd/>
              <w:snapToGrid w:val="0"/>
              <w:spacing w:after="0" w:line="312" w:lineRule="auto"/>
              <w:textAlignment w:val="auto"/>
              <w:rPr>
                <w:rFonts w:cs="仿宋"/>
                <w:color w:val="auto"/>
                <w:sz w:val="24"/>
                <w:szCs w:val="24"/>
              </w:rPr>
            </w:pPr>
            <w:r>
              <w:rPr>
                <w:rFonts w:hint="eastAsia" w:cs="仿宋"/>
                <w:color w:val="auto"/>
                <w:sz w:val="24"/>
                <w:szCs w:val="24"/>
              </w:rPr>
              <w:t>行业划分标准：</w:t>
            </w:r>
          </w:p>
          <w:p w14:paraId="4F6753A4">
            <w:pPr>
              <w:keepNext w:val="0"/>
              <w:keepLines w:val="0"/>
              <w:pageBreakBefore w:val="0"/>
              <w:widowControl/>
              <w:kinsoku/>
              <w:wordWrap/>
              <w:overflowPunct/>
              <w:topLinePunct w:val="0"/>
              <w:autoSpaceDE/>
              <w:autoSpaceDN/>
              <w:bidi w:val="0"/>
              <w:adjustRightInd/>
              <w:snapToGrid w:val="0"/>
              <w:spacing w:after="0" w:line="312" w:lineRule="auto"/>
              <w:textAlignment w:val="auto"/>
              <w:rPr>
                <w:rFonts w:cs="仿宋"/>
                <w:color w:val="auto"/>
                <w:sz w:val="24"/>
                <w:szCs w:val="24"/>
              </w:rPr>
            </w:pPr>
            <w:r>
              <w:rPr>
                <w:rFonts w:hint="eastAsia" w:cs="仿宋"/>
                <w:color w:val="auto"/>
                <w:sz w:val="24"/>
                <w:szCs w:val="24"/>
              </w:rPr>
              <w:t>《关于印发中小企</w:t>
            </w:r>
            <w:r>
              <w:rPr>
                <w:rFonts w:hint="eastAsia" w:cs="仿宋"/>
                <w:color w:val="auto"/>
                <w:sz w:val="24"/>
                <w:szCs w:val="24"/>
                <w:lang w:val="en-US" w:eastAsia="zh-CN"/>
              </w:rPr>
              <w:t xml:space="preserve"> </w:t>
            </w:r>
            <w:r>
              <w:rPr>
                <w:rFonts w:hint="eastAsia" w:cs="仿宋"/>
                <w:color w:val="auto"/>
                <w:sz w:val="24"/>
                <w:szCs w:val="24"/>
              </w:rPr>
              <w:t>业划型标准规定的通知》工信部联企业〔2011〕300号</w:t>
            </w:r>
          </w:p>
        </w:tc>
      </w:tr>
      <w:tr w14:paraId="5D79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14:paraId="341DD15E">
            <w:pPr>
              <w:spacing w:after="0" w:line="360" w:lineRule="auto"/>
              <w:jc w:val="center"/>
              <w:rPr>
                <w:rFonts w:cs="仿宋"/>
                <w:color w:val="auto"/>
                <w:sz w:val="24"/>
                <w:szCs w:val="24"/>
              </w:rPr>
            </w:pPr>
            <w:r>
              <w:rPr>
                <w:rFonts w:hint="eastAsia" w:cs="仿宋"/>
                <w:color w:val="auto"/>
                <w:sz w:val="24"/>
                <w:szCs w:val="24"/>
              </w:rPr>
              <w:t>3</w:t>
            </w:r>
          </w:p>
        </w:tc>
        <w:tc>
          <w:tcPr>
            <w:tcW w:w="912" w:type="pct"/>
            <w:vAlign w:val="center"/>
          </w:tcPr>
          <w:p w14:paraId="65E55E82">
            <w:pPr>
              <w:spacing w:after="0" w:line="360" w:lineRule="auto"/>
              <w:rPr>
                <w:rFonts w:cs="仿宋"/>
                <w:color w:val="auto"/>
                <w:sz w:val="24"/>
                <w:szCs w:val="24"/>
              </w:rPr>
            </w:pPr>
            <w:r>
              <w:rPr>
                <w:rFonts w:hint="eastAsia" w:cs="仿宋"/>
                <w:b/>
                <w:color w:val="auto"/>
                <w:sz w:val="24"/>
                <w:szCs w:val="24"/>
              </w:rPr>
              <w:t>是否允许采购进口产品</w:t>
            </w:r>
          </w:p>
        </w:tc>
        <w:tc>
          <w:tcPr>
            <w:tcW w:w="3777" w:type="pct"/>
            <w:vAlign w:val="center"/>
          </w:tcPr>
          <w:p w14:paraId="47DA2DE7">
            <w:pPr>
              <w:keepNext w:val="0"/>
              <w:keepLines w:val="0"/>
              <w:pageBreakBefore w:val="0"/>
              <w:widowControl/>
              <w:kinsoku/>
              <w:wordWrap/>
              <w:overflowPunct/>
              <w:topLinePunct w:val="0"/>
              <w:autoSpaceDE/>
              <w:autoSpaceDN/>
              <w:bidi w:val="0"/>
              <w:adjustRightInd/>
              <w:spacing w:after="0" w:line="312" w:lineRule="auto"/>
              <w:textAlignment w:val="auto"/>
              <w:rPr>
                <w:rFonts w:cs="仿宋"/>
                <w:color w:val="auto"/>
                <w:sz w:val="24"/>
                <w:szCs w:val="24"/>
              </w:rPr>
            </w:pPr>
            <w:r>
              <w:rPr>
                <w:rFonts w:hint="eastAsia" w:cs="仿宋"/>
                <w:color w:val="auto"/>
                <w:sz w:val="24"/>
                <w:szCs w:val="24"/>
                <w:highlight w:val="none"/>
              </w:rPr>
              <w:t>(</w:t>
            </w:r>
            <w:r>
              <w:rPr>
                <w:rFonts w:hint="eastAsia" w:cs="仿宋"/>
                <w:color w:val="auto"/>
                <w:sz w:val="24"/>
                <w:szCs w:val="24"/>
                <w:highlight w:val="none"/>
                <w:lang w:val="en-US" w:eastAsia="zh-CN"/>
              </w:rPr>
              <w:t xml:space="preserve"> √</w:t>
            </w:r>
            <w:r>
              <w:rPr>
                <w:rFonts w:hint="eastAsia" w:cs="仿宋"/>
                <w:color w:val="auto"/>
                <w:sz w:val="24"/>
                <w:szCs w:val="24"/>
                <w:highlight w:val="none"/>
              </w:rPr>
              <w:t>)本项目允许采购进口产品。</w:t>
            </w:r>
          </w:p>
        </w:tc>
      </w:tr>
      <w:tr w14:paraId="128E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14:paraId="5DE0DBE1">
            <w:pPr>
              <w:spacing w:after="0" w:line="360" w:lineRule="auto"/>
              <w:jc w:val="center"/>
              <w:rPr>
                <w:rFonts w:cs="仿宋"/>
                <w:color w:val="auto"/>
                <w:sz w:val="24"/>
                <w:szCs w:val="24"/>
              </w:rPr>
            </w:pPr>
            <w:r>
              <w:rPr>
                <w:rFonts w:hint="eastAsia" w:cs="仿宋"/>
                <w:color w:val="auto"/>
                <w:sz w:val="24"/>
                <w:szCs w:val="24"/>
              </w:rPr>
              <w:t>4</w:t>
            </w:r>
          </w:p>
        </w:tc>
        <w:tc>
          <w:tcPr>
            <w:tcW w:w="912" w:type="pct"/>
            <w:vAlign w:val="center"/>
          </w:tcPr>
          <w:p w14:paraId="749499CC">
            <w:pPr>
              <w:spacing w:after="0" w:line="360" w:lineRule="auto"/>
              <w:rPr>
                <w:rFonts w:cs="仿宋"/>
                <w:color w:val="auto"/>
                <w:sz w:val="24"/>
                <w:szCs w:val="24"/>
              </w:rPr>
            </w:pPr>
            <w:r>
              <w:rPr>
                <w:rFonts w:hint="eastAsia" w:cs="仿宋"/>
                <w:b/>
                <w:color w:val="auto"/>
                <w:sz w:val="24"/>
                <w:szCs w:val="24"/>
              </w:rPr>
              <w:t>分包</w:t>
            </w:r>
          </w:p>
        </w:tc>
        <w:tc>
          <w:tcPr>
            <w:tcW w:w="3777" w:type="pct"/>
            <w:vAlign w:val="center"/>
          </w:tcPr>
          <w:p w14:paraId="49D1297F">
            <w:pPr>
              <w:keepNext w:val="0"/>
              <w:keepLines w:val="0"/>
              <w:pageBreakBefore w:val="0"/>
              <w:widowControl/>
              <w:kinsoku/>
              <w:wordWrap/>
              <w:overflowPunct/>
              <w:topLinePunct w:val="0"/>
              <w:autoSpaceDE/>
              <w:autoSpaceDN/>
              <w:bidi w:val="0"/>
              <w:adjustRightInd/>
              <w:snapToGrid w:val="0"/>
              <w:spacing w:after="0" w:line="312" w:lineRule="auto"/>
              <w:textAlignment w:val="auto"/>
              <w:rPr>
                <w:rFonts w:cs="仿宋"/>
                <w:color w:val="auto"/>
                <w:sz w:val="24"/>
                <w:szCs w:val="24"/>
              </w:rPr>
            </w:pPr>
            <w:r>
              <w:rPr>
                <w:rFonts w:hint="eastAsia" w:cs="仿宋"/>
                <w:b/>
                <w:color w:val="auto"/>
                <w:sz w:val="24"/>
                <w:szCs w:val="24"/>
              </w:rPr>
              <w:t>（</w:t>
            </w:r>
            <w:r>
              <w:rPr>
                <w:rFonts w:hint="eastAsia" w:cs="仿宋"/>
                <w:b/>
                <w:color w:val="auto"/>
                <w:sz w:val="24"/>
                <w:szCs w:val="24"/>
                <w:lang w:val="en-US" w:eastAsia="zh-CN"/>
              </w:rPr>
              <w:t xml:space="preserve">  </w:t>
            </w:r>
            <w:r>
              <w:rPr>
                <w:rFonts w:hint="eastAsia" w:cs="仿宋"/>
                <w:b/>
                <w:color w:val="auto"/>
                <w:sz w:val="24"/>
                <w:szCs w:val="24"/>
              </w:rPr>
              <w:t>）</w:t>
            </w:r>
            <w:r>
              <w:rPr>
                <w:rFonts w:hint="eastAsia" w:cs="仿宋"/>
                <w:color w:val="auto"/>
                <w:sz w:val="24"/>
                <w:szCs w:val="24"/>
              </w:rPr>
              <w:t>A同意将非主体、非关键性的工作分包。</w:t>
            </w:r>
          </w:p>
          <w:p w14:paraId="7023CF42">
            <w:pPr>
              <w:keepNext w:val="0"/>
              <w:keepLines w:val="0"/>
              <w:pageBreakBefore w:val="0"/>
              <w:widowControl/>
              <w:kinsoku/>
              <w:wordWrap/>
              <w:overflowPunct/>
              <w:topLinePunct w:val="0"/>
              <w:autoSpaceDE/>
              <w:autoSpaceDN/>
              <w:bidi w:val="0"/>
              <w:adjustRightInd/>
              <w:spacing w:after="0" w:line="312" w:lineRule="auto"/>
              <w:textAlignment w:val="auto"/>
              <w:rPr>
                <w:rFonts w:cs="仿宋"/>
                <w:color w:val="auto"/>
                <w:sz w:val="24"/>
                <w:szCs w:val="24"/>
              </w:rPr>
            </w:pPr>
            <w:r>
              <w:rPr>
                <w:rFonts w:hint="eastAsia" w:cs="仿宋"/>
                <w:b/>
                <w:color w:val="auto"/>
                <w:sz w:val="24"/>
                <w:szCs w:val="24"/>
              </w:rPr>
              <w:t>（</w:t>
            </w:r>
            <w:r>
              <w:rPr>
                <w:rFonts w:hint="eastAsia" w:cs="仿宋"/>
                <w:b/>
                <w:color w:val="auto"/>
                <w:sz w:val="24"/>
                <w:szCs w:val="24"/>
                <w:lang w:val="en-US" w:eastAsia="zh-CN"/>
              </w:rPr>
              <w:t>√</w:t>
            </w:r>
            <w:r>
              <w:rPr>
                <w:rFonts w:hint="eastAsia" w:cs="仿宋"/>
                <w:b/>
                <w:color w:val="auto"/>
                <w:sz w:val="24"/>
                <w:szCs w:val="24"/>
              </w:rPr>
              <w:t>）</w:t>
            </w:r>
            <w:r>
              <w:rPr>
                <w:rFonts w:hint="eastAsia" w:cs="仿宋"/>
                <w:color w:val="auto"/>
                <w:sz w:val="24"/>
                <w:szCs w:val="24"/>
              </w:rPr>
              <w:t>B不同意分包。</w:t>
            </w:r>
          </w:p>
        </w:tc>
      </w:tr>
      <w:tr w14:paraId="013D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310" w:type="pct"/>
            <w:vAlign w:val="center"/>
          </w:tcPr>
          <w:p w14:paraId="3C1FBAC9">
            <w:pPr>
              <w:spacing w:after="0" w:line="360" w:lineRule="auto"/>
              <w:jc w:val="center"/>
              <w:rPr>
                <w:rFonts w:cs="仿宋"/>
                <w:color w:val="auto"/>
                <w:sz w:val="24"/>
                <w:szCs w:val="24"/>
              </w:rPr>
            </w:pPr>
            <w:r>
              <w:rPr>
                <w:rFonts w:hint="eastAsia" w:cs="仿宋"/>
                <w:color w:val="auto"/>
                <w:sz w:val="24"/>
                <w:szCs w:val="24"/>
              </w:rPr>
              <w:t>5</w:t>
            </w:r>
          </w:p>
        </w:tc>
        <w:tc>
          <w:tcPr>
            <w:tcW w:w="912" w:type="pct"/>
            <w:vAlign w:val="center"/>
          </w:tcPr>
          <w:p w14:paraId="5A8BD507">
            <w:pPr>
              <w:spacing w:after="0" w:line="360" w:lineRule="auto"/>
              <w:rPr>
                <w:rFonts w:cs="仿宋"/>
                <w:color w:val="auto"/>
                <w:sz w:val="24"/>
                <w:szCs w:val="24"/>
              </w:rPr>
            </w:pPr>
            <w:r>
              <w:rPr>
                <w:rFonts w:hint="eastAsia" w:cs="仿宋"/>
                <w:b/>
                <w:color w:val="auto"/>
                <w:sz w:val="24"/>
                <w:szCs w:val="24"/>
              </w:rPr>
              <w:t>交易前答疑会或现场考察</w:t>
            </w:r>
          </w:p>
        </w:tc>
        <w:tc>
          <w:tcPr>
            <w:tcW w:w="3777" w:type="pct"/>
            <w:vAlign w:val="center"/>
          </w:tcPr>
          <w:p w14:paraId="0C172DAA">
            <w:pPr>
              <w:keepNext w:val="0"/>
              <w:keepLines w:val="0"/>
              <w:pageBreakBefore w:val="0"/>
              <w:widowControl/>
              <w:kinsoku/>
              <w:wordWrap/>
              <w:overflowPunct/>
              <w:topLinePunct w:val="0"/>
              <w:autoSpaceDE/>
              <w:autoSpaceDN/>
              <w:bidi w:val="0"/>
              <w:adjustRightInd/>
              <w:spacing w:after="0" w:line="312" w:lineRule="auto"/>
              <w:textAlignment w:val="auto"/>
              <w:rPr>
                <w:rFonts w:cs="仿宋"/>
                <w:color w:val="auto"/>
                <w:sz w:val="24"/>
                <w:szCs w:val="24"/>
              </w:rPr>
            </w:pPr>
            <w:r>
              <w:rPr>
                <w:rFonts w:hint="eastAsia" w:cs="仿宋"/>
                <w:b/>
                <w:color w:val="auto"/>
                <w:sz w:val="24"/>
                <w:szCs w:val="24"/>
              </w:rPr>
              <w:t>（√）</w:t>
            </w:r>
            <w:r>
              <w:rPr>
                <w:rFonts w:hint="eastAsia" w:cs="仿宋"/>
                <w:color w:val="auto"/>
                <w:sz w:val="24"/>
                <w:szCs w:val="24"/>
              </w:rPr>
              <w:t>A不组织。</w:t>
            </w:r>
          </w:p>
          <w:p w14:paraId="3D0987E8">
            <w:pPr>
              <w:keepNext w:val="0"/>
              <w:keepLines w:val="0"/>
              <w:pageBreakBefore w:val="0"/>
              <w:widowControl/>
              <w:kinsoku/>
              <w:wordWrap/>
              <w:overflowPunct/>
              <w:topLinePunct w:val="0"/>
              <w:autoSpaceDE/>
              <w:autoSpaceDN/>
              <w:bidi w:val="0"/>
              <w:adjustRightInd/>
              <w:spacing w:after="0" w:line="312" w:lineRule="auto"/>
              <w:textAlignment w:val="auto"/>
              <w:rPr>
                <w:rFonts w:cs="仿宋"/>
                <w:color w:val="auto"/>
                <w:sz w:val="24"/>
                <w:szCs w:val="24"/>
              </w:rPr>
            </w:pPr>
            <w:r>
              <w:rPr>
                <w:rFonts w:hint="eastAsia" w:cs="仿宋"/>
                <w:b/>
                <w:color w:val="auto"/>
                <w:sz w:val="24"/>
                <w:szCs w:val="24"/>
              </w:rPr>
              <w:t>（  ）</w:t>
            </w:r>
            <w:r>
              <w:rPr>
                <w:rFonts w:hint="eastAsia" w:cs="仿宋"/>
                <w:color w:val="auto"/>
                <w:sz w:val="24"/>
                <w:szCs w:val="24"/>
              </w:rPr>
              <w:t>B组织，时间：</w:t>
            </w:r>
            <w:r>
              <w:rPr>
                <w:rFonts w:hint="eastAsia" w:cs="仿宋"/>
                <w:color w:val="auto"/>
                <w:sz w:val="24"/>
                <w:szCs w:val="24"/>
                <w:u w:val="single"/>
              </w:rPr>
              <w:t xml:space="preserve">   /   </w:t>
            </w:r>
            <w:r>
              <w:rPr>
                <w:rFonts w:hint="eastAsia" w:cs="仿宋"/>
                <w:color w:val="auto"/>
                <w:sz w:val="24"/>
                <w:szCs w:val="24"/>
              </w:rPr>
              <w:t>,地点：</w:t>
            </w:r>
            <w:r>
              <w:rPr>
                <w:rFonts w:hint="eastAsia" w:cs="仿宋"/>
                <w:color w:val="auto"/>
                <w:sz w:val="24"/>
                <w:szCs w:val="24"/>
                <w:u w:val="single"/>
              </w:rPr>
              <w:t xml:space="preserve">   /   </w:t>
            </w:r>
            <w:r>
              <w:rPr>
                <w:rFonts w:hint="eastAsia" w:cs="仿宋"/>
                <w:color w:val="auto"/>
                <w:sz w:val="24"/>
                <w:szCs w:val="24"/>
              </w:rPr>
              <w:t>，</w:t>
            </w:r>
          </w:p>
          <w:p w14:paraId="1841E95A">
            <w:pPr>
              <w:keepNext w:val="0"/>
              <w:keepLines w:val="0"/>
              <w:pageBreakBefore w:val="0"/>
              <w:widowControl/>
              <w:kinsoku/>
              <w:wordWrap/>
              <w:overflowPunct/>
              <w:topLinePunct w:val="0"/>
              <w:autoSpaceDE/>
              <w:autoSpaceDN/>
              <w:bidi w:val="0"/>
              <w:adjustRightInd/>
              <w:spacing w:after="0" w:line="312" w:lineRule="auto"/>
              <w:textAlignment w:val="auto"/>
              <w:rPr>
                <w:rFonts w:cs="仿宋"/>
                <w:color w:val="auto"/>
                <w:sz w:val="24"/>
                <w:szCs w:val="24"/>
              </w:rPr>
            </w:pPr>
            <w:r>
              <w:rPr>
                <w:rFonts w:hint="eastAsia" w:cs="仿宋"/>
                <w:color w:val="auto"/>
                <w:sz w:val="24"/>
                <w:szCs w:val="24"/>
              </w:rPr>
              <w:t>联系人：</w:t>
            </w:r>
            <w:r>
              <w:rPr>
                <w:rFonts w:hint="eastAsia" w:cs="仿宋"/>
                <w:color w:val="auto"/>
                <w:sz w:val="24"/>
                <w:szCs w:val="24"/>
                <w:u w:val="single"/>
              </w:rPr>
              <w:t xml:space="preserve">   /   </w:t>
            </w:r>
            <w:r>
              <w:rPr>
                <w:rFonts w:hint="eastAsia" w:cs="仿宋"/>
                <w:color w:val="auto"/>
                <w:sz w:val="24"/>
                <w:szCs w:val="24"/>
              </w:rPr>
              <w:t>；其他说明：/</w:t>
            </w:r>
          </w:p>
        </w:tc>
      </w:tr>
      <w:tr w14:paraId="7597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0" w:type="pct"/>
            <w:vAlign w:val="center"/>
          </w:tcPr>
          <w:p w14:paraId="6E754963">
            <w:pPr>
              <w:spacing w:after="0" w:line="360" w:lineRule="auto"/>
              <w:jc w:val="center"/>
              <w:rPr>
                <w:rFonts w:cs="仿宋"/>
                <w:color w:val="auto"/>
                <w:sz w:val="24"/>
                <w:szCs w:val="24"/>
              </w:rPr>
            </w:pPr>
            <w:r>
              <w:rPr>
                <w:rFonts w:hint="eastAsia" w:cs="仿宋"/>
                <w:color w:val="auto"/>
                <w:sz w:val="24"/>
                <w:szCs w:val="24"/>
              </w:rPr>
              <w:t>6</w:t>
            </w:r>
          </w:p>
        </w:tc>
        <w:tc>
          <w:tcPr>
            <w:tcW w:w="912" w:type="pct"/>
            <w:vAlign w:val="center"/>
          </w:tcPr>
          <w:p w14:paraId="3F092AE8">
            <w:pPr>
              <w:spacing w:after="0" w:line="360" w:lineRule="auto"/>
              <w:rPr>
                <w:rFonts w:cs="仿宋"/>
                <w:color w:val="auto"/>
                <w:sz w:val="24"/>
                <w:szCs w:val="24"/>
              </w:rPr>
            </w:pPr>
            <w:r>
              <w:rPr>
                <w:rFonts w:hint="eastAsia" w:cs="仿宋"/>
                <w:b/>
                <w:color w:val="auto"/>
                <w:sz w:val="24"/>
                <w:szCs w:val="24"/>
              </w:rPr>
              <w:t>样品提供</w:t>
            </w:r>
          </w:p>
        </w:tc>
        <w:tc>
          <w:tcPr>
            <w:tcW w:w="3777" w:type="pct"/>
            <w:vAlign w:val="center"/>
          </w:tcPr>
          <w:p w14:paraId="39E6D3F7">
            <w:pPr>
              <w:keepNext w:val="0"/>
              <w:keepLines w:val="0"/>
              <w:pageBreakBefore w:val="0"/>
              <w:widowControl/>
              <w:kinsoku/>
              <w:wordWrap/>
              <w:overflowPunct/>
              <w:topLinePunct w:val="0"/>
              <w:autoSpaceDE/>
              <w:autoSpaceDN/>
              <w:bidi w:val="0"/>
              <w:adjustRightInd/>
              <w:spacing w:after="0" w:line="312" w:lineRule="auto"/>
              <w:textAlignment w:val="auto"/>
              <w:rPr>
                <w:rFonts w:cs="仿宋"/>
                <w:color w:val="auto"/>
                <w:sz w:val="24"/>
                <w:szCs w:val="24"/>
              </w:rPr>
            </w:pPr>
            <w:r>
              <w:rPr>
                <w:rFonts w:hint="eastAsia" w:cs="仿宋"/>
                <w:color w:val="auto"/>
                <w:sz w:val="24"/>
                <w:szCs w:val="24"/>
              </w:rPr>
              <w:t>（√）A不要求提供。</w:t>
            </w:r>
          </w:p>
        </w:tc>
      </w:tr>
      <w:tr w14:paraId="2EA3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vAlign w:val="center"/>
          </w:tcPr>
          <w:p w14:paraId="4016119F">
            <w:pPr>
              <w:spacing w:after="0" w:line="360" w:lineRule="auto"/>
              <w:jc w:val="center"/>
              <w:rPr>
                <w:rFonts w:cs="仿宋"/>
                <w:color w:val="auto"/>
                <w:sz w:val="24"/>
                <w:szCs w:val="24"/>
              </w:rPr>
            </w:pPr>
            <w:r>
              <w:rPr>
                <w:rFonts w:hint="eastAsia" w:cs="仿宋"/>
                <w:color w:val="auto"/>
                <w:sz w:val="24"/>
                <w:szCs w:val="24"/>
              </w:rPr>
              <w:t>7</w:t>
            </w:r>
          </w:p>
        </w:tc>
        <w:tc>
          <w:tcPr>
            <w:tcW w:w="912" w:type="pct"/>
            <w:vAlign w:val="center"/>
          </w:tcPr>
          <w:p w14:paraId="69F70886">
            <w:pPr>
              <w:spacing w:after="0" w:line="360" w:lineRule="auto"/>
              <w:rPr>
                <w:rFonts w:cs="仿宋"/>
                <w:color w:val="auto"/>
                <w:sz w:val="24"/>
                <w:szCs w:val="24"/>
              </w:rPr>
            </w:pPr>
            <w:r>
              <w:rPr>
                <w:rFonts w:hint="eastAsia" w:cs="仿宋"/>
                <w:b/>
                <w:color w:val="auto"/>
                <w:sz w:val="24"/>
                <w:szCs w:val="24"/>
              </w:rPr>
              <w:t>方案讲解演示</w:t>
            </w:r>
          </w:p>
        </w:tc>
        <w:tc>
          <w:tcPr>
            <w:tcW w:w="3777" w:type="pct"/>
            <w:vAlign w:val="center"/>
          </w:tcPr>
          <w:p w14:paraId="2ED156F4">
            <w:pPr>
              <w:keepNext w:val="0"/>
              <w:keepLines w:val="0"/>
              <w:pageBreakBefore w:val="0"/>
              <w:kinsoku/>
              <w:wordWrap/>
              <w:overflowPunct/>
              <w:topLinePunct w:val="0"/>
              <w:autoSpaceDE/>
              <w:autoSpaceDN/>
              <w:bidi w:val="0"/>
              <w:snapToGrid/>
              <w:spacing w:after="0" w:line="312" w:lineRule="auto"/>
              <w:textAlignment w:val="auto"/>
              <w:rPr>
                <w:rFonts w:cs="仿宋"/>
                <w:color w:val="auto"/>
                <w:sz w:val="24"/>
                <w:szCs w:val="24"/>
              </w:rPr>
            </w:pPr>
            <w:r>
              <w:rPr>
                <w:rFonts w:hint="eastAsia" w:cs="仿宋"/>
                <w:bCs/>
                <w:color w:val="auto"/>
                <w:sz w:val="24"/>
                <w:szCs w:val="24"/>
              </w:rPr>
              <w:t>（√）A不要求。</w:t>
            </w:r>
          </w:p>
        </w:tc>
      </w:tr>
      <w:tr w14:paraId="1A0C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310" w:type="pct"/>
            <w:vAlign w:val="center"/>
          </w:tcPr>
          <w:p w14:paraId="10850557">
            <w:pPr>
              <w:spacing w:after="0" w:line="360" w:lineRule="auto"/>
              <w:jc w:val="center"/>
              <w:rPr>
                <w:rFonts w:cs="仿宋"/>
                <w:color w:val="auto"/>
                <w:sz w:val="24"/>
                <w:szCs w:val="24"/>
              </w:rPr>
            </w:pPr>
            <w:r>
              <w:rPr>
                <w:rFonts w:hint="eastAsia" w:cs="仿宋"/>
                <w:color w:val="auto"/>
                <w:sz w:val="24"/>
                <w:szCs w:val="24"/>
              </w:rPr>
              <w:t>8</w:t>
            </w:r>
          </w:p>
        </w:tc>
        <w:tc>
          <w:tcPr>
            <w:tcW w:w="912" w:type="pct"/>
            <w:vAlign w:val="center"/>
          </w:tcPr>
          <w:p w14:paraId="3179859B">
            <w:pPr>
              <w:spacing w:after="0" w:line="360" w:lineRule="auto"/>
              <w:rPr>
                <w:rFonts w:cs="仿宋"/>
                <w:color w:val="auto"/>
                <w:sz w:val="24"/>
                <w:szCs w:val="24"/>
              </w:rPr>
            </w:pPr>
            <w:r>
              <w:rPr>
                <w:rFonts w:hint="eastAsia" w:cs="仿宋"/>
                <w:b/>
                <w:color w:val="auto"/>
                <w:sz w:val="24"/>
                <w:szCs w:val="24"/>
              </w:rPr>
              <w:t>供应商应当提供的资格、资信证明文件</w:t>
            </w:r>
          </w:p>
        </w:tc>
        <w:tc>
          <w:tcPr>
            <w:tcW w:w="3777" w:type="pct"/>
            <w:vAlign w:val="center"/>
          </w:tcPr>
          <w:p w14:paraId="53AD0E85">
            <w:pPr>
              <w:keepNext w:val="0"/>
              <w:keepLines w:val="0"/>
              <w:pageBreakBefore w:val="0"/>
              <w:kinsoku/>
              <w:wordWrap/>
              <w:overflowPunct/>
              <w:topLinePunct w:val="0"/>
              <w:autoSpaceDE/>
              <w:autoSpaceDN/>
              <w:bidi w:val="0"/>
              <w:snapToGrid/>
              <w:spacing w:after="0" w:line="312" w:lineRule="auto"/>
              <w:textAlignment w:val="auto"/>
              <w:rPr>
                <w:rFonts w:cs="仿宋"/>
                <w:color w:val="auto"/>
                <w:sz w:val="24"/>
                <w:szCs w:val="24"/>
              </w:rPr>
            </w:pPr>
            <w:r>
              <w:rPr>
                <w:rFonts w:hint="eastAsia" w:cs="仿宋"/>
                <w:color w:val="auto"/>
                <w:sz w:val="24"/>
                <w:szCs w:val="24"/>
              </w:rPr>
              <w:t>（1）资格证明文件：见交易文件第二部分11.1。</w:t>
            </w:r>
          </w:p>
          <w:p w14:paraId="0722F32D">
            <w:pPr>
              <w:keepNext w:val="0"/>
              <w:keepLines w:val="0"/>
              <w:pageBreakBefore w:val="0"/>
              <w:kinsoku/>
              <w:wordWrap/>
              <w:overflowPunct/>
              <w:topLinePunct w:val="0"/>
              <w:autoSpaceDE/>
              <w:autoSpaceDN/>
              <w:bidi w:val="0"/>
              <w:snapToGrid/>
              <w:spacing w:after="0" w:line="312" w:lineRule="auto"/>
              <w:textAlignment w:val="auto"/>
              <w:rPr>
                <w:rFonts w:cs="仿宋"/>
                <w:color w:val="auto"/>
                <w:sz w:val="24"/>
                <w:szCs w:val="24"/>
                <w:lang w:val="zh-CN"/>
              </w:rPr>
            </w:pPr>
            <w:r>
              <w:rPr>
                <w:rFonts w:hint="eastAsia" w:cs="仿宋"/>
                <w:color w:val="auto"/>
                <w:sz w:val="24"/>
                <w:szCs w:val="24"/>
              </w:rPr>
              <w:t>供应商</w:t>
            </w:r>
            <w:r>
              <w:rPr>
                <w:rFonts w:hint="eastAsia" w:cs="仿宋"/>
                <w:color w:val="auto"/>
                <w:sz w:val="24"/>
                <w:szCs w:val="24"/>
                <w:lang w:val="zh-CN"/>
              </w:rPr>
              <w:t>未提供有效的资格证明文件的，视为</w:t>
            </w:r>
            <w:r>
              <w:rPr>
                <w:rFonts w:hint="eastAsia" w:cs="仿宋"/>
                <w:color w:val="auto"/>
                <w:sz w:val="24"/>
                <w:szCs w:val="24"/>
              </w:rPr>
              <w:t>供应商</w:t>
            </w:r>
            <w:r>
              <w:rPr>
                <w:rFonts w:hint="eastAsia" w:cs="仿宋"/>
                <w:color w:val="auto"/>
                <w:sz w:val="24"/>
                <w:szCs w:val="24"/>
                <w:lang w:val="zh-CN"/>
              </w:rPr>
              <w:t>不具备</w:t>
            </w:r>
            <w:r>
              <w:rPr>
                <w:rFonts w:hint="eastAsia" w:cs="仿宋"/>
                <w:color w:val="auto"/>
                <w:sz w:val="24"/>
                <w:szCs w:val="24"/>
              </w:rPr>
              <w:t>交易</w:t>
            </w:r>
            <w:r>
              <w:rPr>
                <w:rFonts w:hint="eastAsia" w:cs="仿宋"/>
                <w:color w:val="auto"/>
                <w:sz w:val="24"/>
                <w:szCs w:val="24"/>
                <w:lang w:val="zh-CN"/>
              </w:rPr>
              <w:t>文件中规定的资格要求，</w:t>
            </w:r>
            <w:r>
              <w:rPr>
                <w:rFonts w:hint="eastAsia" w:cs="仿宋"/>
                <w:color w:val="auto"/>
                <w:sz w:val="24"/>
                <w:szCs w:val="24"/>
              </w:rPr>
              <w:t>响应</w:t>
            </w:r>
            <w:r>
              <w:rPr>
                <w:rFonts w:hint="eastAsia" w:cs="仿宋"/>
                <w:color w:val="auto"/>
                <w:sz w:val="24"/>
                <w:szCs w:val="24"/>
                <w:lang w:val="zh-CN"/>
              </w:rPr>
              <w:t>无效。</w:t>
            </w:r>
          </w:p>
          <w:p w14:paraId="1CA1BEB1">
            <w:pPr>
              <w:keepNext w:val="0"/>
              <w:keepLines w:val="0"/>
              <w:pageBreakBefore w:val="0"/>
              <w:kinsoku/>
              <w:wordWrap/>
              <w:overflowPunct/>
              <w:topLinePunct w:val="0"/>
              <w:autoSpaceDE/>
              <w:autoSpaceDN/>
              <w:bidi w:val="0"/>
              <w:snapToGrid/>
              <w:spacing w:after="0" w:line="312" w:lineRule="auto"/>
              <w:textAlignment w:val="auto"/>
              <w:rPr>
                <w:rFonts w:cs="仿宋"/>
                <w:color w:val="auto"/>
                <w:sz w:val="24"/>
                <w:szCs w:val="24"/>
              </w:rPr>
            </w:pPr>
            <w:r>
              <w:rPr>
                <w:rFonts w:hint="eastAsia" w:cs="仿宋"/>
                <w:color w:val="auto"/>
                <w:sz w:val="24"/>
                <w:szCs w:val="24"/>
              </w:rPr>
              <w:t>（2）资信证明文件：根据交易文件第四部分评审标准提供。</w:t>
            </w:r>
          </w:p>
        </w:tc>
      </w:tr>
      <w:tr w14:paraId="11C6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10" w:type="pct"/>
            <w:vAlign w:val="center"/>
          </w:tcPr>
          <w:p w14:paraId="51D03503">
            <w:pPr>
              <w:spacing w:after="0" w:line="360" w:lineRule="auto"/>
              <w:jc w:val="center"/>
              <w:rPr>
                <w:rFonts w:cs="仿宋"/>
                <w:color w:val="auto"/>
                <w:sz w:val="24"/>
                <w:szCs w:val="24"/>
              </w:rPr>
            </w:pPr>
            <w:r>
              <w:rPr>
                <w:rFonts w:hint="eastAsia" w:cs="仿宋"/>
                <w:color w:val="auto"/>
                <w:sz w:val="24"/>
                <w:szCs w:val="24"/>
              </w:rPr>
              <w:t>9</w:t>
            </w:r>
          </w:p>
        </w:tc>
        <w:tc>
          <w:tcPr>
            <w:tcW w:w="912" w:type="pct"/>
            <w:vAlign w:val="center"/>
          </w:tcPr>
          <w:p w14:paraId="0944015D">
            <w:pPr>
              <w:spacing w:after="0" w:line="360" w:lineRule="auto"/>
              <w:rPr>
                <w:rFonts w:cs="仿宋"/>
                <w:color w:val="auto"/>
                <w:sz w:val="24"/>
                <w:szCs w:val="24"/>
              </w:rPr>
            </w:pPr>
            <w:r>
              <w:rPr>
                <w:rFonts w:hint="eastAsia" w:cs="仿宋"/>
                <w:b/>
                <w:color w:val="auto"/>
                <w:sz w:val="24"/>
                <w:szCs w:val="24"/>
              </w:rPr>
              <w:t>节能产品、环境标志产品</w:t>
            </w:r>
          </w:p>
        </w:tc>
        <w:tc>
          <w:tcPr>
            <w:tcW w:w="3777" w:type="pct"/>
            <w:vAlign w:val="center"/>
          </w:tcPr>
          <w:p w14:paraId="2885FF87">
            <w:pPr>
              <w:keepNext w:val="0"/>
              <w:keepLines w:val="0"/>
              <w:pageBreakBefore w:val="0"/>
              <w:kinsoku/>
              <w:wordWrap/>
              <w:overflowPunct/>
              <w:topLinePunct w:val="0"/>
              <w:autoSpaceDE/>
              <w:autoSpaceDN/>
              <w:bidi w:val="0"/>
              <w:snapToGrid/>
              <w:spacing w:after="0" w:line="312" w:lineRule="auto"/>
              <w:textAlignment w:val="auto"/>
              <w:rPr>
                <w:rFonts w:cs="仿宋"/>
                <w:color w:val="auto"/>
                <w:sz w:val="24"/>
                <w:szCs w:val="24"/>
              </w:rPr>
            </w:pPr>
            <w:r>
              <w:rPr>
                <w:rFonts w:hint="eastAsia" w:cs="仿宋"/>
                <w:color w:val="auto"/>
                <w:sz w:val="24"/>
                <w:szCs w:val="24"/>
                <w:lang w:eastAsia="zh-CN"/>
              </w:rPr>
              <w:t>交易发起人</w:t>
            </w:r>
            <w:r>
              <w:rPr>
                <w:rFonts w:hint="eastAsia" w:cs="仿宋"/>
                <w:color w:val="auto"/>
                <w:sz w:val="24"/>
                <w:szCs w:val="24"/>
              </w:rPr>
              <w:t>拟采购的产品属于品目清单范围的，</w:t>
            </w:r>
            <w:r>
              <w:rPr>
                <w:rFonts w:hint="eastAsia" w:cs="仿宋"/>
                <w:color w:val="auto"/>
                <w:sz w:val="24"/>
                <w:szCs w:val="24"/>
                <w:lang w:eastAsia="zh-CN"/>
              </w:rPr>
              <w:t>交易发起人</w:t>
            </w:r>
            <w:r>
              <w:rPr>
                <w:rFonts w:hint="eastAsia" w:cs="仿宋"/>
                <w:color w:val="auto"/>
                <w:sz w:val="24"/>
                <w:szCs w:val="24"/>
              </w:rPr>
              <w:t>及其委托的采购代理机构将依据国家确定的认证机构出具的、处于有效期之内的节能产品、环境标志产品认证证书，对获得证书的产品实施政府优先采购或强制采购。</w:t>
            </w:r>
          </w:p>
        </w:tc>
      </w:tr>
      <w:tr w14:paraId="020A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310" w:type="pct"/>
            <w:vAlign w:val="center"/>
          </w:tcPr>
          <w:p w14:paraId="34EB12B4">
            <w:pPr>
              <w:spacing w:after="0" w:line="360" w:lineRule="auto"/>
              <w:jc w:val="center"/>
              <w:rPr>
                <w:rFonts w:cs="仿宋"/>
                <w:color w:val="auto"/>
                <w:sz w:val="24"/>
                <w:szCs w:val="24"/>
              </w:rPr>
            </w:pPr>
            <w:r>
              <w:rPr>
                <w:rFonts w:hint="eastAsia" w:cs="仿宋"/>
                <w:color w:val="auto"/>
                <w:sz w:val="24"/>
                <w:szCs w:val="24"/>
              </w:rPr>
              <w:t>10</w:t>
            </w:r>
          </w:p>
        </w:tc>
        <w:tc>
          <w:tcPr>
            <w:tcW w:w="912" w:type="pct"/>
            <w:vAlign w:val="center"/>
          </w:tcPr>
          <w:p w14:paraId="18FD1243">
            <w:pPr>
              <w:spacing w:after="0" w:line="360" w:lineRule="auto"/>
              <w:rPr>
                <w:rFonts w:cs="仿宋"/>
                <w:color w:val="auto"/>
                <w:sz w:val="24"/>
                <w:szCs w:val="24"/>
              </w:rPr>
            </w:pPr>
            <w:r>
              <w:rPr>
                <w:rFonts w:hint="eastAsia" w:cs="仿宋"/>
                <w:b/>
                <w:color w:val="auto"/>
                <w:sz w:val="24"/>
                <w:szCs w:val="24"/>
              </w:rPr>
              <w:t>报价要求</w:t>
            </w:r>
          </w:p>
        </w:tc>
        <w:tc>
          <w:tcPr>
            <w:tcW w:w="3777" w:type="pct"/>
            <w:vAlign w:val="center"/>
          </w:tcPr>
          <w:p w14:paraId="73808D5B">
            <w:pPr>
              <w:keepNext w:val="0"/>
              <w:keepLines w:val="0"/>
              <w:pageBreakBefore w:val="0"/>
              <w:kinsoku/>
              <w:wordWrap/>
              <w:overflowPunct/>
              <w:topLinePunct w:val="0"/>
              <w:autoSpaceDE/>
              <w:autoSpaceDN/>
              <w:bidi w:val="0"/>
              <w:snapToGrid/>
              <w:spacing w:after="0" w:line="312" w:lineRule="auto"/>
              <w:ind w:firstLine="480" w:firstLineChars="200"/>
              <w:textAlignment w:val="auto"/>
              <w:rPr>
                <w:rFonts w:cs="仿宋"/>
                <w:bCs/>
                <w:color w:val="auto"/>
                <w:sz w:val="24"/>
                <w:szCs w:val="24"/>
                <w:lang w:val="zh-CN"/>
              </w:rPr>
            </w:pPr>
            <w:r>
              <w:rPr>
                <w:rFonts w:hint="eastAsia" w:cs="仿宋"/>
                <w:bCs/>
                <w:color w:val="auto"/>
                <w:sz w:val="24"/>
                <w:szCs w:val="24"/>
                <w:lang w:val="zh-CN"/>
              </w:rPr>
              <w:t>有关本项目实施所需的所有费用（含税费）均计入报价。</w:t>
            </w:r>
            <w:r>
              <w:rPr>
                <w:rFonts w:hint="eastAsia" w:cs="仿宋"/>
                <w:bCs/>
                <w:color w:val="auto"/>
                <w:sz w:val="24"/>
                <w:szCs w:val="24"/>
              </w:rPr>
              <w:t>响应一览表（报价表）是报价的唯一载体</w:t>
            </w:r>
            <w:r>
              <w:rPr>
                <w:rFonts w:hint="eastAsia" w:cs="仿宋"/>
                <w:bCs/>
                <w:color w:val="auto"/>
                <w:sz w:val="24"/>
                <w:szCs w:val="24"/>
                <w:lang w:val="zh-CN"/>
              </w:rPr>
              <w:t>。</w:t>
            </w:r>
            <w:r>
              <w:rPr>
                <w:rFonts w:hint="eastAsia" w:cs="仿宋"/>
                <w:bCs/>
                <w:color w:val="auto"/>
                <w:sz w:val="24"/>
                <w:szCs w:val="24"/>
              </w:rPr>
              <w:t>响应</w:t>
            </w:r>
            <w:r>
              <w:rPr>
                <w:rFonts w:hint="eastAsia" w:cs="仿宋"/>
                <w:bCs/>
                <w:color w:val="auto"/>
                <w:sz w:val="24"/>
                <w:szCs w:val="24"/>
                <w:lang w:val="zh-CN"/>
              </w:rPr>
              <w:t>文件中价格全部采用人民币报价。交易文件未列明，而供应商认为必需的费用也需列入报价。提醒：验收时检测费用由交易发起人承担，不包含在</w:t>
            </w:r>
            <w:r>
              <w:rPr>
                <w:rFonts w:hint="eastAsia" w:cs="仿宋"/>
                <w:bCs/>
                <w:color w:val="auto"/>
                <w:sz w:val="24"/>
                <w:szCs w:val="24"/>
              </w:rPr>
              <w:t>响应</w:t>
            </w:r>
            <w:r>
              <w:rPr>
                <w:rFonts w:hint="eastAsia" w:cs="仿宋"/>
                <w:bCs/>
                <w:color w:val="auto"/>
                <w:sz w:val="24"/>
                <w:szCs w:val="24"/>
                <w:lang w:val="zh-CN"/>
              </w:rPr>
              <w:t>总价中。</w:t>
            </w:r>
          </w:p>
          <w:p w14:paraId="3B26E7F6">
            <w:pPr>
              <w:keepNext w:val="0"/>
              <w:keepLines w:val="0"/>
              <w:pageBreakBefore w:val="0"/>
              <w:kinsoku/>
              <w:wordWrap/>
              <w:overflowPunct/>
              <w:topLinePunct w:val="0"/>
              <w:autoSpaceDE/>
              <w:autoSpaceDN/>
              <w:bidi w:val="0"/>
              <w:snapToGrid/>
              <w:spacing w:after="0" w:line="312" w:lineRule="auto"/>
              <w:textAlignment w:val="auto"/>
              <w:rPr>
                <w:rFonts w:cs="仿宋"/>
                <w:bCs/>
                <w:color w:val="auto"/>
                <w:sz w:val="24"/>
                <w:szCs w:val="24"/>
                <w:lang w:val="zh-CN"/>
              </w:rPr>
            </w:pPr>
            <w:r>
              <w:rPr>
                <w:rFonts w:hint="eastAsia" w:cs="仿宋"/>
                <w:bCs/>
                <w:color w:val="auto"/>
                <w:sz w:val="24"/>
                <w:szCs w:val="24"/>
              </w:rPr>
              <w:t>响应</w:t>
            </w:r>
            <w:r>
              <w:rPr>
                <w:rFonts w:hint="eastAsia" w:cs="仿宋"/>
                <w:bCs/>
                <w:color w:val="auto"/>
                <w:sz w:val="24"/>
                <w:szCs w:val="24"/>
                <w:lang w:val="zh-CN"/>
              </w:rPr>
              <w:t>报价出现下列情形的，</w:t>
            </w:r>
            <w:r>
              <w:rPr>
                <w:rFonts w:hint="eastAsia" w:cs="仿宋"/>
                <w:bCs/>
                <w:color w:val="auto"/>
                <w:sz w:val="24"/>
                <w:szCs w:val="24"/>
              </w:rPr>
              <w:t>响应无效</w:t>
            </w:r>
            <w:r>
              <w:rPr>
                <w:rFonts w:hint="eastAsia" w:cs="仿宋"/>
                <w:bCs/>
                <w:color w:val="auto"/>
                <w:sz w:val="24"/>
                <w:szCs w:val="24"/>
                <w:lang w:val="zh-CN"/>
              </w:rPr>
              <w:t>：</w:t>
            </w:r>
          </w:p>
          <w:p w14:paraId="0C1E4576">
            <w:pPr>
              <w:keepNext w:val="0"/>
              <w:keepLines w:val="0"/>
              <w:pageBreakBefore w:val="0"/>
              <w:kinsoku/>
              <w:wordWrap/>
              <w:overflowPunct/>
              <w:topLinePunct w:val="0"/>
              <w:autoSpaceDE/>
              <w:autoSpaceDN/>
              <w:bidi w:val="0"/>
              <w:snapToGrid/>
              <w:spacing w:after="0" w:line="312" w:lineRule="auto"/>
              <w:ind w:firstLine="480" w:firstLineChars="200"/>
              <w:textAlignment w:val="auto"/>
              <w:rPr>
                <w:rFonts w:cs="仿宋"/>
                <w:bCs/>
                <w:color w:val="auto"/>
                <w:sz w:val="24"/>
                <w:szCs w:val="24"/>
                <w:lang w:val="zh-CN"/>
              </w:rPr>
            </w:pPr>
            <w:r>
              <w:rPr>
                <w:rFonts w:hint="eastAsia" w:cs="仿宋"/>
                <w:bCs/>
                <w:color w:val="auto"/>
                <w:sz w:val="24"/>
                <w:szCs w:val="24"/>
                <w:lang w:val="zh-CN"/>
              </w:rPr>
              <w:t>响应文件出现不是唯一的、有选择性</w:t>
            </w:r>
            <w:r>
              <w:rPr>
                <w:rFonts w:hint="eastAsia" w:cs="仿宋"/>
                <w:bCs/>
                <w:color w:val="auto"/>
                <w:sz w:val="24"/>
                <w:szCs w:val="24"/>
              </w:rPr>
              <w:t>响应</w:t>
            </w:r>
            <w:r>
              <w:rPr>
                <w:rFonts w:hint="eastAsia" w:cs="仿宋"/>
                <w:bCs/>
                <w:color w:val="auto"/>
                <w:sz w:val="24"/>
                <w:szCs w:val="24"/>
                <w:lang w:val="zh-CN"/>
              </w:rPr>
              <w:t>报价的；</w:t>
            </w:r>
          </w:p>
          <w:p w14:paraId="2A707AD8">
            <w:pPr>
              <w:keepNext w:val="0"/>
              <w:keepLines w:val="0"/>
              <w:pageBreakBefore w:val="0"/>
              <w:kinsoku/>
              <w:wordWrap/>
              <w:overflowPunct/>
              <w:topLinePunct w:val="0"/>
              <w:autoSpaceDE/>
              <w:autoSpaceDN/>
              <w:bidi w:val="0"/>
              <w:snapToGrid/>
              <w:spacing w:after="0" w:line="312" w:lineRule="auto"/>
              <w:ind w:firstLine="480" w:firstLineChars="200"/>
              <w:textAlignment w:val="auto"/>
              <w:rPr>
                <w:rFonts w:cs="仿宋"/>
                <w:bCs/>
                <w:color w:val="auto"/>
                <w:sz w:val="24"/>
                <w:szCs w:val="24"/>
                <w:lang w:val="zh-CN"/>
              </w:rPr>
            </w:pPr>
            <w:r>
              <w:rPr>
                <w:rFonts w:hint="eastAsia" w:cs="仿宋"/>
                <w:bCs/>
                <w:color w:val="auto"/>
                <w:sz w:val="24"/>
                <w:szCs w:val="24"/>
              </w:rPr>
              <w:t>响应</w:t>
            </w:r>
            <w:r>
              <w:rPr>
                <w:rFonts w:hint="eastAsia" w:cs="仿宋"/>
                <w:bCs/>
                <w:color w:val="auto"/>
                <w:sz w:val="24"/>
                <w:szCs w:val="24"/>
                <w:lang w:val="zh-CN"/>
              </w:rPr>
              <w:t>报价超过交易文件中规定的预算金额或者最高限价的;</w:t>
            </w:r>
          </w:p>
          <w:p w14:paraId="1A815C8C">
            <w:pPr>
              <w:keepNext w:val="0"/>
              <w:keepLines w:val="0"/>
              <w:pageBreakBefore w:val="0"/>
              <w:kinsoku/>
              <w:wordWrap/>
              <w:overflowPunct/>
              <w:topLinePunct w:val="0"/>
              <w:autoSpaceDE/>
              <w:autoSpaceDN/>
              <w:bidi w:val="0"/>
              <w:snapToGrid/>
              <w:spacing w:after="0" w:line="312" w:lineRule="auto"/>
              <w:ind w:firstLine="480" w:firstLineChars="200"/>
              <w:textAlignment w:val="auto"/>
              <w:rPr>
                <w:rFonts w:cs="仿宋"/>
                <w:bCs/>
                <w:color w:val="auto"/>
                <w:sz w:val="24"/>
                <w:szCs w:val="24"/>
              </w:rPr>
            </w:pPr>
            <w:r>
              <w:rPr>
                <w:rFonts w:hint="eastAsia" w:cs="仿宋"/>
                <w:bCs/>
                <w:color w:val="auto"/>
                <w:sz w:val="24"/>
                <w:szCs w:val="24"/>
              </w:rPr>
              <w:t>报价明显低于其他通过符合性审查供应商的报价，有可能影响产品质量或者不能诚信履约的，未能按要求提供书面说明或者提交相关证明材料证明其报价合理性的;</w:t>
            </w:r>
          </w:p>
          <w:p w14:paraId="00150E28">
            <w:pPr>
              <w:keepNext w:val="0"/>
              <w:keepLines w:val="0"/>
              <w:pageBreakBefore w:val="0"/>
              <w:kinsoku/>
              <w:wordWrap/>
              <w:overflowPunct/>
              <w:topLinePunct w:val="0"/>
              <w:autoSpaceDE/>
              <w:autoSpaceDN/>
              <w:bidi w:val="0"/>
              <w:snapToGrid/>
              <w:spacing w:after="0" w:line="312" w:lineRule="auto"/>
              <w:ind w:firstLine="480" w:firstLineChars="200"/>
              <w:textAlignment w:val="auto"/>
              <w:rPr>
                <w:rFonts w:cs="仿宋"/>
                <w:bCs/>
                <w:color w:val="auto"/>
                <w:sz w:val="24"/>
                <w:szCs w:val="24"/>
              </w:rPr>
            </w:pPr>
            <w:r>
              <w:rPr>
                <w:rFonts w:hint="eastAsia" w:cs="仿宋"/>
                <w:bCs/>
                <w:color w:val="auto"/>
                <w:sz w:val="24"/>
                <w:szCs w:val="24"/>
              </w:rPr>
              <w:t>供应商对根据修正原则修正后的报价不确认的。</w:t>
            </w:r>
          </w:p>
          <w:p w14:paraId="1694DA25">
            <w:pPr>
              <w:keepNext w:val="0"/>
              <w:keepLines w:val="0"/>
              <w:pageBreakBefore w:val="0"/>
              <w:kinsoku/>
              <w:wordWrap/>
              <w:overflowPunct/>
              <w:topLinePunct w:val="0"/>
              <w:autoSpaceDE/>
              <w:autoSpaceDN/>
              <w:bidi w:val="0"/>
              <w:snapToGrid/>
              <w:spacing w:after="0" w:line="312" w:lineRule="auto"/>
              <w:ind w:firstLine="480" w:firstLineChars="200"/>
              <w:textAlignment w:val="auto"/>
              <w:rPr>
                <w:rFonts w:cs="仿宋"/>
                <w:color w:val="auto"/>
                <w:sz w:val="24"/>
                <w:szCs w:val="24"/>
              </w:rPr>
            </w:pPr>
            <w:r>
              <w:rPr>
                <w:rFonts w:hint="eastAsia" w:cs="仿宋"/>
                <w:bCs/>
                <w:color w:val="auto"/>
                <w:sz w:val="24"/>
                <w:szCs w:val="24"/>
              </w:rPr>
              <w:t>资格文件、商务技术文件与报价文件未分开制作。</w:t>
            </w:r>
          </w:p>
        </w:tc>
      </w:tr>
      <w:tr w14:paraId="24A2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14:paraId="632E60DA">
            <w:pPr>
              <w:spacing w:after="0" w:line="360" w:lineRule="auto"/>
              <w:jc w:val="center"/>
              <w:rPr>
                <w:rFonts w:cs="仿宋"/>
                <w:color w:val="auto"/>
                <w:sz w:val="24"/>
                <w:szCs w:val="24"/>
              </w:rPr>
            </w:pPr>
            <w:r>
              <w:rPr>
                <w:rFonts w:hint="eastAsia" w:cs="仿宋"/>
                <w:color w:val="auto"/>
                <w:sz w:val="24"/>
                <w:szCs w:val="24"/>
              </w:rPr>
              <w:t>11</w:t>
            </w:r>
          </w:p>
        </w:tc>
        <w:tc>
          <w:tcPr>
            <w:tcW w:w="912" w:type="pct"/>
            <w:vAlign w:val="center"/>
          </w:tcPr>
          <w:p w14:paraId="013641A4">
            <w:pPr>
              <w:spacing w:after="0" w:line="360" w:lineRule="auto"/>
              <w:rPr>
                <w:rFonts w:cs="仿宋"/>
                <w:color w:val="auto"/>
                <w:sz w:val="24"/>
                <w:szCs w:val="24"/>
              </w:rPr>
            </w:pPr>
            <w:r>
              <w:rPr>
                <w:rFonts w:hint="eastAsia" w:cs="仿宋"/>
                <w:b/>
                <w:color w:val="auto"/>
                <w:sz w:val="24"/>
                <w:szCs w:val="24"/>
              </w:rPr>
              <w:t>中小企业信用融资</w:t>
            </w:r>
          </w:p>
        </w:tc>
        <w:tc>
          <w:tcPr>
            <w:tcW w:w="3777" w:type="pct"/>
            <w:vAlign w:val="center"/>
          </w:tcPr>
          <w:p w14:paraId="7CA502F2">
            <w:pPr>
              <w:keepNext w:val="0"/>
              <w:keepLines w:val="0"/>
              <w:pageBreakBefore w:val="0"/>
              <w:kinsoku/>
              <w:wordWrap/>
              <w:overflowPunct/>
              <w:topLinePunct w:val="0"/>
              <w:autoSpaceDE/>
              <w:autoSpaceDN/>
              <w:bidi w:val="0"/>
              <w:snapToGrid/>
              <w:spacing w:after="0" w:line="312" w:lineRule="auto"/>
              <w:textAlignment w:val="auto"/>
              <w:rPr>
                <w:rFonts w:cs="仿宋"/>
                <w:color w:val="auto"/>
                <w:sz w:val="24"/>
                <w:szCs w:val="24"/>
              </w:rPr>
            </w:pPr>
            <w:r>
              <w:rPr>
                <w:rFonts w:hint="eastAsia" w:cs="仿宋"/>
                <w:color w:val="auto"/>
                <w:sz w:val="24"/>
                <w:szCs w:val="24"/>
              </w:rPr>
              <w:t>本项目支持《杭州市萧山区政府采购支持中小企业信用融资暂行办法》。</w:t>
            </w:r>
          </w:p>
          <w:p w14:paraId="555FBBD0">
            <w:pPr>
              <w:keepNext w:val="0"/>
              <w:keepLines w:val="0"/>
              <w:pageBreakBefore w:val="0"/>
              <w:kinsoku/>
              <w:wordWrap/>
              <w:overflowPunct/>
              <w:topLinePunct w:val="0"/>
              <w:autoSpaceDE/>
              <w:autoSpaceDN/>
              <w:bidi w:val="0"/>
              <w:snapToGrid/>
              <w:spacing w:after="0" w:line="312" w:lineRule="auto"/>
              <w:textAlignment w:val="auto"/>
              <w:rPr>
                <w:rFonts w:cs="仿宋"/>
                <w:color w:val="auto"/>
                <w:sz w:val="24"/>
                <w:szCs w:val="24"/>
              </w:rPr>
            </w:pPr>
            <w:r>
              <w:rPr>
                <w:rFonts w:hint="eastAsia" w:cs="仿宋"/>
                <w:color w:val="auto"/>
                <w:sz w:val="24"/>
                <w:szCs w:val="24"/>
              </w:rPr>
              <w:t>有融资需求的成交供应商可参照相关规定及银行方案凭政府采购合同向相关合作银行提出信用融资（贷款）申请。详见</w:t>
            </w:r>
            <w:r>
              <w:rPr>
                <w:color w:val="auto"/>
                <w:sz w:val="24"/>
                <w:szCs w:val="24"/>
              </w:rPr>
              <w:fldChar w:fldCharType="begin"/>
            </w:r>
            <w:r>
              <w:rPr>
                <w:color w:val="auto"/>
                <w:sz w:val="24"/>
                <w:szCs w:val="24"/>
              </w:rPr>
              <w:instrText xml:space="preserve"> HYPERLINK "http://www.xiaoshan.gov.cn/art/2018/12/20/art_1229293109_1559514.html" </w:instrText>
            </w:r>
            <w:r>
              <w:rPr>
                <w:color w:val="auto"/>
                <w:sz w:val="24"/>
                <w:szCs w:val="24"/>
              </w:rPr>
              <w:fldChar w:fldCharType="separate"/>
            </w:r>
            <w:r>
              <w:rPr>
                <w:rStyle w:val="37"/>
                <w:rFonts w:hint="eastAsia" w:ascii="仿宋" w:hAnsi="仿宋" w:eastAsia="仿宋" w:cs="仿宋"/>
                <w:snapToGrid/>
                <w:color w:val="auto"/>
                <w:sz w:val="24"/>
                <w:szCs w:val="24"/>
              </w:rPr>
              <w:t>http://www.xiaoshan.gov.cn/art/2018/12/20/art_1229293109_1559514.html</w:t>
            </w:r>
            <w:r>
              <w:rPr>
                <w:rStyle w:val="37"/>
                <w:rFonts w:hint="eastAsia" w:ascii="仿宋" w:hAnsi="仿宋" w:eastAsia="仿宋" w:cs="仿宋"/>
                <w:snapToGrid/>
                <w:color w:val="auto"/>
                <w:sz w:val="24"/>
                <w:szCs w:val="24"/>
              </w:rPr>
              <w:fldChar w:fldCharType="end"/>
            </w:r>
          </w:p>
          <w:p w14:paraId="289F1CE2">
            <w:pPr>
              <w:keepNext w:val="0"/>
              <w:keepLines w:val="0"/>
              <w:pageBreakBefore w:val="0"/>
              <w:kinsoku/>
              <w:wordWrap/>
              <w:overflowPunct/>
              <w:topLinePunct w:val="0"/>
              <w:autoSpaceDE/>
              <w:autoSpaceDN/>
              <w:bidi w:val="0"/>
              <w:snapToGrid/>
              <w:spacing w:after="0" w:line="312" w:lineRule="auto"/>
              <w:textAlignment w:val="auto"/>
              <w:rPr>
                <w:rFonts w:cs="仿宋"/>
                <w:color w:val="auto"/>
                <w:sz w:val="24"/>
                <w:szCs w:val="24"/>
              </w:rPr>
            </w:pPr>
            <w:r>
              <w:rPr>
                <w:rFonts w:hint="eastAsia" w:cs="仿宋"/>
                <w:snapToGrid w:val="0"/>
                <w:color w:val="auto"/>
                <w:kern w:val="28"/>
                <w:sz w:val="24"/>
                <w:szCs w:val="24"/>
              </w:rPr>
              <w:t>供应商成交后也可在“</w:t>
            </w:r>
            <w:r>
              <w:rPr>
                <w:rFonts w:hint="eastAsia" w:cs="仿宋"/>
                <w:snapToGrid w:val="0"/>
                <w:color w:val="auto"/>
                <w:kern w:val="28"/>
                <w:sz w:val="24"/>
                <w:szCs w:val="24"/>
                <w:lang w:eastAsia="zh-CN"/>
              </w:rPr>
              <w:t>萧采云</w:t>
            </w:r>
            <w:r>
              <w:rPr>
                <w:rFonts w:hint="eastAsia" w:cs="仿宋"/>
                <w:snapToGrid w:val="0"/>
                <w:color w:val="auto"/>
                <w:kern w:val="28"/>
                <w:sz w:val="24"/>
                <w:szCs w:val="24"/>
              </w:rPr>
              <w:t>”平台申请政采贷：操作路径：登录</w:t>
            </w:r>
            <w:r>
              <w:rPr>
                <w:rFonts w:hint="eastAsia" w:cs="仿宋"/>
                <w:snapToGrid w:val="0"/>
                <w:color w:val="auto"/>
                <w:kern w:val="28"/>
                <w:sz w:val="24"/>
                <w:szCs w:val="24"/>
                <w:lang w:eastAsia="zh-CN"/>
              </w:rPr>
              <w:t>乐采云平台</w:t>
            </w:r>
            <w:r>
              <w:rPr>
                <w:rFonts w:hint="eastAsia" w:cs="仿宋"/>
                <w:snapToGrid w:val="0"/>
                <w:color w:val="auto"/>
                <w:kern w:val="28"/>
                <w:sz w:val="24"/>
                <w:szCs w:val="24"/>
              </w:rPr>
              <w:t xml:space="preserve"> - 金融服务中心 -【融资服务】，可在热门申请中选择产品直接申请，也可点击云智贷匹配适合产品进行申请，或者在可申请项目中根据该项目进行申请。</w:t>
            </w:r>
          </w:p>
        </w:tc>
      </w:tr>
      <w:tr w14:paraId="64A8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10" w:type="pct"/>
            <w:tcBorders>
              <w:left w:val="single" w:color="auto" w:sz="4" w:space="0"/>
              <w:bottom w:val="single" w:color="auto" w:sz="4" w:space="0"/>
            </w:tcBorders>
            <w:vAlign w:val="center"/>
          </w:tcPr>
          <w:p w14:paraId="721FBCAD">
            <w:pPr>
              <w:spacing w:after="0" w:line="360" w:lineRule="auto"/>
              <w:jc w:val="center"/>
              <w:rPr>
                <w:rFonts w:cs="仿宋"/>
                <w:color w:val="auto"/>
                <w:sz w:val="24"/>
                <w:szCs w:val="24"/>
              </w:rPr>
            </w:pPr>
            <w:r>
              <w:rPr>
                <w:rFonts w:hint="eastAsia" w:cs="仿宋"/>
                <w:color w:val="auto"/>
                <w:sz w:val="24"/>
                <w:szCs w:val="24"/>
              </w:rPr>
              <w:t>12</w:t>
            </w:r>
          </w:p>
        </w:tc>
        <w:tc>
          <w:tcPr>
            <w:tcW w:w="912" w:type="pct"/>
            <w:tcBorders>
              <w:bottom w:val="single" w:color="auto" w:sz="4" w:space="0"/>
            </w:tcBorders>
            <w:vAlign w:val="center"/>
          </w:tcPr>
          <w:p w14:paraId="41DE21F7">
            <w:pPr>
              <w:spacing w:after="0" w:line="360" w:lineRule="auto"/>
              <w:rPr>
                <w:rFonts w:cs="仿宋"/>
                <w:color w:val="auto"/>
                <w:sz w:val="24"/>
                <w:szCs w:val="24"/>
              </w:rPr>
            </w:pPr>
            <w:r>
              <w:rPr>
                <w:rFonts w:hint="eastAsia" w:cs="仿宋"/>
                <w:b/>
                <w:color w:val="auto"/>
                <w:sz w:val="24"/>
                <w:szCs w:val="24"/>
              </w:rPr>
              <w:t>备份响应文件</w:t>
            </w:r>
          </w:p>
        </w:tc>
        <w:tc>
          <w:tcPr>
            <w:tcW w:w="3777" w:type="pct"/>
            <w:tcBorders>
              <w:bottom w:val="single" w:color="auto" w:sz="4" w:space="0"/>
              <w:right w:val="single" w:color="auto" w:sz="4" w:space="0"/>
            </w:tcBorders>
            <w:vAlign w:val="center"/>
          </w:tcPr>
          <w:p w14:paraId="5E56ABE2">
            <w:pPr>
              <w:keepNext w:val="0"/>
              <w:keepLines w:val="0"/>
              <w:pageBreakBefore w:val="0"/>
              <w:kinsoku/>
              <w:wordWrap/>
              <w:overflowPunct/>
              <w:topLinePunct w:val="0"/>
              <w:autoSpaceDE/>
              <w:autoSpaceDN/>
              <w:bidi w:val="0"/>
              <w:snapToGrid/>
              <w:spacing w:after="0" w:line="312" w:lineRule="auto"/>
              <w:textAlignment w:val="auto"/>
              <w:rPr>
                <w:rFonts w:hint="eastAsia" w:eastAsia="仿宋" w:cs="仿宋"/>
                <w:color w:val="auto"/>
                <w:sz w:val="24"/>
                <w:szCs w:val="24"/>
                <w:lang w:eastAsia="zh-CN"/>
              </w:rPr>
            </w:pPr>
            <w:r>
              <w:rPr>
                <w:rFonts w:hint="eastAsia" w:cs="仿宋"/>
                <w:color w:val="auto"/>
                <w:kern w:val="28"/>
                <w:sz w:val="24"/>
                <w:szCs w:val="24"/>
              </w:rPr>
              <w:t>备份文件是否收取：不收取</w:t>
            </w:r>
            <w:r>
              <w:rPr>
                <w:rFonts w:hint="eastAsia" w:cs="仿宋"/>
                <w:color w:val="auto"/>
                <w:kern w:val="28"/>
                <w:sz w:val="24"/>
                <w:szCs w:val="24"/>
                <w:lang w:eastAsia="zh-CN"/>
              </w:rPr>
              <w:t>。</w:t>
            </w:r>
          </w:p>
        </w:tc>
      </w:tr>
      <w:tr w14:paraId="0A4B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310" w:type="pct"/>
            <w:tcBorders>
              <w:top w:val="single" w:color="auto" w:sz="4" w:space="0"/>
              <w:left w:val="single" w:color="auto" w:sz="4" w:space="0"/>
              <w:bottom w:val="single" w:color="auto" w:sz="4" w:space="0"/>
            </w:tcBorders>
            <w:vAlign w:val="center"/>
          </w:tcPr>
          <w:p w14:paraId="6D71170D">
            <w:pPr>
              <w:spacing w:after="0" w:line="360" w:lineRule="auto"/>
              <w:jc w:val="center"/>
              <w:rPr>
                <w:rFonts w:cs="仿宋"/>
                <w:color w:val="auto"/>
                <w:sz w:val="24"/>
                <w:szCs w:val="24"/>
              </w:rPr>
            </w:pPr>
            <w:r>
              <w:rPr>
                <w:rFonts w:hint="eastAsia" w:cs="仿宋"/>
                <w:color w:val="auto"/>
                <w:sz w:val="24"/>
                <w:szCs w:val="24"/>
              </w:rPr>
              <w:t>13</w:t>
            </w:r>
          </w:p>
        </w:tc>
        <w:tc>
          <w:tcPr>
            <w:tcW w:w="912" w:type="pct"/>
            <w:tcBorders>
              <w:top w:val="single" w:color="auto" w:sz="4" w:space="0"/>
              <w:bottom w:val="single" w:color="auto" w:sz="4" w:space="0"/>
            </w:tcBorders>
            <w:vAlign w:val="center"/>
          </w:tcPr>
          <w:p w14:paraId="23C1D762">
            <w:pPr>
              <w:spacing w:after="0" w:line="360" w:lineRule="auto"/>
              <w:rPr>
                <w:rFonts w:cs="仿宋"/>
                <w:color w:val="auto"/>
                <w:sz w:val="24"/>
                <w:szCs w:val="24"/>
                <w:highlight w:val="yellow"/>
              </w:rPr>
            </w:pPr>
            <w:r>
              <w:rPr>
                <w:rFonts w:hint="eastAsia" w:cs="仿宋"/>
                <w:b/>
                <w:color w:val="auto"/>
                <w:sz w:val="24"/>
                <w:szCs w:val="24"/>
                <w:highlight w:val="none"/>
              </w:rPr>
              <w:t>采购机构代理费用</w:t>
            </w:r>
          </w:p>
        </w:tc>
        <w:tc>
          <w:tcPr>
            <w:tcW w:w="3777" w:type="pct"/>
            <w:tcBorders>
              <w:top w:val="single" w:color="auto" w:sz="4" w:space="0"/>
              <w:bottom w:val="single" w:color="auto" w:sz="4" w:space="0"/>
              <w:right w:val="single" w:color="auto" w:sz="4" w:space="0"/>
            </w:tcBorders>
            <w:vAlign w:val="center"/>
          </w:tcPr>
          <w:p w14:paraId="5B2390D3">
            <w:pPr>
              <w:keepNext w:val="0"/>
              <w:keepLines w:val="0"/>
              <w:pageBreakBefore w:val="0"/>
              <w:kinsoku/>
              <w:wordWrap/>
              <w:overflowPunct/>
              <w:topLinePunct w:val="0"/>
              <w:autoSpaceDE/>
              <w:autoSpaceDN/>
              <w:bidi w:val="0"/>
              <w:snapToGrid/>
              <w:spacing w:after="0" w:line="312" w:lineRule="auto"/>
              <w:textAlignment w:val="auto"/>
              <w:rPr>
                <w:rFonts w:cs="仿宋"/>
                <w:color w:val="auto"/>
                <w:sz w:val="24"/>
                <w:szCs w:val="24"/>
                <w:highlight w:val="yellow"/>
              </w:rPr>
            </w:pPr>
            <w:r>
              <w:rPr>
                <w:rFonts w:hint="eastAsia" w:ascii="仿宋" w:hAnsi="仿宋" w:eastAsia="仿宋" w:cs="仿宋"/>
                <w:snapToGrid w:val="0"/>
                <w:color w:val="auto"/>
                <w:kern w:val="28"/>
                <w:sz w:val="24"/>
                <w:szCs w:val="24"/>
                <w:highlight w:val="none"/>
                <w:lang w:val="en-US" w:eastAsia="zh-CN"/>
              </w:rPr>
              <w:t>本项目采购代理费</w:t>
            </w:r>
            <w:r>
              <w:rPr>
                <w:rFonts w:hint="eastAsia" w:cs="仿宋"/>
                <w:snapToGrid w:val="0"/>
                <w:color w:val="auto"/>
                <w:kern w:val="28"/>
                <w:sz w:val="24"/>
                <w:szCs w:val="24"/>
                <w:highlight w:val="none"/>
                <w:lang w:val="en-US" w:eastAsia="zh-CN"/>
              </w:rPr>
              <w:t>及专家费</w:t>
            </w:r>
            <w:r>
              <w:rPr>
                <w:rFonts w:hint="eastAsia" w:ascii="仿宋" w:hAnsi="仿宋" w:eastAsia="仿宋" w:cs="仿宋"/>
                <w:snapToGrid w:val="0"/>
                <w:color w:val="auto"/>
                <w:kern w:val="28"/>
                <w:sz w:val="24"/>
                <w:szCs w:val="24"/>
                <w:highlight w:val="none"/>
                <w:lang w:val="en-US" w:eastAsia="zh-CN"/>
              </w:rPr>
              <w:t>由</w:t>
            </w:r>
            <w:r>
              <w:rPr>
                <w:rFonts w:hint="eastAsia" w:cs="仿宋"/>
                <w:snapToGrid w:val="0"/>
                <w:color w:val="auto"/>
                <w:kern w:val="28"/>
                <w:sz w:val="24"/>
                <w:szCs w:val="24"/>
                <w:highlight w:val="none"/>
                <w:lang w:val="en-US" w:eastAsia="zh-CN"/>
              </w:rPr>
              <w:t>成交人</w:t>
            </w:r>
            <w:r>
              <w:rPr>
                <w:rFonts w:hint="eastAsia" w:ascii="仿宋" w:hAnsi="仿宋" w:eastAsia="仿宋" w:cs="仿宋"/>
                <w:snapToGrid w:val="0"/>
                <w:color w:val="auto"/>
                <w:kern w:val="28"/>
                <w:sz w:val="24"/>
                <w:szCs w:val="24"/>
                <w:highlight w:val="none"/>
                <w:lang w:val="en-US" w:eastAsia="zh-CN"/>
              </w:rPr>
              <w:t>支付。代理费按国家发展计划委员会的计价格[2002]1980号文件</w:t>
            </w:r>
            <w:r>
              <w:rPr>
                <w:rFonts w:hint="eastAsia" w:cs="仿宋"/>
                <w:snapToGrid w:val="0"/>
                <w:color w:val="auto"/>
                <w:kern w:val="28"/>
                <w:sz w:val="24"/>
                <w:szCs w:val="24"/>
                <w:highlight w:val="none"/>
                <w:lang w:val="en-US" w:eastAsia="zh-CN"/>
              </w:rPr>
              <w:t>货物</w:t>
            </w:r>
            <w:r>
              <w:rPr>
                <w:rFonts w:hint="eastAsia" w:ascii="仿宋" w:hAnsi="仿宋" w:eastAsia="仿宋" w:cs="仿宋"/>
                <w:snapToGrid w:val="0"/>
                <w:color w:val="auto"/>
                <w:kern w:val="28"/>
                <w:sz w:val="24"/>
                <w:szCs w:val="24"/>
                <w:highlight w:val="none"/>
                <w:lang w:val="en-US" w:eastAsia="zh-CN"/>
              </w:rPr>
              <w:t>类收费标准</w:t>
            </w:r>
            <w:r>
              <w:rPr>
                <w:rFonts w:hint="eastAsia" w:cs="仿宋"/>
                <w:snapToGrid w:val="0"/>
                <w:color w:val="auto"/>
                <w:kern w:val="28"/>
                <w:sz w:val="24"/>
                <w:szCs w:val="24"/>
                <w:highlight w:val="none"/>
                <w:lang w:val="en-US" w:eastAsia="zh-CN"/>
              </w:rPr>
              <w:t>下浮30%</w:t>
            </w:r>
            <w:r>
              <w:rPr>
                <w:rFonts w:hint="eastAsia" w:ascii="仿宋" w:hAnsi="仿宋" w:eastAsia="仿宋" w:cs="仿宋"/>
                <w:snapToGrid w:val="0"/>
                <w:color w:val="auto"/>
                <w:kern w:val="28"/>
                <w:sz w:val="24"/>
                <w:szCs w:val="24"/>
                <w:highlight w:val="none"/>
                <w:lang w:val="en-US" w:eastAsia="zh-CN"/>
              </w:rPr>
              <w:t>收取（不足2000元按2000元支付），由</w:t>
            </w:r>
            <w:r>
              <w:rPr>
                <w:rFonts w:hint="eastAsia" w:cs="仿宋"/>
                <w:snapToGrid w:val="0"/>
                <w:color w:val="auto"/>
                <w:kern w:val="28"/>
                <w:sz w:val="24"/>
                <w:szCs w:val="24"/>
                <w:highlight w:val="none"/>
                <w:lang w:val="en-US" w:eastAsia="zh-CN"/>
              </w:rPr>
              <w:t>成交人</w:t>
            </w:r>
            <w:r>
              <w:rPr>
                <w:rFonts w:hint="eastAsia" w:ascii="仿宋" w:hAnsi="仿宋" w:eastAsia="仿宋" w:cs="仿宋"/>
                <w:snapToGrid w:val="0"/>
                <w:color w:val="auto"/>
                <w:kern w:val="28"/>
                <w:sz w:val="24"/>
                <w:szCs w:val="24"/>
                <w:highlight w:val="none"/>
                <w:lang w:val="en-US" w:eastAsia="zh-CN"/>
              </w:rPr>
              <w:t>在领取</w:t>
            </w:r>
            <w:r>
              <w:rPr>
                <w:rFonts w:hint="eastAsia" w:cs="仿宋"/>
                <w:snapToGrid w:val="0"/>
                <w:color w:val="auto"/>
                <w:kern w:val="28"/>
                <w:sz w:val="24"/>
                <w:szCs w:val="24"/>
                <w:highlight w:val="none"/>
                <w:lang w:val="en-US" w:eastAsia="zh-CN"/>
              </w:rPr>
              <w:t>成交</w:t>
            </w:r>
            <w:r>
              <w:rPr>
                <w:rFonts w:hint="eastAsia" w:ascii="仿宋" w:hAnsi="仿宋" w:eastAsia="仿宋" w:cs="仿宋"/>
                <w:snapToGrid w:val="0"/>
                <w:color w:val="auto"/>
                <w:kern w:val="28"/>
                <w:sz w:val="24"/>
                <w:szCs w:val="24"/>
                <w:highlight w:val="none"/>
                <w:lang w:val="en-US" w:eastAsia="zh-CN"/>
              </w:rPr>
              <w:t>通知书时一次性向采购代理机构付清。</w:t>
            </w:r>
          </w:p>
        </w:tc>
      </w:tr>
      <w:tr w14:paraId="4406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tcBorders>
              <w:top w:val="single" w:color="auto" w:sz="4" w:space="0"/>
            </w:tcBorders>
            <w:vAlign w:val="center"/>
          </w:tcPr>
          <w:p w14:paraId="3B6A642E">
            <w:pPr>
              <w:spacing w:after="0" w:line="360" w:lineRule="auto"/>
              <w:jc w:val="center"/>
              <w:rPr>
                <w:rFonts w:cs="仿宋"/>
                <w:color w:val="auto"/>
                <w:sz w:val="24"/>
                <w:szCs w:val="24"/>
                <w:highlight w:val="none"/>
              </w:rPr>
            </w:pPr>
            <w:r>
              <w:rPr>
                <w:rFonts w:hint="eastAsia" w:cs="仿宋"/>
                <w:color w:val="auto"/>
                <w:sz w:val="24"/>
                <w:szCs w:val="24"/>
                <w:highlight w:val="none"/>
              </w:rPr>
              <w:t>14</w:t>
            </w:r>
          </w:p>
        </w:tc>
        <w:tc>
          <w:tcPr>
            <w:tcW w:w="912" w:type="pct"/>
            <w:tcBorders>
              <w:top w:val="single" w:color="auto" w:sz="4" w:space="0"/>
            </w:tcBorders>
            <w:vAlign w:val="center"/>
          </w:tcPr>
          <w:p w14:paraId="0E6AA1C9">
            <w:pPr>
              <w:spacing w:after="0" w:line="360" w:lineRule="auto"/>
              <w:rPr>
                <w:rFonts w:cs="仿宋"/>
                <w:color w:val="auto"/>
                <w:sz w:val="24"/>
                <w:szCs w:val="24"/>
                <w:highlight w:val="none"/>
              </w:rPr>
            </w:pPr>
            <w:r>
              <w:rPr>
                <w:rFonts w:hint="eastAsia" w:cs="仿宋"/>
                <w:b/>
                <w:color w:val="auto"/>
                <w:sz w:val="24"/>
                <w:szCs w:val="24"/>
                <w:highlight w:val="none"/>
              </w:rPr>
              <w:t>履约保证金</w:t>
            </w:r>
          </w:p>
        </w:tc>
        <w:tc>
          <w:tcPr>
            <w:tcW w:w="3777" w:type="pct"/>
            <w:tcBorders>
              <w:top w:val="single" w:color="auto" w:sz="4" w:space="0"/>
            </w:tcBorders>
            <w:vAlign w:val="center"/>
          </w:tcPr>
          <w:p w14:paraId="7CF86B8E">
            <w:pPr>
              <w:pStyle w:val="18"/>
              <w:keepNext w:val="0"/>
              <w:keepLines w:val="0"/>
              <w:pageBreakBefore w:val="0"/>
              <w:kinsoku/>
              <w:wordWrap/>
              <w:overflowPunct/>
              <w:topLinePunct w:val="0"/>
              <w:autoSpaceDE/>
              <w:autoSpaceDN/>
              <w:bidi w:val="0"/>
              <w:snapToGrid/>
              <w:spacing w:line="312" w:lineRule="auto"/>
              <w:ind w:hanging="4"/>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r>
              <w:rPr>
                <w:rFonts w:hint="default" w:ascii="仿宋" w:hAnsi="仿宋" w:eastAsia="仿宋" w:cs="仿宋"/>
                <w:color w:val="auto"/>
                <w:sz w:val="24"/>
                <w:szCs w:val="24"/>
                <w:highlight w:val="none"/>
                <w:lang w:val="en-US" w:eastAsia="zh-CN"/>
              </w:rPr>
              <w:t>。</w:t>
            </w:r>
          </w:p>
        </w:tc>
      </w:tr>
      <w:tr w14:paraId="5563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10" w:type="pct"/>
            <w:vAlign w:val="center"/>
          </w:tcPr>
          <w:p w14:paraId="610406B7">
            <w:pPr>
              <w:spacing w:after="0" w:line="360" w:lineRule="auto"/>
              <w:jc w:val="center"/>
              <w:rPr>
                <w:rFonts w:cs="仿宋"/>
                <w:color w:val="auto"/>
                <w:sz w:val="24"/>
                <w:szCs w:val="24"/>
              </w:rPr>
            </w:pPr>
            <w:r>
              <w:rPr>
                <w:rFonts w:hint="eastAsia" w:cs="仿宋"/>
                <w:color w:val="auto"/>
                <w:sz w:val="24"/>
                <w:szCs w:val="24"/>
              </w:rPr>
              <w:t>15</w:t>
            </w:r>
          </w:p>
        </w:tc>
        <w:tc>
          <w:tcPr>
            <w:tcW w:w="912" w:type="pct"/>
            <w:vAlign w:val="center"/>
          </w:tcPr>
          <w:p w14:paraId="4A6DACBC">
            <w:pPr>
              <w:spacing w:after="0" w:line="360" w:lineRule="auto"/>
              <w:rPr>
                <w:rFonts w:cs="仿宋"/>
                <w:color w:val="auto"/>
                <w:sz w:val="24"/>
                <w:szCs w:val="24"/>
              </w:rPr>
            </w:pPr>
            <w:r>
              <w:rPr>
                <w:rFonts w:hint="eastAsia" w:cs="仿宋"/>
                <w:b/>
                <w:color w:val="auto"/>
                <w:sz w:val="24"/>
                <w:szCs w:val="24"/>
              </w:rPr>
              <w:t>资格审查和信用信息审查</w:t>
            </w:r>
          </w:p>
        </w:tc>
        <w:tc>
          <w:tcPr>
            <w:tcW w:w="3777" w:type="pct"/>
            <w:vAlign w:val="center"/>
          </w:tcPr>
          <w:p w14:paraId="5841EA90">
            <w:pPr>
              <w:keepNext w:val="0"/>
              <w:keepLines w:val="0"/>
              <w:pageBreakBefore w:val="0"/>
              <w:kinsoku/>
              <w:wordWrap/>
              <w:overflowPunct/>
              <w:topLinePunct w:val="0"/>
              <w:autoSpaceDE/>
              <w:autoSpaceDN/>
              <w:bidi w:val="0"/>
              <w:snapToGrid/>
              <w:spacing w:after="0" w:line="312" w:lineRule="auto"/>
              <w:textAlignment w:val="auto"/>
              <w:rPr>
                <w:rFonts w:cs="仿宋"/>
                <w:color w:val="auto"/>
                <w:sz w:val="24"/>
                <w:szCs w:val="24"/>
              </w:rPr>
            </w:pPr>
            <w:r>
              <w:rPr>
                <w:rFonts w:hint="eastAsia" w:cs="仿宋"/>
                <w:color w:val="auto"/>
                <w:sz w:val="24"/>
                <w:szCs w:val="24"/>
              </w:rPr>
              <w:t>本项目由</w:t>
            </w:r>
            <w:r>
              <w:rPr>
                <w:rFonts w:hint="eastAsia" w:cs="仿宋"/>
                <w:color w:val="auto"/>
                <w:sz w:val="24"/>
                <w:szCs w:val="24"/>
                <w:lang w:eastAsia="zh-CN"/>
              </w:rPr>
              <w:t>交易发起人</w:t>
            </w:r>
            <w:r>
              <w:rPr>
                <w:rFonts w:hint="eastAsia" w:cs="仿宋"/>
                <w:color w:val="auto"/>
                <w:sz w:val="24"/>
                <w:szCs w:val="24"/>
              </w:rPr>
              <w:t>进行资格文件及信用信息查询。</w:t>
            </w:r>
          </w:p>
        </w:tc>
      </w:tr>
      <w:tr w14:paraId="4B8E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310" w:type="pct"/>
            <w:vAlign w:val="center"/>
          </w:tcPr>
          <w:p w14:paraId="5ECF472F">
            <w:pPr>
              <w:spacing w:after="0" w:line="360" w:lineRule="auto"/>
              <w:jc w:val="center"/>
              <w:rPr>
                <w:rFonts w:cs="仿宋"/>
                <w:color w:val="auto"/>
                <w:sz w:val="24"/>
                <w:szCs w:val="24"/>
              </w:rPr>
            </w:pPr>
            <w:r>
              <w:rPr>
                <w:rFonts w:hint="eastAsia" w:cs="仿宋"/>
                <w:color w:val="auto"/>
                <w:sz w:val="24"/>
                <w:szCs w:val="24"/>
              </w:rPr>
              <w:t>16</w:t>
            </w:r>
          </w:p>
        </w:tc>
        <w:tc>
          <w:tcPr>
            <w:tcW w:w="912" w:type="pct"/>
            <w:vAlign w:val="center"/>
          </w:tcPr>
          <w:p w14:paraId="4FF96DFF">
            <w:pPr>
              <w:spacing w:after="0" w:line="360" w:lineRule="auto"/>
              <w:rPr>
                <w:rFonts w:cs="仿宋"/>
                <w:color w:val="auto"/>
                <w:sz w:val="24"/>
                <w:szCs w:val="24"/>
              </w:rPr>
            </w:pPr>
            <w:r>
              <w:rPr>
                <w:rFonts w:hint="eastAsia" w:cs="仿宋"/>
                <w:b/>
                <w:color w:val="auto"/>
                <w:sz w:val="24"/>
                <w:szCs w:val="24"/>
              </w:rPr>
              <w:t>质疑接收人及答复</w:t>
            </w:r>
          </w:p>
        </w:tc>
        <w:tc>
          <w:tcPr>
            <w:tcW w:w="3777" w:type="pct"/>
            <w:vAlign w:val="center"/>
          </w:tcPr>
          <w:p w14:paraId="2A0AFF21">
            <w:pPr>
              <w:keepNext w:val="0"/>
              <w:keepLines w:val="0"/>
              <w:pageBreakBefore w:val="0"/>
              <w:kinsoku/>
              <w:wordWrap/>
              <w:overflowPunct/>
              <w:topLinePunct w:val="0"/>
              <w:autoSpaceDE/>
              <w:autoSpaceDN/>
              <w:bidi w:val="0"/>
              <w:snapToGrid/>
              <w:spacing w:after="0" w:line="312" w:lineRule="auto"/>
              <w:textAlignment w:val="auto"/>
              <w:rPr>
                <w:rFonts w:cs="仿宋"/>
                <w:color w:val="auto"/>
                <w:sz w:val="24"/>
                <w:szCs w:val="24"/>
              </w:rPr>
            </w:pPr>
            <w:r>
              <w:rPr>
                <w:rFonts w:hint="eastAsia" w:cs="仿宋"/>
                <w:color w:val="auto"/>
                <w:sz w:val="24"/>
                <w:szCs w:val="24"/>
                <w:lang w:eastAsia="zh-CN"/>
              </w:rPr>
              <w:t>交易发起人</w:t>
            </w:r>
            <w:r>
              <w:rPr>
                <w:rFonts w:hint="eastAsia" w:cs="仿宋"/>
                <w:color w:val="auto"/>
                <w:sz w:val="24"/>
                <w:szCs w:val="24"/>
              </w:rPr>
              <w:t>、采购机构质疑接收人、联系方式：详见公告</w:t>
            </w:r>
          </w:p>
          <w:p w14:paraId="1762FDDE">
            <w:pPr>
              <w:keepNext w:val="0"/>
              <w:keepLines w:val="0"/>
              <w:pageBreakBefore w:val="0"/>
              <w:kinsoku/>
              <w:wordWrap/>
              <w:overflowPunct/>
              <w:topLinePunct w:val="0"/>
              <w:autoSpaceDE/>
              <w:autoSpaceDN/>
              <w:bidi w:val="0"/>
              <w:snapToGrid/>
              <w:spacing w:after="0" w:line="312" w:lineRule="auto"/>
              <w:textAlignment w:val="auto"/>
              <w:rPr>
                <w:rFonts w:cs="仿宋"/>
                <w:b/>
                <w:color w:val="auto"/>
                <w:sz w:val="24"/>
                <w:szCs w:val="24"/>
              </w:rPr>
            </w:pPr>
            <w:r>
              <w:rPr>
                <w:rFonts w:hint="eastAsia" w:cs="仿宋"/>
                <w:b/>
                <w:color w:val="auto"/>
                <w:sz w:val="24"/>
                <w:szCs w:val="24"/>
              </w:rPr>
              <w:t>线上提交质疑方式：</w:t>
            </w:r>
            <w:r>
              <w:rPr>
                <w:rFonts w:hint="eastAsia" w:cs="仿宋"/>
                <w:b/>
                <w:color w:val="auto"/>
                <w:sz w:val="24"/>
                <w:szCs w:val="24"/>
                <w:lang w:eastAsia="zh-CN"/>
              </w:rPr>
              <w:t>萧采云</w:t>
            </w:r>
            <w:r>
              <w:rPr>
                <w:rFonts w:hint="eastAsia" w:cs="仿宋"/>
                <w:b/>
                <w:color w:val="auto"/>
                <w:sz w:val="24"/>
                <w:szCs w:val="24"/>
              </w:rPr>
              <w:t>线上质疑路径：项目采购-询问质疑投诉-质疑列表。请使用ca签章在每一页质疑文件中加盖电子公章，上传完整附件。</w:t>
            </w:r>
          </w:p>
          <w:p w14:paraId="26EBABB3">
            <w:pPr>
              <w:keepNext w:val="0"/>
              <w:keepLines w:val="0"/>
              <w:pageBreakBefore w:val="0"/>
              <w:kinsoku/>
              <w:wordWrap/>
              <w:overflowPunct/>
              <w:topLinePunct w:val="0"/>
              <w:autoSpaceDE/>
              <w:autoSpaceDN/>
              <w:bidi w:val="0"/>
              <w:snapToGrid/>
              <w:spacing w:after="0" w:line="312" w:lineRule="auto"/>
              <w:textAlignment w:val="auto"/>
              <w:rPr>
                <w:rFonts w:cs="仿宋"/>
                <w:color w:val="auto"/>
                <w:sz w:val="24"/>
                <w:szCs w:val="24"/>
              </w:rPr>
            </w:pPr>
            <w:r>
              <w:rPr>
                <w:rFonts w:hint="eastAsia" w:cs="仿宋"/>
                <w:color w:val="auto"/>
                <w:sz w:val="24"/>
                <w:szCs w:val="24"/>
              </w:rPr>
              <w:t>本项目涉及资格条件、采购需求、评分办法及采购过程中有关现场考察或交易前答疑会等事项由</w:t>
            </w:r>
            <w:r>
              <w:rPr>
                <w:rFonts w:hint="eastAsia" w:cs="仿宋"/>
                <w:color w:val="auto"/>
                <w:sz w:val="24"/>
                <w:szCs w:val="24"/>
                <w:lang w:eastAsia="zh-CN"/>
              </w:rPr>
              <w:t>交易发起人</w:t>
            </w:r>
            <w:r>
              <w:rPr>
                <w:rFonts w:hint="eastAsia" w:cs="仿宋"/>
                <w:color w:val="auto"/>
                <w:sz w:val="24"/>
                <w:szCs w:val="24"/>
              </w:rPr>
              <w:t>进行答复。</w:t>
            </w:r>
          </w:p>
          <w:p w14:paraId="02653CCF">
            <w:pPr>
              <w:keepNext w:val="0"/>
              <w:keepLines w:val="0"/>
              <w:pageBreakBefore w:val="0"/>
              <w:kinsoku/>
              <w:wordWrap/>
              <w:overflowPunct/>
              <w:topLinePunct w:val="0"/>
              <w:autoSpaceDE/>
              <w:autoSpaceDN/>
              <w:bidi w:val="0"/>
              <w:snapToGrid/>
              <w:spacing w:after="0" w:line="312" w:lineRule="auto"/>
              <w:textAlignment w:val="auto"/>
              <w:rPr>
                <w:rFonts w:cs="仿宋"/>
                <w:color w:val="auto"/>
                <w:sz w:val="24"/>
                <w:szCs w:val="24"/>
              </w:rPr>
            </w:pPr>
            <w:r>
              <w:rPr>
                <w:rFonts w:hint="eastAsia" w:cs="仿宋"/>
                <w:color w:val="auto"/>
                <w:sz w:val="24"/>
                <w:szCs w:val="24"/>
              </w:rPr>
              <w:t>涉及流程规范性、组织程序等相关事项，由采购机构进行答复。</w:t>
            </w:r>
          </w:p>
        </w:tc>
      </w:tr>
      <w:tr w14:paraId="672B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0" w:type="pct"/>
            <w:vAlign w:val="center"/>
          </w:tcPr>
          <w:p w14:paraId="4E6D3A3D">
            <w:pPr>
              <w:spacing w:after="0" w:line="360" w:lineRule="auto"/>
              <w:jc w:val="center"/>
              <w:rPr>
                <w:rFonts w:cs="仿宋"/>
                <w:color w:val="auto"/>
                <w:sz w:val="24"/>
                <w:szCs w:val="24"/>
              </w:rPr>
            </w:pPr>
            <w:r>
              <w:rPr>
                <w:rFonts w:hint="eastAsia" w:cs="仿宋"/>
                <w:color w:val="auto"/>
                <w:sz w:val="24"/>
                <w:szCs w:val="24"/>
              </w:rPr>
              <w:t>17</w:t>
            </w:r>
          </w:p>
        </w:tc>
        <w:tc>
          <w:tcPr>
            <w:tcW w:w="912" w:type="pct"/>
            <w:vAlign w:val="center"/>
          </w:tcPr>
          <w:p w14:paraId="2D0FAB8E">
            <w:pPr>
              <w:spacing w:after="0" w:line="360" w:lineRule="auto"/>
              <w:rPr>
                <w:rFonts w:cs="仿宋"/>
                <w:color w:val="auto"/>
                <w:sz w:val="24"/>
                <w:szCs w:val="24"/>
              </w:rPr>
            </w:pPr>
            <w:r>
              <w:rPr>
                <w:rFonts w:hint="eastAsia" w:cs="仿宋"/>
                <w:b/>
                <w:color w:val="auto"/>
                <w:sz w:val="24"/>
                <w:szCs w:val="24"/>
              </w:rPr>
              <w:t>特别说明</w:t>
            </w:r>
          </w:p>
        </w:tc>
        <w:tc>
          <w:tcPr>
            <w:tcW w:w="3777" w:type="pct"/>
            <w:vAlign w:val="center"/>
          </w:tcPr>
          <w:p w14:paraId="29E50F7F">
            <w:pPr>
              <w:keepNext w:val="0"/>
              <w:keepLines w:val="0"/>
              <w:pageBreakBefore w:val="0"/>
              <w:kinsoku/>
              <w:wordWrap/>
              <w:overflowPunct/>
              <w:topLinePunct w:val="0"/>
              <w:autoSpaceDE/>
              <w:autoSpaceDN/>
              <w:bidi w:val="0"/>
              <w:snapToGrid/>
              <w:spacing w:after="0" w:line="312" w:lineRule="auto"/>
              <w:textAlignment w:val="auto"/>
              <w:rPr>
                <w:rFonts w:hint="eastAsia" w:eastAsia="仿宋" w:cs="仿宋"/>
                <w:color w:val="auto"/>
                <w:sz w:val="24"/>
                <w:szCs w:val="24"/>
                <w:lang w:eastAsia="zh-CN"/>
              </w:rPr>
            </w:pPr>
            <w:r>
              <w:rPr>
                <w:rFonts w:hint="eastAsia" w:cs="仿宋"/>
                <w:b/>
                <w:color w:val="auto"/>
                <w:sz w:val="24"/>
                <w:szCs w:val="24"/>
              </w:rPr>
              <w:t>本项目通用总则条款与前附表等专用特别规定有冲突之处，以专用条款（特别规定）为准</w:t>
            </w:r>
            <w:r>
              <w:rPr>
                <w:rFonts w:hint="eastAsia" w:cs="仿宋"/>
                <w:b/>
                <w:color w:val="auto"/>
                <w:sz w:val="24"/>
                <w:szCs w:val="24"/>
                <w:lang w:eastAsia="zh-CN"/>
              </w:rPr>
              <w:t>。</w:t>
            </w:r>
          </w:p>
        </w:tc>
      </w:tr>
      <w:tr w14:paraId="6566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vAlign w:val="center"/>
          </w:tcPr>
          <w:p w14:paraId="49209A3B">
            <w:pPr>
              <w:spacing w:after="0" w:line="360" w:lineRule="auto"/>
              <w:jc w:val="center"/>
              <w:rPr>
                <w:rFonts w:hint="default" w:eastAsia="仿宋" w:cs="仿宋"/>
                <w:color w:val="auto"/>
                <w:sz w:val="24"/>
                <w:szCs w:val="24"/>
                <w:lang w:val="en-US" w:eastAsia="zh-CN"/>
              </w:rPr>
            </w:pPr>
            <w:r>
              <w:rPr>
                <w:rFonts w:hint="eastAsia" w:cs="仿宋"/>
                <w:color w:val="auto"/>
                <w:sz w:val="24"/>
                <w:szCs w:val="24"/>
                <w:lang w:val="en-US" w:eastAsia="zh-CN"/>
              </w:rPr>
              <w:t>18</w:t>
            </w:r>
          </w:p>
        </w:tc>
        <w:tc>
          <w:tcPr>
            <w:tcW w:w="1589" w:type="dxa"/>
            <w:vAlign w:val="center"/>
          </w:tcPr>
          <w:p w14:paraId="63D3CBD8">
            <w:pPr>
              <w:spacing w:after="0" w:line="360" w:lineRule="auto"/>
              <w:rPr>
                <w:rFonts w:hint="eastAsia" w:cs="仿宋"/>
                <w:b/>
                <w:color w:val="auto"/>
                <w:sz w:val="24"/>
                <w:szCs w:val="24"/>
              </w:rPr>
            </w:pPr>
            <w:r>
              <w:rPr>
                <w:rFonts w:hint="eastAsia" w:cs="仿宋"/>
                <w:b/>
                <w:color w:val="auto"/>
                <w:sz w:val="24"/>
                <w:lang w:eastAsia="zh-CN"/>
              </w:rPr>
              <w:t>响应文件</w:t>
            </w:r>
            <w:r>
              <w:rPr>
                <w:rFonts w:hint="eastAsia" w:ascii="仿宋" w:hAnsi="仿宋" w:eastAsia="仿宋" w:cs="仿宋"/>
                <w:b/>
                <w:color w:val="auto"/>
                <w:sz w:val="24"/>
              </w:rPr>
              <w:t>份数</w:t>
            </w:r>
          </w:p>
        </w:tc>
        <w:tc>
          <w:tcPr>
            <w:tcW w:w="6580" w:type="dxa"/>
            <w:vAlign w:val="center"/>
          </w:tcPr>
          <w:p w14:paraId="7416F5E2">
            <w:pPr>
              <w:keepNext w:val="0"/>
              <w:keepLines w:val="0"/>
              <w:pageBreakBefore w:val="0"/>
              <w:kinsoku/>
              <w:wordWrap/>
              <w:overflowPunct/>
              <w:topLinePunct w:val="0"/>
              <w:autoSpaceDE/>
              <w:autoSpaceDN/>
              <w:bidi w:val="0"/>
              <w:snapToGrid/>
              <w:spacing w:after="0" w:line="312" w:lineRule="auto"/>
              <w:textAlignment w:val="auto"/>
              <w:rPr>
                <w:rFonts w:hint="eastAsia" w:cs="仿宋"/>
                <w:b/>
                <w:color w:val="auto"/>
                <w:sz w:val="24"/>
                <w:szCs w:val="24"/>
              </w:rPr>
            </w:pPr>
            <w:r>
              <w:rPr>
                <w:rFonts w:hint="eastAsia" w:cs="仿宋"/>
                <w:bCs/>
                <w:color w:val="auto"/>
                <w:sz w:val="24"/>
                <w:lang w:val="en-US" w:eastAsia="zh-CN"/>
              </w:rPr>
              <w:t>成交</w:t>
            </w:r>
            <w:r>
              <w:rPr>
                <w:rFonts w:hint="eastAsia" w:ascii="仿宋" w:hAnsi="仿宋" w:eastAsia="仿宋" w:cs="仿宋"/>
                <w:bCs/>
                <w:color w:val="auto"/>
                <w:sz w:val="24"/>
              </w:rPr>
              <w:t>单位应在</w:t>
            </w:r>
            <w:r>
              <w:rPr>
                <w:rFonts w:hint="eastAsia" w:cs="仿宋"/>
                <w:bCs/>
                <w:color w:val="auto"/>
                <w:sz w:val="24"/>
                <w:lang w:val="en-US" w:eastAsia="zh-CN"/>
              </w:rPr>
              <w:t>成交</w:t>
            </w:r>
            <w:r>
              <w:rPr>
                <w:rFonts w:hint="eastAsia" w:ascii="仿宋" w:hAnsi="仿宋" w:eastAsia="仿宋" w:cs="仿宋"/>
                <w:bCs/>
                <w:color w:val="auto"/>
                <w:sz w:val="24"/>
              </w:rPr>
              <w:t>后向采购人提供纸质</w:t>
            </w:r>
            <w:r>
              <w:rPr>
                <w:rFonts w:hint="eastAsia" w:cs="仿宋"/>
                <w:bCs/>
                <w:color w:val="auto"/>
                <w:sz w:val="24"/>
                <w:lang w:eastAsia="zh-CN"/>
              </w:rPr>
              <w:t>响应文件</w:t>
            </w:r>
            <w:r>
              <w:rPr>
                <w:rFonts w:hint="eastAsia" w:ascii="仿宋" w:hAnsi="仿宋" w:eastAsia="仿宋" w:cs="仿宋"/>
                <w:bCs/>
                <w:color w:val="auto"/>
                <w:sz w:val="24"/>
              </w:rPr>
              <w:t>一正</w:t>
            </w:r>
            <w:r>
              <w:rPr>
                <w:rFonts w:hint="eastAsia" w:cs="仿宋"/>
                <w:bCs/>
                <w:color w:val="auto"/>
                <w:sz w:val="24"/>
                <w:lang w:val="en-US" w:eastAsia="zh-CN"/>
              </w:rPr>
              <w:t>一</w:t>
            </w:r>
            <w:r>
              <w:rPr>
                <w:rFonts w:hint="eastAsia" w:ascii="仿宋" w:hAnsi="仿宋" w:eastAsia="仿宋" w:cs="仿宋"/>
                <w:bCs/>
                <w:color w:val="auto"/>
                <w:sz w:val="24"/>
              </w:rPr>
              <w:t>副</w:t>
            </w:r>
            <w:r>
              <w:rPr>
                <w:rFonts w:hint="eastAsia" w:ascii="仿宋" w:hAnsi="仿宋" w:eastAsia="仿宋" w:cs="仿宋"/>
                <w:bCs/>
                <w:color w:val="auto"/>
                <w:sz w:val="24"/>
                <w:lang w:eastAsia="zh-CN"/>
              </w:rPr>
              <w:t>。</w:t>
            </w:r>
          </w:p>
        </w:tc>
      </w:tr>
    </w:tbl>
    <w:p w14:paraId="1E7AD84E">
      <w:pPr>
        <w:spacing w:line="360" w:lineRule="auto"/>
        <w:rPr>
          <w:rFonts w:cs="仿宋"/>
          <w:color w:val="auto"/>
        </w:rPr>
      </w:pPr>
      <w:r>
        <w:rPr>
          <w:rFonts w:hint="eastAsia" w:cs="仿宋"/>
          <w:color w:val="auto"/>
        </w:rPr>
        <w:br w:type="page"/>
      </w:r>
    </w:p>
    <w:p w14:paraId="2F39155C">
      <w:pPr>
        <w:pStyle w:val="3"/>
        <w:spacing w:line="360" w:lineRule="auto"/>
        <w:rPr>
          <w:rFonts w:cs="仿宋"/>
          <w:color w:val="auto"/>
        </w:rPr>
      </w:pPr>
      <w:r>
        <w:rPr>
          <w:rFonts w:hint="eastAsia" w:cs="仿宋"/>
          <w:color w:val="auto"/>
        </w:rPr>
        <w:t>一、总则</w:t>
      </w:r>
    </w:p>
    <w:p w14:paraId="0E8EA877">
      <w:pPr>
        <w:pStyle w:val="4"/>
        <w:spacing w:after="0" w:line="360" w:lineRule="auto"/>
        <w:ind w:firstLine="482" w:firstLineChars="200"/>
        <w:rPr>
          <w:rFonts w:cs="仿宋"/>
          <w:color w:val="auto"/>
        </w:rPr>
      </w:pPr>
      <w:r>
        <w:rPr>
          <w:rFonts w:hint="eastAsia" w:cs="仿宋"/>
          <w:color w:val="auto"/>
        </w:rPr>
        <w:t>1. 适用范围</w:t>
      </w:r>
    </w:p>
    <w:p w14:paraId="5FDE3CE5">
      <w:pPr>
        <w:pStyle w:val="4"/>
        <w:spacing w:after="0" w:line="360" w:lineRule="auto"/>
        <w:ind w:firstLine="480" w:firstLineChars="200"/>
        <w:rPr>
          <w:rFonts w:cs="仿宋"/>
          <w:b w:val="0"/>
          <w:bCs/>
          <w:color w:val="auto"/>
        </w:rPr>
      </w:pPr>
      <w:r>
        <w:rPr>
          <w:rFonts w:hint="eastAsia" w:cs="仿宋"/>
          <w:b w:val="0"/>
          <w:bCs/>
          <w:color w:val="auto"/>
        </w:rPr>
        <w:t>本交易文件适用于该项目的交易、响应、资格审查及信用信息查询、评审、定标、合同、验收等行为（法律、法规另有规定的，从其规定）。</w:t>
      </w:r>
    </w:p>
    <w:p w14:paraId="7756C44D">
      <w:pPr>
        <w:pStyle w:val="4"/>
        <w:spacing w:after="0" w:line="360" w:lineRule="auto"/>
        <w:ind w:firstLine="482" w:firstLineChars="200"/>
        <w:rPr>
          <w:rFonts w:cs="仿宋"/>
          <w:color w:val="auto"/>
        </w:rPr>
      </w:pPr>
      <w:r>
        <w:rPr>
          <w:rFonts w:hint="eastAsia" w:cs="仿宋"/>
          <w:color w:val="auto"/>
        </w:rPr>
        <w:t>2.定义</w:t>
      </w:r>
    </w:p>
    <w:p w14:paraId="566D6CD4">
      <w:pPr>
        <w:spacing w:after="0" w:line="360" w:lineRule="auto"/>
        <w:ind w:firstLine="480" w:firstLineChars="200"/>
        <w:rPr>
          <w:rFonts w:cs="仿宋"/>
          <w:color w:val="auto"/>
        </w:rPr>
      </w:pPr>
      <w:r>
        <w:rPr>
          <w:rFonts w:hint="eastAsia" w:cs="仿宋"/>
          <w:color w:val="auto"/>
        </w:rPr>
        <w:t>2.1 “</w:t>
      </w:r>
      <w:r>
        <w:rPr>
          <w:rFonts w:hint="eastAsia" w:cs="仿宋"/>
          <w:color w:val="auto"/>
          <w:lang w:eastAsia="zh-CN"/>
        </w:rPr>
        <w:t>交易发起人</w:t>
      </w:r>
      <w:r>
        <w:rPr>
          <w:rFonts w:hint="eastAsia" w:cs="仿宋"/>
          <w:color w:val="auto"/>
        </w:rPr>
        <w:t>”系指交易公告中载明的本项目的</w:t>
      </w:r>
      <w:r>
        <w:rPr>
          <w:rFonts w:hint="eastAsia" w:cs="仿宋"/>
          <w:color w:val="auto"/>
          <w:lang w:eastAsia="zh-CN"/>
        </w:rPr>
        <w:t>交易发起人</w:t>
      </w:r>
      <w:r>
        <w:rPr>
          <w:rFonts w:hint="eastAsia" w:cs="仿宋"/>
          <w:color w:val="auto"/>
        </w:rPr>
        <w:t>。</w:t>
      </w:r>
    </w:p>
    <w:p w14:paraId="53A0C801">
      <w:pPr>
        <w:spacing w:after="0" w:line="360" w:lineRule="auto"/>
        <w:ind w:firstLine="480" w:firstLineChars="200"/>
        <w:rPr>
          <w:rFonts w:cs="仿宋"/>
          <w:color w:val="auto"/>
        </w:rPr>
      </w:pPr>
      <w:r>
        <w:rPr>
          <w:rFonts w:hint="eastAsia" w:cs="仿宋"/>
          <w:color w:val="auto"/>
        </w:rPr>
        <w:t>2.2 “采购机构”系指交易公告中载明的本项目的采购机构。</w:t>
      </w:r>
    </w:p>
    <w:p w14:paraId="330204F5">
      <w:pPr>
        <w:spacing w:after="0" w:line="360" w:lineRule="auto"/>
        <w:ind w:firstLine="480" w:firstLineChars="200"/>
        <w:rPr>
          <w:rFonts w:hint="default" w:eastAsia="仿宋" w:cs="仿宋"/>
          <w:color w:val="auto"/>
          <w:lang w:val="en-US" w:eastAsia="zh-CN"/>
        </w:rPr>
      </w:pPr>
      <w:r>
        <w:rPr>
          <w:rFonts w:hint="eastAsia" w:cs="仿宋"/>
          <w:color w:val="auto"/>
        </w:rPr>
        <w:t>2.3 “供应商”系指是指响应交易、参加交易竞争的法人、其他组织或者自然人。</w:t>
      </w:r>
      <w:r>
        <w:rPr>
          <w:rFonts w:hint="eastAsia" w:cs="仿宋"/>
          <w:color w:val="auto"/>
          <w:lang w:val="en-US" w:eastAsia="zh-CN"/>
        </w:rPr>
        <w:t xml:space="preserve">                                    </w:t>
      </w:r>
    </w:p>
    <w:p w14:paraId="4659AC59">
      <w:pPr>
        <w:spacing w:after="0" w:line="360" w:lineRule="auto"/>
        <w:ind w:firstLine="480" w:firstLineChars="200"/>
        <w:rPr>
          <w:rFonts w:cs="仿宋"/>
          <w:color w:val="auto"/>
        </w:rPr>
      </w:pPr>
      <w:r>
        <w:rPr>
          <w:rFonts w:hint="eastAsia" w:cs="仿宋"/>
          <w:color w:val="auto"/>
        </w:rPr>
        <w:t>2.4 “负责人”系指法人企业的法定负责人，或其他组织为法律、行政法规规定代表单位行使职权的主要负责人，或自然人本人。</w:t>
      </w:r>
    </w:p>
    <w:p w14:paraId="0D4CA68B">
      <w:pPr>
        <w:spacing w:after="0" w:line="360" w:lineRule="auto"/>
        <w:ind w:firstLine="480" w:firstLineChars="200"/>
        <w:rPr>
          <w:rFonts w:cs="仿宋"/>
          <w:color w:val="auto"/>
        </w:rPr>
      </w:pPr>
      <w:r>
        <w:rPr>
          <w:rFonts w:hint="eastAsia" w:cs="仿宋"/>
          <w:color w:val="auto"/>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4）。</w:t>
      </w:r>
    </w:p>
    <w:p w14:paraId="5AD004F2">
      <w:pPr>
        <w:spacing w:after="0" w:line="360" w:lineRule="auto"/>
        <w:ind w:firstLine="480" w:firstLineChars="200"/>
        <w:rPr>
          <w:rFonts w:cs="仿宋"/>
          <w:color w:val="auto"/>
        </w:rPr>
      </w:pPr>
      <w:r>
        <w:rPr>
          <w:rFonts w:hint="eastAsia" w:cs="仿宋"/>
          <w:color w:val="auto"/>
        </w:rPr>
        <w:t>2.6“电子交易平台”是指本项目采购活动所依托的政府采购云平台（</w:t>
      </w:r>
      <w:r>
        <w:rPr>
          <w:rFonts w:hint="eastAsia" w:cs="仿宋"/>
          <w:color w:val="auto"/>
          <w:lang w:eastAsia="zh-CN"/>
        </w:rPr>
        <w:t>www.lecaiyun.com</w:t>
      </w:r>
      <w:r>
        <w:rPr>
          <w:rFonts w:hint="eastAsia" w:cs="仿宋"/>
          <w:color w:val="auto"/>
        </w:rPr>
        <w:t>）。</w:t>
      </w:r>
    </w:p>
    <w:p w14:paraId="4F0D28E1">
      <w:pPr>
        <w:spacing w:after="0" w:line="360" w:lineRule="auto"/>
        <w:ind w:firstLine="480" w:firstLineChars="200"/>
        <w:rPr>
          <w:rFonts w:cs="仿宋"/>
          <w:color w:val="auto"/>
        </w:rPr>
      </w:pPr>
      <w:r>
        <w:rPr>
          <w:rFonts w:hint="eastAsia" w:cs="仿宋"/>
          <w:color w:val="auto"/>
        </w:rPr>
        <w:t>2.7 “▲” 系指实质性要求条款，“（√）” 系指适用本项目的要求，“（  ）”系指不适用本项目的要求。</w:t>
      </w:r>
    </w:p>
    <w:p w14:paraId="45B4BD3B">
      <w:pPr>
        <w:pStyle w:val="4"/>
        <w:spacing w:after="0" w:line="360" w:lineRule="auto"/>
        <w:ind w:firstLine="482" w:firstLineChars="200"/>
        <w:rPr>
          <w:rFonts w:cs="仿宋"/>
          <w:color w:val="auto"/>
        </w:rPr>
      </w:pPr>
      <w:r>
        <w:rPr>
          <w:rFonts w:hint="eastAsia" w:cs="仿宋"/>
          <w:color w:val="auto"/>
          <w:lang w:val="en-US" w:eastAsia="zh-CN"/>
        </w:rPr>
        <w:t>3</w:t>
      </w:r>
      <w:r>
        <w:rPr>
          <w:rFonts w:hint="eastAsia" w:cs="仿宋"/>
          <w:color w:val="auto"/>
        </w:rPr>
        <w:t>. 询问、质疑、投诉</w:t>
      </w:r>
    </w:p>
    <w:p w14:paraId="158AFC7B">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.1供应商询问</w:t>
      </w:r>
    </w:p>
    <w:p w14:paraId="418BCBBC">
      <w:pPr>
        <w:spacing w:after="0" w:line="360" w:lineRule="auto"/>
        <w:ind w:firstLine="480" w:firstLineChars="200"/>
        <w:rPr>
          <w:rFonts w:cs="仿宋"/>
          <w:color w:val="auto"/>
        </w:rPr>
      </w:pPr>
      <w:r>
        <w:rPr>
          <w:rFonts w:hint="eastAsia" w:cs="仿宋"/>
          <w:color w:val="auto"/>
        </w:rPr>
        <w:t>供应商对采购活动事项有疑问的，可以提出询问，</w:t>
      </w:r>
      <w:r>
        <w:rPr>
          <w:rFonts w:hint="eastAsia" w:cs="仿宋"/>
          <w:color w:val="auto"/>
          <w:lang w:eastAsia="zh-CN"/>
        </w:rPr>
        <w:t>交易发起人</w:t>
      </w:r>
      <w:r>
        <w:rPr>
          <w:rFonts w:hint="eastAsia" w:cs="仿宋"/>
          <w:color w:val="auto"/>
        </w:rPr>
        <w:t>或者采购代理机构应当在3个工作日内对供应商依法提出的询问作出答复，但答复的内容不得涉及商业秘密。供应商提出的询问超出</w:t>
      </w:r>
      <w:r>
        <w:rPr>
          <w:rFonts w:hint="eastAsia" w:cs="仿宋"/>
          <w:color w:val="auto"/>
          <w:lang w:eastAsia="zh-CN"/>
        </w:rPr>
        <w:t>交易发起人</w:t>
      </w:r>
      <w:r>
        <w:rPr>
          <w:rFonts w:hint="eastAsia" w:cs="仿宋"/>
          <w:color w:val="auto"/>
        </w:rPr>
        <w:t>对采购代理机构委托授权范围的，采购代理机构应当告知供应商向</w:t>
      </w:r>
      <w:r>
        <w:rPr>
          <w:rFonts w:hint="eastAsia" w:cs="仿宋"/>
          <w:color w:val="auto"/>
          <w:lang w:eastAsia="zh-CN"/>
        </w:rPr>
        <w:t>交易发起人</w:t>
      </w:r>
      <w:r>
        <w:rPr>
          <w:rFonts w:hint="eastAsia" w:cs="仿宋"/>
          <w:color w:val="auto"/>
        </w:rPr>
        <w:t>提出。</w:t>
      </w:r>
    </w:p>
    <w:p w14:paraId="7B798AB1">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.2供应商质疑</w:t>
      </w:r>
    </w:p>
    <w:p w14:paraId="26A21BE1">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.2.1提出质疑的供应商应当是参与所质疑项目采购活动的供应商。潜在供应商已依法获取其可质疑的交易文件的，可以对该文件提出质疑。</w:t>
      </w:r>
    </w:p>
    <w:p w14:paraId="5A4866C4">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.2.2供应商认为交易文件、采购过程和成交结果使自己的权益受到损害的，可以在知道或者应知其权益受到损害之日起</w:t>
      </w:r>
      <w:r>
        <w:rPr>
          <w:rFonts w:hint="eastAsia" w:cs="仿宋"/>
          <w:color w:val="auto"/>
          <w:lang w:val="en-US" w:eastAsia="zh-CN"/>
        </w:rPr>
        <w:t>3</w:t>
      </w:r>
      <w:r>
        <w:rPr>
          <w:rFonts w:hint="eastAsia" w:cs="仿宋"/>
          <w:color w:val="auto"/>
        </w:rPr>
        <w:t>个工作日内，以书面形式向</w:t>
      </w:r>
      <w:r>
        <w:rPr>
          <w:rFonts w:hint="eastAsia" w:cs="仿宋"/>
          <w:color w:val="auto"/>
          <w:lang w:eastAsia="zh-CN"/>
        </w:rPr>
        <w:t>交易发起人</w:t>
      </w:r>
      <w:r>
        <w:rPr>
          <w:rFonts w:hint="eastAsia" w:cs="仿宋"/>
          <w:color w:val="auto"/>
        </w:rPr>
        <w:t>或者采购机构提出质疑，否则，</w:t>
      </w:r>
      <w:r>
        <w:rPr>
          <w:rFonts w:hint="eastAsia" w:cs="仿宋"/>
          <w:color w:val="auto"/>
          <w:lang w:eastAsia="zh-CN"/>
        </w:rPr>
        <w:t>交易发起人</w:t>
      </w:r>
      <w:r>
        <w:rPr>
          <w:rFonts w:hint="eastAsia" w:cs="仿宋"/>
          <w:color w:val="auto"/>
        </w:rPr>
        <w:t>或者采购机构不予受理：</w:t>
      </w:r>
    </w:p>
    <w:p w14:paraId="52B81FE2">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.2.2.1对交易文件提出质疑的，质疑期限为供应商获得交易文件之日或者交易文件公告期限届满之日起计算。</w:t>
      </w:r>
    </w:p>
    <w:p w14:paraId="16EEC9B3">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.2.2.2对采购过程提出质疑的，质疑期限为各采购程序环节结束之日起计算。对同一采购程序环节的质疑，供应商须一次性提出。</w:t>
      </w:r>
    </w:p>
    <w:p w14:paraId="3FECC44D">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.2.2.3对采购结果提出质疑的，质疑期限自采购结果公告期限届满之日起计算。</w:t>
      </w:r>
    </w:p>
    <w:p w14:paraId="1AECC99F">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.2.3供应商提出质疑应当提交质疑函和必要的证明材料。质疑函应当包括下列内容：</w:t>
      </w:r>
    </w:p>
    <w:p w14:paraId="45B23572">
      <w:pPr>
        <w:spacing w:after="0" w:line="360" w:lineRule="auto"/>
        <w:ind w:firstLine="480" w:firstLineChars="200"/>
        <w:rPr>
          <w:rFonts w:cs="仿宋"/>
          <w:color w:val="auto"/>
        </w:rPr>
      </w:pPr>
      <w:r>
        <w:rPr>
          <w:rFonts w:hint="eastAsia" w:cs="仿宋"/>
          <w:color w:val="auto"/>
        </w:rPr>
        <w:t>　　</w:t>
      </w:r>
      <w:r>
        <w:rPr>
          <w:rFonts w:hint="eastAsia" w:cs="仿宋"/>
          <w:color w:val="auto"/>
          <w:lang w:val="en-US" w:eastAsia="zh-CN"/>
        </w:rPr>
        <w:t>3</w:t>
      </w:r>
      <w:r>
        <w:rPr>
          <w:rFonts w:hint="eastAsia" w:cs="仿宋"/>
          <w:color w:val="auto"/>
        </w:rPr>
        <w:t>.2.3.1供应商的姓名或者名称、地址、邮编、联系人及联系电话；</w:t>
      </w:r>
    </w:p>
    <w:p w14:paraId="1B083B95">
      <w:pPr>
        <w:spacing w:after="0" w:line="360" w:lineRule="auto"/>
        <w:ind w:firstLine="480" w:firstLineChars="200"/>
        <w:rPr>
          <w:rFonts w:cs="仿宋"/>
          <w:color w:val="auto"/>
        </w:rPr>
      </w:pPr>
      <w:r>
        <w:rPr>
          <w:rFonts w:hint="eastAsia" w:cs="仿宋"/>
          <w:color w:val="auto"/>
        </w:rPr>
        <w:t>　　</w:t>
      </w:r>
      <w:r>
        <w:rPr>
          <w:rFonts w:hint="eastAsia" w:cs="仿宋"/>
          <w:color w:val="auto"/>
          <w:lang w:val="en-US" w:eastAsia="zh-CN"/>
        </w:rPr>
        <w:t>3</w:t>
      </w:r>
      <w:r>
        <w:rPr>
          <w:rFonts w:hint="eastAsia" w:cs="仿宋"/>
          <w:color w:val="auto"/>
        </w:rPr>
        <w:t>.2.3.2质疑项目的名称、编号；</w:t>
      </w:r>
    </w:p>
    <w:p w14:paraId="32996516">
      <w:pPr>
        <w:spacing w:after="0" w:line="360" w:lineRule="auto"/>
        <w:ind w:firstLine="480" w:firstLineChars="200"/>
        <w:rPr>
          <w:rFonts w:cs="仿宋"/>
          <w:color w:val="auto"/>
        </w:rPr>
      </w:pPr>
      <w:r>
        <w:rPr>
          <w:rFonts w:hint="eastAsia" w:cs="仿宋"/>
          <w:color w:val="auto"/>
        </w:rPr>
        <w:t>　　</w:t>
      </w:r>
      <w:r>
        <w:rPr>
          <w:rFonts w:hint="eastAsia" w:cs="仿宋"/>
          <w:color w:val="auto"/>
          <w:lang w:val="en-US" w:eastAsia="zh-CN"/>
        </w:rPr>
        <w:t>3</w:t>
      </w:r>
      <w:r>
        <w:rPr>
          <w:rFonts w:hint="eastAsia" w:cs="仿宋"/>
          <w:color w:val="auto"/>
        </w:rPr>
        <w:t>.2.3.3具体、明确的质疑事项和与质疑事项相关的请求；</w:t>
      </w:r>
    </w:p>
    <w:p w14:paraId="2944EB1C">
      <w:pPr>
        <w:spacing w:after="0" w:line="360" w:lineRule="auto"/>
        <w:ind w:firstLine="480" w:firstLineChars="200"/>
        <w:rPr>
          <w:rFonts w:cs="仿宋"/>
          <w:color w:val="auto"/>
        </w:rPr>
      </w:pPr>
      <w:r>
        <w:rPr>
          <w:rFonts w:hint="eastAsia" w:cs="仿宋"/>
          <w:color w:val="auto"/>
        </w:rPr>
        <w:t>　　</w:t>
      </w:r>
      <w:r>
        <w:rPr>
          <w:rFonts w:hint="eastAsia" w:cs="仿宋"/>
          <w:color w:val="auto"/>
          <w:lang w:val="en-US" w:eastAsia="zh-CN"/>
        </w:rPr>
        <w:t>3</w:t>
      </w:r>
      <w:r>
        <w:rPr>
          <w:rFonts w:hint="eastAsia" w:cs="仿宋"/>
          <w:color w:val="auto"/>
        </w:rPr>
        <w:t>.2.3.4事实依据；</w:t>
      </w:r>
    </w:p>
    <w:p w14:paraId="09A2D4DA">
      <w:pPr>
        <w:spacing w:after="0" w:line="360" w:lineRule="auto"/>
        <w:ind w:firstLine="480" w:firstLineChars="200"/>
        <w:rPr>
          <w:rFonts w:cs="仿宋"/>
          <w:color w:val="auto"/>
        </w:rPr>
      </w:pPr>
      <w:r>
        <w:rPr>
          <w:rFonts w:hint="eastAsia" w:cs="仿宋"/>
          <w:color w:val="auto"/>
        </w:rPr>
        <w:t>　　</w:t>
      </w:r>
      <w:r>
        <w:rPr>
          <w:rFonts w:hint="eastAsia" w:cs="仿宋"/>
          <w:color w:val="auto"/>
          <w:lang w:val="en-US" w:eastAsia="zh-CN"/>
        </w:rPr>
        <w:t>3</w:t>
      </w:r>
      <w:r>
        <w:rPr>
          <w:rFonts w:hint="eastAsia" w:cs="仿宋"/>
          <w:color w:val="auto"/>
        </w:rPr>
        <w:t>.2.3.5必要的法律依据；</w:t>
      </w:r>
    </w:p>
    <w:p w14:paraId="02869059">
      <w:pPr>
        <w:spacing w:after="0" w:line="360" w:lineRule="auto"/>
        <w:ind w:firstLine="960" w:firstLineChars="400"/>
        <w:rPr>
          <w:rFonts w:cs="仿宋"/>
          <w:color w:val="auto"/>
        </w:rPr>
      </w:pPr>
      <w:r>
        <w:rPr>
          <w:rFonts w:hint="eastAsia" w:cs="仿宋"/>
          <w:color w:val="auto"/>
          <w:lang w:val="en-US" w:eastAsia="zh-CN"/>
        </w:rPr>
        <w:t>3</w:t>
      </w:r>
      <w:r>
        <w:rPr>
          <w:rFonts w:hint="eastAsia" w:cs="仿宋"/>
          <w:color w:val="auto"/>
        </w:rPr>
        <w:t>.2.3.6提出质疑的日期。</w:t>
      </w:r>
    </w:p>
    <w:p w14:paraId="65ACFB34">
      <w:pPr>
        <w:spacing w:after="0" w:line="360" w:lineRule="auto"/>
        <w:ind w:firstLine="480" w:firstLineChars="200"/>
        <w:rPr>
          <w:rFonts w:cs="仿宋"/>
          <w:color w:val="auto"/>
        </w:rPr>
      </w:pPr>
      <w:r>
        <w:rPr>
          <w:rFonts w:hint="eastAsia" w:cs="仿宋"/>
          <w:color w:val="auto"/>
        </w:rPr>
        <w:t>供应商提交的质疑函需一式三份。供应商为自然人的，应当由本人签字；供应商为法人或者其他组织的，应当由法定代表人、主要负责人，或者其授权代表签字或者盖章，并加盖公章。</w:t>
      </w:r>
    </w:p>
    <w:p w14:paraId="580A3238">
      <w:pPr>
        <w:spacing w:after="0" w:line="360" w:lineRule="auto"/>
        <w:ind w:firstLine="480" w:firstLineChars="200"/>
        <w:rPr>
          <w:rFonts w:cs="仿宋"/>
          <w:color w:val="auto"/>
        </w:rPr>
      </w:pPr>
      <w:r>
        <w:rPr>
          <w:rFonts w:hint="eastAsia" w:cs="仿宋"/>
          <w:color w:val="auto"/>
        </w:rPr>
        <w:t>质疑函范本及制作说明详见附件</w:t>
      </w:r>
      <w:r>
        <w:rPr>
          <w:rFonts w:hint="eastAsia" w:cs="仿宋"/>
          <w:color w:val="auto"/>
          <w:lang w:val="en-US" w:eastAsia="zh-CN"/>
        </w:rPr>
        <w:t>1</w:t>
      </w:r>
      <w:r>
        <w:rPr>
          <w:rFonts w:hint="eastAsia" w:cs="仿宋"/>
          <w:color w:val="auto"/>
        </w:rPr>
        <w:t>。</w:t>
      </w:r>
    </w:p>
    <w:p w14:paraId="6AE9616C">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.2.4</w:t>
      </w:r>
      <w:r>
        <w:rPr>
          <w:rFonts w:hint="eastAsia" w:cs="仿宋"/>
          <w:color w:val="auto"/>
          <w:lang w:eastAsia="zh-CN"/>
        </w:rPr>
        <w:t>交易发起人</w:t>
      </w:r>
      <w:r>
        <w:rPr>
          <w:rFonts w:hint="eastAsia" w:cs="仿宋"/>
          <w:color w:val="auto"/>
        </w:rPr>
        <w:t>或者采购机构应当在收到供应商的书面质疑后</w:t>
      </w:r>
      <w:r>
        <w:rPr>
          <w:rFonts w:hint="eastAsia" w:cs="仿宋"/>
          <w:color w:val="auto"/>
          <w:lang w:val="en-US" w:eastAsia="zh-CN"/>
        </w:rPr>
        <w:t>3</w:t>
      </w:r>
      <w:r>
        <w:rPr>
          <w:rFonts w:hint="eastAsia" w:cs="仿宋"/>
          <w:color w:val="auto"/>
        </w:rPr>
        <w:t>个工作日内作出答复，并以书面形式通知质疑供应商和其他与质疑处理结果有利害关系的采购当事人，但答复的内容不得涉及商业秘密。</w:t>
      </w:r>
    </w:p>
    <w:p w14:paraId="16386497">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.2.5询问或者质疑事项可能影响采购结果的，</w:t>
      </w:r>
      <w:r>
        <w:rPr>
          <w:rFonts w:hint="eastAsia" w:cs="仿宋"/>
          <w:color w:val="auto"/>
          <w:lang w:eastAsia="zh-CN"/>
        </w:rPr>
        <w:t>交易发起人</w:t>
      </w:r>
      <w:r>
        <w:rPr>
          <w:rFonts w:hint="eastAsia" w:cs="仿宋"/>
          <w:color w:val="auto"/>
        </w:rPr>
        <w:t>应当暂停签订合同，已经签订合同的，应当中止履行合同。</w:t>
      </w:r>
    </w:p>
    <w:p w14:paraId="1FA39F51">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.3供应商投诉</w:t>
      </w:r>
    </w:p>
    <w:p w14:paraId="7316760F">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.3.1质疑供应商对</w:t>
      </w:r>
      <w:r>
        <w:rPr>
          <w:rFonts w:hint="eastAsia" w:cs="仿宋"/>
          <w:color w:val="auto"/>
          <w:lang w:eastAsia="zh-CN"/>
        </w:rPr>
        <w:t>交易发起人</w:t>
      </w:r>
      <w:r>
        <w:rPr>
          <w:rFonts w:hint="eastAsia" w:cs="仿宋"/>
          <w:color w:val="auto"/>
        </w:rPr>
        <w:t>、采购机构的答复不满意或者</w:t>
      </w:r>
      <w:r>
        <w:rPr>
          <w:rFonts w:hint="eastAsia" w:cs="仿宋"/>
          <w:color w:val="auto"/>
          <w:lang w:eastAsia="zh-CN"/>
        </w:rPr>
        <w:t>交易发起人</w:t>
      </w:r>
      <w:r>
        <w:rPr>
          <w:rFonts w:hint="eastAsia" w:cs="仿宋"/>
          <w:color w:val="auto"/>
        </w:rPr>
        <w:t>、采购机构未在规定的时间内作出答复的，可以在答复期满后十五个工作日内向同级采购监督管理部门提出投诉。</w:t>
      </w:r>
    </w:p>
    <w:p w14:paraId="6ABF4B9D">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.3.2供应商投诉的事项不得超出已质疑事项的范围，基于质疑答复内容提出的投诉事项除外。</w:t>
      </w:r>
    </w:p>
    <w:p w14:paraId="61319457">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.3.3供应商投诉应当有明确的请求和必要的证明材料。</w:t>
      </w:r>
    </w:p>
    <w:p w14:paraId="05AFFE69">
      <w:pPr>
        <w:spacing w:after="0" w:line="360" w:lineRule="auto"/>
        <w:ind w:firstLine="480" w:firstLineChars="200"/>
        <w:rPr>
          <w:rFonts w:cs="仿宋"/>
          <w:color w:val="auto"/>
        </w:rPr>
      </w:pPr>
      <w:r>
        <w:rPr>
          <w:rFonts w:hint="eastAsia" w:cs="仿宋"/>
          <w:color w:val="auto"/>
          <w:lang w:val="en-US" w:eastAsia="zh-CN"/>
        </w:rPr>
        <w:t>3</w:t>
      </w:r>
      <w:r>
        <w:rPr>
          <w:rFonts w:hint="eastAsia" w:cs="仿宋"/>
          <w:color w:val="auto"/>
        </w:rPr>
        <w:t>.3.4 以联合体形式参加采购活动的，其投诉应当由组成联合体的所有供应商共同提出。</w:t>
      </w:r>
    </w:p>
    <w:p w14:paraId="006D0F23">
      <w:pPr>
        <w:spacing w:after="0" w:line="360" w:lineRule="auto"/>
        <w:ind w:firstLine="480" w:firstLineChars="200"/>
        <w:rPr>
          <w:rFonts w:cs="仿宋"/>
          <w:color w:val="auto"/>
        </w:rPr>
      </w:pPr>
      <w:r>
        <w:rPr>
          <w:rFonts w:hint="eastAsia" w:cs="仿宋"/>
          <w:color w:val="auto"/>
        </w:rPr>
        <w:t>投诉书范本及制作说明详见附件</w:t>
      </w:r>
      <w:r>
        <w:rPr>
          <w:rFonts w:hint="eastAsia" w:cs="仿宋"/>
          <w:color w:val="auto"/>
          <w:lang w:val="en-US" w:eastAsia="zh-CN"/>
        </w:rPr>
        <w:t>2</w:t>
      </w:r>
      <w:r>
        <w:rPr>
          <w:rFonts w:hint="eastAsia" w:cs="仿宋"/>
          <w:color w:val="auto"/>
        </w:rPr>
        <w:t>。</w:t>
      </w:r>
    </w:p>
    <w:p w14:paraId="2FE79EC7">
      <w:pPr>
        <w:pStyle w:val="3"/>
        <w:spacing w:line="360" w:lineRule="auto"/>
        <w:rPr>
          <w:rFonts w:cs="仿宋"/>
          <w:color w:val="auto"/>
        </w:rPr>
      </w:pPr>
      <w:r>
        <w:rPr>
          <w:rFonts w:hint="eastAsia" w:cs="仿宋"/>
          <w:color w:val="auto"/>
        </w:rPr>
        <w:t>二、交易文件的构成、澄清、修改</w:t>
      </w:r>
    </w:p>
    <w:p w14:paraId="12B07E0F">
      <w:pPr>
        <w:pStyle w:val="4"/>
        <w:spacing w:after="0" w:line="360" w:lineRule="auto"/>
        <w:ind w:firstLine="482" w:firstLineChars="200"/>
        <w:rPr>
          <w:rFonts w:cs="仿宋"/>
          <w:color w:val="auto"/>
        </w:rPr>
      </w:pPr>
      <w:r>
        <w:rPr>
          <w:rFonts w:hint="eastAsia" w:cs="仿宋"/>
          <w:color w:val="auto"/>
          <w:lang w:val="en-US" w:eastAsia="zh-CN"/>
        </w:rPr>
        <w:t>4</w:t>
      </w:r>
      <w:r>
        <w:rPr>
          <w:rFonts w:hint="eastAsia" w:cs="仿宋"/>
          <w:color w:val="auto"/>
        </w:rPr>
        <w:t>．交易文件的构成</w:t>
      </w:r>
    </w:p>
    <w:p w14:paraId="7EAA9409">
      <w:pPr>
        <w:spacing w:after="0" w:line="360" w:lineRule="auto"/>
        <w:ind w:firstLine="480" w:firstLineChars="200"/>
        <w:rPr>
          <w:rFonts w:cs="仿宋"/>
          <w:color w:val="auto"/>
        </w:rPr>
      </w:pPr>
      <w:r>
        <w:rPr>
          <w:rFonts w:hint="eastAsia" w:cs="仿宋"/>
          <w:color w:val="auto"/>
          <w:lang w:val="en-US" w:eastAsia="zh-CN"/>
        </w:rPr>
        <w:t>4</w:t>
      </w:r>
      <w:r>
        <w:rPr>
          <w:rFonts w:hint="eastAsia" w:cs="仿宋"/>
          <w:color w:val="auto"/>
        </w:rPr>
        <w:t>.1 交易文件包括下列文件及附件：</w:t>
      </w:r>
    </w:p>
    <w:p w14:paraId="09669C32">
      <w:pPr>
        <w:spacing w:after="0" w:line="360" w:lineRule="auto"/>
        <w:ind w:firstLine="480" w:firstLineChars="200"/>
        <w:rPr>
          <w:rFonts w:cs="仿宋"/>
          <w:color w:val="auto"/>
        </w:rPr>
      </w:pPr>
      <w:r>
        <w:rPr>
          <w:rFonts w:hint="eastAsia" w:cs="仿宋"/>
          <w:color w:val="auto"/>
          <w:lang w:val="en-US" w:eastAsia="zh-CN"/>
        </w:rPr>
        <w:t>4</w:t>
      </w:r>
      <w:r>
        <w:rPr>
          <w:rFonts w:hint="eastAsia" w:cs="仿宋"/>
          <w:color w:val="auto"/>
        </w:rPr>
        <w:t>.1.1交易公告；</w:t>
      </w:r>
    </w:p>
    <w:p w14:paraId="686F8F39">
      <w:pPr>
        <w:spacing w:after="0" w:line="360" w:lineRule="auto"/>
        <w:ind w:firstLine="480" w:firstLineChars="200"/>
        <w:rPr>
          <w:rFonts w:cs="仿宋"/>
          <w:color w:val="auto"/>
        </w:rPr>
      </w:pPr>
      <w:r>
        <w:rPr>
          <w:rFonts w:hint="eastAsia" w:cs="仿宋"/>
          <w:color w:val="auto"/>
          <w:lang w:val="en-US" w:eastAsia="zh-CN"/>
        </w:rPr>
        <w:t>4</w:t>
      </w:r>
      <w:r>
        <w:rPr>
          <w:rFonts w:hint="eastAsia" w:cs="仿宋"/>
          <w:color w:val="auto"/>
        </w:rPr>
        <w:t>.1.2供应商须知；</w:t>
      </w:r>
    </w:p>
    <w:p w14:paraId="695D3D8E">
      <w:pPr>
        <w:spacing w:after="0" w:line="360" w:lineRule="auto"/>
        <w:ind w:firstLine="480" w:firstLineChars="200"/>
        <w:rPr>
          <w:rFonts w:cs="仿宋"/>
          <w:color w:val="auto"/>
        </w:rPr>
      </w:pPr>
      <w:r>
        <w:rPr>
          <w:rFonts w:hint="eastAsia" w:cs="仿宋"/>
          <w:color w:val="auto"/>
          <w:lang w:val="en-US" w:eastAsia="zh-CN"/>
        </w:rPr>
        <w:t>4</w:t>
      </w:r>
      <w:r>
        <w:rPr>
          <w:rFonts w:hint="eastAsia" w:cs="仿宋"/>
          <w:color w:val="auto"/>
        </w:rPr>
        <w:t>.1.3采购需求；</w:t>
      </w:r>
    </w:p>
    <w:p w14:paraId="231BA469">
      <w:pPr>
        <w:spacing w:after="0" w:line="360" w:lineRule="auto"/>
        <w:ind w:firstLine="480" w:firstLineChars="200"/>
        <w:rPr>
          <w:rFonts w:cs="仿宋"/>
          <w:color w:val="auto"/>
        </w:rPr>
      </w:pPr>
      <w:r>
        <w:rPr>
          <w:rFonts w:hint="eastAsia" w:cs="仿宋"/>
          <w:color w:val="auto"/>
          <w:lang w:val="en-US" w:eastAsia="zh-CN"/>
        </w:rPr>
        <w:t>4</w:t>
      </w:r>
      <w:r>
        <w:rPr>
          <w:rFonts w:hint="eastAsia" w:cs="仿宋"/>
          <w:color w:val="auto"/>
        </w:rPr>
        <w:t>.1.4评审办法；</w:t>
      </w:r>
    </w:p>
    <w:p w14:paraId="3441BA59">
      <w:pPr>
        <w:spacing w:after="0" w:line="360" w:lineRule="auto"/>
        <w:ind w:firstLine="480" w:firstLineChars="200"/>
        <w:rPr>
          <w:rFonts w:cs="仿宋"/>
          <w:color w:val="auto"/>
        </w:rPr>
      </w:pPr>
      <w:r>
        <w:rPr>
          <w:rFonts w:hint="eastAsia" w:cs="仿宋"/>
          <w:color w:val="auto"/>
          <w:lang w:val="en-US" w:eastAsia="zh-CN"/>
        </w:rPr>
        <w:t>4</w:t>
      </w:r>
      <w:r>
        <w:rPr>
          <w:rFonts w:hint="eastAsia" w:cs="仿宋"/>
          <w:color w:val="auto"/>
        </w:rPr>
        <w:t>.1.5拟签订的合同文本；</w:t>
      </w:r>
    </w:p>
    <w:p w14:paraId="7B64B01B">
      <w:pPr>
        <w:spacing w:after="0" w:line="360" w:lineRule="auto"/>
        <w:ind w:firstLine="480" w:firstLineChars="200"/>
        <w:rPr>
          <w:rFonts w:cs="仿宋"/>
          <w:color w:val="auto"/>
        </w:rPr>
      </w:pPr>
      <w:r>
        <w:rPr>
          <w:rFonts w:hint="eastAsia" w:cs="仿宋"/>
          <w:color w:val="auto"/>
          <w:lang w:val="en-US" w:eastAsia="zh-CN"/>
        </w:rPr>
        <w:t>4</w:t>
      </w:r>
      <w:r>
        <w:rPr>
          <w:rFonts w:hint="eastAsia" w:cs="仿宋"/>
          <w:color w:val="auto"/>
        </w:rPr>
        <w:t>.1.6应提交的有关格式范例。</w:t>
      </w:r>
    </w:p>
    <w:p w14:paraId="2816E285">
      <w:pPr>
        <w:spacing w:after="0" w:line="360" w:lineRule="auto"/>
        <w:ind w:firstLine="480" w:firstLineChars="200"/>
        <w:rPr>
          <w:rFonts w:cs="仿宋"/>
          <w:color w:val="auto"/>
        </w:rPr>
      </w:pPr>
      <w:r>
        <w:rPr>
          <w:rFonts w:hint="eastAsia" w:cs="仿宋"/>
          <w:color w:val="auto"/>
          <w:lang w:val="en-US" w:eastAsia="zh-CN"/>
        </w:rPr>
        <w:t>4</w:t>
      </w:r>
      <w:r>
        <w:rPr>
          <w:rFonts w:hint="eastAsia" w:cs="仿宋"/>
          <w:color w:val="auto"/>
        </w:rPr>
        <w:t>.2与本项目有关的澄清或者修改的内容为交易文件的组成部分。</w:t>
      </w:r>
    </w:p>
    <w:p w14:paraId="4E6500D7">
      <w:pPr>
        <w:pStyle w:val="4"/>
        <w:spacing w:after="0" w:line="360" w:lineRule="auto"/>
        <w:ind w:firstLine="482" w:firstLineChars="200"/>
        <w:rPr>
          <w:rFonts w:cs="仿宋"/>
          <w:color w:val="auto"/>
        </w:rPr>
      </w:pPr>
      <w:r>
        <w:rPr>
          <w:rFonts w:hint="eastAsia" w:cs="仿宋"/>
          <w:color w:val="auto"/>
          <w:lang w:val="en-US" w:eastAsia="zh-CN"/>
        </w:rPr>
        <w:t>5</w:t>
      </w:r>
      <w:r>
        <w:rPr>
          <w:rFonts w:hint="eastAsia" w:cs="仿宋"/>
          <w:color w:val="auto"/>
        </w:rPr>
        <w:t>. 交易文件的澄清、修改</w:t>
      </w:r>
    </w:p>
    <w:p w14:paraId="43CD364D">
      <w:pPr>
        <w:spacing w:after="0" w:line="360" w:lineRule="auto"/>
        <w:ind w:firstLine="480" w:firstLineChars="200"/>
        <w:rPr>
          <w:rFonts w:cs="仿宋"/>
          <w:color w:val="auto"/>
        </w:rPr>
      </w:pPr>
      <w:r>
        <w:rPr>
          <w:rFonts w:hint="eastAsia" w:cs="仿宋"/>
          <w:color w:val="auto"/>
          <w:lang w:val="en-US" w:eastAsia="zh-CN"/>
        </w:rPr>
        <w:t>5</w:t>
      </w:r>
      <w:r>
        <w:rPr>
          <w:rFonts w:hint="eastAsia" w:cs="仿宋"/>
          <w:color w:val="auto"/>
        </w:rPr>
        <w:t>.1已获取交易文件的潜在供应商，若有问题需要澄清，应于响应截止时间前，以书面形式向采购机构提出。</w:t>
      </w:r>
    </w:p>
    <w:p w14:paraId="30E1001A">
      <w:pPr>
        <w:spacing w:after="0" w:line="360" w:lineRule="auto"/>
        <w:ind w:firstLine="480" w:firstLineChars="200"/>
        <w:rPr>
          <w:rFonts w:cs="仿宋"/>
          <w:color w:val="auto"/>
        </w:rPr>
      </w:pPr>
      <w:r>
        <w:rPr>
          <w:rFonts w:hint="eastAsia" w:cs="仿宋"/>
          <w:color w:val="auto"/>
          <w:lang w:val="en-US" w:eastAsia="zh-CN"/>
        </w:rPr>
        <w:t>5</w:t>
      </w:r>
      <w:r>
        <w:rPr>
          <w:rFonts w:hint="eastAsia" w:cs="仿宋"/>
          <w:color w:val="auto"/>
        </w:rPr>
        <w:t>.2 采购机构对交易文件进行澄清或修改的，将同时通过电子交易平台通知已获取交易文件的潜在供应商。依法应当公告的，将按规定公告，同时视情况延长响应截止时间和交易时间。该澄清或者修改的内容为交易文件的组成部分。</w:t>
      </w:r>
    </w:p>
    <w:p w14:paraId="3C33D0C2">
      <w:pPr>
        <w:pStyle w:val="3"/>
        <w:spacing w:before="0" w:line="360" w:lineRule="auto"/>
        <w:rPr>
          <w:rFonts w:hint="eastAsia" w:eastAsia="仿宋" w:cs="仿宋"/>
          <w:color w:val="auto"/>
          <w:lang w:val="en-US" w:eastAsia="zh-CN"/>
        </w:rPr>
      </w:pPr>
      <w:r>
        <w:rPr>
          <w:rFonts w:hint="eastAsia" w:cs="仿宋"/>
          <w:color w:val="auto"/>
        </w:rPr>
        <w:t>三、</w:t>
      </w:r>
      <w:r>
        <w:rPr>
          <w:rFonts w:hint="eastAsia" w:cs="仿宋"/>
          <w:color w:val="auto"/>
          <w:lang w:val="en-US" w:eastAsia="zh-CN"/>
        </w:rPr>
        <w:t>交易</w:t>
      </w:r>
    </w:p>
    <w:p w14:paraId="4A275871">
      <w:pPr>
        <w:pStyle w:val="4"/>
        <w:spacing w:after="0" w:line="360" w:lineRule="auto"/>
        <w:ind w:firstLine="482" w:firstLineChars="200"/>
        <w:rPr>
          <w:rFonts w:cs="仿宋"/>
          <w:color w:val="auto"/>
        </w:rPr>
      </w:pPr>
      <w:r>
        <w:rPr>
          <w:rFonts w:hint="eastAsia" w:cs="仿宋"/>
          <w:color w:val="auto"/>
          <w:lang w:val="en-US" w:eastAsia="zh-CN"/>
        </w:rPr>
        <w:t>6</w:t>
      </w:r>
      <w:r>
        <w:rPr>
          <w:rFonts w:hint="eastAsia" w:cs="仿宋"/>
          <w:color w:val="auto"/>
        </w:rPr>
        <w:t>. 交易文件的获取</w:t>
      </w:r>
    </w:p>
    <w:p w14:paraId="2E525A2D">
      <w:pPr>
        <w:spacing w:after="0" w:line="360" w:lineRule="auto"/>
        <w:ind w:firstLine="480" w:firstLineChars="200"/>
        <w:rPr>
          <w:rFonts w:cs="仿宋"/>
          <w:color w:val="auto"/>
        </w:rPr>
      </w:pPr>
      <w:r>
        <w:rPr>
          <w:rFonts w:hint="eastAsia" w:cs="仿宋"/>
          <w:color w:val="auto"/>
        </w:rPr>
        <w:t>详见交易公告中获取交易文件的时间期限、地点、方式及交易文件售价。</w:t>
      </w:r>
    </w:p>
    <w:p w14:paraId="3CCF1A90">
      <w:pPr>
        <w:pStyle w:val="4"/>
        <w:spacing w:after="0" w:line="360" w:lineRule="auto"/>
        <w:ind w:firstLine="482" w:firstLineChars="200"/>
        <w:rPr>
          <w:rFonts w:cs="仿宋"/>
          <w:color w:val="auto"/>
        </w:rPr>
      </w:pPr>
      <w:r>
        <w:rPr>
          <w:rFonts w:hint="eastAsia" w:cs="仿宋"/>
          <w:color w:val="auto"/>
          <w:lang w:val="en-US" w:eastAsia="zh-CN"/>
        </w:rPr>
        <w:t>7</w:t>
      </w:r>
      <w:r>
        <w:rPr>
          <w:rFonts w:hint="eastAsia" w:cs="仿宋"/>
          <w:color w:val="auto"/>
        </w:rPr>
        <w:t>.交易前答疑会或现场考察</w:t>
      </w:r>
    </w:p>
    <w:p w14:paraId="5279CCEF">
      <w:pPr>
        <w:spacing w:after="0" w:line="360" w:lineRule="auto"/>
        <w:ind w:firstLine="480" w:firstLineChars="200"/>
        <w:rPr>
          <w:rFonts w:cs="仿宋"/>
          <w:color w:val="auto"/>
        </w:rPr>
      </w:pPr>
      <w:r>
        <w:rPr>
          <w:rFonts w:hint="eastAsia" w:cs="仿宋"/>
          <w:color w:val="auto"/>
          <w:lang w:eastAsia="zh-CN"/>
        </w:rPr>
        <w:t>交易发起人</w:t>
      </w:r>
      <w:r>
        <w:rPr>
          <w:rFonts w:hint="eastAsia" w:cs="仿宋"/>
          <w:color w:val="auto"/>
        </w:rPr>
        <w:t>组织潜在供应商现场考察或者召开交易前答疑会的，潜在供应商按第二部分供应商须知前附表的规定参加现场考察或者交易前答疑会。</w:t>
      </w:r>
    </w:p>
    <w:p w14:paraId="207E7EEF">
      <w:pPr>
        <w:pStyle w:val="4"/>
        <w:spacing w:after="0" w:line="360" w:lineRule="auto"/>
        <w:ind w:firstLine="482" w:firstLineChars="200"/>
        <w:rPr>
          <w:rFonts w:cs="仿宋"/>
          <w:color w:val="auto"/>
        </w:rPr>
      </w:pPr>
      <w:r>
        <w:rPr>
          <w:rFonts w:hint="eastAsia" w:cs="仿宋"/>
          <w:color w:val="auto"/>
          <w:lang w:val="en-US" w:eastAsia="zh-CN"/>
        </w:rPr>
        <w:t>8</w:t>
      </w:r>
      <w:r>
        <w:rPr>
          <w:rFonts w:hint="eastAsia" w:cs="仿宋"/>
          <w:color w:val="auto"/>
        </w:rPr>
        <w:t>.响应保证金</w:t>
      </w:r>
    </w:p>
    <w:p w14:paraId="7486E850">
      <w:pPr>
        <w:spacing w:after="0" w:line="360" w:lineRule="auto"/>
        <w:ind w:firstLine="480" w:firstLineChars="200"/>
        <w:rPr>
          <w:rFonts w:cs="仿宋"/>
          <w:color w:val="auto"/>
        </w:rPr>
      </w:pPr>
      <w:r>
        <w:rPr>
          <w:rFonts w:hint="eastAsia" w:cs="仿宋"/>
          <w:color w:val="auto"/>
        </w:rPr>
        <w:t>本项目不需缴纳响应保证金。</w:t>
      </w:r>
    </w:p>
    <w:p w14:paraId="25BBBC0E">
      <w:pPr>
        <w:pStyle w:val="4"/>
        <w:spacing w:after="0" w:line="360" w:lineRule="auto"/>
        <w:ind w:firstLine="482" w:firstLineChars="200"/>
        <w:rPr>
          <w:rFonts w:cs="仿宋"/>
          <w:color w:val="auto"/>
        </w:rPr>
      </w:pPr>
      <w:r>
        <w:rPr>
          <w:rFonts w:hint="eastAsia" w:cs="仿宋"/>
          <w:color w:val="auto"/>
          <w:lang w:val="en-US" w:eastAsia="zh-CN"/>
        </w:rPr>
        <w:t>9</w:t>
      </w:r>
      <w:r>
        <w:rPr>
          <w:rFonts w:hint="eastAsia" w:cs="仿宋"/>
          <w:color w:val="auto"/>
        </w:rPr>
        <w:t>. 响应文件的语言</w:t>
      </w:r>
    </w:p>
    <w:p w14:paraId="7FD2384D">
      <w:pPr>
        <w:spacing w:after="0" w:line="360" w:lineRule="auto"/>
        <w:ind w:firstLine="480" w:firstLineChars="200"/>
        <w:rPr>
          <w:rFonts w:cs="仿宋"/>
          <w:color w:val="auto"/>
        </w:rPr>
      </w:pPr>
      <w:r>
        <w:rPr>
          <w:rFonts w:hint="eastAsia" w:cs="仿宋"/>
          <w:color w:val="auto"/>
        </w:rPr>
        <w:t>响应文件及供应商与采购有关的来往通知、函件和文件均应使用中文。</w:t>
      </w:r>
    </w:p>
    <w:p w14:paraId="316B9B7C">
      <w:pPr>
        <w:pStyle w:val="4"/>
        <w:spacing w:after="0" w:line="360" w:lineRule="auto"/>
        <w:ind w:firstLine="482" w:firstLineChars="200"/>
        <w:rPr>
          <w:rFonts w:cs="仿宋"/>
          <w:color w:val="auto"/>
        </w:rPr>
      </w:pPr>
      <w:r>
        <w:rPr>
          <w:rFonts w:hint="eastAsia" w:cs="仿宋"/>
          <w:color w:val="auto"/>
        </w:rPr>
        <w:t>1</w:t>
      </w:r>
      <w:r>
        <w:rPr>
          <w:rFonts w:hint="eastAsia" w:cs="仿宋"/>
          <w:color w:val="auto"/>
          <w:lang w:val="en-US" w:eastAsia="zh-CN"/>
        </w:rPr>
        <w:t>0</w:t>
      </w:r>
      <w:r>
        <w:rPr>
          <w:rFonts w:hint="eastAsia" w:cs="仿宋"/>
          <w:color w:val="auto"/>
        </w:rPr>
        <w:t>. 响应文件的组成</w:t>
      </w:r>
    </w:p>
    <w:p w14:paraId="5EAFB1C8">
      <w:pPr>
        <w:spacing w:after="0" w:line="360" w:lineRule="auto"/>
        <w:ind w:firstLine="482" w:firstLineChars="200"/>
        <w:rPr>
          <w:rFonts w:cs="仿宋"/>
          <w:b/>
          <w:bCs/>
          <w:color w:val="auto"/>
        </w:rPr>
      </w:pPr>
      <w:r>
        <w:rPr>
          <w:rFonts w:hint="eastAsia" w:cs="仿宋"/>
          <w:b/>
          <w:bCs/>
          <w:color w:val="auto"/>
        </w:rPr>
        <w:t>1</w:t>
      </w:r>
      <w:r>
        <w:rPr>
          <w:rFonts w:hint="eastAsia" w:cs="仿宋"/>
          <w:b/>
          <w:bCs/>
          <w:color w:val="auto"/>
          <w:lang w:val="en-US" w:eastAsia="zh-CN"/>
        </w:rPr>
        <w:t>0</w:t>
      </w:r>
      <w:r>
        <w:rPr>
          <w:rFonts w:hint="eastAsia" w:cs="仿宋"/>
          <w:b/>
          <w:bCs/>
          <w:color w:val="auto"/>
        </w:rPr>
        <w:t>.1资格文件：</w:t>
      </w:r>
    </w:p>
    <w:p w14:paraId="0545FEF7">
      <w:pPr>
        <w:spacing w:after="0" w:line="360" w:lineRule="auto"/>
        <w:ind w:firstLine="960" w:firstLineChars="400"/>
        <w:rPr>
          <w:rFonts w:cs="仿宋"/>
          <w:color w:val="auto"/>
        </w:rPr>
      </w:pPr>
      <w:r>
        <w:rPr>
          <w:rFonts w:hint="eastAsia" w:cs="仿宋"/>
          <w:color w:val="auto"/>
        </w:rPr>
        <w:t>1</w:t>
      </w:r>
      <w:r>
        <w:rPr>
          <w:rFonts w:hint="eastAsia" w:cs="仿宋"/>
          <w:color w:val="auto"/>
          <w:lang w:val="en-US" w:eastAsia="zh-CN"/>
        </w:rPr>
        <w:t>0</w:t>
      </w:r>
      <w:r>
        <w:rPr>
          <w:rFonts w:hint="eastAsia" w:cs="仿宋"/>
          <w:color w:val="auto"/>
        </w:rPr>
        <w:t>.1.1符合参加采购活动应当具备的一般条件的承诺函；</w:t>
      </w:r>
    </w:p>
    <w:p w14:paraId="4BF79EF2">
      <w:pPr>
        <w:spacing w:after="0" w:line="360" w:lineRule="auto"/>
        <w:ind w:firstLine="960" w:firstLineChars="400"/>
        <w:rPr>
          <w:rFonts w:cs="仿宋"/>
          <w:color w:val="auto"/>
        </w:rPr>
      </w:pPr>
      <w:r>
        <w:rPr>
          <w:rFonts w:hint="eastAsia" w:cs="仿宋"/>
          <w:color w:val="auto"/>
        </w:rPr>
        <w:t>1</w:t>
      </w:r>
      <w:r>
        <w:rPr>
          <w:rFonts w:hint="eastAsia" w:cs="仿宋"/>
          <w:color w:val="auto"/>
          <w:lang w:val="en-US" w:eastAsia="zh-CN"/>
        </w:rPr>
        <w:t>0</w:t>
      </w:r>
      <w:r>
        <w:rPr>
          <w:rFonts w:hint="eastAsia" w:cs="仿宋"/>
          <w:color w:val="auto"/>
        </w:rPr>
        <w:t>.1.2落实采购政策需满足的资格要求；</w:t>
      </w:r>
    </w:p>
    <w:p w14:paraId="1912504D">
      <w:pPr>
        <w:spacing w:after="0" w:line="360" w:lineRule="auto"/>
        <w:ind w:firstLine="960" w:firstLineChars="400"/>
        <w:rPr>
          <w:rFonts w:cs="仿宋"/>
          <w:color w:val="auto"/>
        </w:rPr>
      </w:pPr>
      <w:r>
        <w:rPr>
          <w:rFonts w:hint="eastAsia" w:cs="仿宋"/>
          <w:color w:val="auto"/>
        </w:rPr>
        <w:t>1</w:t>
      </w:r>
      <w:r>
        <w:rPr>
          <w:rFonts w:hint="eastAsia" w:cs="仿宋"/>
          <w:color w:val="auto"/>
          <w:lang w:val="en-US" w:eastAsia="zh-CN"/>
        </w:rPr>
        <w:t>0</w:t>
      </w:r>
      <w:r>
        <w:rPr>
          <w:rFonts w:hint="eastAsia" w:cs="仿宋"/>
          <w:color w:val="auto"/>
        </w:rPr>
        <w:t>.1.3本项目的特定资格要求。</w:t>
      </w:r>
    </w:p>
    <w:p w14:paraId="159773F0">
      <w:pPr>
        <w:spacing w:after="0" w:line="360" w:lineRule="auto"/>
        <w:ind w:firstLine="482" w:firstLineChars="200"/>
        <w:rPr>
          <w:rFonts w:cs="仿宋"/>
          <w:b/>
          <w:bCs/>
          <w:color w:val="auto"/>
        </w:rPr>
      </w:pPr>
      <w:r>
        <w:rPr>
          <w:rFonts w:hint="eastAsia" w:cs="仿宋"/>
          <w:b/>
          <w:bCs/>
          <w:color w:val="auto"/>
        </w:rPr>
        <w:t>1</w:t>
      </w:r>
      <w:r>
        <w:rPr>
          <w:rFonts w:hint="eastAsia" w:cs="仿宋"/>
          <w:b/>
          <w:bCs/>
          <w:color w:val="auto"/>
          <w:lang w:val="en-US" w:eastAsia="zh-CN"/>
        </w:rPr>
        <w:t>0</w:t>
      </w:r>
      <w:r>
        <w:rPr>
          <w:rFonts w:hint="eastAsia" w:cs="仿宋"/>
          <w:b/>
          <w:bCs/>
          <w:color w:val="auto"/>
        </w:rPr>
        <w:t>.2  商务技术文件：</w:t>
      </w:r>
    </w:p>
    <w:p w14:paraId="757D8900">
      <w:pPr>
        <w:spacing w:after="0" w:line="360" w:lineRule="auto"/>
        <w:ind w:firstLine="960" w:firstLineChars="400"/>
        <w:rPr>
          <w:rFonts w:cs="仿宋"/>
          <w:color w:val="auto"/>
        </w:rPr>
      </w:pPr>
      <w:r>
        <w:rPr>
          <w:rFonts w:hint="eastAsia" w:cs="仿宋"/>
          <w:color w:val="auto"/>
        </w:rPr>
        <w:t>1</w:t>
      </w:r>
      <w:r>
        <w:rPr>
          <w:rFonts w:hint="eastAsia" w:cs="仿宋"/>
          <w:color w:val="auto"/>
          <w:lang w:val="en-US" w:eastAsia="zh-CN"/>
        </w:rPr>
        <w:t>0</w:t>
      </w:r>
      <w:r>
        <w:rPr>
          <w:rFonts w:hint="eastAsia" w:cs="仿宋"/>
          <w:color w:val="auto"/>
        </w:rPr>
        <w:t xml:space="preserve">.2.1响应函； </w:t>
      </w:r>
    </w:p>
    <w:p w14:paraId="78ACB546">
      <w:pPr>
        <w:spacing w:after="0" w:line="360" w:lineRule="auto"/>
        <w:ind w:firstLine="960" w:firstLineChars="400"/>
        <w:rPr>
          <w:rFonts w:cs="仿宋"/>
          <w:color w:val="auto"/>
        </w:rPr>
      </w:pPr>
      <w:r>
        <w:rPr>
          <w:rFonts w:hint="eastAsia" w:cs="仿宋"/>
          <w:color w:val="auto"/>
        </w:rPr>
        <w:t>1</w:t>
      </w:r>
      <w:r>
        <w:rPr>
          <w:rFonts w:hint="eastAsia" w:cs="仿宋"/>
          <w:color w:val="auto"/>
          <w:lang w:val="en-US" w:eastAsia="zh-CN"/>
        </w:rPr>
        <w:t>0</w:t>
      </w:r>
      <w:r>
        <w:rPr>
          <w:rFonts w:hint="eastAsia" w:cs="仿宋"/>
          <w:color w:val="auto"/>
        </w:rPr>
        <w:t>.2.2授权委托书或法定代表人（单位负责人、自然人本人）身份证明；</w:t>
      </w:r>
    </w:p>
    <w:p w14:paraId="6E790956">
      <w:pPr>
        <w:spacing w:after="0" w:line="360" w:lineRule="auto"/>
        <w:ind w:firstLine="960" w:firstLineChars="400"/>
        <w:rPr>
          <w:rFonts w:hint="eastAsia" w:eastAsia="仿宋" w:cs="仿宋"/>
          <w:color w:val="auto"/>
          <w:lang w:eastAsia="zh-CN"/>
        </w:rPr>
      </w:pPr>
      <w:r>
        <w:rPr>
          <w:rFonts w:hint="eastAsia" w:cs="仿宋"/>
          <w:color w:val="auto"/>
        </w:rPr>
        <w:t>1</w:t>
      </w:r>
      <w:r>
        <w:rPr>
          <w:rFonts w:hint="eastAsia" w:cs="仿宋"/>
          <w:color w:val="auto"/>
          <w:lang w:val="en-US" w:eastAsia="zh-CN"/>
        </w:rPr>
        <w:t>0</w:t>
      </w:r>
      <w:r>
        <w:rPr>
          <w:rFonts w:hint="eastAsia" w:cs="仿宋"/>
          <w:color w:val="auto"/>
        </w:rPr>
        <w:t>.2.3联合协议；</w:t>
      </w:r>
      <w:r>
        <w:rPr>
          <w:rFonts w:hint="eastAsia" w:cs="仿宋"/>
          <w:color w:val="auto"/>
          <w:lang w:eastAsia="zh-CN"/>
        </w:rPr>
        <w:t>（</w:t>
      </w:r>
      <w:r>
        <w:rPr>
          <w:rFonts w:hint="eastAsia" w:cs="仿宋"/>
          <w:color w:val="auto"/>
          <w:lang w:val="en-US" w:eastAsia="zh-CN"/>
        </w:rPr>
        <w:t>无</w:t>
      </w:r>
      <w:r>
        <w:rPr>
          <w:rFonts w:hint="eastAsia" w:cs="仿宋"/>
          <w:color w:val="auto"/>
          <w:lang w:eastAsia="zh-CN"/>
        </w:rPr>
        <w:t>）</w:t>
      </w:r>
    </w:p>
    <w:p w14:paraId="16580D59">
      <w:pPr>
        <w:spacing w:after="0" w:line="360" w:lineRule="auto"/>
        <w:ind w:firstLine="960" w:firstLineChars="400"/>
        <w:rPr>
          <w:rFonts w:hint="eastAsia" w:eastAsia="仿宋" w:cs="仿宋"/>
          <w:color w:val="auto"/>
          <w:lang w:eastAsia="zh-CN"/>
        </w:rPr>
      </w:pPr>
      <w:r>
        <w:rPr>
          <w:rFonts w:hint="eastAsia" w:cs="仿宋"/>
          <w:color w:val="auto"/>
        </w:rPr>
        <w:t>1</w:t>
      </w:r>
      <w:r>
        <w:rPr>
          <w:rFonts w:hint="eastAsia" w:cs="仿宋"/>
          <w:color w:val="auto"/>
          <w:lang w:val="en-US" w:eastAsia="zh-CN"/>
        </w:rPr>
        <w:t>0</w:t>
      </w:r>
      <w:r>
        <w:rPr>
          <w:rFonts w:hint="eastAsia" w:cs="仿宋"/>
          <w:color w:val="auto"/>
        </w:rPr>
        <w:t>.2.4分包意向协议；</w:t>
      </w:r>
      <w:r>
        <w:rPr>
          <w:rFonts w:hint="eastAsia" w:cs="仿宋"/>
          <w:color w:val="auto"/>
          <w:lang w:eastAsia="zh-CN"/>
        </w:rPr>
        <w:t>（</w:t>
      </w:r>
      <w:r>
        <w:rPr>
          <w:rFonts w:hint="eastAsia" w:cs="仿宋"/>
          <w:color w:val="auto"/>
          <w:lang w:val="en-US" w:eastAsia="zh-CN"/>
        </w:rPr>
        <w:t>无</w:t>
      </w:r>
      <w:r>
        <w:rPr>
          <w:rFonts w:hint="eastAsia" w:cs="仿宋"/>
          <w:color w:val="auto"/>
          <w:lang w:eastAsia="zh-CN"/>
        </w:rPr>
        <w:t>）</w:t>
      </w:r>
    </w:p>
    <w:p w14:paraId="1F108A99">
      <w:pPr>
        <w:spacing w:after="0" w:line="360" w:lineRule="auto"/>
        <w:ind w:firstLine="960" w:firstLineChars="400"/>
        <w:rPr>
          <w:rFonts w:cs="仿宋"/>
          <w:color w:val="auto"/>
        </w:rPr>
      </w:pPr>
      <w:r>
        <w:rPr>
          <w:rFonts w:hint="eastAsia" w:cs="仿宋"/>
          <w:color w:val="auto"/>
        </w:rPr>
        <w:t>1</w:t>
      </w:r>
      <w:r>
        <w:rPr>
          <w:rFonts w:hint="eastAsia" w:cs="仿宋"/>
          <w:color w:val="auto"/>
          <w:lang w:val="en-US" w:eastAsia="zh-CN"/>
        </w:rPr>
        <w:t>0</w:t>
      </w:r>
      <w:r>
        <w:rPr>
          <w:rFonts w:hint="eastAsia" w:cs="仿宋"/>
          <w:color w:val="auto"/>
        </w:rPr>
        <w:t>.2.5符合性审查资料；</w:t>
      </w:r>
    </w:p>
    <w:p w14:paraId="714119CC">
      <w:pPr>
        <w:spacing w:after="0" w:line="360" w:lineRule="auto"/>
        <w:ind w:firstLine="960" w:firstLineChars="400"/>
        <w:rPr>
          <w:rFonts w:cs="仿宋"/>
          <w:color w:val="auto"/>
        </w:rPr>
      </w:pPr>
      <w:r>
        <w:rPr>
          <w:rFonts w:hint="eastAsia" w:cs="仿宋"/>
          <w:color w:val="auto"/>
        </w:rPr>
        <w:t>1</w:t>
      </w:r>
      <w:r>
        <w:rPr>
          <w:rFonts w:hint="eastAsia" w:cs="仿宋"/>
          <w:color w:val="auto"/>
          <w:lang w:val="en-US" w:eastAsia="zh-CN"/>
        </w:rPr>
        <w:t>0</w:t>
      </w:r>
      <w:r>
        <w:rPr>
          <w:rFonts w:hint="eastAsia" w:cs="仿宋"/>
          <w:color w:val="auto"/>
        </w:rPr>
        <w:t>.2.6评审标准相应的商务技术资料；</w:t>
      </w:r>
    </w:p>
    <w:p w14:paraId="5732890A">
      <w:pPr>
        <w:spacing w:after="0" w:line="360" w:lineRule="auto"/>
        <w:ind w:firstLine="960" w:firstLineChars="400"/>
        <w:rPr>
          <w:rFonts w:cs="仿宋"/>
          <w:color w:val="auto"/>
        </w:rPr>
      </w:pPr>
      <w:r>
        <w:rPr>
          <w:rFonts w:hint="eastAsia" w:cs="仿宋"/>
          <w:color w:val="auto"/>
        </w:rPr>
        <w:t>1</w:t>
      </w:r>
      <w:r>
        <w:rPr>
          <w:rFonts w:hint="eastAsia" w:cs="仿宋"/>
          <w:color w:val="auto"/>
          <w:lang w:val="en-US" w:eastAsia="zh-CN"/>
        </w:rPr>
        <w:t>0</w:t>
      </w:r>
      <w:r>
        <w:rPr>
          <w:rFonts w:hint="eastAsia" w:cs="仿宋"/>
          <w:color w:val="auto"/>
        </w:rPr>
        <w:t>.2.7响应标的清单；</w:t>
      </w:r>
    </w:p>
    <w:p w14:paraId="25BA1996">
      <w:pPr>
        <w:spacing w:after="0" w:line="360" w:lineRule="auto"/>
        <w:ind w:firstLine="960" w:firstLineChars="400"/>
        <w:rPr>
          <w:rFonts w:cs="仿宋"/>
          <w:color w:val="auto"/>
        </w:rPr>
      </w:pPr>
      <w:r>
        <w:rPr>
          <w:rFonts w:hint="eastAsia" w:cs="仿宋"/>
          <w:color w:val="auto"/>
        </w:rPr>
        <w:t>1</w:t>
      </w:r>
      <w:r>
        <w:rPr>
          <w:rFonts w:hint="eastAsia" w:cs="仿宋"/>
          <w:color w:val="auto"/>
          <w:lang w:val="en-US" w:eastAsia="zh-CN"/>
        </w:rPr>
        <w:t>0</w:t>
      </w:r>
      <w:r>
        <w:rPr>
          <w:rFonts w:hint="eastAsia" w:cs="仿宋"/>
          <w:color w:val="auto"/>
        </w:rPr>
        <w:t>.2.8商务技术偏离表；</w:t>
      </w:r>
    </w:p>
    <w:p w14:paraId="3302C495">
      <w:pPr>
        <w:spacing w:after="0" w:line="360" w:lineRule="auto"/>
        <w:ind w:firstLine="960" w:firstLineChars="400"/>
        <w:rPr>
          <w:rFonts w:cs="仿宋"/>
          <w:color w:val="auto"/>
        </w:rPr>
      </w:pPr>
      <w:r>
        <w:rPr>
          <w:rFonts w:hint="eastAsia" w:cs="仿宋"/>
          <w:color w:val="auto"/>
        </w:rPr>
        <w:t>1</w:t>
      </w:r>
      <w:r>
        <w:rPr>
          <w:rFonts w:hint="eastAsia" w:cs="仿宋"/>
          <w:color w:val="auto"/>
          <w:lang w:val="en-US" w:eastAsia="zh-CN"/>
        </w:rPr>
        <w:t>0</w:t>
      </w:r>
      <w:r>
        <w:rPr>
          <w:rFonts w:hint="eastAsia" w:cs="仿宋"/>
          <w:color w:val="auto"/>
        </w:rPr>
        <w:t>.2.9采购供应商廉洁自律承诺书；</w:t>
      </w:r>
    </w:p>
    <w:p w14:paraId="584A0087">
      <w:pPr>
        <w:spacing w:after="0" w:line="360" w:lineRule="auto"/>
        <w:ind w:firstLine="482" w:firstLineChars="200"/>
        <w:rPr>
          <w:rFonts w:cs="仿宋"/>
          <w:b/>
          <w:bCs/>
          <w:color w:val="auto"/>
        </w:rPr>
      </w:pPr>
      <w:r>
        <w:rPr>
          <w:rFonts w:hint="eastAsia" w:cs="仿宋"/>
          <w:b/>
          <w:bCs/>
          <w:color w:val="auto"/>
          <w:lang w:val="en-US" w:eastAsia="zh-CN"/>
        </w:rPr>
        <w:t>10</w:t>
      </w:r>
      <w:r>
        <w:rPr>
          <w:rFonts w:hint="eastAsia" w:cs="仿宋"/>
          <w:b/>
          <w:bCs/>
          <w:color w:val="auto"/>
        </w:rPr>
        <w:t xml:space="preserve">.3报价文件： </w:t>
      </w:r>
    </w:p>
    <w:p w14:paraId="773C3901">
      <w:pPr>
        <w:spacing w:after="0" w:line="360" w:lineRule="auto"/>
        <w:ind w:firstLine="960" w:firstLineChars="400"/>
        <w:rPr>
          <w:rFonts w:cs="仿宋"/>
          <w:color w:val="auto"/>
        </w:rPr>
      </w:pPr>
      <w:r>
        <w:rPr>
          <w:rFonts w:hint="eastAsia" w:cs="仿宋"/>
          <w:color w:val="auto"/>
        </w:rPr>
        <w:t>1</w:t>
      </w:r>
      <w:r>
        <w:rPr>
          <w:rFonts w:hint="eastAsia" w:cs="仿宋"/>
          <w:color w:val="auto"/>
          <w:lang w:val="en-US" w:eastAsia="zh-CN"/>
        </w:rPr>
        <w:t>0</w:t>
      </w:r>
      <w:r>
        <w:rPr>
          <w:rFonts w:hint="eastAsia" w:cs="仿宋"/>
          <w:color w:val="auto"/>
        </w:rPr>
        <w:t>.3.1响应一览表（报价表）；</w:t>
      </w:r>
    </w:p>
    <w:p w14:paraId="2B0CF83D">
      <w:pPr>
        <w:spacing w:after="0" w:line="360" w:lineRule="auto"/>
        <w:ind w:firstLine="482" w:firstLineChars="200"/>
        <w:rPr>
          <w:rFonts w:cs="仿宋"/>
          <w:b/>
          <w:bCs/>
          <w:color w:val="auto"/>
        </w:rPr>
      </w:pPr>
      <w:r>
        <w:rPr>
          <w:rFonts w:hint="eastAsia" w:cs="仿宋"/>
          <w:b/>
          <w:bCs/>
          <w:color w:val="auto"/>
        </w:rPr>
        <w:t>响应文件含有</w:t>
      </w:r>
      <w:r>
        <w:rPr>
          <w:rFonts w:hint="eastAsia" w:cs="仿宋"/>
          <w:b/>
          <w:bCs/>
          <w:color w:val="auto"/>
          <w:lang w:eastAsia="zh-CN"/>
        </w:rPr>
        <w:t>交易发起人</w:t>
      </w:r>
      <w:r>
        <w:rPr>
          <w:rFonts w:hint="eastAsia" w:cs="仿宋"/>
          <w:b/>
          <w:bCs/>
          <w:color w:val="auto"/>
        </w:rPr>
        <w:t>不能接受的附加条件的，响应无效；</w:t>
      </w:r>
    </w:p>
    <w:p w14:paraId="466465BC">
      <w:pPr>
        <w:spacing w:after="0" w:line="360" w:lineRule="auto"/>
        <w:ind w:firstLine="482" w:firstLineChars="200"/>
        <w:rPr>
          <w:rFonts w:cs="仿宋"/>
          <w:b/>
          <w:bCs/>
          <w:color w:val="auto"/>
        </w:rPr>
      </w:pPr>
      <w:r>
        <w:rPr>
          <w:rFonts w:hint="eastAsia" w:cs="仿宋"/>
          <w:b/>
          <w:bCs/>
          <w:color w:val="auto"/>
        </w:rPr>
        <w:t>供应商提供虚假材料响应的，响应无效。</w:t>
      </w:r>
    </w:p>
    <w:p w14:paraId="10421642">
      <w:pPr>
        <w:pStyle w:val="4"/>
        <w:spacing w:after="0" w:line="360" w:lineRule="auto"/>
        <w:ind w:firstLine="482" w:firstLineChars="200"/>
        <w:rPr>
          <w:rFonts w:cs="仿宋"/>
          <w:color w:val="auto"/>
        </w:rPr>
      </w:pPr>
      <w:r>
        <w:rPr>
          <w:rFonts w:hint="eastAsia" w:cs="仿宋"/>
          <w:color w:val="auto"/>
        </w:rPr>
        <w:t>1</w:t>
      </w:r>
      <w:r>
        <w:rPr>
          <w:rFonts w:hint="eastAsia" w:cs="仿宋"/>
          <w:color w:val="auto"/>
          <w:lang w:val="en-US" w:eastAsia="zh-CN"/>
        </w:rPr>
        <w:t>1</w:t>
      </w:r>
      <w:r>
        <w:rPr>
          <w:rFonts w:hint="eastAsia" w:cs="仿宋"/>
          <w:color w:val="auto"/>
        </w:rPr>
        <w:t>. 响应文件的编制</w:t>
      </w:r>
    </w:p>
    <w:p w14:paraId="140EB6ED">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1</w:t>
      </w:r>
      <w:r>
        <w:rPr>
          <w:rFonts w:hint="eastAsia" w:cs="仿宋"/>
          <w:color w:val="auto"/>
        </w:rPr>
        <w:t>.1响应文件分为资格文件、商务技术文件、报价文件三部分。各供应商在编制响应文件时请按照交易文件第六部分规定的格式进行，混乱的编排导致响应文件被误读或评审委员会查找不到有效文件是供应商的风险。</w:t>
      </w:r>
    </w:p>
    <w:p w14:paraId="339B99A8">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1</w:t>
      </w:r>
      <w:r>
        <w:rPr>
          <w:rFonts w:hint="eastAsia" w:cs="仿宋"/>
          <w:color w:val="auto"/>
        </w:rPr>
        <w:t>.2供应商进行电子响应应安装客户端软件—“</w:t>
      </w:r>
      <w:r>
        <w:rPr>
          <w:rFonts w:hint="eastAsia" w:cs="仿宋"/>
          <w:color w:val="auto"/>
          <w:lang w:eastAsia="zh-CN"/>
        </w:rPr>
        <w:t>萧采云</w:t>
      </w:r>
      <w:r>
        <w:rPr>
          <w:rFonts w:hint="eastAsia" w:cs="仿宋"/>
          <w:color w:val="auto"/>
        </w:rPr>
        <w:t>电子交易客户端”，并按照交易文件和电子交易平台的要求编制并加密响应文件。供应商未按规定加密的响应文件，电子交易平台将拒收并提示。</w:t>
      </w:r>
    </w:p>
    <w:p w14:paraId="2F92A590">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1</w:t>
      </w:r>
      <w:r>
        <w:rPr>
          <w:rFonts w:hint="eastAsia" w:cs="仿宋"/>
          <w:color w:val="auto"/>
        </w:rPr>
        <w:t>.3使用“</w:t>
      </w:r>
      <w:r>
        <w:rPr>
          <w:rFonts w:hint="eastAsia" w:cs="仿宋"/>
          <w:color w:val="auto"/>
          <w:lang w:eastAsia="zh-CN"/>
        </w:rPr>
        <w:t>萧采云</w:t>
      </w:r>
      <w:r>
        <w:rPr>
          <w:rFonts w:hint="eastAsia" w:cs="仿宋"/>
          <w:color w:val="auto"/>
        </w:rPr>
        <w:t>电子交易客户端”需要提前申领CA数字证书，申领流程请自行前往“浙江政府采购网-下载专区-电子交易客户端-CA驱动和申领流程”进行查阅。</w:t>
      </w:r>
    </w:p>
    <w:p w14:paraId="21C5E87E">
      <w:pPr>
        <w:pStyle w:val="4"/>
        <w:spacing w:after="0" w:line="360" w:lineRule="auto"/>
        <w:ind w:firstLine="482" w:firstLineChars="200"/>
        <w:rPr>
          <w:rFonts w:cs="仿宋"/>
          <w:color w:val="auto"/>
        </w:rPr>
      </w:pPr>
      <w:r>
        <w:rPr>
          <w:rFonts w:hint="eastAsia" w:cs="仿宋"/>
          <w:color w:val="auto"/>
        </w:rPr>
        <w:t>1</w:t>
      </w:r>
      <w:r>
        <w:rPr>
          <w:rFonts w:hint="eastAsia" w:cs="仿宋"/>
          <w:color w:val="auto"/>
          <w:lang w:val="en-US" w:eastAsia="zh-CN"/>
        </w:rPr>
        <w:t>2</w:t>
      </w:r>
      <w:r>
        <w:rPr>
          <w:rFonts w:hint="eastAsia" w:cs="仿宋"/>
          <w:color w:val="auto"/>
        </w:rPr>
        <w:t>.响应文件的签署、盖章</w:t>
      </w:r>
    </w:p>
    <w:p w14:paraId="2C0AD0D7">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2</w:t>
      </w:r>
      <w:r>
        <w:rPr>
          <w:rFonts w:hint="eastAsia" w:cs="仿宋"/>
          <w:color w:val="auto"/>
        </w:rPr>
        <w:t>.1响应文件按照交易文件第六部分格式要求进行签署、盖章。▲供应商的响应</w:t>
      </w:r>
      <w:r>
        <w:rPr>
          <w:rFonts w:hint="eastAsia" w:cs="仿宋"/>
          <w:color w:val="auto"/>
          <w:lang w:val="en-US" w:eastAsia="zh-CN"/>
        </w:rPr>
        <w:t>文</w:t>
      </w:r>
      <w:r>
        <w:rPr>
          <w:rFonts w:hint="eastAsia" w:cs="仿宋"/>
          <w:color w:val="auto"/>
        </w:rPr>
        <w:t>件未按照交易文件要求签署、盖章的，其响应无效。</w:t>
      </w:r>
    </w:p>
    <w:p w14:paraId="30A09ADE">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2</w:t>
      </w:r>
      <w:r>
        <w:rPr>
          <w:rFonts w:hint="eastAsia" w:cs="仿宋"/>
          <w:color w:val="auto"/>
        </w:rPr>
        <w:t>.2为确保网上操作合法、有效和安全，供应商应当在响应截止时间前完成在“政府采购云平台”的身份认证，确保在电子响应过程中能够对相关数据电文进行加密和使用电子签名。</w:t>
      </w:r>
    </w:p>
    <w:p w14:paraId="194D0746">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2</w:t>
      </w:r>
      <w:r>
        <w:rPr>
          <w:rFonts w:hint="eastAsia" w:cs="仿宋"/>
          <w:color w:val="auto"/>
        </w:rPr>
        <w:t>.3交易文件对响应文件签署、盖章的要求适用于电子签名。</w:t>
      </w:r>
    </w:p>
    <w:p w14:paraId="6CAB22E8">
      <w:pPr>
        <w:pStyle w:val="4"/>
        <w:spacing w:after="0" w:line="360" w:lineRule="auto"/>
        <w:ind w:firstLine="482" w:firstLineChars="200"/>
        <w:rPr>
          <w:rFonts w:cs="仿宋"/>
          <w:color w:val="auto"/>
        </w:rPr>
      </w:pPr>
      <w:r>
        <w:rPr>
          <w:rFonts w:hint="eastAsia" w:cs="仿宋"/>
          <w:color w:val="auto"/>
        </w:rPr>
        <w:t>1</w:t>
      </w:r>
      <w:r>
        <w:rPr>
          <w:rFonts w:hint="eastAsia" w:cs="仿宋"/>
          <w:color w:val="auto"/>
          <w:lang w:val="en-US" w:eastAsia="zh-CN"/>
        </w:rPr>
        <w:t>3</w:t>
      </w:r>
      <w:r>
        <w:rPr>
          <w:rFonts w:hint="eastAsia" w:cs="仿宋"/>
          <w:color w:val="auto"/>
        </w:rPr>
        <w:t>. 响应文件的提交、补充、修改、撤回</w:t>
      </w:r>
    </w:p>
    <w:p w14:paraId="1EA8B2B1">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3</w:t>
      </w:r>
      <w:r>
        <w:rPr>
          <w:rFonts w:hint="eastAsia" w:cs="仿宋"/>
          <w:color w:val="auto"/>
        </w:rPr>
        <w:t>.1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5C5F3E45">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3</w:t>
      </w:r>
      <w:r>
        <w:rPr>
          <w:rFonts w:hint="eastAsia" w:cs="仿宋"/>
          <w:color w:val="auto"/>
        </w:rPr>
        <w:t>.2电子交易平台收到响应文件，将妥善保存并即时向供应商发出确认回执通知。在响应截止时间前，除供应商补充、修改或者撤回响应文件外，任何单位和个人不得解密或提取响应文件。</w:t>
      </w:r>
    </w:p>
    <w:p w14:paraId="58CB3A91">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3</w:t>
      </w:r>
      <w:r>
        <w:rPr>
          <w:rFonts w:hint="eastAsia" w:cs="仿宋"/>
          <w:color w:val="auto"/>
        </w:rPr>
        <w:t>.3</w:t>
      </w:r>
      <w:r>
        <w:rPr>
          <w:rFonts w:hint="eastAsia" w:cs="仿宋"/>
          <w:color w:val="auto"/>
          <w:lang w:eastAsia="zh-CN"/>
        </w:rPr>
        <w:t>交易发起人</w:t>
      </w:r>
      <w:r>
        <w:rPr>
          <w:rFonts w:hint="eastAsia" w:cs="仿宋"/>
          <w:color w:val="auto"/>
        </w:rPr>
        <w:t>、采购机构可以视情况延长响应文件提交的截止时间。在上述情况下，采购机构与供应商以前在响应截止期方面的全部权利、责任和义务，将适用于延长至新的响应截止期。</w:t>
      </w:r>
    </w:p>
    <w:p w14:paraId="1FC4D570">
      <w:pPr>
        <w:pStyle w:val="4"/>
        <w:spacing w:after="0" w:line="360" w:lineRule="auto"/>
        <w:ind w:firstLine="482" w:firstLineChars="200"/>
        <w:rPr>
          <w:rFonts w:cs="仿宋"/>
          <w:color w:val="auto"/>
        </w:rPr>
      </w:pPr>
      <w:r>
        <w:rPr>
          <w:rFonts w:hint="eastAsia" w:cs="仿宋"/>
          <w:color w:val="auto"/>
        </w:rPr>
        <w:t>1</w:t>
      </w:r>
      <w:r>
        <w:rPr>
          <w:rFonts w:hint="eastAsia" w:cs="仿宋"/>
          <w:color w:val="auto"/>
          <w:lang w:val="en-US" w:eastAsia="zh-CN"/>
        </w:rPr>
        <w:t>4</w:t>
      </w:r>
      <w:r>
        <w:rPr>
          <w:rFonts w:hint="eastAsia" w:cs="仿宋"/>
          <w:color w:val="auto"/>
        </w:rPr>
        <w:t>.备份响应文件</w:t>
      </w:r>
    </w:p>
    <w:p w14:paraId="3BAA3337">
      <w:pPr>
        <w:pStyle w:val="18"/>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本项目不收取备份响应文件</w:t>
      </w:r>
    </w:p>
    <w:p w14:paraId="4D688954">
      <w:pPr>
        <w:spacing w:after="0" w:line="360" w:lineRule="auto"/>
        <w:ind w:firstLine="482" w:firstLineChars="200"/>
        <w:rPr>
          <w:rFonts w:cs="仿宋"/>
          <w:b/>
          <w:bCs/>
          <w:color w:val="auto"/>
        </w:rPr>
      </w:pPr>
      <w:r>
        <w:rPr>
          <w:rFonts w:hint="eastAsia" w:cs="仿宋"/>
          <w:b/>
          <w:bCs/>
          <w:color w:val="auto"/>
        </w:rPr>
        <w:t>1</w:t>
      </w:r>
      <w:r>
        <w:rPr>
          <w:rFonts w:hint="eastAsia" w:cs="仿宋"/>
          <w:b/>
          <w:bCs/>
          <w:color w:val="auto"/>
          <w:lang w:val="en-US" w:eastAsia="zh-CN"/>
        </w:rPr>
        <w:t>5</w:t>
      </w:r>
      <w:r>
        <w:rPr>
          <w:rFonts w:hint="eastAsia" w:cs="仿宋"/>
          <w:b/>
          <w:bCs/>
          <w:color w:val="auto"/>
        </w:rPr>
        <w:t>.响应文件的无效处理</w:t>
      </w:r>
    </w:p>
    <w:p w14:paraId="6C8EBB80">
      <w:pPr>
        <w:spacing w:after="0" w:line="360" w:lineRule="auto"/>
        <w:ind w:firstLine="480" w:firstLineChars="200"/>
        <w:rPr>
          <w:rFonts w:cs="仿宋"/>
          <w:color w:val="auto"/>
        </w:rPr>
      </w:pPr>
      <w:r>
        <w:rPr>
          <w:rFonts w:hint="eastAsia" w:cs="仿宋"/>
          <w:color w:val="auto"/>
        </w:rPr>
        <w:t>有交易文件第四部分4.2规定的情形之一的，响应无效：</w:t>
      </w:r>
    </w:p>
    <w:p w14:paraId="20BDC0BF">
      <w:pPr>
        <w:spacing w:after="0" w:line="360" w:lineRule="auto"/>
        <w:ind w:firstLine="482" w:firstLineChars="200"/>
        <w:rPr>
          <w:rFonts w:cs="仿宋"/>
          <w:b/>
          <w:bCs/>
          <w:color w:val="auto"/>
        </w:rPr>
      </w:pPr>
      <w:r>
        <w:rPr>
          <w:rFonts w:hint="eastAsia" w:cs="仿宋"/>
          <w:b/>
          <w:bCs/>
          <w:color w:val="auto"/>
        </w:rPr>
        <w:t>1</w:t>
      </w:r>
      <w:r>
        <w:rPr>
          <w:rFonts w:hint="eastAsia" w:cs="仿宋"/>
          <w:b/>
          <w:bCs/>
          <w:color w:val="auto"/>
          <w:lang w:val="en-US" w:eastAsia="zh-CN"/>
        </w:rPr>
        <w:t>6</w:t>
      </w:r>
      <w:r>
        <w:rPr>
          <w:rFonts w:hint="eastAsia" w:cs="仿宋"/>
          <w:b/>
          <w:bCs/>
          <w:color w:val="auto"/>
        </w:rPr>
        <w:t>.响应有效期</w:t>
      </w:r>
    </w:p>
    <w:p w14:paraId="55821472">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6</w:t>
      </w:r>
      <w:r>
        <w:rPr>
          <w:rFonts w:hint="eastAsia" w:cs="仿宋"/>
          <w:color w:val="auto"/>
        </w:rPr>
        <w:t>.1响应有效期为从提交响应文件的截止之日起90天。▲供应商的响应文件中承诺的响应有效期少于交易文件中载明的响应有效期的，响应无效。</w:t>
      </w:r>
    </w:p>
    <w:p w14:paraId="5C490498">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6</w:t>
      </w:r>
      <w:r>
        <w:rPr>
          <w:rFonts w:hint="eastAsia" w:cs="仿宋"/>
          <w:color w:val="auto"/>
        </w:rPr>
        <w:t>.2响应文件合格投递后，自响应截止日期起，在响应有效期内有效。</w:t>
      </w:r>
    </w:p>
    <w:p w14:paraId="3748F08C">
      <w:pPr>
        <w:spacing w:after="0" w:line="360" w:lineRule="auto"/>
        <w:ind w:firstLine="480" w:firstLineChars="200"/>
        <w:rPr>
          <w:rFonts w:hint="eastAsia" w:cs="仿宋"/>
          <w:color w:val="auto"/>
        </w:rPr>
      </w:pPr>
      <w:r>
        <w:rPr>
          <w:rFonts w:hint="eastAsia" w:cs="仿宋"/>
          <w:color w:val="auto"/>
        </w:rPr>
        <w:t>1</w:t>
      </w:r>
      <w:r>
        <w:rPr>
          <w:rFonts w:hint="eastAsia" w:cs="仿宋"/>
          <w:color w:val="auto"/>
          <w:lang w:val="en-US" w:eastAsia="zh-CN"/>
        </w:rPr>
        <w:t>6</w:t>
      </w:r>
      <w:r>
        <w:rPr>
          <w:rFonts w:hint="eastAsia" w:cs="仿宋"/>
          <w:color w:val="auto"/>
        </w:rPr>
        <w:t>.3在原定响应有效期满之前，如果出现特殊情况，采购机构可以以书面形式通知供应商延长响应有效期。供应商同意延长的，不得要求或被允许修改其响应文件，供应商拒绝延长的，其响应无效。</w:t>
      </w:r>
    </w:p>
    <w:p w14:paraId="6568307D">
      <w:pPr>
        <w:pStyle w:val="6"/>
        <w:rPr>
          <w:color w:val="auto"/>
        </w:rPr>
      </w:pPr>
    </w:p>
    <w:p w14:paraId="5A4C8275">
      <w:pPr>
        <w:pStyle w:val="3"/>
        <w:spacing w:before="0" w:line="360" w:lineRule="auto"/>
        <w:rPr>
          <w:rFonts w:cs="仿宋"/>
          <w:color w:val="auto"/>
        </w:rPr>
      </w:pPr>
      <w:r>
        <w:rPr>
          <w:rFonts w:hint="eastAsia" w:cs="仿宋"/>
          <w:color w:val="auto"/>
        </w:rPr>
        <w:t>四、交易、资格审查与信用信息查询</w:t>
      </w:r>
    </w:p>
    <w:p w14:paraId="52496BCD">
      <w:pPr>
        <w:pStyle w:val="4"/>
        <w:spacing w:after="0" w:line="360" w:lineRule="auto"/>
        <w:ind w:firstLine="482" w:firstLineChars="200"/>
        <w:rPr>
          <w:rFonts w:cs="仿宋"/>
          <w:color w:val="auto"/>
        </w:rPr>
      </w:pPr>
      <w:r>
        <w:rPr>
          <w:rFonts w:hint="eastAsia" w:cs="仿宋"/>
          <w:color w:val="auto"/>
        </w:rPr>
        <w:t>1</w:t>
      </w:r>
      <w:r>
        <w:rPr>
          <w:rFonts w:hint="eastAsia" w:cs="仿宋"/>
          <w:color w:val="auto"/>
          <w:lang w:val="en-US" w:eastAsia="zh-CN"/>
        </w:rPr>
        <w:t>7</w:t>
      </w:r>
      <w:r>
        <w:rPr>
          <w:rFonts w:hint="eastAsia" w:cs="仿宋"/>
          <w:color w:val="auto"/>
        </w:rPr>
        <w:t xml:space="preserve">.交易 </w:t>
      </w:r>
    </w:p>
    <w:p w14:paraId="75170E97">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7</w:t>
      </w:r>
      <w:r>
        <w:rPr>
          <w:rFonts w:hint="eastAsia" w:cs="仿宋"/>
          <w:color w:val="auto"/>
        </w:rPr>
        <w:t>.1采购机构按照交易文件规定的时间通过电子交易平台组织交易，所有供应商均应当准时在线参加。供应商不足3家的，不得交易。</w:t>
      </w:r>
    </w:p>
    <w:p w14:paraId="626795BC">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7</w:t>
      </w:r>
      <w:r>
        <w:rPr>
          <w:rFonts w:hint="eastAsia" w:cs="仿宋"/>
          <w:color w:val="auto"/>
        </w:rPr>
        <w:t>.2交易时，电子交易平台按交易时间自动提取所有响应文件。采购机构依托电子交易平台发起开始解密指令，供应商按照平台提示和交易文件的规定在半小时内完成在线解密。</w:t>
      </w:r>
    </w:p>
    <w:p w14:paraId="67257728">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7</w:t>
      </w:r>
      <w:r>
        <w:rPr>
          <w:rFonts w:hint="eastAsia" w:cs="仿宋"/>
          <w:color w:val="auto"/>
        </w:rPr>
        <w:t>.3响应文件未按时解密，供应商提供了备份响应文件的，以备份响应文件作为依据，否则视为响应文件撤回。响应文件已按时解密的，备份响应文件自动失效。</w:t>
      </w:r>
    </w:p>
    <w:p w14:paraId="7BC0B7F6">
      <w:pPr>
        <w:pStyle w:val="4"/>
        <w:spacing w:after="0" w:line="360" w:lineRule="auto"/>
        <w:ind w:firstLine="482" w:firstLineChars="200"/>
        <w:rPr>
          <w:rFonts w:cs="仿宋"/>
          <w:color w:val="auto"/>
        </w:rPr>
      </w:pPr>
      <w:r>
        <w:rPr>
          <w:rFonts w:hint="eastAsia" w:cs="仿宋"/>
          <w:color w:val="auto"/>
        </w:rPr>
        <w:t>1</w:t>
      </w:r>
      <w:r>
        <w:rPr>
          <w:rFonts w:hint="eastAsia" w:cs="仿宋"/>
          <w:color w:val="auto"/>
          <w:lang w:val="en-US" w:eastAsia="zh-CN"/>
        </w:rPr>
        <w:t>8</w:t>
      </w:r>
      <w:r>
        <w:rPr>
          <w:rFonts w:hint="eastAsia" w:cs="仿宋"/>
          <w:color w:val="auto"/>
        </w:rPr>
        <w:t>、资格审查</w:t>
      </w:r>
    </w:p>
    <w:p w14:paraId="456BEE1D">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8</w:t>
      </w:r>
      <w:r>
        <w:rPr>
          <w:rFonts w:hint="eastAsia" w:cs="仿宋"/>
          <w:color w:val="auto"/>
        </w:rPr>
        <w:t>.1交易后，</w:t>
      </w:r>
      <w:r>
        <w:rPr>
          <w:rFonts w:hint="eastAsia" w:cs="仿宋"/>
          <w:color w:val="auto"/>
          <w:lang w:eastAsia="zh-CN"/>
        </w:rPr>
        <w:t>交易发起人</w:t>
      </w:r>
      <w:r>
        <w:rPr>
          <w:rFonts w:hint="eastAsia" w:cs="仿宋"/>
          <w:color w:val="auto"/>
        </w:rPr>
        <w:t>或采购机构将依法对供应商的资格进行审查。</w:t>
      </w:r>
    </w:p>
    <w:p w14:paraId="270A13E2">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8</w:t>
      </w:r>
      <w:r>
        <w:rPr>
          <w:rFonts w:hint="eastAsia" w:cs="仿宋"/>
          <w:color w:val="auto"/>
        </w:rPr>
        <w:t>.2</w:t>
      </w:r>
      <w:r>
        <w:rPr>
          <w:rFonts w:hint="eastAsia" w:cs="仿宋"/>
          <w:color w:val="auto"/>
          <w:lang w:eastAsia="zh-CN"/>
        </w:rPr>
        <w:t>交易发起人</w:t>
      </w:r>
      <w:r>
        <w:rPr>
          <w:rFonts w:hint="eastAsia" w:cs="仿宋"/>
          <w:color w:val="auto"/>
        </w:rPr>
        <w:t>或采购机构依据法律法规和交易文件的规定，对供应商的基本资格条件、特定资格条件进行审查。</w:t>
      </w:r>
    </w:p>
    <w:p w14:paraId="5124BAF2">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8</w:t>
      </w:r>
      <w:r>
        <w:rPr>
          <w:rFonts w:hint="eastAsia" w:cs="仿宋"/>
          <w:color w:val="auto"/>
        </w:rPr>
        <w:t>.3供应商未按照交易文件要求提供与基本资格条件、特定资格条件相应的有效资格证明材料的，视为供应商不具备交易文件中规定的资格要求，其响应无效。</w:t>
      </w:r>
    </w:p>
    <w:p w14:paraId="3D7E9344">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8</w:t>
      </w:r>
      <w:r>
        <w:rPr>
          <w:rFonts w:hint="eastAsia" w:cs="仿宋"/>
          <w:color w:val="auto"/>
        </w:rPr>
        <w:t>.4对未通过资格审查的供应商，</w:t>
      </w:r>
      <w:r>
        <w:rPr>
          <w:rFonts w:hint="eastAsia" w:cs="仿宋"/>
          <w:color w:val="auto"/>
          <w:lang w:eastAsia="zh-CN"/>
        </w:rPr>
        <w:t>交易发起人</w:t>
      </w:r>
      <w:r>
        <w:rPr>
          <w:rFonts w:hint="eastAsia" w:cs="仿宋"/>
          <w:color w:val="auto"/>
        </w:rPr>
        <w:t>或采购机构告知其未通过的原因。</w:t>
      </w:r>
    </w:p>
    <w:p w14:paraId="4E8E9FF5">
      <w:pPr>
        <w:spacing w:after="0" w:line="360" w:lineRule="auto"/>
        <w:ind w:firstLine="480" w:firstLineChars="200"/>
        <w:rPr>
          <w:rFonts w:cs="仿宋"/>
          <w:color w:val="auto"/>
        </w:rPr>
      </w:pPr>
      <w:r>
        <w:rPr>
          <w:rFonts w:hint="eastAsia" w:cs="仿宋"/>
          <w:color w:val="auto"/>
        </w:rPr>
        <w:t>1</w:t>
      </w:r>
      <w:r>
        <w:rPr>
          <w:rFonts w:hint="eastAsia" w:cs="仿宋"/>
          <w:color w:val="auto"/>
          <w:lang w:val="en-US" w:eastAsia="zh-CN"/>
        </w:rPr>
        <w:t>8</w:t>
      </w:r>
      <w:r>
        <w:rPr>
          <w:rFonts w:hint="eastAsia" w:cs="仿宋"/>
          <w:color w:val="auto"/>
        </w:rPr>
        <w:t>.5合格供应商不足3家的，不再评审。</w:t>
      </w:r>
    </w:p>
    <w:p w14:paraId="47A4B789">
      <w:pPr>
        <w:pStyle w:val="4"/>
        <w:spacing w:after="0" w:line="360" w:lineRule="auto"/>
        <w:ind w:firstLine="482" w:firstLineChars="200"/>
        <w:rPr>
          <w:rFonts w:cs="仿宋"/>
          <w:color w:val="auto"/>
        </w:rPr>
      </w:pPr>
      <w:r>
        <w:rPr>
          <w:rFonts w:hint="eastAsia" w:cs="仿宋"/>
          <w:color w:val="auto"/>
          <w:lang w:val="en-US" w:eastAsia="zh-CN"/>
        </w:rPr>
        <w:t>19</w:t>
      </w:r>
      <w:r>
        <w:rPr>
          <w:rFonts w:hint="eastAsia" w:cs="仿宋"/>
          <w:color w:val="auto"/>
        </w:rPr>
        <w:t>、信用信息查询</w:t>
      </w:r>
    </w:p>
    <w:p w14:paraId="68A145CC">
      <w:pPr>
        <w:spacing w:after="0" w:line="360" w:lineRule="auto"/>
        <w:ind w:firstLine="480" w:firstLineChars="200"/>
        <w:rPr>
          <w:rFonts w:cs="仿宋"/>
          <w:color w:val="auto"/>
        </w:rPr>
      </w:pPr>
      <w:r>
        <w:rPr>
          <w:rFonts w:hint="eastAsia" w:cs="仿宋"/>
          <w:color w:val="auto"/>
          <w:lang w:val="en-US" w:eastAsia="zh-CN"/>
        </w:rPr>
        <w:t>19</w:t>
      </w:r>
      <w:r>
        <w:rPr>
          <w:rFonts w:hint="eastAsia" w:cs="仿宋"/>
          <w:color w:val="auto"/>
        </w:rPr>
        <w:t>.1信用信息查询渠道及截止时间：采购机构将通过“信用中国”网站(www.creditchina.gov.cn)、中国政府采购网(www.ccgp.gov.cn)渠道查询供应商响应截止时间当天的信用记录。</w:t>
      </w:r>
    </w:p>
    <w:p w14:paraId="16404DAA">
      <w:pPr>
        <w:spacing w:after="0" w:line="360" w:lineRule="auto"/>
        <w:ind w:firstLine="480" w:firstLineChars="200"/>
        <w:rPr>
          <w:rFonts w:cs="仿宋"/>
          <w:color w:val="auto"/>
        </w:rPr>
      </w:pPr>
      <w:r>
        <w:rPr>
          <w:rFonts w:hint="eastAsia" w:cs="仿宋"/>
          <w:color w:val="auto"/>
          <w:lang w:val="en-US" w:eastAsia="zh-CN"/>
        </w:rPr>
        <w:t>19</w:t>
      </w:r>
      <w:r>
        <w:rPr>
          <w:rFonts w:hint="eastAsia" w:cs="仿宋"/>
          <w:color w:val="auto"/>
        </w:rPr>
        <w:t>.2信用信息查询记录和证据留存的具体方式：现场查询的供应商的信用记录、查询结果经确认后将与采购文件一起存档。</w:t>
      </w:r>
    </w:p>
    <w:p w14:paraId="03B6500D">
      <w:pPr>
        <w:spacing w:after="0" w:line="360" w:lineRule="auto"/>
        <w:ind w:firstLine="480" w:firstLineChars="200"/>
        <w:rPr>
          <w:rFonts w:cs="仿宋"/>
          <w:color w:val="auto"/>
        </w:rPr>
      </w:pPr>
      <w:r>
        <w:rPr>
          <w:rFonts w:hint="eastAsia" w:cs="仿宋"/>
          <w:color w:val="auto"/>
          <w:lang w:val="en-US" w:eastAsia="zh-CN"/>
        </w:rPr>
        <w:t>19</w:t>
      </w:r>
      <w:r>
        <w:rPr>
          <w:rFonts w:hint="eastAsia" w:cs="仿宋"/>
          <w:color w:val="auto"/>
        </w:rPr>
        <w:t>.3信用信息的使用规则：经查询列入失信被执行人名单、重大税收违法案件当事人名单（税收违法黑名单）、政府采购严重违法失信行为记录名单的供应商将被拒绝参与政府采购活动。</w:t>
      </w:r>
    </w:p>
    <w:p w14:paraId="515384E4">
      <w:pPr>
        <w:spacing w:after="0" w:line="360" w:lineRule="auto"/>
        <w:ind w:firstLine="480" w:firstLineChars="200"/>
        <w:rPr>
          <w:rFonts w:cs="仿宋"/>
          <w:color w:val="auto"/>
        </w:rPr>
      </w:pPr>
      <w:r>
        <w:rPr>
          <w:rFonts w:hint="eastAsia" w:cs="仿宋"/>
          <w:color w:val="auto"/>
          <w:lang w:val="en-US" w:eastAsia="zh-CN"/>
        </w:rPr>
        <w:t>19</w:t>
      </w:r>
      <w:r>
        <w:rPr>
          <w:rFonts w:hint="eastAsia" w:cs="仿宋"/>
          <w:color w:val="auto"/>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4206E8F">
      <w:pPr>
        <w:pStyle w:val="3"/>
        <w:spacing w:before="0" w:line="360" w:lineRule="auto"/>
        <w:rPr>
          <w:rFonts w:cs="仿宋"/>
          <w:color w:val="auto"/>
        </w:rPr>
      </w:pPr>
      <w:r>
        <w:rPr>
          <w:rFonts w:hint="eastAsia" w:cs="仿宋"/>
          <w:color w:val="auto"/>
        </w:rPr>
        <w:t>五、评审</w:t>
      </w:r>
    </w:p>
    <w:p w14:paraId="1BD9F4A4">
      <w:pPr>
        <w:pStyle w:val="4"/>
        <w:spacing w:after="0" w:line="360" w:lineRule="auto"/>
        <w:ind w:firstLine="482" w:firstLineChars="200"/>
        <w:rPr>
          <w:rFonts w:cs="仿宋"/>
          <w:color w:val="auto"/>
        </w:rPr>
      </w:pPr>
      <w:r>
        <w:rPr>
          <w:rFonts w:hint="eastAsia" w:cs="仿宋"/>
          <w:color w:val="auto"/>
        </w:rPr>
        <w:t>2</w:t>
      </w:r>
      <w:r>
        <w:rPr>
          <w:rFonts w:hint="eastAsia" w:cs="仿宋"/>
          <w:color w:val="auto"/>
          <w:lang w:val="en-US" w:eastAsia="zh-CN"/>
        </w:rPr>
        <w:t>0</w:t>
      </w:r>
      <w:r>
        <w:rPr>
          <w:rFonts w:hint="eastAsia" w:cs="仿宋"/>
          <w:color w:val="auto"/>
        </w:rPr>
        <w:t>. 评审</w:t>
      </w:r>
    </w:p>
    <w:p w14:paraId="7A0A96CB">
      <w:pPr>
        <w:spacing w:after="0" w:line="360" w:lineRule="auto"/>
        <w:ind w:firstLine="480" w:firstLineChars="200"/>
        <w:rPr>
          <w:rFonts w:cs="仿宋"/>
          <w:color w:val="auto"/>
        </w:rPr>
      </w:pPr>
      <w:r>
        <w:rPr>
          <w:rFonts w:hint="eastAsia" w:cs="仿宋"/>
          <w:color w:val="auto"/>
        </w:rPr>
        <w:t>评审委员会将根据交易文件和有关规定，履行评审工作职责，并按照评审方法及评分标准，全面衡量各供应商对交易文件的响应情况。对实质上响应交易文件的供应商，按照评审因素的量化指标排出推荐成交的供应商的先后顺序，并按顺序提出授标建议。详见交易文件第四部分评审办法。</w:t>
      </w:r>
    </w:p>
    <w:p w14:paraId="0AD211D6">
      <w:pPr>
        <w:pStyle w:val="3"/>
        <w:spacing w:before="0" w:line="360" w:lineRule="auto"/>
        <w:rPr>
          <w:rFonts w:cs="仿宋"/>
          <w:color w:val="auto"/>
        </w:rPr>
      </w:pPr>
      <w:r>
        <w:rPr>
          <w:rFonts w:hint="eastAsia" w:cs="仿宋"/>
          <w:color w:val="auto"/>
        </w:rPr>
        <w:t>六、定 标</w:t>
      </w:r>
    </w:p>
    <w:p w14:paraId="15B1DBF8">
      <w:pPr>
        <w:pStyle w:val="4"/>
        <w:spacing w:after="0" w:line="360" w:lineRule="auto"/>
        <w:ind w:firstLine="482" w:firstLineChars="200"/>
        <w:rPr>
          <w:rFonts w:cs="仿宋"/>
          <w:color w:val="auto"/>
        </w:rPr>
      </w:pPr>
      <w:r>
        <w:rPr>
          <w:rFonts w:hint="eastAsia" w:cs="仿宋"/>
          <w:color w:val="auto"/>
        </w:rPr>
        <w:t>2</w:t>
      </w:r>
      <w:r>
        <w:rPr>
          <w:rFonts w:hint="eastAsia" w:cs="仿宋"/>
          <w:color w:val="auto"/>
          <w:lang w:val="en-US" w:eastAsia="zh-CN"/>
        </w:rPr>
        <w:t>1</w:t>
      </w:r>
      <w:r>
        <w:rPr>
          <w:rFonts w:hint="eastAsia" w:cs="仿宋"/>
          <w:color w:val="auto"/>
        </w:rPr>
        <w:t>. 确定成交供应商</w:t>
      </w:r>
    </w:p>
    <w:p w14:paraId="2AF4E3E6">
      <w:pPr>
        <w:spacing w:after="0" w:line="360" w:lineRule="auto"/>
        <w:ind w:firstLine="480" w:firstLineChars="200"/>
        <w:rPr>
          <w:rFonts w:cs="仿宋"/>
          <w:color w:val="auto"/>
        </w:rPr>
      </w:pPr>
      <w:r>
        <w:rPr>
          <w:rFonts w:hint="eastAsia" w:cs="仿宋"/>
          <w:color w:val="auto"/>
          <w:lang w:eastAsia="zh-CN"/>
        </w:rPr>
        <w:t>交易发起人</w:t>
      </w:r>
      <w:r>
        <w:rPr>
          <w:rFonts w:hint="eastAsia" w:cs="仿宋"/>
          <w:color w:val="auto"/>
        </w:rPr>
        <w:t>将自收到评审报告之日起5个工作日内通过电子交易平台在评审报告推荐的成交候选人中按顺序确定成交供应商。</w:t>
      </w:r>
    </w:p>
    <w:p w14:paraId="5F812EA8">
      <w:pPr>
        <w:pStyle w:val="4"/>
        <w:spacing w:after="0" w:line="360" w:lineRule="auto"/>
        <w:ind w:firstLine="482" w:firstLineChars="200"/>
        <w:rPr>
          <w:rFonts w:cs="仿宋"/>
          <w:color w:val="auto"/>
        </w:rPr>
      </w:pPr>
      <w:r>
        <w:rPr>
          <w:rFonts w:hint="eastAsia" w:cs="仿宋"/>
          <w:color w:val="auto"/>
        </w:rPr>
        <w:t>2</w:t>
      </w:r>
      <w:r>
        <w:rPr>
          <w:rFonts w:hint="eastAsia" w:cs="仿宋"/>
          <w:color w:val="auto"/>
          <w:lang w:val="en-US" w:eastAsia="zh-CN"/>
        </w:rPr>
        <w:t>2</w:t>
      </w:r>
      <w:r>
        <w:rPr>
          <w:rFonts w:hint="eastAsia" w:cs="仿宋"/>
          <w:color w:val="auto"/>
        </w:rPr>
        <w:t>. 成交通知与成交结果公告</w:t>
      </w:r>
    </w:p>
    <w:p w14:paraId="42E72CD2">
      <w:pPr>
        <w:spacing w:after="0" w:line="360" w:lineRule="auto"/>
        <w:ind w:firstLine="480" w:firstLineChars="200"/>
        <w:rPr>
          <w:rFonts w:cs="仿宋"/>
          <w:color w:val="auto"/>
        </w:rPr>
      </w:pPr>
      <w:r>
        <w:rPr>
          <w:rFonts w:hint="eastAsia" w:cs="仿宋"/>
          <w:color w:val="auto"/>
        </w:rPr>
        <w:t>2</w:t>
      </w:r>
      <w:r>
        <w:rPr>
          <w:rFonts w:hint="eastAsia" w:cs="仿宋"/>
          <w:color w:val="auto"/>
          <w:lang w:val="en-US" w:eastAsia="zh-CN"/>
        </w:rPr>
        <w:t>2</w:t>
      </w:r>
      <w:r>
        <w:rPr>
          <w:rFonts w:hint="eastAsia" w:cs="仿宋"/>
          <w:color w:val="auto"/>
        </w:rPr>
        <w:t>.1自成交供应商确定之日起2个工作日内，采购机构通过电子交易平台向成交供应商发出成交通知书，同时编制发布采购结果公告。采购机构也可以以纸质形式进行成交通知。</w:t>
      </w:r>
    </w:p>
    <w:p w14:paraId="2D287A0D">
      <w:pPr>
        <w:spacing w:after="0" w:line="360" w:lineRule="auto"/>
        <w:ind w:firstLine="480" w:firstLineChars="200"/>
        <w:rPr>
          <w:rFonts w:cs="仿宋"/>
          <w:color w:val="auto"/>
        </w:rPr>
      </w:pPr>
      <w:r>
        <w:rPr>
          <w:rFonts w:hint="eastAsia" w:cs="仿宋"/>
          <w:color w:val="auto"/>
        </w:rPr>
        <w:t>2</w:t>
      </w:r>
      <w:r>
        <w:rPr>
          <w:rFonts w:hint="eastAsia" w:cs="仿宋"/>
          <w:color w:val="auto"/>
          <w:lang w:val="en-US" w:eastAsia="zh-CN"/>
        </w:rPr>
        <w:t>2</w:t>
      </w:r>
      <w:r>
        <w:rPr>
          <w:rFonts w:hint="eastAsia" w:cs="仿宋"/>
          <w:color w:val="auto"/>
        </w:rPr>
        <w:t>.2成交结果公告内容包括采购人及其委托的采购机构的名称、地址、联系方式，项目名称和项目编号，成交人名称、地址和成交金额，主要成交标的的名称、规格型号、数量、单价、服务要求。</w:t>
      </w:r>
    </w:p>
    <w:p w14:paraId="3F34DFB4">
      <w:pPr>
        <w:spacing w:after="0" w:line="360" w:lineRule="auto"/>
        <w:ind w:firstLine="480" w:firstLineChars="200"/>
        <w:rPr>
          <w:rFonts w:cs="仿宋"/>
          <w:color w:val="auto"/>
        </w:rPr>
      </w:pPr>
      <w:r>
        <w:rPr>
          <w:rFonts w:hint="eastAsia" w:cs="仿宋"/>
          <w:color w:val="auto"/>
        </w:rPr>
        <w:t>2</w:t>
      </w:r>
      <w:r>
        <w:rPr>
          <w:rFonts w:hint="eastAsia" w:cs="仿宋"/>
          <w:color w:val="auto"/>
          <w:lang w:val="en-US" w:eastAsia="zh-CN"/>
        </w:rPr>
        <w:t>2</w:t>
      </w:r>
      <w:r>
        <w:rPr>
          <w:rFonts w:hint="eastAsia" w:cs="仿宋"/>
          <w:color w:val="auto"/>
        </w:rPr>
        <w:t>.3公告期限为1个工作日。</w:t>
      </w:r>
    </w:p>
    <w:p w14:paraId="3B7F9453">
      <w:pPr>
        <w:pStyle w:val="3"/>
        <w:spacing w:before="0" w:line="360" w:lineRule="auto"/>
        <w:rPr>
          <w:rFonts w:cs="仿宋"/>
          <w:color w:val="auto"/>
        </w:rPr>
      </w:pPr>
      <w:r>
        <w:rPr>
          <w:rFonts w:hint="eastAsia" w:cs="仿宋"/>
          <w:color w:val="auto"/>
        </w:rPr>
        <w:t>七、合同授予</w:t>
      </w:r>
    </w:p>
    <w:p w14:paraId="48B9671B">
      <w:pPr>
        <w:pStyle w:val="4"/>
        <w:spacing w:after="0" w:line="360" w:lineRule="auto"/>
        <w:ind w:firstLine="482" w:firstLineChars="200"/>
        <w:rPr>
          <w:rFonts w:cs="仿宋"/>
          <w:color w:val="auto"/>
        </w:rPr>
      </w:pPr>
      <w:r>
        <w:rPr>
          <w:rFonts w:hint="eastAsia" w:cs="仿宋"/>
          <w:color w:val="auto"/>
        </w:rPr>
        <w:t>2</w:t>
      </w:r>
      <w:r>
        <w:rPr>
          <w:rFonts w:hint="eastAsia" w:cs="仿宋"/>
          <w:color w:val="auto"/>
          <w:lang w:val="en-US" w:eastAsia="zh-CN"/>
        </w:rPr>
        <w:t>3</w:t>
      </w:r>
      <w:r>
        <w:rPr>
          <w:rFonts w:hint="eastAsia" w:cs="仿宋"/>
          <w:color w:val="auto"/>
        </w:rPr>
        <w:t>. 合同主要条款详见第五部分拟签订的合同文本。</w:t>
      </w:r>
    </w:p>
    <w:p w14:paraId="01F159E5">
      <w:pPr>
        <w:pStyle w:val="4"/>
        <w:spacing w:after="0" w:line="360" w:lineRule="auto"/>
        <w:ind w:firstLine="482" w:firstLineChars="200"/>
        <w:rPr>
          <w:rFonts w:cs="仿宋"/>
          <w:color w:val="auto"/>
        </w:rPr>
      </w:pPr>
      <w:r>
        <w:rPr>
          <w:rFonts w:hint="eastAsia" w:cs="仿宋"/>
          <w:color w:val="auto"/>
        </w:rPr>
        <w:t>2</w:t>
      </w:r>
      <w:r>
        <w:rPr>
          <w:rFonts w:hint="eastAsia" w:cs="仿宋"/>
          <w:color w:val="auto"/>
          <w:lang w:val="en-US" w:eastAsia="zh-CN"/>
        </w:rPr>
        <w:t>3</w:t>
      </w:r>
      <w:r>
        <w:rPr>
          <w:rFonts w:hint="eastAsia" w:cs="仿宋"/>
          <w:color w:val="auto"/>
        </w:rPr>
        <w:t>. 合同的签订</w:t>
      </w:r>
    </w:p>
    <w:p w14:paraId="075E85D6">
      <w:pPr>
        <w:spacing w:after="0" w:line="360" w:lineRule="auto"/>
        <w:ind w:firstLine="480" w:firstLineChars="200"/>
        <w:rPr>
          <w:rFonts w:cs="仿宋"/>
          <w:color w:val="auto"/>
        </w:rPr>
      </w:pPr>
      <w:r>
        <w:rPr>
          <w:rFonts w:hint="eastAsia" w:cs="仿宋"/>
          <w:color w:val="auto"/>
        </w:rPr>
        <w:t>2</w:t>
      </w:r>
      <w:r>
        <w:rPr>
          <w:rFonts w:hint="eastAsia" w:cs="仿宋"/>
          <w:color w:val="auto"/>
          <w:lang w:val="en-US" w:eastAsia="zh-CN"/>
        </w:rPr>
        <w:t>3</w:t>
      </w:r>
      <w:r>
        <w:rPr>
          <w:rFonts w:hint="eastAsia" w:cs="仿宋"/>
          <w:color w:val="auto"/>
        </w:rPr>
        <w:t xml:space="preserve">.1 </w:t>
      </w:r>
      <w:r>
        <w:rPr>
          <w:rFonts w:hint="eastAsia" w:cs="仿宋"/>
          <w:color w:val="auto"/>
          <w:lang w:eastAsia="zh-CN"/>
        </w:rPr>
        <w:t>交易发起人</w:t>
      </w:r>
      <w:r>
        <w:rPr>
          <w:rFonts w:hint="eastAsia" w:cs="仿宋"/>
          <w:color w:val="auto"/>
        </w:rPr>
        <w:t>与成交供应商应当通过电子交易平台在成交通知书发出之日起三十日内，按照交易文件确定的事项签订采购合同。</w:t>
      </w:r>
    </w:p>
    <w:p w14:paraId="174D6790">
      <w:pPr>
        <w:spacing w:after="0" w:line="360" w:lineRule="auto"/>
        <w:ind w:firstLine="480" w:firstLineChars="200"/>
        <w:rPr>
          <w:rFonts w:cs="仿宋"/>
          <w:color w:val="auto"/>
        </w:rPr>
      </w:pPr>
      <w:r>
        <w:rPr>
          <w:rFonts w:hint="eastAsia" w:cs="仿宋"/>
          <w:color w:val="auto"/>
        </w:rPr>
        <w:t>2</w:t>
      </w:r>
      <w:r>
        <w:rPr>
          <w:rFonts w:hint="eastAsia" w:cs="仿宋"/>
          <w:color w:val="auto"/>
          <w:lang w:val="en-US" w:eastAsia="zh-CN"/>
        </w:rPr>
        <w:t>3</w:t>
      </w:r>
      <w:r>
        <w:rPr>
          <w:rFonts w:hint="eastAsia" w:cs="仿宋"/>
          <w:color w:val="auto"/>
        </w:rPr>
        <w:t>.2成交供应商按规定的日期、时间、地点，由法定代表人或其授权代表与</w:t>
      </w:r>
      <w:r>
        <w:rPr>
          <w:rFonts w:hint="eastAsia" w:cs="仿宋"/>
          <w:color w:val="auto"/>
          <w:lang w:eastAsia="zh-CN"/>
        </w:rPr>
        <w:t>交易发起人</w:t>
      </w:r>
      <w:r>
        <w:rPr>
          <w:rFonts w:hint="eastAsia" w:cs="仿宋"/>
          <w:color w:val="auto"/>
        </w:rPr>
        <w:t>代表签订合同。如成交供应商为联合体的，由联合体成员各方法定代表人或其授权代表与</w:t>
      </w:r>
      <w:r>
        <w:rPr>
          <w:rFonts w:hint="eastAsia" w:cs="仿宋"/>
          <w:color w:val="auto"/>
          <w:lang w:eastAsia="zh-CN"/>
        </w:rPr>
        <w:t>交易发起人</w:t>
      </w:r>
      <w:r>
        <w:rPr>
          <w:rFonts w:hint="eastAsia" w:cs="仿宋"/>
          <w:color w:val="auto"/>
        </w:rPr>
        <w:t>代表签订合同。</w:t>
      </w:r>
    </w:p>
    <w:p w14:paraId="0DD70B4F">
      <w:pPr>
        <w:spacing w:after="0" w:line="360" w:lineRule="auto"/>
        <w:ind w:firstLine="480" w:firstLineChars="200"/>
        <w:rPr>
          <w:rFonts w:cs="仿宋"/>
          <w:color w:val="auto"/>
        </w:rPr>
      </w:pPr>
      <w:r>
        <w:rPr>
          <w:rFonts w:hint="eastAsia" w:cs="仿宋"/>
          <w:color w:val="auto"/>
        </w:rPr>
        <w:t>2</w:t>
      </w:r>
      <w:r>
        <w:rPr>
          <w:rFonts w:hint="eastAsia" w:cs="仿宋"/>
          <w:color w:val="auto"/>
          <w:lang w:val="en-US" w:eastAsia="zh-CN"/>
        </w:rPr>
        <w:t>3</w:t>
      </w:r>
      <w:r>
        <w:rPr>
          <w:rFonts w:hint="eastAsia" w:cs="仿宋"/>
          <w:color w:val="auto"/>
        </w:rPr>
        <w:t>.3如签订合同并生效后，供应商无故拒绝或延期，除按照合同条款处理外，列入不良行为记录一次，并给予通报。</w:t>
      </w:r>
    </w:p>
    <w:p w14:paraId="033E27C3">
      <w:pPr>
        <w:spacing w:after="0" w:line="360" w:lineRule="auto"/>
        <w:ind w:firstLine="480" w:firstLineChars="200"/>
        <w:rPr>
          <w:rFonts w:cs="仿宋"/>
          <w:color w:val="auto"/>
        </w:rPr>
      </w:pPr>
      <w:r>
        <w:rPr>
          <w:rFonts w:hint="eastAsia" w:cs="仿宋"/>
          <w:color w:val="auto"/>
        </w:rPr>
        <w:t>2</w:t>
      </w:r>
      <w:r>
        <w:rPr>
          <w:rFonts w:hint="eastAsia" w:cs="仿宋"/>
          <w:color w:val="auto"/>
          <w:lang w:val="en-US" w:eastAsia="zh-CN"/>
        </w:rPr>
        <w:t>3</w:t>
      </w:r>
      <w:r>
        <w:rPr>
          <w:rFonts w:hint="eastAsia" w:cs="仿宋"/>
          <w:color w:val="auto"/>
        </w:rPr>
        <w:t>.4成交供应商拒绝与</w:t>
      </w:r>
      <w:r>
        <w:rPr>
          <w:rFonts w:hint="eastAsia" w:cs="仿宋"/>
          <w:color w:val="auto"/>
          <w:lang w:eastAsia="zh-CN"/>
        </w:rPr>
        <w:t>交易发起人</w:t>
      </w:r>
      <w:r>
        <w:rPr>
          <w:rFonts w:hint="eastAsia" w:cs="仿宋"/>
          <w:color w:val="auto"/>
        </w:rPr>
        <w:t>签订合同的，</w:t>
      </w:r>
      <w:r>
        <w:rPr>
          <w:rFonts w:hint="eastAsia" w:cs="仿宋"/>
          <w:color w:val="auto"/>
          <w:lang w:eastAsia="zh-CN"/>
        </w:rPr>
        <w:t>交易发起人</w:t>
      </w:r>
      <w:r>
        <w:rPr>
          <w:rFonts w:hint="eastAsia" w:cs="仿宋"/>
          <w:color w:val="auto"/>
        </w:rPr>
        <w:t>可以按照评审报告推荐的</w:t>
      </w:r>
      <w:r>
        <w:rPr>
          <w:rFonts w:hint="eastAsia" w:cs="仿宋"/>
          <w:color w:val="auto"/>
          <w:lang w:eastAsia="zh-CN"/>
        </w:rPr>
        <w:t>成交</w:t>
      </w:r>
      <w:r>
        <w:rPr>
          <w:rFonts w:hint="eastAsia" w:cs="仿宋"/>
          <w:color w:val="auto"/>
        </w:rPr>
        <w:t>或者成交候选人名单排序，确定下一候选人为成交供应商，也可以重新开展政府采购活动。</w:t>
      </w:r>
    </w:p>
    <w:p w14:paraId="0DB4EB58">
      <w:pPr>
        <w:pStyle w:val="4"/>
        <w:spacing w:after="0" w:line="360" w:lineRule="auto"/>
        <w:ind w:firstLine="482" w:firstLineChars="200"/>
        <w:rPr>
          <w:rFonts w:cs="仿宋"/>
          <w:color w:val="auto"/>
        </w:rPr>
      </w:pPr>
      <w:r>
        <w:rPr>
          <w:rFonts w:hint="eastAsia" w:cs="仿宋"/>
          <w:color w:val="auto"/>
        </w:rPr>
        <w:t>2</w:t>
      </w:r>
      <w:r>
        <w:rPr>
          <w:rFonts w:hint="eastAsia" w:cs="仿宋"/>
          <w:color w:val="auto"/>
          <w:lang w:val="en-US" w:eastAsia="zh-CN"/>
        </w:rPr>
        <w:t>4</w:t>
      </w:r>
      <w:r>
        <w:rPr>
          <w:rFonts w:hint="eastAsia" w:cs="仿宋"/>
          <w:color w:val="auto"/>
        </w:rPr>
        <w:t>. 履约保证金</w:t>
      </w:r>
    </w:p>
    <w:p w14:paraId="064B4855">
      <w:pPr>
        <w:spacing w:after="0" w:line="360" w:lineRule="auto"/>
        <w:ind w:firstLine="480" w:firstLineChars="200"/>
        <w:rPr>
          <w:rFonts w:cs="仿宋"/>
          <w:color w:val="auto"/>
        </w:rPr>
      </w:pPr>
      <w:r>
        <w:rPr>
          <w:rFonts w:hint="eastAsia" w:cs="仿宋"/>
          <w:color w:val="auto"/>
        </w:rPr>
        <w:t>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cs="仿宋"/>
          <w:color w:val="auto"/>
          <w:lang w:eastAsia="zh-CN"/>
        </w:rPr>
        <w:t>交易发起人</w:t>
      </w:r>
      <w:r>
        <w:rPr>
          <w:rFonts w:hint="eastAsia" w:cs="仿宋"/>
          <w:color w:val="auto"/>
        </w:rPr>
        <w:t>不得拒收履约保函，项目验收结束后应及时退还。</w:t>
      </w:r>
    </w:p>
    <w:p w14:paraId="6215ABE2">
      <w:pPr>
        <w:pStyle w:val="3"/>
        <w:spacing w:before="0" w:line="360" w:lineRule="auto"/>
        <w:rPr>
          <w:rFonts w:cs="仿宋"/>
          <w:color w:val="auto"/>
        </w:rPr>
      </w:pPr>
      <w:r>
        <w:rPr>
          <w:rFonts w:hint="eastAsia" w:cs="仿宋"/>
          <w:color w:val="auto"/>
        </w:rPr>
        <w:t>八、电子交易活动的中止</w:t>
      </w:r>
    </w:p>
    <w:p w14:paraId="156C8A0D">
      <w:pPr>
        <w:pStyle w:val="4"/>
        <w:spacing w:after="0" w:line="360" w:lineRule="auto"/>
        <w:ind w:firstLine="482" w:firstLineChars="200"/>
        <w:rPr>
          <w:rFonts w:cs="仿宋"/>
          <w:color w:val="auto"/>
        </w:rPr>
      </w:pPr>
      <w:r>
        <w:rPr>
          <w:rFonts w:hint="eastAsia" w:cs="仿宋"/>
          <w:color w:val="auto"/>
        </w:rPr>
        <w:t>2</w:t>
      </w:r>
      <w:r>
        <w:rPr>
          <w:rFonts w:hint="eastAsia" w:cs="仿宋"/>
          <w:color w:val="auto"/>
          <w:lang w:val="en-US" w:eastAsia="zh-CN"/>
        </w:rPr>
        <w:t>5</w:t>
      </w:r>
      <w:r>
        <w:rPr>
          <w:rFonts w:hint="eastAsia" w:cs="仿宋"/>
          <w:color w:val="auto"/>
        </w:rPr>
        <w:t>. 电子交易活动的中止。</w:t>
      </w:r>
    </w:p>
    <w:p w14:paraId="624858BF">
      <w:pPr>
        <w:spacing w:after="0" w:line="360" w:lineRule="auto"/>
        <w:ind w:firstLine="480" w:firstLineChars="200"/>
        <w:rPr>
          <w:rFonts w:cs="仿宋"/>
          <w:color w:val="auto"/>
        </w:rPr>
      </w:pPr>
      <w:r>
        <w:rPr>
          <w:rFonts w:hint="eastAsia" w:cs="仿宋"/>
          <w:color w:val="auto"/>
        </w:rPr>
        <w:t>采购过程中出现以下情形，导致电子交易平台无法正常运行，或者无法保证电子交易的公平、公正和安全时，采购机构可中止电子交易活动：</w:t>
      </w:r>
    </w:p>
    <w:p w14:paraId="589C75A9">
      <w:pPr>
        <w:spacing w:after="0" w:line="360" w:lineRule="auto"/>
        <w:ind w:firstLine="480" w:firstLineChars="200"/>
        <w:rPr>
          <w:rFonts w:cs="仿宋"/>
          <w:color w:val="auto"/>
        </w:rPr>
      </w:pPr>
      <w:r>
        <w:rPr>
          <w:rFonts w:hint="eastAsia" w:cs="仿宋"/>
          <w:color w:val="auto"/>
        </w:rPr>
        <w:t>2</w:t>
      </w:r>
      <w:r>
        <w:rPr>
          <w:rFonts w:hint="eastAsia" w:cs="仿宋"/>
          <w:color w:val="auto"/>
          <w:lang w:val="en-US" w:eastAsia="zh-CN"/>
        </w:rPr>
        <w:t>5</w:t>
      </w:r>
      <w:r>
        <w:rPr>
          <w:rFonts w:hint="eastAsia" w:cs="仿宋"/>
          <w:color w:val="auto"/>
        </w:rPr>
        <w:t xml:space="preserve">.1电子交易平台发生故障而无法登录访问的； </w:t>
      </w:r>
    </w:p>
    <w:p w14:paraId="24DD35BB">
      <w:pPr>
        <w:spacing w:after="0" w:line="360" w:lineRule="auto"/>
        <w:ind w:firstLine="480" w:firstLineChars="200"/>
        <w:rPr>
          <w:rFonts w:cs="仿宋"/>
          <w:color w:val="auto"/>
        </w:rPr>
      </w:pPr>
      <w:r>
        <w:rPr>
          <w:rFonts w:hint="eastAsia" w:cs="仿宋"/>
          <w:color w:val="auto"/>
        </w:rPr>
        <w:t>2</w:t>
      </w:r>
      <w:r>
        <w:rPr>
          <w:rFonts w:hint="eastAsia" w:cs="仿宋"/>
          <w:color w:val="auto"/>
          <w:lang w:val="en-US" w:eastAsia="zh-CN"/>
        </w:rPr>
        <w:t>5</w:t>
      </w:r>
      <w:r>
        <w:rPr>
          <w:rFonts w:hint="eastAsia" w:cs="仿宋"/>
          <w:color w:val="auto"/>
        </w:rPr>
        <w:t>.2电子交易平台应用或数据库出现错误，不能进行正常操作的；</w:t>
      </w:r>
    </w:p>
    <w:p w14:paraId="2D53B6D5">
      <w:pPr>
        <w:spacing w:after="0" w:line="360" w:lineRule="auto"/>
        <w:ind w:firstLine="480" w:firstLineChars="200"/>
        <w:rPr>
          <w:rFonts w:cs="仿宋"/>
          <w:color w:val="auto"/>
        </w:rPr>
      </w:pPr>
      <w:r>
        <w:rPr>
          <w:rFonts w:hint="eastAsia" w:cs="仿宋"/>
          <w:color w:val="auto"/>
        </w:rPr>
        <w:t>2</w:t>
      </w:r>
      <w:r>
        <w:rPr>
          <w:rFonts w:hint="eastAsia" w:cs="仿宋"/>
          <w:color w:val="auto"/>
          <w:lang w:val="en-US" w:eastAsia="zh-CN"/>
        </w:rPr>
        <w:t>5</w:t>
      </w:r>
      <w:r>
        <w:rPr>
          <w:rFonts w:hint="eastAsia" w:cs="仿宋"/>
          <w:color w:val="auto"/>
        </w:rPr>
        <w:t>.3电子交易平台发现严重安全漏洞，有潜在泄密危险的；</w:t>
      </w:r>
    </w:p>
    <w:p w14:paraId="698AFCB4">
      <w:pPr>
        <w:spacing w:after="0" w:line="360" w:lineRule="auto"/>
        <w:ind w:firstLine="480" w:firstLineChars="200"/>
        <w:rPr>
          <w:rFonts w:cs="仿宋"/>
          <w:color w:val="auto"/>
        </w:rPr>
      </w:pPr>
      <w:r>
        <w:rPr>
          <w:rFonts w:hint="eastAsia" w:cs="仿宋"/>
          <w:color w:val="auto"/>
        </w:rPr>
        <w:t>2</w:t>
      </w:r>
      <w:r>
        <w:rPr>
          <w:rFonts w:hint="eastAsia" w:cs="仿宋"/>
          <w:color w:val="auto"/>
          <w:lang w:val="en-US" w:eastAsia="zh-CN"/>
        </w:rPr>
        <w:t>5</w:t>
      </w:r>
      <w:r>
        <w:rPr>
          <w:rFonts w:hint="eastAsia" w:cs="仿宋"/>
          <w:color w:val="auto"/>
        </w:rPr>
        <w:t xml:space="preserve">.4病毒发作导致不能进行正常操作的； </w:t>
      </w:r>
    </w:p>
    <w:p w14:paraId="6496C585">
      <w:pPr>
        <w:spacing w:after="0" w:line="360" w:lineRule="auto"/>
        <w:ind w:firstLine="480" w:firstLineChars="200"/>
        <w:rPr>
          <w:rFonts w:cs="仿宋"/>
          <w:color w:val="auto"/>
        </w:rPr>
      </w:pPr>
      <w:r>
        <w:rPr>
          <w:rFonts w:hint="eastAsia" w:cs="仿宋"/>
          <w:color w:val="auto"/>
        </w:rPr>
        <w:t>2</w:t>
      </w:r>
      <w:r>
        <w:rPr>
          <w:rFonts w:hint="eastAsia" w:cs="仿宋"/>
          <w:color w:val="auto"/>
          <w:lang w:val="en-US" w:eastAsia="zh-CN"/>
        </w:rPr>
        <w:t>5</w:t>
      </w:r>
      <w:r>
        <w:rPr>
          <w:rFonts w:hint="eastAsia" w:cs="仿宋"/>
          <w:color w:val="auto"/>
        </w:rPr>
        <w:t>.5其他无法保证电子交易的公平、公正和安全的情况。</w:t>
      </w:r>
    </w:p>
    <w:p w14:paraId="2B3CBA5B">
      <w:pPr>
        <w:spacing w:after="0" w:line="360" w:lineRule="auto"/>
        <w:ind w:firstLine="480" w:firstLineChars="200"/>
        <w:rPr>
          <w:rFonts w:cs="仿宋"/>
          <w:color w:val="auto"/>
        </w:rPr>
      </w:pPr>
      <w:r>
        <w:rPr>
          <w:rFonts w:hint="eastAsia" w:cs="仿宋"/>
          <w:color w:val="auto"/>
        </w:rPr>
        <w:t xml:space="preserve"> </w:t>
      </w:r>
      <w:r>
        <w:rPr>
          <w:rFonts w:hint="eastAsia" w:cs="仿宋"/>
          <w:color w:val="auto"/>
          <w:lang w:val="en-US" w:eastAsia="zh-CN"/>
        </w:rPr>
        <w:t>26</w:t>
      </w:r>
      <w:r>
        <w:rPr>
          <w:rFonts w:hint="eastAsia"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4AC09B9D">
      <w:pPr>
        <w:pStyle w:val="3"/>
        <w:spacing w:before="0" w:line="360" w:lineRule="auto"/>
        <w:rPr>
          <w:rFonts w:cs="仿宋"/>
          <w:color w:val="auto"/>
        </w:rPr>
      </w:pPr>
      <w:r>
        <w:rPr>
          <w:rFonts w:hint="eastAsia" w:cs="仿宋"/>
          <w:color w:val="auto"/>
        </w:rPr>
        <w:t>九、验收</w:t>
      </w:r>
    </w:p>
    <w:p w14:paraId="4E60979D">
      <w:pPr>
        <w:pStyle w:val="4"/>
        <w:spacing w:after="0" w:line="360" w:lineRule="auto"/>
        <w:ind w:firstLine="482" w:firstLineChars="200"/>
        <w:rPr>
          <w:rFonts w:cs="仿宋"/>
          <w:color w:val="auto"/>
        </w:rPr>
      </w:pPr>
      <w:r>
        <w:rPr>
          <w:rFonts w:hint="eastAsia" w:cs="仿宋"/>
          <w:color w:val="auto"/>
        </w:rPr>
        <w:t>29.验收</w:t>
      </w:r>
    </w:p>
    <w:p w14:paraId="1C003D12">
      <w:pPr>
        <w:spacing w:after="0" w:line="360" w:lineRule="auto"/>
        <w:ind w:firstLine="480" w:firstLineChars="200"/>
        <w:rPr>
          <w:rFonts w:cs="仿宋"/>
          <w:color w:val="auto"/>
        </w:rPr>
      </w:pPr>
      <w:r>
        <w:rPr>
          <w:rFonts w:hint="eastAsia" w:cs="仿宋"/>
          <w:color w:val="auto"/>
        </w:rPr>
        <w:t>29.1</w:t>
      </w:r>
      <w:r>
        <w:rPr>
          <w:rFonts w:hint="eastAsia" w:cs="仿宋"/>
          <w:color w:val="auto"/>
          <w:lang w:eastAsia="zh-CN"/>
        </w:rPr>
        <w:t>交易发起人</w:t>
      </w:r>
      <w:r>
        <w:rPr>
          <w:rFonts w:hint="eastAsia" w:cs="仿宋"/>
          <w:color w:val="auto"/>
        </w:rPr>
        <w:t>应当组织对供应商履约的验收。验收采用</w:t>
      </w:r>
      <w:r>
        <w:rPr>
          <w:rFonts w:hint="eastAsia" w:cs="仿宋"/>
          <w:color w:val="auto"/>
          <w:lang w:eastAsia="zh-CN"/>
        </w:rPr>
        <w:t>交易发起人</w:t>
      </w:r>
      <w:r>
        <w:rPr>
          <w:rFonts w:hint="eastAsia" w:cs="仿宋"/>
          <w:color w:val="auto"/>
        </w:rPr>
        <w:t>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79672496">
      <w:pPr>
        <w:spacing w:after="0" w:line="360" w:lineRule="auto"/>
        <w:ind w:firstLine="480" w:firstLineChars="200"/>
        <w:rPr>
          <w:rFonts w:cs="仿宋"/>
          <w:color w:val="auto"/>
        </w:rPr>
      </w:pPr>
      <w:r>
        <w:rPr>
          <w:rFonts w:hint="eastAsia" w:cs="仿宋"/>
          <w:color w:val="auto"/>
        </w:rPr>
        <w:t>联系电话： 0571-83587785/0571-82816012  联系地址： 萧山区通惠北路2-1号302室</w:t>
      </w:r>
    </w:p>
    <w:p w14:paraId="2771562F">
      <w:pPr>
        <w:spacing w:after="0" w:line="360" w:lineRule="auto"/>
        <w:ind w:firstLine="480" w:firstLineChars="200"/>
        <w:rPr>
          <w:rFonts w:cs="仿宋"/>
          <w:color w:val="auto"/>
        </w:rPr>
      </w:pPr>
      <w:r>
        <w:rPr>
          <w:rFonts w:hint="eastAsia" w:cs="仿宋"/>
          <w:color w:val="auto"/>
        </w:rPr>
        <w:t>29.2</w:t>
      </w:r>
      <w:r>
        <w:rPr>
          <w:rFonts w:hint="eastAsia" w:cs="仿宋"/>
          <w:color w:val="auto"/>
          <w:lang w:eastAsia="zh-CN"/>
        </w:rPr>
        <w:t>交易发起人</w:t>
      </w:r>
      <w:r>
        <w:rPr>
          <w:rFonts w:hint="eastAsia" w:cs="仿宋"/>
          <w:color w:val="auto"/>
        </w:rPr>
        <w:t>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21B62C">
      <w:pPr>
        <w:spacing w:line="360" w:lineRule="auto"/>
        <w:rPr>
          <w:rFonts w:cs="仿宋"/>
          <w:color w:val="auto"/>
        </w:rPr>
      </w:pPr>
      <w:r>
        <w:rPr>
          <w:rFonts w:hint="eastAsia" w:cs="仿宋"/>
          <w:color w:val="auto"/>
        </w:rPr>
        <w:br w:type="page"/>
      </w:r>
    </w:p>
    <w:p w14:paraId="6FC43B52">
      <w:pPr>
        <w:pStyle w:val="2"/>
        <w:spacing w:line="360" w:lineRule="auto"/>
        <w:rPr>
          <w:rFonts w:ascii="仿宋" w:eastAsia="仿宋" w:cs="仿宋"/>
          <w:color w:val="auto"/>
        </w:rPr>
      </w:pPr>
      <w:r>
        <w:rPr>
          <w:rFonts w:hint="eastAsia" w:ascii="仿宋" w:eastAsia="仿宋" w:cs="仿宋"/>
          <w:color w:val="auto"/>
        </w:rPr>
        <w:t>第三部分   采购需求</w:t>
      </w:r>
    </w:p>
    <w:p w14:paraId="020A6FD7">
      <w:pPr>
        <w:snapToGrid w:val="0"/>
        <w:spacing w:line="360" w:lineRule="auto"/>
        <w:rPr>
          <w:rStyle w:val="63"/>
          <w:rFonts w:cs="仿宋"/>
          <w:color w:val="auto"/>
        </w:rPr>
      </w:pPr>
      <w:r>
        <w:rPr>
          <w:rStyle w:val="63"/>
          <w:rFonts w:hint="eastAsia" w:cs="仿宋"/>
          <w:color w:val="auto"/>
        </w:rPr>
        <w:t>属于实质性要求条款的，请用符号“▲”标明，否则属于非实质性要求。</w:t>
      </w:r>
    </w:p>
    <w:p w14:paraId="348E2FED">
      <w:pPr>
        <w:snapToGrid w:val="0"/>
        <w:spacing w:line="360" w:lineRule="auto"/>
        <w:rPr>
          <w:rStyle w:val="63"/>
          <w:rFonts w:cs="仿宋"/>
          <w:color w:val="auto"/>
        </w:rPr>
      </w:pPr>
      <w:r>
        <w:rPr>
          <w:rStyle w:val="63"/>
          <w:rFonts w:hint="eastAsia" w:cs="仿宋"/>
          <w:color w:val="auto"/>
        </w:rPr>
        <w:t>“★”系产品采购项目中单一产品或核心产品。</w:t>
      </w:r>
    </w:p>
    <w:p w14:paraId="5F117007">
      <w:pPr>
        <w:pStyle w:val="3"/>
        <w:numPr>
          <w:ilvl w:val="0"/>
          <w:numId w:val="1"/>
        </w:numPr>
        <w:spacing w:line="360" w:lineRule="auto"/>
        <w:rPr>
          <w:rFonts w:cs="仿宋"/>
          <w:color w:val="auto"/>
        </w:rPr>
      </w:pPr>
      <w:r>
        <w:rPr>
          <w:rFonts w:hint="eastAsia" w:cs="仿宋"/>
          <w:color w:val="auto"/>
        </w:rPr>
        <w:t>交易一览表</w:t>
      </w:r>
    </w:p>
    <w:p w14:paraId="24AD4783">
      <w:pPr>
        <w:pStyle w:val="5"/>
        <w:spacing w:line="360" w:lineRule="auto"/>
        <w:rPr>
          <w:rFonts w:cs="仿宋"/>
          <w:color w:val="auto"/>
        </w:rPr>
      </w:pPr>
      <w:r>
        <w:rPr>
          <w:rFonts w:hint="eastAsia" w:cs="仿宋"/>
          <w:color w:val="auto"/>
        </w:rPr>
        <w:t>标项一：</w:t>
      </w:r>
    </w:p>
    <w:tbl>
      <w:tblPr>
        <w:tblStyle w:val="32"/>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956"/>
        <w:gridCol w:w="1883"/>
        <w:gridCol w:w="858"/>
        <w:gridCol w:w="681"/>
        <w:gridCol w:w="1451"/>
      </w:tblGrid>
      <w:tr w14:paraId="4999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6" w:hRule="atLeast"/>
          <w:jc w:val="center"/>
        </w:trPr>
        <w:tc>
          <w:tcPr>
            <w:tcW w:w="915" w:type="dxa"/>
            <w:tcMar>
              <w:top w:w="15" w:type="dxa"/>
              <w:left w:w="15" w:type="dxa"/>
              <w:bottom w:w="0" w:type="dxa"/>
              <w:right w:w="15" w:type="dxa"/>
            </w:tcMar>
            <w:vAlign w:val="center"/>
          </w:tcPr>
          <w:p w14:paraId="234FF454">
            <w:pPr>
              <w:spacing w:after="0" w:line="360" w:lineRule="auto"/>
              <w:jc w:val="center"/>
              <w:rPr>
                <w:rFonts w:cs="仿宋"/>
                <w:b/>
                <w:color w:val="auto"/>
                <w:position w:val="-6"/>
              </w:rPr>
            </w:pPr>
            <w:r>
              <w:rPr>
                <w:rFonts w:hint="eastAsia" w:cs="仿宋"/>
                <w:b/>
                <w:color w:val="auto"/>
                <w:position w:val="-6"/>
              </w:rPr>
              <w:t>标项</w:t>
            </w:r>
          </w:p>
        </w:tc>
        <w:tc>
          <w:tcPr>
            <w:tcW w:w="2956" w:type="dxa"/>
            <w:tcMar>
              <w:top w:w="15" w:type="dxa"/>
              <w:left w:w="15" w:type="dxa"/>
              <w:bottom w:w="0" w:type="dxa"/>
              <w:right w:w="15" w:type="dxa"/>
            </w:tcMar>
            <w:vAlign w:val="center"/>
          </w:tcPr>
          <w:p w14:paraId="7CDDF7E6">
            <w:pPr>
              <w:spacing w:after="0" w:line="360" w:lineRule="auto"/>
              <w:jc w:val="center"/>
              <w:rPr>
                <w:rFonts w:cs="仿宋"/>
                <w:b/>
                <w:color w:val="auto"/>
                <w:position w:val="-6"/>
              </w:rPr>
            </w:pPr>
            <w:r>
              <w:rPr>
                <w:rFonts w:hint="eastAsia" w:cs="仿宋"/>
                <w:b/>
                <w:color w:val="auto"/>
                <w:position w:val="-6"/>
              </w:rPr>
              <w:t>名称</w:t>
            </w:r>
          </w:p>
        </w:tc>
        <w:tc>
          <w:tcPr>
            <w:tcW w:w="1883" w:type="dxa"/>
            <w:tcMar>
              <w:top w:w="15" w:type="dxa"/>
              <w:left w:w="15" w:type="dxa"/>
              <w:bottom w:w="0" w:type="dxa"/>
              <w:right w:w="15" w:type="dxa"/>
            </w:tcMar>
            <w:vAlign w:val="center"/>
          </w:tcPr>
          <w:p w14:paraId="52D6E056">
            <w:pPr>
              <w:spacing w:after="0" w:line="360" w:lineRule="auto"/>
              <w:jc w:val="center"/>
              <w:rPr>
                <w:rFonts w:cs="仿宋"/>
                <w:b/>
                <w:color w:val="auto"/>
                <w:position w:val="-6"/>
              </w:rPr>
            </w:pPr>
            <w:r>
              <w:rPr>
                <w:rFonts w:hint="eastAsia" w:cs="仿宋"/>
                <w:b/>
                <w:color w:val="auto"/>
                <w:position w:val="-6"/>
              </w:rPr>
              <w:t>规格型号与参数</w:t>
            </w:r>
          </w:p>
        </w:tc>
        <w:tc>
          <w:tcPr>
            <w:tcW w:w="858" w:type="dxa"/>
            <w:tcMar>
              <w:top w:w="15" w:type="dxa"/>
              <w:left w:w="15" w:type="dxa"/>
              <w:bottom w:w="0" w:type="dxa"/>
              <w:right w:w="15" w:type="dxa"/>
            </w:tcMar>
            <w:vAlign w:val="center"/>
          </w:tcPr>
          <w:p w14:paraId="060BDF83">
            <w:pPr>
              <w:spacing w:after="0" w:line="360" w:lineRule="auto"/>
              <w:jc w:val="center"/>
              <w:rPr>
                <w:rFonts w:cs="仿宋"/>
                <w:b/>
                <w:color w:val="auto"/>
                <w:position w:val="-6"/>
              </w:rPr>
            </w:pPr>
            <w:r>
              <w:rPr>
                <w:rFonts w:hint="eastAsia" w:cs="仿宋"/>
                <w:b/>
                <w:color w:val="auto"/>
                <w:position w:val="-6"/>
              </w:rPr>
              <w:t>单位</w:t>
            </w:r>
          </w:p>
        </w:tc>
        <w:tc>
          <w:tcPr>
            <w:tcW w:w="681" w:type="dxa"/>
            <w:tcMar>
              <w:top w:w="15" w:type="dxa"/>
              <w:left w:w="15" w:type="dxa"/>
              <w:bottom w:w="0" w:type="dxa"/>
              <w:right w:w="15" w:type="dxa"/>
            </w:tcMar>
            <w:vAlign w:val="center"/>
          </w:tcPr>
          <w:p w14:paraId="1CD79F2A">
            <w:pPr>
              <w:spacing w:after="0" w:line="360" w:lineRule="auto"/>
              <w:jc w:val="center"/>
              <w:rPr>
                <w:rFonts w:cs="仿宋"/>
                <w:b/>
                <w:color w:val="auto"/>
                <w:position w:val="-6"/>
              </w:rPr>
            </w:pPr>
            <w:r>
              <w:rPr>
                <w:rFonts w:hint="eastAsia" w:cs="仿宋"/>
                <w:b/>
                <w:color w:val="auto"/>
                <w:position w:val="-6"/>
              </w:rPr>
              <w:t>数量</w:t>
            </w:r>
          </w:p>
        </w:tc>
        <w:tc>
          <w:tcPr>
            <w:tcW w:w="1451" w:type="dxa"/>
            <w:vAlign w:val="center"/>
          </w:tcPr>
          <w:p w14:paraId="02504492">
            <w:pPr>
              <w:spacing w:after="0" w:line="360" w:lineRule="auto"/>
              <w:jc w:val="center"/>
              <w:rPr>
                <w:rFonts w:cs="仿宋"/>
                <w:b/>
                <w:color w:val="auto"/>
                <w:position w:val="-6"/>
              </w:rPr>
            </w:pPr>
            <w:r>
              <w:rPr>
                <w:rFonts w:hint="eastAsia" w:cs="仿宋"/>
                <w:b/>
                <w:color w:val="auto"/>
                <w:position w:val="-6"/>
              </w:rPr>
              <w:t>备注</w:t>
            </w:r>
          </w:p>
        </w:tc>
      </w:tr>
      <w:tr w14:paraId="22D4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15" w:type="dxa"/>
            <w:tcMar>
              <w:top w:w="15" w:type="dxa"/>
              <w:left w:w="15" w:type="dxa"/>
              <w:bottom w:w="0" w:type="dxa"/>
              <w:right w:w="15" w:type="dxa"/>
            </w:tcMar>
            <w:vAlign w:val="center"/>
          </w:tcPr>
          <w:p w14:paraId="2D9AB373">
            <w:pPr>
              <w:spacing w:after="0" w:line="360" w:lineRule="auto"/>
              <w:jc w:val="center"/>
              <w:rPr>
                <w:rFonts w:cs="仿宋"/>
                <w:color w:val="auto"/>
              </w:rPr>
            </w:pPr>
            <w:r>
              <w:rPr>
                <w:rFonts w:hint="eastAsia" w:cs="仿宋"/>
                <w:color w:val="auto"/>
              </w:rPr>
              <w:t>一</w:t>
            </w:r>
          </w:p>
        </w:tc>
        <w:tc>
          <w:tcPr>
            <w:tcW w:w="2956" w:type="dxa"/>
            <w:tcMar>
              <w:top w:w="15" w:type="dxa"/>
              <w:left w:w="15" w:type="dxa"/>
              <w:bottom w:w="0" w:type="dxa"/>
              <w:right w:w="15" w:type="dxa"/>
            </w:tcMar>
            <w:vAlign w:val="center"/>
          </w:tcPr>
          <w:p w14:paraId="1239FC31">
            <w:pPr>
              <w:spacing w:after="0" w:line="360" w:lineRule="auto"/>
              <w:jc w:val="center"/>
              <w:rPr>
                <w:rFonts w:hint="eastAsia" w:eastAsia="仿宋" w:cs="仿宋"/>
                <w:color w:val="auto"/>
                <w:position w:val="-6"/>
                <w:lang w:eastAsia="zh-CN"/>
              </w:rPr>
            </w:pPr>
            <w:r>
              <w:rPr>
                <w:rFonts w:hint="eastAsia" w:cs="仿宋"/>
                <w:color w:val="auto"/>
                <w:position w:val="-6"/>
                <w:lang w:eastAsia="zh-CN"/>
              </w:rPr>
              <w:t>杭州市萧山区中医院牙科电动抽吸系统采购项目</w:t>
            </w:r>
          </w:p>
        </w:tc>
        <w:tc>
          <w:tcPr>
            <w:tcW w:w="1883" w:type="dxa"/>
            <w:tcMar>
              <w:top w:w="15" w:type="dxa"/>
              <w:left w:w="15" w:type="dxa"/>
              <w:bottom w:w="0" w:type="dxa"/>
              <w:right w:w="15" w:type="dxa"/>
            </w:tcMar>
            <w:vAlign w:val="center"/>
          </w:tcPr>
          <w:p w14:paraId="65F89E20">
            <w:pPr>
              <w:spacing w:after="0" w:line="360" w:lineRule="auto"/>
              <w:jc w:val="center"/>
              <w:rPr>
                <w:rFonts w:cs="仿宋"/>
                <w:b/>
                <w:color w:val="auto"/>
              </w:rPr>
            </w:pPr>
            <w:r>
              <w:rPr>
                <w:rFonts w:hint="eastAsia" w:cs="仿宋"/>
                <w:color w:val="auto"/>
              </w:rPr>
              <w:t>详见交易需求</w:t>
            </w:r>
          </w:p>
        </w:tc>
        <w:tc>
          <w:tcPr>
            <w:tcW w:w="858" w:type="dxa"/>
            <w:tcMar>
              <w:top w:w="15" w:type="dxa"/>
              <w:left w:w="15" w:type="dxa"/>
              <w:bottom w:w="0" w:type="dxa"/>
              <w:right w:w="15" w:type="dxa"/>
            </w:tcMar>
            <w:vAlign w:val="center"/>
          </w:tcPr>
          <w:p w14:paraId="635F2C88">
            <w:pPr>
              <w:spacing w:after="0" w:line="360" w:lineRule="auto"/>
              <w:jc w:val="center"/>
              <w:rPr>
                <w:rFonts w:hint="default" w:eastAsia="仿宋" w:cs="仿宋"/>
                <w:color w:val="auto"/>
                <w:lang w:val="en-US" w:eastAsia="zh-CN"/>
              </w:rPr>
            </w:pPr>
            <w:r>
              <w:rPr>
                <w:rFonts w:hint="eastAsia" w:cs="仿宋"/>
                <w:color w:val="auto"/>
                <w:lang w:val="en-US" w:eastAsia="zh-CN"/>
              </w:rPr>
              <w:t>台</w:t>
            </w:r>
          </w:p>
        </w:tc>
        <w:tc>
          <w:tcPr>
            <w:tcW w:w="681" w:type="dxa"/>
            <w:tcMar>
              <w:top w:w="15" w:type="dxa"/>
              <w:left w:w="15" w:type="dxa"/>
              <w:bottom w:w="0" w:type="dxa"/>
              <w:right w:w="15" w:type="dxa"/>
            </w:tcMar>
            <w:vAlign w:val="center"/>
          </w:tcPr>
          <w:p w14:paraId="37034B1B">
            <w:pPr>
              <w:spacing w:after="0" w:line="360" w:lineRule="auto"/>
              <w:jc w:val="center"/>
              <w:rPr>
                <w:rFonts w:hint="eastAsia" w:eastAsia="仿宋" w:cs="仿宋"/>
                <w:color w:val="auto"/>
                <w:lang w:val="en-US" w:eastAsia="zh-CN"/>
              </w:rPr>
            </w:pPr>
            <w:r>
              <w:rPr>
                <w:rFonts w:hint="eastAsia" w:cs="仿宋"/>
                <w:color w:val="auto"/>
                <w:lang w:val="en-US" w:eastAsia="zh-CN"/>
              </w:rPr>
              <w:t>1</w:t>
            </w:r>
          </w:p>
        </w:tc>
        <w:tc>
          <w:tcPr>
            <w:tcW w:w="1451" w:type="dxa"/>
            <w:vAlign w:val="center"/>
          </w:tcPr>
          <w:p w14:paraId="01CC09ED">
            <w:pPr>
              <w:spacing w:after="0" w:line="360" w:lineRule="auto"/>
              <w:jc w:val="center"/>
              <w:rPr>
                <w:rFonts w:cs="仿宋"/>
                <w:color w:val="auto"/>
              </w:rPr>
            </w:pPr>
          </w:p>
        </w:tc>
      </w:tr>
    </w:tbl>
    <w:p w14:paraId="2CDE752B">
      <w:pPr>
        <w:pStyle w:val="3"/>
        <w:numPr>
          <w:ilvl w:val="0"/>
          <w:numId w:val="1"/>
        </w:numPr>
        <w:spacing w:line="360" w:lineRule="auto"/>
        <w:rPr>
          <w:rFonts w:cs="仿宋"/>
          <w:color w:val="auto"/>
        </w:rPr>
      </w:pPr>
      <w:r>
        <w:rPr>
          <w:rFonts w:hint="eastAsia" w:cs="仿宋"/>
          <w:color w:val="auto"/>
        </w:rPr>
        <w:t>交易需求</w:t>
      </w:r>
    </w:p>
    <w:p w14:paraId="0FCF8574">
      <w:pPr>
        <w:pStyle w:val="4"/>
        <w:keepNext w:val="0"/>
        <w:keepLines w:val="0"/>
        <w:pageBreakBefore w:val="0"/>
        <w:widowControl/>
        <w:numPr>
          <w:ilvl w:val="0"/>
          <w:numId w:val="2"/>
        </w:numPr>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auto"/>
        </w:rPr>
      </w:pPr>
      <w:bookmarkStart w:id="0" w:name="1.项目背景"/>
      <w:bookmarkEnd w:id="0"/>
      <w:r>
        <w:rPr>
          <w:rFonts w:hint="eastAsia" w:ascii="仿宋" w:hAnsi="仿宋" w:eastAsia="仿宋" w:cs="仿宋"/>
          <w:bCs/>
          <w:color w:val="auto"/>
        </w:rPr>
        <w:t>技术需求</w:t>
      </w:r>
    </w:p>
    <w:p w14:paraId="4D020A6B">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1.设备名称：牙科电动抽吸系统</w:t>
      </w:r>
    </w:p>
    <w:p w14:paraId="3F46C457">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 数量：  1套</w:t>
      </w:r>
    </w:p>
    <w:p w14:paraId="35A7BB55">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 设备用途：提供牙椅负压抽吸牙科口内抽吸的动力源及处理设备，与牙科椅位上的抽吸装置通过管道相连接，对牙科治疗区域内的喷雾、唾液、血液等进行抽吸，并自动进行水气分离和排放，达到去除全部喷雾；有效保护医生护士和患者，防止交叉感染；提高治疗区域可视度；避免病人的吞咽反射，从而使治疗过程无须中断。</w:t>
      </w:r>
    </w:p>
    <w:p w14:paraId="39A34C71">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 技术规格及要求：</w:t>
      </w:r>
    </w:p>
    <w:p w14:paraId="501A7129">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4.1工作条件</w:t>
      </w:r>
    </w:p>
    <w:p w14:paraId="4987A847">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4.1.1环境条件</w:t>
      </w:r>
    </w:p>
    <w:p w14:paraId="579C2162">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环境温度：5 ℃～40℃、相对湿度：≤70%、大气压力：86～106kpa  通风流量≥2.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m³/s</w:t>
      </w:r>
    </w:p>
    <w:p w14:paraId="18799E70">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4.1.2 电源条件 </w:t>
      </w:r>
    </w:p>
    <w:p w14:paraId="28A86B89">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电压：三相五线制AC380V、频率：50Hz、电源消耗：</w:t>
      </w:r>
      <w:r>
        <w:rPr>
          <w:rFonts w:hint="eastAsia" w:ascii="仿宋" w:hAnsi="仿宋" w:eastAsia="仿宋" w:cs="仿宋"/>
          <w:color w:val="auto"/>
          <w:sz w:val="24"/>
          <w:szCs w:val="24"/>
          <w:lang w:val="en-US" w:eastAsia="zh-CN"/>
        </w:rPr>
        <w:t>9.5</w:t>
      </w:r>
      <w:r>
        <w:rPr>
          <w:rFonts w:hint="eastAsia" w:ascii="仿宋" w:hAnsi="仿宋" w:eastAsia="仿宋" w:cs="仿宋"/>
          <w:color w:val="auto"/>
          <w:sz w:val="24"/>
          <w:szCs w:val="24"/>
        </w:rPr>
        <w:t>KW/套</w:t>
      </w:r>
    </w:p>
    <w:p w14:paraId="15857615">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4.1.3 工作时间 ：100%连续工作</w:t>
      </w:r>
    </w:p>
    <w:p w14:paraId="23F272A9">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w:t>
      </w:r>
      <w:r>
        <w:rPr>
          <w:rFonts w:hint="eastAsia" w:ascii="仿宋" w:hAnsi="仿宋" w:eastAsia="仿宋" w:cs="仿宋"/>
          <w:color w:val="auto"/>
          <w:sz w:val="24"/>
          <w:szCs w:val="24"/>
        </w:rPr>
        <w:t>4.2结构形式</w:t>
      </w:r>
    </w:p>
    <w:p w14:paraId="21644000">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真空负压机组采用的动力源为优质高效的气环真空泵，电气控制系统采用</w:t>
      </w:r>
      <w:r>
        <w:rPr>
          <w:rFonts w:hint="eastAsia" w:ascii="仿宋" w:hAnsi="仿宋" w:eastAsia="仿宋" w:cs="仿宋"/>
          <w:color w:val="auto"/>
          <w:sz w:val="24"/>
          <w:szCs w:val="24"/>
          <w:highlight w:val="none"/>
          <w:lang w:val="en-US" w:eastAsia="zh-CN"/>
        </w:rPr>
        <w:t>国产</w:t>
      </w:r>
      <w:r>
        <w:rPr>
          <w:rFonts w:hint="eastAsia" w:ascii="仿宋" w:hAnsi="仿宋" w:eastAsia="仿宋" w:cs="仿宋"/>
          <w:color w:val="auto"/>
          <w:sz w:val="24"/>
          <w:szCs w:val="24"/>
          <w:highlight w:val="none"/>
        </w:rPr>
        <w:t>PLC(可编程控制器)、文本显示器和变频器进行系统控制。</w:t>
      </w:r>
    </w:p>
    <w:p w14:paraId="7AF23A0A">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整套牙科抽吸机组由负压泵机组、不锈钢分离罐和清洁反冲洗系统组成；通过PLC（可编程控制器）及变频器调整电机的频率,使管路的负压值得到最佳数值。</w:t>
      </w:r>
    </w:p>
    <w:p w14:paraId="761BEEBC">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 负压泵机组</w:t>
      </w:r>
    </w:p>
    <w:p w14:paraId="5BD34A50">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cs="仿宋"/>
          <w:color w:val="auto"/>
          <w:sz w:val="24"/>
          <w:szCs w:val="24"/>
          <w:lang w:val="en-US" w:eastAsia="zh-CN"/>
        </w:rPr>
        <w:t>△</w:t>
      </w:r>
      <w:r>
        <w:rPr>
          <w:rFonts w:hint="eastAsia" w:ascii="仿宋" w:hAnsi="仿宋" w:eastAsia="仿宋" w:cs="仿宋"/>
          <w:color w:val="auto"/>
          <w:sz w:val="24"/>
          <w:szCs w:val="24"/>
        </w:rPr>
        <w:t>4.3.1负压机组由</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台抽吸机泵头组成，泵头之间可以实现集中/单独控制，各泵头之间可以互为备用，可根据负压值及流量自动控制机组泵头工作数量；</w:t>
      </w:r>
    </w:p>
    <w:p w14:paraId="2218EEEC">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 整套机组的抽吸流量：</w:t>
      </w:r>
      <w:r>
        <w:rPr>
          <w:rFonts w:hint="eastAsia" w:ascii="仿宋" w:hAnsi="仿宋" w:eastAsia="仿宋" w:cs="仿宋"/>
          <w:b w:val="0"/>
          <w:bCs w:val="0"/>
          <w:color w:val="auto"/>
          <w:sz w:val="24"/>
          <w:szCs w:val="24"/>
          <w:lang w:val="en-US" w:eastAsia="zh-CN"/>
        </w:rPr>
        <w:t>≥102</w:t>
      </w:r>
      <w:r>
        <w:rPr>
          <w:rFonts w:hint="eastAsia" w:ascii="仿宋" w:hAnsi="仿宋" w:eastAsia="仿宋" w:cs="仿宋"/>
          <w:color w:val="auto"/>
          <w:sz w:val="24"/>
          <w:szCs w:val="24"/>
        </w:rPr>
        <w:t>00L/min；</w:t>
      </w:r>
    </w:p>
    <w:p w14:paraId="0324CBBD">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4.3.3机组的抽吸负压：</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20</w:t>
      </w:r>
      <w:r>
        <w:rPr>
          <w:rFonts w:hint="eastAsia" w:ascii="仿宋" w:hAnsi="仿宋" w:eastAsia="仿宋" w:cs="仿宋"/>
          <w:b w:val="0"/>
          <w:bCs w:val="0"/>
          <w:color w:val="auto"/>
          <w:sz w:val="24"/>
          <w:szCs w:val="24"/>
        </w:rPr>
        <w:t>KPa</w:t>
      </w:r>
      <w:r>
        <w:rPr>
          <w:rFonts w:hint="eastAsia" w:ascii="仿宋" w:hAnsi="仿宋" w:eastAsia="仿宋" w:cs="仿宋"/>
          <w:color w:val="auto"/>
          <w:sz w:val="24"/>
          <w:szCs w:val="24"/>
        </w:rPr>
        <w:t>；</w:t>
      </w:r>
    </w:p>
    <w:p w14:paraId="780C0EED">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cs="仿宋"/>
          <w:color w:val="auto"/>
          <w:sz w:val="24"/>
          <w:szCs w:val="24"/>
          <w:lang w:val="en-US" w:eastAsia="zh-CN"/>
        </w:rPr>
        <w:t>△</w:t>
      </w:r>
      <w:r>
        <w:rPr>
          <w:rFonts w:hint="eastAsia" w:ascii="仿宋" w:hAnsi="仿宋" w:eastAsia="仿宋" w:cs="仿宋"/>
          <w:color w:val="auto"/>
          <w:sz w:val="24"/>
          <w:szCs w:val="24"/>
        </w:rPr>
        <w:t>4.3.4 具有智能控制功能，每台真空泵自动均衡启动。如果任意一台负压泵发生故障，自动切除控制系统实现负压值不间断工作；</w:t>
      </w:r>
    </w:p>
    <w:p w14:paraId="379B062B">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4.3.5 配有高精度压力传感器，在正常工作的情况下，保证负压值在-16～-20Kpa之间可调；</w:t>
      </w:r>
    </w:p>
    <w:p w14:paraId="46DD5E7C">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4.3.6 带有可存储程序控制器(PLC)和变频器相配合的中央控制系统，数字化显示当前的管道系统中实际的真空水平，从而使管道系统得以监控。</w:t>
      </w:r>
    </w:p>
    <w:p w14:paraId="0D9927FB">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4.3.7 全中文显示，实时显示设备运行电压、电流、温度、压力等核心参数用户操作简单明了。（支持多语言切换显示）</w:t>
      </w:r>
    </w:p>
    <w:p w14:paraId="60060030">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4.3.8 支持网络通讯协议和RS-485通讯协议，可实现机组远程集中化管理。</w:t>
      </w:r>
    </w:p>
    <w:p w14:paraId="693FFFD8">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4.3.9 具有故障自检和排查功能，方便用户准确及时处理机组运行过程中出现问题。</w:t>
      </w:r>
    </w:p>
    <w:p w14:paraId="13E64DFE">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4.3.10 核心部件维护提醒功能，延长机组使用寿命，降低故障率。</w:t>
      </w:r>
    </w:p>
    <w:p w14:paraId="3CF092D9">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4.3.11 运行数据定时存取功能，方便用户管理查看追溯维护设备信息。</w:t>
      </w:r>
    </w:p>
    <w:p w14:paraId="536402B0">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4.3.12占地最小面积5m×4m。</w:t>
      </w:r>
    </w:p>
    <w:p w14:paraId="398A57CA">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 不锈钢分离罐</w:t>
      </w:r>
    </w:p>
    <w:p w14:paraId="73B162B8">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rPr>
        <w:t>4.4.1</w:t>
      </w:r>
      <w:r>
        <w:rPr>
          <w:rFonts w:hint="eastAsia" w:ascii="仿宋" w:hAnsi="仿宋" w:eastAsia="仿宋" w:cs="仿宋"/>
          <w:bCs/>
          <w:color w:val="auto"/>
          <w:kern w:val="2"/>
          <w:sz w:val="24"/>
          <w:szCs w:val="24"/>
          <w:highlight w:val="none"/>
          <w:lang w:val="en-US" w:eastAsia="zh-CN" w:bidi="ar"/>
        </w:rPr>
        <w:t>分离罐采用优质304不锈钢材质，容量400L</w:t>
      </w:r>
      <w:r>
        <w:rPr>
          <w:rFonts w:hint="eastAsia" w:ascii="仿宋" w:hAnsi="仿宋" w:eastAsia="仿宋" w:cs="仿宋"/>
          <w:color w:val="auto"/>
          <w:kern w:val="2"/>
          <w:sz w:val="24"/>
          <w:szCs w:val="24"/>
          <w:highlight w:val="none"/>
          <w:lang w:val="en-US" w:eastAsia="zh-CN" w:bidi="ar"/>
        </w:rPr>
        <w:t xml:space="preserve"> ，带三个液位传感器。</w:t>
      </w:r>
    </w:p>
    <w:p w14:paraId="49BE11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4.5控制系统</w:t>
      </w:r>
    </w:p>
    <w:p w14:paraId="4D09D3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4.5.1具有变频和机械双重调压功能。</w:t>
      </w:r>
    </w:p>
    <w:p w14:paraId="1D256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▲4.5.2 具有恒压变频和工频两种控制方式。</w:t>
      </w:r>
    </w:p>
    <w:p w14:paraId="53DAC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4.5.3 设置清洗开关，清洗开关内附指示灯，用于提示清洗状态。</w:t>
      </w:r>
    </w:p>
    <w:p w14:paraId="25F29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4.5.4  具有高液位报警功能。</w:t>
      </w:r>
    </w:p>
    <w:p w14:paraId="5E56BB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4.5.5 控制柜垂直安装。</w:t>
      </w:r>
    </w:p>
    <w:p w14:paraId="45F8D1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
        </w:rPr>
      </w:pPr>
      <w:r>
        <w:rPr>
          <w:rFonts w:hint="eastAsia" w:cs="仿宋"/>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4.6排污、清洁反冲洗系统</w:t>
      </w:r>
    </w:p>
    <w:p w14:paraId="2FDF99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4.6.1排污系统具有手动和自动排污</w:t>
      </w:r>
    </w:p>
    <w:p w14:paraId="501C43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4.6.2清洁反冲洗，保证分离罐的洁净</w:t>
      </w:r>
    </w:p>
    <w:p w14:paraId="3FEDE160">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4.7排气过滤器</w:t>
      </w:r>
    </w:p>
    <w:p w14:paraId="4EDD2BFE">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4.7.1废气排放口单独设置专用管路排放到室外，安装有排气过滤器</w:t>
      </w:r>
    </w:p>
    <w:p w14:paraId="34638DF3">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 安装验收</w:t>
      </w:r>
    </w:p>
    <w:p w14:paraId="02C34770">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 负责抽吸机组的安装</w:t>
      </w:r>
      <w:r>
        <w:rPr>
          <w:rFonts w:hint="eastAsia" w:cs="仿宋"/>
          <w:color w:val="auto"/>
          <w:sz w:val="24"/>
          <w:szCs w:val="24"/>
          <w:lang w:val="en-US" w:eastAsia="zh-CN"/>
        </w:rPr>
        <w:t>到甲方指定地点，并</w:t>
      </w:r>
      <w:r>
        <w:rPr>
          <w:rFonts w:hint="eastAsia" w:ascii="仿宋" w:hAnsi="仿宋" w:eastAsia="仿宋" w:cs="仿宋"/>
          <w:color w:val="auto"/>
          <w:sz w:val="24"/>
          <w:szCs w:val="24"/>
        </w:rPr>
        <w:t>调试</w:t>
      </w:r>
      <w:r>
        <w:rPr>
          <w:rFonts w:hint="eastAsia" w:cs="仿宋"/>
          <w:color w:val="auto"/>
          <w:sz w:val="24"/>
          <w:szCs w:val="24"/>
          <w:lang w:val="en-US" w:eastAsia="zh-CN"/>
        </w:rPr>
        <w:t>及</w:t>
      </w:r>
      <w:r>
        <w:rPr>
          <w:rFonts w:hint="eastAsia" w:ascii="仿宋" w:hAnsi="仿宋" w:eastAsia="仿宋" w:cs="仿宋"/>
          <w:color w:val="auto"/>
          <w:sz w:val="24"/>
          <w:szCs w:val="24"/>
        </w:rPr>
        <w:t>运行前技术培训，运行后的定期设备检修及保养。</w:t>
      </w:r>
    </w:p>
    <w:p w14:paraId="2A6656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6.配置清单</w:t>
      </w:r>
    </w:p>
    <w:p w14:paraId="076744E3">
      <w:pPr>
        <w:keepNext w:val="0"/>
        <w:keepLines w:val="0"/>
        <w:pageBreakBefore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u w:val="singl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652"/>
        <w:gridCol w:w="152"/>
        <w:gridCol w:w="2099"/>
        <w:gridCol w:w="152"/>
        <w:gridCol w:w="2159"/>
        <w:gridCol w:w="152"/>
      </w:tblGrid>
      <w:tr w14:paraId="2D65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 w:type="dxa"/>
          <w:trHeight w:val="416" w:hRule="atLeast"/>
          <w:jc w:val="center"/>
        </w:trPr>
        <w:tc>
          <w:tcPr>
            <w:tcW w:w="1104" w:type="dxa"/>
            <w:noWrap w:val="0"/>
            <w:vAlign w:val="center"/>
          </w:tcPr>
          <w:p w14:paraId="6A3B78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652" w:type="dxa"/>
            <w:noWrap w:val="0"/>
            <w:vAlign w:val="center"/>
          </w:tcPr>
          <w:p w14:paraId="348187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配件名称</w:t>
            </w:r>
          </w:p>
        </w:tc>
        <w:tc>
          <w:tcPr>
            <w:tcW w:w="2251" w:type="dxa"/>
            <w:gridSpan w:val="2"/>
            <w:noWrap w:val="0"/>
            <w:vAlign w:val="center"/>
          </w:tcPr>
          <w:p w14:paraId="34E9E6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2311" w:type="dxa"/>
            <w:gridSpan w:val="2"/>
            <w:noWrap w:val="0"/>
            <w:vAlign w:val="center"/>
          </w:tcPr>
          <w:p w14:paraId="1CDB97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2DA0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 w:type="dxa"/>
          <w:trHeight w:val="416" w:hRule="atLeast"/>
          <w:jc w:val="center"/>
        </w:trPr>
        <w:tc>
          <w:tcPr>
            <w:tcW w:w="1104" w:type="dxa"/>
            <w:noWrap w:val="0"/>
            <w:vAlign w:val="center"/>
          </w:tcPr>
          <w:p w14:paraId="791973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652" w:type="dxa"/>
            <w:noWrap w:val="0"/>
            <w:vAlign w:val="center"/>
          </w:tcPr>
          <w:p w14:paraId="5C31A4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真空泵</w:t>
            </w:r>
          </w:p>
        </w:tc>
        <w:tc>
          <w:tcPr>
            <w:tcW w:w="2251" w:type="dxa"/>
            <w:gridSpan w:val="2"/>
            <w:noWrap w:val="0"/>
            <w:vAlign w:val="center"/>
          </w:tcPr>
          <w:p w14:paraId="739A63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311" w:type="dxa"/>
            <w:gridSpan w:val="2"/>
            <w:noWrap w:val="0"/>
            <w:vAlign w:val="center"/>
          </w:tcPr>
          <w:p w14:paraId="6EBCA6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p>
        </w:tc>
      </w:tr>
      <w:tr w14:paraId="639B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 w:type="dxa"/>
          <w:trHeight w:val="416" w:hRule="atLeast"/>
          <w:jc w:val="center"/>
        </w:trPr>
        <w:tc>
          <w:tcPr>
            <w:tcW w:w="1104" w:type="dxa"/>
            <w:noWrap w:val="0"/>
            <w:vAlign w:val="center"/>
          </w:tcPr>
          <w:p w14:paraId="64280B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652" w:type="dxa"/>
            <w:noWrap w:val="0"/>
            <w:vAlign w:val="center"/>
          </w:tcPr>
          <w:p w14:paraId="10EAF6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变频器</w:t>
            </w:r>
          </w:p>
        </w:tc>
        <w:tc>
          <w:tcPr>
            <w:tcW w:w="2251" w:type="dxa"/>
            <w:gridSpan w:val="2"/>
            <w:noWrap w:val="0"/>
            <w:vAlign w:val="center"/>
          </w:tcPr>
          <w:p w14:paraId="654232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311" w:type="dxa"/>
            <w:gridSpan w:val="2"/>
            <w:noWrap w:val="0"/>
            <w:vAlign w:val="center"/>
          </w:tcPr>
          <w:p w14:paraId="6455AC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p>
        </w:tc>
      </w:tr>
      <w:tr w14:paraId="5C92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 w:type="dxa"/>
          <w:trHeight w:val="416" w:hRule="atLeast"/>
          <w:jc w:val="center"/>
        </w:trPr>
        <w:tc>
          <w:tcPr>
            <w:tcW w:w="1104" w:type="dxa"/>
            <w:noWrap w:val="0"/>
            <w:vAlign w:val="center"/>
          </w:tcPr>
          <w:p w14:paraId="079C6D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652" w:type="dxa"/>
            <w:noWrap w:val="0"/>
            <w:vAlign w:val="center"/>
          </w:tcPr>
          <w:p w14:paraId="591593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分离罐</w:t>
            </w:r>
          </w:p>
        </w:tc>
        <w:tc>
          <w:tcPr>
            <w:tcW w:w="2251" w:type="dxa"/>
            <w:gridSpan w:val="2"/>
            <w:noWrap w:val="0"/>
            <w:vAlign w:val="center"/>
          </w:tcPr>
          <w:p w14:paraId="72A9D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311" w:type="dxa"/>
            <w:gridSpan w:val="2"/>
            <w:noWrap w:val="0"/>
            <w:vAlign w:val="center"/>
          </w:tcPr>
          <w:p w14:paraId="70ED9B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不锈钢</w:t>
            </w:r>
          </w:p>
        </w:tc>
      </w:tr>
      <w:tr w14:paraId="2D25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 w:type="dxa"/>
          <w:trHeight w:val="416" w:hRule="atLeast"/>
          <w:jc w:val="center"/>
        </w:trPr>
        <w:tc>
          <w:tcPr>
            <w:tcW w:w="1104" w:type="dxa"/>
            <w:noWrap w:val="0"/>
            <w:vAlign w:val="center"/>
          </w:tcPr>
          <w:p w14:paraId="00B871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652" w:type="dxa"/>
            <w:noWrap w:val="0"/>
            <w:vAlign w:val="center"/>
          </w:tcPr>
          <w:p w14:paraId="15D7AD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过滤器</w:t>
            </w:r>
          </w:p>
        </w:tc>
        <w:tc>
          <w:tcPr>
            <w:tcW w:w="2251" w:type="dxa"/>
            <w:gridSpan w:val="2"/>
            <w:noWrap w:val="0"/>
            <w:vAlign w:val="center"/>
          </w:tcPr>
          <w:p w14:paraId="30F4A2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311" w:type="dxa"/>
            <w:gridSpan w:val="2"/>
            <w:noWrap w:val="0"/>
            <w:vAlign w:val="center"/>
          </w:tcPr>
          <w:p w14:paraId="40AE96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yellow"/>
              </w:rPr>
            </w:pPr>
          </w:p>
        </w:tc>
      </w:tr>
      <w:tr w14:paraId="6E28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 w:type="dxa"/>
          <w:trHeight w:val="416" w:hRule="atLeast"/>
          <w:jc w:val="center"/>
        </w:trPr>
        <w:tc>
          <w:tcPr>
            <w:tcW w:w="1104" w:type="dxa"/>
            <w:noWrap w:val="0"/>
            <w:vAlign w:val="center"/>
          </w:tcPr>
          <w:p w14:paraId="77C47B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652" w:type="dxa"/>
            <w:noWrap w:val="0"/>
            <w:vAlign w:val="center"/>
          </w:tcPr>
          <w:p w14:paraId="488879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排污泵</w:t>
            </w:r>
          </w:p>
        </w:tc>
        <w:tc>
          <w:tcPr>
            <w:tcW w:w="2251" w:type="dxa"/>
            <w:gridSpan w:val="2"/>
            <w:noWrap w:val="0"/>
            <w:vAlign w:val="center"/>
          </w:tcPr>
          <w:p w14:paraId="3FAC4D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311" w:type="dxa"/>
            <w:gridSpan w:val="2"/>
            <w:noWrap w:val="0"/>
            <w:vAlign w:val="center"/>
          </w:tcPr>
          <w:p w14:paraId="15FEB9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yellow"/>
              </w:rPr>
            </w:pPr>
          </w:p>
        </w:tc>
      </w:tr>
      <w:tr w14:paraId="7D45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 w:type="dxa"/>
          <w:trHeight w:val="416" w:hRule="atLeast"/>
          <w:jc w:val="center"/>
        </w:trPr>
        <w:tc>
          <w:tcPr>
            <w:tcW w:w="1104" w:type="dxa"/>
            <w:noWrap w:val="0"/>
            <w:vAlign w:val="center"/>
          </w:tcPr>
          <w:p w14:paraId="5E99C3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2652" w:type="dxa"/>
            <w:noWrap w:val="0"/>
            <w:vAlign w:val="center"/>
          </w:tcPr>
          <w:p w14:paraId="7F29C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控制柜</w:t>
            </w:r>
          </w:p>
        </w:tc>
        <w:tc>
          <w:tcPr>
            <w:tcW w:w="2251" w:type="dxa"/>
            <w:gridSpan w:val="2"/>
            <w:noWrap w:val="0"/>
            <w:vAlign w:val="center"/>
          </w:tcPr>
          <w:p w14:paraId="5A0706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311" w:type="dxa"/>
            <w:gridSpan w:val="2"/>
            <w:noWrap w:val="0"/>
            <w:vAlign w:val="center"/>
          </w:tcPr>
          <w:p w14:paraId="713FB9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 PLC+触摸屏</w:t>
            </w:r>
          </w:p>
        </w:tc>
      </w:tr>
      <w:tr w14:paraId="22AD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 w:type="dxa"/>
          <w:trHeight w:val="452" w:hRule="atLeast"/>
          <w:jc w:val="center"/>
        </w:trPr>
        <w:tc>
          <w:tcPr>
            <w:tcW w:w="1104" w:type="dxa"/>
            <w:noWrap w:val="0"/>
            <w:vAlign w:val="center"/>
          </w:tcPr>
          <w:p w14:paraId="1BB2E9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2652" w:type="dxa"/>
            <w:noWrap w:val="0"/>
            <w:vAlign w:val="center"/>
          </w:tcPr>
          <w:p w14:paraId="759547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卸荷阀</w:t>
            </w:r>
          </w:p>
        </w:tc>
        <w:tc>
          <w:tcPr>
            <w:tcW w:w="2251" w:type="dxa"/>
            <w:gridSpan w:val="2"/>
            <w:noWrap w:val="0"/>
            <w:vAlign w:val="center"/>
          </w:tcPr>
          <w:p w14:paraId="14C1E2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311" w:type="dxa"/>
            <w:gridSpan w:val="2"/>
            <w:noWrap w:val="0"/>
            <w:vAlign w:val="center"/>
          </w:tcPr>
          <w:p w14:paraId="76B96A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p>
        </w:tc>
      </w:tr>
      <w:tr w14:paraId="0450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04" w:type="dxa"/>
            <w:noWrap w:val="0"/>
            <w:vAlign w:val="top"/>
          </w:tcPr>
          <w:p w14:paraId="514247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bCs/>
                <w:color w:val="auto"/>
                <w:kern w:val="2"/>
                <w:sz w:val="24"/>
                <w:szCs w:val="24"/>
                <w:lang w:val="en-US" w:eastAsia="zh-CN" w:bidi="ar-SA"/>
              </w:rPr>
            </w:pPr>
            <w:r>
              <w:rPr>
                <w:rFonts w:hint="eastAsia" w:cs="仿宋"/>
                <w:bCs/>
                <w:color w:val="auto"/>
                <w:kern w:val="2"/>
                <w:sz w:val="24"/>
                <w:szCs w:val="24"/>
                <w:lang w:val="en-US" w:eastAsia="zh-CN" w:bidi="ar-SA"/>
              </w:rPr>
              <w:t>8</w:t>
            </w:r>
          </w:p>
        </w:tc>
        <w:tc>
          <w:tcPr>
            <w:tcW w:w="2804" w:type="dxa"/>
            <w:gridSpan w:val="2"/>
            <w:noWrap w:val="0"/>
            <w:vAlign w:val="top"/>
          </w:tcPr>
          <w:p w14:paraId="3815D0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Cs/>
                <w:color w:val="auto"/>
                <w:sz w:val="24"/>
                <w:szCs w:val="24"/>
              </w:rPr>
              <w:t>反冲洗电磁阀</w:t>
            </w:r>
          </w:p>
        </w:tc>
        <w:tc>
          <w:tcPr>
            <w:tcW w:w="2251" w:type="dxa"/>
            <w:gridSpan w:val="2"/>
            <w:noWrap w:val="0"/>
            <w:vAlign w:val="top"/>
          </w:tcPr>
          <w:p w14:paraId="193B19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1</w:t>
            </w:r>
          </w:p>
        </w:tc>
        <w:tc>
          <w:tcPr>
            <w:tcW w:w="2311" w:type="dxa"/>
            <w:gridSpan w:val="2"/>
            <w:noWrap w:val="0"/>
            <w:vAlign w:val="top"/>
          </w:tcPr>
          <w:p w14:paraId="7ED600D5">
            <w:pPr>
              <w:keepNext w:val="0"/>
              <w:keepLines w:val="0"/>
              <w:pageBreakBefore w:val="0"/>
              <w:suppressLineNumbers w:val="0"/>
              <w:tabs>
                <w:tab w:val="left" w:pos="9000"/>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Cs/>
                <w:color w:val="auto"/>
                <w:sz w:val="24"/>
                <w:szCs w:val="24"/>
              </w:rPr>
            </w:pPr>
          </w:p>
        </w:tc>
      </w:tr>
      <w:tr w14:paraId="189C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04" w:type="dxa"/>
            <w:noWrap w:val="0"/>
            <w:vAlign w:val="top"/>
          </w:tcPr>
          <w:p w14:paraId="59E053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bCs/>
                <w:color w:val="auto"/>
                <w:kern w:val="2"/>
                <w:sz w:val="24"/>
                <w:szCs w:val="24"/>
                <w:lang w:val="en-US" w:eastAsia="zh-CN" w:bidi="ar-SA"/>
              </w:rPr>
            </w:pPr>
            <w:r>
              <w:rPr>
                <w:rFonts w:hint="eastAsia" w:cs="仿宋"/>
                <w:bCs/>
                <w:color w:val="auto"/>
                <w:kern w:val="2"/>
                <w:sz w:val="24"/>
                <w:szCs w:val="24"/>
                <w:lang w:val="en-US" w:eastAsia="zh-CN" w:bidi="ar-SA"/>
              </w:rPr>
              <w:t>9</w:t>
            </w:r>
          </w:p>
        </w:tc>
        <w:tc>
          <w:tcPr>
            <w:tcW w:w="2804" w:type="dxa"/>
            <w:gridSpan w:val="2"/>
            <w:noWrap w:val="0"/>
            <w:vAlign w:val="top"/>
          </w:tcPr>
          <w:p w14:paraId="3F68F8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卸荷阀 </w:t>
            </w:r>
          </w:p>
        </w:tc>
        <w:tc>
          <w:tcPr>
            <w:tcW w:w="2251" w:type="dxa"/>
            <w:gridSpan w:val="2"/>
            <w:noWrap w:val="0"/>
            <w:vAlign w:val="top"/>
          </w:tcPr>
          <w:p w14:paraId="4409F4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1</w:t>
            </w:r>
          </w:p>
        </w:tc>
        <w:tc>
          <w:tcPr>
            <w:tcW w:w="2311" w:type="dxa"/>
            <w:gridSpan w:val="2"/>
            <w:noWrap w:val="0"/>
            <w:vAlign w:val="top"/>
          </w:tcPr>
          <w:p w14:paraId="628D0B8E">
            <w:pPr>
              <w:keepNext w:val="0"/>
              <w:keepLines w:val="0"/>
              <w:pageBreakBefore w:val="0"/>
              <w:suppressLineNumbers w:val="0"/>
              <w:tabs>
                <w:tab w:val="left" w:pos="9000"/>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Cs/>
                <w:color w:val="auto"/>
                <w:sz w:val="24"/>
                <w:szCs w:val="24"/>
              </w:rPr>
            </w:pPr>
          </w:p>
        </w:tc>
      </w:tr>
    </w:tbl>
    <w:p w14:paraId="22AD5E66">
      <w:pPr>
        <w:keepNext w:val="0"/>
        <w:keepLines w:val="0"/>
        <w:pageBreakBefore w:val="0"/>
        <w:widowControl/>
        <w:kinsoku/>
        <w:wordWrap/>
        <w:overflowPunct/>
        <w:topLinePunct w:val="0"/>
        <w:autoSpaceDE/>
        <w:autoSpaceDN/>
        <w:bidi w:val="0"/>
        <w:adjustRightInd/>
        <w:snapToGrid/>
        <w:spacing w:after="0" w:line="360" w:lineRule="auto"/>
        <w:ind w:left="0" w:firstLine="0" w:firstLineChars="0"/>
        <w:textAlignment w:val="auto"/>
        <w:rPr>
          <w:rFonts w:hint="eastAsia" w:ascii="仿宋" w:hAnsi="仿宋" w:eastAsia="仿宋" w:cs="仿宋"/>
          <w:b/>
          <w:bCs/>
          <w:color w:val="auto"/>
          <w:sz w:val="24"/>
          <w:szCs w:val="24"/>
        </w:rPr>
      </w:pPr>
      <w:r>
        <w:rPr>
          <w:rFonts w:hint="eastAsia" w:cs="仿宋"/>
          <w:b/>
          <w:bCs/>
          <w:color w:val="auto"/>
          <w:sz w:val="24"/>
          <w:szCs w:val="24"/>
          <w:lang w:eastAsia="zh-CN"/>
        </w:rPr>
        <w:t>（</w:t>
      </w:r>
      <w:r>
        <w:rPr>
          <w:rFonts w:hint="eastAsia" w:cs="仿宋"/>
          <w:b/>
          <w:bCs/>
          <w:color w:val="auto"/>
          <w:sz w:val="24"/>
          <w:szCs w:val="24"/>
          <w:lang w:val="en-US" w:eastAsia="zh-CN"/>
        </w:rPr>
        <w:t>二</w:t>
      </w:r>
      <w:r>
        <w:rPr>
          <w:rFonts w:hint="eastAsia" w:cs="仿宋"/>
          <w:b/>
          <w:bCs/>
          <w:color w:val="auto"/>
          <w:sz w:val="24"/>
          <w:szCs w:val="24"/>
          <w:lang w:eastAsia="zh-CN"/>
        </w:rPr>
        <w:t>）</w:t>
      </w:r>
      <w:r>
        <w:rPr>
          <w:rFonts w:hint="eastAsia" w:ascii="仿宋" w:hAnsi="仿宋" w:eastAsia="仿宋" w:cs="仿宋"/>
          <w:b/>
          <w:bCs/>
          <w:color w:val="auto"/>
          <w:sz w:val="24"/>
          <w:szCs w:val="24"/>
        </w:rPr>
        <w:t>商务需求</w:t>
      </w:r>
    </w:p>
    <w:p w14:paraId="6D779459">
      <w:pPr>
        <w:keepNext w:val="0"/>
        <w:keepLines w:val="0"/>
        <w:pageBreakBefore w:val="0"/>
        <w:widowControl/>
        <w:kinsoku/>
        <w:wordWrap/>
        <w:overflowPunct/>
        <w:topLinePunct w:val="0"/>
        <w:autoSpaceDE/>
        <w:autoSpaceDN/>
        <w:bidi w:val="0"/>
        <w:adjustRightInd/>
        <w:snapToGrid/>
        <w:spacing w:after="0" w:line="360" w:lineRule="auto"/>
        <w:ind w:left="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rPr>
        <w:t>▲</w:t>
      </w:r>
      <w:r>
        <w:rPr>
          <w:rFonts w:hint="eastAsia" w:ascii="仿宋" w:hAnsi="仿宋" w:eastAsia="仿宋" w:cs="仿宋"/>
          <w:b/>
          <w:bCs/>
          <w:color w:val="auto"/>
          <w:sz w:val="24"/>
          <w:szCs w:val="24"/>
          <w:highlight w:val="none"/>
        </w:rPr>
        <w:t>2.1交货时间</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rPr>
        <w:t>合同签订后2个月内。</w:t>
      </w:r>
    </w:p>
    <w:p w14:paraId="0B11EDA5">
      <w:pPr>
        <w:keepNext w:val="0"/>
        <w:keepLines w:val="0"/>
        <w:pageBreakBefore w:val="0"/>
        <w:widowControl/>
        <w:kinsoku/>
        <w:wordWrap/>
        <w:overflowPunct/>
        <w:topLinePunct w:val="0"/>
        <w:autoSpaceDE/>
        <w:autoSpaceDN/>
        <w:bidi w:val="0"/>
        <w:adjustRightInd/>
        <w:snapToGrid/>
        <w:spacing w:after="0" w:line="360" w:lineRule="auto"/>
        <w:ind w:left="0" w:firstLine="0" w:firstLineChars="0"/>
        <w:textAlignment w:val="auto"/>
        <w:rPr>
          <w:rFonts w:hint="eastAsia"/>
          <w:color w:val="auto"/>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cs="仿宋"/>
          <w:b/>
          <w:bCs/>
          <w:color w:val="auto"/>
          <w:sz w:val="24"/>
          <w:szCs w:val="24"/>
          <w:highlight w:val="none"/>
          <w:lang w:val="en-US" w:eastAsia="zh-CN"/>
        </w:rPr>
        <w:t>2</w:t>
      </w:r>
      <w:r>
        <w:rPr>
          <w:rFonts w:hint="eastAsia" w:ascii="仿宋" w:hAnsi="仿宋" w:eastAsia="仿宋" w:cs="仿宋"/>
          <w:b/>
          <w:bCs/>
          <w:color w:val="auto"/>
          <w:sz w:val="24"/>
          <w:szCs w:val="24"/>
          <w:highlight w:val="none"/>
        </w:rPr>
        <w:t>付款方式</w:t>
      </w:r>
      <w:r>
        <w:rPr>
          <w:rFonts w:hint="eastAsia" w:cs="仿宋"/>
          <w:b/>
          <w:bCs/>
          <w:color w:val="auto"/>
          <w:sz w:val="24"/>
          <w:szCs w:val="24"/>
          <w:highlight w:val="none"/>
          <w:lang w:eastAsia="zh-CN"/>
        </w:rPr>
        <w:t>：</w:t>
      </w: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val="en-US" w:eastAsia="zh-CN"/>
        </w:rPr>
        <w:t>设备到货安装后，验收合格，</w:t>
      </w:r>
      <w:r>
        <w:rPr>
          <w:rFonts w:hint="eastAsia" w:ascii="仿宋" w:hAnsi="仿宋" w:eastAsia="仿宋" w:cs="仿宋"/>
          <w:color w:val="auto"/>
          <w:sz w:val="24"/>
          <w:szCs w:val="24"/>
          <w:highlight w:val="none"/>
        </w:rPr>
        <w:t>甲方在收到乙方的等额正规发票</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个工作日内甲方向乙方</w:t>
      </w:r>
      <w:r>
        <w:rPr>
          <w:rFonts w:hint="eastAsia" w:ascii="仿宋" w:hAnsi="仿宋" w:eastAsia="仿宋" w:cs="仿宋"/>
          <w:color w:val="auto"/>
          <w:sz w:val="24"/>
          <w:szCs w:val="24"/>
          <w:highlight w:val="none"/>
          <w:lang w:val="en-US" w:eastAsia="zh-CN"/>
        </w:rPr>
        <w:t>一次性</w:t>
      </w:r>
      <w:r>
        <w:rPr>
          <w:rFonts w:hint="eastAsia" w:ascii="仿宋" w:hAnsi="仿宋" w:eastAsia="仿宋" w:cs="仿宋"/>
          <w:color w:val="auto"/>
          <w:sz w:val="24"/>
          <w:szCs w:val="24"/>
          <w:highlight w:val="none"/>
        </w:rPr>
        <w:t>支付合同款</w:t>
      </w:r>
      <w:r>
        <w:rPr>
          <w:rFonts w:hint="eastAsia" w:cs="仿宋"/>
          <w:color w:val="auto"/>
          <w:highlight w:val="none"/>
        </w:rPr>
        <w:t>。</w:t>
      </w:r>
    </w:p>
    <w:p w14:paraId="5EC33BBC">
      <w:pPr>
        <w:keepNext w:val="0"/>
        <w:keepLines w:val="0"/>
        <w:pageBreakBefore w:val="0"/>
        <w:widowControl/>
        <w:kinsoku/>
        <w:wordWrap/>
        <w:overflowPunct/>
        <w:topLinePunct w:val="0"/>
        <w:autoSpaceDE/>
        <w:autoSpaceDN/>
        <w:bidi w:val="0"/>
        <w:adjustRightInd/>
        <w:snapToGrid/>
        <w:spacing w:after="0" w:line="360" w:lineRule="auto"/>
        <w:ind w:left="0" w:firstLine="0" w:firstLineChars="0"/>
        <w:textAlignment w:val="auto"/>
        <w:rPr>
          <w:rFonts w:hint="eastAsia"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cs="仿宋"/>
          <w:b/>
          <w:bCs/>
          <w:color w:val="auto"/>
          <w:sz w:val="24"/>
          <w:szCs w:val="24"/>
          <w:highlight w:val="none"/>
          <w:lang w:val="en-US" w:eastAsia="zh-CN"/>
        </w:rPr>
        <w:t>3质保期</w:t>
      </w:r>
    </w:p>
    <w:p w14:paraId="56284C64">
      <w:pPr>
        <w:keepNext w:val="0"/>
        <w:keepLines w:val="0"/>
        <w:pageBreakBefore w:val="0"/>
        <w:widowControl/>
        <w:kinsoku/>
        <w:wordWrap/>
        <w:overflowPunct/>
        <w:topLinePunct w:val="0"/>
        <w:autoSpaceDE/>
        <w:autoSpaceDN/>
        <w:bidi w:val="0"/>
        <w:adjustRightInd/>
        <w:snapToGrid/>
        <w:spacing w:after="0" w:line="360" w:lineRule="auto"/>
        <w:ind w:firstLine="0" w:firstLineChars="0"/>
        <w:rPr>
          <w:rFonts w:hint="eastAsia" w:cs="仿宋"/>
          <w:color w:val="auto"/>
          <w:kern w:val="0"/>
          <w:sz w:val="24"/>
          <w:szCs w:val="24"/>
          <w:highlight w:val="none"/>
          <w:lang w:val="en-US" w:eastAsia="zh-CN" w:bidi="ar"/>
        </w:rPr>
      </w:pPr>
      <w:r>
        <w:rPr>
          <w:rFonts w:hint="eastAsia" w:ascii="仿宋" w:hAnsi="仿宋" w:eastAsia="仿宋" w:cs="仿宋"/>
          <w:color w:val="auto"/>
          <w:sz w:val="24"/>
          <w:szCs w:val="24"/>
          <w:highlight w:val="none"/>
        </w:rPr>
        <w:t>▲</w:t>
      </w:r>
      <w:r>
        <w:rPr>
          <w:rFonts w:hint="eastAsia" w:cs="仿宋"/>
          <w:color w:val="auto"/>
          <w:kern w:val="0"/>
          <w:sz w:val="24"/>
          <w:szCs w:val="24"/>
          <w:highlight w:val="none"/>
          <w:lang w:val="en-US" w:eastAsia="zh-CN" w:bidi="ar"/>
        </w:rPr>
        <w:t>2.3.1整机保修≥1年，原厂保修。保修期外提供终身维修，免人工维修费，维修配件八折优惠。</w:t>
      </w:r>
    </w:p>
    <w:p w14:paraId="2EE4BA48">
      <w:pPr>
        <w:keepNext w:val="0"/>
        <w:keepLines w:val="0"/>
        <w:pageBreakBefore w:val="0"/>
        <w:widowControl/>
        <w:kinsoku/>
        <w:wordWrap/>
        <w:overflowPunct/>
        <w:topLinePunct w:val="0"/>
        <w:autoSpaceDE/>
        <w:autoSpaceDN/>
        <w:bidi w:val="0"/>
        <w:adjustRightInd/>
        <w:snapToGrid/>
        <w:spacing w:after="0" w:line="360" w:lineRule="auto"/>
        <w:ind w:firstLine="0" w:firstLineChars="0"/>
        <w:rPr>
          <w:rFonts w:hint="eastAsia" w:cs="仿宋"/>
          <w:color w:val="auto"/>
          <w:kern w:val="0"/>
          <w:sz w:val="24"/>
          <w:szCs w:val="24"/>
          <w:lang w:val="en-US" w:eastAsia="zh-CN" w:bidi="ar"/>
        </w:rPr>
      </w:pPr>
      <w:r>
        <w:rPr>
          <w:rFonts w:hint="eastAsia" w:cs="仿宋"/>
          <w:color w:val="auto"/>
          <w:kern w:val="0"/>
          <w:sz w:val="24"/>
          <w:szCs w:val="24"/>
          <w:lang w:val="en-US" w:eastAsia="zh-CN" w:bidi="ar"/>
        </w:rPr>
        <w:t>2.3.2每年保质期内故障率不得超过14天，如使用率达不到要求，每超过1天质保期相应延长10天。保质期内因设备本身缺陷造成各种故障应由卖方免费技术服务和维修。</w:t>
      </w:r>
    </w:p>
    <w:p w14:paraId="09A84E28">
      <w:pPr>
        <w:keepNext w:val="0"/>
        <w:keepLines w:val="0"/>
        <w:pageBreakBefore w:val="0"/>
        <w:widowControl/>
        <w:kinsoku/>
        <w:wordWrap/>
        <w:overflowPunct/>
        <w:topLinePunct w:val="0"/>
        <w:autoSpaceDE/>
        <w:autoSpaceDN/>
        <w:bidi w:val="0"/>
        <w:adjustRightInd/>
        <w:snapToGrid/>
        <w:spacing w:after="0" w:line="360" w:lineRule="auto"/>
        <w:ind w:firstLine="0" w:firstLineChars="0"/>
        <w:rPr>
          <w:rFonts w:hint="eastAsia" w:cs="仿宋"/>
          <w:color w:val="auto"/>
          <w:kern w:val="0"/>
          <w:sz w:val="24"/>
          <w:szCs w:val="24"/>
          <w:lang w:val="en-US" w:eastAsia="zh-CN" w:bidi="ar"/>
        </w:rPr>
      </w:pPr>
      <w:r>
        <w:rPr>
          <w:rFonts w:hint="eastAsia" w:cs="仿宋"/>
          <w:color w:val="auto"/>
          <w:kern w:val="0"/>
          <w:sz w:val="24"/>
          <w:szCs w:val="24"/>
          <w:lang w:val="en-US" w:eastAsia="zh-CN" w:bidi="ar"/>
        </w:rPr>
        <w:t>2.3.3供应商在响应文件中说明在保质期内提供的服务计划。</w:t>
      </w:r>
    </w:p>
    <w:p w14:paraId="0B940EEB">
      <w:pPr>
        <w:keepNext w:val="0"/>
        <w:keepLines w:val="0"/>
        <w:pageBreakBefore w:val="0"/>
        <w:widowControl/>
        <w:numPr>
          <w:ilvl w:val="0"/>
          <w:numId w:val="0"/>
        </w:numPr>
        <w:tabs>
          <w:tab w:val="left" w:pos="425"/>
        </w:tabs>
        <w:suppressAutoHyphens/>
        <w:kinsoku/>
        <w:wordWrap/>
        <w:overflowPunct/>
        <w:topLinePunct w:val="0"/>
        <w:autoSpaceDE/>
        <w:autoSpaceDN/>
        <w:bidi w:val="0"/>
        <w:adjustRightInd/>
        <w:snapToGrid/>
        <w:spacing w:after="0" w:line="360" w:lineRule="auto"/>
        <w:ind w:leftChars="0" w:firstLine="0" w:firstLineChars="0"/>
        <w:textAlignment w:val="bottom"/>
        <w:rPr>
          <w:b/>
          <w:bCs/>
          <w:color w:val="auto"/>
        </w:rPr>
      </w:pPr>
      <w:r>
        <w:rPr>
          <w:rFonts w:hint="eastAsia" w:cs="宋体"/>
          <w:b/>
          <w:bCs/>
          <w:color w:val="auto"/>
          <w:lang w:val="en-US" w:eastAsia="zh-CN"/>
        </w:rPr>
        <w:t>2.4</w:t>
      </w:r>
      <w:r>
        <w:rPr>
          <w:rFonts w:hint="eastAsia" w:cs="宋体"/>
          <w:b/>
          <w:bCs/>
          <w:color w:val="auto"/>
        </w:rPr>
        <w:t>售后服务</w:t>
      </w:r>
    </w:p>
    <w:p w14:paraId="255BCE06">
      <w:pPr>
        <w:keepNext w:val="0"/>
        <w:keepLines w:val="0"/>
        <w:pageBreakBefore w:val="0"/>
        <w:widowControl/>
        <w:numPr>
          <w:ilvl w:val="0"/>
          <w:numId w:val="0"/>
        </w:numPr>
        <w:tabs>
          <w:tab w:val="left" w:pos="360"/>
        </w:tabs>
        <w:suppressAutoHyphens/>
        <w:kinsoku/>
        <w:wordWrap/>
        <w:overflowPunct/>
        <w:topLinePunct w:val="0"/>
        <w:autoSpaceDE/>
        <w:autoSpaceDN/>
        <w:bidi w:val="0"/>
        <w:adjustRightInd/>
        <w:snapToGrid/>
        <w:spacing w:after="0" w:line="360" w:lineRule="auto"/>
        <w:ind w:leftChars="0" w:firstLine="0" w:firstLineChars="0"/>
        <w:textAlignment w:val="bottom"/>
        <w:rPr>
          <w:color w:val="auto"/>
          <w:highlight w:val="none"/>
        </w:rPr>
      </w:pPr>
      <w:r>
        <w:rPr>
          <w:rFonts w:hint="eastAsia" w:cs="宋体"/>
          <w:color w:val="auto"/>
          <w:lang w:val="en-US" w:eastAsia="zh-CN"/>
        </w:rPr>
        <w:t>2.4.1</w:t>
      </w:r>
      <w:r>
        <w:rPr>
          <w:rFonts w:hint="eastAsia" w:cs="宋体"/>
          <w:color w:val="auto"/>
        </w:rPr>
        <w:t>在器械整个使用期内，卖方应确保设备的正常使用。在接到用户维修要求后响应时间</w:t>
      </w:r>
      <w:r>
        <w:rPr>
          <w:rFonts w:ascii="宋体" w:hAnsi="宋体" w:cs="宋体"/>
          <w:color w:val="auto"/>
          <w:szCs w:val="21"/>
        </w:rPr>
        <w:t>≤1小时</w:t>
      </w:r>
      <w:r>
        <w:rPr>
          <w:rFonts w:hint="eastAsia" w:cs="宋体"/>
          <w:color w:val="auto"/>
          <w:highlight w:val="none"/>
        </w:rPr>
        <w:t>，并在</w:t>
      </w:r>
      <w:r>
        <w:rPr>
          <w:color w:val="auto"/>
          <w:highlight w:val="none"/>
        </w:rPr>
        <w:t>24</w:t>
      </w:r>
      <w:r>
        <w:rPr>
          <w:rFonts w:hint="eastAsia" w:cs="宋体"/>
          <w:color w:val="auto"/>
          <w:highlight w:val="none"/>
        </w:rPr>
        <w:t>小时内派员到达买方现场实施维修(如确实需要）。零配件在该设备停产后仍需保证</w:t>
      </w:r>
      <w:r>
        <w:rPr>
          <w:color w:val="auto"/>
          <w:highlight w:val="none"/>
        </w:rPr>
        <w:t>10</w:t>
      </w:r>
      <w:r>
        <w:rPr>
          <w:rFonts w:hint="eastAsia" w:cs="宋体"/>
          <w:color w:val="auto"/>
          <w:highlight w:val="none"/>
        </w:rPr>
        <w:t>年的供应。故障最长修复时间在</w:t>
      </w:r>
      <w:r>
        <w:rPr>
          <w:color w:val="auto"/>
          <w:highlight w:val="none"/>
        </w:rPr>
        <w:t>7</w:t>
      </w:r>
      <w:r>
        <w:rPr>
          <w:rFonts w:hint="eastAsia" w:cs="宋体"/>
          <w:color w:val="auto"/>
          <w:highlight w:val="none"/>
        </w:rPr>
        <w:t>个工作日之内，</w:t>
      </w:r>
      <w:r>
        <w:rPr>
          <w:color w:val="auto"/>
          <w:highlight w:val="none"/>
        </w:rPr>
        <w:t>7</w:t>
      </w:r>
      <w:r>
        <w:rPr>
          <w:rFonts w:hint="eastAsia" w:cs="宋体"/>
          <w:color w:val="auto"/>
          <w:highlight w:val="none"/>
        </w:rPr>
        <w:t>个工作日内无法修复的，卖方应赔偿买方由停机造成的损失。</w:t>
      </w:r>
      <w:r>
        <w:rPr>
          <w:rFonts w:hint="eastAsia" w:ascii="宋体" w:hAnsi="宋体" w:cs="宋体"/>
          <w:color w:val="auto"/>
          <w:szCs w:val="21"/>
          <w:highlight w:val="none"/>
        </w:rPr>
        <w:t>一周内无法修复机器故障，必须提供同等次的备用机器。</w:t>
      </w:r>
    </w:p>
    <w:p w14:paraId="4F59C0AF">
      <w:pPr>
        <w:keepNext w:val="0"/>
        <w:keepLines w:val="0"/>
        <w:pageBreakBefore w:val="0"/>
        <w:widowControl/>
        <w:numPr>
          <w:ilvl w:val="0"/>
          <w:numId w:val="0"/>
        </w:numPr>
        <w:tabs>
          <w:tab w:val="left" w:pos="360"/>
        </w:tabs>
        <w:suppressAutoHyphens/>
        <w:kinsoku/>
        <w:wordWrap/>
        <w:overflowPunct/>
        <w:topLinePunct w:val="0"/>
        <w:autoSpaceDE/>
        <w:autoSpaceDN/>
        <w:bidi w:val="0"/>
        <w:adjustRightInd/>
        <w:snapToGrid/>
        <w:spacing w:after="0" w:line="360" w:lineRule="auto"/>
        <w:ind w:leftChars="0" w:firstLine="0" w:firstLineChars="0"/>
        <w:textAlignment w:val="bottom"/>
        <w:rPr>
          <w:color w:val="auto"/>
          <w:highlight w:val="none"/>
        </w:rPr>
      </w:pPr>
      <w:r>
        <w:rPr>
          <w:rFonts w:hint="eastAsia" w:cs="宋体"/>
          <w:color w:val="auto"/>
          <w:highlight w:val="none"/>
          <w:lang w:val="en-US" w:eastAsia="zh-CN"/>
        </w:rPr>
        <w:t>2.4.2</w:t>
      </w:r>
      <w:r>
        <w:rPr>
          <w:rFonts w:hint="eastAsia" w:cs="宋体"/>
          <w:color w:val="auto"/>
          <w:highlight w:val="none"/>
          <w:lang w:eastAsia="zh-CN"/>
        </w:rPr>
        <w:t>供应商</w:t>
      </w:r>
      <w:r>
        <w:rPr>
          <w:rFonts w:hint="eastAsia" w:cs="宋体"/>
          <w:color w:val="auto"/>
          <w:highlight w:val="none"/>
        </w:rPr>
        <w:t>应在</w:t>
      </w:r>
      <w:r>
        <w:rPr>
          <w:rFonts w:hint="eastAsia" w:cs="宋体"/>
          <w:color w:val="auto"/>
          <w:highlight w:val="none"/>
          <w:lang w:eastAsia="zh-CN"/>
        </w:rPr>
        <w:t>响应文件</w:t>
      </w:r>
      <w:r>
        <w:rPr>
          <w:rFonts w:hint="eastAsia" w:cs="宋体"/>
          <w:color w:val="auto"/>
          <w:highlight w:val="none"/>
        </w:rPr>
        <w:t>中应详细说明其服务计划并列明收费标准：买保修合同的方式及相应的价格、按次计费的价格。</w:t>
      </w:r>
      <w:r>
        <w:rPr>
          <w:rFonts w:hint="eastAsia" w:cs="宋体"/>
          <w:color w:val="auto"/>
          <w:highlight w:val="none"/>
          <w:lang w:eastAsia="zh-CN"/>
        </w:rPr>
        <w:t>供应商</w:t>
      </w:r>
      <w:r>
        <w:rPr>
          <w:rFonts w:hint="eastAsia" w:cs="宋体"/>
          <w:color w:val="auto"/>
          <w:highlight w:val="none"/>
        </w:rPr>
        <w:t>必须在</w:t>
      </w:r>
      <w:r>
        <w:rPr>
          <w:rFonts w:hint="eastAsia" w:cs="宋体"/>
          <w:color w:val="auto"/>
          <w:highlight w:val="none"/>
          <w:lang w:eastAsia="zh-CN"/>
        </w:rPr>
        <w:t>响应文件</w:t>
      </w:r>
      <w:r>
        <w:rPr>
          <w:rFonts w:hint="eastAsia" w:cs="宋体"/>
          <w:color w:val="auto"/>
          <w:highlight w:val="none"/>
        </w:rPr>
        <w:t>中，详细列出公司所能提供的各种保修方式（比如按年或按次等），并列出详细的收费清单和服务内容。提供维修点的分布情况，及配件供应情况。</w:t>
      </w:r>
    </w:p>
    <w:p w14:paraId="38C5970F">
      <w:pPr>
        <w:keepNext w:val="0"/>
        <w:keepLines w:val="0"/>
        <w:pageBreakBefore w:val="0"/>
        <w:widowControl/>
        <w:numPr>
          <w:ilvl w:val="0"/>
          <w:numId w:val="0"/>
        </w:numPr>
        <w:tabs>
          <w:tab w:val="left" w:pos="360"/>
        </w:tabs>
        <w:suppressAutoHyphens/>
        <w:kinsoku/>
        <w:wordWrap/>
        <w:overflowPunct/>
        <w:topLinePunct w:val="0"/>
        <w:autoSpaceDE/>
        <w:autoSpaceDN/>
        <w:bidi w:val="0"/>
        <w:adjustRightInd/>
        <w:snapToGrid/>
        <w:spacing w:after="0" w:line="360" w:lineRule="auto"/>
        <w:ind w:leftChars="0" w:firstLine="0" w:firstLineChars="0"/>
        <w:textAlignment w:val="bottom"/>
        <w:rPr>
          <w:rFonts w:hint="eastAsia" w:cs="宋体"/>
          <w:color w:val="auto"/>
          <w:highlight w:val="none"/>
        </w:rPr>
      </w:pPr>
      <w:r>
        <w:rPr>
          <w:rFonts w:hint="eastAsia" w:cs="宋体"/>
          <w:color w:val="auto"/>
          <w:highlight w:val="none"/>
          <w:lang w:val="en-US" w:eastAsia="zh-CN"/>
        </w:rPr>
        <w:t>2.4.3</w:t>
      </w:r>
      <w:r>
        <w:rPr>
          <w:rFonts w:hint="eastAsia" w:cs="宋体"/>
          <w:color w:val="auto"/>
          <w:highlight w:val="none"/>
        </w:rPr>
        <w:t>对维修工程师的要求：维修前应将用户存储的扫描程序备份，维修结束后恢复原状。遵守用户的机房管理制度。</w:t>
      </w:r>
    </w:p>
    <w:p w14:paraId="740711DA">
      <w:pPr>
        <w:keepNext w:val="0"/>
        <w:keepLines w:val="0"/>
        <w:pageBreakBefore w:val="0"/>
        <w:widowControl/>
        <w:numPr>
          <w:ilvl w:val="0"/>
          <w:numId w:val="0"/>
        </w:numPr>
        <w:tabs>
          <w:tab w:val="left" w:pos="360"/>
        </w:tabs>
        <w:suppressAutoHyphens/>
        <w:kinsoku/>
        <w:wordWrap/>
        <w:overflowPunct/>
        <w:topLinePunct w:val="0"/>
        <w:autoSpaceDE/>
        <w:autoSpaceDN/>
        <w:bidi w:val="0"/>
        <w:adjustRightInd/>
        <w:snapToGrid/>
        <w:spacing w:after="0" w:line="360" w:lineRule="auto"/>
        <w:ind w:leftChars="0" w:firstLine="0" w:firstLineChars="0"/>
        <w:textAlignment w:val="bottom"/>
        <w:rPr>
          <w:rFonts w:hint="eastAsia" w:cs="宋体"/>
          <w:b/>
          <w:bCs/>
          <w:color w:val="auto"/>
          <w:highlight w:val="none"/>
        </w:rPr>
      </w:pPr>
      <w:r>
        <w:rPr>
          <w:rFonts w:hint="eastAsia" w:cs="宋体"/>
          <w:b/>
          <w:bCs/>
          <w:color w:val="auto"/>
          <w:highlight w:val="none"/>
          <w:lang w:val="en-US" w:eastAsia="zh-CN"/>
        </w:rPr>
        <w:t>2.5</w:t>
      </w:r>
      <w:r>
        <w:rPr>
          <w:rFonts w:hint="eastAsia" w:cs="宋体"/>
          <w:b/>
          <w:bCs/>
          <w:color w:val="auto"/>
          <w:highlight w:val="none"/>
        </w:rPr>
        <w:t>技术支持</w:t>
      </w:r>
    </w:p>
    <w:p w14:paraId="22F2EAAC">
      <w:pPr>
        <w:keepNext w:val="0"/>
        <w:keepLines w:val="0"/>
        <w:pageBreakBefore w:val="0"/>
        <w:widowControl/>
        <w:numPr>
          <w:ilvl w:val="0"/>
          <w:numId w:val="0"/>
        </w:numPr>
        <w:tabs>
          <w:tab w:val="left" w:pos="360"/>
        </w:tabs>
        <w:suppressAutoHyphens/>
        <w:kinsoku/>
        <w:wordWrap/>
        <w:overflowPunct/>
        <w:topLinePunct w:val="0"/>
        <w:autoSpaceDE/>
        <w:autoSpaceDN/>
        <w:bidi w:val="0"/>
        <w:adjustRightInd/>
        <w:snapToGrid/>
        <w:spacing w:after="0" w:line="360" w:lineRule="auto"/>
        <w:ind w:leftChars="0" w:firstLine="0" w:firstLineChars="0"/>
        <w:textAlignment w:val="bottom"/>
        <w:rPr>
          <w:rFonts w:cs="宋体"/>
          <w:color w:val="auto"/>
          <w:highlight w:val="none"/>
        </w:rPr>
      </w:pPr>
      <w:r>
        <w:rPr>
          <w:rFonts w:hint="eastAsia" w:cs="宋体"/>
          <w:b w:val="0"/>
          <w:bCs w:val="0"/>
          <w:color w:val="auto"/>
          <w:highlight w:val="none"/>
          <w:lang w:val="en-US" w:eastAsia="zh-CN"/>
        </w:rPr>
        <w:t>2.5.1</w:t>
      </w:r>
      <w:r>
        <w:rPr>
          <w:rFonts w:hint="eastAsia" w:cs="宋体"/>
          <w:color w:val="auto"/>
          <w:highlight w:val="none"/>
        </w:rPr>
        <w:t>中标商应提供免费软件升级，并及时提供设备新功能和临床应用的资料。</w:t>
      </w:r>
    </w:p>
    <w:p w14:paraId="5470E1D6">
      <w:pPr>
        <w:keepNext w:val="0"/>
        <w:keepLines w:val="0"/>
        <w:pageBreakBefore w:val="0"/>
        <w:widowControl/>
        <w:numPr>
          <w:ilvl w:val="0"/>
          <w:numId w:val="0"/>
        </w:numPr>
        <w:tabs>
          <w:tab w:val="left" w:pos="360"/>
        </w:tabs>
        <w:suppressAutoHyphens/>
        <w:kinsoku/>
        <w:wordWrap/>
        <w:overflowPunct/>
        <w:topLinePunct w:val="0"/>
        <w:autoSpaceDE/>
        <w:autoSpaceDN/>
        <w:bidi w:val="0"/>
        <w:adjustRightInd/>
        <w:snapToGrid/>
        <w:spacing w:after="0" w:line="360" w:lineRule="auto"/>
        <w:ind w:leftChars="0" w:firstLine="0" w:firstLineChars="0"/>
        <w:textAlignment w:val="bottom"/>
        <w:rPr>
          <w:rFonts w:hint="default"/>
          <w:color w:val="auto"/>
          <w:highlight w:val="none"/>
          <w:lang w:val="en-US" w:eastAsia="zh-CN"/>
        </w:rPr>
      </w:pPr>
      <w:r>
        <w:rPr>
          <w:rFonts w:hint="eastAsia" w:cs="宋体"/>
          <w:color w:val="auto"/>
          <w:highlight w:val="none"/>
          <w:lang w:val="en-US" w:eastAsia="zh-CN"/>
        </w:rPr>
        <w:t>2.5.2</w:t>
      </w:r>
      <w:r>
        <w:rPr>
          <w:rFonts w:hint="eastAsia" w:cs="宋体"/>
          <w:color w:val="auto"/>
          <w:highlight w:val="none"/>
        </w:rPr>
        <w:t>软件终身全免费现场维护、维修、安装。</w:t>
      </w:r>
    </w:p>
    <w:p w14:paraId="0BD4D60D">
      <w:pPr>
        <w:keepNext w:val="0"/>
        <w:keepLines w:val="0"/>
        <w:pageBreakBefore w:val="0"/>
        <w:widowControl/>
        <w:kinsoku/>
        <w:wordWrap/>
        <w:overflowPunct/>
        <w:topLinePunct w:val="0"/>
        <w:autoSpaceDE/>
        <w:autoSpaceDN/>
        <w:bidi w:val="0"/>
        <w:adjustRightInd/>
        <w:snapToGrid/>
        <w:spacing w:after="0" w:line="360" w:lineRule="auto"/>
        <w:ind w:firstLine="0" w:firstLineChars="0"/>
        <w:rPr>
          <w:rFonts w:hint="eastAsia" w:cs="仿宋"/>
          <w:color w:val="auto"/>
          <w:kern w:val="0"/>
          <w:sz w:val="24"/>
          <w:szCs w:val="24"/>
          <w:highlight w:val="none"/>
          <w:lang w:val="en-US" w:eastAsia="zh-CN" w:bidi="ar"/>
        </w:rPr>
      </w:pPr>
      <w:r>
        <w:rPr>
          <w:rFonts w:hint="eastAsia" w:cs="仿宋"/>
          <w:color w:val="auto"/>
          <w:kern w:val="0"/>
          <w:sz w:val="24"/>
          <w:szCs w:val="24"/>
          <w:highlight w:val="none"/>
          <w:lang w:val="en-US" w:eastAsia="zh-CN" w:bidi="ar"/>
        </w:rPr>
        <w:t>2.6培训：</w:t>
      </w:r>
    </w:p>
    <w:p w14:paraId="1AEC38CF">
      <w:pPr>
        <w:keepNext w:val="0"/>
        <w:keepLines w:val="0"/>
        <w:pageBreakBefore w:val="0"/>
        <w:widowControl/>
        <w:kinsoku/>
        <w:wordWrap/>
        <w:overflowPunct/>
        <w:topLinePunct w:val="0"/>
        <w:autoSpaceDE/>
        <w:autoSpaceDN/>
        <w:bidi w:val="0"/>
        <w:adjustRightInd/>
        <w:snapToGrid/>
        <w:spacing w:after="0" w:line="360" w:lineRule="auto"/>
        <w:ind w:firstLine="0" w:firstLineChars="0"/>
        <w:rPr>
          <w:color w:val="auto"/>
          <w:highlight w:val="none"/>
        </w:rPr>
      </w:pPr>
      <w:r>
        <w:rPr>
          <w:rFonts w:hint="eastAsia" w:cs="仿宋"/>
          <w:color w:val="auto"/>
          <w:kern w:val="0"/>
          <w:sz w:val="24"/>
          <w:szCs w:val="24"/>
          <w:highlight w:val="none"/>
          <w:lang w:val="en-US" w:eastAsia="zh-CN" w:bidi="ar"/>
        </w:rPr>
        <w:t>2.6.1</w:t>
      </w:r>
      <w:r>
        <w:rPr>
          <w:rFonts w:hint="eastAsia" w:ascii="宋体" w:hAnsi="宋体"/>
          <w:color w:val="auto"/>
          <w:szCs w:val="21"/>
          <w:highlight w:val="none"/>
          <w:lang w:eastAsia="zh-CN"/>
        </w:rPr>
        <w:t>成交</w:t>
      </w:r>
      <w:r>
        <w:rPr>
          <w:rFonts w:hint="eastAsia" w:ascii="宋体" w:hAnsi="宋体"/>
          <w:color w:val="auto"/>
          <w:szCs w:val="21"/>
          <w:highlight w:val="none"/>
        </w:rPr>
        <w:t>人</w:t>
      </w:r>
      <w:r>
        <w:rPr>
          <w:rFonts w:ascii="宋体" w:hAnsi="宋体"/>
          <w:color w:val="auto"/>
          <w:szCs w:val="21"/>
          <w:highlight w:val="none"/>
        </w:rPr>
        <w:t>在</w:t>
      </w:r>
      <w:r>
        <w:rPr>
          <w:rFonts w:hint="eastAsia" w:ascii="宋体" w:hAnsi="宋体"/>
          <w:color w:val="auto"/>
          <w:szCs w:val="21"/>
          <w:highlight w:val="none"/>
          <w:lang w:val="en-US" w:eastAsia="zh-CN"/>
        </w:rPr>
        <w:t>安装</w:t>
      </w:r>
      <w:r>
        <w:rPr>
          <w:rFonts w:ascii="宋体" w:hAnsi="宋体"/>
          <w:color w:val="auto"/>
          <w:szCs w:val="21"/>
          <w:highlight w:val="none"/>
        </w:rPr>
        <w:t>后及设备</w:t>
      </w:r>
      <w:r>
        <w:rPr>
          <w:rFonts w:hint="eastAsia" w:ascii="宋体" w:hAnsi="宋体"/>
          <w:color w:val="auto"/>
          <w:szCs w:val="21"/>
          <w:highlight w:val="none"/>
        </w:rPr>
        <w:t>使用</w:t>
      </w:r>
      <w:r>
        <w:rPr>
          <w:rFonts w:ascii="宋体" w:hAnsi="宋体"/>
          <w:color w:val="auto"/>
          <w:szCs w:val="21"/>
          <w:highlight w:val="none"/>
        </w:rPr>
        <w:t>期间根据</w:t>
      </w:r>
      <w:r>
        <w:rPr>
          <w:rFonts w:hint="eastAsia" w:ascii="宋体" w:hAnsi="宋体"/>
          <w:color w:val="auto"/>
          <w:szCs w:val="21"/>
          <w:highlight w:val="none"/>
        </w:rPr>
        <w:t>采购人</w:t>
      </w:r>
      <w:r>
        <w:rPr>
          <w:rFonts w:ascii="宋体" w:hAnsi="宋体"/>
          <w:color w:val="auto"/>
          <w:szCs w:val="21"/>
          <w:highlight w:val="none"/>
        </w:rPr>
        <w:t>需求</w:t>
      </w:r>
      <w:r>
        <w:rPr>
          <w:rFonts w:hint="eastAsia" w:ascii="宋体" w:hAnsi="宋体"/>
          <w:color w:val="auto"/>
          <w:szCs w:val="21"/>
          <w:highlight w:val="none"/>
        </w:rPr>
        <w:t>，应向采购人提供该设备的产品性能介绍</w:t>
      </w:r>
      <w:r>
        <w:rPr>
          <w:rFonts w:ascii="宋体" w:hAnsi="宋体"/>
          <w:color w:val="auto"/>
          <w:szCs w:val="21"/>
          <w:highlight w:val="none"/>
        </w:rPr>
        <w:t>，</w:t>
      </w:r>
      <w:r>
        <w:rPr>
          <w:rFonts w:hint="eastAsia" w:ascii="宋体" w:hAnsi="宋体"/>
          <w:color w:val="auto"/>
          <w:szCs w:val="21"/>
          <w:highlight w:val="none"/>
        </w:rPr>
        <w:t>使用</w:t>
      </w:r>
      <w:r>
        <w:rPr>
          <w:rFonts w:ascii="宋体" w:hAnsi="宋体"/>
          <w:color w:val="auto"/>
          <w:szCs w:val="21"/>
          <w:highlight w:val="none"/>
        </w:rPr>
        <w:t>操作，维护</w:t>
      </w:r>
      <w:r>
        <w:rPr>
          <w:rFonts w:hint="eastAsia" w:ascii="宋体" w:hAnsi="宋体"/>
          <w:color w:val="auto"/>
          <w:szCs w:val="21"/>
          <w:highlight w:val="none"/>
        </w:rPr>
        <w:t>维修等</w:t>
      </w:r>
      <w:r>
        <w:rPr>
          <w:rFonts w:ascii="宋体" w:hAnsi="宋体"/>
          <w:color w:val="auto"/>
          <w:szCs w:val="21"/>
          <w:highlight w:val="none"/>
        </w:rPr>
        <w:t>理论</w:t>
      </w:r>
      <w:r>
        <w:rPr>
          <w:rFonts w:hint="eastAsia" w:ascii="宋体" w:hAnsi="宋体"/>
          <w:color w:val="auto"/>
          <w:szCs w:val="21"/>
          <w:highlight w:val="none"/>
        </w:rPr>
        <w:t>及实践</w:t>
      </w:r>
      <w:r>
        <w:rPr>
          <w:rFonts w:ascii="宋体" w:hAnsi="宋体"/>
          <w:color w:val="auto"/>
          <w:szCs w:val="21"/>
          <w:highlight w:val="none"/>
        </w:rPr>
        <w:t>操作</w:t>
      </w:r>
      <w:r>
        <w:rPr>
          <w:rFonts w:hint="eastAsia" w:ascii="宋体" w:hAnsi="宋体"/>
          <w:color w:val="auto"/>
          <w:szCs w:val="21"/>
          <w:highlight w:val="none"/>
        </w:rPr>
        <w:t>的</w:t>
      </w:r>
      <w:r>
        <w:rPr>
          <w:rFonts w:ascii="宋体" w:hAnsi="宋体"/>
          <w:color w:val="auto"/>
          <w:szCs w:val="21"/>
          <w:highlight w:val="none"/>
        </w:rPr>
        <w:t>培训</w:t>
      </w:r>
      <w:r>
        <w:rPr>
          <w:color w:val="auto"/>
          <w:highlight w:val="none"/>
        </w:rPr>
        <w:t>，使其能对设备进行日常的维护保养及能对一般故障进行维修，并向培训人员提供维修图纸及维修手册。</w:t>
      </w:r>
    </w:p>
    <w:p w14:paraId="5206091F">
      <w:pPr>
        <w:keepNext w:val="0"/>
        <w:keepLines w:val="0"/>
        <w:pageBreakBefore w:val="0"/>
        <w:widowControl/>
        <w:kinsoku/>
        <w:wordWrap/>
        <w:overflowPunct/>
        <w:topLinePunct w:val="0"/>
        <w:autoSpaceDE/>
        <w:autoSpaceDN/>
        <w:bidi w:val="0"/>
        <w:adjustRightInd/>
        <w:snapToGrid/>
        <w:spacing w:after="0" w:line="360" w:lineRule="auto"/>
        <w:ind w:firstLine="0" w:firstLineChars="0"/>
        <w:rPr>
          <w:color w:val="auto"/>
          <w:highlight w:val="none"/>
        </w:rPr>
      </w:pPr>
      <w:r>
        <w:rPr>
          <w:rFonts w:hint="eastAsia"/>
          <w:color w:val="auto"/>
          <w:highlight w:val="none"/>
          <w:lang w:val="en-US" w:eastAsia="zh-CN"/>
        </w:rPr>
        <w:t>2.6.2</w:t>
      </w:r>
      <w:r>
        <w:rPr>
          <w:rFonts w:hint="eastAsia"/>
          <w:color w:val="auto"/>
          <w:highlight w:val="none"/>
        </w:rPr>
        <w:t>供应商</w:t>
      </w:r>
      <w:r>
        <w:rPr>
          <w:color w:val="auto"/>
          <w:highlight w:val="none"/>
        </w:rPr>
        <w:t>应对用户的操作人员进行操作培训，使其能对设备进行熟练的操作。</w:t>
      </w:r>
    </w:p>
    <w:p w14:paraId="5801A88C">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auto"/>
        <w:rPr>
          <w:color w:val="auto"/>
          <w:highlight w:val="none"/>
        </w:rPr>
      </w:pPr>
      <w:r>
        <w:rPr>
          <w:rFonts w:hint="eastAsia"/>
          <w:color w:val="auto"/>
          <w:highlight w:val="none"/>
          <w:lang w:val="en-US" w:eastAsia="zh-CN"/>
        </w:rPr>
        <w:t>2.6.3</w:t>
      </w:r>
      <w:r>
        <w:rPr>
          <w:rFonts w:hint="eastAsia"/>
          <w:color w:val="auto"/>
          <w:highlight w:val="none"/>
        </w:rPr>
        <w:t>供应商</w:t>
      </w:r>
      <w:r>
        <w:rPr>
          <w:color w:val="auto"/>
          <w:highlight w:val="none"/>
        </w:rPr>
        <w:t>应在</w:t>
      </w:r>
      <w:r>
        <w:rPr>
          <w:rFonts w:hint="eastAsia"/>
          <w:color w:val="auto"/>
          <w:highlight w:val="none"/>
          <w:lang w:eastAsia="zh-CN"/>
        </w:rPr>
        <w:t>响应文件</w:t>
      </w:r>
      <w:r>
        <w:rPr>
          <w:rFonts w:hint="eastAsia"/>
          <w:color w:val="auto"/>
          <w:highlight w:val="none"/>
        </w:rPr>
        <w:t>的培训方案</w:t>
      </w:r>
      <w:r>
        <w:rPr>
          <w:color w:val="auto"/>
          <w:highlight w:val="none"/>
        </w:rPr>
        <w:t>中详细说明。</w:t>
      </w:r>
    </w:p>
    <w:p w14:paraId="2719FDE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auto"/>
        <w:rPr>
          <w:rFonts w:hint="eastAsia" w:cs="宋体"/>
          <w:color w:val="auto"/>
          <w:highlight w:val="none"/>
        </w:rPr>
      </w:pPr>
      <w:r>
        <w:rPr>
          <w:rFonts w:hint="eastAsia"/>
          <w:color w:val="auto"/>
          <w:highlight w:val="none"/>
          <w:lang w:val="en-US" w:eastAsia="zh-CN"/>
        </w:rPr>
        <w:t>2.7</w:t>
      </w:r>
      <w:r>
        <w:rPr>
          <w:rFonts w:hint="eastAsia" w:cs="宋体"/>
          <w:color w:val="auto"/>
          <w:highlight w:val="none"/>
        </w:rPr>
        <w:t>安装调试</w:t>
      </w:r>
    </w:p>
    <w:p w14:paraId="177043CB">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auto"/>
        <w:rPr>
          <w:rFonts w:hint="default" w:eastAsia="仿宋" w:cs="宋体"/>
          <w:color w:val="auto"/>
          <w:highlight w:val="none"/>
          <w:lang w:val="en-US" w:eastAsia="zh-CN"/>
        </w:rPr>
      </w:pPr>
      <w:r>
        <w:rPr>
          <w:rFonts w:hint="eastAsia" w:cs="宋体"/>
          <w:color w:val="auto"/>
          <w:highlight w:val="none"/>
          <w:lang w:val="en-US" w:eastAsia="zh-CN"/>
        </w:rPr>
        <w:t>2.7.1</w:t>
      </w:r>
      <w:r>
        <w:rPr>
          <w:rFonts w:hint="eastAsia" w:cs="宋体"/>
          <w:color w:val="auto"/>
          <w:highlight w:val="none"/>
        </w:rPr>
        <w:t>安装地点：</w:t>
      </w:r>
      <w:r>
        <w:rPr>
          <w:rFonts w:hint="eastAsia" w:cs="宋体"/>
          <w:color w:val="auto"/>
          <w:highlight w:val="none"/>
          <w:lang w:val="en-US" w:eastAsia="zh-CN"/>
        </w:rPr>
        <w:t>采购人指定地点。</w:t>
      </w:r>
    </w:p>
    <w:p w14:paraId="18ECBEF7">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auto"/>
        <w:rPr>
          <w:rFonts w:hint="eastAsia" w:cs="宋体"/>
          <w:color w:val="auto"/>
        </w:rPr>
      </w:pPr>
      <w:r>
        <w:rPr>
          <w:rFonts w:hint="eastAsia" w:ascii="仿宋" w:hAnsi="仿宋" w:eastAsia="仿宋" w:cs="仿宋"/>
          <w:color w:val="auto"/>
          <w:sz w:val="24"/>
          <w:szCs w:val="24"/>
          <w:highlight w:val="none"/>
        </w:rPr>
        <w:t>▲</w:t>
      </w:r>
      <w:r>
        <w:rPr>
          <w:rFonts w:hint="eastAsia" w:cs="宋体"/>
          <w:color w:val="auto"/>
          <w:highlight w:val="none"/>
          <w:lang w:val="en-US" w:eastAsia="zh-CN"/>
        </w:rPr>
        <w:t>2.7.2</w:t>
      </w:r>
      <w:r>
        <w:rPr>
          <w:rFonts w:hint="eastAsia" w:cs="宋体"/>
          <w:color w:val="auto"/>
          <w:highlight w:val="none"/>
        </w:rPr>
        <w:t>安装完成时间：接到用户通知后</w:t>
      </w:r>
      <w:r>
        <w:rPr>
          <w:rFonts w:hint="eastAsia" w:cs="宋体"/>
          <w:color w:val="auto"/>
          <w:highlight w:val="none"/>
          <w:lang w:val="en-US" w:eastAsia="zh-CN"/>
        </w:rPr>
        <w:t>两</w:t>
      </w:r>
      <w:r>
        <w:rPr>
          <w:rFonts w:hint="eastAsia" w:cs="宋体"/>
          <w:color w:val="auto"/>
          <w:highlight w:val="none"/>
        </w:rPr>
        <w:t>周内完成安装和调试，并正常运行</w:t>
      </w:r>
      <w:r>
        <w:rPr>
          <w:rFonts w:cs="宋体"/>
          <w:color w:val="auto"/>
          <w:highlight w:val="none"/>
        </w:rPr>
        <w:t>，如果超出上述期限，</w:t>
      </w:r>
      <w:r>
        <w:rPr>
          <w:rFonts w:hint="eastAsia" w:cs="宋体"/>
          <w:color w:val="auto"/>
          <w:highlight w:val="none"/>
        </w:rPr>
        <w:t>卖方</w:t>
      </w:r>
      <w:r>
        <w:rPr>
          <w:rFonts w:cs="宋体"/>
          <w:color w:val="auto"/>
          <w:highlight w:val="none"/>
        </w:rPr>
        <w:t>负责由此给</w:t>
      </w:r>
      <w:r>
        <w:rPr>
          <w:rFonts w:hint="eastAsia" w:cs="宋体"/>
          <w:color w:val="auto"/>
          <w:highlight w:val="none"/>
        </w:rPr>
        <w:t>买方</w:t>
      </w:r>
      <w:r>
        <w:rPr>
          <w:rFonts w:cs="宋体"/>
          <w:color w:val="auto"/>
          <w:highlight w:val="none"/>
        </w:rPr>
        <w:t>造成的所有损失</w:t>
      </w:r>
      <w:r>
        <w:rPr>
          <w:rFonts w:hint="eastAsia" w:cs="宋体"/>
          <w:color w:val="auto"/>
          <w:highlight w:val="none"/>
        </w:rPr>
        <w:t>。设备安装调试未达到合同规定的性能指标和功能要求的，每超出</w:t>
      </w:r>
      <w:r>
        <w:rPr>
          <w:rFonts w:cs="宋体"/>
          <w:color w:val="auto"/>
          <w:highlight w:val="none"/>
        </w:rPr>
        <w:t>1</w:t>
      </w:r>
      <w:r>
        <w:rPr>
          <w:rFonts w:hint="eastAsia" w:cs="宋体"/>
          <w:color w:val="auto"/>
          <w:highlight w:val="none"/>
        </w:rPr>
        <w:t>天，卖方赔</w:t>
      </w:r>
      <w:r>
        <w:rPr>
          <w:rFonts w:hint="eastAsia" w:cs="宋体"/>
          <w:color w:val="auto"/>
        </w:rPr>
        <w:t>偿给买方合同总金额的</w:t>
      </w:r>
      <w:r>
        <w:rPr>
          <w:rFonts w:cs="宋体"/>
          <w:color w:val="auto"/>
        </w:rPr>
        <w:t>0.5%</w:t>
      </w:r>
      <w:r>
        <w:rPr>
          <w:rFonts w:hint="eastAsia" w:cs="宋体"/>
          <w:color w:val="auto"/>
        </w:rPr>
        <w:t>。当累计赔偿金额到合同总价的</w:t>
      </w:r>
      <w:r>
        <w:rPr>
          <w:rFonts w:cs="宋体"/>
          <w:color w:val="auto"/>
        </w:rPr>
        <w:t>5%</w:t>
      </w:r>
      <w:r>
        <w:rPr>
          <w:rFonts w:hint="eastAsia" w:cs="宋体"/>
          <w:color w:val="auto"/>
        </w:rPr>
        <w:t>时，买方有权终止全部合同，卖方必须退还全部货款，并承担由此产生的买方的所有损失。</w:t>
      </w:r>
    </w:p>
    <w:p w14:paraId="0791AF81">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auto"/>
        <w:rPr>
          <w:rFonts w:hint="eastAsia" w:cs="宋体"/>
          <w:color w:val="auto"/>
        </w:rPr>
      </w:pPr>
      <w:r>
        <w:rPr>
          <w:rFonts w:hint="eastAsia" w:cs="宋体"/>
          <w:color w:val="auto"/>
          <w:lang w:val="en-US" w:eastAsia="zh-CN"/>
        </w:rPr>
        <w:t>2.7.3</w:t>
      </w:r>
      <w:r>
        <w:rPr>
          <w:rFonts w:hint="eastAsia" w:cs="宋体"/>
          <w:color w:val="auto"/>
        </w:rPr>
        <w:t>安装标准：符合我国国家有关技术规范要求和技术标准。</w:t>
      </w:r>
    </w:p>
    <w:p w14:paraId="338A2C8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auto"/>
        <w:rPr>
          <w:rFonts w:hint="eastAsia" w:cs="宋体"/>
          <w:color w:val="auto"/>
        </w:rPr>
      </w:pPr>
      <w:r>
        <w:rPr>
          <w:rFonts w:hint="eastAsia" w:cs="宋体"/>
          <w:color w:val="auto"/>
          <w:lang w:val="en-US" w:eastAsia="zh-CN"/>
        </w:rPr>
        <w:t>2.7.4</w:t>
      </w:r>
      <w:r>
        <w:rPr>
          <w:rFonts w:hint="eastAsia" w:cs="宋体"/>
          <w:color w:val="auto"/>
        </w:rPr>
        <w:t>安装过程中发生的费用由卖方负责。</w:t>
      </w:r>
    </w:p>
    <w:p w14:paraId="38464FF5">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auto"/>
        <w:rPr>
          <w:rFonts w:cs="宋体"/>
          <w:color w:val="auto"/>
        </w:rPr>
      </w:pPr>
      <w:r>
        <w:rPr>
          <w:rFonts w:hint="eastAsia" w:cs="宋体"/>
          <w:color w:val="auto"/>
          <w:lang w:val="en-US" w:eastAsia="zh-CN"/>
        </w:rPr>
        <w:t>2.7.5</w:t>
      </w:r>
      <w:r>
        <w:rPr>
          <w:rFonts w:hint="eastAsia" w:cs="宋体"/>
          <w:color w:val="auto"/>
          <w:lang w:eastAsia="zh-CN"/>
        </w:rPr>
        <w:t>供应商</w:t>
      </w:r>
      <w:r>
        <w:rPr>
          <w:rFonts w:hint="eastAsia" w:cs="宋体"/>
          <w:color w:val="auto"/>
        </w:rPr>
        <w:t>应在</w:t>
      </w:r>
      <w:r>
        <w:rPr>
          <w:rFonts w:hint="eastAsia" w:cs="宋体"/>
          <w:color w:val="auto"/>
          <w:lang w:eastAsia="zh-CN"/>
        </w:rPr>
        <w:t>响应文件</w:t>
      </w:r>
      <w:r>
        <w:rPr>
          <w:rFonts w:hint="eastAsia" w:cs="宋体"/>
          <w:color w:val="auto"/>
        </w:rPr>
        <w:t>中提供其安装调试过程中医院需配合的内容。</w:t>
      </w:r>
    </w:p>
    <w:p w14:paraId="0B4849B9">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highlight w:val="none"/>
          <w:lang w:val="en-US" w:eastAsia="zh-CN"/>
        </w:rPr>
      </w:pPr>
      <w:r>
        <w:rPr>
          <w:rFonts w:hint="eastAsia" w:cs="宋体"/>
          <w:color w:val="auto"/>
          <w:lang w:val="en-US" w:eastAsia="zh-CN"/>
        </w:rPr>
        <w:t>2.7.6</w:t>
      </w:r>
      <w:r>
        <w:rPr>
          <w:rFonts w:hint="eastAsia" w:cs="宋体"/>
          <w:color w:val="auto"/>
        </w:rPr>
        <w:t>随机资料：提供使用操作手册</w:t>
      </w:r>
      <w:r>
        <w:rPr>
          <w:rFonts w:cs="宋体"/>
          <w:color w:val="auto"/>
        </w:rPr>
        <w:t>2</w:t>
      </w:r>
      <w:r>
        <w:rPr>
          <w:rFonts w:hint="eastAsia" w:cs="宋体"/>
          <w:color w:val="auto"/>
        </w:rPr>
        <w:t>份，维修手册</w:t>
      </w:r>
      <w:r>
        <w:rPr>
          <w:rFonts w:cs="宋体"/>
          <w:color w:val="auto"/>
        </w:rPr>
        <w:t>1</w:t>
      </w:r>
      <w:r>
        <w:rPr>
          <w:rFonts w:hint="eastAsia" w:cs="宋体"/>
          <w:color w:val="auto"/>
        </w:rPr>
        <w:t>份。</w:t>
      </w:r>
    </w:p>
    <w:p w14:paraId="7EA1AD1A">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color w:val="auto"/>
          <w:highlight w:val="none"/>
        </w:rPr>
      </w:pPr>
      <w:r>
        <w:rPr>
          <w:rFonts w:hint="eastAsia"/>
          <w:color w:val="auto"/>
          <w:highlight w:val="none"/>
          <w:lang w:val="en-US" w:eastAsia="zh-CN"/>
        </w:rPr>
        <w:t>2.8</w:t>
      </w:r>
      <w:r>
        <w:rPr>
          <w:color w:val="auto"/>
          <w:highlight w:val="none"/>
        </w:rPr>
        <w:t>验收</w:t>
      </w:r>
    </w:p>
    <w:p w14:paraId="39AE3CAA">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ascii="宋体" w:hAnsi="宋体"/>
          <w:color w:val="auto"/>
          <w:szCs w:val="21"/>
          <w:highlight w:val="none"/>
        </w:rPr>
      </w:pPr>
      <w:r>
        <w:rPr>
          <w:rFonts w:hint="eastAsia"/>
          <w:color w:val="auto"/>
          <w:highlight w:val="none"/>
          <w:lang w:val="en-US" w:eastAsia="zh-CN"/>
        </w:rPr>
        <w:t>2.8.1</w:t>
      </w:r>
      <w:r>
        <w:rPr>
          <w:rFonts w:hint="eastAsia" w:ascii="宋体" w:hAnsi="宋体"/>
          <w:color w:val="auto"/>
          <w:szCs w:val="21"/>
          <w:highlight w:val="none"/>
          <w:lang w:eastAsia="zh-CN"/>
        </w:rPr>
        <w:t>成交</w:t>
      </w:r>
      <w:r>
        <w:rPr>
          <w:rFonts w:hint="eastAsia" w:ascii="宋体" w:hAnsi="宋体"/>
          <w:color w:val="auto"/>
          <w:szCs w:val="21"/>
          <w:highlight w:val="none"/>
        </w:rPr>
        <w:t>人应按产品的原厂原装标准包装和发货，采购人据此验收；如部分产品存在包装破损、包装不符等情形，采购人有权拒绝接收所有产品或该部分包装瑕疵的产品。</w:t>
      </w:r>
    </w:p>
    <w:p w14:paraId="261867FC">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color w:val="auto"/>
          <w:highlight w:val="none"/>
        </w:rPr>
      </w:pPr>
      <w:r>
        <w:rPr>
          <w:rFonts w:hint="eastAsia" w:ascii="宋体" w:hAnsi="宋体"/>
          <w:color w:val="auto"/>
          <w:szCs w:val="21"/>
          <w:highlight w:val="none"/>
          <w:lang w:val="en-US" w:eastAsia="zh-CN"/>
        </w:rPr>
        <w:t>2.8.2</w:t>
      </w:r>
      <w:r>
        <w:rPr>
          <w:rFonts w:hint="eastAsia" w:ascii="宋体" w:hAnsi="宋体"/>
          <w:color w:val="auto"/>
          <w:szCs w:val="21"/>
          <w:highlight w:val="none"/>
        </w:rPr>
        <w:t>如</w:t>
      </w:r>
      <w:r>
        <w:rPr>
          <w:rFonts w:hint="eastAsia" w:ascii="宋体" w:hAnsi="宋体"/>
          <w:color w:val="auto"/>
          <w:szCs w:val="21"/>
          <w:highlight w:val="none"/>
          <w:lang w:eastAsia="zh-CN"/>
        </w:rPr>
        <w:t>成交</w:t>
      </w:r>
      <w:r>
        <w:rPr>
          <w:rFonts w:hint="eastAsia" w:ascii="宋体" w:hAnsi="宋体"/>
          <w:color w:val="auto"/>
          <w:szCs w:val="21"/>
          <w:highlight w:val="none"/>
        </w:rPr>
        <w:t>人交付的产品存在数量短缺、交付不符、相关附件或材料缺失、假冒伪劣或质量、权属瑕疵等情形，如采购人当场验收产品时发现的，有权决定拒绝收货或立即要求退换货；如采购人收货后发现上述瑕疵，则于采购人发现之日起叁个工作日内向</w:t>
      </w:r>
      <w:r>
        <w:rPr>
          <w:rFonts w:hint="eastAsia" w:ascii="宋体" w:hAnsi="宋体"/>
          <w:color w:val="auto"/>
          <w:szCs w:val="21"/>
          <w:highlight w:val="none"/>
          <w:lang w:eastAsia="zh-CN"/>
        </w:rPr>
        <w:t>成交</w:t>
      </w:r>
      <w:r>
        <w:rPr>
          <w:rFonts w:hint="eastAsia" w:ascii="宋体" w:hAnsi="宋体"/>
          <w:color w:val="auto"/>
          <w:szCs w:val="21"/>
          <w:highlight w:val="none"/>
        </w:rPr>
        <w:t>人指定联系人或指定联系方式提出异议，并要求</w:t>
      </w:r>
      <w:r>
        <w:rPr>
          <w:rFonts w:hint="eastAsia" w:ascii="宋体" w:hAnsi="宋体"/>
          <w:color w:val="auto"/>
          <w:szCs w:val="21"/>
          <w:highlight w:val="none"/>
          <w:lang w:eastAsia="zh-CN"/>
        </w:rPr>
        <w:t>成交</w:t>
      </w:r>
      <w:r>
        <w:rPr>
          <w:rFonts w:hint="eastAsia" w:ascii="宋体" w:hAnsi="宋体"/>
          <w:color w:val="auto"/>
          <w:szCs w:val="21"/>
          <w:highlight w:val="none"/>
        </w:rPr>
        <w:t>人立即退换货或承担违约责任。</w:t>
      </w:r>
    </w:p>
    <w:p w14:paraId="3F01E9EA">
      <w:pPr>
        <w:pStyle w:val="39"/>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default"/>
          <w:color w:val="auto"/>
          <w:lang w:val="en-US" w:eastAsia="zh-CN"/>
        </w:rPr>
      </w:pPr>
      <w:r>
        <w:rPr>
          <w:rFonts w:hint="eastAsia"/>
          <w:color w:val="auto"/>
          <w:highlight w:val="none"/>
          <w:lang w:val="en-US" w:eastAsia="zh-CN"/>
        </w:rPr>
        <w:t>2.8.3</w:t>
      </w:r>
      <w:r>
        <w:rPr>
          <w:color w:val="auto"/>
          <w:highlight w:val="none"/>
        </w:rPr>
        <w:t>验收费用由产品</w:t>
      </w:r>
      <w:r>
        <w:rPr>
          <w:rFonts w:hint="eastAsia"/>
          <w:color w:val="auto"/>
          <w:highlight w:val="none"/>
        </w:rPr>
        <w:t>供应商</w:t>
      </w:r>
      <w:r>
        <w:rPr>
          <w:color w:val="auto"/>
          <w:highlight w:val="none"/>
        </w:rPr>
        <w:t>负担。</w:t>
      </w:r>
    </w:p>
    <w:p w14:paraId="4261994A">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注：</w:t>
      </w:r>
    </w:p>
    <w:p w14:paraId="531F3225">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1、除标注的参考品牌外，欢迎其它能满足本项目技术需求且性能与所注品牌相当的产品参与。</w:t>
      </w:r>
    </w:p>
    <w:p w14:paraId="05F5519F">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2、如有附图，仅作参考。</w:t>
      </w:r>
    </w:p>
    <w:p w14:paraId="77059CF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3、打▲内容为实质性要求，不允许有负偏离，否则将以涉及无效</w:t>
      </w:r>
      <w:r>
        <w:rPr>
          <w:rFonts w:hint="eastAsia" w:cs="仿宋"/>
          <w:color w:val="auto"/>
          <w:kern w:val="0"/>
          <w:sz w:val="24"/>
          <w:szCs w:val="24"/>
          <w:lang w:val="en-US" w:eastAsia="zh-CN" w:bidi="ar"/>
        </w:rPr>
        <w:t>响应</w:t>
      </w:r>
      <w:r>
        <w:rPr>
          <w:rFonts w:hint="eastAsia" w:ascii="仿宋" w:hAnsi="仿宋" w:eastAsia="仿宋" w:cs="仿宋"/>
          <w:color w:val="auto"/>
          <w:kern w:val="0"/>
          <w:sz w:val="24"/>
          <w:szCs w:val="24"/>
          <w:lang w:val="en-US" w:eastAsia="zh-CN" w:bidi="ar"/>
        </w:rPr>
        <w:t>条款作无效</w:t>
      </w:r>
      <w:r>
        <w:rPr>
          <w:rFonts w:hint="eastAsia" w:cs="仿宋"/>
          <w:color w:val="auto"/>
          <w:kern w:val="0"/>
          <w:sz w:val="24"/>
          <w:szCs w:val="24"/>
          <w:lang w:val="en-US" w:eastAsia="zh-CN" w:bidi="ar"/>
        </w:rPr>
        <w:t>响应</w:t>
      </w:r>
      <w:r>
        <w:rPr>
          <w:rFonts w:hint="eastAsia" w:ascii="仿宋" w:hAnsi="仿宋" w:eastAsia="仿宋" w:cs="仿宋"/>
          <w:color w:val="auto"/>
          <w:kern w:val="0"/>
          <w:sz w:val="24"/>
          <w:szCs w:val="24"/>
          <w:lang w:val="en-US" w:eastAsia="zh-CN" w:bidi="ar"/>
        </w:rPr>
        <w:t>。</w:t>
      </w:r>
    </w:p>
    <w:p w14:paraId="0BD89A88">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auto"/>
        <w:rPr>
          <w:rFonts w:cs="仿宋"/>
          <w:color w:val="auto"/>
        </w:rPr>
      </w:pPr>
      <w:r>
        <w:rPr>
          <w:rFonts w:hint="eastAsia" w:ascii="仿宋" w:hAnsi="仿宋" w:eastAsia="仿宋" w:cs="仿宋"/>
          <w:color w:val="auto"/>
          <w:kern w:val="0"/>
          <w:sz w:val="24"/>
          <w:szCs w:val="24"/>
          <w:lang w:val="en-US" w:eastAsia="zh-CN" w:bidi="ar"/>
        </w:rPr>
        <w:t>4、</w:t>
      </w:r>
      <w:r>
        <w:rPr>
          <w:rFonts w:hint="eastAsia" w:cs="仿宋"/>
          <w:color w:val="auto"/>
          <w:kern w:val="0"/>
          <w:sz w:val="24"/>
          <w:szCs w:val="24"/>
          <w:lang w:val="en-US" w:eastAsia="zh-CN" w:bidi="ar"/>
        </w:rPr>
        <w:t>成交</w:t>
      </w:r>
      <w:r>
        <w:rPr>
          <w:rFonts w:hint="eastAsia" w:ascii="仿宋" w:hAnsi="仿宋" w:eastAsia="仿宋" w:cs="仿宋"/>
          <w:color w:val="auto"/>
          <w:kern w:val="0"/>
          <w:sz w:val="24"/>
          <w:szCs w:val="24"/>
          <w:lang w:val="en-US" w:eastAsia="zh-CN" w:bidi="ar"/>
        </w:rPr>
        <w:t>人所提供的货物、服务须与</w:t>
      </w:r>
      <w:r>
        <w:rPr>
          <w:rFonts w:hint="eastAsia" w:cs="仿宋"/>
          <w:color w:val="auto"/>
          <w:kern w:val="0"/>
          <w:sz w:val="24"/>
          <w:szCs w:val="24"/>
          <w:lang w:val="en-US" w:eastAsia="zh-CN" w:bidi="ar"/>
        </w:rPr>
        <w:t>响应</w:t>
      </w:r>
      <w:r>
        <w:rPr>
          <w:rFonts w:hint="eastAsia" w:ascii="仿宋" w:hAnsi="仿宋" w:eastAsia="仿宋" w:cs="仿宋"/>
          <w:color w:val="auto"/>
          <w:kern w:val="0"/>
          <w:sz w:val="24"/>
          <w:szCs w:val="24"/>
          <w:lang w:val="en-US" w:eastAsia="zh-CN" w:bidi="ar"/>
        </w:rPr>
        <w:t>承诺一致，不得以次充好、偷工减料，若在项目验收中发现有上述情况，将向有关部门举报，根据相关规定进行处理。</w:t>
      </w:r>
    </w:p>
    <w:p w14:paraId="5BBCA715">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auto"/>
        <w:rPr>
          <w:rFonts w:cs="仿宋"/>
          <w:color w:val="auto"/>
        </w:rPr>
      </w:pPr>
      <w:r>
        <w:rPr>
          <w:rFonts w:hint="eastAsia" w:cs="仿宋"/>
          <w:color w:val="auto"/>
        </w:rPr>
        <w:br w:type="page"/>
      </w:r>
    </w:p>
    <w:p w14:paraId="4617C0C8">
      <w:pPr>
        <w:spacing w:line="360" w:lineRule="auto"/>
        <w:jc w:val="center"/>
        <w:rPr>
          <w:rFonts w:cs="仿宋"/>
          <w:color w:val="auto"/>
        </w:rPr>
      </w:pPr>
      <w:r>
        <w:rPr>
          <w:rFonts w:hint="eastAsia" w:cs="仿宋"/>
          <w:b/>
          <w:smallCaps/>
          <w:color w:val="auto"/>
          <w:spacing w:val="5"/>
          <w:sz w:val="36"/>
          <w:szCs w:val="36"/>
        </w:rPr>
        <w:t xml:space="preserve">第四部分   </w:t>
      </w:r>
      <w:bookmarkStart w:id="1" w:name="_Toc184312085"/>
      <w:bookmarkEnd w:id="1"/>
      <w:bookmarkStart w:id="2" w:name="_Toc184313259"/>
      <w:bookmarkEnd w:id="2"/>
      <w:bookmarkStart w:id="3" w:name="_Toc184313305"/>
      <w:bookmarkEnd w:id="3"/>
      <w:bookmarkStart w:id="4" w:name="_Toc184308090"/>
      <w:bookmarkEnd w:id="4"/>
      <w:bookmarkStart w:id="5" w:name="_Toc184310343"/>
      <w:bookmarkEnd w:id="5"/>
      <w:bookmarkStart w:id="6" w:name="_Toc184310323"/>
      <w:bookmarkEnd w:id="6"/>
      <w:bookmarkStart w:id="7" w:name="_Toc184313263"/>
      <w:bookmarkEnd w:id="7"/>
      <w:bookmarkStart w:id="8" w:name="_Toc184308105"/>
      <w:bookmarkEnd w:id="8"/>
      <w:bookmarkStart w:id="9" w:name="_Toc184314476"/>
      <w:bookmarkEnd w:id="9"/>
      <w:bookmarkStart w:id="10" w:name="_Toc184308088"/>
      <w:bookmarkEnd w:id="10"/>
      <w:bookmarkStart w:id="11" w:name="_Toc184308094"/>
      <w:bookmarkEnd w:id="11"/>
      <w:bookmarkStart w:id="12" w:name="_Toc184312127"/>
      <w:bookmarkEnd w:id="12"/>
      <w:bookmarkStart w:id="13" w:name="_Toc184314424"/>
      <w:bookmarkEnd w:id="13"/>
      <w:bookmarkStart w:id="14" w:name="_Toc184312136"/>
      <w:bookmarkEnd w:id="14"/>
      <w:bookmarkStart w:id="15" w:name="_Toc184312081"/>
      <w:bookmarkEnd w:id="15"/>
      <w:bookmarkStart w:id="16" w:name="_Toc184312098"/>
      <w:bookmarkEnd w:id="16"/>
      <w:bookmarkStart w:id="17" w:name="_Toc184308060"/>
      <w:bookmarkEnd w:id="17"/>
      <w:bookmarkStart w:id="18" w:name="_Toc184312090"/>
      <w:bookmarkEnd w:id="18"/>
      <w:bookmarkStart w:id="19" w:name="_Toc184310280"/>
      <w:bookmarkEnd w:id="19"/>
      <w:bookmarkStart w:id="20" w:name="_Toc184314457"/>
      <w:bookmarkEnd w:id="20"/>
      <w:bookmarkStart w:id="21" w:name="_Toc184312072"/>
      <w:bookmarkEnd w:id="21"/>
      <w:bookmarkStart w:id="22" w:name="_Toc184312104"/>
      <w:bookmarkEnd w:id="22"/>
      <w:bookmarkStart w:id="23" w:name="_Toc184314421"/>
      <w:bookmarkEnd w:id="23"/>
      <w:bookmarkStart w:id="24" w:name="_Toc184310285"/>
      <w:bookmarkEnd w:id="24"/>
      <w:bookmarkStart w:id="25" w:name="_Toc184308092"/>
      <w:bookmarkEnd w:id="25"/>
      <w:bookmarkStart w:id="26" w:name="_Toc184313301"/>
      <w:bookmarkEnd w:id="26"/>
      <w:bookmarkStart w:id="27" w:name="_Toc184308049"/>
      <w:bookmarkEnd w:id="27"/>
      <w:bookmarkStart w:id="28" w:name="_Toc184312124"/>
      <w:bookmarkEnd w:id="28"/>
      <w:bookmarkStart w:id="29" w:name="_Toc184313283"/>
      <w:bookmarkEnd w:id="29"/>
      <w:bookmarkStart w:id="30" w:name="_Toc184314465"/>
      <w:bookmarkEnd w:id="30"/>
      <w:bookmarkStart w:id="31" w:name="_Toc184308093"/>
      <w:bookmarkEnd w:id="31"/>
      <w:bookmarkStart w:id="32" w:name="_Toc184314442"/>
      <w:bookmarkEnd w:id="32"/>
      <w:bookmarkStart w:id="33" w:name="_Toc184313304"/>
      <w:bookmarkEnd w:id="33"/>
      <w:bookmarkStart w:id="34" w:name="_Toc184314470"/>
      <w:bookmarkEnd w:id="34"/>
      <w:bookmarkStart w:id="35" w:name="_Toc184313268"/>
      <w:bookmarkEnd w:id="35"/>
      <w:bookmarkStart w:id="36" w:name="_Toc184313285"/>
      <w:bookmarkEnd w:id="36"/>
      <w:bookmarkStart w:id="37" w:name="_Toc184310314"/>
      <w:bookmarkEnd w:id="37"/>
      <w:bookmarkStart w:id="38" w:name="_Toc184308050"/>
      <w:bookmarkEnd w:id="38"/>
      <w:bookmarkStart w:id="39" w:name="_Toc184313295"/>
      <w:bookmarkEnd w:id="39"/>
      <w:bookmarkStart w:id="40" w:name="_Toc184313241"/>
      <w:bookmarkEnd w:id="40"/>
      <w:bookmarkStart w:id="41" w:name="_Toc184308052"/>
      <w:bookmarkEnd w:id="41"/>
      <w:bookmarkStart w:id="42" w:name="_Toc184313281"/>
      <w:bookmarkEnd w:id="42"/>
      <w:bookmarkStart w:id="43" w:name="_Toc184310299"/>
      <w:bookmarkEnd w:id="43"/>
      <w:bookmarkStart w:id="44" w:name="_Toc184308085"/>
      <w:bookmarkEnd w:id="44"/>
      <w:bookmarkStart w:id="45" w:name="_Toc184312092"/>
      <w:bookmarkEnd w:id="45"/>
      <w:bookmarkStart w:id="46" w:name="_Toc184310302"/>
      <w:bookmarkEnd w:id="46"/>
      <w:bookmarkStart w:id="47" w:name="_Toc184308069"/>
      <w:bookmarkEnd w:id="47"/>
      <w:bookmarkStart w:id="48" w:name="_Toc184314441"/>
      <w:bookmarkEnd w:id="48"/>
      <w:bookmarkStart w:id="49" w:name="_Toc184310281"/>
      <w:bookmarkEnd w:id="49"/>
      <w:bookmarkStart w:id="50" w:name="_Toc184310304"/>
      <w:bookmarkEnd w:id="50"/>
      <w:bookmarkStart w:id="51" w:name="_Toc184314416"/>
      <w:bookmarkEnd w:id="51"/>
      <w:bookmarkStart w:id="52" w:name="_Toc184308066"/>
      <w:bookmarkEnd w:id="52"/>
      <w:bookmarkStart w:id="53" w:name="_Toc184314443"/>
      <w:bookmarkEnd w:id="53"/>
      <w:bookmarkStart w:id="54" w:name="_Toc184313256"/>
      <w:bookmarkEnd w:id="54"/>
      <w:bookmarkStart w:id="55" w:name="_Toc184308074"/>
      <w:bookmarkEnd w:id="55"/>
      <w:bookmarkStart w:id="56" w:name="_Toc184308059"/>
      <w:bookmarkEnd w:id="56"/>
      <w:bookmarkStart w:id="57" w:name="_Toc184310331"/>
      <w:bookmarkEnd w:id="57"/>
      <w:bookmarkStart w:id="58" w:name="_Toc184308108"/>
      <w:bookmarkEnd w:id="58"/>
      <w:bookmarkStart w:id="59" w:name="_Toc184314426"/>
      <w:bookmarkEnd w:id="59"/>
      <w:bookmarkStart w:id="60" w:name="_Toc184314481"/>
      <w:bookmarkEnd w:id="60"/>
      <w:bookmarkStart w:id="61" w:name="_Toc184313272"/>
      <w:bookmarkEnd w:id="61"/>
      <w:bookmarkStart w:id="62" w:name="_Toc184312121"/>
      <w:bookmarkEnd w:id="62"/>
      <w:bookmarkStart w:id="63" w:name="_Toc184312073"/>
      <w:bookmarkEnd w:id="63"/>
      <w:bookmarkStart w:id="64" w:name="_Toc184314439"/>
      <w:bookmarkEnd w:id="64"/>
      <w:bookmarkStart w:id="65" w:name="_Toc184312103"/>
      <w:bookmarkEnd w:id="65"/>
      <w:bookmarkStart w:id="66" w:name="_Toc184314460"/>
      <w:bookmarkEnd w:id="66"/>
      <w:bookmarkStart w:id="67" w:name="_Toc184314436"/>
      <w:bookmarkEnd w:id="67"/>
      <w:bookmarkStart w:id="68" w:name="_Toc184313273"/>
      <w:bookmarkEnd w:id="68"/>
      <w:bookmarkStart w:id="69" w:name="_Toc184314454"/>
      <w:bookmarkEnd w:id="69"/>
      <w:bookmarkStart w:id="70" w:name="_Toc184314466"/>
      <w:bookmarkEnd w:id="70"/>
      <w:bookmarkStart w:id="71" w:name="_Toc184314422"/>
      <w:bookmarkEnd w:id="71"/>
      <w:bookmarkStart w:id="72" w:name="_Toc184312129"/>
      <w:bookmarkEnd w:id="72"/>
      <w:bookmarkStart w:id="73" w:name="_Toc184308043"/>
      <w:bookmarkEnd w:id="73"/>
      <w:bookmarkStart w:id="74" w:name="_Toc184313290"/>
      <w:bookmarkEnd w:id="74"/>
      <w:bookmarkStart w:id="75" w:name="_Toc184314434"/>
      <w:bookmarkEnd w:id="75"/>
      <w:bookmarkStart w:id="76" w:name="_Toc184314425"/>
      <w:bookmarkEnd w:id="76"/>
      <w:bookmarkStart w:id="77" w:name="_Toc184313286"/>
      <w:bookmarkEnd w:id="77"/>
      <w:bookmarkStart w:id="78" w:name="_Toc184313264"/>
      <w:bookmarkEnd w:id="78"/>
      <w:bookmarkStart w:id="79" w:name="_Toc184310279"/>
      <w:bookmarkEnd w:id="79"/>
      <w:bookmarkStart w:id="80" w:name="_Toc184312130"/>
      <w:bookmarkEnd w:id="80"/>
      <w:bookmarkStart w:id="81" w:name="_Toc184312123"/>
      <w:bookmarkEnd w:id="81"/>
      <w:bookmarkStart w:id="82" w:name="_Toc184313254"/>
      <w:bookmarkEnd w:id="82"/>
      <w:bookmarkStart w:id="83" w:name="_Toc184310293"/>
      <w:bookmarkEnd w:id="83"/>
      <w:bookmarkStart w:id="84" w:name="_Toc184314412"/>
      <w:bookmarkEnd w:id="84"/>
      <w:bookmarkStart w:id="85" w:name="_Toc184308038"/>
      <w:bookmarkEnd w:id="85"/>
      <w:bookmarkStart w:id="86" w:name="_Toc184314427"/>
      <w:bookmarkEnd w:id="86"/>
      <w:bookmarkStart w:id="87" w:name="_Toc184314420"/>
      <w:bookmarkEnd w:id="87"/>
      <w:bookmarkStart w:id="88" w:name="_Toc184314433"/>
      <w:bookmarkEnd w:id="88"/>
      <w:bookmarkStart w:id="89" w:name="_Toc184312084"/>
      <w:bookmarkEnd w:id="89"/>
      <w:bookmarkStart w:id="90" w:name="_Toc184312082"/>
      <w:bookmarkEnd w:id="90"/>
      <w:bookmarkStart w:id="91" w:name="_Toc184314440"/>
      <w:bookmarkEnd w:id="91"/>
      <w:bookmarkStart w:id="92" w:name="_Toc184313250"/>
      <w:bookmarkEnd w:id="92"/>
      <w:bookmarkStart w:id="93" w:name="_Toc184312100"/>
      <w:bookmarkEnd w:id="93"/>
      <w:bookmarkStart w:id="94" w:name="_Toc184313252"/>
      <w:bookmarkEnd w:id="94"/>
      <w:bookmarkStart w:id="95" w:name="_Toc184308044"/>
      <w:bookmarkEnd w:id="95"/>
      <w:bookmarkStart w:id="96" w:name="_Toc184310300"/>
      <w:bookmarkEnd w:id="96"/>
      <w:bookmarkStart w:id="97" w:name="_Toc184314482"/>
      <w:bookmarkEnd w:id="97"/>
      <w:bookmarkStart w:id="98" w:name="_Toc184308047"/>
      <w:bookmarkEnd w:id="98"/>
      <w:bookmarkStart w:id="99" w:name="_Toc184310289"/>
      <w:bookmarkEnd w:id="99"/>
      <w:bookmarkStart w:id="100" w:name="_Toc184308067"/>
      <w:bookmarkEnd w:id="100"/>
      <w:bookmarkStart w:id="101" w:name="_Toc184310317"/>
      <w:bookmarkEnd w:id="101"/>
      <w:bookmarkStart w:id="102" w:name="_Toc184312118"/>
      <w:bookmarkEnd w:id="102"/>
      <w:bookmarkStart w:id="103" w:name="_Toc184314474"/>
      <w:bookmarkEnd w:id="103"/>
      <w:bookmarkStart w:id="104" w:name="_Toc184314449"/>
      <w:bookmarkEnd w:id="104"/>
      <w:bookmarkStart w:id="105" w:name="_Toc184310307"/>
      <w:bookmarkEnd w:id="105"/>
      <w:bookmarkStart w:id="106" w:name="_Toc184312126"/>
      <w:bookmarkEnd w:id="106"/>
      <w:bookmarkStart w:id="107" w:name="_Toc184314456"/>
      <w:bookmarkEnd w:id="107"/>
      <w:bookmarkStart w:id="108" w:name="_Toc184308103"/>
      <w:bookmarkEnd w:id="108"/>
      <w:bookmarkStart w:id="109" w:name="_Toc184314475"/>
      <w:bookmarkEnd w:id="109"/>
      <w:bookmarkStart w:id="110" w:name="_Toc184312070"/>
      <w:bookmarkEnd w:id="110"/>
      <w:bookmarkStart w:id="111" w:name="_Toc184313306"/>
      <w:bookmarkEnd w:id="111"/>
      <w:bookmarkStart w:id="112" w:name="_Toc184310315"/>
      <w:bookmarkEnd w:id="112"/>
      <w:bookmarkStart w:id="113" w:name="_Toc184314446"/>
      <w:bookmarkEnd w:id="113"/>
      <w:bookmarkStart w:id="114" w:name="_Toc184308097"/>
      <w:bookmarkEnd w:id="114"/>
      <w:bookmarkStart w:id="115" w:name="_Toc184313248"/>
      <w:bookmarkEnd w:id="115"/>
      <w:bookmarkStart w:id="116" w:name="_Toc184312093"/>
      <w:bookmarkEnd w:id="116"/>
      <w:bookmarkStart w:id="117" w:name="_Toc184308073"/>
      <w:bookmarkEnd w:id="117"/>
      <w:bookmarkStart w:id="118" w:name="_Toc184308071"/>
      <w:bookmarkEnd w:id="118"/>
      <w:bookmarkStart w:id="119" w:name="_Toc184313299"/>
      <w:bookmarkEnd w:id="119"/>
      <w:bookmarkStart w:id="120" w:name="_Toc184310324"/>
      <w:bookmarkEnd w:id="120"/>
      <w:bookmarkStart w:id="121" w:name="_Toc184308091"/>
      <w:bookmarkEnd w:id="121"/>
      <w:bookmarkStart w:id="122" w:name="_Toc184312112"/>
      <w:bookmarkEnd w:id="122"/>
      <w:bookmarkStart w:id="123" w:name="_Toc184308051"/>
      <w:bookmarkEnd w:id="123"/>
      <w:bookmarkStart w:id="124" w:name="_Toc184308063"/>
      <w:bookmarkEnd w:id="124"/>
      <w:bookmarkStart w:id="125" w:name="_Toc184312108"/>
      <w:bookmarkEnd w:id="125"/>
      <w:bookmarkStart w:id="126" w:name="_Toc184312106"/>
      <w:bookmarkEnd w:id="126"/>
      <w:bookmarkStart w:id="127" w:name="_Toc184313284"/>
      <w:bookmarkEnd w:id="127"/>
      <w:bookmarkStart w:id="128" w:name="_Toc184313238"/>
      <w:bookmarkEnd w:id="128"/>
      <w:bookmarkStart w:id="129" w:name="_Toc184314471"/>
      <w:bookmarkEnd w:id="129"/>
      <w:bookmarkStart w:id="130" w:name="_Toc184310287"/>
      <w:bookmarkEnd w:id="130"/>
      <w:bookmarkStart w:id="131" w:name="_Toc184310291"/>
      <w:bookmarkEnd w:id="131"/>
      <w:bookmarkStart w:id="132" w:name="_Toc184313246"/>
      <w:bookmarkEnd w:id="132"/>
      <w:bookmarkStart w:id="133" w:name="_Toc184314432"/>
      <w:bookmarkEnd w:id="133"/>
      <w:bookmarkStart w:id="134" w:name="_Toc184308053"/>
      <w:bookmarkEnd w:id="134"/>
      <w:bookmarkStart w:id="135" w:name="_Toc184308061"/>
      <w:bookmarkEnd w:id="135"/>
      <w:bookmarkStart w:id="136" w:name="_Toc184314444"/>
      <w:bookmarkEnd w:id="136"/>
      <w:bookmarkStart w:id="137" w:name="_Toc184310320"/>
      <w:bookmarkEnd w:id="137"/>
      <w:bookmarkStart w:id="138" w:name="_Toc184312120"/>
      <w:bookmarkEnd w:id="138"/>
      <w:bookmarkStart w:id="139" w:name="_Toc184313255"/>
      <w:bookmarkEnd w:id="139"/>
      <w:bookmarkStart w:id="140" w:name="_Toc184314414"/>
      <w:bookmarkEnd w:id="140"/>
      <w:bookmarkStart w:id="141" w:name="_Toc184313245"/>
      <w:bookmarkEnd w:id="141"/>
      <w:bookmarkStart w:id="142" w:name="_Toc184310332"/>
      <w:bookmarkEnd w:id="142"/>
      <w:bookmarkStart w:id="143" w:name="_Toc184312131"/>
      <w:bookmarkEnd w:id="143"/>
      <w:bookmarkStart w:id="144" w:name="_Toc184310295"/>
      <w:bookmarkEnd w:id="144"/>
      <w:bookmarkStart w:id="145" w:name="_Toc184308087"/>
      <w:bookmarkEnd w:id="145"/>
      <w:bookmarkStart w:id="146" w:name="_Toc184314472"/>
      <w:bookmarkEnd w:id="146"/>
      <w:bookmarkStart w:id="147" w:name="_Toc184314415"/>
      <w:bookmarkEnd w:id="147"/>
      <w:bookmarkStart w:id="148" w:name="_Toc184308062"/>
      <w:bookmarkEnd w:id="148"/>
      <w:bookmarkStart w:id="149" w:name="_Toc184312133"/>
      <w:bookmarkEnd w:id="149"/>
      <w:bookmarkStart w:id="150" w:name="_Toc184314437"/>
      <w:bookmarkEnd w:id="150"/>
      <w:bookmarkStart w:id="151" w:name="_Toc184313310"/>
      <w:bookmarkEnd w:id="151"/>
      <w:bookmarkStart w:id="152" w:name="_Toc184313297"/>
      <w:bookmarkEnd w:id="152"/>
      <w:bookmarkStart w:id="153" w:name="_Toc184312139"/>
      <w:bookmarkEnd w:id="153"/>
      <w:bookmarkStart w:id="154" w:name="_Toc184310318"/>
      <w:bookmarkEnd w:id="154"/>
      <w:bookmarkStart w:id="155" w:name="_Toc184308096"/>
      <w:bookmarkEnd w:id="155"/>
      <w:bookmarkStart w:id="156" w:name="_Toc184313271"/>
      <w:bookmarkEnd w:id="156"/>
      <w:bookmarkStart w:id="157" w:name="_Toc184312075"/>
      <w:bookmarkEnd w:id="157"/>
      <w:bookmarkStart w:id="158" w:name="_Toc184308072"/>
      <w:bookmarkEnd w:id="158"/>
      <w:bookmarkStart w:id="159" w:name="_Toc184312101"/>
      <w:bookmarkEnd w:id="159"/>
      <w:bookmarkStart w:id="160" w:name="_Toc184313302"/>
      <w:bookmarkEnd w:id="160"/>
      <w:bookmarkStart w:id="161" w:name="_Toc184308040"/>
      <w:bookmarkEnd w:id="161"/>
      <w:bookmarkStart w:id="162" w:name="_Toc184308079"/>
      <w:bookmarkEnd w:id="162"/>
      <w:bookmarkStart w:id="163" w:name="_Toc184313258"/>
      <w:bookmarkEnd w:id="163"/>
      <w:bookmarkStart w:id="164" w:name="_Toc184314458"/>
      <w:bookmarkEnd w:id="164"/>
      <w:bookmarkStart w:id="165" w:name="_Toc184310310"/>
      <w:bookmarkEnd w:id="165"/>
      <w:bookmarkStart w:id="166" w:name="_Toc184313279"/>
      <w:bookmarkEnd w:id="166"/>
      <w:bookmarkStart w:id="167" w:name="_Toc184308095"/>
      <w:bookmarkEnd w:id="167"/>
      <w:bookmarkStart w:id="168" w:name="_Toc184308106"/>
      <w:bookmarkEnd w:id="168"/>
      <w:bookmarkStart w:id="169" w:name="_Toc184310282"/>
      <w:bookmarkEnd w:id="169"/>
      <w:bookmarkStart w:id="170" w:name="_Toc184313280"/>
      <w:bookmarkEnd w:id="170"/>
      <w:bookmarkStart w:id="171" w:name="_Toc184310311"/>
      <w:bookmarkEnd w:id="171"/>
      <w:bookmarkStart w:id="172" w:name="_Toc184313294"/>
      <w:bookmarkEnd w:id="172"/>
      <w:bookmarkStart w:id="173" w:name="_Toc184310274"/>
      <w:bookmarkEnd w:id="173"/>
      <w:bookmarkStart w:id="174" w:name="_Toc184313289"/>
      <w:bookmarkEnd w:id="174"/>
      <w:bookmarkStart w:id="175" w:name="_Toc184312083"/>
      <w:bookmarkEnd w:id="175"/>
      <w:bookmarkStart w:id="176" w:name="_Toc184313278"/>
      <w:bookmarkEnd w:id="176"/>
      <w:bookmarkStart w:id="177" w:name="_Toc184313240"/>
      <w:bookmarkEnd w:id="177"/>
      <w:bookmarkStart w:id="178" w:name="_Toc184313265"/>
      <w:bookmarkEnd w:id="178"/>
      <w:bookmarkStart w:id="179" w:name="_Toc184313267"/>
      <w:bookmarkEnd w:id="179"/>
      <w:bookmarkStart w:id="180" w:name="_Toc184312088"/>
      <w:bookmarkEnd w:id="180"/>
      <w:bookmarkStart w:id="181" w:name="_Toc184313292"/>
      <w:bookmarkEnd w:id="181"/>
      <w:bookmarkStart w:id="182" w:name="_Toc184313270"/>
      <w:bookmarkEnd w:id="182"/>
      <w:bookmarkStart w:id="183" w:name="_Toc184312099"/>
      <w:bookmarkEnd w:id="183"/>
      <w:bookmarkStart w:id="184" w:name="_Toc184313247"/>
      <w:bookmarkEnd w:id="184"/>
      <w:bookmarkStart w:id="185" w:name="_Toc184310334"/>
      <w:bookmarkEnd w:id="185"/>
      <w:bookmarkStart w:id="186" w:name="_Toc184313253"/>
      <w:bookmarkEnd w:id="186"/>
      <w:bookmarkStart w:id="187" w:name="_Toc184310321"/>
      <w:bookmarkEnd w:id="187"/>
      <w:bookmarkStart w:id="188" w:name="_Toc184308056"/>
      <w:bookmarkEnd w:id="188"/>
      <w:bookmarkStart w:id="189" w:name="_Toc184313303"/>
      <w:bookmarkEnd w:id="189"/>
      <w:bookmarkStart w:id="190" w:name="_Toc184314438"/>
      <w:bookmarkEnd w:id="190"/>
      <w:bookmarkStart w:id="191" w:name="_Toc184312094"/>
      <w:bookmarkEnd w:id="191"/>
      <w:bookmarkStart w:id="192" w:name="_Toc184313309"/>
      <w:bookmarkEnd w:id="192"/>
      <w:bookmarkStart w:id="193" w:name="_Toc184314417"/>
      <w:bookmarkEnd w:id="193"/>
      <w:bookmarkStart w:id="194" w:name="_Toc184308078"/>
      <w:bookmarkEnd w:id="194"/>
      <w:bookmarkStart w:id="195" w:name="_Toc184313277"/>
      <w:bookmarkEnd w:id="195"/>
      <w:bookmarkStart w:id="196" w:name="_Toc184313239"/>
      <w:bookmarkEnd w:id="196"/>
      <w:bookmarkStart w:id="197" w:name="_Toc184312119"/>
      <w:bookmarkEnd w:id="197"/>
      <w:bookmarkStart w:id="198" w:name="_Toc184314451"/>
      <w:bookmarkEnd w:id="198"/>
      <w:bookmarkStart w:id="199" w:name="_Toc184312078"/>
      <w:bookmarkEnd w:id="199"/>
      <w:bookmarkStart w:id="200" w:name="_Toc184308039"/>
      <w:bookmarkEnd w:id="200"/>
      <w:bookmarkStart w:id="201" w:name="_Toc184310298"/>
      <w:bookmarkEnd w:id="201"/>
      <w:bookmarkStart w:id="202" w:name="_Toc184314468"/>
      <w:bookmarkEnd w:id="202"/>
      <w:bookmarkStart w:id="203" w:name="_Toc184310341"/>
      <w:bookmarkEnd w:id="203"/>
      <w:bookmarkStart w:id="204" w:name="_Toc184314480"/>
      <w:bookmarkEnd w:id="204"/>
      <w:bookmarkStart w:id="205" w:name="_Toc184310316"/>
      <w:bookmarkEnd w:id="205"/>
      <w:bookmarkStart w:id="206" w:name="_Toc184310327"/>
      <w:bookmarkEnd w:id="206"/>
      <w:bookmarkStart w:id="207" w:name="_Toc184313288"/>
      <w:bookmarkEnd w:id="207"/>
      <w:bookmarkStart w:id="208" w:name="_Toc184308083"/>
      <w:bookmarkEnd w:id="208"/>
      <w:bookmarkStart w:id="209" w:name="_Toc184310325"/>
      <w:bookmarkEnd w:id="209"/>
      <w:bookmarkStart w:id="210" w:name="_Toc184314479"/>
      <w:bookmarkEnd w:id="210"/>
      <w:bookmarkStart w:id="211" w:name="_Toc184310284"/>
      <w:bookmarkEnd w:id="211"/>
      <w:bookmarkStart w:id="212" w:name="_Toc184313261"/>
      <w:bookmarkEnd w:id="212"/>
      <w:bookmarkStart w:id="213" w:name="_Toc184312122"/>
      <w:bookmarkEnd w:id="213"/>
      <w:bookmarkStart w:id="214" w:name="_Toc184313244"/>
      <w:bookmarkEnd w:id="214"/>
      <w:bookmarkStart w:id="215" w:name="_Toc184310305"/>
      <w:bookmarkEnd w:id="215"/>
      <w:bookmarkStart w:id="216" w:name="_Toc184313260"/>
      <w:bookmarkEnd w:id="216"/>
      <w:bookmarkStart w:id="217" w:name="_Toc184308048"/>
      <w:bookmarkEnd w:id="217"/>
      <w:bookmarkStart w:id="218" w:name="_Toc184313242"/>
      <w:bookmarkEnd w:id="218"/>
      <w:bookmarkStart w:id="219" w:name="_Toc184310278"/>
      <w:bookmarkEnd w:id="219"/>
      <w:bookmarkStart w:id="220" w:name="_Toc184312135"/>
      <w:bookmarkEnd w:id="220"/>
      <w:bookmarkStart w:id="221" w:name="_Toc184312069"/>
      <w:bookmarkEnd w:id="221"/>
      <w:bookmarkStart w:id="222" w:name="_Toc184308082"/>
      <w:bookmarkEnd w:id="222"/>
      <w:bookmarkStart w:id="223" w:name="_Toc184310286"/>
      <w:bookmarkEnd w:id="223"/>
      <w:bookmarkStart w:id="224" w:name="_Toc184308098"/>
      <w:bookmarkEnd w:id="224"/>
      <w:bookmarkStart w:id="225" w:name="_Toc184310313"/>
      <w:bookmarkEnd w:id="225"/>
      <w:bookmarkStart w:id="226" w:name="_Toc184310339"/>
      <w:bookmarkEnd w:id="226"/>
      <w:bookmarkStart w:id="227" w:name="_Toc184310296"/>
      <w:bookmarkEnd w:id="227"/>
      <w:bookmarkStart w:id="228" w:name="_Toc184308055"/>
      <w:bookmarkEnd w:id="228"/>
      <w:bookmarkStart w:id="229" w:name="_Toc184314431"/>
      <w:bookmarkEnd w:id="229"/>
      <w:bookmarkStart w:id="230" w:name="_Toc184308104"/>
      <w:bookmarkEnd w:id="230"/>
      <w:bookmarkStart w:id="231" w:name="_Toc184313257"/>
      <w:bookmarkEnd w:id="231"/>
      <w:bookmarkStart w:id="232" w:name="_Toc184313293"/>
      <w:bookmarkEnd w:id="232"/>
      <w:bookmarkStart w:id="233" w:name="_Toc184312102"/>
      <w:bookmarkEnd w:id="233"/>
      <w:bookmarkStart w:id="234" w:name="_Toc184313307"/>
      <w:bookmarkEnd w:id="234"/>
      <w:bookmarkStart w:id="235" w:name="_Toc184313287"/>
      <w:bookmarkEnd w:id="235"/>
      <w:bookmarkStart w:id="236" w:name="_Toc184313243"/>
      <w:bookmarkEnd w:id="236"/>
      <w:bookmarkStart w:id="237" w:name="_Toc184314473"/>
      <w:bookmarkEnd w:id="237"/>
      <w:bookmarkStart w:id="238" w:name="_Toc184308054"/>
      <w:bookmarkEnd w:id="238"/>
      <w:bookmarkStart w:id="239" w:name="_Toc184308102"/>
      <w:bookmarkEnd w:id="239"/>
      <w:bookmarkStart w:id="240" w:name="_Toc184312107"/>
      <w:bookmarkEnd w:id="240"/>
      <w:bookmarkStart w:id="241" w:name="_Toc184308037"/>
      <w:bookmarkEnd w:id="241"/>
      <w:bookmarkStart w:id="242" w:name="_Toc184314447"/>
      <w:bookmarkEnd w:id="242"/>
      <w:bookmarkStart w:id="243" w:name="_Toc184313275"/>
      <w:bookmarkEnd w:id="243"/>
      <w:bookmarkStart w:id="244" w:name="_Toc184313249"/>
      <w:bookmarkEnd w:id="244"/>
      <w:bookmarkStart w:id="245" w:name="_Toc184310328"/>
      <w:bookmarkEnd w:id="245"/>
      <w:bookmarkStart w:id="246" w:name="_Toc184308080"/>
      <w:bookmarkEnd w:id="246"/>
      <w:bookmarkStart w:id="247" w:name="_Toc184312071"/>
      <w:bookmarkEnd w:id="247"/>
      <w:bookmarkStart w:id="248" w:name="_Toc184310292"/>
      <w:bookmarkEnd w:id="248"/>
      <w:bookmarkStart w:id="249" w:name="_Toc184314448"/>
      <w:bookmarkEnd w:id="249"/>
      <w:bookmarkStart w:id="250" w:name="_Toc184314419"/>
      <w:bookmarkEnd w:id="250"/>
      <w:bookmarkStart w:id="251" w:name="_Toc184308075"/>
      <w:bookmarkEnd w:id="251"/>
      <w:bookmarkStart w:id="252" w:name="_Toc184312109"/>
      <w:bookmarkEnd w:id="252"/>
      <w:bookmarkStart w:id="253" w:name="_Toc184314469"/>
      <w:bookmarkEnd w:id="253"/>
      <w:bookmarkStart w:id="254" w:name="_Toc184310338"/>
      <w:bookmarkEnd w:id="254"/>
      <w:bookmarkStart w:id="255" w:name="_Toc184308036"/>
      <w:bookmarkEnd w:id="255"/>
      <w:bookmarkStart w:id="256" w:name="_Toc184308058"/>
      <w:bookmarkEnd w:id="256"/>
      <w:bookmarkStart w:id="257" w:name="_Toc184312134"/>
      <w:bookmarkEnd w:id="257"/>
      <w:bookmarkStart w:id="258" w:name="_Toc184310312"/>
      <w:bookmarkEnd w:id="258"/>
      <w:bookmarkStart w:id="259" w:name="_Toc184313308"/>
      <w:bookmarkEnd w:id="259"/>
      <w:bookmarkStart w:id="260" w:name="_Toc184314428"/>
      <w:bookmarkEnd w:id="260"/>
      <w:bookmarkStart w:id="261" w:name="_Toc184308089"/>
      <w:bookmarkEnd w:id="261"/>
      <w:bookmarkStart w:id="262" w:name="_Toc184313276"/>
      <w:bookmarkEnd w:id="262"/>
      <w:bookmarkStart w:id="263" w:name="_Toc184308042"/>
      <w:bookmarkEnd w:id="263"/>
      <w:bookmarkStart w:id="264" w:name="_Toc184308084"/>
      <w:bookmarkEnd w:id="264"/>
      <w:bookmarkStart w:id="265" w:name="_Toc184312076"/>
      <w:bookmarkEnd w:id="265"/>
      <w:bookmarkStart w:id="266" w:name="_Toc184314462"/>
      <w:bookmarkEnd w:id="266"/>
      <w:bookmarkStart w:id="267" w:name="_Toc184312079"/>
      <w:bookmarkEnd w:id="267"/>
      <w:bookmarkStart w:id="268" w:name="_Toc184310277"/>
      <w:bookmarkEnd w:id="268"/>
      <w:bookmarkStart w:id="269" w:name="_Toc184314477"/>
      <w:bookmarkEnd w:id="269"/>
      <w:bookmarkStart w:id="270" w:name="_Toc184308045"/>
      <w:bookmarkEnd w:id="270"/>
      <w:bookmarkStart w:id="271" w:name="_Toc184312116"/>
      <w:bookmarkEnd w:id="271"/>
      <w:bookmarkStart w:id="272" w:name="_Toc184312128"/>
      <w:bookmarkEnd w:id="272"/>
      <w:bookmarkStart w:id="273" w:name="_Toc184308107"/>
      <w:bookmarkEnd w:id="273"/>
      <w:bookmarkStart w:id="274" w:name="_Toc184310344"/>
      <w:bookmarkEnd w:id="274"/>
      <w:bookmarkStart w:id="275" w:name="_Toc184312067"/>
      <w:bookmarkEnd w:id="275"/>
      <w:bookmarkStart w:id="276" w:name="_Toc184312111"/>
      <w:bookmarkEnd w:id="276"/>
      <w:bookmarkStart w:id="277" w:name="_Toc184310272"/>
      <w:bookmarkEnd w:id="277"/>
      <w:bookmarkStart w:id="278" w:name="_Toc184314455"/>
      <w:bookmarkEnd w:id="278"/>
      <w:bookmarkStart w:id="279" w:name="_Toc184312114"/>
      <w:bookmarkEnd w:id="279"/>
      <w:bookmarkStart w:id="280" w:name="_Toc184310275"/>
      <w:bookmarkEnd w:id="280"/>
      <w:bookmarkStart w:id="281" w:name="_Toc184313269"/>
      <w:bookmarkEnd w:id="281"/>
      <w:bookmarkStart w:id="282" w:name="_Toc184308086"/>
      <w:bookmarkEnd w:id="282"/>
      <w:bookmarkStart w:id="283" w:name="_Toc184308065"/>
      <w:bookmarkEnd w:id="283"/>
      <w:bookmarkStart w:id="284" w:name="_Toc184308057"/>
      <w:bookmarkEnd w:id="284"/>
      <w:bookmarkStart w:id="285" w:name="_Toc184314478"/>
      <w:bookmarkEnd w:id="285"/>
      <w:bookmarkStart w:id="286" w:name="_Toc184312096"/>
      <w:bookmarkEnd w:id="286"/>
      <w:bookmarkStart w:id="287" w:name="_Toc184310322"/>
      <w:bookmarkEnd w:id="287"/>
      <w:bookmarkStart w:id="288" w:name="_Toc184312137"/>
      <w:bookmarkEnd w:id="288"/>
      <w:bookmarkStart w:id="289" w:name="_Toc184312086"/>
      <w:bookmarkEnd w:id="289"/>
      <w:bookmarkStart w:id="290" w:name="_Toc184312095"/>
      <w:bookmarkEnd w:id="290"/>
      <w:bookmarkStart w:id="291" w:name="_Toc184314464"/>
      <w:bookmarkEnd w:id="291"/>
      <w:bookmarkStart w:id="292" w:name="_Toc184310303"/>
      <w:bookmarkEnd w:id="292"/>
      <w:bookmarkStart w:id="293" w:name="_Toc184310273"/>
      <w:bookmarkEnd w:id="293"/>
      <w:bookmarkStart w:id="294" w:name="_Toc184310288"/>
      <w:bookmarkEnd w:id="294"/>
      <w:bookmarkStart w:id="295" w:name="_Toc184314418"/>
      <w:bookmarkEnd w:id="295"/>
      <w:bookmarkStart w:id="296" w:name="_Toc184312117"/>
      <w:bookmarkEnd w:id="296"/>
      <w:bookmarkStart w:id="297" w:name="_Toc184312074"/>
      <w:bookmarkEnd w:id="297"/>
      <w:bookmarkStart w:id="298" w:name="_Toc184310283"/>
      <w:bookmarkEnd w:id="298"/>
      <w:bookmarkStart w:id="299" w:name="_Toc184310309"/>
      <w:bookmarkEnd w:id="299"/>
      <w:bookmarkStart w:id="300" w:name="_Toc184313296"/>
      <w:bookmarkEnd w:id="300"/>
      <w:bookmarkStart w:id="301" w:name="_Toc184314410"/>
      <w:bookmarkEnd w:id="301"/>
      <w:bookmarkStart w:id="302" w:name="_Toc184313274"/>
      <w:bookmarkEnd w:id="302"/>
      <w:bookmarkStart w:id="303" w:name="_Toc184308077"/>
      <w:bookmarkEnd w:id="303"/>
      <w:bookmarkStart w:id="304" w:name="_Toc184313300"/>
      <w:bookmarkEnd w:id="304"/>
      <w:bookmarkStart w:id="305" w:name="_Toc184314435"/>
      <w:bookmarkEnd w:id="305"/>
      <w:bookmarkStart w:id="306" w:name="_Toc184310276"/>
      <w:bookmarkEnd w:id="306"/>
      <w:bookmarkStart w:id="307" w:name="_Toc184310333"/>
      <w:bookmarkEnd w:id="307"/>
      <w:bookmarkStart w:id="308" w:name="_Toc184310330"/>
      <w:bookmarkEnd w:id="308"/>
      <w:bookmarkStart w:id="309" w:name="_Toc184312068"/>
      <w:bookmarkEnd w:id="309"/>
      <w:bookmarkStart w:id="310" w:name="_Toc184310340"/>
      <w:bookmarkEnd w:id="310"/>
      <w:bookmarkStart w:id="311" w:name="_Toc184308064"/>
      <w:bookmarkEnd w:id="311"/>
      <w:bookmarkStart w:id="312" w:name="_Toc184310342"/>
      <w:bookmarkEnd w:id="312"/>
      <w:bookmarkStart w:id="313" w:name="_Toc184310294"/>
      <w:bookmarkEnd w:id="313"/>
      <w:bookmarkStart w:id="314" w:name="_Toc184313298"/>
      <w:bookmarkEnd w:id="314"/>
      <w:bookmarkStart w:id="315" w:name="_Toc184310297"/>
      <w:bookmarkEnd w:id="315"/>
      <w:bookmarkStart w:id="316" w:name="_Toc184314430"/>
      <w:bookmarkEnd w:id="316"/>
      <w:bookmarkStart w:id="317" w:name="_Toc184308046"/>
      <w:bookmarkEnd w:id="317"/>
      <w:bookmarkStart w:id="318" w:name="_Toc184312110"/>
      <w:bookmarkEnd w:id="318"/>
      <w:bookmarkStart w:id="319" w:name="_Toc184312087"/>
      <w:bookmarkEnd w:id="319"/>
      <w:bookmarkStart w:id="320" w:name="_Toc184313266"/>
      <w:bookmarkEnd w:id="320"/>
      <w:bookmarkStart w:id="321" w:name="_Toc184313282"/>
      <w:bookmarkEnd w:id="321"/>
      <w:bookmarkStart w:id="322" w:name="_Toc184308041"/>
      <w:bookmarkEnd w:id="322"/>
      <w:bookmarkStart w:id="323" w:name="_Toc184312080"/>
      <w:bookmarkEnd w:id="323"/>
      <w:bookmarkStart w:id="324" w:name="_Toc184310308"/>
      <w:bookmarkEnd w:id="324"/>
      <w:bookmarkStart w:id="325" w:name="_Toc184310337"/>
      <w:bookmarkEnd w:id="325"/>
      <w:bookmarkStart w:id="326" w:name="_Toc184314459"/>
      <w:bookmarkEnd w:id="326"/>
      <w:bookmarkStart w:id="327" w:name="_Toc184314452"/>
      <w:bookmarkEnd w:id="327"/>
      <w:bookmarkStart w:id="328" w:name="_Toc184312138"/>
      <w:bookmarkEnd w:id="328"/>
      <w:bookmarkStart w:id="329" w:name="_Toc184308081"/>
      <w:bookmarkEnd w:id="329"/>
      <w:bookmarkStart w:id="330" w:name="_Toc184308076"/>
      <w:bookmarkEnd w:id="330"/>
      <w:bookmarkStart w:id="331" w:name="_Toc184310326"/>
      <w:bookmarkEnd w:id="331"/>
      <w:bookmarkStart w:id="332" w:name="_Toc184314450"/>
      <w:bookmarkEnd w:id="332"/>
      <w:bookmarkStart w:id="333" w:name="_Toc184314445"/>
      <w:bookmarkEnd w:id="333"/>
      <w:bookmarkStart w:id="334" w:name="_Toc184314411"/>
      <w:bookmarkEnd w:id="334"/>
      <w:bookmarkStart w:id="335" w:name="_Toc184310319"/>
      <w:bookmarkEnd w:id="335"/>
      <w:bookmarkStart w:id="336" w:name="_Toc184312097"/>
      <w:bookmarkEnd w:id="336"/>
      <w:bookmarkStart w:id="337" w:name="_Toc184312125"/>
      <w:bookmarkEnd w:id="337"/>
      <w:bookmarkStart w:id="338" w:name="_Toc184312115"/>
      <w:bookmarkEnd w:id="338"/>
      <w:bookmarkStart w:id="339" w:name="_Toc184308100"/>
      <w:bookmarkEnd w:id="339"/>
      <w:bookmarkStart w:id="340" w:name="_Toc184314429"/>
      <w:bookmarkEnd w:id="340"/>
      <w:bookmarkStart w:id="341" w:name="_Toc184310306"/>
      <w:bookmarkEnd w:id="341"/>
      <w:bookmarkStart w:id="342" w:name="_Toc184312089"/>
      <w:bookmarkEnd w:id="342"/>
      <w:bookmarkStart w:id="343" w:name="_Toc184308070"/>
      <w:bookmarkEnd w:id="343"/>
      <w:bookmarkStart w:id="344" w:name="_Toc184314453"/>
      <w:bookmarkEnd w:id="344"/>
      <w:bookmarkStart w:id="345" w:name="_Toc184310301"/>
      <w:bookmarkEnd w:id="345"/>
      <w:bookmarkStart w:id="346" w:name="_Toc184314413"/>
      <w:bookmarkEnd w:id="346"/>
      <w:bookmarkStart w:id="347" w:name="_Toc184310336"/>
      <w:bookmarkEnd w:id="347"/>
      <w:bookmarkStart w:id="348" w:name="_Toc184314423"/>
      <w:bookmarkEnd w:id="348"/>
      <w:bookmarkStart w:id="349" w:name="_Toc184310290"/>
      <w:bookmarkEnd w:id="349"/>
      <w:bookmarkStart w:id="350" w:name="_Toc184312113"/>
      <w:bookmarkEnd w:id="350"/>
      <w:bookmarkStart w:id="351" w:name="_Toc184314461"/>
      <w:bookmarkEnd w:id="351"/>
      <w:bookmarkStart w:id="352" w:name="_Toc184312077"/>
      <w:bookmarkEnd w:id="352"/>
      <w:bookmarkStart w:id="353" w:name="_Toc184313262"/>
      <w:bookmarkEnd w:id="353"/>
      <w:bookmarkStart w:id="354" w:name="_Toc184313251"/>
      <w:bookmarkEnd w:id="354"/>
      <w:bookmarkStart w:id="355" w:name="_Toc184312132"/>
      <w:bookmarkEnd w:id="355"/>
      <w:bookmarkStart w:id="356" w:name="_Toc184312105"/>
      <w:bookmarkEnd w:id="356"/>
      <w:bookmarkStart w:id="357" w:name="_Toc184313291"/>
      <w:bookmarkEnd w:id="357"/>
      <w:bookmarkStart w:id="358" w:name="_Toc184310335"/>
      <w:bookmarkEnd w:id="358"/>
      <w:bookmarkStart w:id="359" w:name="_Toc184308068"/>
      <w:bookmarkEnd w:id="359"/>
      <w:bookmarkStart w:id="360" w:name="_Toc184312091"/>
      <w:bookmarkEnd w:id="360"/>
      <w:bookmarkStart w:id="361" w:name="_Toc184308099"/>
      <w:bookmarkEnd w:id="361"/>
      <w:bookmarkStart w:id="362" w:name="_Toc184308101"/>
      <w:bookmarkEnd w:id="362"/>
      <w:bookmarkStart w:id="363" w:name="_Toc184314467"/>
      <w:bookmarkEnd w:id="363"/>
      <w:bookmarkStart w:id="364" w:name="_Toc184314463"/>
      <w:bookmarkEnd w:id="364"/>
      <w:bookmarkStart w:id="365" w:name="_Toc184310329"/>
      <w:bookmarkEnd w:id="365"/>
      <w:r>
        <w:rPr>
          <w:rFonts w:hint="eastAsia" w:cs="仿宋"/>
          <w:b/>
          <w:smallCaps/>
          <w:color w:val="auto"/>
          <w:spacing w:val="5"/>
          <w:sz w:val="36"/>
          <w:szCs w:val="36"/>
        </w:rPr>
        <w:t>评审办法</w:t>
      </w:r>
    </w:p>
    <w:p w14:paraId="2E7DE809">
      <w:pPr>
        <w:pStyle w:val="3"/>
        <w:keepNext w:val="0"/>
        <w:keepLines w:val="0"/>
        <w:pageBreakBefore w:val="0"/>
        <w:widowControl/>
        <w:kinsoku/>
        <w:wordWrap/>
        <w:overflowPunct/>
        <w:topLinePunct w:val="0"/>
        <w:autoSpaceDE/>
        <w:autoSpaceDN/>
        <w:bidi w:val="0"/>
        <w:adjustRightInd/>
        <w:snapToGrid/>
        <w:spacing w:line="240" w:lineRule="auto"/>
        <w:textAlignment w:val="auto"/>
        <w:rPr>
          <w:rFonts w:hint="default" w:eastAsia="仿宋" w:cs="仿宋"/>
          <w:color w:val="auto"/>
          <w:lang w:val="en-US" w:eastAsia="zh-CN"/>
        </w:rPr>
      </w:pPr>
      <w:r>
        <w:rPr>
          <w:rFonts w:hint="eastAsia" w:cs="仿宋"/>
          <w:color w:val="auto"/>
        </w:rPr>
        <w:t>评审办法前附表</w:t>
      </w:r>
      <w:r>
        <w:rPr>
          <w:rFonts w:hint="eastAsia" w:cs="仿宋"/>
          <w:color w:val="auto"/>
          <w:lang w:val="en-US" w:eastAsia="zh-CN"/>
        </w:rPr>
        <w:t xml:space="preserve">             </w:t>
      </w:r>
    </w:p>
    <w:tbl>
      <w:tblPr>
        <w:tblStyle w:val="32"/>
        <w:tblW w:w="9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9"/>
        <w:gridCol w:w="449"/>
        <w:gridCol w:w="1092"/>
        <w:gridCol w:w="4782"/>
        <w:gridCol w:w="899"/>
        <w:gridCol w:w="1081"/>
        <w:gridCol w:w="16"/>
      </w:tblGrid>
      <w:tr w14:paraId="768AB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467" w:hRule="atLeast"/>
          <w:jc w:val="center"/>
        </w:trPr>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14:paraId="69982686">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ascii="仿宋" w:hAnsi="仿宋" w:eastAsia="仿宋" w:cs="仿宋"/>
                <w:b w:val="0"/>
                <w:i w:val="0"/>
                <w:caps w:val="0"/>
                <w:color w:val="auto"/>
                <w:spacing w:val="0"/>
                <w:w w:val="100"/>
                <w:kern w:val="2"/>
                <w:sz w:val="24"/>
                <w:szCs w:val="24"/>
                <w:highlight w:val="none"/>
                <w:lang w:val="en-US" w:eastAsia="zh-CN" w:bidi="ar-SA"/>
              </w:rPr>
              <w:t>序号</w:t>
            </w:r>
          </w:p>
        </w:tc>
        <w:tc>
          <w:tcPr>
            <w:tcW w:w="5874" w:type="dxa"/>
            <w:gridSpan w:val="2"/>
            <w:tcBorders>
              <w:top w:val="single" w:color="000000" w:sz="4" w:space="0"/>
              <w:left w:val="single" w:color="000000" w:sz="4" w:space="0"/>
              <w:bottom w:val="single" w:color="000000" w:sz="4" w:space="0"/>
              <w:right w:val="single" w:color="000000" w:sz="4" w:space="0"/>
            </w:tcBorders>
            <w:noWrap w:val="0"/>
            <w:vAlign w:val="center"/>
          </w:tcPr>
          <w:p w14:paraId="4DAF0445">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ascii="仿宋" w:hAnsi="仿宋" w:eastAsia="仿宋" w:cs="仿宋"/>
                <w:b w:val="0"/>
                <w:i w:val="0"/>
                <w:caps w:val="0"/>
                <w:color w:val="auto"/>
                <w:spacing w:val="0"/>
                <w:w w:val="100"/>
                <w:kern w:val="2"/>
                <w:sz w:val="24"/>
                <w:szCs w:val="24"/>
                <w:highlight w:val="none"/>
                <w:lang w:val="en-US" w:eastAsia="zh-CN" w:bidi="ar-SA"/>
              </w:rPr>
              <w:t>评分内容和标准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585BF84">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ascii="仿宋" w:hAnsi="仿宋" w:eastAsia="仿宋" w:cs="仿宋"/>
                <w:b w:val="0"/>
                <w:i w:val="0"/>
                <w:caps w:val="0"/>
                <w:color w:val="auto"/>
                <w:spacing w:val="0"/>
                <w:w w:val="100"/>
                <w:kern w:val="2"/>
                <w:sz w:val="24"/>
                <w:szCs w:val="24"/>
                <w:highlight w:val="none"/>
                <w:lang w:val="en-US" w:eastAsia="zh-CN" w:bidi="ar-SA"/>
              </w:rPr>
              <w:t>权重</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C1AC7B4">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ascii="仿宋" w:hAnsi="仿宋" w:eastAsia="仿宋" w:cs="仿宋"/>
                <w:b w:val="0"/>
                <w:i w:val="0"/>
                <w:caps w:val="0"/>
                <w:color w:val="auto"/>
                <w:spacing w:val="0"/>
                <w:w w:val="100"/>
                <w:kern w:val="2"/>
                <w:sz w:val="24"/>
                <w:szCs w:val="24"/>
                <w:highlight w:val="none"/>
                <w:lang w:val="en-US" w:eastAsia="zh-CN" w:bidi="ar-SA"/>
              </w:rPr>
              <w:t>主观分/客观分</w:t>
            </w:r>
          </w:p>
        </w:tc>
      </w:tr>
      <w:tr w14:paraId="0AC35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156" w:hRule="atLeast"/>
          <w:jc w:val="center"/>
        </w:trPr>
        <w:tc>
          <w:tcPr>
            <w:tcW w:w="979" w:type="dxa"/>
            <w:vMerge w:val="restart"/>
            <w:tcBorders>
              <w:top w:val="single" w:color="000000" w:sz="4" w:space="0"/>
              <w:left w:val="single" w:color="000000" w:sz="4" w:space="0"/>
              <w:right w:val="single" w:color="000000" w:sz="4" w:space="0"/>
            </w:tcBorders>
            <w:noWrap w:val="0"/>
            <w:vAlign w:val="center"/>
          </w:tcPr>
          <w:p w14:paraId="7D822739">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ascii="仿宋" w:hAnsi="仿宋" w:eastAsia="仿宋" w:cs="仿宋"/>
                <w:b w:val="0"/>
                <w:i w:val="0"/>
                <w:caps w:val="0"/>
                <w:color w:val="auto"/>
                <w:spacing w:val="0"/>
                <w:w w:val="100"/>
                <w:kern w:val="2"/>
                <w:sz w:val="24"/>
                <w:szCs w:val="24"/>
                <w:highlight w:val="none"/>
                <w:lang w:val="en-US" w:eastAsia="zh-CN" w:bidi="ar-SA"/>
              </w:rPr>
              <w:t>商务分</w:t>
            </w:r>
          </w:p>
          <w:p w14:paraId="442A6269">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ascii="仿宋" w:hAnsi="仿宋" w:eastAsia="仿宋" w:cs="仿宋"/>
                <w:b w:val="0"/>
                <w:i w:val="0"/>
                <w:caps w:val="0"/>
                <w:color w:val="auto"/>
                <w:spacing w:val="0"/>
                <w:w w:val="100"/>
                <w:kern w:val="2"/>
                <w:sz w:val="24"/>
                <w:szCs w:val="24"/>
                <w:highlight w:val="none"/>
                <w:lang w:val="en-US" w:eastAsia="zh-CN" w:bidi="ar-SA"/>
              </w:rPr>
              <w:t>（5分）</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69E5E59A">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0"/>
                <w:sz w:val="24"/>
                <w:szCs w:val="24"/>
                <w:highlight w:val="none"/>
                <w:lang w:val="en-US" w:eastAsia="zh-CN" w:bidi="ar-SA"/>
              </w:rPr>
            </w:pPr>
            <w:r>
              <w:rPr>
                <w:rStyle w:val="96"/>
                <w:rFonts w:hint="eastAsia" w:ascii="仿宋" w:hAnsi="仿宋" w:eastAsia="仿宋" w:cs="仿宋"/>
                <w:b w:val="0"/>
                <w:i w:val="0"/>
                <w:caps w:val="0"/>
                <w:color w:val="auto"/>
                <w:spacing w:val="0"/>
                <w:w w:val="100"/>
                <w:kern w:val="0"/>
                <w:sz w:val="24"/>
                <w:szCs w:val="24"/>
                <w:highlight w:val="none"/>
                <w:lang w:val="en-US" w:eastAsia="zh-CN" w:bidi="ar-SA"/>
              </w:rPr>
              <w:t>1</w:t>
            </w:r>
          </w:p>
        </w:tc>
        <w:tc>
          <w:tcPr>
            <w:tcW w:w="5874" w:type="dxa"/>
            <w:gridSpan w:val="2"/>
            <w:tcBorders>
              <w:top w:val="single" w:color="000000" w:sz="4" w:space="0"/>
              <w:left w:val="single" w:color="000000" w:sz="4" w:space="0"/>
              <w:bottom w:val="single" w:color="000000" w:sz="4" w:space="0"/>
              <w:right w:val="single" w:color="000000" w:sz="4" w:space="0"/>
            </w:tcBorders>
            <w:noWrap w:val="0"/>
            <w:vAlign w:val="center"/>
          </w:tcPr>
          <w:p w14:paraId="323015D8">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480" w:firstLineChars="200"/>
              <w:jc w:val="left"/>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lang w:val="en-US" w:eastAsia="zh-CN"/>
              </w:rPr>
              <w:t>202</w:t>
            </w:r>
            <w:r>
              <w:rPr>
                <w:rFonts w:hint="eastAsia" w:cs="仿宋"/>
                <w:color w:val="auto"/>
                <w:sz w:val="24"/>
                <w:szCs w:val="24"/>
                <w:lang w:val="en-US" w:eastAsia="zh-CN"/>
              </w:rPr>
              <w:t>1</w:t>
            </w:r>
            <w:r>
              <w:rPr>
                <w:rFonts w:hint="eastAsia" w:ascii="仿宋" w:hAnsi="仿宋" w:eastAsia="仿宋" w:cs="仿宋"/>
                <w:color w:val="auto"/>
                <w:sz w:val="24"/>
                <w:szCs w:val="24"/>
              </w:rPr>
              <w:t>年</w:t>
            </w:r>
            <w:r>
              <w:rPr>
                <w:rFonts w:hint="eastAsia" w:cs="仿宋"/>
                <w:color w:val="auto"/>
                <w:sz w:val="24"/>
                <w:szCs w:val="24"/>
                <w:lang w:val="en-US" w:eastAsia="zh-CN"/>
              </w:rPr>
              <w:t>0</w:t>
            </w:r>
            <w:r>
              <w:rPr>
                <w:rFonts w:hint="eastAsia" w:ascii="仿宋" w:hAnsi="仿宋" w:eastAsia="仿宋" w:cs="仿宋"/>
                <w:color w:val="auto"/>
                <w:sz w:val="24"/>
                <w:szCs w:val="24"/>
              </w:rPr>
              <w:t>1月</w:t>
            </w:r>
            <w:r>
              <w:rPr>
                <w:rFonts w:hint="eastAsia" w:cs="仿宋"/>
                <w:color w:val="auto"/>
                <w:sz w:val="24"/>
                <w:szCs w:val="24"/>
                <w:lang w:val="en-US" w:eastAsia="zh-CN"/>
              </w:rPr>
              <w:t>0</w:t>
            </w:r>
            <w:r>
              <w:rPr>
                <w:rFonts w:hint="eastAsia" w:ascii="仿宋" w:hAnsi="仿宋" w:eastAsia="仿宋" w:cs="仿宋"/>
                <w:color w:val="auto"/>
                <w:sz w:val="24"/>
                <w:szCs w:val="24"/>
              </w:rPr>
              <w:t>1日（以合同签定时间为准）以来</w:t>
            </w:r>
            <w:r>
              <w:rPr>
                <w:rFonts w:hint="eastAsia" w:cs="仿宋"/>
                <w:color w:val="auto"/>
                <w:sz w:val="24"/>
                <w:szCs w:val="24"/>
                <w:lang w:val="en-US" w:eastAsia="zh-CN"/>
              </w:rPr>
              <w:t>类似</w:t>
            </w:r>
            <w:r>
              <w:rPr>
                <w:rFonts w:hint="eastAsia" w:ascii="仿宋" w:hAnsi="仿宋" w:eastAsia="仿宋" w:cs="仿宋"/>
                <w:color w:val="auto"/>
                <w:sz w:val="24"/>
                <w:szCs w:val="24"/>
              </w:rPr>
              <w:t>货物的销售合同，每提供1个合同复印件</w:t>
            </w:r>
            <w:r>
              <w:rPr>
                <w:rFonts w:hint="eastAsia" w:ascii="仿宋" w:hAnsi="仿宋" w:eastAsia="仿宋" w:cs="仿宋"/>
                <w:color w:val="auto"/>
                <w:sz w:val="24"/>
                <w:szCs w:val="24"/>
                <w:lang w:val="en-US" w:eastAsia="zh-CN"/>
              </w:rPr>
              <w:t>并加盖公章的</w:t>
            </w:r>
            <w:r>
              <w:rPr>
                <w:rFonts w:hint="eastAsia" w:ascii="仿宋" w:hAnsi="仿宋" w:eastAsia="仿宋" w:cs="仿宋"/>
                <w:color w:val="auto"/>
                <w:sz w:val="24"/>
                <w:szCs w:val="24"/>
              </w:rPr>
              <w:t>得1分，最高得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D5320B4">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ascii="仿宋" w:hAnsi="仿宋" w:eastAsia="仿宋" w:cs="仿宋"/>
                <w:b w:val="0"/>
                <w:i w:val="0"/>
                <w:caps w:val="0"/>
                <w:color w:val="auto"/>
                <w:spacing w:val="0"/>
                <w:w w:val="100"/>
                <w:kern w:val="2"/>
                <w:sz w:val="24"/>
                <w:szCs w:val="24"/>
                <w:highlight w:val="none"/>
                <w:lang w:val="en-US" w:eastAsia="zh-CN" w:bidi="ar-SA"/>
              </w:rPr>
              <w:t>3</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78E4C7A">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ascii="仿宋" w:hAnsi="仿宋" w:eastAsia="仿宋" w:cs="仿宋"/>
                <w:b w:val="0"/>
                <w:i w:val="0"/>
                <w:caps w:val="0"/>
                <w:color w:val="auto"/>
                <w:spacing w:val="0"/>
                <w:w w:val="100"/>
                <w:kern w:val="2"/>
                <w:sz w:val="24"/>
                <w:szCs w:val="24"/>
                <w:highlight w:val="none"/>
                <w:lang w:val="en-US" w:eastAsia="zh-CN" w:bidi="ar-SA"/>
              </w:rPr>
              <w:t>客观分</w:t>
            </w:r>
          </w:p>
        </w:tc>
      </w:tr>
      <w:tr w14:paraId="16B19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156" w:hRule="atLeast"/>
          <w:jc w:val="center"/>
        </w:trPr>
        <w:tc>
          <w:tcPr>
            <w:tcW w:w="979" w:type="dxa"/>
            <w:vMerge w:val="continue"/>
            <w:tcBorders>
              <w:left w:val="single" w:color="000000" w:sz="4" w:space="0"/>
              <w:right w:val="single" w:color="000000" w:sz="4" w:space="0"/>
            </w:tcBorders>
            <w:noWrap w:val="0"/>
            <w:vAlign w:val="center"/>
          </w:tcPr>
          <w:p w14:paraId="24AA06AD">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2E6182AD">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0"/>
                <w:sz w:val="24"/>
                <w:szCs w:val="24"/>
                <w:highlight w:val="none"/>
                <w:lang w:val="en-US" w:eastAsia="zh-CN" w:bidi="ar-SA"/>
              </w:rPr>
            </w:pPr>
            <w:r>
              <w:rPr>
                <w:rStyle w:val="96"/>
                <w:rFonts w:hint="eastAsia" w:ascii="仿宋" w:hAnsi="仿宋" w:eastAsia="仿宋" w:cs="仿宋"/>
                <w:b w:val="0"/>
                <w:i w:val="0"/>
                <w:caps w:val="0"/>
                <w:color w:val="auto"/>
                <w:spacing w:val="0"/>
                <w:w w:val="100"/>
                <w:kern w:val="0"/>
                <w:sz w:val="24"/>
                <w:szCs w:val="24"/>
                <w:highlight w:val="none"/>
                <w:lang w:val="en-US" w:eastAsia="zh-CN" w:bidi="ar-SA"/>
              </w:rPr>
              <w:t>2</w:t>
            </w:r>
          </w:p>
        </w:tc>
        <w:tc>
          <w:tcPr>
            <w:tcW w:w="5874" w:type="dxa"/>
            <w:gridSpan w:val="2"/>
            <w:tcBorders>
              <w:top w:val="single" w:color="000000" w:sz="4" w:space="0"/>
              <w:left w:val="single" w:color="000000" w:sz="4" w:space="0"/>
              <w:bottom w:val="single" w:color="000000" w:sz="4" w:space="0"/>
              <w:right w:val="single" w:color="000000" w:sz="4" w:space="0"/>
            </w:tcBorders>
            <w:noWrap w:val="0"/>
            <w:vAlign w:val="center"/>
          </w:tcPr>
          <w:p w14:paraId="3AE5E28D">
            <w:pPr>
              <w:keepNext w:val="0"/>
              <w:keepLines w:val="0"/>
              <w:pageBreakBefore w:val="0"/>
              <w:widowControl/>
              <w:kinsoku/>
              <w:wordWrap/>
              <w:overflowPunct/>
              <w:topLinePunct w:val="0"/>
              <w:autoSpaceDE/>
              <w:autoSpaceDN/>
              <w:bidi w:val="0"/>
              <w:snapToGrid/>
              <w:spacing w:after="0"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具有ISO9001质量管理体系认证证书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shd w:val="clear"/>
              </w:rPr>
              <w:t>ISO14001环境管理体系认证</w:t>
            </w:r>
            <w:r>
              <w:rPr>
                <w:rFonts w:hint="eastAsia" w:ascii="仿宋" w:hAnsi="仿宋" w:eastAsia="仿宋" w:cs="仿宋"/>
                <w:color w:val="auto"/>
                <w:sz w:val="24"/>
                <w:szCs w:val="24"/>
                <w:highlight w:val="none"/>
                <w:shd w:val="clear"/>
                <w:lang w:eastAsia="zh-CN"/>
              </w:rPr>
              <w:t>，</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提供1个</w:t>
            </w:r>
            <w:r>
              <w:rPr>
                <w:rFonts w:hint="eastAsia" w:ascii="仿宋" w:hAnsi="仿宋" w:eastAsia="仿宋" w:cs="仿宋"/>
                <w:color w:val="auto"/>
                <w:sz w:val="24"/>
                <w:szCs w:val="24"/>
                <w:highlight w:val="none"/>
              </w:rPr>
              <w:t>得1分，</w:t>
            </w:r>
            <w:r>
              <w:rPr>
                <w:rFonts w:hint="eastAsia" w:ascii="仿宋" w:hAnsi="仿宋" w:eastAsia="仿宋" w:cs="仿宋"/>
                <w:color w:val="auto"/>
                <w:sz w:val="24"/>
                <w:szCs w:val="24"/>
                <w:highlight w:val="none"/>
                <w:lang w:val="en-US" w:eastAsia="zh-CN"/>
              </w:rPr>
              <w:t>最高得2</w:t>
            </w:r>
            <w:r>
              <w:rPr>
                <w:rFonts w:hint="eastAsia" w:ascii="仿宋" w:hAnsi="仿宋" w:eastAsia="仿宋" w:cs="仿宋"/>
                <w:color w:val="auto"/>
                <w:sz w:val="24"/>
                <w:szCs w:val="24"/>
                <w:highlight w:val="none"/>
              </w:rPr>
              <w:t>分。</w:t>
            </w:r>
          </w:p>
          <w:p w14:paraId="73D6932A">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ind w:firstLine="480" w:firstLineChars="20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highlight w:val="none"/>
              </w:rPr>
              <w:t>须提供有效期内的证书复印件并加盖公章，提供得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分，未提供的不得分。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6E71AC0">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ascii="仿宋" w:hAnsi="仿宋" w:eastAsia="仿宋" w:cs="仿宋"/>
                <w:b w:val="0"/>
                <w:i w:val="0"/>
                <w:caps w:val="0"/>
                <w:color w:val="auto"/>
                <w:spacing w:val="0"/>
                <w:w w:val="100"/>
                <w:kern w:val="2"/>
                <w:sz w:val="24"/>
                <w:szCs w:val="24"/>
                <w:highlight w:val="none"/>
                <w:lang w:val="en-US" w:eastAsia="zh-CN" w:bidi="ar-SA"/>
              </w:rPr>
              <w:t>2</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413D2E1">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ascii="仿宋" w:hAnsi="仿宋" w:eastAsia="仿宋" w:cs="仿宋"/>
                <w:b w:val="0"/>
                <w:i w:val="0"/>
                <w:caps w:val="0"/>
                <w:color w:val="auto"/>
                <w:spacing w:val="0"/>
                <w:w w:val="100"/>
                <w:kern w:val="2"/>
                <w:sz w:val="24"/>
                <w:szCs w:val="24"/>
                <w:highlight w:val="none"/>
                <w:lang w:val="en-US" w:eastAsia="zh-CN" w:bidi="ar-SA"/>
              </w:rPr>
              <w:t>客观分</w:t>
            </w:r>
          </w:p>
        </w:tc>
      </w:tr>
      <w:tr w14:paraId="6D0E5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707" w:hRule="atLeast"/>
          <w:jc w:val="center"/>
        </w:trPr>
        <w:tc>
          <w:tcPr>
            <w:tcW w:w="979" w:type="dxa"/>
            <w:vMerge w:val="restart"/>
            <w:tcBorders>
              <w:top w:val="single" w:color="000000" w:sz="4" w:space="0"/>
              <w:left w:val="single" w:color="000000" w:sz="4" w:space="0"/>
              <w:right w:val="single" w:color="000000" w:sz="4" w:space="0"/>
            </w:tcBorders>
            <w:noWrap w:val="0"/>
            <w:vAlign w:val="center"/>
          </w:tcPr>
          <w:p w14:paraId="000C0863">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ascii="仿宋" w:hAnsi="仿宋" w:eastAsia="仿宋" w:cs="仿宋"/>
                <w:b w:val="0"/>
                <w:i w:val="0"/>
                <w:caps w:val="0"/>
                <w:color w:val="auto"/>
                <w:spacing w:val="0"/>
                <w:w w:val="100"/>
                <w:kern w:val="2"/>
                <w:sz w:val="24"/>
                <w:szCs w:val="24"/>
                <w:highlight w:val="none"/>
                <w:lang w:val="en-US" w:eastAsia="zh-CN" w:bidi="ar-SA"/>
              </w:rPr>
              <w:t>技术分（65分）</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02525C81">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0"/>
                <w:sz w:val="24"/>
                <w:szCs w:val="24"/>
                <w:highlight w:val="none"/>
                <w:lang w:val="en-US" w:eastAsia="zh-CN" w:bidi="ar-SA"/>
              </w:rPr>
            </w:pPr>
            <w:r>
              <w:rPr>
                <w:rStyle w:val="96"/>
                <w:rFonts w:hint="eastAsia" w:ascii="仿宋" w:hAnsi="仿宋" w:eastAsia="仿宋" w:cs="仿宋"/>
                <w:b w:val="0"/>
                <w:i w:val="0"/>
                <w:caps w:val="0"/>
                <w:color w:val="auto"/>
                <w:spacing w:val="0"/>
                <w:w w:val="100"/>
                <w:kern w:val="0"/>
                <w:sz w:val="24"/>
                <w:szCs w:val="24"/>
                <w:highlight w:val="none"/>
                <w:lang w:val="en-US" w:eastAsia="zh-CN" w:bidi="ar-SA"/>
              </w:rPr>
              <w:t>3</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0EFE409">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CN"/>
              </w:rPr>
              <w:t>参数</w:t>
            </w:r>
            <w:r>
              <w:rPr>
                <w:rFonts w:hint="eastAsia" w:ascii="仿宋" w:hAnsi="仿宋" w:eastAsia="仿宋" w:cs="仿宋"/>
                <w:color w:val="auto"/>
                <w:sz w:val="24"/>
                <w:szCs w:val="24"/>
                <w:highlight w:val="none"/>
              </w:rPr>
              <w:t>符合度</w:t>
            </w:r>
          </w:p>
        </w:tc>
        <w:tc>
          <w:tcPr>
            <w:tcW w:w="4782" w:type="dxa"/>
            <w:tcBorders>
              <w:top w:val="single" w:color="000000" w:sz="4" w:space="0"/>
              <w:left w:val="single" w:color="000000" w:sz="4" w:space="0"/>
              <w:bottom w:val="single" w:color="000000" w:sz="4" w:space="0"/>
              <w:right w:val="single" w:color="000000" w:sz="4" w:space="0"/>
            </w:tcBorders>
            <w:noWrap w:val="0"/>
            <w:vAlign w:val="center"/>
          </w:tcPr>
          <w:p w14:paraId="6D24AE78">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对应于采购文件第</w:t>
            </w:r>
            <w:r>
              <w:rPr>
                <w:rFonts w:hint="eastAsia" w:ascii="仿宋" w:hAnsi="仿宋" w:eastAsia="仿宋" w:cs="仿宋"/>
                <w:color w:val="auto"/>
                <w:sz w:val="24"/>
                <w:szCs w:val="24"/>
                <w:highlight w:val="none"/>
                <w:lang w:val="en-US" w:eastAsia="zh-CN"/>
              </w:rPr>
              <w:t>三部分</w:t>
            </w:r>
            <w:r>
              <w:rPr>
                <w:rFonts w:hint="eastAsia" w:ascii="仿宋" w:hAnsi="仿宋" w:eastAsia="仿宋" w:cs="仿宋"/>
                <w:color w:val="auto"/>
                <w:sz w:val="24"/>
                <w:szCs w:val="24"/>
                <w:highlight w:val="none"/>
              </w:rPr>
              <w:t>“采购需求”中“技术要求”符合度，每一条不满足采购文件要求扣</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，扣完为止；标注△重要技术指标低于</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lang w:eastAsia="zh-CN"/>
              </w:rPr>
              <w:t>要求(负偏离)的，每处扣</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分，扣完为止。</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D5D39E4">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ascii="仿宋" w:hAnsi="仿宋" w:eastAsia="仿宋" w:cs="仿宋"/>
                <w:b w:val="0"/>
                <w:i w:val="0"/>
                <w:caps w:val="0"/>
                <w:color w:val="auto"/>
                <w:spacing w:val="0"/>
                <w:w w:val="100"/>
                <w:kern w:val="2"/>
                <w:sz w:val="24"/>
                <w:szCs w:val="24"/>
                <w:highlight w:val="none"/>
                <w:lang w:val="en-US" w:eastAsia="zh-CN" w:bidi="ar-SA"/>
              </w:rPr>
              <w:t>30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A73D983">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ascii="仿宋" w:hAnsi="仿宋" w:eastAsia="仿宋" w:cs="仿宋"/>
                <w:b w:val="0"/>
                <w:i w:val="0"/>
                <w:caps w:val="0"/>
                <w:color w:val="auto"/>
                <w:spacing w:val="0"/>
                <w:w w:val="100"/>
                <w:kern w:val="2"/>
                <w:sz w:val="24"/>
                <w:szCs w:val="24"/>
                <w:highlight w:val="none"/>
                <w:lang w:val="en-US" w:eastAsia="zh-CN" w:bidi="ar-SA"/>
              </w:rPr>
              <w:t>客观分</w:t>
            </w:r>
          </w:p>
        </w:tc>
      </w:tr>
      <w:tr w14:paraId="3BEB2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715" w:hRule="atLeast"/>
          <w:jc w:val="center"/>
        </w:trPr>
        <w:tc>
          <w:tcPr>
            <w:tcW w:w="979" w:type="dxa"/>
            <w:vMerge w:val="continue"/>
            <w:tcBorders>
              <w:left w:val="single" w:color="000000" w:sz="4" w:space="0"/>
              <w:right w:val="single" w:color="000000" w:sz="4" w:space="0"/>
            </w:tcBorders>
            <w:noWrap w:val="0"/>
            <w:vAlign w:val="center"/>
          </w:tcPr>
          <w:p w14:paraId="29CBD2E6">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527AFD54">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0"/>
                <w:sz w:val="24"/>
                <w:szCs w:val="24"/>
                <w:highlight w:val="none"/>
                <w:lang w:val="en-US" w:eastAsia="zh-CN" w:bidi="ar-SA"/>
              </w:rPr>
            </w:pPr>
            <w:r>
              <w:rPr>
                <w:rStyle w:val="96"/>
                <w:rFonts w:hint="eastAsia" w:ascii="仿宋" w:hAnsi="仿宋" w:eastAsia="仿宋" w:cs="仿宋"/>
                <w:b w:val="0"/>
                <w:i w:val="0"/>
                <w:caps w:val="0"/>
                <w:color w:val="auto"/>
                <w:spacing w:val="0"/>
                <w:w w:val="100"/>
                <w:kern w:val="0"/>
                <w:sz w:val="24"/>
                <w:szCs w:val="24"/>
                <w:highlight w:val="none"/>
                <w:lang w:val="en-US" w:eastAsia="zh-CN" w:bidi="ar-SA"/>
              </w:rPr>
              <w:t>4</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953468C">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4782" w:type="dxa"/>
            <w:tcBorders>
              <w:top w:val="single" w:color="000000" w:sz="4" w:space="0"/>
              <w:left w:val="single" w:color="000000" w:sz="4" w:space="0"/>
              <w:bottom w:val="single" w:color="000000" w:sz="4" w:space="0"/>
              <w:right w:val="single" w:color="000000" w:sz="4" w:space="0"/>
            </w:tcBorders>
            <w:noWrap w:val="0"/>
            <w:vAlign w:val="center"/>
          </w:tcPr>
          <w:p w14:paraId="14A3A8D3">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质保期在满足采购文件的基础上每增加1年加</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分，最多加</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8E19620">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cs="仿宋"/>
                <w:b w:val="0"/>
                <w:i w:val="0"/>
                <w:caps w:val="0"/>
                <w:color w:val="auto"/>
                <w:spacing w:val="0"/>
                <w:w w:val="100"/>
                <w:kern w:val="2"/>
                <w:sz w:val="24"/>
                <w:szCs w:val="24"/>
                <w:highlight w:val="none"/>
                <w:lang w:val="en-US" w:eastAsia="zh-CN" w:bidi="ar-SA"/>
              </w:rPr>
              <w:t>3</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8D71B85">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r>
              <w:rPr>
                <w:rStyle w:val="96"/>
                <w:rFonts w:hint="eastAsia" w:ascii="仿宋" w:hAnsi="仿宋" w:eastAsia="仿宋" w:cs="仿宋"/>
                <w:b w:val="0"/>
                <w:i w:val="0"/>
                <w:caps w:val="0"/>
                <w:color w:val="auto"/>
                <w:spacing w:val="0"/>
                <w:w w:val="100"/>
                <w:kern w:val="2"/>
                <w:sz w:val="24"/>
                <w:szCs w:val="24"/>
                <w:highlight w:val="none"/>
                <w:lang w:val="en-US" w:eastAsia="zh-CN" w:bidi="ar-SA"/>
              </w:rPr>
              <w:t>客观分</w:t>
            </w:r>
          </w:p>
        </w:tc>
      </w:tr>
      <w:tr w14:paraId="21041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79" w:type="dxa"/>
            <w:vMerge w:val="continue"/>
            <w:tcBorders>
              <w:left w:val="single" w:color="000000" w:sz="4" w:space="0"/>
              <w:right w:val="single" w:color="000000" w:sz="4" w:space="0"/>
            </w:tcBorders>
            <w:shd w:val="clear" w:color="auto" w:fill="auto"/>
            <w:noWrap w:val="0"/>
            <w:vAlign w:val="center"/>
          </w:tcPr>
          <w:p w14:paraId="675328F9">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top w:val="single" w:color="000000" w:sz="4" w:space="0"/>
              <w:left w:val="single" w:color="000000" w:sz="4" w:space="0"/>
              <w:right w:val="single" w:color="000000" w:sz="4" w:space="0"/>
            </w:tcBorders>
            <w:shd w:val="clear" w:color="auto" w:fill="auto"/>
            <w:noWrap w:val="0"/>
            <w:vAlign w:val="center"/>
          </w:tcPr>
          <w:p w14:paraId="367F350D">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0"/>
                <w:sz w:val="24"/>
                <w:szCs w:val="24"/>
                <w:highlight w:val="none"/>
                <w:lang w:val="en-US" w:eastAsia="zh-CN" w:bidi="ar-SA"/>
              </w:rPr>
            </w:pPr>
            <w:r>
              <w:rPr>
                <w:rStyle w:val="96"/>
                <w:rFonts w:hint="eastAsia" w:ascii="仿宋" w:hAnsi="仿宋" w:eastAsia="仿宋" w:cs="仿宋"/>
                <w:b w:val="0"/>
                <w:i w:val="0"/>
                <w:caps w:val="0"/>
                <w:color w:val="auto"/>
                <w:spacing w:val="0"/>
                <w:w w:val="100"/>
                <w:kern w:val="0"/>
                <w:sz w:val="24"/>
                <w:szCs w:val="24"/>
                <w:highlight w:val="none"/>
                <w:lang w:val="en-US" w:eastAsia="zh-CN" w:bidi="ar-SA"/>
              </w:rPr>
              <w:t>5</w:t>
            </w:r>
          </w:p>
        </w:tc>
        <w:tc>
          <w:tcPr>
            <w:tcW w:w="1092" w:type="dxa"/>
            <w:tcBorders>
              <w:top w:val="single" w:color="000000" w:sz="4" w:space="0"/>
              <w:left w:val="single" w:color="000000" w:sz="4" w:space="0"/>
              <w:right w:val="single" w:color="000000" w:sz="4" w:space="0"/>
            </w:tcBorders>
            <w:shd w:val="clear" w:color="auto" w:fill="FFFFFF"/>
            <w:noWrap w:val="0"/>
            <w:vAlign w:val="center"/>
          </w:tcPr>
          <w:p w14:paraId="7E387672">
            <w:pPr>
              <w:pStyle w:val="16"/>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bidi="ar-SA"/>
              </w:rPr>
              <w:t>技术性能</w:t>
            </w:r>
          </w:p>
        </w:tc>
        <w:tc>
          <w:tcPr>
            <w:tcW w:w="4782" w:type="dxa"/>
            <w:tcBorders>
              <w:top w:val="single" w:color="000000" w:sz="4" w:space="0"/>
              <w:left w:val="single" w:color="000000" w:sz="4" w:space="0"/>
              <w:right w:val="single" w:color="000000" w:sz="4" w:space="0"/>
            </w:tcBorders>
            <w:shd w:val="clear" w:color="auto" w:fill="FFFFFF"/>
            <w:noWrap w:val="0"/>
            <w:vAlign w:val="center"/>
          </w:tcPr>
          <w:p w14:paraId="48C5E6E2">
            <w:pPr>
              <w:pStyle w:val="16"/>
              <w:keepNext w:val="0"/>
              <w:keepLines w:val="0"/>
              <w:pageBreakBefore w:val="0"/>
              <w:kinsoku/>
              <w:wordWrap/>
              <w:overflowPunct/>
              <w:topLinePunct w:val="0"/>
              <w:autoSpaceDE/>
              <w:autoSpaceDN/>
              <w:bidi w:val="0"/>
              <w:adjustRightInd w:val="0"/>
              <w:snapToGrid/>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所投货物技术性能先进程度、在临床使用效果评分。技术性能先进充分满足临床要求且优化的得5分，技术性能较先进满足临床要求得4分；技术性能略有瑕疵基本满足临床要求的得3分；技术性能一般可以满足临床要求的得2分；技术性能不能完全满足临床要求的得1分；存在较大的缺陷、技术性能与临床要求差距较大的得0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60A139BE">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4D7106AE">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主观分</w:t>
            </w:r>
          </w:p>
        </w:tc>
      </w:tr>
      <w:tr w14:paraId="5DB89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979" w:type="dxa"/>
            <w:vMerge w:val="continue"/>
            <w:tcBorders>
              <w:left w:val="single" w:color="000000" w:sz="4" w:space="0"/>
              <w:right w:val="single" w:color="000000" w:sz="4" w:space="0"/>
            </w:tcBorders>
            <w:shd w:val="clear" w:color="auto" w:fill="auto"/>
            <w:noWrap w:val="0"/>
            <w:vAlign w:val="center"/>
          </w:tcPr>
          <w:p w14:paraId="324CD8DC">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top w:val="single" w:color="000000" w:sz="4" w:space="0"/>
              <w:left w:val="single" w:color="000000" w:sz="4" w:space="0"/>
              <w:right w:val="single" w:color="000000" w:sz="4" w:space="0"/>
            </w:tcBorders>
            <w:shd w:val="clear" w:color="auto" w:fill="auto"/>
            <w:noWrap w:val="0"/>
            <w:vAlign w:val="center"/>
          </w:tcPr>
          <w:p w14:paraId="6E5C524F">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0"/>
                <w:sz w:val="24"/>
                <w:szCs w:val="24"/>
                <w:highlight w:val="none"/>
                <w:lang w:val="en-US" w:eastAsia="zh-CN" w:bidi="ar-SA"/>
              </w:rPr>
            </w:pPr>
            <w:r>
              <w:rPr>
                <w:rStyle w:val="96"/>
                <w:rFonts w:hint="eastAsia" w:ascii="仿宋" w:hAnsi="仿宋" w:eastAsia="仿宋" w:cs="仿宋"/>
                <w:b w:val="0"/>
                <w:i w:val="0"/>
                <w:caps w:val="0"/>
                <w:color w:val="auto"/>
                <w:spacing w:val="0"/>
                <w:w w:val="100"/>
                <w:kern w:val="0"/>
                <w:sz w:val="24"/>
                <w:szCs w:val="24"/>
                <w:highlight w:val="none"/>
                <w:lang w:val="en-US" w:eastAsia="zh-CN" w:bidi="ar-SA"/>
              </w:rPr>
              <w:t>6</w:t>
            </w:r>
          </w:p>
        </w:tc>
        <w:tc>
          <w:tcPr>
            <w:tcW w:w="1092" w:type="dxa"/>
            <w:tcBorders>
              <w:top w:val="single" w:color="000000" w:sz="4" w:space="0"/>
              <w:left w:val="single" w:color="000000" w:sz="4" w:space="0"/>
              <w:right w:val="single" w:color="000000" w:sz="4" w:space="0"/>
            </w:tcBorders>
            <w:shd w:val="clear" w:color="auto" w:fill="FFFFFF"/>
            <w:noWrap w:val="0"/>
            <w:vAlign w:val="center"/>
          </w:tcPr>
          <w:p w14:paraId="4834CBFC">
            <w:pPr>
              <w:pStyle w:val="16"/>
              <w:keepNext w:val="0"/>
              <w:keepLines w:val="0"/>
              <w:pageBreakBefore w:val="0"/>
              <w:kinsoku/>
              <w:wordWrap/>
              <w:overflowPunct/>
              <w:topLinePunct w:val="0"/>
              <w:autoSpaceDE/>
              <w:autoSpaceDN/>
              <w:bidi w:val="0"/>
              <w:adjustRightInd w:val="0"/>
              <w:snapToGrid/>
              <w:spacing w:line="360" w:lineRule="auto"/>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运行成本</w:t>
            </w:r>
          </w:p>
        </w:tc>
        <w:tc>
          <w:tcPr>
            <w:tcW w:w="4782" w:type="dxa"/>
            <w:tcBorders>
              <w:top w:val="single" w:color="000000" w:sz="4" w:space="0"/>
              <w:left w:val="single" w:color="000000" w:sz="4" w:space="0"/>
              <w:right w:val="single" w:color="000000" w:sz="4" w:space="0"/>
            </w:tcBorders>
            <w:shd w:val="clear" w:color="auto" w:fill="FFFFFF"/>
            <w:noWrap w:val="0"/>
            <w:vAlign w:val="center"/>
          </w:tcPr>
          <w:p w14:paraId="3C1581FA">
            <w:pPr>
              <w:pStyle w:val="16"/>
              <w:keepNext w:val="0"/>
              <w:keepLines w:val="0"/>
              <w:pageBreakBefore w:val="0"/>
              <w:kinsoku/>
              <w:wordWrap/>
              <w:overflowPunct/>
              <w:topLinePunct w:val="0"/>
              <w:autoSpaceDE/>
              <w:autoSpaceDN/>
              <w:bidi w:val="0"/>
              <w:adjustRightInd w:val="0"/>
              <w:snapToGrid/>
              <w:spacing w:line="36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消耗品或易耗品价格，评委根据消耗品或易耗品价格给分：报价合理运行成本低得5分；报价和成本较合理得3分，报价不合理运行成本高1分，无报价得0分。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26D8D55">
            <w:pPr>
              <w:keepNext w:val="0"/>
              <w:keepLines w:val="0"/>
              <w:pageBreakBefore w:val="0"/>
              <w:widowControl/>
              <w:kinsoku/>
              <w:wordWrap/>
              <w:overflowPunct/>
              <w:topLinePunct w:val="0"/>
              <w:autoSpaceDE/>
              <w:autoSpaceDN/>
              <w:bidi w:val="0"/>
              <w:adjustRightInd w:val="0"/>
              <w:snapToGrid/>
              <w:spacing w:line="360" w:lineRule="auto"/>
              <w:jc w:val="center"/>
              <w:rPr>
                <w:rFonts w:hint="default" w:ascii="仿宋" w:hAnsi="仿宋" w:eastAsia="仿宋" w:cs="仿宋"/>
                <w:color w:val="auto"/>
                <w:sz w:val="24"/>
                <w:szCs w:val="24"/>
                <w:lang w:val="en-US" w:eastAsia="zh-CN"/>
              </w:rPr>
            </w:pPr>
            <w:r>
              <w:rPr>
                <w:rFonts w:hint="eastAsia" w:cs="仿宋"/>
                <w:color w:val="auto"/>
                <w:sz w:val="24"/>
                <w:szCs w:val="24"/>
                <w:lang w:val="en-US" w:eastAsia="zh-CN"/>
              </w:rPr>
              <w:t>5</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12FF4BF5">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66302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979" w:type="dxa"/>
            <w:vMerge w:val="continue"/>
            <w:tcBorders>
              <w:left w:val="single" w:color="000000" w:sz="4" w:space="0"/>
              <w:right w:val="single" w:color="000000" w:sz="4" w:space="0"/>
            </w:tcBorders>
            <w:shd w:val="clear" w:color="auto" w:fill="auto"/>
            <w:noWrap w:val="0"/>
            <w:vAlign w:val="center"/>
          </w:tcPr>
          <w:p w14:paraId="56C8BC07">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left w:val="single" w:color="000000" w:sz="4" w:space="0"/>
              <w:bottom w:val="single" w:color="000000" w:sz="4" w:space="0"/>
              <w:right w:val="single" w:color="000000" w:sz="4" w:space="0"/>
            </w:tcBorders>
            <w:shd w:val="clear" w:color="auto" w:fill="auto"/>
            <w:noWrap w:val="0"/>
            <w:vAlign w:val="center"/>
          </w:tcPr>
          <w:p w14:paraId="6D2EA3CD">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0"/>
                <w:sz w:val="24"/>
                <w:szCs w:val="24"/>
                <w:highlight w:val="none"/>
                <w:lang w:val="en-US" w:eastAsia="zh-CN" w:bidi="ar-SA"/>
              </w:rPr>
            </w:pPr>
            <w:r>
              <w:rPr>
                <w:rStyle w:val="96"/>
                <w:rFonts w:hint="eastAsia" w:ascii="仿宋" w:hAnsi="仿宋" w:eastAsia="仿宋" w:cs="仿宋"/>
                <w:b w:val="0"/>
                <w:i w:val="0"/>
                <w:caps w:val="0"/>
                <w:color w:val="auto"/>
                <w:spacing w:val="0"/>
                <w:w w:val="100"/>
                <w:kern w:val="0"/>
                <w:sz w:val="24"/>
                <w:szCs w:val="24"/>
                <w:highlight w:val="none"/>
                <w:lang w:val="en-US" w:eastAsia="zh-CN" w:bidi="ar-SA"/>
              </w:rPr>
              <w:t>7</w:t>
            </w:r>
          </w:p>
        </w:tc>
        <w:tc>
          <w:tcPr>
            <w:tcW w:w="1092" w:type="dxa"/>
            <w:tcBorders>
              <w:left w:val="single" w:color="000000" w:sz="4" w:space="0"/>
              <w:bottom w:val="single" w:color="000000" w:sz="4" w:space="0"/>
              <w:right w:val="single" w:color="000000" w:sz="4" w:space="0"/>
            </w:tcBorders>
            <w:shd w:val="clear" w:color="auto" w:fill="FFFFFF"/>
            <w:noWrap w:val="0"/>
            <w:vAlign w:val="center"/>
          </w:tcPr>
          <w:p w14:paraId="6CE25D8B">
            <w:pPr>
              <w:pStyle w:val="16"/>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维修成本</w:t>
            </w:r>
          </w:p>
        </w:tc>
        <w:tc>
          <w:tcPr>
            <w:tcW w:w="4782" w:type="dxa"/>
            <w:tcBorders>
              <w:left w:val="single" w:color="000000" w:sz="4" w:space="0"/>
              <w:bottom w:val="single" w:color="000000" w:sz="4" w:space="0"/>
              <w:right w:val="single" w:color="000000" w:sz="4" w:space="0"/>
            </w:tcBorders>
            <w:shd w:val="clear" w:color="auto" w:fill="FFFFFF"/>
            <w:noWrap w:val="0"/>
            <w:vAlign w:val="center"/>
          </w:tcPr>
          <w:p w14:paraId="35416EB2">
            <w:pPr>
              <w:pStyle w:val="16"/>
              <w:keepNext w:val="0"/>
              <w:keepLines w:val="0"/>
              <w:pageBreakBefore w:val="0"/>
              <w:kinsoku/>
              <w:wordWrap/>
              <w:overflowPunct/>
              <w:topLinePunct w:val="0"/>
              <w:autoSpaceDE/>
              <w:autoSpaceDN/>
              <w:bidi w:val="0"/>
              <w:adjustRightInd w:val="0"/>
              <w:snapToGri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根据保修价格、设备配件价格，维修服务费等维修价格。</w:t>
            </w:r>
          </w:p>
          <w:p w14:paraId="42EE0911">
            <w:pPr>
              <w:pStyle w:val="16"/>
              <w:keepNext w:val="0"/>
              <w:keepLines w:val="0"/>
              <w:pageBreakBefore w:val="0"/>
              <w:kinsoku/>
              <w:wordWrap/>
              <w:overflowPunct/>
              <w:topLinePunct w:val="0"/>
              <w:autoSpaceDE/>
              <w:autoSpaceDN/>
              <w:bidi w:val="0"/>
              <w:adjustRightInd w:val="0"/>
              <w:snapToGri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报价合理维修成本低得5分；报价合理维修成本较低得4分；报价和维修成本基本合理得3分，报价和维修成本较高得2分，维修成本不太合理得1分，无维修报价得0分。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69040854">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2BE39537">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1E6CF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2" w:hRule="atLeast"/>
          <w:jc w:val="center"/>
        </w:trPr>
        <w:tc>
          <w:tcPr>
            <w:tcW w:w="979" w:type="dxa"/>
            <w:vMerge w:val="continue"/>
            <w:tcBorders>
              <w:left w:val="single" w:color="000000" w:sz="4" w:space="0"/>
              <w:right w:val="single" w:color="000000" w:sz="4" w:space="0"/>
            </w:tcBorders>
            <w:shd w:val="clear" w:color="auto" w:fill="auto"/>
            <w:noWrap w:val="0"/>
            <w:vAlign w:val="center"/>
          </w:tcPr>
          <w:p w14:paraId="5C471099">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vMerge w:val="restart"/>
            <w:tcBorders>
              <w:left w:val="single" w:color="000000" w:sz="4" w:space="0"/>
              <w:right w:val="single" w:color="000000" w:sz="4" w:space="0"/>
            </w:tcBorders>
            <w:shd w:val="clear" w:color="auto" w:fill="auto"/>
            <w:noWrap w:val="0"/>
            <w:vAlign w:val="center"/>
          </w:tcPr>
          <w:p w14:paraId="7AAE8120">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0"/>
                <w:sz w:val="24"/>
                <w:szCs w:val="24"/>
                <w:highlight w:val="none"/>
                <w:lang w:val="en-US" w:eastAsia="zh-CN" w:bidi="ar-SA"/>
              </w:rPr>
            </w:pPr>
            <w:r>
              <w:rPr>
                <w:rStyle w:val="96"/>
                <w:rFonts w:hint="eastAsia" w:ascii="仿宋" w:hAnsi="仿宋" w:eastAsia="仿宋" w:cs="仿宋"/>
                <w:b w:val="0"/>
                <w:i w:val="0"/>
                <w:caps w:val="0"/>
                <w:color w:val="auto"/>
                <w:spacing w:val="0"/>
                <w:w w:val="100"/>
                <w:kern w:val="0"/>
                <w:sz w:val="24"/>
                <w:szCs w:val="24"/>
                <w:highlight w:val="none"/>
                <w:lang w:val="en-US" w:eastAsia="zh-CN" w:bidi="ar-SA"/>
              </w:rPr>
              <w:t>8</w:t>
            </w:r>
          </w:p>
          <w:p w14:paraId="6077F4EC">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0"/>
                <w:sz w:val="24"/>
                <w:szCs w:val="24"/>
                <w:highlight w:val="none"/>
                <w:lang w:val="en-US" w:eastAsia="zh-CN" w:bidi="ar-SA"/>
              </w:rPr>
            </w:pPr>
          </w:p>
        </w:tc>
        <w:tc>
          <w:tcPr>
            <w:tcW w:w="1092" w:type="dxa"/>
            <w:vMerge w:val="restart"/>
            <w:tcBorders>
              <w:left w:val="single" w:color="000000" w:sz="4" w:space="0"/>
              <w:right w:val="single" w:color="000000" w:sz="4" w:space="0"/>
            </w:tcBorders>
            <w:shd w:val="clear" w:color="auto" w:fill="FFFFFF"/>
            <w:noWrap w:val="0"/>
            <w:vAlign w:val="center"/>
          </w:tcPr>
          <w:p w14:paraId="16B4442B">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w:t>
            </w:r>
          </w:p>
        </w:tc>
        <w:tc>
          <w:tcPr>
            <w:tcW w:w="4782" w:type="dxa"/>
            <w:tcBorders>
              <w:top w:val="single" w:color="000000" w:sz="4" w:space="0"/>
              <w:left w:val="single" w:color="000000" w:sz="4" w:space="0"/>
              <w:bottom w:val="single" w:color="000000" w:sz="4" w:space="0"/>
              <w:right w:val="single" w:color="000000" w:sz="4" w:space="0"/>
            </w:tcBorders>
            <w:noWrap w:val="0"/>
            <w:vAlign w:val="center"/>
          </w:tcPr>
          <w:p w14:paraId="7B2ED8A7">
            <w:pPr>
              <w:pStyle w:val="16"/>
              <w:keepNext w:val="0"/>
              <w:keepLines w:val="0"/>
              <w:pageBreakBefore w:val="0"/>
              <w:kinsoku/>
              <w:wordWrap/>
              <w:overflowPunct/>
              <w:topLinePunct w:val="0"/>
              <w:autoSpaceDE/>
              <w:autoSpaceDN/>
              <w:bidi w:val="0"/>
              <w:adjustRightInd w:val="0"/>
              <w:snapToGri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方案，包括但不限于服务响应时间、故障解决方案，响应时间短，解决方案充分得4分，响应时间一般，解决方案较合理得3分，响应时间长，解决方案一般2分，响应时间长，解决方案差1分，无解决方案得0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262462B">
            <w:pPr>
              <w:keepNext w:val="0"/>
              <w:keepLines w:val="0"/>
              <w:pageBreakBefore w:val="0"/>
              <w:widowControl/>
              <w:kinsoku/>
              <w:wordWrap/>
              <w:overflowPunct/>
              <w:topLinePunct w:val="0"/>
              <w:autoSpaceDE/>
              <w:autoSpaceDN/>
              <w:bidi w:val="0"/>
              <w:adjustRightInd w:val="0"/>
              <w:snapToGrid/>
              <w:spacing w:line="360" w:lineRule="auto"/>
              <w:jc w:val="center"/>
              <w:rPr>
                <w:rFonts w:hint="default" w:ascii="仿宋" w:hAnsi="仿宋" w:eastAsia="仿宋" w:cs="仿宋"/>
                <w:color w:val="auto"/>
                <w:sz w:val="24"/>
                <w:szCs w:val="24"/>
                <w:lang w:val="en-US" w:eastAsia="zh-CN"/>
              </w:rPr>
            </w:pPr>
            <w:r>
              <w:rPr>
                <w:rFonts w:hint="eastAsia" w:cs="仿宋"/>
                <w:color w:val="auto"/>
                <w:sz w:val="24"/>
                <w:szCs w:val="24"/>
                <w:lang w:val="en-US" w:eastAsia="zh-CN"/>
              </w:rPr>
              <w:t>4</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5C693CBC">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16C62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jc w:val="center"/>
        </w:trPr>
        <w:tc>
          <w:tcPr>
            <w:tcW w:w="979" w:type="dxa"/>
            <w:vMerge w:val="continue"/>
            <w:tcBorders>
              <w:left w:val="single" w:color="000000" w:sz="4" w:space="0"/>
              <w:right w:val="single" w:color="000000" w:sz="4" w:space="0"/>
            </w:tcBorders>
            <w:shd w:val="clear" w:color="auto" w:fill="auto"/>
            <w:noWrap w:val="0"/>
            <w:vAlign w:val="center"/>
          </w:tcPr>
          <w:p w14:paraId="562CCADA">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vMerge w:val="continue"/>
            <w:tcBorders>
              <w:left w:val="single" w:color="000000" w:sz="4" w:space="0"/>
              <w:right w:val="single" w:color="000000" w:sz="4" w:space="0"/>
            </w:tcBorders>
            <w:shd w:val="clear" w:color="auto" w:fill="auto"/>
            <w:noWrap w:val="0"/>
            <w:vAlign w:val="center"/>
          </w:tcPr>
          <w:p w14:paraId="14DA5EA7">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0"/>
                <w:sz w:val="24"/>
                <w:szCs w:val="24"/>
                <w:highlight w:val="none"/>
                <w:lang w:val="en-US" w:eastAsia="zh-CN" w:bidi="ar-SA"/>
              </w:rPr>
            </w:pPr>
          </w:p>
        </w:tc>
        <w:tc>
          <w:tcPr>
            <w:tcW w:w="1092" w:type="dxa"/>
            <w:vMerge w:val="continue"/>
            <w:tcBorders>
              <w:left w:val="single" w:color="000000" w:sz="4" w:space="0"/>
              <w:right w:val="single" w:color="000000" w:sz="4" w:space="0"/>
            </w:tcBorders>
            <w:shd w:val="clear" w:color="auto" w:fill="FFFFFF"/>
            <w:noWrap w:val="0"/>
            <w:vAlign w:val="center"/>
          </w:tcPr>
          <w:p w14:paraId="69D73167">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14:paraId="72143FCE">
            <w:pPr>
              <w:pStyle w:val="16"/>
              <w:keepNext w:val="0"/>
              <w:keepLines w:val="0"/>
              <w:pageBreakBefore w:val="0"/>
              <w:kinsoku/>
              <w:wordWrap/>
              <w:overflowPunct/>
              <w:topLinePunct w:val="0"/>
              <w:autoSpaceDE/>
              <w:autoSpaceDN/>
              <w:bidi w:val="0"/>
              <w:adjustRightInd w:val="0"/>
              <w:snapToGri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售后服务机构备品备件储备情况，</w:t>
            </w:r>
            <w:r>
              <w:rPr>
                <w:rFonts w:hint="eastAsia" w:ascii="仿宋" w:hAnsi="仿宋" w:eastAsia="仿宋" w:cs="仿宋"/>
                <w:color w:val="auto"/>
              </w:rPr>
              <w:t>提供备品备件清单</w:t>
            </w:r>
            <w:r>
              <w:rPr>
                <w:rFonts w:hint="eastAsia" w:ascii="仿宋" w:hAnsi="仿宋" w:eastAsia="仿宋" w:cs="仿宋"/>
                <w:color w:val="auto"/>
                <w:lang w:eastAsia="zh-CN"/>
              </w:rPr>
              <w:t>；</w:t>
            </w:r>
            <w:r>
              <w:rPr>
                <w:rFonts w:hint="eastAsia" w:ascii="仿宋" w:hAnsi="仿宋" w:eastAsia="仿宋" w:cs="仿宋"/>
                <w:color w:val="auto"/>
                <w:sz w:val="24"/>
                <w:szCs w:val="24"/>
                <w:lang w:val="en-US" w:eastAsia="zh-CN"/>
              </w:rPr>
              <w:t>储备充足能充分满足售后服务要求并提供清单得2分，储备一般基本能满足售后服务要求并提供清单得1分，无备品备件储备及清单得0分。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94CF706">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07A8179C">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1DB2C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1" w:hRule="atLeast"/>
          <w:jc w:val="center"/>
        </w:trPr>
        <w:tc>
          <w:tcPr>
            <w:tcW w:w="979" w:type="dxa"/>
            <w:vMerge w:val="continue"/>
            <w:tcBorders>
              <w:left w:val="single" w:color="000000" w:sz="4" w:space="0"/>
              <w:right w:val="single" w:color="000000" w:sz="4" w:space="0"/>
            </w:tcBorders>
            <w:shd w:val="clear" w:color="auto" w:fill="auto"/>
            <w:noWrap w:val="0"/>
            <w:vAlign w:val="center"/>
          </w:tcPr>
          <w:p w14:paraId="7415BBBA">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vMerge w:val="continue"/>
            <w:tcBorders>
              <w:left w:val="single" w:color="000000" w:sz="4" w:space="0"/>
              <w:right w:val="single" w:color="000000" w:sz="4" w:space="0"/>
            </w:tcBorders>
            <w:shd w:val="clear" w:color="auto" w:fill="auto"/>
            <w:noWrap w:val="0"/>
            <w:vAlign w:val="center"/>
          </w:tcPr>
          <w:p w14:paraId="2C4F86BE">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0"/>
                <w:sz w:val="24"/>
                <w:szCs w:val="24"/>
                <w:highlight w:val="none"/>
                <w:lang w:val="en-US" w:eastAsia="zh-CN" w:bidi="ar-SA"/>
              </w:rPr>
            </w:pPr>
          </w:p>
        </w:tc>
        <w:tc>
          <w:tcPr>
            <w:tcW w:w="1092" w:type="dxa"/>
            <w:vMerge w:val="continue"/>
            <w:tcBorders>
              <w:left w:val="single" w:color="000000" w:sz="4" w:space="0"/>
              <w:right w:val="single" w:color="000000" w:sz="4" w:space="0"/>
            </w:tcBorders>
            <w:shd w:val="clear" w:color="auto" w:fill="FFFFFF"/>
            <w:noWrap w:val="0"/>
            <w:vAlign w:val="center"/>
          </w:tcPr>
          <w:p w14:paraId="09A2981C">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14:paraId="5F3809F0">
            <w:pPr>
              <w:pStyle w:val="16"/>
              <w:keepNext w:val="0"/>
              <w:keepLines w:val="0"/>
              <w:pageBreakBefore w:val="0"/>
              <w:kinsoku/>
              <w:wordWrap/>
              <w:overflowPunct/>
              <w:topLinePunct w:val="0"/>
              <w:autoSpaceDE/>
              <w:autoSpaceDN/>
              <w:bidi w:val="0"/>
              <w:adjustRightInd w:val="0"/>
              <w:snapToGri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售后服务机构技术服务人员情况，提供姓名、工作经验、资质证书情况，人员配备充足售后服务经验丰富得3分，人员配备和售后服务一般得2分，人员配备不足售后服务经验差1分，无人员配备得0分。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B295A74">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2A2552BF">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6712B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6" w:hRule="atLeast"/>
          <w:jc w:val="center"/>
        </w:trPr>
        <w:tc>
          <w:tcPr>
            <w:tcW w:w="979" w:type="dxa"/>
            <w:vMerge w:val="continue"/>
            <w:tcBorders>
              <w:left w:val="single" w:color="000000" w:sz="4" w:space="0"/>
              <w:right w:val="single" w:color="000000" w:sz="4" w:space="0"/>
            </w:tcBorders>
            <w:shd w:val="clear" w:color="auto" w:fill="auto"/>
            <w:noWrap w:val="0"/>
            <w:vAlign w:val="center"/>
          </w:tcPr>
          <w:p w14:paraId="1C326874">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left w:val="single" w:color="000000" w:sz="4" w:space="0"/>
              <w:right w:val="single" w:color="000000" w:sz="4" w:space="0"/>
            </w:tcBorders>
            <w:shd w:val="clear" w:color="auto" w:fill="auto"/>
            <w:noWrap w:val="0"/>
            <w:vAlign w:val="center"/>
          </w:tcPr>
          <w:p w14:paraId="2BCDD5A8">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0"/>
                <w:sz w:val="24"/>
                <w:szCs w:val="24"/>
                <w:highlight w:val="none"/>
                <w:lang w:val="en-US" w:eastAsia="zh-CN" w:bidi="ar-SA"/>
              </w:rPr>
            </w:pPr>
            <w:r>
              <w:rPr>
                <w:rStyle w:val="96"/>
                <w:rFonts w:hint="eastAsia" w:ascii="仿宋" w:hAnsi="仿宋" w:eastAsia="仿宋" w:cs="仿宋"/>
                <w:b w:val="0"/>
                <w:i w:val="0"/>
                <w:caps w:val="0"/>
                <w:color w:val="auto"/>
                <w:spacing w:val="0"/>
                <w:w w:val="100"/>
                <w:kern w:val="0"/>
                <w:sz w:val="24"/>
                <w:szCs w:val="24"/>
                <w:highlight w:val="none"/>
                <w:lang w:val="en-US" w:eastAsia="zh-CN" w:bidi="ar-SA"/>
              </w:rPr>
              <w:t>9</w:t>
            </w:r>
          </w:p>
        </w:tc>
        <w:tc>
          <w:tcPr>
            <w:tcW w:w="1092" w:type="dxa"/>
            <w:tcBorders>
              <w:left w:val="single" w:color="000000" w:sz="4" w:space="0"/>
              <w:right w:val="single" w:color="000000" w:sz="4" w:space="0"/>
            </w:tcBorders>
            <w:shd w:val="clear" w:color="auto" w:fill="FFFFFF"/>
            <w:noWrap w:val="0"/>
            <w:vAlign w:val="center"/>
          </w:tcPr>
          <w:p w14:paraId="1CD7432A">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安装调试方案</w:t>
            </w:r>
          </w:p>
        </w:tc>
        <w:tc>
          <w:tcPr>
            <w:tcW w:w="4782" w:type="dxa"/>
            <w:tcBorders>
              <w:top w:val="single" w:color="000000" w:sz="4" w:space="0"/>
              <w:left w:val="single" w:color="000000" w:sz="4" w:space="0"/>
              <w:bottom w:val="single" w:color="000000" w:sz="4" w:space="0"/>
              <w:right w:val="single" w:color="000000" w:sz="4" w:space="0"/>
            </w:tcBorders>
            <w:noWrap w:val="0"/>
            <w:vAlign w:val="center"/>
          </w:tcPr>
          <w:p w14:paraId="124D9D59">
            <w:pPr>
              <w:pStyle w:val="16"/>
              <w:keepNext w:val="0"/>
              <w:keepLines w:val="0"/>
              <w:pageBreakBefore w:val="0"/>
              <w:kinsoku/>
              <w:wordWrap/>
              <w:overflowPunct/>
              <w:topLinePunct w:val="0"/>
              <w:autoSpaceDE/>
              <w:autoSpaceDN/>
              <w:bidi w:val="0"/>
              <w:adjustRightInd w:val="0"/>
              <w:snapToGri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对场地环境的了解、人员的安排、时间进度的规划，对设备的调试进度安排，调试的步骤、措施，问题的解决方案等，方案考虑充分措施有效得5分；方案较有效得4分；基本可行得3分；方案具有缺陷得2分；方案不可行得1分；未提供不得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B967A8A">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3BF7205C">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6FC33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jc w:val="center"/>
        </w:trPr>
        <w:tc>
          <w:tcPr>
            <w:tcW w:w="979" w:type="dxa"/>
            <w:vMerge w:val="continue"/>
            <w:tcBorders>
              <w:left w:val="single" w:color="000000" w:sz="4" w:space="0"/>
              <w:right w:val="single" w:color="000000" w:sz="4" w:space="0"/>
            </w:tcBorders>
            <w:shd w:val="clear" w:color="auto" w:fill="auto"/>
            <w:noWrap w:val="0"/>
            <w:vAlign w:val="center"/>
          </w:tcPr>
          <w:p w14:paraId="114859BF">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left w:val="single" w:color="000000" w:sz="4" w:space="0"/>
              <w:right w:val="single" w:color="000000" w:sz="4" w:space="0"/>
            </w:tcBorders>
            <w:shd w:val="clear" w:color="auto" w:fill="auto"/>
            <w:noWrap w:val="0"/>
            <w:vAlign w:val="center"/>
          </w:tcPr>
          <w:p w14:paraId="77CD8527">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0"/>
                <w:sz w:val="24"/>
                <w:szCs w:val="24"/>
                <w:highlight w:val="none"/>
                <w:lang w:val="en-US" w:eastAsia="zh-CN" w:bidi="ar-SA"/>
              </w:rPr>
            </w:pPr>
            <w:r>
              <w:rPr>
                <w:rStyle w:val="96"/>
                <w:rFonts w:hint="eastAsia" w:ascii="仿宋" w:hAnsi="仿宋" w:eastAsia="仿宋" w:cs="仿宋"/>
                <w:b w:val="0"/>
                <w:i w:val="0"/>
                <w:caps w:val="0"/>
                <w:color w:val="auto"/>
                <w:spacing w:val="0"/>
                <w:w w:val="100"/>
                <w:kern w:val="0"/>
                <w:sz w:val="24"/>
                <w:szCs w:val="24"/>
                <w:highlight w:val="none"/>
                <w:lang w:val="en-US" w:eastAsia="zh-CN" w:bidi="ar-SA"/>
              </w:rPr>
              <w:t>10</w:t>
            </w:r>
          </w:p>
        </w:tc>
        <w:tc>
          <w:tcPr>
            <w:tcW w:w="1092" w:type="dxa"/>
            <w:tcBorders>
              <w:left w:val="single" w:color="000000" w:sz="4" w:space="0"/>
              <w:right w:val="single" w:color="000000" w:sz="4" w:space="0"/>
            </w:tcBorders>
            <w:shd w:val="clear" w:color="auto" w:fill="FFFFFF"/>
            <w:noWrap w:val="0"/>
            <w:vAlign w:val="center"/>
          </w:tcPr>
          <w:p w14:paraId="48FC2B0C">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培训计划</w:t>
            </w:r>
          </w:p>
        </w:tc>
        <w:tc>
          <w:tcPr>
            <w:tcW w:w="4782" w:type="dxa"/>
            <w:tcBorders>
              <w:top w:val="single" w:color="000000" w:sz="4" w:space="0"/>
              <w:left w:val="single" w:color="000000" w:sz="4" w:space="0"/>
              <w:bottom w:val="single" w:color="000000" w:sz="4" w:space="0"/>
              <w:right w:val="single" w:color="000000" w:sz="4" w:space="0"/>
            </w:tcBorders>
            <w:noWrap w:val="0"/>
            <w:vAlign w:val="center"/>
          </w:tcPr>
          <w:p w14:paraId="549E8718">
            <w:pPr>
              <w:pStyle w:val="16"/>
              <w:keepNext w:val="0"/>
              <w:keepLines w:val="0"/>
              <w:pageBreakBefore w:val="0"/>
              <w:kinsoku/>
              <w:wordWrap/>
              <w:overflowPunct/>
              <w:topLinePunct w:val="0"/>
              <w:autoSpaceDE/>
              <w:autoSpaceDN/>
              <w:bidi w:val="0"/>
              <w:adjustRightInd w:val="0"/>
              <w:snapToGri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根据供应商提供的人员培训计划，从培训计划的合理性以及培训时间及方式等情况进行综合评分；</w:t>
            </w:r>
          </w:p>
          <w:p w14:paraId="27C63116">
            <w:pPr>
              <w:pStyle w:val="16"/>
              <w:keepNext w:val="0"/>
              <w:keepLines w:val="0"/>
              <w:pageBreakBefore w:val="0"/>
              <w:kinsoku/>
              <w:wordWrap/>
              <w:overflowPunct/>
              <w:topLinePunct w:val="0"/>
              <w:autoSpaceDE/>
              <w:autoSpaceDN/>
              <w:bidi w:val="0"/>
              <w:adjustRightInd w:val="0"/>
              <w:snapToGri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培训计划全面、可行得2分；基本可行得1分，未提供不得分。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719D1C4">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6934AA36">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15DCA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1" w:hRule="atLeast"/>
          <w:jc w:val="center"/>
        </w:trPr>
        <w:tc>
          <w:tcPr>
            <w:tcW w:w="979" w:type="dxa"/>
            <w:vMerge w:val="continue"/>
            <w:tcBorders>
              <w:left w:val="single" w:color="000000" w:sz="4" w:space="0"/>
              <w:right w:val="single" w:color="000000" w:sz="4" w:space="0"/>
            </w:tcBorders>
            <w:shd w:val="clear" w:color="auto" w:fill="auto"/>
            <w:noWrap w:val="0"/>
            <w:vAlign w:val="center"/>
          </w:tcPr>
          <w:p w14:paraId="3A67E6EE">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
                <w:rFonts w:hint="eastAsia" w:ascii="仿宋" w:hAnsi="仿宋" w:eastAsia="仿宋" w:cs="仿宋"/>
                <w:b w:val="0"/>
                <w:i w:val="0"/>
                <w:caps w:val="0"/>
                <w:color w:val="auto"/>
                <w:spacing w:val="0"/>
                <w:w w:val="100"/>
                <w:kern w:val="2"/>
                <w:sz w:val="24"/>
                <w:szCs w:val="24"/>
                <w:highlight w:val="none"/>
                <w:lang w:val="en-US" w:eastAsia="zh-CN" w:bidi="ar-SA"/>
              </w:rPr>
            </w:pPr>
          </w:p>
        </w:tc>
        <w:tc>
          <w:tcPr>
            <w:tcW w:w="449" w:type="dxa"/>
            <w:tcBorders>
              <w:left w:val="single" w:color="000000" w:sz="4" w:space="0"/>
              <w:right w:val="single" w:color="000000" w:sz="4" w:space="0"/>
            </w:tcBorders>
            <w:shd w:val="clear" w:color="auto" w:fill="auto"/>
            <w:noWrap w:val="0"/>
            <w:vAlign w:val="center"/>
          </w:tcPr>
          <w:p w14:paraId="2FEB643F">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
                <w:rFonts w:hint="eastAsia" w:ascii="仿宋" w:hAnsi="仿宋" w:eastAsia="仿宋" w:cs="仿宋"/>
                <w:b w:val="0"/>
                <w:i w:val="0"/>
                <w:caps w:val="0"/>
                <w:color w:val="auto"/>
                <w:spacing w:val="0"/>
                <w:w w:val="100"/>
                <w:kern w:val="0"/>
                <w:sz w:val="24"/>
                <w:szCs w:val="24"/>
                <w:highlight w:val="none"/>
                <w:lang w:val="en-US" w:eastAsia="zh-CN" w:bidi="ar-SA"/>
              </w:rPr>
            </w:pPr>
            <w:r>
              <w:rPr>
                <w:rStyle w:val="96"/>
                <w:rFonts w:hint="eastAsia" w:ascii="仿宋" w:hAnsi="仿宋" w:eastAsia="仿宋" w:cs="仿宋"/>
                <w:b w:val="0"/>
                <w:i w:val="0"/>
                <w:caps w:val="0"/>
                <w:color w:val="auto"/>
                <w:spacing w:val="0"/>
                <w:w w:val="100"/>
                <w:kern w:val="0"/>
                <w:sz w:val="24"/>
                <w:szCs w:val="24"/>
                <w:highlight w:val="none"/>
                <w:lang w:val="en-US" w:eastAsia="zh-CN" w:bidi="ar-SA"/>
              </w:rPr>
              <w:t>11</w:t>
            </w:r>
          </w:p>
        </w:tc>
        <w:tc>
          <w:tcPr>
            <w:tcW w:w="1092" w:type="dxa"/>
            <w:tcBorders>
              <w:left w:val="single" w:color="000000" w:sz="4" w:space="0"/>
              <w:right w:val="single" w:color="000000" w:sz="4" w:space="0"/>
            </w:tcBorders>
            <w:shd w:val="clear" w:color="auto" w:fill="FFFFFF"/>
            <w:noWrap w:val="0"/>
            <w:vAlign w:val="center"/>
          </w:tcPr>
          <w:p w14:paraId="187EC69A">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其他措施</w:t>
            </w:r>
          </w:p>
        </w:tc>
        <w:tc>
          <w:tcPr>
            <w:tcW w:w="4782" w:type="dxa"/>
            <w:tcBorders>
              <w:top w:val="single" w:color="000000" w:sz="4" w:space="0"/>
              <w:left w:val="single" w:color="000000" w:sz="4" w:space="0"/>
              <w:bottom w:val="single" w:color="000000" w:sz="4" w:space="0"/>
              <w:right w:val="single" w:color="000000" w:sz="4" w:space="0"/>
            </w:tcBorders>
            <w:noWrap w:val="0"/>
            <w:vAlign w:val="center"/>
          </w:tcPr>
          <w:p w14:paraId="0BCA06FF">
            <w:pPr>
              <w:pStyle w:val="16"/>
              <w:keepNext w:val="0"/>
              <w:keepLines w:val="0"/>
              <w:pageBreakBefore w:val="0"/>
              <w:kinsoku/>
              <w:wordWrap/>
              <w:overflowPunct/>
              <w:topLinePunct w:val="0"/>
              <w:autoSpaceDE/>
              <w:autoSpaceDN/>
              <w:bidi w:val="0"/>
              <w:adjustRightInd w:val="0"/>
              <w:snapToGrid/>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提供超出交易文件以外的措施响应条件，评审小组对响应文件中是否有超出交易文件以外的要求（售后服务、专用耗材、备品备件等方面的条件进行评议），没有实质性响应措施得0分；有实质性响应措施的，根据具体响应内容得0-1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27BEF26">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3E53A10C">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4FF6D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520" w:type="dxa"/>
            <w:gridSpan w:val="3"/>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C602128">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价格权值</w:t>
            </w:r>
          </w:p>
        </w:tc>
        <w:tc>
          <w:tcPr>
            <w:tcW w:w="4782" w:type="dxa"/>
            <w:tcBorders>
              <w:top w:val="single" w:color="000000" w:sz="4" w:space="0"/>
              <w:left w:val="single" w:color="auto" w:sz="4" w:space="0"/>
              <w:bottom w:val="single" w:color="000000" w:sz="4" w:space="0"/>
              <w:right w:val="single" w:color="000000" w:sz="4" w:space="0"/>
            </w:tcBorders>
            <w:noWrap w:val="0"/>
            <w:vAlign w:val="center"/>
          </w:tcPr>
          <w:p w14:paraId="064CE58C">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计算方法</w:t>
            </w:r>
          </w:p>
        </w:tc>
        <w:tc>
          <w:tcPr>
            <w:tcW w:w="899" w:type="dxa"/>
            <w:vMerge w:val="restart"/>
            <w:tcBorders>
              <w:top w:val="single" w:color="000000" w:sz="4" w:space="0"/>
              <w:left w:val="single" w:color="auto" w:sz="4" w:space="0"/>
              <w:right w:val="single" w:color="000000" w:sz="4" w:space="0"/>
            </w:tcBorders>
            <w:noWrap w:val="0"/>
            <w:vAlign w:val="center"/>
          </w:tcPr>
          <w:p w14:paraId="48502034">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097" w:type="dxa"/>
            <w:gridSpan w:val="2"/>
            <w:vMerge w:val="restart"/>
            <w:tcBorders>
              <w:top w:val="single" w:color="000000" w:sz="4" w:space="0"/>
              <w:left w:val="single" w:color="auto" w:sz="4" w:space="0"/>
              <w:right w:val="single" w:color="000000" w:sz="4" w:space="0"/>
            </w:tcBorders>
            <w:noWrap w:val="0"/>
            <w:vAlign w:val="center"/>
          </w:tcPr>
          <w:p w14:paraId="0A1F26F2">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4EB8E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520" w:type="dxa"/>
            <w:gridSpan w:val="3"/>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CAED6FD">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0.30</w:t>
            </w:r>
          </w:p>
        </w:tc>
        <w:tc>
          <w:tcPr>
            <w:tcW w:w="4782" w:type="dxa"/>
            <w:tcBorders>
              <w:top w:val="single" w:color="000000" w:sz="4" w:space="0"/>
              <w:left w:val="single" w:color="auto" w:sz="4" w:space="0"/>
              <w:bottom w:val="single" w:color="000000" w:sz="4" w:space="0"/>
              <w:right w:val="single" w:color="000000" w:sz="4" w:space="0"/>
            </w:tcBorders>
            <w:noWrap w:val="0"/>
            <w:vAlign w:val="center"/>
          </w:tcPr>
          <w:p w14:paraId="5AEB8596">
            <w:pPr>
              <w:pStyle w:val="16"/>
              <w:keepNext w:val="0"/>
              <w:keepLines w:val="0"/>
              <w:pageBreakBefore w:val="0"/>
              <w:kinsoku/>
              <w:wordWrap/>
              <w:overflowPunct/>
              <w:topLinePunct w:val="0"/>
              <w:autoSpaceDE/>
              <w:autoSpaceDN/>
              <w:bidi w:val="0"/>
              <w:snapToGrid/>
              <w:spacing w:line="420" w:lineRule="exact"/>
              <w:ind w:firstLine="0" w:firstLineChars="0"/>
              <w:rPr>
                <w:rFonts w:ascii="仿宋" w:hAnsi="仿宋" w:eastAsia="仿宋" w:cs="仿宋"/>
                <w:color w:val="auto"/>
              </w:rPr>
            </w:pPr>
            <w:r>
              <w:rPr>
                <w:rFonts w:hint="eastAsia" w:ascii="仿宋" w:hAnsi="仿宋" w:eastAsia="仿宋" w:cs="仿宋"/>
                <w:color w:val="auto"/>
              </w:rPr>
              <w:t>最低有效</w:t>
            </w:r>
            <w:r>
              <w:rPr>
                <w:rFonts w:hint="eastAsia" w:ascii="仿宋" w:hAnsi="仿宋" w:eastAsia="仿宋" w:cs="仿宋"/>
                <w:color w:val="auto"/>
                <w:lang w:val="en-US" w:eastAsia="zh-CN"/>
              </w:rPr>
              <w:t>响应</w:t>
            </w:r>
            <w:r>
              <w:rPr>
                <w:rFonts w:hint="eastAsia" w:ascii="仿宋" w:hAnsi="仿宋" w:eastAsia="仿宋" w:cs="仿宋"/>
                <w:color w:val="auto"/>
              </w:rPr>
              <w:t>价格为评标基准价</w:t>
            </w:r>
          </w:p>
          <w:p w14:paraId="4CEE8056">
            <w:pPr>
              <w:pStyle w:val="16"/>
              <w:keepNext w:val="0"/>
              <w:keepLines w:val="0"/>
              <w:pageBreakBefore w:val="0"/>
              <w:kinsoku/>
              <w:wordWrap/>
              <w:overflowPunct/>
              <w:topLinePunct w:val="0"/>
              <w:autoSpaceDE/>
              <w:autoSpaceDN/>
              <w:bidi w:val="0"/>
              <w:snapToGrid/>
              <w:spacing w:line="420" w:lineRule="exact"/>
              <w:ind w:firstLine="0" w:firstLineChars="0"/>
              <w:rPr>
                <w:rFonts w:ascii="仿宋" w:hAnsi="仿宋" w:eastAsia="仿宋" w:cs="仿宋"/>
                <w:color w:val="auto"/>
              </w:rPr>
            </w:pPr>
            <w:r>
              <w:rPr>
                <w:rFonts w:hint="eastAsia" w:ascii="仿宋" w:hAnsi="仿宋" w:eastAsia="仿宋" w:cs="仿宋"/>
                <w:color w:val="auto"/>
                <w:lang w:val="en-US" w:eastAsia="zh-CN"/>
              </w:rPr>
              <w:t>响应</w:t>
            </w:r>
            <w:r>
              <w:rPr>
                <w:rFonts w:hint="eastAsia" w:ascii="仿宋" w:hAnsi="仿宋" w:eastAsia="仿宋" w:cs="仿宋"/>
                <w:color w:val="auto"/>
              </w:rPr>
              <w:t>报价得分=(评标基准价／</w:t>
            </w:r>
            <w:r>
              <w:rPr>
                <w:rFonts w:hint="eastAsia" w:ascii="仿宋" w:hAnsi="仿宋" w:eastAsia="仿宋" w:cs="仿宋"/>
                <w:color w:val="auto"/>
                <w:lang w:val="en-US" w:eastAsia="zh-CN"/>
              </w:rPr>
              <w:t>响应</w:t>
            </w:r>
            <w:r>
              <w:rPr>
                <w:rFonts w:hint="eastAsia" w:ascii="仿宋" w:hAnsi="仿宋" w:eastAsia="仿宋" w:cs="仿宋"/>
                <w:color w:val="auto"/>
              </w:rPr>
              <w:t xml:space="preserve">报价)×价格权值×100 </w:t>
            </w:r>
          </w:p>
          <w:p w14:paraId="6562987E">
            <w:pPr>
              <w:pStyle w:val="16"/>
              <w:keepNext w:val="0"/>
              <w:keepLines w:val="0"/>
              <w:pageBreakBefore w:val="0"/>
              <w:kinsoku/>
              <w:wordWrap/>
              <w:overflowPunct/>
              <w:topLinePunct w:val="0"/>
              <w:autoSpaceDE/>
              <w:autoSpaceDN/>
              <w:bidi w:val="0"/>
              <w:snapToGrid/>
              <w:spacing w:line="420" w:lineRule="exact"/>
              <w:ind w:firstLine="0" w:firstLineChars="0"/>
              <w:rPr>
                <w:rFonts w:ascii="仿宋" w:hAnsi="仿宋" w:eastAsia="仿宋" w:cs="仿宋"/>
                <w:color w:val="auto"/>
              </w:rPr>
            </w:pPr>
            <w:r>
              <w:rPr>
                <w:rFonts w:hint="eastAsia" w:ascii="仿宋" w:hAnsi="仿宋" w:eastAsia="仿宋" w:cs="仿宋"/>
                <w:color w:val="auto"/>
              </w:rPr>
              <w:t>（计算得分保留小数点后2位）</w:t>
            </w:r>
          </w:p>
          <w:p w14:paraId="58F85125">
            <w:pPr>
              <w:pStyle w:val="16"/>
              <w:keepNext w:val="0"/>
              <w:keepLines w:val="0"/>
              <w:pageBreakBefore w:val="0"/>
              <w:kinsoku/>
              <w:wordWrap/>
              <w:overflowPunct/>
              <w:topLinePunct w:val="0"/>
              <w:autoSpaceDE/>
              <w:autoSpaceDN/>
              <w:bidi w:val="0"/>
              <w:snapToGrid/>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rPr>
              <w:t>评标过程中，不得去掉报价中的最高报价和最低报价。</w:t>
            </w:r>
          </w:p>
        </w:tc>
        <w:tc>
          <w:tcPr>
            <w:tcW w:w="899" w:type="dxa"/>
            <w:vMerge w:val="continue"/>
            <w:tcBorders>
              <w:left w:val="single" w:color="auto" w:sz="4" w:space="0"/>
              <w:bottom w:val="single" w:color="000000" w:sz="4" w:space="0"/>
              <w:right w:val="single" w:color="000000" w:sz="4" w:space="0"/>
            </w:tcBorders>
            <w:noWrap w:val="0"/>
            <w:vAlign w:val="center"/>
          </w:tcPr>
          <w:p w14:paraId="622C17FC">
            <w:pPr>
              <w:keepNext w:val="0"/>
              <w:keepLines w:val="0"/>
              <w:pageBreakBefore w:val="0"/>
              <w:widowControl/>
              <w:kinsoku/>
              <w:wordWrap/>
              <w:overflowPunct/>
              <w:topLinePunct w:val="0"/>
              <w:autoSpaceDE/>
              <w:autoSpaceDN/>
              <w:bidi w:val="0"/>
              <w:adjustRightInd w:val="0"/>
              <w:snapToGrid/>
              <w:spacing w:line="360" w:lineRule="auto"/>
              <w:rPr>
                <w:rFonts w:hint="eastAsia" w:ascii="仿宋" w:hAnsi="仿宋" w:eastAsia="仿宋" w:cs="仿宋"/>
                <w:color w:val="auto"/>
                <w:sz w:val="24"/>
                <w:szCs w:val="24"/>
                <w:highlight w:val="none"/>
              </w:rPr>
            </w:pPr>
          </w:p>
        </w:tc>
        <w:tc>
          <w:tcPr>
            <w:tcW w:w="1097" w:type="dxa"/>
            <w:gridSpan w:val="2"/>
            <w:vMerge w:val="continue"/>
            <w:tcBorders>
              <w:left w:val="single" w:color="auto" w:sz="4" w:space="0"/>
              <w:bottom w:val="single" w:color="000000" w:sz="4" w:space="0"/>
              <w:right w:val="single" w:color="000000" w:sz="4" w:space="0"/>
            </w:tcBorders>
            <w:noWrap w:val="0"/>
            <w:vAlign w:val="center"/>
          </w:tcPr>
          <w:p w14:paraId="50587FAF">
            <w:pPr>
              <w:keepNext w:val="0"/>
              <w:keepLines w:val="0"/>
              <w:pageBreakBefore w:val="0"/>
              <w:widowControl/>
              <w:kinsoku/>
              <w:wordWrap/>
              <w:overflowPunct/>
              <w:topLinePunct w:val="0"/>
              <w:autoSpaceDE/>
              <w:autoSpaceDN/>
              <w:bidi w:val="0"/>
              <w:adjustRightInd w:val="0"/>
              <w:snapToGrid/>
              <w:spacing w:line="360" w:lineRule="auto"/>
              <w:rPr>
                <w:rFonts w:hint="eastAsia" w:ascii="仿宋" w:hAnsi="仿宋" w:eastAsia="仿宋" w:cs="仿宋"/>
                <w:color w:val="auto"/>
                <w:sz w:val="24"/>
                <w:szCs w:val="24"/>
                <w:highlight w:val="none"/>
              </w:rPr>
            </w:pPr>
          </w:p>
        </w:tc>
      </w:tr>
    </w:tbl>
    <w:p w14:paraId="22E90553">
      <w:pPr>
        <w:spacing w:after="0" w:line="360" w:lineRule="auto"/>
        <w:rPr>
          <w:rFonts w:hint="eastAsia" w:cs="仿宋"/>
          <w:b/>
          <w:color w:val="auto"/>
        </w:rPr>
      </w:pPr>
      <w:r>
        <w:rPr>
          <w:rFonts w:hint="eastAsia" w:cs="仿宋"/>
          <w:b/>
          <w:color w:val="auto"/>
        </w:rPr>
        <w:t>注：</w:t>
      </w:r>
    </w:p>
    <w:p w14:paraId="7B839047">
      <w:pPr>
        <w:spacing w:after="0" w:line="360" w:lineRule="auto"/>
        <w:rPr>
          <w:rFonts w:cs="仿宋"/>
          <w:color w:val="auto"/>
        </w:rPr>
      </w:pPr>
      <w:r>
        <w:rPr>
          <w:rFonts w:hint="eastAsia" w:cs="仿宋"/>
          <w:color w:val="auto"/>
        </w:rPr>
        <w:t>1、评分条款中涉及的业绩、荣誉、人员、社保等分公司均有效。</w:t>
      </w:r>
    </w:p>
    <w:p w14:paraId="32FFDB5D">
      <w:pPr>
        <w:spacing w:after="0" w:line="360" w:lineRule="auto"/>
        <w:rPr>
          <w:rFonts w:hint="eastAsia" w:cs="仿宋"/>
          <w:color w:val="auto"/>
        </w:rPr>
      </w:pPr>
      <w:r>
        <w:rPr>
          <w:rFonts w:hint="eastAsia" w:cs="仿宋"/>
          <w:color w:val="auto"/>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681DA2A">
      <w:pPr>
        <w:spacing w:after="0" w:line="360" w:lineRule="auto"/>
        <w:rPr>
          <w:rFonts w:hint="eastAsia" w:cs="仿宋"/>
          <w:color w:val="auto"/>
        </w:rPr>
      </w:pPr>
      <w:r>
        <w:rPr>
          <w:rFonts w:hint="eastAsia" w:cs="仿宋"/>
          <w:color w:val="auto"/>
        </w:rPr>
        <w:t>3、供应商编制响应文件（商务技术文件部分）时，建议按此目录（序号和内容）提供评审标准相应的商务技术资料。</w:t>
      </w:r>
    </w:p>
    <w:p w14:paraId="2FD11984">
      <w:pPr>
        <w:pStyle w:val="3"/>
        <w:spacing w:line="360" w:lineRule="auto"/>
        <w:jc w:val="center"/>
        <w:rPr>
          <w:rFonts w:cs="仿宋"/>
          <w:color w:val="auto"/>
        </w:rPr>
      </w:pPr>
      <w:r>
        <w:rPr>
          <w:rFonts w:hint="eastAsia" w:cs="仿宋"/>
          <w:color w:val="auto"/>
        </w:rPr>
        <w:t>一、评审方法</w:t>
      </w:r>
    </w:p>
    <w:p w14:paraId="523942D4">
      <w:pPr>
        <w:spacing w:line="360" w:lineRule="auto"/>
        <w:ind w:firstLine="472" w:firstLineChars="196"/>
        <w:rPr>
          <w:rFonts w:cs="仿宋"/>
          <w:color w:val="auto"/>
        </w:rPr>
      </w:pPr>
      <w:r>
        <w:rPr>
          <w:rStyle w:val="43"/>
          <w:rFonts w:hint="eastAsia" w:cs="仿宋"/>
          <w:color w:val="auto"/>
        </w:rPr>
        <w:t>1.本项目采用综合评分法。</w:t>
      </w:r>
      <w:r>
        <w:rPr>
          <w:rFonts w:hint="eastAsia" w:cs="仿宋"/>
          <w:color w:val="auto"/>
        </w:rPr>
        <w:t>综合评分法，是指响应文件满足交易文件全部实质性要求，且按照评审因素的量化指标评审得分最高的供应商为成交候选人的评审方法。</w:t>
      </w:r>
    </w:p>
    <w:p w14:paraId="2247AA80">
      <w:pPr>
        <w:pStyle w:val="3"/>
        <w:spacing w:line="360" w:lineRule="auto"/>
        <w:rPr>
          <w:rFonts w:cs="仿宋"/>
          <w:color w:val="auto"/>
          <w:sz w:val="24"/>
        </w:rPr>
      </w:pPr>
      <w:r>
        <w:rPr>
          <w:rFonts w:hint="eastAsia" w:cs="仿宋"/>
          <w:color w:val="auto"/>
        </w:rPr>
        <w:t>二、评审标准</w:t>
      </w:r>
    </w:p>
    <w:p w14:paraId="057723F9">
      <w:pPr>
        <w:spacing w:line="360" w:lineRule="auto"/>
        <w:ind w:firstLine="472" w:firstLineChars="196"/>
        <w:rPr>
          <w:rFonts w:cs="仿宋"/>
          <w:b/>
          <w:color w:val="auto"/>
        </w:rPr>
      </w:pPr>
      <w:r>
        <w:rPr>
          <w:rStyle w:val="43"/>
          <w:rFonts w:hint="eastAsia" w:cs="仿宋"/>
          <w:color w:val="auto"/>
        </w:rPr>
        <w:t>2. 评审标准：</w:t>
      </w:r>
      <w:r>
        <w:rPr>
          <w:rFonts w:hint="eastAsia" w:cs="仿宋"/>
          <w:color w:val="auto"/>
        </w:rPr>
        <w:t>见评审办法前附表。</w:t>
      </w:r>
    </w:p>
    <w:p w14:paraId="40E339CD">
      <w:pPr>
        <w:pStyle w:val="3"/>
        <w:spacing w:line="360" w:lineRule="auto"/>
        <w:rPr>
          <w:rFonts w:cs="仿宋"/>
          <w:color w:val="auto"/>
        </w:rPr>
      </w:pPr>
      <w:r>
        <w:rPr>
          <w:rFonts w:hint="eastAsia" w:cs="仿宋"/>
          <w:color w:val="auto"/>
        </w:rPr>
        <w:t>三、评审程序</w:t>
      </w:r>
    </w:p>
    <w:p w14:paraId="00D08597">
      <w:pPr>
        <w:spacing w:after="0" w:line="360" w:lineRule="auto"/>
        <w:ind w:firstLine="482" w:firstLineChars="200"/>
        <w:rPr>
          <w:rFonts w:cs="仿宋"/>
          <w:color w:val="auto"/>
        </w:rPr>
      </w:pPr>
      <w:r>
        <w:rPr>
          <w:rStyle w:val="43"/>
          <w:rFonts w:hint="eastAsia" w:cs="仿宋"/>
          <w:color w:val="auto"/>
        </w:rPr>
        <w:t>3.1符合性审查。</w:t>
      </w:r>
      <w:r>
        <w:rPr>
          <w:rFonts w:hint="eastAsia" w:cs="仿宋"/>
          <w:color w:val="auto"/>
        </w:rPr>
        <w:t>评审委员会应当对符合资格的供应商的响应文件进行符合性审查，以确定其是否满足交易文件的实质性要求。不满足交易文件的实质性要求的，响应无效。</w:t>
      </w:r>
    </w:p>
    <w:p w14:paraId="61F07196">
      <w:pPr>
        <w:spacing w:after="0" w:line="360" w:lineRule="auto"/>
        <w:ind w:firstLine="482" w:firstLineChars="200"/>
        <w:rPr>
          <w:rFonts w:cs="仿宋"/>
          <w:color w:val="auto"/>
        </w:rPr>
      </w:pPr>
      <w:r>
        <w:rPr>
          <w:rStyle w:val="43"/>
          <w:rFonts w:hint="eastAsia" w:cs="仿宋"/>
          <w:color w:val="auto"/>
        </w:rPr>
        <w:t>3.2 比较与评价。</w:t>
      </w:r>
      <w:r>
        <w:rPr>
          <w:rFonts w:hint="eastAsia" w:cs="仿宋"/>
          <w:color w:val="auto"/>
        </w:rPr>
        <w:t>评审委员会应当按照交易文件中规定的评审方法和标准，对符合性审查合格的响应文件进行商务和技术评估，综合比较与评价。</w:t>
      </w:r>
    </w:p>
    <w:p w14:paraId="3CBE6CBB">
      <w:pPr>
        <w:spacing w:after="0" w:line="360" w:lineRule="auto"/>
        <w:ind w:firstLine="482" w:firstLineChars="200"/>
        <w:rPr>
          <w:rFonts w:cs="仿宋"/>
          <w:color w:val="auto"/>
        </w:rPr>
      </w:pPr>
      <w:r>
        <w:rPr>
          <w:rStyle w:val="43"/>
          <w:rFonts w:hint="eastAsia" w:cs="仿宋"/>
          <w:color w:val="auto"/>
        </w:rPr>
        <w:t>3.3汇总商务技术得分。</w:t>
      </w:r>
      <w:r>
        <w:rPr>
          <w:rFonts w:hint="eastAsia" w:cs="仿宋"/>
          <w:color w:val="auto"/>
        </w:rPr>
        <w:t>评审委员会各成员应当独立对每个供应商的商务和技术文件进行评价，并汇总商务技术得分情况。</w:t>
      </w:r>
    </w:p>
    <w:p w14:paraId="011CD91A">
      <w:pPr>
        <w:pStyle w:val="4"/>
        <w:spacing w:after="0" w:line="360" w:lineRule="auto"/>
        <w:ind w:firstLine="482" w:firstLineChars="200"/>
        <w:rPr>
          <w:rFonts w:cs="仿宋"/>
          <w:color w:val="auto"/>
        </w:rPr>
      </w:pPr>
      <w:r>
        <w:rPr>
          <w:rFonts w:hint="eastAsia" w:cs="仿宋"/>
          <w:color w:val="auto"/>
        </w:rPr>
        <w:t>3.4报价评审。</w:t>
      </w:r>
    </w:p>
    <w:p w14:paraId="7E3AD725">
      <w:pPr>
        <w:pStyle w:val="72"/>
        <w:spacing w:after="0"/>
        <w:ind w:firstLine="480" w:firstLineChars="200"/>
        <w:rPr>
          <w:rFonts w:cs="仿宋"/>
          <w:color w:val="auto"/>
        </w:rPr>
      </w:pPr>
      <w:r>
        <w:rPr>
          <w:rFonts w:hint="eastAsia" w:cs="仿宋"/>
          <w:color w:val="auto"/>
        </w:rPr>
        <w:t>3.4.1响应文件报价出现前后不一致的，按照下列规定修正：</w:t>
      </w:r>
    </w:p>
    <w:p w14:paraId="0D4F39F0">
      <w:pPr>
        <w:pStyle w:val="72"/>
        <w:spacing w:after="0"/>
        <w:ind w:firstLine="480" w:firstLineChars="200"/>
        <w:rPr>
          <w:rFonts w:cs="仿宋"/>
          <w:color w:val="auto"/>
        </w:rPr>
      </w:pPr>
      <w:r>
        <w:rPr>
          <w:rFonts w:hint="eastAsia" w:cs="仿宋"/>
          <w:color w:val="auto"/>
        </w:rPr>
        <w:t>3.4.1.1响应文件中响应一览表(报价表)内容与响应文件中相应内容不一致的，以响应一览表(报价表)为准;</w:t>
      </w:r>
    </w:p>
    <w:p w14:paraId="08516B92">
      <w:pPr>
        <w:pStyle w:val="72"/>
        <w:spacing w:after="0"/>
        <w:ind w:firstLine="480" w:firstLineChars="200"/>
        <w:rPr>
          <w:rFonts w:cs="仿宋"/>
          <w:color w:val="auto"/>
        </w:rPr>
      </w:pPr>
      <w:r>
        <w:rPr>
          <w:rFonts w:hint="eastAsia" w:cs="仿宋"/>
          <w:color w:val="auto"/>
        </w:rPr>
        <w:t>3.4.1.2大写金额和小写金额不一致的，以大写金额为准;</w:t>
      </w:r>
    </w:p>
    <w:p w14:paraId="7D78A70A">
      <w:pPr>
        <w:pStyle w:val="72"/>
        <w:spacing w:after="0"/>
        <w:ind w:firstLine="480" w:firstLineChars="200"/>
        <w:rPr>
          <w:rFonts w:cs="仿宋"/>
          <w:color w:val="auto"/>
        </w:rPr>
      </w:pPr>
      <w:r>
        <w:rPr>
          <w:rFonts w:hint="eastAsia" w:cs="仿宋"/>
          <w:color w:val="auto"/>
        </w:rPr>
        <w:t>3.4.1.3单价金额小数点或者百分比有明显错位的，以响应一览表的总价为准，并修改单价;</w:t>
      </w:r>
    </w:p>
    <w:p w14:paraId="35D95257">
      <w:pPr>
        <w:pStyle w:val="72"/>
        <w:spacing w:after="0"/>
        <w:ind w:firstLine="480" w:firstLineChars="200"/>
        <w:rPr>
          <w:rFonts w:cs="仿宋"/>
          <w:color w:val="auto"/>
        </w:rPr>
      </w:pPr>
      <w:r>
        <w:rPr>
          <w:rFonts w:hint="eastAsia" w:cs="仿宋"/>
          <w:color w:val="auto"/>
        </w:rPr>
        <w:t>3.4.1.4总价金额与按单价汇总金额不一致的，以单价金额计算结果为准。</w:t>
      </w:r>
    </w:p>
    <w:p w14:paraId="59630395">
      <w:pPr>
        <w:pStyle w:val="72"/>
        <w:spacing w:after="0"/>
        <w:ind w:firstLine="480" w:firstLineChars="200"/>
        <w:rPr>
          <w:rFonts w:cs="仿宋"/>
          <w:color w:val="auto"/>
        </w:rPr>
      </w:pPr>
      <w:r>
        <w:rPr>
          <w:rFonts w:hint="eastAsia" w:cs="仿宋"/>
          <w:color w:val="auto"/>
        </w:rPr>
        <w:t>3.4.1.5同时出现两种以上不一致的，按照3.4.1规定的顺序修正。修正后的报价按照财政部第87号令 《</w:t>
      </w:r>
      <w:r>
        <w:rPr>
          <w:rFonts w:hint="eastAsia" w:ascii="宋体" w:hAnsi="宋体" w:cs="宋体"/>
          <w:color w:val="auto"/>
          <w:kern w:val="0"/>
          <w:szCs w:val="24"/>
          <w:highlight w:val="none"/>
        </w:rPr>
        <w:t>政府采购货物和服务招标投标管理办法</w:t>
      </w:r>
      <w:r>
        <w:rPr>
          <w:rFonts w:hint="eastAsia" w:cs="仿宋"/>
          <w:color w:val="auto"/>
        </w:rPr>
        <w:t>》第五十一条第二款的规定经供应商确认后产生约束力。</w:t>
      </w:r>
    </w:p>
    <w:p w14:paraId="758A793B">
      <w:pPr>
        <w:snapToGrid w:val="0"/>
        <w:spacing w:after="0" w:line="360" w:lineRule="auto"/>
        <w:ind w:firstLine="480" w:firstLineChars="200"/>
        <w:rPr>
          <w:rFonts w:cs="仿宋"/>
          <w:color w:val="auto"/>
        </w:rPr>
      </w:pPr>
      <w:r>
        <w:rPr>
          <w:rFonts w:hint="eastAsia" w:cs="仿宋"/>
          <w:color w:val="auto"/>
        </w:rPr>
        <w:t>3.4.2响应文件出现不是唯一的、有选择性响应报价的，响应无效。</w:t>
      </w:r>
    </w:p>
    <w:p w14:paraId="1FF563FF">
      <w:pPr>
        <w:snapToGrid w:val="0"/>
        <w:spacing w:after="0" w:line="360" w:lineRule="auto"/>
        <w:ind w:firstLine="480" w:firstLineChars="200"/>
        <w:rPr>
          <w:rFonts w:cs="仿宋"/>
          <w:color w:val="auto"/>
        </w:rPr>
      </w:pPr>
      <w:r>
        <w:rPr>
          <w:rFonts w:hint="eastAsia" w:cs="仿宋"/>
          <w:color w:val="auto"/>
        </w:rPr>
        <w:t>3.4.3响应报价超过交易文件中规定的预算金额或者最高限价的，响应无效。</w:t>
      </w:r>
    </w:p>
    <w:p w14:paraId="3190B1CD">
      <w:pPr>
        <w:spacing w:after="0" w:line="360" w:lineRule="auto"/>
        <w:ind w:firstLine="482" w:firstLineChars="200"/>
        <w:rPr>
          <w:rFonts w:cs="仿宋"/>
          <w:color w:val="auto"/>
        </w:rPr>
      </w:pPr>
      <w:r>
        <w:rPr>
          <w:rStyle w:val="43"/>
          <w:rFonts w:hint="eastAsia" w:cs="仿宋"/>
          <w:color w:val="auto"/>
        </w:rPr>
        <w:t>3.5排序与推荐。</w:t>
      </w:r>
      <w:r>
        <w:rPr>
          <w:rFonts w:hint="eastAsia" w:cs="仿宋"/>
          <w:color w:val="auto"/>
        </w:rPr>
        <w:t>采用综合评分法的，评审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79F4D880">
      <w:pPr>
        <w:spacing w:after="0" w:line="360" w:lineRule="auto"/>
        <w:ind w:firstLine="480" w:firstLineChars="200"/>
        <w:rPr>
          <w:rFonts w:cs="仿宋"/>
          <w:b/>
          <w:color w:val="auto"/>
        </w:rPr>
      </w:pPr>
      <w:r>
        <w:rPr>
          <w:rFonts w:hint="eastAsia" w:cs="仿宋"/>
          <w:color w:val="auto"/>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48BAE96E">
      <w:pPr>
        <w:spacing w:after="0" w:line="360" w:lineRule="auto"/>
        <w:ind w:firstLine="482" w:firstLineChars="200"/>
        <w:rPr>
          <w:rFonts w:cs="仿宋"/>
          <w:color w:val="auto"/>
        </w:rPr>
      </w:pPr>
      <w:r>
        <w:rPr>
          <w:rStyle w:val="43"/>
          <w:rFonts w:hint="eastAsia" w:cs="仿宋"/>
          <w:color w:val="auto"/>
        </w:rPr>
        <w:t>3.6编写评审报告。</w:t>
      </w:r>
      <w:r>
        <w:rPr>
          <w:rFonts w:hint="eastAsia" w:cs="仿宋"/>
          <w:color w:val="auto"/>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8A874E5">
      <w:pPr>
        <w:pStyle w:val="3"/>
        <w:spacing w:line="360" w:lineRule="auto"/>
        <w:rPr>
          <w:rFonts w:cs="仿宋"/>
          <w:color w:val="auto"/>
        </w:rPr>
      </w:pPr>
      <w:r>
        <w:rPr>
          <w:rFonts w:hint="eastAsia" w:cs="仿宋"/>
          <w:color w:val="auto"/>
        </w:rPr>
        <w:t>四、评审中的其他事项</w:t>
      </w:r>
    </w:p>
    <w:p w14:paraId="3D4021AC">
      <w:pPr>
        <w:pStyle w:val="72"/>
        <w:spacing w:after="0"/>
        <w:ind w:firstLine="482" w:firstLineChars="200"/>
        <w:rPr>
          <w:rFonts w:cs="仿宋"/>
          <w:color w:val="auto"/>
        </w:rPr>
      </w:pPr>
      <w:r>
        <w:rPr>
          <w:rStyle w:val="43"/>
          <w:rFonts w:hint="eastAsia" w:cs="仿宋"/>
          <w:color w:val="auto"/>
        </w:rPr>
        <w:t>4.1供应商澄清、说明或者补正。</w:t>
      </w:r>
      <w:r>
        <w:rPr>
          <w:rFonts w:hint="eastAsia" w:cs="仿宋"/>
          <w:color w:val="auto"/>
        </w:rPr>
        <w:t>对于响应文件中含义不明确、同类问题表述不一致或者有明显文字和计算错误的内容需要供应商作出必要的澄清、说明或者补正的，评审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659047D">
      <w:pPr>
        <w:pStyle w:val="16"/>
        <w:spacing w:line="360" w:lineRule="auto"/>
        <w:ind w:firstLine="482"/>
        <w:rPr>
          <w:rFonts w:ascii="仿宋" w:hAnsi="仿宋" w:eastAsia="仿宋" w:cs="仿宋"/>
          <w:color w:val="auto"/>
          <w:szCs w:val="21"/>
        </w:rPr>
      </w:pPr>
      <w:r>
        <w:rPr>
          <w:rStyle w:val="43"/>
          <w:rFonts w:hint="eastAsia" w:cs="仿宋"/>
          <w:color w:val="auto"/>
        </w:rPr>
        <w:t>4.2响应无效。</w:t>
      </w:r>
      <w:r>
        <w:rPr>
          <w:rFonts w:hint="eastAsia" w:ascii="仿宋" w:hAnsi="仿宋" w:eastAsia="仿宋" w:cs="仿宋"/>
          <w:color w:val="auto"/>
          <w:szCs w:val="21"/>
        </w:rPr>
        <w:t>有下列情形之一的，响应无效：</w:t>
      </w:r>
    </w:p>
    <w:p w14:paraId="31AC8800">
      <w:pPr>
        <w:spacing w:after="0" w:line="360" w:lineRule="auto"/>
        <w:ind w:firstLine="480" w:firstLineChars="200"/>
        <w:rPr>
          <w:rFonts w:cs="仿宋"/>
          <w:color w:val="auto"/>
        </w:rPr>
      </w:pPr>
      <w:r>
        <w:rPr>
          <w:rFonts w:hint="eastAsia" w:cs="仿宋"/>
          <w:color w:val="auto"/>
        </w:rPr>
        <w:t>4.2.1供应商不具备交易文件中规定的资格要求的（供应商未提供有效的资格文件的，视为供应商不具备交易文件中规定的资格要求）；</w:t>
      </w:r>
    </w:p>
    <w:p w14:paraId="1E8ACA28">
      <w:pPr>
        <w:spacing w:after="0" w:line="360" w:lineRule="auto"/>
        <w:ind w:firstLine="480" w:firstLineChars="200"/>
        <w:rPr>
          <w:rFonts w:cs="仿宋"/>
          <w:color w:val="auto"/>
        </w:rPr>
      </w:pPr>
      <w:r>
        <w:rPr>
          <w:rFonts w:hint="eastAsia" w:cs="仿宋"/>
          <w:color w:val="auto"/>
        </w:rPr>
        <w:t>4.2.2响应文件未按照交易文件要求签署、盖章的；</w:t>
      </w:r>
    </w:p>
    <w:p w14:paraId="7F2AC92D">
      <w:pPr>
        <w:spacing w:after="0" w:line="360" w:lineRule="auto"/>
        <w:ind w:firstLine="480" w:firstLineChars="200"/>
        <w:rPr>
          <w:rFonts w:cs="仿宋"/>
          <w:color w:val="auto"/>
        </w:rPr>
      </w:pPr>
      <w:r>
        <w:rPr>
          <w:rFonts w:hint="eastAsia" w:cs="仿宋"/>
          <w:color w:val="auto"/>
        </w:rPr>
        <w:t>4.2.3</w:t>
      </w:r>
      <w:r>
        <w:rPr>
          <w:rFonts w:hint="eastAsia" w:cs="仿宋"/>
          <w:color w:val="auto"/>
          <w:lang w:eastAsia="zh-CN"/>
        </w:rPr>
        <w:t>交易发起人</w:t>
      </w:r>
      <w:r>
        <w:rPr>
          <w:rFonts w:hint="eastAsia" w:cs="仿宋"/>
          <w:color w:val="auto"/>
        </w:rPr>
        <w:t>拟采购的产品属于政府强制采购的节能产品品目清单范围的，供应商未按交易文件要求提供国家确定的认证机构出具的、处于有效期之内的节能产品认证证书的；</w:t>
      </w:r>
    </w:p>
    <w:p w14:paraId="3B909615">
      <w:pPr>
        <w:spacing w:after="0" w:line="360" w:lineRule="auto"/>
        <w:ind w:firstLine="480" w:firstLineChars="200"/>
        <w:rPr>
          <w:rFonts w:cs="仿宋"/>
          <w:color w:val="auto"/>
        </w:rPr>
      </w:pPr>
      <w:r>
        <w:rPr>
          <w:rFonts w:hint="eastAsia" w:cs="仿宋"/>
          <w:color w:val="auto"/>
        </w:rPr>
        <w:t>4.2.4响应文件含有</w:t>
      </w:r>
      <w:r>
        <w:rPr>
          <w:rFonts w:hint="eastAsia" w:cs="仿宋"/>
          <w:color w:val="auto"/>
          <w:lang w:eastAsia="zh-CN"/>
        </w:rPr>
        <w:t>交易发起人</w:t>
      </w:r>
      <w:r>
        <w:rPr>
          <w:rFonts w:hint="eastAsia" w:cs="仿宋"/>
          <w:color w:val="auto"/>
        </w:rPr>
        <w:t>不能接受的附加条件的；</w:t>
      </w:r>
    </w:p>
    <w:p w14:paraId="70C218F4">
      <w:pPr>
        <w:spacing w:after="0" w:line="360" w:lineRule="auto"/>
        <w:ind w:firstLine="480" w:firstLineChars="200"/>
        <w:rPr>
          <w:rFonts w:cs="仿宋"/>
          <w:color w:val="auto"/>
        </w:rPr>
      </w:pPr>
      <w:r>
        <w:rPr>
          <w:rFonts w:hint="eastAsia" w:cs="仿宋"/>
          <w:color w:val="auto"/>
        </w:rPr>
        <w:t>4.2.5响应文件中承诺的响应有效期少于交易文件中载明的响应有效期的；</w:t>
      </w:r>
    </w:p>
    <w:p w14:paraId="3BFD5622">
      <w:pPr>
        <w:snapToGrid w:val="0"/>
        <w:spacing w:after="0" w:line="360" w:lineRule="auto"/>
        <w:ind w:firstLine="480" w:firstLineChars="200"/>
        <w:rPr>
          <w:rFonts w:cs="仿宋"/>
          <w:color w:val="auto"/>
        </w:rPr>
      </w:pPr>
      <w:r>
        <w:rPr>
          <w:rFonts w:hint="eastAsia" w:cs="仿宋"/>
          <w:color w:val="auto"/>
        </w:rPr>
        <w:t>4.2.6响应文件出现不是唯一的、有选择性响应报价的;</w:t>
      </w:r>
    </w:p>
    <w:p w14:paraId="016A3EB0">
      <w:pPr>
        <w:spacing w:after="0" w:line="360" w:lineRule="auto"/>
        <w:ind w:firstLine="480" w:firstLineChars="200"/>
        <w:rPr>
          <w:rFonts w:cs="仿宋"/>
          <w:color w:val="auto"/>
        </w:rPr>
      </w:pPr>
      <w:r>
        <w:rPr>
          <w:rFonts w:hint="eastAsia" w:cs="仿宋"/>
          <w:color w:val="auto"/>
        </w:rPr>
        <w:t>4.2.7响应报价超过交易文件中规定的预算金额或者最高限价的;</w:t>
      </w:r>
    </w:p>
    <w:p w14:paraId="159637BF">
      <w:pPr>
        <w:spacing w:after="0" w:line="360" w:lineRule="auto"/>
        <w:ind w:firstLine="480" w:firstLineChars="200"/>
        <w:rPr>
          <w:rFonts w:cs="仿宋"/>
          <w:color w:val="auto"/>
        </w:rPr>
      </w:pPr>
      <w:r>
        <w:rPr>
          <w:rFonts w:hint="eastAsia" w:cs="仿宋"/>
          <w:color w:val="auto"/>
        </w:rPr>
        <w:t>4.2.8报价明显低于其他通过符合性审查供应商的报价，有可能影响产品质量或者不能诚信履约的，未能按要求提供书面说明或者提交相关证明材料，不能证明其报价合理性的;</w:t>
      </w:r>
    </w:p>
    <w:p w14:paraId="55A1E277">
      <w:pPr>
        <w:spacing w:after="0" w:line="360" w:lineRule="auto"/>
        <w:ind w:firstLine="480" w:firstLineChars="200"/>
        <w:rPr>
          <w:rFonts w:cs="仿宋"/>
          <w:color w:val="auto"/>
        </w:rPr>
      </w:pPr>
      <w:r>
        <w:rPr>
          <w:rFonts w:hint="eastAsia" w:cs="仿宋"/>
          <w:color w:val="auto"/>
        </w:rPr>
        <w:t>4.2.9供应商对根据修正原则修正后的报价不确认的；</w:t>
      </w:r>
    </w:p>
    <w:p w14:paraId="0F487AE7">
      <w:pPr>
        <w:spacing w:after="0" w:line="360" w:lineRule="auto"/>
        <w:ind w:firstLine="480" w:firstLineChars="200"/>
        <w:rPr>
          <w:rFonts w:cs="仿宋"/>
          <w:color w:val="auto"/>
        </w:rPr>
      </w:pPr>
      <w:r>
        <w:rPr>
          <w:rFonts w:hint="eastAsia" w:cs="仿宋"/>
          <w:color w:val="auto"/>
        </w:rPr>
        <w:t>4.2.10供应商提供虚假材料响应的；</w:t>
      </w:r>
    </w:p>
    <w:p w14:paraId="56B996F6">
      <w:pPr>
        <w:spacing w:after="0" w:line="360" w:lineRule="auto"/>
        <w:ind w:firstLine="480" w:firstLineChars="200"/>
        <w:rPr>
          <w:rFonts w:cs="仿宋"/>
          <w:color w:val="auto"/>
        </w:rPr>
      </w:pPr>
      <w:r>
        <w:rPr>
          <w:rFonts w:hint="eastAsia" w:cs="仿宋"/>
          <w:color w:val="auto"/>
        </w:rPr>
        <w:t xml:space="preserve">  4.2.11供应商有恶意串通、妨碍其他供应商的竞争行为、损害</w:t>
      </w:r>
      <w:r>
        <w:rPr>
          <w:rFonts w:hint="eastAsia" w:cs="仿宋"/>
          <w:color w:val="auto"/>
          <w:lang w:eastAsia="zh-CN"/>
        </w:rPr>
        <w:t>交易发起人</w:t>
      </w:r>
      <w:r>
        <w:rPr>
          <w:rFonts w:hint="eastAsia" w:cs="仿宋"/>
          <w:color w:val="auto"/>
        </w:rPr>
        <w:t>或者其他供应商的合法权益情形的；</w:t>
      </w:r>
    </w:p>
    <w:p w14:paraId="06F76ADB">
      <w:pPr>
        <w:spacing w:after="0" w:line="360" w:lineRule="auto"/>
        <w:ind w:firstLine="480" w:firstLineChars="200"/>
        <w:rPr>
          <w:rFonts w:cs="仿宋"/>
          <w:color w:val="auto"/>
        </w:rPr>
      </w:pPr>
      <w:r>
        <w:rPr>
          <w:rFonts w:hint="eastAsia" w:cs="仿宋"/>
          <w:color w:val="auto"/>
        </w:rPr>
        <w:t>4.2.12供应商仅提交备份响应文件，未在电子交易平台传输递交响应文件的，响应无效；</w:t>
      </w:r>
    </w:p>
    <w:p w14:paraId="5415050C">
      <w:pPr>
        <w:spacing w:after="0" w:line="360" w:lineRule="auto"/>
        <w:ind w:firstLine="480" w:firstLineChars="200"/>
        <w:rPr>
          <w:rFonts w:cs="仿宋"/>
          <w:b/>
          <w:bCs/>
          <w:color w:val="auto"/>
        </w:rPr>
      </w:pPr>
      <w:r>
        <w:rPr>
          <w:rFonts w:hint="eastAsia" w:cs="仿宋"/>
          <w:color w:val="auto"/>
        </w:rPr>
        <w:t>4.2.13 响应文件不满足交易文件的其它实质性要求的；</w:t>
      </w:r>
    </w:p>
    <w:p w14:paraId="09892E69">
      <w:pPr>
        <w:spacing w:after="0" w:line="360" w:lineRule="auto"/>
        <w:ind w:firstLine="480" w:firstLineChars="200"/>
        <w:rPr>
          <w:rFonts w:cs="仿宋"/>
          <w:color w:val="auto"/>
        </w:rPr>
      </w:pPr>
      <w:r>
        <w:rPr>
          <w:rFonts w:hint="eastAsia" w:cs="仿宋"/>
          <w:color w:val="auto"/>
        </w:rPr>
        <w:t>4.2.14法律、法规、规章（适用本市的）及省级以上规范性文件（适用本市的）规定的其他无效情形。</w:t>
      </w:r>
    </w:p>
    <w:p w14:paraId="274B77F8">
      <w:pPr>
        <w:pStyle w:val="16"/>
        <w:snapToGrid w:val="0"/>
        <w:spacing w:line="360" w:lineRule="auto"/>
        <w:ind w:firstLine="482"/>
        <w:rPr>
          <w:rFonts w:ascii="仿宋" w:hAnsi="仿宋" w:eastAsia="仿宋" w:cs="仿宋"/>
          <w:color w:val="auto"/>
        </w:rPr>
      </w:pPr>
      <w:r>
        <w:rPr>
          <w:rStyle w:val="43"/>
          <w:rFonts w:hint="eastAsia" w:cs="仿宋"/>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49FC8B1E">
      <w:pPr>
        <w:pStyle w:val="16"/>
        <w:snapToGrid w:val="0"/>
        <w:spacing w:line="360" w:lineRule="auto"/>
        <w:rPr>
          <w:rFonts w:ascii="仿宋" w:hAnsi="仿宋" w:eastAsia="仿宋" w:cs="仿宋"/>
          <w:color w:val="auto"/>
        </w:rPr>
      </w:pPr>
      <w:r>
        <w:rPr>
          <w:rFonts w:hint="eastAsia" w:ascii="仿宋" w:hAnsi="仿宋" w:eastAsia="仿宋" w:cs="仿宋"/>
          <w:color w:val="auto"/>
        </w:rPr>
        <w:t>5.1符合专业条件的供应商或者对交易文件作实质响应的供应商不足3家的；</w:t>
      </w:r>
    </w:p>
    <w:p w14:paraId="10FBDD0B">
      <w:pPr>
        <w:pStyle w:val="16"/>
        <w:snapToGrid w:val="0"/>
        <w:spacing w:line="360" w:lineRule="auto"/>
        <w:rPr>
          <w:rFonts w:ascii="仿宋" w:hAnsi="仿宋" w:eastAsia="仿宋" w:cs="仿宋"/>
          <w:color w:val="auto"/>
        </w:rPr>
      </w:pPr>
      <w:r>
        <w:rPr>
          <w:rFonts w:hint="eastAsia" w:ascii="仿宋" w:hAnsi="仿宋" w:eastAsia="仿宋" w:cs="仿宋"/>
          <w:color w:val="auto"/>
        </w:rPr>
        <w:t>5.2出现影响采购公正的违法、违规行为的；</w:t>
      </w:r>
    </w:p>
    <w:p w14:paraId="0D5A4248">
      <w:pPr>
        <w:pStyle w:val="16"/>
        <w:snapToGrid w:val="0"/>
        <w:spacing w:line="360" w:lineRule="auto"/>
        <w:rPr>
          <w:rFonts w:ascii="仿宋" w:hAnsi="仿宋" w:eastAsia="仿宋" w:cs="仿宋"/>
          <w:color w:val="auto"/>
        </w:rPr>
      </w:pPr>
      <w:r>
        <w:rPr>
          <w:rFonts w:hint="eastAsia" w:ascii="仿宋" w:hAnsi="仿宋" w:eastAsia="仿宋" w:cs="仿宋"/>
          <w:color w:val="auto"/>
        </w:rPr>
        <w:t>5.3供应商的报价均超过了采购预算，</w:t>
      </w:r>
      <w:r>
        <w:rPr>
          <w:rFonts w:hint="eastAsia" w:ascii="仿宋" w:hAnsi="仿宋" w:eastAsia="仿宋" w:cs="仿宋"/>
          <w:color w:val="auto"/>
          <w:lang w:eastAsia="zh-CN"/>
        </w:rPr>
        <w:t>交易发起人</w:t>
      </w:r>
      <w:r>
        <w:rPr>
          <w:rFonts w:hint="eastAsia" w:ascii="仿宋" w:hAnsi="仿宋" w:eastAsia="仿宋" w:cs="仿宋"/>
          <w:color w:val="auto"/>
        </w:rPr>
        <w:t>不能支付的；</w:t>
      </w:r>
    </w:p>
    <w:p w14:paraId="3D9D09EF">
      <w:pPr>
        <w:pStyle w:val="16"/>
        <w:snapToGrid w:val="0"/>
        <w:spacing w:line="360" w:lineRule="auto"/>
        <w:rPr>
          <w:rFonts w:ascii="仿宋" w:hAnsi="仿宋" w:eastAsia="仿宋" w:cs="仿宋"/>
          <w:color w:val="auto"/>
        </w:rPr>
      </w:pPr>
      <w:r>
        <w:rPr>
          <w:rFonts w:hint="eastAsia" w:ascii="仿宋" w:hAnsi="仿宋" w:eastAsia="仿宋" w:cs="仿宋"/>
          <w:color w:val="auto"/>
        </w:rPr>
        <w:t>5.4因重大变故，采购任务取消的。</w:t>
      </w:r>
    </w:p>
    <w:p w14:paraId="55E47C54">
      <w:pPr>
        <w:pStyle w:val="16"/>
        <w:snapToGrid w:val="0"/>
        <w:spacing w:line="360" w:lineRule="auto"/>
        <w:rPr>
          <w:rFonts w:ascii="仿宋" w:hAnsi="仿宋" w:eastAsia="仿宋" w:cs="仿宋"/>
          <w:color w:val="auto"/>
        </w:rPr>
      </w:pPr>
      <w:r>
        <w:rPr>
          <w:rFonts w:hint="eastAsia" w:ascii="仿宋" w:hAnsi="仿宋" w:eastAsia="仿宋" w:cs="仿宋"/>
          <w:color w:val="auto"/>
        </w:rPr>
        <w:t>废标后，采购机构应当将废标理由通知所有供应商。</w:t>
      </w:r>
    </w:p>
    <w:p w14:paraId="0723AF6E">
      <w:pPr>
        <w:pStyle w:val="16"/>
        <w:snapToGrid w:val="0"/>
        <w:spacing w:line="360" w:lineRule="auto"/>
        <w:ind w:firstLine="482"/>
        <w:rPr>
          <w:rFonts w:ascii="仿宋" w:hAnsi="仿宋" w:eastAsia="仿宋" w:cs="仿宋"/>
          <w:color w:val="auto"/>
        </w:rPr>
      </w:pPr>
      <w:r>
        <w:rPr>
          <w:rStyle w:val="43"/>
          <w:rFonts w:hint="eastAsia" w:cs="仿宋"/>
          <w:color w:val="auto"/>
        </w:rPr>
        <w:t>6.修改交易文件，重新组织采购活动。</w:t>
      </w:r>
      <w:r>
        <w:rPr>
          <w:rFonts w:hint="eastAsia" w:ascii="仿宋" w:hAnsi="仿宋" w:eastAsia="仿宋" w:cs="仿宋"/>
          <w:color w:val="auto"/>
        </w:rPr>
        <w:t>评审委员会发现交易文件存在歧义、重大缺陷导致评审工作无法进行，或者交易文件内容违反国家有关强制性规定的，将停止评审工作，并与</w:t>
      </w:r>
      <w:r>
        <w:rPr>
          <w:rFonts w:hint="eastAsia" w:ascii="仿宋" w:hAnsi="仿宋" w:eastAsia="仿宋" w:cs="仿宋"/>
          <w:color w:val="auto"/>
          <w:lang w:eastAsia="zh-CN"/>
        </w:rPr>
        <w:t>交易发起人</w:t>
      </w:r>
      <w:r>
        <w:rPr>
          <w:rFonts w:hint="eastAsia" w:ascii="仿宋" w:hAnsi="仿宋" w:eastAsia="仿宋" w:cs="仿宋"/>
          <w:color w:val="auto"/>
        </w:rPr>
        <w:t>、采购机构沟通并作书面记录。</w:t>
      </w:r>
      <w:r>
        <w:rPr>
          <w:rFonts w:hint="eastAsia" w:ascii="仿宋" w:hAnsi="仿宋" w:eastAsia="仿宋" w:cs="仿宋"/>
          <w:color w:val="auto"/>
          <w:lang w:eastAsia="zh-CN"/>
        </w:rPr>
        <w:t>交易发起人</w:t>
      </w:r>
      <w:r>
        <w:rPr>
          <w:rFonts w:hint="eastAsia" w:ascii="仿宋" w:hAnsi="仿宋" w:eastAsia="仿宋" w:cs="仿宋"/>
          <w:color w:val="auto"/>
        </w:rPr>
        <w:t>、采购机构确认后，将修改交易文件，重新组织采购活动。</w:t>
      </w:r>
    </w:p>
    <w:p w14:paraId="370C0C6C">
      <w:pPr>
        <w:pStyle w:val="16"/>
        <w:snapToGrid w:val="0"/>
        <w:spacing w:line="360" w:lineRule="auto"/>
        <w:ind w:firstLine="482"/>
        <w:rPr>
          <w:rFonts w:ascii="仿宋" w:hAnsi="仿宋" w:eastAsia="仿宋" w:cs="仿宋"/>
          <w:color w:val="auto"/>
        </w:rPr>
      </w:pPr>
      <w:r>
        <w:rPr>
          <w:rStyle w:val="43"/>
          <w:rFonts w:hint="eastAsia" w:cs="仿宋"/>
          <w:color w:val="auto"/>
        </w:rPr>
        <w:t>7.重新开展采购。</w:t>
      </w:r>
      <w:r>
        <w:rPr>
          <w:rFonts w:hint="eastAsia" w:ascii="仿宋" w:hAnsi="仿宋" w:eastAsia="仿宋" w:cs="仿宋"/>
          <w:color w:val="auto"/>
        </w:rPr>
        <w:t>有政府采购法第七十一条、第七十二条规定的违法行为之一，影响或者可能影响</w:t>
      </w:r>
      <w:r>
        <w:rPr>
          <w:rFonts w:hint="eastAsia" w:ascii="仿宋" w:hAnsi="仿宋" w:eastAsia="仿宋" w:cs="仿宋"/>
          <w:color w:val="auto"/>
          <w:lang w:eastAsia="zh-CN"/>
        </w:rPr>
        <w:t>成交</w:t>
      </w:r>
      <w:r>
        <w:rPr>
          <w:rFonts w:hint="eastAsia" w:ascii="仿宋" w:hAnsi="仿宋" w:eastAsia="仿宋" w:cs="仿宋"/>
          <w:color w:val="auto"/>
        </w:rPr>
        <w:t>、成交结果的，依照下列规定处理：</w:t>
      </w:r>
    </w:p>
    <w:p w14:paraId="20207BB4">
      <w:pPr>
        <w:pStyle w:val="16"/>
        <w:snapToGrid w:val="0"/>
        <w:spacing w:line="360" w:lineRule="auto"/>
        <w:rPr>
          <w:rFonts w:ascii="仿宋" w:hAnsi="仿宋" w:eastAsia="仿宋" w:cs="仿宋"/>
          <w:color w:val="auto"/>
        </w:rPr>
      </w:pPr>
      <w:r>
        <w:rPr>
          <w:rFonts w:hint="eastAsia" w:ascii="仿宋" w:hAnsi="仿宋" w:eastAsia="仿宋" w:cs="仿宋"/>
          <w:color w:val="auto"/>
        </w:rPr>
        <w:t>7.1未确定</w:t>
      </w:r>
      <w:r>
        <w:rPr>
          <w:rFonts w:hint="eastAsia" w:ascii="仿宋" w:hAnsi="仿宋" w:eastAsia="仿宋" w:cs="仿宋"/>
          <w:color w:val="auto"/>
          <w:lang w:eastAsia="zh-CN"/>
        </w:rPr>
        <w:t>成交</w:t>
      </w:r>
      <w:r>
        <w:rPr>
          <w:rFonts w:hint="eastAsia" w:ascii="仿宋" w:hAnsi="仿宋" w:eastAsia="仿宋" w:cs="仿宋"/>
          <w:color w:val="auto"/>
        </w:rPr>
        <w:t>或者成交供应商的，终止本次采购活动，重新开展政府采购活动。</w:t>
      </w:r>
    </w:p>
    <w:p w14:paraId="2F497D40">
      <w:pPr>
        <w:pStyle w:val="16"/>
        <w:snapToGrid w:val="0"/>
        <w:spacing w:line="360" w:lineRule="auto"/>
        <w:rPr>
          <w:rFonts w:ascii="仿宋" w:hAnsi="仿宋" w:eastAsia="仿宋" w:cs="仿宋"/>
          <w:color w:val="auto"/>
        </w:rPr>
      </w:pPr>
      <w:r>
        <w:rPr>
          <w:rFonts w:hint="eastAsia" w:ascii="仿宋" w:hAnsi="仿宋" w:eastAsia="仿宋" w:cs="仿宋"/>
          <w:color w:val="auto"/>
        </w:rPr>
        <w:t>7.2已确定</w:t>
      </w:r>
      <w:r>
        <w:rPr>
          <w:rFonts w:hint="eastAsia" w:ascii="仿宋" w:hAnsi="仿宋" w:eastAsia="仿宋" w:cs="仿宋"/>
          <w:color w:val="auto"/>
          <w:lang w:eastAsia="zh-CN"/>
        </w:rPr>
        <w:t>成交</w:t>
      </w:r>
      <w:r>
        <w:rPr>
          <w:rFonts w:hint="eastAsia" w:ascii="仿宋" w:hAnsi="仿宋" w:eastAsia="仿宋" w:cs="仿宋"/>
          <w:color w:val="auto"/>
        </w:rPr>
        <w:t>或者成交供应商但尚未签订政府采购合同的，</w:t>
      </w:r>
      <w:r>
        <w:rPr>
          <w:rFonts w:hint="eastAsia" w:ascii="仿宋" w:hAnsi="仿宋" w:eastAsia="仿宋" w:cs="仿宋"/>
          <w:color w:val="auto"/>
          <w:lang w:eastAsia="zh-CN"/>
        </w:rPr>
        <w:t>成交</w:t>
      </w:r>
      <w:r>
        <w:rPr>
          <w:rFonts w:hint="eastAsia" w:ascii="仿宋" w:hAnsi="仿宋" w:eastAsia="仿宋" w:cs="仿宋"/>
          <w:color w:val="auto"/>
        </w:rPr>
        <w:t>或者成交结果无效，从合格的</w:t>
      </w:r>
      <w:r>
        <w:rPr>
          <w:rFonts w:hint="eastAsia" w:ascii="仿宋" w:hAnsi="仿宋" w:eastAsia="仿宋" w:cs="仿宋"/>
          <w:color w:val="auto"/>
          <w:lang w:eastAsia="zh-CN"/>
        </w:rPr>
        <w:t>成交</w:t>
      </w:r>
      <w:r>
        <w:rPr>
          <w:rFonts w:hint="eastAsia" w:ascii="仿宋" w:hAnsi="仿宋" w:eastAsia="仿宋" w:cs="仿宋"/>
          <w:color w:val="auto"/>
        </w:rPr>
        <w:t>或者成交候选人中另行确定</w:t>
      </w:r>
      <w:r>
        <w:rPr>
          <w:rFonts w:hint="eastAsia" w:ascii="仿宋" w:hAnsi="仿宋" w:eastAsia="仿宋" w:cs="仿宋"/>
          <w:color w:val="auto"/>
          <w:lang w:eastAsia="zh-CN"/>
        </w:rPr>
        <w:t>成交</w:t>
      </w:r>
      <w:r>
        <w:rPr>
          <w:rFonts w:hint="eastAsia" w:ascii="仿宋" w:hAnsi="仿宋" w:eastAsia="仿宋" w:cs="仿宋"/>
          <w:color w:val="auto"/>
        </w:rPr>
        <w:t>或者成交供应商；没有合格的</w:t>
      </w:r>
      <w:r>
        <w:rPr>
          <w:rFonts w:hint="eastAsia" w:ascii="仿宋" w:hAnsi="仿宋" w:eastAsia="仿宋" w:cs="仿宋"/>
          <w:color w:val="auto"/>
          <w:lang w:eastAsia="zh-CN"/>
        </w:rPr>
        <w:t>成交</w:t>
      </w:r>
      <w:r>
        <w:rPr>
          <w:rFonts w:hint="eastAsia" w:ascii="仿宋" w:hAnsi="仿宋" w:eastAsia="仿宋" w:cs="仿宋"/>
          <w:color w:val="auto"/>
        </w:rPr>
        <w:t>或者成交候选人的，重新开展政府采购活动。</w:t>
      </w:r>
    </w:p>
    <w:p w14:paraId="301B2A08">
      <w:pPr>
        <w:pStyle w:val="16"/>
        <w:snapToGrid w:val="0"/>
        <w:spacing w:line="360" w:lineRule="auto"/>
        <w:rPr>
          <w:rFonts w:ascii="仿宋" w:hAnsi="仿宋" w:eastAsia="仿宋" w:cs="仿宋"/>
          <w:color w:val="auto"/>
        </w:rPr>
      </w:pPr>
      <w:r>
        <w:rPr>
          <w:rFonts w:hint="eastAsia" w:ascii="仿宋" w:hAnsi="仿宋" w:eastAsia="仿宋" w:cs="仿宋"/>
          <w:color w:val="auto"/>
        </w:rPr>
        <w:t>7.3政府采购合同已签订但尚未履行的，撤销合同，从合格的</w:t>
      </w:r>
      <w:r>
        <w:rPr>
          <w:rFonts w:hint="eastAsia" w:ascii="仿宋" w:hAnsi="仿宋" w:eastAsia="仿宋" w:cs="仿宋"/>
          <w:color w:val="auto"/>
          <w:lang w:eastAsia="zh-CN"/>
        </w:rPr>
        <w:t>成交</w:t>
      </w:r>
      <w:r>
        <w:rPr>
          <w:rFonts w:hint="eastAsia" w:ascii="仿宋" w:hAnsi="仿宋" w:eastAsia="仿宋" w:cs="仿宋"/>
          <w:color w:val="auto"/>
        </w:rPr>
        <w:t>或者成交候选人中另行确定</w:t>
      </w:r>
      <w:r>
        <w:rPr>
          <w:rFonts w:hint="eastAsia" w:ascii="仿宋" w:hAnsi="仿宋" w:eastAsia="仿宋" w:cs="仿宋"/>
          <w:color w:val="auto"/>
          <w:lang w:eastAsia="zh-CN"/>
        </w:rPr>
        <w:t>成交</w:t>
      </w:r>
      <w:r>
        <w:rPr>
          <w:rFonts w:hint="eastAsia" w:ascii="仿宋" w:hAnsi="仿宋" w:eastAsia="仿宋" w:cs="仿宋"/>
          <w:color w:val="auto"/>
        </w:rPr>
        <w:t>或者成交供应商；没有合格的</w:t>
      </w:r>
      <w:r>
        <w:rPr>
          <w:rFonts w:hint="eastAsia" w:ascii="仿宋" w:hAnsi="仿宋" w:eastAsia="仿宋" w:cs="仿宋"/>
          <w:color w:val="auto"/>
          <w:lang w:eastAsia="zh-CN"/>
        </w:rPr>
        <w:t>成交</w:t>
      </w:r>
      <w:r>
        <w:rPr>
          <w:rFonts w:hint="eastAsia" w:ascii="仿宋" w:hAnsi="仿宋" w:eastAsia="仿宋" w:cs="仿宋"/>
          <w:color w:val="auto"/>
        </w:rPr>
        <w:t>或者成交候选人的，重新开展政府采购活动。</w:t>
      </w:r>
    </w:p>
    <w:p w14:paraId="41381F90">
      <w:pPr>
        <w:pStyle w:val="16"/>
        <w:snapToGrid w:val="0"/>
        <w:spacing w:line="360" w:lineRule="auto"/>
        <w:rPr>
          <w:rFonts w:ascii="仿宋" w:hAnsi="仿宋" w:eastAsia="仿宋" w:cs="仿宋"/>
          <w:color w:val="auto"/>
        </w:rPr>
      </w:pPr>
      <w:r>
        <w:rPr>
          <w:rFonts w:hint="eastAsia" w:ascii="仿宋" w:hAnsi="仿宋" w:eastAsia="仿宋" w:cs="仿宋"/>
          <w:color w:val="auto"/>
        </w:rPr>
        <w:t>7.4采购合同已经履行，给</w:t>
      </w:r>
      <w:r>
        <w:rPr>
          <w:rFonts w:hint="eastAsia" w:ascii="仿宋" w:hAnsi="仿宋" w:eastAsia="仿宋" w:cs="仿宋"/>
          <w:color w:val="auto"/>
          <w:lang w:eastAsia="zh-CN"/>
        </w:rPr>
        <w:t>交易发起人</w:t>
      </w:r>
      <w:r>
        <w:rPr>
          <w:rFonts w:hint="eastAsia" w:ascii="仿宋" w:hAnsi="仿宋" w:eastAsia="仿宋" w:cs="仿宋"/>
          <w:color w:val="auto"/>
        </w:rPr>
        <w:t>、供应商造成损失的，由责任人承担赔偿责任。</w:t>
      </w:r>
    </w:p>
    <w:p w14:paraId="7065B111">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7.5采购当事人有其他违反政府采购法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w:t>
      </w:r>
      <w:r>
        <w:rPr>
          <w:rFonts w:hint="eastAsia" w:ascii="仿宋" w:hAnsi="仿宋" w:eastAsia="仿宋" w:cs="仿宋"/>
          <w:color w:val="auto"/>
          <w:lang w:eastAsia="zh-CN"/>
        </w:rPr>
        <w:t>成交</w:t>
      </w:r>
      <w:r>
        <w:rPr>
          <w:rFonts w:hint="eastAsia" w:ascii="仿宋" w:hAnsi="仿宋" w:eastAsia="仿宋" w:cs="仿宋"/>
          <w:color w:val="auto"/>
        </w:rPr>
        <w:t>、成交结果或者依法被认定为</w:t>
      </w:r>
      <w:r>
        <w:rPr>
          <w:rFonts w:hint="eastAsia" w:ascii="仿宋" w:hAnsi="仿宋" w:eastAsia="仿宋" w:cs="仿宋"/>
          <w:color w:val="auto"/>
          <w:lang w:eastAsia="zh-CN"/>
        </w:rPr>
        <w:t>成交</w:t>
      </w:r>
      <w:r>
        <w:rPr>
          <w:rFonts w:hint="eastAsia" w:ascii="仿宋" w:hAnsi="仿宋" w:eastAsia="仿宋" w:cs="仿宋"/>
          <w:color w:val="auto"/>
        </w:rPr>
        <w:t>、成交无效的，依照7.1-7.4规定处理。</w:t>
      </w:r>
    </w:p>
    <w:p w14:paraId="3BD44EBF">
      <w:pPr>
        <w:rPr>
          <w:rFonts w:hint="eastAsia"/>
          <w:color w:val="auto"/>
        </w:rPr>
      </w:pPr>
      <w:r>
        <w:rPr>
          <w:rFonts w:hint="eastAsia"/>
          <w:color w:val="auto"/>
        </w:rPr>
        <w:br w:type="page"/>
      </w:r>
    </w:p>
    <w:p w14:paraId="2B4F84E4">
      <w:pPr>
        <w:numPr>
          <w:ilvl w:val="0"/>
          <w:numId w:val="3"/>
        </w:numPr>
        <w:spacing w:line="360" w:lineRule="auto"/>
        <w:ind w:left="-480" w:leftChars="-200" w:right="-480" w:rightChars="-200" w:firstLine="723" w:firstLineChars="200"/>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拟签订的合同文本</w:t>
      </w:r>
    </w:p>
    <w:p w14:paraId="22823F8D">
      <w:pPr>
        <w:numPr>
          <w:ilvl w:val="0"/>
          <w:numId w:val="0"/>
        </w:numPr>
        <w:spacing w:line="360" w:lineRule="auto"/>
        <w:ind w:left="303" w:leftChars="0" w:right="-480" w:rightChars="-200"/>
        <w:jc w:val="center"/>
        <w:outlineLvl w:val="0"/>
        <w:rPr>
          <w:rFonts w:hint="eastAsia" w:ascii="仿宋_GB2312" w:eastAsia="仿宋_GB2312" w:cs="仿宋_GB2312"/>
          <w:b w:val="0"/>
          <w:bCs/>
          <w:color w:val="auto"/>
          <w:sz w:val="32"/>
          <w:szCs w:val="32"/>
          <w:lang w:eastAsia="zh-CN"/>
        </w:rPr>
      </w:pPr>
      <w:r>
        <w:rPr>
          <w:rFonts w:hint="eastAsia" w:ascii="仿宋_GB2312" w:eastAsia="仿宋_GB2312" w:cs="仿宋_GB2312"/>
          <w:b w:val="0"/>
          <w:bCs/>
          <w:color w:val="auto"/>
          <w:sz w:val="32"/>
          <w:szCs w:val="32"/>
          <w:lang w:eastAsia="zh-CN"/>
        </w:rPr>
        <w:t>（</w:t>
      </w:r>
      <w:r>
        <w:rPr>
          <w:rFonts w:hint="eastAsia" w:ascii="仿宋_GB2312" w:eastAsia="仿宋_GB2312" w:cs="仿宋_GB2312"/>
          <w:b w:val="0"/>
          <w:bCs/>
          <w:color w:val="auto"/>
          <w:sz w:val="32"/>
          <w:szCs w:val="32"/>
        </w:rPr>
        <w:t>参考范本</w:t>
      </w:r>
      <w:r>
        <w:rPr>
          <w:rFonts w:hint="eastAsia" w:ascii="仿宋_GB2312" w:eastAsia="仿宋_GB2312" w:cs="仿宋_GB2312"/>
          <w:b w:val="0"/>
          <w:bCs/>
          <w:color w:val="auto"/>
          <w:sz w:val="32"/>
          <w:szCs w:val="32"/>
          <w:lang w:eastAsia="zh-CN"/>
        </w:rPr>
        <w:t>，</w:t>
      </w:r>
      <w:r>
        <w:rPr>
          <w:rFonts w:hint="eastAsia" w:ascii="仿宋_GB2312" w:eastAsia="仿宋_GB2312" w:cs="仿宋_GB2312"/>
          <w:b w:val="0"/>
          <w:bCs/>
          <w:color w:val="auto"/>
          <w:sz w:val="32"/>
          <w:szCs w:val="32"/>
          <w:lang w:val="en-US" w:eastAsia="zh-CN"/>
        </w:rPr>
        <w:t>以实际签订合同为准</w:t>
      </w:r>
      <w:r>
        <w:rPr>
          <w:rFonts w:hint="eastAsia" w:ascii="仿宋_GB2312" w:eastAsia="仿宋_GB2312" w:cs="仿宋_GB2312"/>
          <w:b w:val="0"/>
          <w:bCs/>
          <w:color w:val="auto"/>
          <w:sz w:val="32"/>
          <w:szCs w:val="32"/>
          <w:lang w:eastAsia="zh-CN"/>
        </w:rPr>
        <w:t>）</w:t>
      </w:r>
    </w:p>
    <w:p w14:paraId="368AE278">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p>
    <w:p w14:paraId="18137604">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签订地点：                                 签订时间：20</w:t>
      </w:r>
      <w:r>
        <w:rPr>
          <w:rFonts w:hint="eastAsia" w:ascii="仿宋" w:hAnsi="仿宋" w:eastAsia="仿宋" w:cs="仿宋"/>
          <w:color w:val="auto"/>
          <w:sz w:val="24"/>
          <w:szCs w:val="24"/>
          <w:highlight w:val="none"/>
          <w:u w:val="none"/>
          <w:lang w:val="en-US" w:eastAsia="zh-CN"/>
        </w:rPr>
        <w:t>23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5AEFBC3">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7710AD51">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甲方（需方）：                                     </w:t>
      </w:r>
    </w:p>
    <w:p w14:paraId="2C759DC9">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乙方（供方）：                                     </w:t>
      </w:r>
    </w:p>
    <w:p w14:paraId="56BB4573">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供、需双方根据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）交易结果和交易文件的要求，并经双方协调一致，订立本合同。</w:t>
      </w:r>
    </w:p>
    <w:p w14:paraId="6F2CB20C">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一、合同文件：</w:t>
      </w:r>
    </w:p>
    <w:p w14:paraId="6F9E3700">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1、合同条款。</w:t>
      </w:r>
    </w:p>
    <w:p w14:paraId="237F7217">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2、成交通知书。</w:t>
      </w:r>
    </w:p>
    <w:p w14:paraId="04B7E4C5">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3、交易文件。</w:t>
      </w:r>
    </w:p>
    <w:p w14:paraId="2861BAB9">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4、更正公告。</w:t>
      </w:r>
    </w:p>
    <w:p w14:paraId="6342DB17">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5、成交单位响应文件。</w:t>
      </w:r>
    </w:p>
    <w:p w14:paraId="1319D760">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w:t>
      </w:r>
    </w:p>
    <w:p w14:paraId="593F0BCB">
      <w:pPr>
        <w:keepNext w:val="0"/>
        <w:keepLines w:val="0"/>
        <w:pageBreakBefore w:val="0"/>
        <w:widowControl w:val="0"/>
        <w:kinsoku/>
        <w:wordWrap/>
        <w:overflowPunct/>
        <w:topLinePunct w:val="0"/>
        <w:autoSpaceDE/>
        <w:autoSpaceDN/>
        <w:bidi w:val="0"/>
        <w:adjustRightInd w:val="0"/>
        <w:snapToGrid/>
        <w:spacing w:after="0" w:line="336"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二、合同金额: 本合同金额为(大写)</w:t>
      </w:r>
      <w:r>
        <w:rPr>
          <w:rFonts w:hint="eastAsia" w:ascii="仿宋" w:hAnsi="仿宋" w:eastAsia="仿宋" w:cs="仿宋"/>
          <w:color w:val="auto"/>
          <w:sz w:val="24"/>
          <w:szCs w:val="24"/>
          <w:highlight w:val="none"/>
          <w:u w:val="single"/>
        </w:rPr>
        <w:t>_________________</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元）人民币附：</w:t>
      </w:r>
    </w:p>
    <w:p w14:paraId="3551DFE5">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《项目清单内容》</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1474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0655BE06">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E91606E">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C03643B">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5C982C75">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6A347932">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962C87E">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成交总价（元）</w:t>
            </w:r>
          </w:p>
        </w:tc>
      </w:tr>
      <w:tr w14:paraId="37CF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5EB03AC9">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5230119">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4EA629D">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595B7BB0">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F03BBF2">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636511B">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p>
        </w:tc>
      </w:tr>
      <w:tr w14:paraId="3170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57087646">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F9D7BBD">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4C56B8E">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76343405">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BBE4D0B">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9C86CA6">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仿宋" w:hAnsi="仿宋" w:eastAsia="仿宋" w:cs="仿宋"/>
                <w:color w:val="auto"/>
                <w:sz w:val="24"/>
                <w:szCs w:val="24"/>
                <w:highlight w:val="none"/>
              </w:rPr>
            </w:pPr>
          </w:p>
        </w:tc>
      </w:tr>
    </w:tbl>
    <w:p w14:paraId="126B5984">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三、技术资料</w:t>
      </w:r>
    </w:p>
    <w:p w14:paraId="5FD69E91">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1.乙方应按交易文件规定的时间向甲方提供有关技术资料。</w:t>
      </w:r>
    </w:p>
    <w:p w14:paraId="084835D2">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9EC20CD">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四、知识产权</w:t>
      </w:r>
    </w:p>
    <w:p w14:paraId="008A0E47">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14:paraId="26EEE1A8">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五、履约保证金</w:t>
      </w:r>
    </w:p>
    <w:p w14:paraId="5F3B6FCF">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乙方交纳人民币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元作为本合同的履约保证金。</w:t>
      </w:r>
    </w:p>
    <w:p w14:paraId="16C50B73">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六、转包或分包</w:t>
      </w:r>
    </w:p>
    <w:p w14:paraId="0B813863">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1.本合同范围的服务，应由乙方直接供应，不得转让他人供应；</w:t>
      </w:r>
    </w:p>
    <w:p w14:paraId="4FF7D4F2">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14:paraId="304A3971">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14:paraId="4A52564E">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、合同履行时间、履行方式及履行地点</w:t>
      </w:r>
    </w:p>
    <w:p w14:paraId="7DE9D417">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履行时间：</w:t>
      </w:r>
    </w:p>
    <w:p w14:paraId="50E83B3F">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履行方式：</w:t>
      </w:r>
    </w:p>
    <w:p w14:paraId="01E6B9DC">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履行地点：</w:t>
      </w:r>
    </w:p>
    <w:p w14:paraId="444F88DC">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、款项支付</w:t>
      </w:r>
    </w:p>
    <w:p w14:paraId="415E66A0">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1.付款方式：</w:t>
      </w:r>
    </w:p>
    <w:p w14:paraId="39A15E68">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2.合同履行完毕，需方根据合同进行验收，验收合格后供应商按结算要求办理货款结算手续。</w:t>
      </w:r>
    </w:p>
    <w:p w14:paraId="430C45E6">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、税费</w:t>
      </w:r>
    </w:p>
    <w:p w14:paraId="067635D3">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14:paraId="06B035E5">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十、质量保证及后续服务</w:t>
      </w:r>
    </w:p>
    <w:p w14:paraId="4DFE4548">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乙方应按交易文件规定向甲方提供服务。</w:t>
      </w:r>
    </w:p>
    <w:p w14:paraId="5C6D48D8">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乙方提供的服务成果在服务质量保证期内发生故障，乙方应负责免费提供后续服务。对达不到要求者，根据实际情况，经双方协商，可按以下办法处理：</w:t>
      </w:r>
    </w:p>
    <w:p w14:paraId="24F13EB0">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⑴重做：由乙方承担所发生的全部费用。</w:t>
      </w:r>
    </w:p>
    <w:p w14:paraId="64689E44">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14:paraId="41E0D014">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⑶解除合同。</w:t>
      </w:r>
    </w:p>
    <w:p w14:paraId="768FF9B6">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如在使用过程中发生问题，乙方在接到甲方通知后在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小时内到达甲方现场。</w:t>
      </w:r>
    </w:p>
    <w:p w14:paraId="2835CF5A">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4.在服务质量保证期内，乙方应对出现的质量及安全问题负责处理解决并承担一切费用。</w:t>
      </w:r>
    </w:p>
    <w:p w14:paraId="33654A93">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、违约责任</w:t>
      </w:r>
    </w:p>
    <w:p w14:paraId="0AD84939">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1.甲方无正当理由拒绝接收服务的，甲方向乙方偿付合同款项百分之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作为违约金。</w:t>
      </w:r>
    </w:p>
    <w:p w14:paraId="1ED0E103">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向乙方支付违约金。</w:t>
      </w:r>
    </w:p>
    <w:p w14:paraId="27C71F09">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3.乙方未能如期提供服务的，每日向甲方支付合同款项的千分之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作为违约金。乙方超过约定日期10个工作日仍不能提供服务的，甲方可解除本合同，不予退还履约保证金，如造成甲方损失超过履约保证金的，超出部分由乙方继续承担赔偿责任。</w:t>
      </w:r>
    </w:p>
    <w:p w14:paraId="592CC5F4">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4.供方在服务项目验收合格之日起保修期内违反本合同有关承诺保证的，需方将有权不予退还质量保证金，损失赔偿不足部分，由乙方承担赔偿。</w:t>
      </w:r>
    </w:p>
    <w:p w14:paraId="1F60779C">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5．如发现乙方违反交易文件和合同的有关规定，甲方有权根据约定对乙方进行处罚，并有权提前终止合同。</w:t>
      </w:r>
    </w:p>
    <w:p w14:paraId="464844D5">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、争议的解决</w:t>
      </w:r>
    </w:p>
    <w:p w14:paraId="65BAC874">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因本合同引起的或与本合同有关的任何争议，合同双方应首先通过协商解决，达成书面协议，如协商不成，可选择下列第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种方式解决。</w:t>
      </w:r>
    </w:p>
    <w:p w14:paraId="3BAD3804">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（1）提请杭州仲裁委员会按照该会仲裁规则进行仲裁，仲裁裁决是终局的，对合同双方均有约束力。</w:t>
      </w:r>
    </w:p>
    <w:p w14:paraId="4C4EBF1E">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（2）向有管辖权的人民法院提起诉讼。</w:t>
      </w:r>
    </w:p>
    <w:p w14:paraId="37A50D63">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、合同生效</w:t>
      </w:r>
    </w:p>
    <w:p w14:paraId="27A2D4EC">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1.成交供应商持成交通知书作为与需方签订合同的凭证。</w:t>
      </w:r>
    </w:p>
    <w:p w14:paraId="1008C12F">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2.本合同经需、供双方法定代表人或其授权委托人签字并加盖单位公章后生效。</w:t>
      </w:r>
    </w:p>
    <w:p w14:paraId="396E6500">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3.本合同一式四份，需、供双方各执二份。</w:t>
      </w:r>
    </w:p>
    <w:p w14:paraId="09D9F2B2">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需方（盖章）：                     供方（盖章）：</w:t>
      </w:r>
    </w:p>
    <w:p w14:paraId="51B90277">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26CC6743">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法定代表人（或委托代理人）签名：   法定代表人（或委托代理人）签名：</w:t>
      </w:r>
    </w:p>
    <w:p w14:paraId="1FD36A71">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联系电话：</w:t>
      </w:r>
    </w:p>
    <w:p w14:paraId="1FEEB160">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邮政编码：</w:t>
      </w:r>
    </w:p>
    <w:p w14:paraId="2624A1DB">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685B4309">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仿宋_GB2312" w:eastAsia="仿宋_GB2312" w:cs="仿宋_GB2312"/>
          <w:b w:val="0"/>
          <w:bCs/>
          <w:color w:val="auto"/>
          <w:sz w:val="32"/>
          <w:szCs w:val="32"/>
        </w:rPr>
      </w:pPr>
      <w:r>
        <w:rPr>
          <w:rFonts w:hint="eastAsia" w:ascii="仿宋" w:hAnsi="仿宋" w:eastAsia="仿宋" w:cs="仿宋"/>
          <w:color w:val="auto"/>
          <w:sz w:val="24"/>
          <w:szCs w:val="24"/>
          <w:highlight w:val="none"/>
        </w:rPr>
        <w:t>帐号：                             帐号：</w:t>
      </w:r>
      <w:r>
        <w:rPr>
          <w:rFonts w:hint="eastAsia" w:ascii="仿宋" w:hAnsi="仿宋" w:eastAsia="仿宋" w:cs="仿宋"/>
          <w:b w:val="0"/>
          <w:bCs/>
          <w:color w:val="auto"/>
          <w:sz w:val="24"/>
          <w:szCs w:val="24"/>
          <w:lang w:eastAsia="zh-CN"/>
        </w:rPr>
        <w:br w:type="textWrapping"/>
      </w:r>
    </w:p>
    <w:p w14:paraId="5BE10C9C">
      <w:pPr>
        <w:keepNext w:val="0"/>
        <w:keepLines w:val="0"/>
        <w:pageBreakBefore w:val="0"/>
        <w:widowControl/>
        <w:kinsoku/>
        <w:wordWrap/>
        <w:overflowPunct/>
        <w:topLinePunct w:val="0"/>
        <w:bidi w:val="0"/>
        <w:spacing w:line="312" w:lineRule="auto"/>
        <w:textAlignment w:val="auto"/>
        <w:rPr>
          <w:color w:val="auto"/>
        </w:rPr>
      </w:pPr>
    </w:p>
    <w:p w14:paraId="068C6774">
      <w:pPr>
        <w:spacing w:line="360" w:lineRule="auto"/>
        <w:rPr>
          <w:rFonts w:cs="仿宋"/>
          <w:b/>
          <w:smallCaps/>
          <w:color w:val="auto"/>
          <w:spacing w:val="5"/>
          <w:sz w:val="36"/>
          <w:szCs w:val="36"/>
        </w:rPr>
      </w:pPr>
      <w:r>
        <w:rPr>
          <w:rFonts w:hint="eastAsia" w:cs="仿宋"/>
          <w:color w:val="auto"/>
        </w:rPr>
        <w:br w:type="page"/>
      </w:r>
    </w:p>
    <w:p w14:paraId="37E0AA6E">
      <w:pPr>
        <w:pStyle w:val="2"/>
        <w:spacing w:line="360" w:lineRule="auto"/>
        <w:rPr>
          <w:rFonts w:ascii="仿宋" w:eastAsia="仿宋" w:cs="仿宋"/>
          <w:color w:val="auto"/>
        </w:rPr>
      </w:pPr>
      <w:r>
        <w:rPr>
          <w:rFonts w:hint="eastAsia" w:ascii="仿宋" w:eastAsia="仿宋" w:cs="仿宋"/>
          <w:color w:val="auto"/>
        </w:rPr>
        <w:t>第六部分 应提交的有关格式范例</w:t>
      </w:r>
    </w:p>
    <w:p w14:paraId="59B7550E">
      <w:pPr>
        <w:pStyle w:val="3"/>
        <w:spacing w:line="360" w:lineRule="auto"/>
        <w:rPr>
          <w:rFonts w:cs="仿宋"/>
          <w:color w:val="auto"/>
        </w:rPr>
      </w:pPr>
      <w:r>
        <w:rPr>
          <w:rFonts w:hint="eastAsia" w:cs="仿宋"/>
          <w:color w:val="auto"/>
        </w:rPr>
        <w:t>资格文件部分</w:t>
      </w:r>
    </w:p>
    <w:p w14:paraId="386701EC">
      <w:pPr>
        <w:spacing w:line="360" w:lineRule="auto"/>
        <w:jc w:val="center"/>
        <w:rPr>
          <w:rFonts w:cs="仿宋"/>
          <w:b/>
          <w:color w:val="auto"/>
          <w:sz w:val="40"/>
        </w:rPr>
      </w:pPr>
      <w:r>
        <w:rPr>
          <w:rFonts w:hint="eastAsia" w:cs="仿宋"/>
          <w:b/>
          <w:color w:val="auto"/>
          <w:sz w:val="40"/>
        </w:rPr>
        <w:t>目录</w:t>
      </w:r>
    </w:p>
    <w:p w14:paraId="3791461E">
      <w:pPr>
        <w:snapToGrid w:val="0"/>
        <w:spacing w:line="360" w:lineRule="auto"/>
        <w:rPr>
          <w:rFonts w:cs="仿宋"/>
          <w:color w:val="auto"/>
        </w:rPr>
      </w:pPr>
      <w:r>
        <w:rPr>
          <w:rFonts w:hint="eastAsia" w:cs="仿宋"/>
          <w:color w:val="auto"/>
        </w:rPr>
        <w:t>（1）符合参加采购活动应当具备的一般条件的承诺函…………………（页码）</w:t>
      </w:r>
    </w:p>
    <w:p w14:paraId="7D9C999D">
      <w:pPr>
        <w:snapToGrid w:val="0"/>
        <w:spacing w:line="360" w:lineRule="auto"/>
        <w:rPr>
          <w:rFonts w:cs="仿宋"/>
          <w:color w:val="auto"/>
        </w:rPr>
      </w:pPr>
      <w:r>
        <w:rPr>
          <w:rFonts w:hint="eastAsia" w:cs="仿宋"/>
          <w:color w:val="auto"/>
        </w:rPr>
        <w:t>（2）落实政府采购政策需满足的资格要求………………………………（页码）</w:t>
      </w:r>
    </w:p>
    <w:p w14:paraId="597FA02A">
      <w:pPr>
        <w:snapToGrid w:val="0"/>
        <w:spacing w:line="360" w:lineRule="auto"/>
        <w:rPr>
          <w:rFonts w:cs="仿宋"/>
          <w:color w:val="auto"/>
        </w:rPr>
      </w:pPr>
      <w:r>
        <w:rPr>
          <w:rFonts w:hint="eastAsia" w:cs="仿宋"/>
          <w:color w:val="auto"/>
        </w:rPr>
        <w:t>（3）本项目的特定资格要求………………………………………………（页码）</w:t>
      </w:r>
    </w:p>
    <w:p w14:paraId="7FA64E68">
      <w:pPr>
        <w:spacing w:line="360" w:lineRule="auto"/>
        <w:rPr>
          <w:rFonts w:cs="仿宋"/>
          <w:color w:val="auto"/>
        </w:rPr>
      </w:pPr>
      <w:r>
        <w:rPr>
          <w:rFonts w:hint="eastAsia" w:cs="仿宋"/>
          <w:color w:val="auto"/>
        </w:rPr>
        <w:br w:type="page"/>
      </w:r>
    </w:p>
    <w:p w14:paraId="477C3C13">
      <w:pPr>
        <w:pStyle w:val="3"/>
        <w:spacing w:line="360" w:lineRule="auto"/>
        <w:rPr>
          <w:rFonts w:cs="仿宋"/>
          <w:color w:val="auto"/>
        </w:rPr>
      </w:pPr>
      <w:r>
        <w:rPr>
          <w:rFonts w:hint="eastAsia" w:cs="仿宋"/>
          <w:color w:val="auto"/>
        </w:rPr>
        <w:t>一、 符合参加采购活动应当具备的一般条件的承诺函</w:t>
      </w:r>
    </w:p>
    <w:p w14:paraId="6042E636">
      <w:pPr>
        <w:snapToGrid w:val="0"/>
        <w:spacing w:line="360" w:lineRule="auto"/>
        <w:rPr>
          <w:rFonts w:cs="仿宋"/>
          <w:color w:val="auto"/>
        </w:rPr>
      </w:pPr>
      <w:r>
        <w:rPr>
          <w:rFonts w:hint="eastAsia" w:cs="仿宋"/>
          <w:color w:val="auto"/>
        </w:rPr>
        <w:t>（</w:t>
      </w:r>
      <w:r>
        <w:rPr>
          <w:rFonts w:hint="eastAsia" w:cs="仿宋"/>
          <w:color w:val="auto"/>
          <w:lang w:eastAsia="zh-CN"/>
        </w:rPr>
        <w:t>交易发起人</w:t>
      </w:r>
      <w:r>
        <w:rPr>
          <w:rFonts w:hint="eastAsia" w:cs="仿宋"/>
          <w:color w:val="auto"/>
        </w:rPr>
        <w:t>）、（采购代理机构）：</w:t>
      </w:r>
    </w:p>
    <w:p w14:paraId="44673541">
      <w:pPr>
        <w:snapToGrid w:val="0"/>
        <w:spacing w:line="360" w:lineRule="auto"/>
        <w:ind w:firstLine="480" w:firstLineChars="200"/>
        <w:rPr>
          <w:rFonts w:cs="仿宋"/>
          <w:color w:val="auto"/>
        </w:rPr>
      </w:pPr>
      <w:r>
        <w:rPr>
          <w:rFonts w:hint="eastAsia" w:cs="仿宋"/>
          <w:color w:val="auto"/>
        </w:rPr>
        <w:t>我方参与（项目名称）【采购编号：    】采购活动，郑重承诺：</w:t>
      </w:r>
    </w:p>
    <w:p w14:paraId="6B87E956">
      <w:pPr>
        <w:snapToGrid w:val="0"/>
        <w:spacing w:line="360" w:lineRule="auto"/>
        <w:ind w:firstLine="360" w:firstLineChars="150"/>
        <w:rPr>
          <w:rFonts w:cs="仿宋"/>
          <w:color w:val="auto"/>
        </w:rPr>
      </w:pPr>
      <w:r>
        <w:rPr>
          <w:rFonts w:hint="eastAsia" w:cs="仿宋"/>
          <w:color w:val="auto"/>
        </w:rPr>
        <w:t>（一）具备《中华人民共和国政府采购法》第二十二条第一款规定的条件：</w:t>
      </w:r>
    </w:p>
    <w:p w14:paraId="218B9152">
      <w:pPr>
        <w:snapToGrid w:val="0"/>
        <w:spacing w:line="360" w:lineRule="auto"/>
        <w:ind w:firstLine="480" w:firstLineChars="200"/>
        <w:rPr>
          <w:rFonts w:cs="仿宋"/>
          <w:color w:val="auto"/>
        </w:rPr>
      </w:pPr>
      <w:r>
        <w:rPr>
          <w:rFonts w:hint="eastAsia" w:cs="仿宋"/>
          <w:color w:val="auto"/>
        </w:rPr>
        <w:t>1、具有独立承担民事责任的能力；</w:t>
      </w:r>
    </w:p>
    <w:p w14:paraId="15978795">
      <w:pPr>
        <w:snapToGrid w:val="0"/>
        <w:spacing w:line="360" w:lineRule="auto"/>
        <w:ind w:firstLine="480" w:firstLineChars="200"/>
        <w:rPr>
          <w:rFonts w:cs="仿宋"/>
          <w:color w:val="auto"/>
        </w:rPr>
      </w:pPr>
      <w:r>
        <w:rPr>
          <w:rFonts w:hint="eastAsia" w:cs="仿宋"/>
          <w:color w:val="auto"/>
        </w:rPr>
        <w:t xml:space="preserve">2、具有良好的商业信誉和健全的财务会计制度； </w:t>
      </w:r>
    </w:p>
    <w:p w14:paraId="2F12A14A">
      <w:pPr>
        <w:snapToGrid w:val="0"/>
        <w:spacing w:line="360" w:lineRule="auto"/>
        <w:ind w:firstLine="480" w:firstLineChars="200"/>
        <w:rPr>
          <w:rFonts w:cs="仿宋"/>
          <w:color w:val="auto"/>
        </w:rPr>
      </w:pPr>
      <w:r>
        <w:rPr>
          <w:rFonts w:hint="eastAsia" w:cs="仿宋"/>
          <w:color w:val="auto"/>
        </w:rPr>
        <w:t>3、具有履行合同所必需的设备和专业技术能力；</w:t>
      </w:r>
    </w:p>
    <w:p w14:paraId="08EC1D62">
      <w:pPr>
        <w:snapToGrid w:val="0"/>
        <w:spacing w:line="360" w:lineRule="auto"/>
        <w:ind w:firstLine="480" w:firstLineChars="200"/>
        <w:rPr>
          <w:rFonts w:cs="仿宋"/>
          <w:color w:val="auto"/>
        </w:rPr>
      </w:pPr>
      <w:r>
        <w:rPr>
          <w:rFonts w:hint="eastAsia" w:cs="仿宋"/>
          <w:color w:val="auto"/>
        </w:rPr>
        <w:t>4、有依法缴纳税收和社会保障资金的良好记录；</w:t>
      </w:r>
    </w:p>
    <w:p w14:paraId="223AC391">
      <w:pPr>
        <w:snapToGrid w:val="0"/>
        <w:spacing w:line="360" w:lineRule="auto"/>
        <w:ind w:firstLine="480" w:firstLineChars="200"/>
        <w:rPr>
          <w:rFonts w:cs="仿宋"/>
          <w:color w:val="auto"/>
        </w:rPr>
      </w:pPr>
      <w:r>
        <w:rPr>
          <w:rFonts w:hint="eastAsia" w:cs="仿宋"/>
          <w:color w:val="auto"/>
        </w:rPr>
        <w:t>5、参加政府采购活动前三年内，在经营活动中没有重大违法记录；</w:t>
      </w:r>
    </w:p>
    <w:p w14:paraId="32C3DDCE">
      <w:pPr>
        <w:snapToGrid w:val="0"/>
        <w:spacing w:line="360" w:lineRule="auto"/>
        <w:ind w:firstLine="480" w:firstLineChars="200"/>
        <w:rPr>
          <w:rFonts w:cs="仿宋"/>
          <w:color w:val="auto"/>
        </w:rPr>
      </w:pPr>
      <w:r>
        <w:rPr>
          <w:rFonts w:hint="eastAsia" w:cs="仿宋"/>
          <w:color w:val="auto"/>
        </w:rPr>
        <w:t>6、具有法律、行政法规规定的其他条件。</w:t>
      </w:r>
    </w:p>
    <w:p w14:paraId="7239C303">
      <w:pPr>
        <w:snapToGrid w:val="0"/>
        <w:spacing w:line="360" w:lineRule="auto"/>
        <w:ind w:firstLine="480" w:firstLineChars="200"/>
        <w:rPr>
          <w:rFonts w:cs="仿宋"/>
          <w:color w:val="auto"/>
        </w:rPr>
      </w:pPr>
      <w:r>
        <w:rPr>
          <w:rFonts w:hint="eastAsia" w:cs="仿宋"/>
          <w:color w:val="auto"/>
        </w:rPr>
        <w:t>（二）未被信用中国（www.creditchina.gov.cn)、中国政府采购网（www.ccgp.gov.cn）列入失信被执行人、重大税收违法案件当事人名单、政府采购严重违法失信行为记录名单。</w:t>
      </w:r>
    </w:p>
    <w:p w14:paraId="0A06663F">
      <w:pPr>
        <w:snapToGrid w:val="0"/>
        <w:spacing w:line="360" w:lineRule="auto"/>
        <w:ind w:firstLine="480" w:firstLineChars="200"/>
        <w:rPr>
          <w:rFonts w:cs="仿宋"/>
          <w:color w:val="auto"/>
        </w:rPr>
      </w:pPr>
      <w:r>
        <w:rPr>
          <w:rFonts w:hint="eastAsia" w:cs="仿宋"/>
          <w:color w:val="auto"/>
        </w:rPr>
        <w:t>（三）不存在以下情况：</w:t>
      </w:r>
    </w:p>
    <w:p w14:paraId="2290BE57">
      <w:pPr>
        <w:snapToGrid w:val="0"/>
        <w:spacing w:line="360" w:lineRule="auto"/>
        <w:ind w:firstLine="480" w:firstLineChars="200"/>
        <w:rPr>
          <w:rFonts w:cs="仿宋"/>
          <w:color w:val="auto"/>
        </w:rPr>
      </w:pPr>
      <w:r>
        <w:rPr>
          <w:rFonts w:hint="eastAsia" w:cs="仿宋"/>
          <w:color w:val="auto"/>
        </w:rPr>
        <w:t>1、单位负责人为同一人或者存在直接控股、管理关系的不同供应商参加同一合同项下的政府采购活动的；</w:t>
      </w:r>
    </w:p>
    <w:p w14:paraId="7E6A531B">
      <w:pPr>
        <w:snapToGrid w:val="0"/>
        <w:spacing w:line="360" w:lineRule="auto"/>
        <w:ind w:firstLine="480" w:firstLineChars="200"/>
        <w:rPr>
          <w:rFonts w:cs="仿宋"/>
          <w:color w:val="auto"/>
        </w:rPr>
      </w:pPr>
      <w:r>
        <w:rPr>
          <w:rFonts w:hint="eastAsia" w:cs="仿宋"/>
          <w:color w:val="auto"/>
        </w:rPr>
        <w:t>2、为采购项目提供整体设计、规范编制或者项目管理、监理、检测等服务后再参加该采购项目的其他采购活动的。</w:t>
      </w:r>
    </w:p>
    <w:p w14:paraId="00914E77">
      <w:pPr>
        <w:snapToGrid w:val="0"/>
        <w:spacing w:line="360" w:lineRule="auto"/>
        <w:ind w:firstLine="5520" w:firstLineChars="2300"/>
        <w:rPr>
          <w:rFonts w:cs="仿宋"/>
          <w:color w:val="auto"/>
        </w:rPr>
      </w:pPr>
      <w:r>
        <w:rPr>
          <w:rFonts w:hint="eastAsia" w:cs="仿宋"/>
          <w:color w:val="auto"/>
          <w:lang w:val="zh-CN"/>
        </w:rPr>
        <w:t>供应商名称(电子签名)：</w:t>
      </w:r>
    </w:p>
    <w:p w14:paraId="4B220170">
      <w:pPr>
        <w:snapToGrid w:val="0"/>
        <w:spacing w:line="360" w:lineRule="auto"/>
        <w:rPr>
          <w:rFonts w:cs="仿宋"/>
          <w:color w:val="auto"/>
        </w:rPr>
      </w:pPr>
      <w:r>
        <w:rPr>
          <w:rFonts w:hint="eastAsia" w:cs="仿宋"/>
          <w:color w:val="auto"/>
          <w:lang w:val="zh-CN"/>
        </w:rPr>
        <w:t>日期</w:t>
      </w:r>
      <w:r>
        <w:rPr>
          <w:rFonts w:hint="eastAsia" w:cs="仿宋"/>
          <w:color w:val="auto"/>
        </w:rPr>
        <w:t xml:space="preserve">：  年  </w:t>
      </w:r>
      <w:r>
        <w:rPr>
          <w:rFonts w:hint="eastAsia" w:cs="仿宋"/>
          <w:color w:val="auto"/>
          <w:lang w:val="zh-CN"/>
        </w:rPr>
        <w:t>月日</w:t>
      </w:r>
    </w:p>
    <w:p w14:paraId="10E8403F">
      <w:pPr>
        <w:snapToGrid w:val="0"/>
        <w:spacing w:line="360" w:lineRule="auto"/>
        <w:ind w:right="480"/>
        <w:jc w:val="center"/>
        <w:rPr>
          <w:rFonts w:cs="仿宋"/>
          <w:b/>
          <w:color w:val="auto"/>
          <w:sz w:val="32"/>
          <w:szCs w:val="32"/>
        </w:rPr>
      </w:pPr>
    </w:p>
    <w:p w14:paraId="4C968CDC">
      <w:pPr>
        <w:rPr>
          <w:rFonts w:cs="仿宋"/>
          <w:color w:val="auto"/>
        </w:rPr>
      </w:pPr>
      <w:r>
        <w:rPr>
          <w:rFonts w:hint="eastAsia" w:cs="仿宋"/>
          <w:color w:val="auto"/>
        </w:rPr>
        <w:br w:type="page"/>
      </w:r>
    </w:p>
    <w:p w14:paraId="418DF2B1">
      <w:pPr>
        <w:pStyle w:val="3"/>
        <w:spacing w:line="360" w:lineRule="auto"/>
        <w:rPr>
          <w:rFonts w:cs="仿宋"/>
          <w:color w:val="auto"/>
        </w:rPr>
      </w:pPr>
      <w:r>
        <w:rPr>
          <w:rFonts w:hint="eastAsia" w:cs="仿宋"/>
          <w:color w:val="auto"/>
        </w:rPr>
        <w:t>二、落实政府采购政策需满足的资格要求</w:t>
      </w:r>
    </w:p>
    <w:p w14:paraId="097A5AA7">
      <w:pPr>
        <w:spacing w:line="360" w:lineRule="auto"/>
        <w:rPr>
          <w:rFonts w:cs="仿宋"/>
          <w:color w:val="auto"/>
        </w:rPr>
      </w:pPr>
      <w:r>
        <w:rPr>
          <w:rFonts w:hint="eastAsia" w:cs="仿宋"/>
          <w:color w:val="auto"/>
        </w:rPr>
        <w:t>（根据交易公告落实政府采购政策需满足的资格要求选择提供相应的材料；未要求的，无需提供）</w:t>
      </w:r>
    </w:p>
    <w:p w14:paraId="7829BA9F">
      <w:pPr>
        <w:spacing w:line="360" w:lineRule="auto"/>
        <w:jc w:val="center"/>
        <w:rPr>
          <w:rFonts w:hint="eastAsia" w:cs="仿宋"/>
          <w:b/>
          <w:color w:val="auto"/>
          <w:sz w:val="32"/>
          <w:szCs w:val="32"/>
          <w:lang w:val="zh-CN"/>
        </w:rPr>
      </w:pPr>
    </w:p>
    <w:p w14:paraId="3FDEF07C">
      <w:pPr>
        <w:spacing w:line="360" w:lineRule="auto"/>
        <w:jc w:val="center"/>
        <w:rPr>
          <w:rFonts w:hint="eastAsia" w:cs="仿宋"/>
          <w:b/>
          <w:color w:val="auto"/>
          <w:sz w:val="32"/>
          <w:szCs w:val="32"/>
          <w:lang w:val="zh-CN"/>
        </w:rPr>
      </w:pPr>
    </w:p>
    <w:p w14:paraId="392BBA62">
      <w:pPr>
        <w:spacing w:line="360" w:lineRule="auto"/>
        <w:jc w:val="center"/>
        <w:rPr>
          <w:rFonts w:hint="eastAsia" w:cs="仿宋"/>
          <w:b/>
          <w:color w:val="auto"/>
          <w:sz w:val="32"/>
          <w:szCs w:val="32"/>
          <w:lang w:val="zh-CN"/>
        </w:rPr>
      </w:pPr>
    </w:p>
    <w:p w14:paraId="74849CDE">
      <w:pPr>
        <w:spacing w:line="360" w:lineRule="auto"/>
        <w:jc w:val="center"/>
        <w:rPr>
          <w:rFonts w:hint="eastAsia" w:cs="仿宋"/>
          <w:b/>
          <w:color w:val="auto"/>
          <w:sz w:val="32"/>
          <w:szCs w:val="32"/>
          <w:lang w:val="zh-CN"/>
        </w:rPr>
      </w:pPr>
    </w:p>
    <w:p w14:paraId="1C548E2F">
      <w:pPr>
        <w:spacing w:line="360" w:lineRule="auto"/>
        <w:jc w:val="center"/>
        <w:rPr>
          <w:rFonts w:hint="eastAsia" w:cs="仿宋"/>
          <w:b/>
          <w:color w:val="auto"/>
          <w:sz w:val="32"/>
          <w:szCs w:val="32"/>
          <w:lang w:val="zh-CN"/>
        </w:rPr>
      </w:pPr>
    </w:p>
    <w:p w14:paraId="599BF252">
      <w:pPr>
        <w:spacing w:line="360" w:lineRule="auto"/>
        <w:jc w:val="center"/>
        <w:rPr>
          <w:rFonts w:hint="eastAsia" w:cs="仿宋"/>
          <w:b/>
          <w:color w:val="auto"/>
          <w:sz w:val="32"/>
          <w:szCs w:val="32"/>
          <w:lang w:val="zh-CN"/>
        </w:rPr>
      </w:pPr>
    </w:p>
    <w:p w14:paraId="224BDD3C">
      <w:pPr>
        <w:spacing w:line="360" w:lineRule="auto"/>
        <w:jc w:val="center"/>
        <w:rPr>
          <w:rFonts w:hint="eastAsia" w:cs="仿宋"/>
          <w:b/>
          <w:color w:val="auto"/>
          <w:sz w:val="32"/>
          <w:szCs w:val="32"/>
          <w:lang w:val="zh-CN"/>
        </w:rPr>
      </w:pPr>
    </w:p>
    <w:p w14:paraId="14A61E7D">
      <w:pPr>
        <w:spacing w:line="360" w:lineRule="auto"/>
        <w:jc w:val="center"/>
        <w:rPr>
          <w:rFonts w:hint="eastAsia" w:cs="仿宋"/>
          <w:b/>
          <w:color w:val="auto"/>
          <w:sz w:val="32"/>
          <w:szCs w:val="32"/>
          <w:lang w:val="zh-CN"/>
        </w:rPr>
      </w:pPr>
    </w:p>
    <w:p w14:paraId="5EAFF676">
      <w:pPr>
        <w:spacing w:line="360" w:lineRule="auto"/>
        <w:jc w:val="center"/>
        <w:rPr>
          <w:rFonts w:hint="eastAsia" w:cs="仿宋"/>
          <w:b/>
          <w:color w:val="auto"/>
          <w:sz w:val="32"/>
          <w:szCs w:val="32"/>
          <w:lang w:val="zh-CN"/>
        </w:rPr>
      </w:pPr>
    </w:p>
    <w:p w14:paraId="65C59578">
      <w:pPr>
        <w:spacing w:line="360" w:lineRule="auto"/>
        <w:jc w:val="center"/>
        <w:rPr>
          <w:rFonts w:hint="eastAsia" w:cs="仿宋"/>
          <w:b/>
          <w:color w:val="auto"/>
          <w:sz w:val="32"/>
          <w:szCs w:val="32"/>
          <w:lang w:val="zh-CN"/>
        </w:rPr>
      </w:pPr>
    </w:p>
    <w:p w14:paraId="610CE31C">
      <w:pPr>
        <w:spacing w:line="360" w:lineRule="auto"/>
        <w:jc w:val="center"/>
        <w:rPr>
          <w:rFonts w:hint="eastAsia" w:cs="仿宋"/>
          <w:b/>
          <w:color w:val="auto"/>
          <w:sz w:val="32"/>
          <w:szCs w:val="32"/>
          <w:lang w:val="zh-CN"/>
        </w:rPr>
      </w:pPr>
    </w:p>
    <w:p w14:paraId="71F6C56C">
      <w:pPr>
        <w:spacing w:line="360" w:lineRule="auto"/>
        <w:jc w:val="center"/>
        <w:rPr>
          <w:rFonts w:hint="eastAsia" w:cs="仿宋"/>
          <w:b/>
          <w:color w:val="auto"/>
          <w:sz w:val="32"/>
          <w:szCs w:val="32"/>
          <w:lang w:val="zh-CN"/>
        </w:rPr>
      </w:pPr>
    </w:p>
    <w:p w14:paraId="7E6EB81C">
      <w:pPr>
        <w:spacing w:line="360" w:lineRule="auto"/>
        <w:jc w:val="center"/>
        <w:rPr>
          <w:rFonts w:hint="eastAsia" w:cs="仿宋"/>
          <w:b/>
          <w:color w:val="auto"/>
          <w:sz w:val="32"/>
          <w:szCs w:val="32"/>
          <w:lang w:val="zh-CN"/>
        </w:rPr>
      </w:pPr>
    </w:p>
    <w:p w14:paraId="715B9300">
      <w:pPr>
        <w:spacing w:line="360" w:lineRule="auto"/>
        <w:jc w:val="center"/>
        <w:rPr>
          <w:rFonts w:hint="eastAsia" w:cs="仿宋"/>
          <w:b/>
          <w:color w:val="auto"/>
          <w:sz w:val="32"/>
          <w:szCs w:val="32"/>
          <w:lang w:val="zh-CN"/>
        </w:rPr>
      </w:pPr>
    </w:p>
    <w:p w14:paraId="7BC1482E">
      <w:pPr>
        <w:spacing w:line="360" w:lineRule="auto"/>
        <w:jc w:val="center"/>
        <w:rPr>
          <w:rFonts w:hint="eastAsia" w:cs="仿宋"/>
          <w:b/>
          <w:color w:val="auto"/>
          <w:sz w:val="32"/>
          <w:szCs w:val="32"/>
          <w:lang w:val="zh-CN"/>
        </w:rPr>
      </w:pPr>
    </w:p>
    <w:p w14:paraId="473A3D8C">
      <w:pPr>
        <w:spacing w:line="360" w:lineRule="auto"/>
        <w:jc w:val="center"/>
        <w:rPr>
          <w:rFonts w:cs="仿宋"/>
          <w:b/>
          <w:color w:val="auto"/>
          <w:sz w:val="32"/>
          <w:szCs w:val="32"/>
          <w:lang w:val="zh-CN"/>
        </w:rPr>
      </w:pPr>
      <w:r>
        <w:rPr>
          <w:rFonts w:hint="eastAsia" w:cs="仿宋"/>
          <w:b/>
          <w:color w:val="auto"/>
          <w:sz w:val="32"/>
          <w:szCs w:val="32"/>
          <w:lang w:val="zh-CN"/>
        </w:rPr>
        <w:t>联合协议</w:t>
      </w:r>
    </w:p>
    <w:p w14:paraId="7FD2322F">
      <w:pPr>
        <w:spacing w:line="360" w:lineRule="auto"/>
        <w:rPr>
          <w:rFonts w:cs="仿宋"/>
          <w:color w:val="auto"/>
          <w:lang w:val="zh-CN"/>
        </w:rPr>
      </w:pPr>
      <w:r>
        <w:rPr>
          <w:rFonts w:hint="eastAsia" w:cs="仿宋"/>
          <w:color w:val="auto"/>
          <w:u w:val="single"/>
        </w:rPr>
        <w:t>（联合体所有成员名称）</w:t>
      </w:r>
      <w:r>
        <w:rPr>
          <w:rFonts w:hint="eastAsia" w:cs="仿宋"/>
          <w:color w:val="auto"/>
        </w:rPr>
        <w:t>自愿</w:t>
      </w:r>
      <w:r>
        <w:rPr>
          <w:rFonts w:hint="eastAsia" w:cs="仿宋"/>
          <w:color w:val="auto"/>
          <w:lang w:val="zh-CN"/>
        </w:rPr>
        <w:t>组成一个联合体，以一个供应商的身份</w:t>
      </w:r>
      <w:r>
        <w:rPr>
          <w:rFonts w:hint="eastAsia" w:cs="仿宋"/>
          <w:color w:val="auto"/>
        </w:rPr>
        <w:t>参加（项目名称）【采购编号：    】交易</w:t>
      </w:r>
      <w:r>
        <w:rPr>
          <w:rFonts w:hint="eastAsia" w:cs="仿宋"/>
          <w:color w:val="auto"/>
          <w:lang w:val="zh-CN"/>
        </w:rPr>
        <w:t xml:space="preserve">。 </w:t>
      </w:r>
    </w:p>
    <w:p w14:paraId="16E11333">
      <w:pPr>
        <w:spacing w:line="360" w:lineRule="auto"/>
        <w:rPr>
          <w:rFonts w:cs="仿宋"/>
          <w:color w:val="auto"/>
          <w:lang w:val="zh-CN"/>
        </w:rPr>
      </w:pPr>
      <w:r>
        <w:rPr>
          <w:rFonts w:hint="eastAsia" w:cs="仿宋"/>
          <w:color w:val="auto"/>
          <w:lang w:val="zh-CN"/>
        </w:rPr>
        <w:t>一、各方一致决定，</w:t>
      </w:r>
      <w:r>
        <w:rPr>
          <w:rFonts w:hint="eastAsia" w:cs="仿宋"/>
          <w:color w:val="auto"/>
          <w:u w:val="single"/>
        </w:rPr>
        <w:t>（某联合体成员名称）</w:t>
      </w:r>
      <w:r>
        <w:rPr>
          <w:rFonts w:hint="eastAsia" w:cs="仿宋"/>
          <w:color w:val="auto"/>
        </w:rPr>
        <w:t>为联合体</w:t>
      </w:r>
      <w:r>
        <w:rPr>
          <w:rFonts w:hint="eastAsia" w:cs="仿宋"/>
          <w:color w:val="auto"/>
          <w:lang w:val="zh-CN"/>
        </w:rPr>
        <w:t>牵头人</w:t>
      </w:r>
      <w:r>
        <w:rPr>
          <w:rFonts w:hint="eastAsia" w:cs="仿宋"/>
          <w:color w:val="auto"/>
        </w:rPr>
        <w:t>，代表所有联合体成员负责响应和合同实施阶段的主办、协调工作</w:t>
      </w:r>
      <w:r>
        <w:rPr>
          <w:rFonts w:hint="eastAsia" w:cs="仿宋"/>
          <w:color w:val="auto"/>
          <w:lang w:val="zh-CN"/>
        </w:rPr>
        <w:t>。</w:t>
      </w:r>
    </w:p>
    <w:p w14:paraId="485DA6F7">
      <w:pPr>
        <w:spacing w:line="360" w:lineRule="auto"/>
        <w:rPr>
          <w:rFonts w:cs="仿宋"/>
          <w:color w:val="auto"/>
          <w:lang w:val="zh-CN"/>
        </w:rPr>
      </w:pPr>
      <w:r>
        <w:rPr>
          <w:rFonts w:hint="eastAsia" w:cs="仿宋"/>
          <w:color w:val="auto"/>
          <w:lang w:val="zh-CN"/>
        </w:rPr>
        <w:t>二、</w:t>
      </w:r>
      <w:r>
        <w:rPr>
          <w:rFonts w:hint="eastAsia" w:cs="仿宋"/>
          <w:color w:val="auto"/>
        </w:rPr>
        <w:t>所有联合体成员各方签署授权书，授权书载明的</w:t>
      </w:r>
      <w:r>
        <w:rPr>
          <w:rFonts w:hint="eastAsia" w:cs="仿宋"/>
          <w:color w:val="auto"/>
          <w:lang w:val="zh-CN"/>
        </w:rPr>
        <w:t>授权代表根据交易文件规定及响应内容而对交易发起人、采购机构所作的任何合法承诺，包括书面澄清及相应等均对联合响应各方产生约束力。</w:t>
      </w:r>
    </w:p>
    <w:p w14:paraId="0A063053">
      <w:pPr>
        <w:spacing w:line="360" w:lineRule="auto"/>
        <w:rPr>
          <w:rFonts w:cs="仿宋"/>
          <w:color w:val="auto"/>
          <w:lang w:val="zh-CN"/>
        </w:rPr>
      </w:pPr>
      <w:r>
        <w:rPr>
          <w:rFonts w:hint="eastAsia" w:cs="仿宋"/>
          <w:color w:val="auto"/>
          <w:lang w:val="zh-CN"/>
        </w:rPr>
        <w:t>三、本次联合响应中，分工如下：</w:t>
      </w:r>
      <w:r>
        <w:rPr>
          <w:rFonts w:hint="eastAsia" w:cs="仿宋"/>
          <w:color w:val="auto"/>
          <w:u w:val="single"/>
        </w:rPr>
        <w:t>（联合体其中一方成员名称）</w:t>
      </w:r>
      <w:r>
        <w:rPr>
          <w:rFonts w:hint="eastAsia" w:cs="仿宋"/>
          <w:color w:val="auto"/>
          <w:lang w:val="zh-CN"/>
        </w:rPr>
        <w:t>承担的工作和义务为：；</w:t>
      </w:r>
      <w:r>
        <w:rPr>
          <w:rFonts w:hint="eastAsia" w:cs="仿宋"/>
          <w:color w:val="auto"/>
          <w:u w:val="single"/>
        </w:rPr>
        <w:t>（联合体其中一方成员名称）</w:t>
      </w:r>
      <w:r>
        <w:rPr>
          <w:rFonts w:hint="eastAsia" w:cs="仿宋"/>
          <w:color w:val="auto"/>
          <w:lang w:val="zh-CN"/>
        </w:rPr>
        <w:t>承担的工作和义务为： ；……。</w:t>
      </w:r>
    </w:p>
    <w:p w14:paraId="7A32F5F8">
      <w:pPr>
        <w:spacing w:line="360" w:lineRule="auto"/>
        <w:rPr>
          <w:rFonts w:cs="仿宋"/>
          <w:color w:val="auto"/>
          <w:lang w:val="zh-CN"/>
        </w:rPr>
      </w:pPr>
      <w:r>
        <w:rPr>
          <w:rFonts w:hint="eastAsia" w:cs="仿宋"/>
          <w:color w:val="auto"/>
          <w:lang w:val="zh-CN"/>
        </w:rPr>
        <w:t>四、</w:t>
      </w:r>
      <w:r>
        <w:rPr>
          <w:rFonts w:hint="eastAsia" w:cs="仿宋"/>
          <w:color w:val="auto"/>
        </w:rPr>
        <w:t>中小企业合同金额达到%，小微企业合同金额达到%</w:t>
      </w:r>
      <w:r>
        <w:rPr>
          <w:rFonts w:hint="eastAsia" w:cs="仿宋"/>
          <w:color w:val="auto"/>
          <w:lang w:val="zh-CN"/>
        </w:rPr>
        <w:t>。</w:t>
      </w:r>
    </w:p>
    <w:p w14:paraId="1DE2DBA2">
      <w:pPr>
        <w:spacing w:line="360" w:lineRule="auto"/>
        <w:rPr>
          <w:rFonts w:cs="仿宋"/>
          <w:color w:val="auto"/>
          <w:lang w:val="zh-CN"/>
        </w:rPr>
      </w:pPr>
      <w:r>
        <w:rPr>
          <w:rFonts w:hint="eastAsia" w:cs="仿宋"/>
          <w:color w:val="auto"/>
          <w:lang w:val="zh-CN"/>
        </w:rPr>
        <w:t>五、如果成交，</w:t>
      </w:r>
      <w:r>
        <w:rPr>
          <w:rFonts w:hint="eastAsia" w:cs="仿宋"/>
          <w:color w:val="auto"/>
        </w:rPr>
        <w:t>联合体各成员方共同与</w:t>
      </w:r>
      <w:r>
        <w:rPr>
          <w:rFonts w:hint="eastAsia" w:cs="仿宋"/>
          <w:color w:val="auto"/>
          <w:lang w:eastAsia="zh-CN"/>
        </w:rPr>
        <w:t>交易发起人</w:t>
      </w:r>
      <w:r>
        <w:rPr>
          <w:rFonts w:hint="eastAsia" w:cs="仿宋"/>
          <w:color w:val="auto"/>
        </w:rPr>
        <w:t>签订合同，并就采购合同约定的事项对</w:t>
      </w:r>
      <w:r>
        <w:rPr>
          <w:rFonts w:hint="eastAsia" w:cs="仿宋"/>
          <w:color w:val="auto"/>
          <w:lang w:eastAsia="zh-CN"/>
        </w:rPr>
        <w:t>交易发起人</w:t>
      </w:r>
      <w:r>
        <w:rPr>
          <w:rFonts w:hint="eastAsia" w:cs="仿宋"/>
          <w:color w:val="auto"/>
        </w:rPr>
        <w:t>承担连带责任。</w:t>
      </w:r>
    </w:p>
    <w:p w14:paraId="64EAB21F">
      <w:pPr>
        <w:spacing w:line="360" w:lineRule="auto"/>
        <w:rPr>
          <w:rFonts w:cs="仿宋"/>
          <w:color w:val="auto"/>
          <w:lang w:val="zh-CN"/>
        </w:rPr>
      </w:pPr>
      <w:r>
        <w:rPr>
          <w:rFonts w:hint="eastAsia" w:cs="仿宋"/>
          <w:color w:val="auto"/>
          <w:lang w:val="zh-CN"/>
        </w:rPr>
        <w:t>六、有关本次联合响应的其他事宜：</w:t>
      </w:r>
    </w:p>
    <w:p w14:paraId="1641F728">
      <w:pPr>
        <w:spacing w:line="360" w:lineRule="auto"/>
        <w:rPr>
          <w:rFonts w:cs="仿宋"/>
          <w:color w:val="auto"/>
          <w:lang w:val="zh-CN"/>
        </w:rPr>
      </w:pPr>
      <w:r>
        <w:rPr>
          <w:rFonts w:hint="eastAsia" w:cs="仿宋"/>
          <w:color w:val="auto"/>
          <w:lang w:val="zh-CN"/>
        </w:rPr>
        <w:t>1、联合体各方不再单独参加或者与其他供应商另外组成联合体参加同一合同项下的政府采购活动。</w:t>
      </w:r>
    </w:p>
    <w:p w14:paraId="04D79C05">
      <w:pPr>
        <w:spacing w:line="360" w:lineRule="auto"/>
        <w:rPr>
          <w:rFonts w:cs="仿宋"/>
          <w:color w:val="auto"/>
          <w:lang w:val="zh-CN"/>
        </w:rPr>
      </w:pPr>
      <w:r>
        <w:rPr>
          <w:rFonts w:hint="eastAsia" w:cs="仿宋"/>
          <w:color w:val="auto"/>
          <w:lang w:val="zh-CN"/>
        </w:rPr>
        <w:t>2、联合体中有同类资质的各方按照联合体分工承担相同工作的，按照资质等级较低的供应商确定资质等级。</w:t>
      </w:r>
    </w:p>
    <w:p w14:paraId="650BB628">
      <w:pPr>
        <w:spacing w:line="360" w:lineRule="auto"/>
        <w:rPr>
          <w:rFonts w:cs="仿宋"/>
          <w:color w:val="auto"/>
          <w:lang w:val="zh-CN"/>
        </w:rPr>
      </w:pPr>
      <w:r>
        <w:rPr>
          <w:rFonts w:hint="eastAsia" w:cs="仿宋"/>
          <w:color w:val="auto"/>
          <w:lang w:val="zh-CN"/>
        </w:rPr>
        <w:t>3、本协议提交交易发起人、采购机构后，联合体各方不得以任何形式对上述内容进行修改或撤销。</w:t>
      </w:r>
    </w:p>
    <w:p w14:paraId="06210BB4">
      <w:pPr>
        <w:spacing w:line="360" w:lineRule="auto"/>
        <w:rPr>
          <w:rFonts w:cs="仿宋"/>
          <w:color w:val="auto"/>
          <w:lang w:val="zh-CN"/>
        </w:rPr>
      </w:pPr>
      <w:r>
        <w:rPr>
          <w:rFonts w:hint="eastAsia" w:cs="仿宋"/>
          <w:color w:val="auto"/>
          <w:lang w:val="zh-CN"/>
        </w:rPr>
        <w:t>联合体成员名称(电子签名/公章)：</w:t>
      </w:r>
    </w:p>
    <w:p w14:paraId="5ABAC6EA">
      <w:pPr>
        <w:spacing w:line="360" w:lineRule="auto"/>
        <w:rPr>
          <w:rFonts w:cs="仿宋"/>
          <w:color w:val="auto"/>
          <w:lang w:val="zh-CN"/>
        </w:rPr>
      </w:pPr>
      <w:r>
        <w:rPr>
          <w:rFonts w:hint="eastAsia" w:cs="仿宋"/>
          <w:color w:val="auto"/>
          <w:lang w:val="zh-CN"/>
        </w:rPr>
        <w:t>联合体成员名称(电子签名/公章)：</w:t>
      </w:r>
    </w:p>
    <w:p w14:paraId="315C1717">
      <w:pPr>
        <w:spacing w:line="360" w:lineRule="auto"/>
        <w:rPr>
          <w:rFonts w:cs="仿宋"/>
          <w:color w:val="auto"/>
          <w:lang w:val="zh-CN"/>
        </w:rPr>
      </w:pPr>
      <w:r>
        <w:rPr>
          <w:rFonts w:hint="eastAsia" w:cs="仿宋"/>
          <w:color w:val="auto"/>
          <w:lang w:val="zh-CN"/>
        </w:rPr>
        <w:t xml:space="preserve">                                               日期：  年  月   日</w:t>
      </w:r>
    </w:p>
    <w:p w14:paraId="4A28083F">
      <w:pPr>
        <w:spacing w:line="360" w:lineRule="auto"/>
        <w:jc w:val="center"/>
        <w:rPr>
          <w:rFonts w:cs="仿宋"/>
          <w:b/>
          <w:color w:val="auto"/>
          <w:sz w:val="32"/>
          <w:szCs w:val="32"/>
        </w:rPr>
      </w:pPr>
      <w:r>
        <w:rPr>
          <w:rFonts w:hint="eastAsia" w:cs="仿宋"/>
          <w:b/>
          <w:color w:val="auto"/>
          <w:sz w:val="32"/>
          <w:szCs w:val="32"/>
        </w:rPr>
        <w:t>分包意向协议</w:t>
      </w:r>
    </w:p>
    <w:p w14:paraId="2CCF118D">
      <w:pPr>
        <w:spacing w:line="360" w:lineRule="auto"/>
        <w:rPr>
          <w:rFonts w:cs="仿宋"/>
          <w:color w:val="auto"/>
        </w:rPr>
      </w:pPr>
      <w:r>
        <w:rPr>
          <w:rFonts w:hint="eastAsia" w:cs="仿宋"/>
          <w:color w:val="auto"/>
        </w:rPr>
        <w:t>（</w:t>
      </w:r>
      <w:r>
        <w:rPr>
          <w:rFonts w:hint="eastAsia" w:cs="仿宋"/>
          <w:b/>
          <w:color w:val="auto"/>
        </w:rPr>
        <w:t>成交后以分包方式履行合同的，提供分包意向协议；</w:t>
      </w:r>
      <w:r>
        <w:rPr>
          <w:rFonts w:hint="eastAsia" w:cs="仿宋"/>
          <w:b/>
          <w:color w:val="auto"/>
          <w:lang w:eastAsia="zh-CN"/>
        </w:rPr>
        <w:t>交易发起人</w:t>
      </w:r>
      <w:r>
        <w:rPr>
          <w:rFonts w:hint="eastAsia" w:cs="仿宋"/>
          <w:b/>
          <w:color w:val="auto"/>
        </w:rPr>
        <w:t>不同意分包或者供应商成交后不以分包方式履行合同的，则不需要提供。</w:t>
      </w:r>
      <w:r>
        <w:rPr>
          <w:rFonts w:hint="eastAsia" w:cs="仿宋"/>
          <w:color w:val="auto"/>
        </w:rPr>
        <w:t>）</w:t>
      </w:r>
    </w:p>
    <w:p w14:paraId="529804AF">
      <w:pPr>
        <w:spacing w:line="360" w:lineRule="auto"/>
        <w:rPr>
          <w:rFonts w:cs="仿宋"/>
          <w:color w:val="auto"/>
          <w:lang w:val="zh-CN"/>
        </w:rPr>
      </w:pPr>
      <w:r>
        <w:rPr>
          <w:rFonts w:hint="eastAsia" w:cs="仿宋"/>
          <w:color w:val="auto"/>
          <w:u w:val="single"/>
        </w:rPr>
        <w:t>（供应商名称）</w:t>
      </w:r>
      <w:r>
        <w:rPr>
          <w:rFonts w:hint="eastAsia" w:cs="仿宋"/>
          <w:color w:val="auto"/>
          <w:lang w:val="zh-CN"/>
        </w:rPr>
        <w:t>若成为</w:t>
      </w:r>
      <w:r>
        <w:rPr>
          <w:rFonts w:hint="eastAsia" w:cs="仿宋"/>
          <w:color w:val="auto"/>
        </w:rPr>
        <w:t>（项目名称）【采购编号：     】</w:t>
      </w:r>
      <w:r>
        <w:rPr>
          <w:rFonts w:hint="eastAsia" w:cs="仿宋"/>
          <w:color w:val="auto"/>
          <w:lang w:val="zh-CN"/>
        </w:rPr>
        <w:t>的成交供应商，将依法采取分包方式履行合同。</w:t>
      </w:r>
      <w:r>
        <w:rPr>
          <w:rFonts w:hint="eastAsia" w:cs="仿宋"/>
          <w:color w:val="auto"/>
          <w:u w:val="single"/>
        </w:rPr>
        <w:t>（供应商名称）</w:t>
      </w:r>
      <w:r>
        <w:rPr>
          <w:rFonts w:hint="eastAsia" w:cs="仿宋"/>
          <w:color w:val="auto"/>
        </w:rPr>
        <w:t>与</w:t>
      </w:r>
      <w:r>
        <w:rPr>
          <w:rFonts w:hint="eastAsia" w:cs="仿宋"/>
          <w:color w:val="auto"/>
          <w:u w:val="single"/>
        </w:rPr>
        <w:t>（所有分包供应商名称）</w:t>
      </w:r>
      <w:r>
        <w:rPr>
          <w:rFonts w:hint="eastAsia" w:cs="仿宋"/>
          <w:color w:val="auto"/>
        </w:rPr>
        <w:t>达成分包意向协议</w:t>
      </w:r>
      <w:r>
        <w:rPr>
          <w:rFonts w:hint="eastAsia" w:cs="仿宋"/>
          <w:color w:val="auto"/>
          <w:lang w:val="zh-CN"/>
        </w:rPr>
        <w:t xml:space="preserve">。 </w:t>
      </w:r>
    </w:p>
    <w:p w14:paraId="214A7470">
      <w:pPr>
        <w:spacing w:line="360" w:lineRule="auto"/>
        <w:rPr>
          <w:rFonts w:cs="仿宋"/>
          <w:color w:val="auto"/>
          <w:lang w:val="zh-CN"/>
        </w:rPr>
      </w:pPr>
      <w:r>
        <w:rPr>
          <w:rFonts w:hint="eastAsia" w:cs="仿宋"/>
          <w:color w:val="auto"/>
          <w:lang w:val="zh-CN"/>
        </w:rPr>
        <w:t>一、分包标的及数量</w:t>
      </w:r>
    </w:p>
    <w:p w14:paraId="708B4631">
      <w:pPr>
        <w:spacing w:line="360" w:lineRule="auto"/>
        <w:rPr>
          <w:rFonts w:cs="仿宋"/>
          <w:color w:val="auto"/>
          <w:lang w:val="zh-CN"/>
        </w:rPr>
      </w:pPr>
      <w:r>
        <w:rPr>
          <w:rFonts w:hint="eastAsia" w:cs="仿宋"/>
          <w:color w:val="auto"/>
          <w:u w:val="single"/>
        </w:rPr>
        <w:t>（供应商名称）</w:t>
      </w:r>
      <w:r>
        <w:rPr>
          <w:rFonts w:hint="eastAsia" w:cs="仿宋"/>
          <w:color w:val="auto"/>
          <w:lang w:val="zh-CN"/>
        </w:rPr>
        <w:t>将</w:t>
      </w:r>
      <w:r>
        <w:rPr>
          <w:rFonts w:hint="eastAsia" w:cs="仿宋"/>
          <w:color w:val="auto"/>
          <w:u w:val="single"/>
        </w:rPr>
        <w:t xml:space="preserve">   XX工作内容   </w:t>
      </w:r>
      <w:r>
        <w:rPr>
          <w:rFonts w:hint="eastAsia" w:cs="仿宋"/>
          <w:color w:val="auto"/>
        </w:rPr>
        <w:t>分包给</w:t>
      </w:r>
      <w:r>
        <w:rPr>
          <w:rFonts w:hint="eastAsia" w:cs="仿宋"/>
          <w:color w:val="auto"/>
          <w:u w:val="single"/>
        </w:rPr>
        <w:t>（某分包供应商名称）</w:t>
      </w:r>
      <w:r>
        <w:rPr>
          <w:rFonts w:hint="eastAsia" w:cs="仿宋"/>
          <w:color w:val="auto"/>
          <w:lang w:val="zh-CN"/>
        </w:rPr>
        <w:t>，</w:t>
      </w:r>
      <w:r>
        <w:rPr>
          <w:rFonts w:hint="eastAsia" w:cs="仿宋"/>
          <w:color w:val="auto"/>
          <w:u w:val="single"/>
        </w:rPr>
        <w:t>（某分包供应商名称），</w:t>
      </w:r>
      <w:r>
        <w:rPr>
          <w:rFonts w:hint="eastAsia" w:cs="仿宋"/>
          <w:color w:val="auto"/>
          <w:lang w:val="zh-CN"/>
        </w:rPr>
        <w:t>具备承</w:t>
      </w:r>
      <w:r>
        <w:rPr>
          <w:rFonts w:hint="eastAsia" w:cs="仿宋"/>
          <w:color w:val="auto"/>
        </w:rPr>
        <w:t>担</w:t>
      </w:r>
      <w:r>
        <w:rPr>
          <w:rFonts w:hint="eastAsia" w:cs="仿宋"/>
          <w:color w:val="auto"/>
          <w:u w:val="single"/>
          <w:lang w:val="zh-CN"/>
        </w:rPr>
        <w:t>XX工作内容</w:t>
      </w:r>
      <w:r>
        <w:rPr>
          <w:rFonts w:hint="eastAsia" w:cs="仿宋"/>
          <w:color w:val="auto"/>
          <w:lang w:val="zh-CN"/>
        </w:rPr>
        <w:t>相应资质条件且不得再次分包；</w:t>
      </w:r>
    </w:p>
    <w:p w14:paraId="62EE9929">
      <w:pPr>
        <w:spacing w:line="360" w:lineRule="auto"/>
        <w:rPr>
          <w:rFonts w:cs="仿宋"/>
          <w:color w:val="auto"/>
          <w:lang w:val="zh-CN"/>
        </w:rPr>
      </w:pPr>
      <w:r>
        <w:rPr>
          <w:rFonts w:hint="eastAsia" w:cs="仿宋"/>
          <w:color w:val="auto"/>
          <w:lang w:val="zh-CN"/>
        </w:rPr>
        <w:t>二、分包工作履行期限、地点、方式</w:t>
      </w:r>
    </w:p>
    <w:p w14:paraId="133C1451">
      <w:pPr>
        <w:spacing w:line="360" w:lineRule="auto"/>
        <w:rPr>
          <w:rFonts w:cs="仿宋"/>
          <w:color w:val="auto"/>
          <w:lang w:val="zh-CN"/>
        </w:rPr>
      </w:pPr>
      <w:r>
        <w:rPr>
          <w:rFonts w:hint="eastAsia" w:cs="仿宋"/>
          <w:color w:val="auto"/>
          <w:lang w:val="zh-CN"/>
        </w:rPr>
        <w:t>三、质量</w:t>
      </w:r>
    </w:p>
    <w:p w14:paraId="3BC173D5">
      <w:pPr>
        <w:spacing w:line="360" w:lineRule="auto"/>
        <w:rPr>
          <w:rFonts w:cs="仿宋"/>
          <w:color w:val="auto"/>
          <w:lang w:val="zh-CN"/>
        </w:rPr>
      </w:pPr>
      <w:r>
        <w:rPr>
          <w:rFonts w:hint="eastAsia" w:cs="仿宋"/>
          <w:color w:val="auto"/>
          <w:lang w:val="zh-CN"/>
        </w:rPr>
        <w:t>四、价款或者报酬</w:t>
      </w:r>
    </w:p>
    <w:p w14:paraId="6D348864">
      <w:pPr>
        <w:spacing w:line="360" w:lineRule="auto"/>
        <w:rPr>
          <w:rFonts w:cs="仿宋"/>
          <w:color w:val="auto"/>
          <w:lang w:val="zh-CN"/>
        </w:rPr>
      </w:pPr>
      <w:r>
        <w:rPr>
          <w:rFonts w:hint="eastAsia" w:cs="仿宋"/>
          <w:color w:val="auto"/>
          <w:lang w:val="zh-CN"/>
        </w:rPr>
        <w:t>五、违约责任</w:t>
      </w:r>
    </w:p>
    <w:p w14:paraId="30B6F569">
      <w:pPr>
        <w:spacing w:line="360" w:lineRule="auto"/>
        <w:rPr>
          <w:rFonts w:cs="仿宋"/>
          <w:color w:val="auto"/>
          <w:lang w:val="zh-CN"/>
        </w:rPr>
      </w:pPr>
      <w:r>
        <w:rPr>
          <w:rFonts w:hint="eastAsia" w:cs="仿宋"/>
          <w:color w:val="auto"/>
          <w:lang w:val="zh-CN"/>
        </w:rPr>
        <w:t>六、争议解决的办法</w:t>
      </w:r>
    </w:p>
    <w:p w14:paraId="21A8C81C">
      <w:pPr>
        <w:spacing w:line="360" w:lineRule="auto"/>
        <w:rPr>
          <w:rFonts w:cs="仿宋"/>
          <w:color w:val="auto"/>
          <w:lang w:val="zh-CN"/>
        </w:rPr>
      </w:pPr>
      <w:r>
        <w:rPr>
          <w:rFonts w:hint="eastAsia" w:cs="仿宋"/>
          <w:color w:val="auto"/>
          <w:lang w:val="zh-CN"/>
        </w:rPr>
        <w:t>七、其他</w:t>
      </w:r>
    </w:p>
    <w:p w14:paraId="6048A85A">
      <w:pPr>
        <w:spacing w:line="360" w:lineRule="auto"/>
        <w:rPr>
          <w:rFonts w:cs="仿宋"/>
          <w:color w:val="auto"/>
          <w:lang w:val="zh-CN"/>
        </w:rPr>
      </w:pPr>
      <w:r>
        <w:rPr>
          <w:rFonts w:hint="eastAsia" w:cs="仿宋"/>
          <w:color w:val="auto"/>
        </w:rPr>
        <w:t>中小企业合同金额达到%，小微企业合同金额达到%</w:t>
      </w:r>
      <w:r>
        <w:rPr>
          <w:rFonts w:hint="eastAsia" w:cs="仿宋"/>
          <w:color w:val="auto"/>
          <w:lang w:val="zh-CN"/>
        </w:rPr>
        <w:t xml:space="preserve">  。                                           供应商名称(电子签名)：</w:t>
      </w:r>
    </w:p>
    <w:p w14:paraId="7EF22B36">
      <w:pPr>
        <w:spacing w:line="360" w:lineRule="auto"/>
        <w:rPr>
          <w:rFonts w:cs="仿宋"/>
          <w:color w:val="auto"/>
          <w:lang w:val="zh-CN"/>
        </w:rPr>
      </w:pPr>
      <w:r>
        <w:rPr>
          <w:rFonts w:hint="eastAsia" w:cs="仿宋"/>
          <w:color w:val="auto"/>
          <w:lang w:val="zh-CN"/>
        </w:rPr>
        <w:t>分包供应商名称：</w:t>
      </w:r>
    </w:p>
    <w:p w14:paraId="762CD217">
      <w:pPr>
        <w:spacing w:line="360" w:lineRule="auto"/>
        <w:jc w:val="right"/>
        <w:rPr>
          <w:rFonts w:hint="eastAsia" w:cs="仿宋"/>
          <w:color w:val="auto"/>
          <w:lang w:val="zh-CN"/>
        </w:rPr>
      </w:pPr>
      <w:r>
        <w:rPr>
          <w:rFonts w:hint="eastAsia" w:cs="仿宋"/>
          <w:color w:val="auto"/>
          <w:lang w:val="zh-CN"/>
        </w:rPr>
        <w:t>……    日期：  年  月   日</w:t>
      </w:r>
    </w:p>
    <w:p w14:paraId="692BD624">
      <w:pPr>
        <w:pStyle w:val="6"/>
        <w:rPr>
          <w:rFonts w:hint="eastAsia" w:cs="仿宋"/>
          <w:color w:val="auto"/>
          <w:lang w:val="zh-CN"/>
        </w:rPr>
      </w:pPr>
    </w:p>
    <w:p w14:paraId="3BC5902B">
      <w:pPr>
        <w:rPr>
          <w:rFonts w:hint="eastAsia" w:cs="仿宋"/>
          <w:color w:val="auto"/>
          <w:lang w:val="zh-CN"/>
        </w:rPr>
      </w:pPr>
    </w:p>
    <w:p w14:paraId="54AEEC8C">
      <w:pPr>
        <w:pStyle w:val="6"/>
        <w:rPr>
          <w:color w:val="auto"/>
        </w:rPr>
      </w:pPr>
    </w:p>
    <w:p w14:paraId="3E9AE942">
      <w:pPr>
        <w:pStyle w:val="3"/>
        <w:spacing w:line="360" w:lineRule="auto"/>
        <w:rPr>
          <w:rFonts w:cs="仿宋"/>
          <w:color w:val="auto"/>
        </w:rPr>
      </w:pPr>
      <w:r>
        <w:rPr>
          <w:rFonts w:hint="eastAsia" w:cs="仿宋"/>
          <w:color w:val="auto"/>
        </w:rPr>
        <w:t>三、本项目的特定资格要求</w:t>
      </w:r>
    </w:p>
    <w:p w14:paraId="0E1140FE">
      <w:pPr>
        <w:spacing w:line="360" w:lineRule="auto"/>
        <w:jc w:val="center"/>
        <w:rPr>
          <w:rFonts w:cs="仿宋"/>
          <w:color w:val="auto"/>
        </w:rPr>
      </w:pPr>
      <w:r>
        <w:rPr>
          <w:rFonts w:hint="eastAsia" w:cs="仿宋"/>
          <w:color w:val="auto"/>
        </w:rPr>
        <w:t>（根据交易公告本项目的特定资格要求提供相应的材料；未要求的，无需提供）</w:t>
      </w:r>
    </w:p>
    <w:p w14:paraId="1C48052E">
      <w:pPr>
        <w:spacing w:line="360" w:lineRule="auto"/>
        <w:rPr>
          <w:rFonts w:cs="仿宋"/>
          <w:color w:val="auto"/>
        </w:rPr>
      </w:pPr>
      <w:r>
        <w:rPr>
          <w:rFonts w:hint="eastAsia" w:cs="仿宋"/>
          <w:color w:val="auto"/>
        </w:rPr>
        <w:br w:type="page"/>
      </w:r>
    </w:p>
    <w:p w14:paraId="6D32F986">
      <w:pPr>
        <w:pStyle w:val="3"/>
        <w:spacing w:line="360" w:lineRule="auto"/>
        <w:rPr>
          <w:rFonts w:cs="仿宋"/>
          <w:color w:val="auto"/>
        </w:rPr>
      </w:pPr>
      <w:r>
        <w:rPr>
          <w:rFonts w:hint="eastAsia" w:cs="仿宋"/>
          <w:color w:val="auto"/>
        </w:rPr>
        <w:t>商务技术文件部分</w:t>
      </w:r>
    </w:p>
    <w:p w14:paraId="1D14ACF0">
      <w:pPr>
        <w:spacing w:line="360" w:lineRule="auto"/>
        <w:jc w:val="center"/>
        <w:rPr>
          <w:rFonts w:cs="仿宋"/>
          <w:color w:val="auto"/>
          <w:sz w:val="40"/>
        </w:rPr>
      </w:pPr>
      <w:r>
        <w:rPr>
          <w:rFonts w:hint="eastAsia" w:cs="仿宋"/>
          <w:color w:val="auto"/>
          <w:sz w:val="40"/>
        </w:rPr>
        <w:t>目录</w:t>
      </w:r>
    </w:p>
    <w:p w14:paraId="6ECC608E">
      <w:pPr>
        <w:spacing w:line="360" w:lineRule="auto"/>
        <w:rPr>
          <w:rFonts w:cs="仿宋"/>
          <w:color w:val="auto"/>
        </w:rPr>
      </w:pPr>
      <w:r>
        <w:rPr>
          <w:rFonts w:hint="eastAsia" w:cs="仿宋"/>
          <w:color w:val="auto"/>
        </w:rPr>
        <w:t>（1）响应函……………………………………………………………………（页码）</w:t>
      </w:r>
    </w:p>
    <w:p w14:paraId="1AFECF80">
      <w:pPr>
        <w:spacing w:line="360" w:lineRule="auto"/>
        <w:rPr>
          <w:rFonts w:cs="仿宋"/>
          <w:color w:val="auto"/>
        </w:rPr>
      </w:pPr>
      <w:r>
        <w:rPr>
          <w:rFonts w:hint="eastAsia" w:cs="仿宋"/>
          <w:color w:val="auto"/>
        </w:rPr>
        <w:t>（2）授权委托书或法定代表人（单位负责人、自然人本人）身份证明……（页码）</w:t>
      </w:r>
    </w:p>
    <w:p w14:paraId="7A645CB7">
      <w:pPr>
        <w:spacing w:line="360" w:lineRule="auto"/>
        <w:rPr>
          <w:rFonts w:cs="仿宋"/>
          <w:color w:val="auto"/>
        </w:rPr>
      </w:pPr>
      <w:r>
        <w:rPr>
          <w:rFonts w:hint="eastAsia" w:cs="仿宋"/>
          <w:color w:val="auto"/>
        </w:rPr>
        <w:t>（3）联合协议……………………………………………………………………（页码）</w:t>
      </w:r>
    </w:p>
    <w:p w14:paraId="7EBA0290">
      <w:pPr>
        <w:spacing w:line="360" w:lineRule="auto"/>
        <w:rPr>
          <w:rFonts w:cs="仿宋"/>
          <w:color w:val="auto"/>
        </w:rPr>
      </w:pPr>
      <w:r>
        <w:rPr>
          <w:rFonts w:hint="eastAsia" w:cs="仿宋"/>
          <w:color w:val="auto"/>
        </w:rPr>
        <w:t>（4）分包意向协议………………………………………………………………（页码）</w:t>
      </w:r>
    </w:p>
    <w:p w14:paraId="42394AE3">
      <w:pPr>
        <w:spacing w:line="360" w:lineRule="auto"/>
        <w:rPr>
          <w:rFonts w:cs="仿宋"/>
          <w:color w:val="auto"/>
        </w:rPr>
      </w:pPr>
      <w:r>
        <w:rPr>
          <w:rFonts w:hint="eastAsia" w:cs="仿宋"/>
          <w:color w:val="auto"/>
        </w:rPr>
        <w:t>（5）符合性审查资料…………………………………………………………（页码）</w:t>
      </w:r>
    </w:p>
    <w:p w14:paraId="5FC37DDE">
      <w:pPr>
        <w:spacing w:line="360" w:lineRule="auto"/>
        <w:rPr>
          <w:rFonts w:hint="eastAsia" w:cs="仿宋"/>
          <w:color w:val="auto"/>
        </w:rPr>
      </w:pPr>
      <w:r>
        <w:rPr>
          <w:rFonts w:hint="eastAsia" w:cs="仿宋"/>
          <w:color w:val="auto"/>
        </w:rPr>
        <w:t>（6）评审标准相应的商务技术资料……………………………………………（页码）</w:t>
      </w:r>
    </w:p>
    <w:p w14:paraId="37994911">
      <w:pPr>
        <w:spacing w:line="360" w:lineRule="auto"/>
        <w:rPr>
          <w:rFonts w:hint="eastAsia" w:cs="仿宋"/>
          <w:color w:val="auto"/>
        </w:rPr>
      </w:pPr>
      <w:r>
        <w:rPr>
          <w:rFonts w:hint="eastAsia" w:cs="仿宋"/>
          <w:color w:val="auto"/>
        </w:rPr>
        <w:t>（7）响应标的清单………………………………………………………………（页码）</w:t>
      </w:r>
    </w:p>
    <w:p w14:paraId="573678A4">
      <w:pPr>
        <w:spacing w:line="360" w:lineRule="auto"/>
        <w:rPr>
          <w:rFonts w:cs="仿宋"/>
          <w:color w:val="auto"/>
        </w:rPr>
      </w:pPr>
      <w:r>
        <w:rPr>
          <w:rFonts w:hint="eastAsia" w:cs="仿宋"/>
          <w:color w:val="auto"/>
        </w:rPr>
        <w:t>（8）商务技术偏离表……………………………………………………………（页码）</w:t>
      </w:r>
    </w:p>
    <w:p w14:paraId="7702F03A">
      <w:pPr>
        <w:spacing w:line="360" w:lineRule="auto"/>
        <w:rPr>
          <w:rFonts w:cs="仿宋"/>
          <w:color w:val="auto"/>
        </w:rPr>
      </w:pPr>
      <w:r>
        <w:rPr>
          <w:rFonts w:hint="eastAsia" w:cs="仿宋"/>
          <w:color w:val="auto"/>
          <w:lang w:val="zh-CN"/>
        </w:rPr>
        <w:t>（</w:t>
      </w:r>
      <w:r>
        <w:rPr>
          <w:rFonts w:hint="eastAsia" w:cs="仿宋"/>
          <w:color w:val="auto"/>
        </w:rPr>
        <w:t>9</w:t>
      </w:r>
      <w:r>
        <w:rPr>
          <w:rFonts w:hint="eastAsia" w:cs="仿宋"/>
          <w:color w:val="auto"/>
          <w:lang w:val="zh-CN"/>
        </w:rPr>
        <w:t>）采购供应商廉洁自律承诺书</w:t>
      </w:r>
      <w:r>
        <w:rPr>
          <w:rFonts w:hint="eastAsia" w:cs="仿宋"/>
          <w:color w:val="auto"/>
        </w:rPr>
        <w:t>…………………………………………（页码）</w:t>
      </w:r>
    </w:p>
    <w:p w14:paraId="1CBFB6FB">
      <w:pPr>
        <w:spacing w:line="360" w:lineRule="auto"/>
        <w:rPr>
          <w:rFonts w:cs="仿宋"/>
          <w:color w:val="auto"/>
        </w:rPr>
      </w:pPr>
      <w:r>
        <w:rPr>
          <w:rFonts w:hint="eastAsia" w:cs="仿宋"/>
          <w:color w:val="auto"/>
        </w:rPr>
        <w:br w:type="page"/>
      </w:r>
    </w:p>
    <w:p w14:paraId="4B85DA84">
      <w:pPr>
        <w:pStyle w:val="3"/>
        <w:spacing w:line="360" w:lineRule="auto"/>
        <w:rPr>
          <w:rFonts w:cs="仿宋"/>
          <w:color w:val="auto"/>
        </w:rPr>
      </w:pPr>
      <w:r>
        <w:rPr>
          <w:rFonts w:hint="eastAsia" w:cs="仿宋"/>
          <w:color w:val="auto"/>
        </w:rPr>
        <w:t>一、响应函</w:t>
      </w:r>
    </w:p>
    <w:p w14:paraId="6BF5B2AB">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w:t>
      </w:r>
      <w:r>
        <w:rPr>
          <w:rFonts w:hint="eastAsia" w:cs="仿宋"/>
          <w:color w:val="auto"/>
          <w:lang w:eastAsia="zh-CN"/>
        </w:rPr>
        <w:t>交易发起人</w:t>
      </w:r>
      <w:r>
        <w:rPr>
          <w:rFonts w:hint="eastAsia" w:cs="仿宋"/>
          <w:color w:val="auto"/>
        </w:rPr>
        <w:t>）、（采购代理机构）：</w:t>
      </w:r>
    </w:p>
    <w:p w14:paraId="57738E0A">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我方参加你方组织的（项目名称）【采购编号：     】交易的有关活动，并对此项目进行响应。为此：</w:t>
      </w:r>
    </w:p>
    <w:p w14:paraId="4064A0BF">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1、我方承诺响应有效期从提交响应文件的截止之日起天（不少于90天），本响应文件在响应有效期满之前均具有约束力。</w:t>
      </w:r>
    </w:p>
    <w:p w14:paraId="37A11563">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2、我方的响应文件包括以下内容：</w:t>
      </w:r>
    </w:p>
    <w:p w14:paraId="34E031B2">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2.1资格文件：</w:t>
      </w:r>
    </w:p>
    <w:p w14:paraId="7225ABB2">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2.1.1承诺函；</w:t>
      </w:r>
    </w:p>
    <w:p w14:paraId="408F5E7C">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2.1.2落实政府采购政策需满足的资格要求（如果有）；</w:t>
      </w:r>
    </w:p>
    <w:p w14:paraId="03F6D91D">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2.1.3本项目的特定资格要求（如果有）。</w:t>
      </w:r>
    </w:p>
    <w:p w14:paraId="143A0D94">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lang w:val="zh-CN"/>
        </w:rPr>
      </w:pPr>
      <w:r>
        <w:rPr>
          <w:rFonts w:hint="eastAsia" w:cs="仿宋"/>
          <w:color w:val="auto"/>
        </w:rPr>
        <w:t>2</w:t>
      </w:r>
      <w:r>
        <w:rPr>
          <w:rFonts w:hint="eastAsia" w:cs="仿宋"/>
          <w:color w:val="auto"/>
          <w:lang w:val="zh-CN"/>
        </w:rPr>
        <w:t>.</w:t>
      </w:r>
      <w:r>
        <w:rPr>
          <w:rFonts w:hint="eastAsia" w:cs="仿宋"/>
          <w:color w:val="auto"/>
        </w:rPr>
        <w:t>2商务技术</w:t>
      </w:r>
      <w:r>
        <w:rPr>
          <w:rFonts w:hint="eastAsia" w:cs="仿宋"/>
          <w:color w:val="auto"/>
          <w:lang w:val="zh-CN"/>
        </w:rPr>
        <w:t>文件：</w:t>
      </w:r>
    </w:p>
    <w:p w14:paraId="2D4A610B">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2.2.1响应函；</w:t>
      </w:r>
    </w:p>
    <w:p w14:paraId="7D058692">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2.2.2授权委托书或法定代表人（单位负责人）身份证明；</w:t>
      </w:r>
    </w:p>
    <w:p w14:paraId="12561861">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2.2.3联合协议（如果有）；</w:t>
      </w:r>
    </w:p>
    <w:p w14:paraId="2325D374">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2.2.4分包意向协议（如果有）；</w:t>
      </w:r>
    </w:p>
    <w:p w14:paraId="063FDE16">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2.2.5符合性审查资料；</w:t>
      </w:r>
    </w:p>
    <w:p w14:paraId="522BAC5F">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2.2.6评审标准相应的商务技术资料；</w:t>
      </w:r>
    </w:p>
    <w:p w14:paraId="4A6FCED0">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2.2.7响应标的清单；</w:t>
      </w:r>
    </w:p>
    <w:p w14:paraId="655FDD45">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2.2.8商务技术偏离表；</w:t>
      </w:r>
    </w:p>
    <w:p w14:paraId="517FA288">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lang w:val="zh-CN"/>
        </w:rPr>
      </w:pPr>
      <w:r>
        <w:rPr>
          <w:rFonts w:hint="eastAsia" w:cs="仿宋"/>
          <w:color w:val="auto"/>
        </w:rPr>
        <w:t>2</w:t>
      </w:r>
      <w:r>
        <w:rPr>
          <w:rFonts w:hint="eastAsia" w:cs="仿宋"/>
          <w:color w:val="auto"/>
          <w:lang w:val="zh-CN"/>
        </w:rPr>
        <w:t>.</w:t>
      </w:r>
      <w:r>
        <w:rPr>
          <w:rFonts w:hint="eastAsia" w:cs="仿宋"/>
          <w:color w:val="auto"/>
        </w:rPr>
        <w:t>2</w:t>
      </w:r>
      <w:r>
        <w:rPr>
          <w:rFonts w:hint="eastAsia" w:cs="仿宋"/>
          <w:color w:val="auto"/>
          <w:lang w:val="zh-CN"/>
        </w:rPr>
        <w:t>.</w:t>
      </w:r>
      <w:r>
        <w:rPr>
          <w:rFonts w:hint="eastAsia" w:cs="仿宋"/>
          <w:color w:val="auto"/>
        </w:rPr>
        <w:t>9</w:t>
      </w:r>
      <w:r>
        <w:rPr>
          <w:rFonts w:hint="eastAsia" w:cs="仿宋"/>
          <w:color w:val="auto"/>
          <w:lang w:val="zh-CN"/>
        </w:rPr>
        <w:t>采购供应商廉洁自律承诺书；</w:t>
      </w:r>
    </w:p>
    <w:p w14:paraId="0C9744C5">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w:t>
      </w:r>
      <w:r>
        <w:rPr>
          <w:rFonts w:hint="eastAsia" w:cs="仿宋"/>
          <w:color w:val="auto"/>
          <w:lang w:val="zh-CN"/>
        </w:rPr>
        <w:t>.</w:t>
      </w:r>
      <w:r>
        <w:rPr>
          <w:rFonts w:hint="eastAsia" w:cs="仿宋"/>
          <w:color w:val="auto"/>
        </w:rPr>
        <w:t>3报价文件</w:t>
      </w:r>
    </w:p>
    <w:p w14:paraId="6D9954DD">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2.3.1响应一览表（报价表）；</w:t>
      </w:r>
    </w:p>
    <w:p w14:paraId="471ED5F4">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3、我方承诺除商务技术偏离表列出的偏离外，我方响应交易文件的全部要求。</w:t>
      </w:r>
    </w:p>
    <w:p w14:paraId="3D8E3E5E">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4、如我方成交，我方承诺：</w:t>
      </w:r>
    </w:p>
    <w:p w14:paraId="49885B41">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 xml:space="preserve">4.1在收到成交通知书后，在成交通知书规定的期限内与你方签订合同； </w:t>
      </w:r>
    </w:p>
    <w:p w14:paraId="6AAE53D6">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 xml:space="preserve">4.2在签订合同时不向你方提出附加条件； </w:t>
      </w:r>
    </w:p>
    <w:p w14:paraId="4EA68A84">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 xml:space="preserve">4.3按照交易文件要求提交履约保证金； </w:t>
      </w:r>
    </w:p>
    <w:p w14:paraId="1E967E4F">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 xml:space="preserve">4.4在合同约定的期限内完成合同规定的全部义务。 </w:t>
      </w:r>
    </w:p>
    <w:p w14:paraId="5983311D">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5、其他补充说明:。</w:t>
      </w:r>
    </w:p>
    <w:p w14:paraId="12B83BD3">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 xml:space="preserve">供应商名称（电子签名）：                          </w:t>
      </w:r>
    </w:p>
    <w:p w14:paraId="3B4AB21D">
      <w:pPr>
        <w:keepNext w:val="0"/>
        <w:keepLines w:val="0"/>
        <w:pageBreakBefore w:val="0"/>
        <w:widowControl/>
        <w:kinsoku/>
        <w:wordWrap/>
        <w:overflowPunct/>
        <w:topLinePunct w:val="0"/>
        <w:autoSpaceDE/>
        <w:autoSpaceDN/>
        <w:bidi w:val="0"/>
        <w:adjustRightInd/>
        <w:snapToGrid/>
        <w:spacing w:after="0" w:line="312" w:lineRule="auto"/>
        <w:textAlignment w:val="auto"/>
        <w:rPr>
          <w:rFonts w:cs="仿宋"/>
          <w:color w:val="auto"/>
        </w:rPr>
      </w:pPr>
      <w:r>
        <w:rPr>
          <w:rFonts w:hint="eastAsia" w:cs="仿宋"/>
          <w:color w:val="auto"/>
        </w:rPr>
        <w:t xml:space="preserve">     日期：  年   月   日</w:t>
      </w:r>
    </w:p>
    <w:p w14:paraId="54C87543">
      <w:pPr>
        <w:keepNext w:val="0"/>
        <w:keepLines w:val="0"/>
        <w:pageBreakBefore w:val="0"/>
        <w:widowControl/>
        <w:kinsoku/>
        <w:wordWrap/>
        <w:overflowPunct/>
        <w:topLinePunct w:val="0"/>
        <w:autoSpaceDE/>
        <w:autoSpaceDN/>
        <w:bidi w:val="0"/>
        <w:adjustRightInd/>
        <w:snapToGrid/>
        <w:spacing w:after="0" w:line="288" w:lineRule="auto"/>
        <w:textAlignment w:val="auto"/>
        <w:rPr>
          <w:rFonts w:cs="仿宋"/>
          <w:color w:val="auto"/>
          <w:u w:val="single"/>
        </w:rPr>
      </w:pPr>
    </w:p>
    <w:p w14:paraId="310E068F">
      <w:pPr>
        <w:keepNext w:val="0"/>
        <w:keepLines w:val="0"/>
        <w:pageBreakBefore w:val="0"/>
        <w:widowControl/>
        <w:kinsoku/>
        <w:wordWrap/>
        <w:overflowPunct/>
        <w:topLinePunct w:val="0"/>
        <w:autoSpaceDE/>
        <w:autoSpaceDN/>
        <w:bidi w:val="0"/>
        <w:adjustRightInd/>
        <w:snapToGrid/>
        <w:spacing w:after="0" w:line="288" w:lineRule="auto"/>
        <w:textAlignment w:val="auto"/>
        <w:rPr>
          <w:rFonts w:cs="仿宋"/>
          <w:color w:val="auto"/>
        </w:rPr>
      </w:pPr>
      <w:r>
        <w:rPr>
          <w:rFonts w:hint="eastAsia" w:cs="仿宋"/>
          <w:color w:val="auto"/>
        </w:rPr>
        <w:t>注：按本格式和要求提供。</w:t>
      </w:r>
    </w:p>
    <w:p w14:paraId="06F5516D">
      <w:pPr>
        <w:spacing w:line="360" w:lineRule="auto"/>
        <w:rPr>
          <w:rFonts w:cs="仿宋"/>
          <w:color w:val="auto"/>
        </w:rPr>
      </w:pPr>
      <w:r>
        <w:rPr>
          <w:rFonts w:hint="eastAsia" w:cs="仿宋"/>
          <w:color w:val="auto"/>
        </w:rPr>
        <w:br w:type="page"/>
      </w:r>
    </w:p>
    <w:p w14:paraId="290F894F">
      <w:pPr>
        <w:pStyle w:val="3"/>
        <w:spacing w:line="360" w:lineRule="auto"/>
        <w:rPr>
          <w:rFonts w:cs="仿宋"/>
          <w:color w:val="auto"/>
          <w:lang w:val="zh-CN"/>
        </w:rPr>
      </w:pPr>
      <w:r>
        <w:rPr>
          <w:rFonts w:hint="eastAsia" w:cs="仿宋"/>
          <w:color w:val="auto"/>
          <w:lang w:val="zh-CN"/>
        </w:rPr>
        <w:t>二、授权委托书或法定代表人（单位负责人、自然人本人）身份证明</w:t>
      </w:r>
    </w:p>
    <w:p w14:paraId="13E0D1F4">
      <w:pPr>
        <w:snapToGrid w:val="0"/>
        <w:spacing w:line="360" w:lineRule="auto"/>
        <w:rPr>
          <w:rFonts w:cs="仿宋"/>
          <w:color w:val="auto"/>
        </w:rPr>
      </w:pPr>
    </w:p>
    <w:p w14:paraId="3C2F334A">
      <w:pPr>
        <w:snapToGrid w:val="0"/>
        <w:spacing w:line="360" w:lineRule="auto"/>
        <w:jc w:val="center"/>
        <w:rPr>
          <w:rFonts w:cs="仿宋"/>
          <w:color w:val="auto"/>
        </w:rPr>
      </w:pPr>
      <w:r>
        <w:rPr>
          <w:rFonts w:hint="eastAsia" w:cs="仿宋"/>
          <w:b/>
          <w:color w:val="auto"/>
          <w:sz w:val="32"/>
          <w:szCs w:val="32"/>
          <w:lang w:val="zh-CN"/>
        </w:rPr>
        <w:t>授权委托书（适用于非联合体响应）</w:t>
      </w:r>
    </w:p>
    <w:p w14:paraId="0055BDCB">
      <w:pPr>
        <w:spacing w:line="360" w:lineRule="auto"/>
        <w:rPr>
          <w:rFonts w:cs="仿宋"/>
          <w:color w:val="auto"/>
        </w:rPr>
      </w:pPr>
      <w:r>
        <w:rPr>
          <w:rFonts w:hint="eastAsia" w:cs="仿宋"/>
          <w:color w:val="auto"/>
        </w:rPr>
        <w:t>（</w:t>
      </w:r>
      <w:r>
        <w:rPr>
          <w:rFonts w:hint="eastAsia" w:cs="仿宋"/>
          <w:color w:val="auto"/>
          <w:lang w:eastAsia="zh-CN"/>
        </w:rPr>
        <w:t>交易发起人</w:t>
      </w:r>
      <w:r>
        <w:rPr>
          <w:rFonts w:hint="eastAsia" w:cs="仿宋"/>
          <w:color w:val="auto"/>
        </w:rPr>
        <w:t>）、（采购代理机构）</w:t>
      </w:r>
      <w:r>
        <w:rPr>
          <w:rFonts w:hint="eastAsia" w:cs="仿宋"/>
          <w:color w:val="auto"/>
          <w:lang w:val="zh-CN"/>
        </w:rPr>
        <w:t>：</w:t>
      </w:r>
    </w:p>
    <w:p w14:paraId="0A68AF4F">
      <w:pPr>
        <w:spacing w:line="360" w:lineRule="auto"/>
        <w:rPr>
          <w:rFonts w:cs="仿宋"/>
          <w:color w:val="auto"/>
        </w:rPr>
      </w:pPr>
      <w:r>
        <w:rPr>
          <w:rFonts w:hint="eastAsia" w:cs="仿宋"/>
          <w:color w:val="auto"/>
        </w:rPr>
        <w:t>现</w:t>
      </w:r>
      <w:r>
        <w:rPr>
          <w:rFonts w:hint="eastAsia" w:cs="仿宋"/>
          <w:color w:val="auto"/>
          <w:lang w:val="zh-CN"/>
        </w:rPr>
        <w:t>委托（姓名）为我方代理人（身份证号码：，手机：），以我方名义处理</w:t>
      </w:r>
      <w:r>
        <w:rPr>
          <w:rFonts w:hint="eastAsia" w:cs="仿宋"/>
          <w:color w:val="auto"/>
        </w:rPr>
        <w:t>（项目名称）【采购编号：    】</w:t>
      </w:r>
      <w:r>
        <w:rPr>
          <w:rFonts w:hint="eastAsia" w:cs="仿宋"/>
          <w:color w:val="auto"/>
          <w:lang w:val="zh-CN"/>
        </w:rPr>
        <w:t>采购响应的一切事项，其法律后果由我方承担。</w:t>
      </w:r>
    </w:p>
    <w:p w14:paraId="071FDD5D">
      <w:pPr>
        <w:spacing w:line="360" w:lineRule="auto"/>
        <w:rPr>
          <w:rFonts w:cs="仿宋"/>
          <w:color w:val="auto"/>
        </w:rPr>
      </w:pPr>
      <w:r>
        <w:rPr>
          <w:rFonts w:hint="eastAsia" w:cs="仿宋"/>
          <w:color w:val="auto"/>
          <w:lang w:val="zh-CN"/>
        </w:rPr>
        <w:t>委托期限</w:t>
      </w:r>
      <w:r>
        <w:rPr>
          <w:rFonts w:hint="eastAsia" w:cs="仿宋"/>
          <w:color w:val="auto"/>
        </w:rPr>
        <w:t>：</w:t>
      </w:r>
      <w:r>
        <w:rPr>
          <w:rFonts w:hint="eastAsia" w:cs="仿宋"/>
          <w:color w:val="auto"/>
          <w:lang w:val="zh-CN"/>
        </w:rPr>
        <w:t>自年月日起至年月日止。</w:t>
      </w:r>
    </w:p>
    <w:p w14:paraId="5D6358A6">
      <w:pPr>
        <w:spacing w:line="360" w:lineRule="auto"/>
        <w:rPr>
          <w:rFonts w:cs="仿宋"/>
          <w:color w:val="auto"/>
        </w:rPr>
      </w:pPr>
      <w:r>
        <w:rPr>
          <w:rFonts w:hint="eastAsia" w:cs="仿宋"/>
          <w:color w:val="auto"/>
          <w:lang w:val="zh-CN"/>
        </w:rPr>
        <w:t>特此告知。</w:t>
      </w:r>
    </w:p>
    <w:p w14:paraId="31105518">
      <w:pPr>
        <w:spacing w:line="360" w:lineRule="auto"/>
        <w:rPr>
          <w:rFonts w:cs="仿宋"/>
          <w:color w:val="auto"/>
        </w:rPr>
      </w:pPr>
      <w:r>
        <w:rPr>
          <w:rFonts w:hint="eastAsia" w:cs="仿宋"/>
          <w:color w:val="auto"/>
          <w:lang w:val="zh-CN"/>
        </w:rPr>
        <w:t xml:space="preserve">                                                 供应商名称(电子签名)：</w:t>
      </w:r>
    </w:p>
    <w:p w14:paraId="0E88AF33">
      <w:pPr>
        <w:spacing w:line="360" w:lineRule="auto"/>
        <w:rPr>
          <w:rFonts w:cs="仿宋"/>
          <w:color w:val="auto"/>
          <w:lang w:val="zh-CN"/>
        </w:rPr>
      </w:pPr>
      <w:r>
        <w:rPr>
          <w:rFonts w:hint="eastAsia" w:cs="仿宋"/>
          <w:color w:val="auto"/>
          <w:lang w:val="zh-CN"/>
        </w:rPr>
        <w:t xml:space="preserve">                                                签发日期：  年  月   日</w:t>
      </w:r>
    </w:p>
    <w:p w14:paraId="1C9095D0">
      <w:pPr>
        <w:spacing w:line="360" w:lineRule="auto"/>
        <w:jc w:val="center"/>
        <w:rPr>
          <w:rFonts w:cs="仿宋"/>
          <w:b/>
          <w:color w:val="auto"/>
          <w:sz w:val="32"/>
          <w:szCs w:val="32"/>
        </w:rPr>
      </w:pPr>
      <w:r>
        <w:rPr>
          <w:rFonts w:hint="eastAsia" w:cs="仿宋"/>
          <w:b/>
          <w:color w:val="auto"/>
          <w:sz w:val="32"/>
          <w:szCs w:val="32"/>
          <w:lang w:val="zh-CN"/>
        </w:rPr>
        <w:t>授权委托书（适用于联合体响应）</w:t>
      </w:r>
    </w:p>
    <w:p w14:paraId="3357A0D5">
      <w:pPr>
        <w:spacing w:line="360" w:lineRule="auto"/>
        <w:rPr>
          <w:rFonts w:cs="仿宋"/>
          <w:color w:val="auto"/>
        </w:rPr>
      </w:pPr>
      <w:r>
        <w:rPr>
          <w:rFonts w:hint="eastAsia" w:cs="仿宋"/>
          <w:color w:val="auto"/>
        </w:rPr>
        <w:t>（</w:t>
      </w:r>
      <w:r>
        <w:rPr>
          <w:rFonts w:hint="eastAsia" w:cs="仿宋"/>
          <w:color w:val="auto"/>
          <w:lang w:eastAsia="zh-CN"/>
        </w:rPr>
        <w:t>交易发起人</w:t>
      </w:r>
      <w:r>
        <w:rPr>
          <w:rFonts w:hint="eastAsia" w:cs="仿宋"/>
          <w:color w:val="auto"/>
        </w:rPr>
        <w:t>）、（采购代理机构）</w:t>
      </w:r>
      <w:r>
        <w:rPr>
          <w:rFonts w:hint="eastAsia" w:cs="仿宋"/>
          <w:color w:val="auto"/>
          <w:lang w:val="zh-CN"/>
        </w:rPr>
        <w:t>：</w:t>
      </w:r>
    </w:p>
    <w:p w14:paraId="59C40738">
      <w:pPr>
        <w:spacing w:line="360" w:lineRule="auto"/>
        <w:rPr>
          <w:rFonts w:cs="仿宋"/>
          <w:color w:val="auto"/>
        </w:rPr>
      </w:pPr>
      <w:r>
        <w:rPr>
          <w:rFonts w:hint="eastAsia" w:cs="仿宋"/>
          <w:color w:val="auto"/>
        </w:rPr>
        <w:t>现</w:t>
      </w:r>
      <w:r>
        <w:rPr>
          <w:rFonts w:hint="eastAsia" w:cs="仿宋"/>
          <w:color w:val="auto"/>
          <w:lang w:val="zh-CN"/>
        </w:rPr>
        <w:t>委托（姓名）为我方代理人（身份证号码：，手机：），以我方名义处理</w:t>
      </w:r>
      <w:r>
        <w:rPr>
          <w:rFonts w:hint="eastAsia" w:cs="仿宋"/>
          <w:color w:val="auto"/>
        </w:rPr>
        <w:t>（项目名称）【采购编号：     】</w:t>
      </w:r>
      <w:r>
        <w:rPr>
          <w:rFonts w:hint="eastAsia" w:cs="仿宋"/>
          <w:color w:val="auto"/>
          <w:lang w:val="zh-CN"/>
        </w:rPr>
        <w:t>采购响应的一切事项，其法律后果由我方承担。</w:t>
      </w:r>
    </w:p>
    <w:p w14:paraId="30CF09F0">
      <w:pPr>
        <w:spacing w:line="360" w:lineRule="auto"/>
        <w:rPr>
          <w:rFonts w:cs="仿宋"/>
          <w:color w:val="auto"/>
        </w:rPr>
      </w:pPr>
      <w:r>
        <w:rPr>
          <w:rFonts w:hint="eastAsia" w:cs="仿宋"/>
          <w:color w:val="auto"/>
          <w:lang w:val="zh-CN"/>
        </w:rPr>
        <w:t>委托期限</w:t>
      </w:r>
      <w:r>
        <w:rPr>
          <w:rFonts w:hint="eastAsia" w:cs="仿宋"/>
          <w:color w:val="auto"/>
        </w:rPr>
        <w:t>：</w:t>
      </w:r>
      <w:r>
        <w:rPr>
          <w:rFonts w:hint="eastAsia" w:cs="仿宋"/>
          <w:color w:val="auto"/>
          <w:lang w:val="zh-CN"/>
        </w:rPr>
        <w:t>自年月日起至年月日止。</w:t>
      </w:r>
    </w:p>
    <w:p w14:paraId="3B526F34">
      <w:pPr>
        <w:spacing w:line="360" w:lineRule="auto"/>
        <w:rPr>
          <w:rFonts w:cs="仿宋"/>
          <w:color w:val="auto"/>
        </w:rPr>
      </w:pPr>
      <w:r>
        <w:rPr>
          <w:rFonts w:hint="eastAsia" w:cs="仿宋"/>
          <w:color w:val="auto"/>
          <w:lang w:val="zh-CN"/>
        </w:rPr>
        <w:t>特此告知。</w:t>
      </w:r>
    </w:p>
    <w:p w14:paraId="61F59CF9">
      <w:pPr>
        <w:spacing w:line="360" w:lineRule="auto"/>
        <w:rPr>
          <w:rFonts w:cs="仿宋"/>
          <w:color w:val="auto"/>
        </w:rPr>
      </w:pPr>
    </w:p>
    <w:p w14:paraId="477A2419">
      <w:pPr>
        <w:snapToGrid w:val="0"/>
        <w:spacing w:line="360" w:lineRule="auto"/>
        <w:rPr>
          <w:rFonts w:cs="仿宋"/>
          <w:color w:val="auto"/>
          <w:lang w:val="zh-CN"/>
        </w:rPr>
      </w:pPr>
      <w:r>
        <w:rPr>
          <w:rFonts w:hint="eastAsia" w:cs="仿宋"/>
          <w:color w:val="auto"/>
          <w:lang w:val="zh-CN"/>
        </w:rPr>
        <w:t>联合体成员名称(电子签名/公章)：</w:t>
      </w:r>
    </w:p>
    <w:p w14:paraId="75A89818">
      <w:pPr>
        <w:snapToGrid w:val="0"/>
        <w:spacing w:line="360" w:lineRule="auto"/>
        <w:rPr>
          <w:rFonts w:cs="仿宋"/>
          <w:color w:val="auto"/>
          <w:lang w:val="zh-CN"/>
        </w:rPr>
      </w:pPr>
      <w:r>
        <w:rPr>
          <w:rFonts w:hint="eastAsia" w:cs="仿宋"/>
          <w:color w:val="auto"/>
          <w:lang w:val="zh-CN"/>
        </w:rPr>
        <w:t>联合体成员名称(电子签名/公章)：</w:t>
      </w:r>
    </w:p>
    <w:p w14:paraId="098AB812">
      <w:pPr>
        <w:snapToGrid w:val="0"/>
        <w:spacing w:line="360" w:lineRule="auto"/>
        <w:rPr>
          <w:rFonts w:cs="仿宋"/>
          <w:color w:val="auto"/>
          <w:lang w:val="zh-CN"/>
        </w:rPr>
      </w:pPr>
      <w:r>
        <w:rPr>
          <w:rFonts w:hint="eastAsia" w:cs="仿宋"/>
          <w:color w:val="auto"/>
          <w:lang w:val="zh-CN"/>
        </w:rPr>
        <w:t xml:space="preserve">                                               日期：  年  月   日</w:t>
      </w:r>
    </w:p>
    <w:p w14:paraId="218A1852">
      <w:pPr>
        <w:spacing w:line="360" w:lineRule="auto"/>
        <w:rPr>
          <w:rFonts w:cs="仿宋"/>
          <w:b/>
          <w:color w:val="auto"/>
          <w:sz w:val="32"/>
          <w:szCs w:val="32"/>
          <w:lang w:val="zh-CN"/>
        </w:rPr>
      </w:pPr>
      <w:r>
        <w:rPr>
          <w:rFonts w:hint="eastAsia" w:cs="仿宋"/>
          <w:b/>
          <w:color w:val="auto"/>
          <w:sz w:val="32"/>
          <w:szCs w:val="32"/>
          <w:lang w:val="zh-CN"/>
        </w:rPr>
        <w:br w:type="page"/>
      </w:r>
    </w:p>
    <w:p w14:paraId="267B51EA">
      <w:pPr>
        <w:autoSpaceDE w:val="0"/>
        <w:autoSpaceDN w:val="0"/>
        <w:spacing w:line="360" w:lineRule="auto"/>
        <w:jc w:val="center"/>
        <w:rPr>
          <w:rFonts w:cs="仿宋"/>
          <w:b/>
          <w:color w:val="auto"/>
        </w:rPr>
      </w:pPr>
      <w:r>
        <w:rPr>
          <w:rFonts w:hint="eastAsia" w:cs="仿宋"/>
          <w:b/>
          <w:color w:val="auto"/>
          <w:sz w:val="32"/>
          <w:szCs w:val="32"/>
          <w:lang w:val="zh-CN"/>
        </w:rPr>
        <w:t>法定代表人、单位负责人或自然人本人</w:t>
      </w:r>
      <w:r>
        <w:rPr>
          <w:rFonts w:hint="eastAsia" w:cs="仿宋"/>
          <w:b/>
          <w:color w:val="auto"/>
          <w:sz w:val="30"/>
          <w:szCs w:val="30"/>
        </w:rPr>
        <w:t>的身份证明（适用于法定代表人、单位负责人或者自然人本人代表供应商参加交易）</w:t>
      </w:r>
    </w:p>
    <w:p w14:paraId="625771C5">
      <w:pPr>
        <w:pStyle w:val="86"/>
        <w:spacing w:line="360" w:lineRule="auto"/>
        <w:rPr>
          <w:rFonts w:ascii="仿宋" w:hAnsi="仿宋" w:eastAsia="仿宋" w:cs="仿宋"/>
          <w:bCs/>
          <w:color w:val="auto"/>
          <w:sz w:val="24"/>
        </w:rPr>
      </w:pPr>
      <w:r>
        <w:rPr>
          <w:rFonts w:hint="eastAsia" w:ascii="仿宋" w:hAnsi="仿宋" w:eastAsia="仿宋" w:cs="仿宋"/>
          <w:bCs/>
          <w:color w:val="auto"/>
          <w:sz w:val="24"/>
        </w:rPr>
        <w:t>身份证件扫描件：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FD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FFAD04">
            <w:pPr>
              <w:pStyle w:val="86"/>
              <w:adjustRightInd w:val="0"/>
              <w:spacing w:line="360" w:lineRule="auto"/>
              <w:rPr>
                <w:rFonts w:ascii="仿宋" w:hAnsi="仿宋" w:eastAsia="仿宋" w:cs="仿宋"/>
                <w:bCs/>
                <w:color w:val="auto"/>
                <w:sz w:val="24"/>
              </w:rPr>
            </w:pPr>
            <w:r>
              <w:rPr>
                <w:rFonts w:hint="eastAsia" w:ascii="仿宋" w:hAnsi="仿宋" w:eastAsia="仿宋" w:cs="仿宋"/>
                <w:bCs/>
                <w:color w:val="auto"/>
                <w:sz w:val="24"/>
              </w:rPr>
              <w:t>正面：                                 反面：</w:t>
            </w:r>
          </w:p>
          <w:p w14:paraId="4F1C8F1E">
            <w:pPr>
              <w:pStyle w:val="86"/>
              <w:adjustRightInd w:val="0"/>
              <w:spacing w:line="360" w:lineRule="auto"/>
              <w:rPr>
                <w:rFonts w:ascii="仿宋" w:hAnsi="仿宋" w:eastAsia="仿宋" w:cs="仿宋"/>
                <w:bCs/>
                <w:color w:val="auto"/>
                <w:sz w:val="24"/>
              </w:rPr>
            </w:pPr>
          </w:p>
        </w:tc>
      </w:tr>
    </w:tbl>
    <w:p w14:paraId="273E4543">
      <w:pPr>
        <w:snapToGrid w:val="0"/>
        <w:spacing w:line="360" w:lineRule="auto"/>
        <w:ind w:firstLine="576"/>
        <w:jc w:val="center"/>
        <w:rPr>
          <w:rFonts w:cs="仿宋"/>
          <w:color w:val="auto"/>
          <w:lang w:val="zh-CN"/>
        </w:rPr>
      </w:pPr>
    </w:p>
    <w:p w14:paraId="10A3745D">
      <w:pPr>
        <w:snapToGrid w:val="0"/>
        <w:spacing w:line="360" w:lineRule="auto"/>
        <w:ind w:firstLine="576"/>
        <w:jc w:val="center"/>
        <w:rPr>
          <w:rFonts w:cs="仿宋"/>
          <w:color w:val="auto"/>
          <w:lang w:val="zh-CN"/>
        </w:rPr>
      </w:pPr>
      <w:r>
        <w:rPr>
          <w:rFonts w:hint="eastAsia" w:cs="仿宋"/>
          <w:color w:val="auto"/>
          <w:lang w:val="zh-CN"/>
        </w:rPr>
        <w:t xml:space="preserve">                  供应商名称(电子签名)：                              </w:t>
      </w:r>
    </w:p>
    <w:p w14:paraId="6B17C6C2">
      <w:pPr>
        <w:spacing w:line="360" w:lineRule="auto"/>
        <w:jc w:val="center"/>
        <w:rPr>
          <w:rFonts w:cs="仿宋"/>
          <w:color w:val="auto"/>
          <w:lang w:val="zh-CN"/>
        </w:rPr>
      </w:pPr>
      <w:r>
        <w:rPr>
          <w:rFonts w:hint="eastAsia" w:cs="仿宋"/>
          <w:color w:val="auto"/>
          <w:lang w:val="zh-CN"/>
        </w:rPr>
        <w:t xml:space="preserve">                   日期：  年  月  日</w:t>
      </w:r>
    </w:p>
    <w:p w14:paraId="50CB4ADD">
      <w:pPr>
        <w:spacing w:line="360" w:lineRule="auto"/>
        <w:rPr>
          <w:rFonts w:cs="仿宋"/>
          <w:color w:val="auto"/>
          <w:lang w:val="zh-CN"/>
        </w:rPr>
      </w:pPr>
      <w:r>
        <w:rPr>
          <w:rFonts w:hint="eastAsia" w:cs="仿宋"/>
          <w:color w:val="auto"/>
          <w:lang w:val="zh-CN"/>
        </w:rPr>
        <w:br w:type="page"/>
      </w:r>
    </w:p>
    <w:p w14:paraId="0DB6615C">
      <w:pPr>
        <w:pStyle w:val="3"/>
        <w:spacing w:line="360" w:lineRule="auto"/>
        <w:rPr>
          <w:rFonts w:cs="仿宋"/>
          <w:color w:val="auto"/>
          <w:lang w:val="zh-CN"/>
        </w:rPr>
      </w:pPr>
      <w:r>
        <w:rPr>
          <w:rFonts w:hint="eastAsia" w:cs="仿宋"/>
          <w:color w:val="auto"/>
        </w:rPr>
        <w:t>三、</w:t>
      </w:r>
      <w:r>
        <w:rPr>
          <w:rFonts w:hint="eastAsia" w:cs="仿宋"/>
          <w:color w:val="auto"/>
          <w:lang w:val="zh-CN"/>
        </w:rPr>
        <w:t>联合协议</w:t>
      </w:r>
    </w:p>
    <w:p w14:paraId="24753978">
      <w:pPr>
        <w:spacing w:line="360" w:lineRule="auto"/>
        <w:rPr>
          <w:rFonts w:cs="仿宋"/>
          <w:color w:val="auto"/>
        </w:rPr>
      </w:pPr>
      <w:r>
        <w:rPr>
          <w:rFonts w:hint="eastAsia" w:cs="仿宋"/>
          <w:color w:val="auto"/>
        </w:rPr>
        <w:t>（以联合体形式响应的，提供联合协议；本项目不接受联合体响应或者供应商不以联合体形式响应的，则不需要提供）</w:t>
      </w:r>
    </w:p>
    <w:p w14:paraId="651E60C9">
      <w:pPr>
        <w:spacing w:line="360" w:lineRule="auto"/>
        <w:rPr>
          <w:rFonts w:cs="仿宋"/>
          <w:color w:val="auto"/>
          <w:lang w:val="zh-CN"/>
        </w:rPr>
      </w:pPr>
      <w:r>
        <w:rPr>
          <w:rFonts w:hint="eastAsia" w:cs="仿宋"/>
          <w:color w:val="auto"/>
          <w:u w:val="single"/>
        </w:rPr>
        <w:t>（联合体所有成员名称）</w:t>
      </w:r>
      <w:r>
        <w:rPr>
          <w:rFonts w:hint="eastAsia" w:cs="仿宋"/>
          <w:color w:val="auto"/>
        </w:rPr>
        <w:t>自愿</w:t>
      </w:r>
      <w:r>
        <w:rPr>
          <w:rFonts w:hint="eastAsia" w:cs="仿宋"/>
          <w:color w:val="auto"/>
          <w:lang w:val="zh-CN"/>
        </w:rPr>
        <w:t>组成一个联合体，以一个供应商的身份</w:t>
      </w:r>
      <w:r>
        <w:rPr>
          <w:rFonts w:hint="eastAsia" w:cs="仿宋"/>
          <w:color w:val="auto"/>
        </w:rPr>
        <w:t>参加（项目名称）【采购编号：     】交易</w:t>
      </w:r>
      <w:r>
        <w:rPr>
          <w:rFonts w:hint="eastAsia" w:cs="仿宋"/>
          <w:color w:val="auto"/>
          <w:lang w:val="zh-CN"/>
        </w:rPr>
        <w:t xml:space="preserve">。 </w:t>
      </w:r>
    </w:p>
    <w:p w14:paraId="58A08459">
      <w:pPr>
        <w:spacing w:line="360" w:lineRule="auto"/>
        <w:rPr>
          <w:rFonts w:cs="仿宋"/>
          <w:color w:val="auto"/>
          <w:lang w:val="zh-CN"/>
        </w:rPr>
      </w:pPr>
      <w:r>
        <w:rPr>
          <w:rFonts w:hint="eastAsia" w:cs="仿宋"/>
          <w:color w:val="auto"/>
          <w:lang w:val="zh-CN"/>
        </w:rPr>
        <w:t>一、各方一致决定，</w:t>
      </w:r>
      <w:r>
        <w:rPr>
          <w:rFonts w:hint="eastAsia" w:cs="仿宋"/>
          <w:color w:val="auto"/>
          <w:u w:val="single"/>
        </w:rPr>
        <w:t>（某联合体成员名称）</w:t>
      </w:r>
      <w:r>
        <w:rPr>
          <w:rFonts w:hint="eastAsia" w:cs="仿宋"/>
          <w:color w:val="auto"/>
        </w:rPr>
        <w:t>为联合体</w:t>
      </w:r>
      <w:r>
        <w:rPr>
          <w:rFonts w:hint="eastAsia" w:cs="仿宋"/>
          <w:color w:val="auto"/>
          <w:lang w:val="zh-CN"/>
        </w:rPr>
        <w:t>牵头人</w:t>
      </w:r>
      <w:r>
        <w:rPr>
          <w:rFonts w:hint="eastAsia" w:cs="仿宋"/>
          <w:color w:val="auto"/>
        </w:rPr>
        <w:t>，代表所有联合体成员负责响应和合同实施阶段的主办、协调工作</w:t>
      </w:r>
      <w:r>
        <w:rPr>
          <w:rFonts w:hint="eastAsia" w:cs="仿宋"/>
          <w:color w:val="auto"/>
          <w:lang w:val="zh-CN"/>
        </w:rPr>
        <w:t>。</w:t>
      </w:r>
    </w:p>
    <w:p w14:paraId="09FB36AA">
      <w:pPr>
        <w:spacing w:line="360" w:lineRule="auto"/>
        <w:rPr>
          <w:rFonts w:cs="仿宋"/>
          <w:color w:val="auto"/>
          <w:lang w:val="zh-CN"/>
        </w:rPr>
      </w:pPr>
      <w:r>
        <w:rPr>
          <w:rFonts w:hint="eastAsia" w:cs="仿宋"/>
          <w:color w:val="auto"/>
          <w:lang w:val="zh-CN"/>
        </w:rPr>
        <w:t>二、</w:t>
      </w:r>
      <w:r>
        <w:rPr>
          <w:rFonts w:hint="eastAsia" w:cs="仿宋"/>
          <w:color w:val="auto"/>
        </w:rPr>
        <w:t>所有联合体成员各方签署授权书，授权书载明的</w:t>
      </w:r>
      <w:r>
        <w:rPr>
          <w:rFonts w:hint="eastAsia" w:cs="仿宋"/>
          <w:color w:val="auto"/>
          <w:lang w:val="zh-CN"/>
        </w:rPr>
        <w:t>授权代表根据交易文件规定及响应内容而对交易发起人、采购机构所作的任何合法承诺，包括书面澄清及相应等均对联合响应各方产生约束力。</w:t>
      </w:r>
    </w:p>
    <w:p w14:paraId="12D0F503">
      <w:pPr>
        <w:spacing w:line="360" w:lineRule="auto"/>
        <w:rPr>
          <w:rFonts w:cs="仿宋"/>
          <w:color w:val="auto"/>
          <w:lang w:val="zh-CN"/>
        </w:rPr>
      </w:pPr>
      <w:r>
        <w:rPr>
          <w:rFonts w:hint="eastAsia" w:cs="仿宋"/>
          <w:color w:val="auto"/>
          <w:lang w:val="zh-CN"/>
        </w:rPr>
        <w:t>三、本次联合响应中，分工如下：</w:t>
      </w:r>
      <w:r>
        <w:rPr>
          <w:rFonts w:hint="eastAsia" w:cs="仿宋"/>
          <w:color w:val="auto"/>
          <w:u w:val="single"/>
        </w:rPr>
        <w:t>（联合体其中一方成员名称）</w:t>
      </w:r>
      <w:r>
        <w:rPr>
          <w:rFonts w:hint="eastAsia" w:cs="仿宋"/>
          <w:color w:val="auto"/>
          <w:lang w:val="zh-CN"/>
        </w:rPr>
        <w:t>承担的工作和义务为：；……。</w:t>
      </w:r>
    </w:p>
    <w:p w14:paraId="00B2F9A7">
      <w:pPr>
        <w:spacing w:line="360" w:lineRule="auto"/>
        <w:rPr>
          <w:rFonts w:cs="仿宋"/>
          <w:color w:val="auto"/>
          <w:lang w:val="zh-CN"/>
        </w:rPr>
      </w:pPr>
      <w:r>
        <w:rPr>
          <w:rFonts w:hint="eastAsia" w:cs="仿宋"/>
          <w:color w:val="auto"/>
          <w:lang w:val="zh-CN"/>
        </w:rPr>
        <w:t>四、</w:t>
      </w:r>
      <w:r>
        <w:rPr>
          <w:rFonts w:hint="eastAsia" w:cs="仿宋"/>
          <w:color w:val="auto"/>
          <w:u w:val="single"/>
        </w:rPr>
        <w:t>（联合体其中一方成员名称）</w:t>
      </w:r>
      <w:r>
        <w:rPr>
          <w:rFonts w:hint="eastAsia" w:cs="仿宋"/>
          <w:color w:val="auto"/>
        </w:rPr>
        <w:t>提供的全部货物由小微企业制造，其合同份额占到合同总金额%以上；</w:t>
      </w:r>
      <w:r>
        <w:rPr>
          <w:rFonts w:hint="eastAsia" w:cs="仿宋"/>
          <w:color w:val="auto"/>
          <w:lang w:val="zh-CN"/>
        </w:rPr>
        <w:t>……。（未预留份额专门面向中小企业采购的的采购项目，以及预留份额中的非预留部分采购包，接受联合体响应的，联合体其中一方提供的货物全部由小微企业制造，且其合同份额占到合同总金额 30%以上，对联合体报价给予6%的扣除）</w:t>
      </w:r>
    </w:p>
    <w:p w14:paraId="0265A730">
      <w:pPr>
        <w:spacing w:line="360" w:lineRule="auto"/>
        <w:rPr>
          <w:rFonts w:cs="仿宋"/>
          <w:color w:val="auto"/>
          <w:lang w:val="zh-CN"/>
        </w:rPr>
      </w:pPr>
      <w:r>
        <w:rPr>
          <w:rFonts w:hint="eastAsia" w:cs="仿宋"/>
          <w:color w:val="auto"/>
          <w:lang w:val="zh-CN"/>
        </w:rPr>
        <w:t>五、如果成交，</w:t>
      </w:r>
      <w:r>
        <w:rPr>
          <w:rFonts w:hint="eastAsia" w:cs="仿宋"/>
          <w:color w:val="auto"/>
        </w:rPr>
        <w:t>联合体各成员方共同与</w:t>
      </w:r>
      <w:r>
        <w:rPr>
          <w:rFonts w:hint="eastAsia" w:cs="仿宋"/>
          <w:color w:val="auto"/>
          <w:lang w:eastAsia="zh-CN"/>
        </w:rPr>
        <w:t>交易发起人</w:t>
      </w:r>
      <w:r>
        <w:rPr>
          <w:rFonts w:hint="eastAsia" w:cs="仿宋"/>
          <w:color w:val="auto"/>
        </w:rPr>
        <w:t>签订合同，并就采购合同约定的事项对</w:t>
      </w:r>
      <w:r>
        <w:rPr>
          <w:rFonts w:hint="eastAsia" w:cs="仿宋"/>
          <w:color w:val="auto"/>
          <w:lang w:eastAsia="zh-CN"/>
        </w:rPr>
        <w:t>交易发起人</w:t>
      </w:r>
      <w:r>
        <w:rPr>
          <w:rFonts w:hint="eastAsia" w:cs="仿宋"/>
          <w:color w:val="auto"/>
        </w:rPr>
        <w:t>承担连带责任。</w:t>
      </w:r>
    </w:p>
    <w:p w14:paraId="0CB32EDB">
      <w:pPr>
        <w:spacing w:line="360" w:lineRule="auto"/>
        <w:rPr>
          <w:rFonts w:cs="仿宋"/>
          <w:color w:val="auto"/>
          <w:lang w:val="zh-CN"/>
        </w:rPr>
      </w:pPr>
      <w:r>
        <w:rPr>
          <w:rFonts w:hint="eastAsia" w:cs="仿宋"/>
          <w:color w:val="auto"/>
          <w:lang w:val="zh-CN"/>
        </w:rPr>
        <w:t>六、有关本次联合响应的其他事宜：</w:t>
      </w:r>
    </w:p>
    <w:p w14:paraId="6A753924">
      <w:pPr>
        <w:spacing w:line="360" w:lineRule="auto"/>
        <w:rPr>
          <w:rFonts w:cs="仿宋"/>
          <w:color w:val="auto"/>
          <w:lang w:val="zh-CN"/>
        </w:rPr>
      </w:pPr>
      <w:r>
        <w:rPr>
          <w:rFonts w:hint="eastAsia" w:cs="仿宋"/>
          <w:color w:val="auto"/>
          <w:lang w:val="zh-CN"/>
        </w:rPr>
        <w:t>1、联合体各方不再单独参加或者与其他供应商另外组成联合体参加同一合同项下的政府采购活动。</w:t>
      </w:r>
    </w:p>
    <w:p w14:paraId="5A029818">
      <w:pPr>
        <w:spacing w:line="360" w:lineRule="auto"/>
        <w:rPr>
          <w:rFonts w:cs="仿宋"/>
          <w:color w:val="auto"/>
          <w:lang w:val="zh-CN"/>
        </w:rPr>
      </w:pPr>
      <w:r>
        <w:rPr>
          <w:rFonts w:hint="eastAsia" w:cs="仿宋"/>
          <w:color w:val="auto"/>
          <w:lang w:val="zh-CN"/>
        </w:rPr>
        <w:t>2、联合体中有同类资质的各方按照联合体分工承担相同工作的，按照资质等级较低的供应商确定资质等级。</w:t>
      </w:r>
    </w:p>
    <w:p w14:paraId="01A2234D">
      <w:pPr>
        <w:spacing w:line="360" w:lineRule="auto"/>
        <w:rPr>
          <w:rFonts w:cs="仿宋"/>
          <w:color w:val="auto"/>
          <w:lang w:val="zh-CN"/>
        </w:rPr>
      </w:pPr>
      <w:r>
        <w:rPr>
          <w:rFonts w:hint="eastAsia" w:cs="仿宋"/>
          <w:color w:val="auto"/>
          <w:lang w:val="zh-CN"/>
        </w:rPr>
        <w:t>3、本协议提交交易发起人、采购机构后，联合体各方不得以任何形式对上述内容进行修改或撤销。</w:t>
      </w:r>
    </w:p>
    <w:p w14:paraId="126C6E05">
      <w:pPr>
        <w:spacing w:line="360" w:lineRule="auto"/>
        <w:rPr>
          <w:rFonts w:cs="仿宋"/>
          <w:color w:val="auto"/>
          <w:lang w:val="zh-CN"/>
        </w:rPr>
      </w:pPr>
      <w:r>
        <w:rPr>
          <w:rFonts w:hint="eastAsia" w:cs="仿宋"/>
          <w:color w:val="auto"/>
          <w:lang w:val="zh-CN"/>
        </w:rPr>
        <w:t>联合体成员名称(电子签名/公章)：</w:t>
      </w:r>
    </w:p>
    <w:p w14:paraId="4DB6F565">
      <w:pPr>
        <w:spacing w:line="360" w:lineRule="auto"/>
        <w:rPr>
          <w:rFonts w:cs="仿宋"/>
          <w:color w:val="auto"/>
          <w:lang w:val="zh-CN"/>
        </w:rPr>
      </w:pPr>
      <w:r>
        <w:rPr>
          <w:rFonts w:hint="eastAsia" w:cs="仿宋"/>
          <w:color w:val="auto"/>
          <w:lang w:val="zh-CN"/>
        </w:rPr>
        <w:t xml:space="preserve">                                               日期：  年  月   日</w:t>
      </w:r>
    </w:p>
    <w:p w14:paraId="5DEB0DF4">
      <w:pPr>
        <w:spacing w:line="360" w:lineRule="auto"/>
        <w:rPr>
          <w:rFonts w:cs="仿宋"/>
          <w:color w:val="auto"/>
        </w:rPr>
      </w:pPr>
      <w:r>
        <w:rPr>
          <w:rFonts w:hint="eastAsia" w:cs="仿宋"/>
          <w:color w:val="auto"/>
        </w:rPr>
        <w:t>注：按本格式和要求提供。</w:t>
      </w:r>
    </w:p>
    <w:p w14:paraId="351F74EF">
      <w:pPr>
        <w:spacing w:line="360" w:lineRule="auto"/>
        <w:rPr>
          <w:rFonts w:cs="仿宋"/>
          <w:color w:val="auto"/>
        </w:rPr>
      </w:pPr>
      <w:r>
        <w:rPr>
          <w:rFonts w:hint="eastAsia" w:cs="仿宋"/>
          <w:color w:val="auto"/>
        </w:rPr>
        <w:br w:type="page"/>
      </w:r>
    </w:p>
    <w:p w14:paraId="1E1B48F6">
      <w:pPr>
        <w:pStyle w:val="3"/>
        <w:spacing w:line="360" w:lineRule="auto"/>
        <w:rPr>
          <w:rFonts w:cs="仿宋"/>
          <w:color w:val="auto"/>
        </w:rPr>
      </w:pPr>
      <w:r>
        <w:rPr>
          <w:rFonts w:hint="eastAsia" w:cs="仿宋"/>
          <w:color w:val="auto"/>
        </w:rPr>
        <w:t>四、分包意向协议</w:t>
      </w:r>
    </w:p>
    <w:p w14:paraId="44DED64A">
      <w:pPr>
        <w:spacing w:line="360" w:lineRule="auto"/>
        <w:rPr>
          <w:rFonts w:cs="仿宋"/>
          <w:b/>
          <w:color w:val="auto"/>
        </w:rPr>
      </w:pPr>
      <w:r>
        <w:rPr>
          <w:rFonts w:hint="eastAsia" w:cs="仿宋"/>
          <w:b/>
          <w:color w:val="auto"/>
        </w:rPr>
        <w:t>（成交后以分包方式履行合同的，提供分包意向协议；</w:t>
      </w:r>
      <w:r>
        <w:rPr>
          <w:rFonts w:hint="eastAsia" w:cs="仿宋"/>
          <w:b/>
          <w:color w:val="auto"/>
          <w:lang w:eastAsia="zh-CN"/>
        </w:rPr>
        <w:t>交易发起人</w:t>
      </w:r>
      <w:r>
        <w:rPr>
          <w:rFonts w:hint="eastAsia" w:cs="仿宋"/>
          <w:b/>
          <w:color w:val="auto"/>
        </w:rPr>
        <w:t>不同意分包或者供应商成交后不以分包方式履行合同的，则不需要提供。）</w:t>
      </w:r>
    </w:p>
    <w:p w14:paraId="19062FCB">
      <w:pPr>
        <w:spacing w:line="360" w:lineRule="auto"/>
        <w:rPr>
          <w:rFonts w:cs="仿宋"/>
          <w:color w:val="auto"/>
          <w:lang w:val="zh-CN"/>
        </w:rPr>
      </w:pPr>
      <w:r>
        <w:rPr>
          <w:rFonts w:hint="eastAsia" w:cs="仿宋"/>
          <w:color w:val="auto"/>
          <w:u w:val="single"/>
        </w:rPr>
        <w:t>（供应商名称）</w:t>
      </w:r>
      <w:r>
        <w:rPr>
          <w:rFonts w:hint="eastAsia" w:cs="仿宋"/>
          <w:color w:val="auto"/>
          <w:lang w:val="zh-CN"/>
        </w:rPr>
        <w:t>若成为</w:t>
      </w:r>
      <w:r>
        <w:rPr>
          <w:rFonts w:hint="eastAsia" w:cs="仿宋"/>
          <w:color w:val="auto"/>
        </w:rPr>
        <w:t>（项目名称）【采购编号：     】</w:t>
      </w:r>
      <w:r>
        <w:rPr>
          <w:rFonts w:hint="eastAsia" w:cs="仿宋"/>
          <w:color w:val="auto"/>
          <w:lang w:val="zh-CN"/>
        </w:rPr>
        <w:t>的成交供应商，将依法采取分包方式履行合同。</w:t>
      </w:r>
      <w:r>
        <w:rPr>
          <w:rFonts w:hint="eastAsia" w:cs="仿宋"/>
          <w:color w:val="auto"/>
          <w:u w:val="single"/>
        </w:rPr>
        <w:t>（供应商名称）</w:t>
      </w:r>
      <w:r>
        <w:rPr>
          <w:rFonts w:hint="eastAsia" w:cs="仿宋"/>
          <w:color w:val="auto"/>
        </w:rPr>
        <w:t>与</w:t>
      </w:r>
      <w:r>
        <w:rPr>
          <w:rFonts w:hint="eastAsia" w:cs="仿宋"/>
          <w:color w:val="auto"/>
          <w:u w:val="single"/>
        </w:rPr>
        <w:t>（所有分包供应商名称）</w:t>
      </w:r>
      <w:r>
        <w:rPr>
          <w:rFonts w:hint="eastAsia" w:cs="仿宋"/>
          <w:color w:val="auto"/>
        </w:rPr>
        <w:t>达成分包意向协议</w:t>
      </w:r>
      <w:r>
        <w:rPr>
          <w:rFonts w:hint="eastAsia" w:cs="仿宋"/>
          <w:color w:val="auto"/>
          <w:lang w:val="zh-CN"/>
        </w:rPr>
        <w:t xml:space="preserve">。 </w:t>
      </w:r>
    </w:p>
    <w:p w14:paraId="7895B0B8">
      <w:pPr>
        <w:spacing w:line="360" w:lineRule="auto"/>
        <w:rPr>
          <w:rFonts w:cs="仿宋"/>
          <w:color w:val="auto"/>
          <w:lang w:val="zh-CN"/>
        </w:rPr>
      </w:pPr>
      <w:r>
        <w:rPr>
          <w:rFonts w:hint="eastAsia" w:cs="仿宋"/>
          <w:color w:val="auto"/>
          <w:lang w:val="zh-CN"/>
        </w:rPr>
        <w:t>一、分包标的及数量</w:t>
      </w:r>
    </w:p>
    <w:p w14:paraId="2B1489FD">
      <w:pPr>
        <w:spacing w:line="360" w:lineRule="auto"/>
        <w:rPr>
          <w:rFonts w:cs="仿宋"/>
          <w:color w:val="auto"/>
          <w:lang w:val="zh-CN"/>
        </w:rPr>
      </w:pPr>
      <w:r>
        <w:rPr>
          <w:rFonts w:hint="eastAsia" w:cs="仿宋"/>
          <w:color w:val="auto"/>
          <w:u w:val="single"/>
        </w:rPr>
        <w:t>（供应商名称）</w:t>
      </w:r>
      <w:r>
        <w:rPr>
          <w:rFonts w:hint="eastAsia" w:cs="仿宋"/>
          <w:color w:val="auto"/>
          <w:lang w:val="zh-CN"/>
        </w:rPr>
        <w:t>将</w:t>
      </w:r>
      <w:r>
        <w:rPr>
          <w:rFonts w:hint="eastAsia" w:cs="仿宋"/>
          <w:color w:val="auto"/>
          <w:u w:val="single"/>
        </w:rPr>
        <w:t xml:space="preserve">   XX工作内容   </w:t>
      </w:r>
      <w:r>
        <w:rPr>
          <w:rFonts w:hint="eastAsia" w:cs="仿宋"/>
          <w:color w:val="auto"/>
        </w:rPr>
        <w:t>分包给</w:t>
      </w:r>
      <w:r>
        <w:rPr>
          <w:rFonts w:hint="eastAsia" w:cs="仿宋"/>
          <w:color w:val="auto"/>
          <w:u w:val="single"/>
        </w:rPr>
        <w:t>（某分包供应商名称）</w:t>
      </w:r>
      <w:r>
        <w:rPr>
          <w:rFonts w:hint="eastAsia" w:cs="仿宋"/>
          <w:color w:val="auto"/>
          <w:lang w:val="zh-CN"/>
        </w:rPr>
        <w:t>，</w:t>
      </w:r>
      <w:r>
        <w:rPr>
          <w:rFonts w:hint="eastAsia" w:cs="仿宋"/>
          <w:color w:val="auto"/>
          <w:u w:val="single"/>
        </w:rPr>
        <w:t>（某分包供应商名称），</w:t>
      </w:r>
      <w:r>
        <w:rPr>
          <w:rFonts w:hint="eastAsia" w:cs="仿宋"/>
          <w:color w:val="auto"/>
          <w:lang w:val="zh-CN"/>
        </w:rPr>
        <w:t>具备承</w:t>
      </w:r>
      <w:r>
        <w:rPr>
          <w:rFonts w:hint="eastAsia" w:cs="仿宋"/>
          <w:color w:val="auto"/>
        </w:rPr>
        <w:t>担</w:t>
      </w:r>
      <w:r>
        <w:rPr>
          <w:rFonts w:hint="eastAsia" w:cs="仿宋"/>
          <w:color w:val="auto"/>
          <w:u w:val="single"/>
          <w:lang w:val="zh-CN"/>
        </w:rPr>
        <w:t>XX工作内容</w:t>
      </w:r>
      <w:r>
        <w:rPr>
          <w:rFonts w:hint="eastAsia" w:cs="仿宋"/>
          <w:color w:val="auto"/>
          <w:lang w:val="zh-CN"/>
        </w:rPr>
        <w:t>相应资质条件且不得再次分包；</w:t>
      </w:r>
    </w:p>
    <w:p w14:paraId="18B998FF">
      <w:pPr>
        <w:spacing w:line="360" w:lineRule="auto"/>
        <w:rPr>
          <w:rFonts w:cs="仿宋"/>
          <w:color w:val="auto"/>
        </w:rPr>
      </w:pPr>
      <w:r>
        <w:rPr>
          <w:rFonts w:hint="eastAsia" w:cs="仿宋"/>
          <w:color w:val="auto"/>
        </w:rPr>
        <w:t>……</w:t>
      </w:r>
    </w:p>
    <w:p w14:paraId="5013DC45">
      <w:pPr>
        <w:spacing w:line="360" w:lineRule="auto"/>
        <w:rPr>
          <w:rFonts w:cs="仿宋"/>
          <w:color w:val="auto"/>
          <w:lang w:val="zh-CN"/>
        </w:rPr>
      </w:pPr>
      <w:r>
        <w:rPr>
          <w:rFonts w:hint="eastAsia" w:cs="仿宋"/>
          <w:color w:val="auto"/>
          <w:lang w:val="zh-CN"/>
        </w:rPr>
        <w:t>二、分包工作履行期限、地点、方式</w:t>
      </w:r>
    </w:p>
    <w:p w14:paraId="6478347B">
      <w:pPr>
        <w:spacing w:line="360" w:lineRule="auto"/>
        <w:rPr>
          <w:rFonts w:cs="仿宋"/>
          <w:color w:val="auto"/>
          <w:u w:val="single"/>
        </w:rPr>
      </w:pPr>
    </w:p>
    <w:p w14:paraId="285A81B7">
      <w:pPr>
        <w:spacing w:line="360" w:lineRule="auto"/>
        <w:rPr>
          <w:rFonts w:cs="仿宋"/>
          <w:color w:val="auto"/>
          <w:lang w:val="zh-CN"/>
        </w:rPr>
      </w:pPr>
      <w:r>
        <w:rPr>
          <w:rFonts w:hint="eastAsia" w:cs="仿宋"/>
          <w:color w:val="auto"/>
          <w:lang w:val="zh-CN"/>
        </w:rPr>
        <w:t>三、质量</w:t>
      </w:r>
    </w:p>
    <w:p w14:paraId="30170934">
      <w:pPr>
        <w:spacing w:line="360" w:lineRule="auto"/>
        <w:rPr>
          <w:rFonts w:cs="仿宋"/>
          <w:color w:val="auto"/>
          <w:lang w:val="zh-CN"/>
        </w:rPr>
      </w:pPr>
    </w:p>
    <w:p w14:paraId="1898DF8C">
      <w:pPr>
        <w:spacing w:line="360" w:lineRule="auto"/>
        <w:rPr>
          <w:rFonts w:cs="仿宋"/>
          <w:color w:val="auto"/>
          <w:lang w:val="zh-CN"/>
        </w:rPr>
      </w:pPr>
      <w:r>
        <w:rPr>
          <w:rFonts w:hint="eastAsia" w:cs="仿宋"/>
          <w:color w:val="auto"/>
          <w:lang w:val="zh-CN"/>
        </w:rPr>
        <w:t>四、价款或者报酬</w:t>
      </w:r>
    </w:p>
    <w:p w14:paraId="478275C7">
      <w:pPr>
        <w:spacing w:line="360" w:lineRule="auto"/>
        <w:rPr>
          <w:rFonts w:cs="仿宋"/>
          <w:color w:val="auto"/>
          <w:lang w:val="zh-CN"/>
        </w:rPr>
      </w:pPr>
    </w:p>
    <w:p w14:paraId="5CF70BDA">
      <w:pPr>
        <w:spacing w:line="360" w:lineRule="auto"/>
        <w:rPr>
          <w:rFonts w:cs="仿宋"/>
          <w:color w:val="auto"/>
          <w:lang w:val="zh-CN"/>
        </w:rPr>
      </w:pPr>
      <w:r>
        <w:rPr>
          <w:rFonts w:hint="eastAsia" w:cs="仿宋"/>
          <w:color w:val="auto"/>
          <w:lang w:val="zh-CN"/>
        </w:rPr>
        <w:t>五、违约责任</w:t>
      </w:r>
    </w:p>
    <w:p w14:paraId="650AFB79">
      <w:pPr>
        <w:spacing w:line="360" w:lineRule="auto"/>
        <w:rPr>
          <w:rFonts w:cs="仿宋"/>
          <w:color w:val="auto"/>
          <w:lang w:val="zh-CN"/>
        </w:rPr>
      </w:pPr>
    </w:p>
    <w:p w14:paraId="7CCF6ED7">
      <w:pPr>
        <w:spacing w:line="360" w:lineRule="auto"/>
        <w:rPr>
          <w:rFonts w:cs="仿宋"/>
          <w:color w:val="auto"/>
          <w:lang w:val="zh-CN"/>
        </w:rPr>
      </w:pPr>
      <w:r>
        <w:rPr>
          <w:rFonts w:hint="eastAsia" w:cs="仿宋"/>
          <w:color w:val="auto"/>
          <w:lang w:val="zh-CN"/>
        </w:rPr>
        <w:t>六、争议解决的办法</w:t>
      </w:r>
    </w:p>
    <w:p w14:paraId="4AA210C9">
      <w:pPr>
        <w:spacing w:line="360" w:lineRule="auto"/>
        <w:rPr>
          <w:rFonts w:cs="仿宋"/>
          <w:color w:val="auto"/>
          <w:lang w:val="zh-CN"/>
        </w:rPr>
      </w:pPr>
    </w:p>
    <w:p w14:paraId="23EC5BFA">
      <w:pPr>
        <w:spacing w:line="360" w:lineRule="auto"/>
        <w:rPr>
          <w:rFonts w:cs="仿宋"/>
          <w:color w:val="auto"/>
          <w:lang w:val="zh-CN"/>
        </w:rPr>
      </w:pPr>
      <w:r>
        <w:rPr>
          <w:rFonts w:hint="eastAsia" w:cs="仿宋"/>
          <w:color w:val="auto"/>
          <w:lang w:val="zh-CN"/>
        </w:rPr>
        <w:t>七、其他</w:t>
      </w:r>
    </w:p>
    <w:p w14:paraId="53CE81BC">
      <w:pPr>
        <w:spacing w:line="360" w:lineRule="auto"/>
        <w:rPr>
          <w:rFonts w:cs="仿宋"/>
          <w:color w:val="auto"/>
          <w:lang w:val="zh-CN"/>
        </w:rPr>
      </w:pPr>
      <w:r>
        <w:rPr>
          <w:rFonts w:hint="eastAsia" w:cs="仿宋"/>
          <w:color w:val="auto"/>
          <w:u w:val="single"/>
        </w:rPr>
        <w:t>（分包供应商名称）提供的货物全部由小微企业制造，</w:t>
      </w:r>
      <w:r>
        <w:rPr>
          <w:rFonts w:hint="eastAsia" w:cs="仿宋"/>
          <w:color w:val="auto"/>
        </w:rPr>
        <w:t>其合同份额占到合同总金额%以上。</w:t>
      </w:r>
      <w:r>
        <w:rPr>
          <w:rFonts w:hint="eastAsia" w:cs="仿宋"/>
          <w:color w:val="auto"/>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cs="仿宋"/>
          <w:color w:val="auto"/>
        </w:rPr>
        <w:t>6</w:t>
      </w:r>
      <w:r>
        <w:rPr>
          <w:rFonts w:hint="eastAsia" w:cs="仿宋"/>
          <w:color w:val="auto"/>
          <w:lang w:val="zh-CN"/>
        </w:rPr>
        <w:t>%的扣除）</w:t>
      </w:r>
    </w:p>
    <w:p w14:paraId="676E48A1">
      <w:pPr>
        <w:spacing w:line="360" w:lineRule="auto"/>
        <w:rPr>
          <w:rFonts w:cs="仿宋"/>
          <w:color w:val="auto"/>
          <w:lang w:val="zh-CN"/>
        </w:rPr>
      </w:pPr>
      <w:r>
        <w:rPr>
          <w:rFonts w:hint="eastAsia" w:cs="仿宋"/>
          <w:color w:val="auto"/>
          <w:lang w:val="zh-CN"/>
        </w:rPr>
        <w:t xml:space="preserve">                                               供应商名称(电子签名)：</w:t>
      </w:r>
    </w:p>
    <w:p w14:paraId="34AF562A">
      <w:pPr>
        <w:spacing w:line="360" w:lineRule="auto"/>
        <w:rPr>
          <w:rFonts w:cs="仿宋"/>
          <w:color w:val="auto"/>
          <w:lang w:val="zh-CN"/>
        </w:rPr>
      </w:pPr>
      <w:r>
        <w:rPr>
          <w:rFonts w:hint="eastAsia" w:cs="仿宋"/>
          <w:color w:val="auto"/>
          <w:lang w:val="zh-CN"/>
        </w:rPr>
        <w:t>分包供应商名称：</w:t>
      </w:r>
    </w:p>
    <w:p w14:paraId="3D13B0A4">
      <w:pPr>
        <w:spacing w:line="360" w:lineRule="auto"/>
        <w:rPr>
          <w:rFonts w:cs="仿宋"/>
          <w:color w:val="auto"/>
          <w:lang w:val="zh-CN"/>
        </w:rPr>
      </w:pPr>
      <w:r>
        <w:rPr>
          <w:rFonts w:hint="eastAsia" w:cs="仿宋"/>
          <w:color w:val="auto"/>
          <w:lang w:val="zh-CN"/>
        </w:rPr>
        <w:t xml:space="preserve">                                               日期：  年  月   日</w:t>
      </w:r>
    </w:p>
    <w:p w14:paraId="5903522D">
      <w:pPr>
        <w:spacing w:line="360" w:lineRule="auto"/>
        <w:rPr>
          <w:rFonts w:cs="仿宋"/>
          <w:color w:val="auto"/>
        </w:rPr>
      </w:pPr>
      <w:r>
        <w:rPr>
          <w:rFonts w:hint="eastAsia" w:cs="仿宋"/>
          <w:color w:val="auto"/>
        </w:rPr>
        <w:t>注：按本格式和要求提供。</w:t>
      </w:r>
    </w:p>
    <w:p w14:paraId="0B1AF07E">
      <w:pPr>
        <w:pStyle w:val="3"/>
        <w:spacing w:line="360" w:lineRule="auto"/>
        <w:rPr>
          <w:rFonts w:cs="仿宋"/>
          <w:color w:val="auto"/>
        </w:rPr>
      </w:pPr>
      <w:r>
        <w:rPr>
          <w:rFonts w:hint="eastAsia" w:cs="仿宋"/>
          <w:color w:val="auto"/>
        </w:rPr>
        <w:br w:type="page"/>
      </w:r>
      <w:r>
        <w:rPr>
          <w:rFonts w:hint="eastAsia" w:cs="仿宋"/>
          <w:color w:val="auto"/>
        </w:rPr>
        <w:t>五、符合性审查资料</w:t>
      </w:r>
    </w:p>
    <w:tbl>
      <w:tblPr>
        <w:tblStyle w:val="3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14:paraId="2F8D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4DD3F53">
            <w:pPr>
              <w:snapToGrid w:val="0"/>
              <w:spacing w:line="360" w:lineRule="auto"/>
              <w:jc w:val="center"/>
              <w:rPr>
                <w:rFonts w:cs="仿宋"/>
                <w:b/>
                <w:color w:val="auto"/>
              </w:rPr>
            </w:pPr>
            <w:r>
              <w:rPr>
                <w:rFonts w:hint="eastAsia" w:cs="仿宋"/>
                <w:b/>
                <w:color w:val="auto"/>
              </w:rPr>
              <w:t>序号</w:t>
            </w:r>
          </w:p>
        </w:tc>
        <w:tc>
          <w:tcPr>
            <w:tcW w:w="4140" w:type="dxa"/>
            <w:vAlign w:val="center"/>
          </w:tcPr>
          <w:p w14:paraId="5DB8A06F">
            <w:pPr>
              <w:snapToGrid w:val="0"/>
              <w:spacing w:line="360" w:lineRule="auto"/>
              <w:jc w:val="center"/>
              <w:rPr>
                <w:rFonts w:cs="仿宋"/>
                <w:b/>
                <w:color w:val="auto"/>
              </w:rPr>
            </w:pPr>
            <w:r>
              <w:rPr>
                <w:rFonts w:hint="eastAsia" w:cs="仿宋"/>
                <w:b/>
                <w:color w:val="auto"/>
              </w:rPr>
              <w:t>实质性要求</w:t>
            </w:r>
          </w:p>
        </w:tc>
        <w:tc>
          <w:tcPr>
            <w:tcW w:w="2410" w:type="dxa"/>
            <w:vAlign w:val="center"/>
          </w:tcPr>
          <w:p w14:paraId="6DD4F10F">
            <w:pPr>
              <w:snapToGrid w:val="0"/>
              <w:spacing w:line="360" w:lineRule="auto"/>
              <w:jc w:val="center"/>
              <w:rPr>
                <w:rFonts w:cs="仿宋"/>
                <w:b/>
                <w:color w:val="auto"/>
              </w:rPr>
            </w:pPr>
            <w:r>
              <w:rPr>
                <w:rFonts w:hint="eastAsia" w:cs="仿宋"/>
                <w:b/>
                <w:color w:val="auto"/>
              </w:rPr>
              <w:t>需要提供的符合性审查资料</w:t>
            </w:r>
          </w:p>
        </w:tc>
        <w:tc>
          <w:tcPr>
            <w:tcW w:w="1701" w:type="dxa"/>
            <w:vAlign w:val="center"/>
          </w:tcPr>
          <w:p w14:paraId="73EA9FD6">
            <w:pPr>
              <w:snapToGrid w:val="0"/>
              <w:spacing w:line="360" w:lineRule="auto"/>
              <w:jc w:val="center"/>
              <w:rPr>
                <w:rFonts w:cs="仿宋"/>
                <w:b/>
                <w:color w:val="auto"/>
              </w:rPr>
            </w:pPr>
            <w:r>
              <w:rPr>
                <w:rFonts w:hint="eastAsia" w:cs="仿宋"/>
                <w:b/>
                <w:color w:val="auto"/>
              </w:rPr>
              <w:t>响应文件中的</w:t>
            </w:r>
          </w:p>
          <w:p w14:paraId="696684C8">
            <w:pPr>
              <w:snapToGrid w:val="0"/>
              <w:spacing w:line="360" w:lineRule="auto"/>
              <w:jc w:val="center"/>
              <w:rPr>
                <w:rFonts w:cs="仿宋"/>
                <w:b/>
                <w:color w:val="auto"/>
              </w:rPr>
            </w:pPr>
            <w:r>
              <w:rPr>
                <w:rFonts w:hint="eastAsia" w:cs="仿宋"/>
                <w:b/>
                <w:color w:val="auto"/>
              </w:rPr>
              <w:t>页码位置</w:t>
            </w:r>
          </w:p>
        </w:tc>
      </w:tr>
      <w:tr w14:paraId="5610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B176F4">
            <w:pPr>
              <w:spacing w:line="360" w:lineRule="auto"/>
              <w:rPr>
                <w:rFonts w:cs="仿宋"/>
                <w:color w:val="auto"/>
              </w:rPr>
            </w:pPr>
            <w:r>
              <w:rPr>
                <w:rFonts w:hint="eastAsia" w:cs="仿宋"/>
                <w:color w:val="auto"/>
              </w:rPr>
              <w:t>1</w:t>
            </w:r>
          </w:p>
        </w:tc>
        <w:tc>
          <w:tcPr>
            <w:tcW w:w="4140" w:type="dxa"/>
          </w:tcPr>
          <w:p w14:paraId="0A0F07B4">
            <w:pPr>
              <w:spacing w:line="360" w:lineRule="auto"/>
              <w:rPr>
                <w:rFonts w:cs="仿宋"/>
                <w:color w:val="auto"/>
              </w:rPr>
            </w:pPr>
            <w:r>
              <w:rPr>
                <w:rFonts w:hint="eastAsia" w:cs="仿宋"/>
                <w:color w:val="auto"/>
              </w:rPr>
              <w:t>响应文件按照交易文件要求签署、盖章。</w:t>
            </w:r>
          </w:p>
        </w:tc>
        <w:tc>
          <w:tcPr>
            <w:tcW w:w="2410" w:type="dxa"/>
            <w:vAlign w:val="center"/>
          </w:tcPr>
          <w:p w14:paraId="02E74FC6">
            <w:pPr>
              <w:spacing w:line="360" w:lineRule="auto"/>
              <w:rPr>
                <w:rFonts w:cs="仿宋"/>
                <w:color w:val="auto"/>
              </w:rPr>
            </w:pPr>
            <w:r>
              <w:rPr>
                <w:rFonts w:hint="eastAsia" w:cs="仿宋"/>
                <w:color w:val="auto"/>
              </w:rPr>
              <w:t>需要使用电子签名或者签字盖章的响应文件的组成部分</w:t>
            </w:r>
          </w:p>
        </w:tc>
        <w:tc>
          <w:tcPr>
            <w:tcW w:w="1701" w:type="dxa"/>
          </w:tcPr>
          <w:p w14:paraId="17A49FA7">
            <w:pPr>
              <w:spacing w:line="360" w:lineRule="auto"/>
              <w:rPr>
                <w:rFonts w:cs="仿宋"/>
                <w:color w:val="auto"/>
              </w:rPr>
            </w:pPr>
          </w:p>
          <w:p w14:paraId="3364189F">
            <w:pPr>
              <w:spacing w:line="360" w:lineRule="auto"/>
              <w:rPr>
                <w:rFonts w:cs="仿宋"/>
                <w:color w:val="auto"/>
              </w:rPr>
            </w:pPr>
            <w:r>
              <w:rPr>
                <w:rFonts w:hint="eastAsia" w:cs="仿宋"/>
                <w:color w:val="auto"/>
              </w:rPr>
              <w:t>见响应文件</w:t>
            </w:r>
          </w:p>
          <w:p w14:paraId="7571A84A">
            <w:pPr>
              <w:spacing w:line="360" w:lineRule="auto"/>
              <w:rPr>
                <w:rFonts w:cs="仿宋"/>
                <w:color w:val="auto"/>
              </w:rPr>
            </w:pPr>
            <w:r>
              <w:rPr>
                <w:rFonts w:hint="eastAsia" w:cs="仿宋"/>
                <w:color w:val="auto"/>
              </w:rPr>
              <w:t>第页</w:t>
            </w:r>
          </w:p>
        </w:tc>
      </w:tr>
      <w:tr w14:paraId="5CD2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3DF446">
            <w:pPr>
              <w:spacing w:line="360" w:lineRule="auto"/>
              <w:rPr>
                <w:rFonts w:hint="eastAsia" w:eastAsia="仿宋" w:cs="仿宋"/>
                <w:color w:val="auto"/>
                <w:lang w:val="en-US" w:eastAsia="zh-CN"/>
              </w:rPr>
            </w:pPr>
            <w:r>
              <w:rPr>
                <w:rFonts w:hint="eastAsia" w:cs="仿宋"/>
                <w:color w:val="auto"/>
                <w:lang w:val="en-US" w:eastAsia="zh-CN"/>
              </w:rPr>
              <w:t>2</w:t>
            </w:r>
          </w:p>
        </w:tc>
        <w:tc>
          <w:tcPr>
            <w:tcW w:w="4140" w:type="dxa"/>
          </w:tcPr>
          <w:p w14:paraId="4E00D7E6">
            <w:pPr>
              <w:spacing w:line="360" w:lineRule="auto"/>
              <w:rPr>
                <w:rFonts w:cs="仿宋"/>
                <w:color w:val="auto"/>
              </w:rPr>
            </w:pPr>
            <w:r>
              <w:rPr>
                <w:rFonts w:hint="eastAsia" w:cs="仿宋"/>
                <w:color w:val="auto"/>
              </w:rPr>
              <w:t>响应文件中承诺的响应有效期不少于交易文件中载明的响应有效期。</w:t>
            </w:r>
          </w:p>
        </w:tc>
        <w:tc>
          <w:tcPr>
            <w:tcW w:w="2410" w:type="dxa"/>
            <w:vAlign w:val="center"/>
          </w:tcPr>
          <w:p w14:paraId="0EA8CD04">
            <w:pPr>
              <w:spacing w:line="360" w:lineRule="auto"/>
              <w:rPr>
                <w:rFonts w:cs="仿宋"/>
                <w:color w:val="auto"/>
              </w:rPr>
            </w:pPr>
            <w:r>
              <w:rPr>
                <w:rFonts w:hint="eastAsia" w:cs="仿宋"/>
                <w:color w:val="auto"/>
              </w:rPr>
              <w:t>响应函</w:t>
            </w:r>
          </w:p>
        </w:tc>
        <w:tc>
          <w:tcPr>
            <w:tcW w:w="1701" w:type="dxa"/>
          </w:tcPr>
          <w:p w14:paraId="72496C48">
            <w:pPr>
              <w:spacing w:line="360" w:lineRule="auto"/>
              <w:rPr>
                <w:rFonts w:cs="仿宋"/>
                <w:color w:val="auto"/>
              </w:rPr>
            </w:pPr>
            <w:r>
              <w:rPr>
                <w:rFonts w:hint="eastAsia" w:cs="仿宋"/>
                <w:color w:val="auto"/>
              </w:rPr>
              <w:t>见响应文件第页</w:t>
            </w:r>
          </w:p>
        </w:tc>
      </w:tr>
      <w:tr w14:paraId="5E84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3AD2C0">
            <w:pPr>
              <w:spacing w:line="360" w:lineRule="auto"/>
              <w:rPr>
                <w:rFonts w:hint="eastAsia" w:eastAsia="仿宋" w:cs="仿宋"/>
                <w:color w:val="auto"/>
                <w:lang w:val="en-US" w:eastAsia="zh-CN"/>
              </w:rPr>
            </w:pPr>
            <w:r>
              <w:rPr>
                <w:rFonts w:hint="eastAsia" w:cs="仿宋"/>
                <w:color w:val="auto"/>
                <w:lang w:val="en-US" w:eastAsia="zh-CN"/>
              </w:rPr>
              <w:t>3</w:t>
            </w:r>
          </w:p>
        </w:tc>
        <w:tc>
          <w:tcPr>
            <w:tcW w:w="4140" w:type="dxa"/>
          </w:tcPr>
          <w:p w14:paraId="4A7DC689">
            <w:pPr>
              <w:spacing w:line="360" w:lineRule="auto"/>
              <w:rPr>
                <w:rFonts w:cs="仿宋"/>
                <w:color w:val="auto"/>
              </w:rPr>
            </w:pPr>
            <w:r>
              <w:rPr>
                <w:rFonts w:hint="eastAsia" w:cs="仿宋"/>
                <w:color w:val="auto"/>
              </w:rPr>
              <w:t>响应文件满足交易文件的其它实质性要求。</w:t>
            </w:r>
          </w:p>
        </w:tc>
        <w:tc>
          <w:tcPr>
            <w:tcW w:w="2410" w:type="dxa"/>
            <w:vAlign w:val="center"/>
          </w:tcPr>
          <w:p w14:paraId="328B5C3B">
            <w:pPr>
              <w:spacing w:line="360" w:lineRule="auto"/>
              <w:rPr>
                <w:rFonts w:cs="仿宋"/>
                <w:color w:val="auto"/>
              </w:rPr>
            </w:pPr>
            <w:r>
              <w:rPr>
                <w:rFonts w:hint="eastAsia" w:cs="仿宋"/>
                <w:color w:val="auto"/>
              </w:rPr>
              <w:t>交易文件其它实质性要求相应的材料（“▲” 系指实质性要求条款，交易文件无其它实质性要求的，无需提供）</w:t>
            </w:r>
          </w:p>
        </w:tc>
        <w:tc>
          <w:tcPr>
            <w:tcW w:w="1701" w:type="dxa"/>
          </w:tcPr>
          <w:p w14:paraId="613EB5CD">
            <w:pPr>
              <w:spacing w:line="360" w:lineRule="auto"/>
              <w:rPr>
                <w:rFonts w:cs="仿宋"/>
                <w:color w:val="auto"/>
              </w:rPr>
            </w:pPr>
            <w:r>
              <w:rPr>
                <w:rFonts w:hint="eastAsia" w:cs="仿宋"/>
                <w:color w:val="auto"/>
              </w:rPr>
              <w:t>见响应文件第页</w:t>
            </w:r>
          </w:p>
        </w:tc>
      </w:tr>
    </w:tbl>
    <w:p w14:paraId="65B37EDA">
      <w:pPr>
        <w:spacing w:line="360" w:lineRule="auto"/>
        <w:rPr>
          <w:rFonts w:cs="仿宋"/>
          <w:color w:val="auto"/>
        </w:rPr>
      </w:pPr>
      <w:r>
        <w:rPr>
          <w:rFonts w:hint="eastAsia" w:cs="仿宋"/>
          <w:color w:val="auto"/>
        </w:rPr>
        <w:t>注：按本格式和要求提供。</w:t>
      </w:r>
    </w:p>
    <w:p w14:paraId="78A3D069">
      <w:pPr>
        <w:spacing w:line="360" w:lineRule="auto"/>
        <w:rPr>
          <w:rFonts w:cs="仿宋"/>
          <w:color w:val="auto"/>
        </w:rPr>
      </w:pPr>
      <w:r>
        <w:rPr>
          <w:rFonts w:hint="eastAsia" w:cs="仿宋"/>
          <w:color w:val="auto"/>
        </w:rPr>
        <w:br w:type="page"/>
      </w:r>
    </w:p>
    <w:p w14:paraId="104FA8EE">
      <w:pPr>
        <w:pStyle w:val="3"/>
        <w:spacing w:line="360" w:lineRule="auto"/>
        <w:rPr>
          <w:rFonts w:cs="仿宋"/>
          <w:color w:val="auto"/>
        </w:rPr>
      </w:pPr>
      <w:r>
        <w:rPr>
          <w:rFonts w:hint="eastAsia" w:cs="仿宋"/>
          <w:color w:val="auto"/>
        </w:rPr>
        <w:t>六、评审标准相应的商务技术资料</w:t>
      </w:r>
    </w:p>
    <w:p w14:paraId="71AADCFF">
      <w:pPr>
        <w:snapToGrid w:val="0"/>
        <w:spacing w:line="360" w:lineRule="auto"/>
        <w:rPr>
          <w:rFonts w:cs="仿宋"/>
          <w:b/>
          <w:color w:val="auto"/>
        </w:rPr>
      </w:pPr>
      <w:r>
        <w:rPr>
          <w:rFonts w:hint="eastAsia" w:cs="仿宋"/>
          <w:b/>
          <w:color w:val="auto"/>
        </w:rPr>
        <w:t>（按交易文件第四部分评审办法前附表中“响应文件中评审标准相应的商务技术资料目录”提供资料。）</w:t>
      </w:r>
    </w:p>
    <w:p w14:paraId="713987C2">
      <w:pPr>
        <w:spacing w:line="360" w:lineRule="auto"/>
        <w:rPr>
          <w:rFonts w:cs="仿宋"/>
          <w:b/>
          <w:color w:val="auto"/>
        </w:rPr>
      </w:pPr>
      <w:r>
        <w:rPr>
          <w:rFonts w:hint="eastAsia" w:cs="仿宋"/>
          <w:b/>
          <w:color w:val="auto"/>
        </w:rPr>
        <w:br w:type="page"/>
      </w:r>
    </w:p>
    <w:p w14:paraId="2DF01248">
      <w:pPr>
        <w:pStyle w:val="3"/>
        <w:spacing w:line="360" w:lineRule="auto"/>
        <w:rPr>
          <w:rFonts w:cs="仿宋"/>
          <w:color w:val="auto"/>
        </w:rPr>
      </w:pPr>
      <w:r>
        <w:rPr>
          <w:rFonts w:hint="eastAsia" w:cs="仿宋"/>
          <w:color w:val="auto"/>
        </w:rPr>
        <w:t>七、响应标的清单</w:t>
      </w:r>
    </w:p>
    <w:tbl>
      <w:tblPr>
        <w:tblStyle w:val="3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96F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32F870">
            <w:pPr>
              <w:spacing w:line="360" w:lineRule="auto"/>
              <w:rPr>
                <w:rFonts w:cs="仿宋"/>
                <w:color w:val="auto"/>
              </w:rPr>
            </w:pPr>
            <w:r>
              <w:rPr>
                <w:rFonts w:hint="eastAsia" w:cs="仿宋"/>
                <w:color w:val="auto"/>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4EF462B">
            <w:pPr>
              <w:spacing w:line="360" w:lineRule="auto"/>
              <w:rPr>
                <w:rFonts w:cs="仿宋"/>
                <w:color w:val="auto"/>
              </w:rPr>
            </w:pPr>
            <w:r>
              <w:rPr>
                <w:rFonts w:hint="eastAsia" w:cs="仿宋"/>
                <w:color w:val="auto"/>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0564B65">
            <w:pPr>
              <w:spacing w:line="360" w:lineRule="auto"/>
              <w:rPr>
                <w:rFonts w:cs="仿宋"/>
                <w:color w:val="auto"/>
              </w:rPr>
            </w:pPr>
            <w:r>
              <w:rPr>
                <w:rFonts w:hint="eastAsia" w:cs="仿宋"/>
                <w:color w:val="auto"/>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B3E6256">
            <w:pPr>
              <w:spacing w:line="360" w:lineRule="auto"/>
              <w:rPr>
                <w:rFonts w:cs="仿宋"/>
                <w:color w:val="auto"/>
              </w:rPr>
            </w:pPr>
            <w:r>
              <w:rPr>
                <w:rFonts w:hint="eastAsia" w:cs="仿宋"/>
                <w:color w:val="auto"/>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404D1777">
            <w:pPr>
              <w:spacing w:line="360" w:lineRule="auto"/>
              <w:rPr>
                <w:rFonts w:cs="仿宋"/>
                <w:color w:val="auto"/>
              </w:rPr>
            </w:pPr>
            <w:r>
              <w:rPr>
                <w:rFonts w:hint="eastAsia" w:cs="仿宋"/>
                <w:color w:val="auto"/>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373DBA0">
            <w:pPr>
              <w:spacing w:line="360" w:lineRule="auto"/>
              <w:rPr>
                <w:rFonts w:cs="仿宋"/>
                <w:color w:val="auto"/>
              </w:rPr>
            </w:pPr>
            <w:r>
              <w:rPr>
                <w:rFonts w:hint="eastAsia" w:cs="仿宋"/>
                <w:color w:val="auto"/>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632A8E64">
            <w:pPr>
              <w:spacing w:line="360" w:lineRule="auto"/>
              <w:rPr>
                <w:rFonts w:cs="仿宋"/>
                <w:color w:val="auto"/>
              </w:rPr>
            </w:pPr>
            <w:r>
              <w:rPr>
                <w:rFonts w:hint="eastAsia" w:cs="仿宋"/>
                <w:color w:val="auto"/>
              </w:rPr>
              <w:t>备注</w:t>
            </w:r>
          </w:p>
        </w:tc>
      </w:tr>
      <w:tr w14:paraId="65E1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60E7FB">
            <w:pPr>
              <w:spacing w:line="360" w:lineRule="auto"/>
              <w:rPr>
                <w:rFonts w:cs="仿宋"/>
                <w:color w:val="auto"/>
              </w:rPr>
            </w:pPr>
            <w:r>
              <w:rPr>
                <w:rFonts w:hint="eastAsia" w:cs="仿宋"/>
                <w:color w:val="auto"/>
              </w:rPr>
              <w:t>1</w:t>
            </w:r>
          </w:p>
        </w:tc>
        <w:tc>
          <w:tcPr>
            <w:tcW w:w="1369" w:type="dxa"/>
            <w:tcBorders>
              <w:top w:val="single" w:color="auto" w:sz="4" w:space="0"/>
              <w:left w:val="single" w:color="auto" w:sz="4" w:space="0"/>
              <w:bottom w:val="single" w:color="auto" w:sz="4" w:space="0"/>
              <w:right w:val="single" w:color="auto" w:sz="4" w:space="0"/>
            </w:tcBorders>
            <w:vAlign w:val="center"/>
          </w:tcPr>
          <w:p w14:paraId="3A9E8A50">
            <w:pPr>
              <w:spacing w:line="360" w:lineRule="auto"/>
              <w:rPr>
                <w:rFonts w:cs="仿宋"/>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14:paraId="57F7E4B5">
            <w:pPr>
              <w:spacing w:line="360" w:lineRule="auto"/>
              <w:rPr>
                <w:rFonts w:cs="仿宋"/>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0B422A5F">
            <w:pPr>
              <w:spacing w:line="360" w:lineRule="auto"/>
              <w:rPr>
                <w:rFonts w:cs="仿宋"/>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14:paraId="1679219F">
            <w:pPr>
              <w:spacing w:line="360" w:lineRule="auto"/>
              <w:rPr>
                <w:rFonts w:cs="仿宋"/>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14:paraId="5D428BAE">
            <w:pPr>
              <w:spacing w:line="360" w:lineRule="auto"/>
              <w:rPr>
                <w:rFonts w:cs="仿宋"/>
                <w:color w:val="auto"/>
              </w:rPr>
            </w:pPr>
          </w:p>
        </w:tc>
        <w:tc>
          <w:tcPr>
            <w:tcW w:w="1526" w:type="dxa"/>
            <w:tcBorders>
              <w:top w:val="single" w:color="auto" w:sz="4" w:space="0"/>
              <w:left w:val="single" w:color="auto" w:sz="4" w:space="0"/>
              <w:bottom w:val="single" w:color="auto" w:sz="4" w:space="0"/>
              <w:right w:val="single" w:color="auto" w:sz="4" w:space="0"/>
            </w:tcBorders>
            <w:vAlign w:val="center"/>
          </w:tcPr>
          <w:p w14:paraId="25EE66E8">
            <w:pPr>
              <w:spacing w:line="360" w:lineRule="auto"/>
              <w:rPr>
                <w:rFonts w:cs="仿宋"/>
                <w:color w:val="auto"/>
              </w:rPr>
            </w:pPr>
          </w:p>
        </w:tc>
      </w:tr>
      <w:tr w14:paraId="6AB2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CB86E1">
            <w:pPr>
              <w:spacing w:line="360" w:lineRule="auto"/>
              <w:rPr>
                <w:rFonts w:cs="仿宋"/>
                <w:color w:val="auto"/>
              </w:rPr>
            </w:pPr>
            <w:r>
              <w:rPr>
                <w:rFonts w:hint="eastAsia" w:cs="仿宋"/>
                <w:color w:val="auto"/>
              </w:rPr>
              <w:t>2</w:t>
            </w:r>
          </w:p>
        </w:tc>
        <w:tc>
          <w:tcPr>
            <w:tcW w:w="1369" w:type="dxa"/>
            <w:tcBorders>
              <w:top w:val="single" w:color="auto" w:sz="4" w:space="0"/>
              <w:left w:val="single" w:color="auto" w:sz="4" w:space="0"/>
              <w:bottom w:val="single" w:color="auto" w:sz="4" w:space="0"/>
              <w:right w:val="single" w:color="auto" w:sz="4" w:space="0"/>
            </w:tcBorders>
            <w:vAlign w:val="center"/>
          </w:tcPr>
          <w:p w14:paraId="6FD45079">
            <w:pPr>
              <w:spacing w:line="360" w:lineRule="auto"/>
              <w:rPr>
                <w:rFonts w:cs="仿宋"/>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14:paraId="63E6BF48">
            <w:pPr>
              <w:spacing w:line="360" w:lineRule="auto"/>
              <w:rPr>
                <w:rFonts w:cs="仿宋"/>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7288D2E0">
            <w:pPr>
              <w:spacing w:line="360" w:lineRule="auto"/>
              <w:rPr>
                <w:rFonts w:cs="仿宋"/>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14:paraId="0B38A325">
            <w:pPr>
              <w:spacing w:line="360" w:lineRule="auto"/>
              <w:rPr>
                <w:rFonts w:cs="仿宋"/>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14:paraId="3E0DD76D">
            <w:pPr>
              <w:spacing w:line="360" w:lineRule="auto"/>
              <w:rPr>
                <w:rFonts w:cs="仿宋"/>
                <w:color w:val="auto"/>
              </w:rPr>
            </w:pPr>
          </w:p>
        </w:tc>
        <w:tc>
          <w:tcPr>
            <w:tcW w:w="1526" w:type="dxa"/>
            <w:tcBorders>
              <w:top w:val="single" w:color="auto" w:sz="4" w:space="0"/>
              <w:left w:val="single" w:color="auto" w:sz="4" w:space="0"/>
              <w:bottom w:val="single" w:color="auto" w:sz="4" w:space="0"/>
              <w:right w:val="single" w:color="auto" w:sz="4" w:space="0"/>
            </w:tcBorders>
            <w:vAlign w:val="center"/>
          </w:tcPr>
          <w:p w14:paraId="5DC45C5D">
            <w:pPr>
              <w:spacing w:line="360" w:lineRule="auto"/>
              <w:rPr>
                <w:rFonts w:cs="仿宋"/>
                <w:color w:val="auto"/>
              </w:rPr>
            </w:pPr>
          </w:p>
        </w:tc>
      </w:tr>
      <w:tr w14:paraId="2233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C5D440">
            <w:pPr>
              <w:spacing w:line="360" w:lineRule="auto"/>
              <w:rPr>
                <w:rFonts w:cs="仿宋"/>
                <w:color w:val="auto"/>
              </w:rPr>
            </w:pPr>
            <w:r>
              <w:rPr>
                <w:rFonts w:hint="eastAsia" w:cs="仿宋"/>
                <w:color w:val="auto"/>
              </w:rPr>
              <w:t>……</w:t>
            </w:r>
          </w:p>
        </w:tc>
        <w:tc>
          <w:tcPr>
            <w:tcW w:w="1369" w:type="dxa"/>
            <w:tcBorders>
              <w:top w:val="single" w:color="auto" w:sz="4" w:space="0"/>
              <w:left w:val="single" w:color="auto" w:sz="4" w:space="0"/>
              <w:bottom w:val="single" w:color="auto" w:sz="4" w:space="0"/>
              <w:right w:val="single" w:color="auto" w:sz="4" w:space="0"/>
            </w:tcBorders>
            <w:vAlign w:val="center"/>
          </w:tcPr>
          <w:p w14:paraId="6DCE3415">
            <w:pPr>
              <w:spacing w:line="360" w:lineRule="auto"/>
              <w:rPr>
                <w:rFonts w:cs="仿宋"/>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14:paraId="7FCCD8DF">
            <w:pPr>
              <w:spacing w:line="360" w:lineRule="auto"/>
              <w:rPr>
                <w:rFonts w:cs="仿宋"/>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6846AF61">
            <w:pPr>
              <w:spacing w:line="360" w:lineRule="auto"/>
              <w:rPr>
                <w:rFonts w:cs="仿宋"/>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14:paraId="2E64B598">
            <w:pPr>
              <w:spacing w:line="360" w:lineRule="auto"/>
              <w:rPr>
                <w:rFonts w:cs="仿宋"/>
                <w:color w:val="auto"/>
              </w:rPr>
            </w:pPr>
          </w:p>
        </w:tc>
        <w:tc>
          <w:tcPr>
            <w:tcW w:w="930" w:type="dxa"/>
            <w:tcBorders>
              <w:top w:val="single" w:color="auto" w:sz="4" w:space="0"/>
              <w:left w:val="single" w:color="auto" w:sz="4" w:space="0"/>
              <w:bottom w:val="single" w:color="auto" w:sz="4" w:space="0"/>
              <w:right w:val="single" w:color="auto" w:sz="4" w:space="0"/>
            </w:tcBorders>
            <w:vAlign w:val="center"/>
          </w:tcPr>
          <w:p w14:paraId="000A8893">
            <w:pPr>
              <w:spacing w:line="360" w:lineRule="auto"/>
              <w:rPr>
                <w:rFonts w:cs="仿宋"/>
                <w:color w:val="auto"/>
              </w:rPr>
            </w:pPr>
          </w:p>
        </w:tc>
        <w:tc>
          <w:tcPr>
            <w:tcW w:w="1526" w:type="dxa"/>
            <w:tcBorders>
              <w:top w:val="single" w:color="auto" w:sz="4" w:space="0"/>
              <w:left w:val="single" w:color="auto" w:sz="4" w:space="0"/>
              <w:bottom w:val="single" w:color="auto" w:sz="4" w:space="0"/>
              <w:right w:val="single" w:color="auto" w:sz="4" w:space="0"/>
            </w:tcBorders>
            <w:vAlign w:val="center"/>
          </w:tcPr>
          <w:p w14:paraId="0054095D">
            <w:pPr>
              <w:spacing w:line="360" w:lineRule="auto"/>
              <w:rPr>
                <w:rFonts w:cs="仿宋"/>
                <w:color w:val="auto"/>
              </w:rPr>
            </w:pPr>
          </w:p>
        </w:tc>
      </w:tr>
    </w:tbl>
    <w:p w14:paraId="3AC038BF">
      <w:pPr>
        <w:spacing w:line="360" w:lineRule="auto"/>
        <w:rPr>
          <w:rFonts w:cs="仿宋"/>
          <w:color w:val="auto"/>
        </w:rPr>
      </w:pPr>
      <w:r>
        <w:rPr>
          <w:rFonts w:hint="eastAsia" w:cs="仿宋"/>
          <w:color w:val="auto"/>
        </w:rPr>
        <w:t>注：按本格式和要求提供。</w:t>
      </w:r>
    </w:p>
    <w:p w14:paraId="3E966355">
      <w:pPr>
        <w:pStyle w:val="3"/>
        <w:spacing w:line="360" w:lineRule="auto"/>
        <w:rPr>
          <w:rFonts w:cs="仿宋"/>
          <w:color w:val="auto"/>
        </w:rPr>
      </w:pPr>
      <w:r>
        <w:rPr>
          <w:rFonts w:hint="eastAsia" w:cs="仿宋"/>
          <w:color w:val="auto"/>
        </w:rPr>
        <w:t>八、商务技术偏离表</w:t>
      </w:r>
    </w:p>
    <w:tbl>
      <w:tblPr>
        <w:tblStyle w:val="33"/>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211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8C517C">
            <w:pPr>
              <w:spacing w:after="0" w:line="360" w:lineRule="auto"/>
              <w:jc w:val="center"/>
              <w:rPr>
                <w:rFonts w:cs="仿宋"/>
                <w:b/>
                <w:bCs/>
                <w:color w:val="auto"/>
              </w:rPr>
            </w:pPr>
            <w:r>
              <w:rPr>
                <w:rFonts w:hint="eastAsia" w:cs="仿宋"/>
                <w:b/>
                <w:bCs/>
                <w:color w:val="auto"/>
              </w:rPr>
              <w:t>序号</w:t>
            </w:r>
          </w:p>
        </w:tc>
        <w:tc>
          <w:tcPr>
            <w:tcW w:w="3683" w:type="dxa"/>
          </w:tcPr>
          <w:p w14:paraId="3DA0DCF1">
            <w:pPr>
              <w:spacing w:after="0" w:line="360" w:lineRule="auto"/>
              <w:jc w:val="center"/>
              <w:rPr>
                <w:rFonts w:cs="仿宋"/>
                <w:b/>
                <w:bCs/>
                <w:color w:val="auto"/>
              </w:rPr>
            </w:pPr>
            <w:r>
              <w:rPr>
                <w:rFonts w:hint="eastAsia" w:cs="仿宋"/>
                <w:b/>
                <w:bCs/>
                <w:color w:val="auto"/>
              </w:rPr>
              <w:t>交易文件章节及具体内容</w:t>
            </w:r>
          </w:p>
        </w:tc>
        <w:tc>
          <w:tcPr>
            <w:tcW w:w="3546" w:type="dxa"/>
          </w:tcPr>
          <w:p w14:paraId="04B5C4D9">
            <w:pPr>
              <w:spacing w:after="0" w:line="360" w:lineRule="auto"/>
              <w:jc w:val="center"/>
              <w:rPr>
                <w:rFonts w:cs="仿宋"/>
                <w:b/>
                <w:bCs/>
                <w:color w:val="auto"/>
              </w:rPr>
            </w:pPr>
            <w:r>
              <w:rPr>
                <w:rFonts w:hint="eastAsia" w:cs="仿宋"/>
                <w:b/>
                <w:bCs/>
                <w:color w:val="auto"/>
              </w:rPr>
              <w:t>响应文件章节及具体内容</w:t>
            </w:r>
          </w:p>
        </w:tc>
        <w:tc>
          <w:tcPr>
            <w:tcW w:w="1276" w:type="dxa"/>
          </w:tcPr>
          <w:p w14:paraId="070D7A5F">
            <w:pPr>
              <w:spacing w:after="0" w:line="360" w:lineRule="auto"/>
              <w:jc w:val="center"/>
              <w:rPr>
                <w:rFonts w:cs="仿宋"/>
                <w:b/>
                <w:bCs/>
                <w:color w:val="auto"/>
              </w:rPr>
            </w:pPr>
            <w:r>
              <w:rPr>
                <w:rFonts w:hint="eastAsia" w:cs="仿宋"/>
                <w:b/>
                <w:bCs/>
                <w:color w:val="auto"/>
              </w:rPr>
              <w:t>偏离说明</w:t>
            </w:r>
          </w:p>
        </w:tc>
      </w:tr>
      <w:tr w14:paraId="7350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DC62DA">
            <w:pPr>
              <w:spacing w:after="0" w:line="360" w:lineRule="auto"/>
              <w:jc w:val="center"/>
              <w:rPr>
                <w:rFonts w:cs="仿宋"/>
                <w:color w:val="auto"/>
              </w:rPr>
            </w:pPr>
            <w:r>
              <w:rPr>
                <w:rFonts w:hint="eastAsia" w:cs="仿宋"/>
                <w:color w:val="auto"/>
              </w:rPr>
              <w:t>1</w:t>
            </w:r>
          </w:p>
        </w:tc>
        <w:tc>
          <w:tcPr>
            <w:tcW w:w="3683" w:type="dxa"/>
          </w:tcPr>
          <w:p w14:paraId="26E259D9">
            <w:pPr>
              <w:spacing w:after="0" w:line="360" w:lineRule="auto"/>
              <w:jc w:val="center"/>
              <w:rPr>
                <w:rFonts w:cs="仿宋"/>
                <w:b/>
                <w:color w:val="auto"/>
                <w:sz w:val="32"/>
                <w:szCs w:val="32"/>
              </w:rPr>
            </w:pPr>
          </w:p>
        </w:tc>
        <w:tc>
          <w:tcPr>
            <w:tcW w:w="3546" w:type="dxa"/>
          </w:tcPr>
          <w:p w14:paraId="6DFB3343">
            <w:pPr>
              <w:spacing w:after="0" w:line="360" w:lineRule="auto"/>
              <w:jc w:val="center"/>
              <w:rPr>
                <w:rFonts w:cs="仿宋"/>
                <w:b/>
                <w:color w:val="auto"/>
                <w:sz w:val="32"/>
                <w:szCs w:val="32"/>
              </w:rPr>
            </w:pPr>
          </w:p>
        </w:tc>
        <w:tc>
          <w:tcPr>
            <w:tcW w:w="1276" w:type="dxa"/>
          </w:tcPr>
          <w:p w14:paraId="73D1BB45">
            <w:pPr>
              <w:spacing w:after="0" w:line="360" w:lineRule="auto"/>
              <w:jc w:val="center"/>
              <w:rPr>
                <w:rFonts w:cs="仿宋"/>
                <w:b/>
                <w:color w:val="auto"/>
                <w:sz w:val="32"/>
                <w:szCs w:val="32"/>
              </w:rPr>
            </w:pPr>
          </w:p>
        </w:tc>
      </w:tr>
      <w:tr w14:paraId="7969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729257">
            <w:pPr>
              <w:spacing w:after="0" w:line="360" w:lineRule="auto"/>
              <w:jc w:val="center"/>
              <w:rPr>
                <w:rFonts w:cs="仿宋"/>
                <w:color w:val="auto"/>
              </w:rPr>
            </w:pPr>
            <w:r>
              <w:rPr>
                <w:rFonts w:hint="eastAsia" w:cs="仿宋"/>
                <w:color w:val="auto"/>
              </w:rPr>
              <w:t>2</w:t>
            </w:r>
          </w:p>
        </w:tc>
        <w:tc>
          <w:tcPr>
            <w:tcW w:w="3683" w:type="dxa"/>
          </w:tcPr>
          <w:p w14:paraId="1C4F110C">
            <w:pPr>
              <w:spacing w:after="0" w:line="360" w:lineRule="auto"/>
              <w:jc w:val="center"/>
              <w:rPr>
                <w:rFonts w:cs="仿宋"/>
                <w:b/>
                <w:color w:val="auto"/>
                <w:sz w:val="32"/>
                <w:szCs w:val="32"/>
              </w:rPr>
            </w:pPr>
          </w:p>
        </w:tc>
        <w:tc>
          <w:tcPr>
            <w:tcW w:w="3546" w:type="dxa"/>
          </w:tcPr>
          <w:p w14:paraId="4900E60F">
            <w:pPr>
              <w:spacing w:after="0" w:line="360" w:lineRule="auto"/>
              <w:jc w:val="center"/>
              <w:rPr>
                <w:rFonts w:cs="仿宋"/>
                <w:b/>
                <w:color w:val="auto"/>
                <w:sz w:val="32"/>
                <w:szCs w:val="32"/>
              </w:rPr>
            </w:pPr>
          </w:p>
        </w:tc>
        <w:tc>
          <w:tcPr>
            <w:tcW w:w="1276" w:type="dxa"/>
          </w:tcPr>
          <w:p w14:paraId="08273923">
            <w:pPr>
              <w:spacing w:after="0" w:line="360" w:lineRule="auto"/>
              <w:jc w:val="center"/>
              <w:rPr>
                <w:rFonts w:cs="仿宋"/>
                <w:b/>
                <w:color w:val="auto"/>
                <w:sz w:val="32"/>
                <w:szCs w:val="32"/>
              </w:rPr>
            </w:pPr>
          </w:p>
        </w:tc>
      </w:tr>
      <w:tr w14:paraId="78CB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F2F1A2">
            <w:pPr>
              <w:spacing w:after="0" w:line="360" w:lineRule="auto"/>
              <w:jc w:val="center"/>
              <w:rPr>
                <w:rFonts w:cs="仿宋"/>
                <w:color w:val="auto"/>
              </w:rPr>
            </w:pPr>
            <w:r>
              <w:rPr>
                <w:rFonts w:hint="eastAsia" w:cs="仿宋"/>
                <w:color w:val="auto"/>
              </w:rPr>
              <w:t>……</w:t>
            </w:r>
          </w:p>
        </w:tc>
        <w:tc>
          <w:tcPr>
            <w:tcW w:w="3683" w:type="dxa"/>
          </w:tcPr>
          <w:p w14:paraId="4406D014">
            <w:pPr>
              <w:spacing w:after="0" w:line="360" w:lineRule="auto"/>
              <w:jc w:val="center"/>
              <w:rPr>
                <w:rFonts w:cs="仿宋"/>
                <w:b/>
                <w:color w:val="auto"/>
                <w:sz w:val="32"/>
                <w:szCs w:val="32"/>
              </w:rPr>
            </w:pPr>
          </w:p>
        </w:tc>
        <w:tc>
          <w:tcPr>
            <w:tcW w:w="3546" w:type="dxa"/>
          </w:tcPr>
          <w:p w14:paraId="15DF5CA0">
            <w:pPr>
              <w:spacing w:after="0" w:line="360" w:lineRule="auto"/>
              <w:jc w:val="center"/>
              <w:rPr>
                <w:rFonts w:cs="仿宋"/>
                <w:b/>
                <w:color w:val="auto"/>
                <w:sz w:val="32"/>
                <w:szCs w:val="32"/>
              </w:rPr>
            </w:pPr>
          </w:p>
        </w:tc>
        <w:tc>
          <w:tcPr>
            <w:tcW w:w="1276" w:type="dxa"/>
          </w:tcPr>
          <w:p w14:paraId="74A4E5CB">
            <w:pPr>
              <w:spacing w:after="0" w:line="360" w:lineRule="auto"/>
              <w:jc w:val="center"/>
              <w:rPr>
                <w:rFonts w:cs="仿宋"/>
                <w:b/>
                <w:color w:val="auto"/>
                <w:sz w:val="32"/>
                <w:szCs w:val="32"/>
              </w:rPr>
            </w:pPr>
          </w:p>
        </w:tc>
      </w:tr>
    </w:tbl>
    <w:p w14:paraId="255AA065">
      <w:pPr>
        <w:spacing w:line="360" w:lineRule="auto"/>
        <w:rPr>
          <w:rFonts w:cs="仿宋"/>
          <w:color w:val="auto"/>
        </w:rPr>
      </w:pPr>
      <w:r>
        <w:rPr>
          <w:rFonts w:hint="eastAsia" w:cs="仿宋"/>
          <w:color w:val="auto"/>
        </w:rPr>
        <w:t>供应商保证：除商务技术偏离表列出的偏离外，供应商响应交易文件的全部要求</w:t>
      </w:r>
    </w:p>
    <w:p w14:paraId="65B3C7BE">
      <w:pPr>
        <w:spacing w:line="360" w:lineRule="auto"/>
        <w:ind w:right="420"/>
        <w:rPr>
          <w:rFonts w:cs="仿宋"/>
          <w:color w:val="auto"/>
        </w:rPr>
      </w:pPr>
      <w:r>
        <w:rPr>
          <w:rFonts w:hint="eastAsia" w:cs="仿宋"/>
          <w:color w:val="auto"/>
        </w:rPr>
        <w:t>注：按本格式和要求提供。</w:t>
      </w:r>
    </w:p>
    <w:p w14:paraId="7212D8EF">
      <w:pPr>
        <w:spacing w:line="360" w:lineRule="auto"/>
        <w:rPr>
          <w:rFonts w:cs="仿宋"/>
          <w:b/>
          <w:color w:val="auto"/>
        </w:rPr>
      </w:pPr>
      <w:r>
        <w:rPr>
          <w:rFonts w:hint="eastAsia" w:cs="仿宋"/>
          <w:b/>
          <w:color w:val="auto"/>
        </w:rPr>
        <w:br w:type="page"/>
      </w:r>
    </w:p>
    <w:p w14:paraId="5CD3AF21">
      <w:pPr>
        <w:pStyle w:val="3"/>
        <w:spacing w:line="360" w:lineRule="auto"/>
        <w:rPr>
          <w:rFonts w:cs="仿宋"/>
          <w:color w:val="auto"/>
        </w:rPr>
      </w:pPr>
      <w:r>
        <w:rPr>
          <w:rFonts w:hint="eastAsia" w:cs="仿宋"/>
          <w:bCs/>
          <w:color w:val="auto"/>
        </w:rPr>
        <w:t>九</w:t>
      </w:r>
      <w:r>
        <w:rPr>
          <w:rFonts w:hint="eastAsia" w:cs="仿宋"/>
          <w:color w:val="auto"/>
        </w:rPr>
        <w:t>、</w:t>
      </w:r>
      <w:r>
        <w:rPr>
          <w:rFonts w:hint="eastAsia" w:cs="仿宋"/>
          <w:color w:val="auto"/>
          <w:lang w:val="zh-CN"/>
        </w:rPr>
        <w:t>采购供应商廉洁自律承诺书</w:t>
      </w:r>
    </w:p>
    <w:p w14:paraId="625F0F3A">
      <w:pPr>
        <w:spacing w:line="360" w:lineRule="auto"/>
        <w:rPr>
          <w:rFonts w:cs="仿宋"/>
          <w:color w:val="auto"/>
        </w:rPr>
      </w:pPr>
      <w:r>
        <w:rPr>
          <w:rFonts w:hint="eastAsia" w:cs="仿宋"/>
          <w:color w:val="auto"/>
        </w:rPr>
        <w:t>（</w:t>
      </w:r>
      <w:r>
        <w:rPr>
          <w:rFonts w:hint="eastAsia" w:cs="仿宋"/>
          <w:color w:val="auto"/>
          <w:lang w:eastAsia="zh-CN"/>
        </w:rPr>
        <w:t>交易发起人</w:t>
      </w:r>
      <w:r>
        <w:rPr>
          <w:rFonts w:hint="eastAsia" w:cs="仿宋"/>
          <w:color w:val="auto"/>
        </w:rPr>
        <w:t>）、（采购代理机构）</w:t>
      </w:r>
      <w:r>
        <w:rPr>
          <w:rFonts w:hint="eastAsia" w:cs="仿宋"/>
          <w:color w:val="auto"/>
          <w:lang w:val="zh-CN"/>
        </w:rPr>
        <w:t>：</w:t>
      </w:r>
    </w:p>
    <w:p w14:paraId="55A8D449">
      <w:pPr>
        <w:spacing w:line="360" w:lineRule="auto"/>
        <w:rPr>
          <w:rFonts w:cs="仿宋"/>
          <w:color w:val="auto"/>
          <w:lang w:val="zh-CN"/>
        </w:rPr>
      </w:pPr>
      <w:r>
        <w:rPr>
          <w:rFonts w:hint="eastAsia" w:cs="仿宋"/>
          <w:color w:val="auto"/>
          <w:lang w:val="zh-CN"/>
        </w:rPr>
        <w:t>我单位响应你</w:t>
      </w:r>
      <w:r>
        <w:rPr>
          <w:rFonts w:hint="eastAsia" w:cs="仿宋"/>
          <w:color w:val="auto"/>
        </w:rPr>
        <w:t>单位</w:t>
      </w:r>
      <w:r>
        <w:rPr>
          <w:rFonts w:hint="eastAsia" w:cs="仿宋"/>
          <w:color w:val="auto"/>
          <w:lang w:val="zh-CN"/>
        </w:rPr>
        <w:t>项目</w:t>
      </w:r>
      <w:r>
        <w:rPr>
          <w:rFonts w:hint="eastAsia" w:cs="仿宋"/>
          <w:color w:val="auto"/>
        </w:rPr>
        <w:t>交易</w:t>
      </w:r>
      <w:r>
        <w:rPr>
          <w:rFonts w:hint="eastAsia" w:cs="仿宋"/>
          <w:color w:val="auto"/>
          <w:lang w:val="zh-CN"/>
        </w:rPr>
        <w:t>要求参加</w:t>
      </w:r>
      <w:r>
        <w:rPr>
          <w:rFonts w:hint="eastAsia" w:cs="仿宋"/>
          <w:color w:val="auto"/>
        </w:rPr>
        <w:t>交易</w:t>
      </w:r>
      <w:r>
        <w:rPr>
          <w:rFonts w:hint="eastAsia" w:cs="仿宋"/>
          <w:color w:val="auto"/>
          <w:lang w:val="zh-CN"/>
        </w:rPr>
        <w:t>。在这次</w:t>
      </w:r>
      <w:r>
        <w:rPr>
          <w:rFonts w:hint="eastAsia" w:cs="仿宋"/>
          <w:color w:val="auto"/>
        </w:rPr>
        <w:t>交易</w:t>
      </w:r>
      <w:r>
        <w:rPr>
          <w:rFonts w:hint="eastAsia" w:cs="仿宋"/>
          <w:color w:val="auto"/>
          <w:lang w:val="zh-CN"/>
        </w:rPr>
        <w:t>过程中和成交后，我们将严格遵守国家法律法规要求，并郑重承诺：</w:t>
      </w:r>
    </w:p>
    <w:p w14:paraId="02F4BDF2">
      <w:pPr>
        <w:spacing w:line="360" w:lineRule="auto"/>
        <w:rPr>
          <w:rFonts w:cs="仿宋"/>
          <w:color w:val="auto"/>
          <w:lang w:val="zh-CN"/>
        </w:rPr>
      </w:pPr>
      <w:r>
        <w:rPr>
          <w:rFonts w:hint="eastAsia" w:cs="仿宋"/>
          <w:color w:val="auto"/>
          <w:lang w:val="zh-CN"/>
        </w:rPr>
        <w:t xml:space="preserve">一、不向项目有关人员及部门赠送礼金礼物、有价证券、回扣以及中介费、介绍费、咨询费等好处费； </w:t>
      </w:r>
    </w:p>
    <w:p w14:paraId="1240E76F">
      <w:pPr>
        <w:spacing w:line="360" w:lineRule="auto"/>
        <w:rPr>
          <w:rFonts w:cs="仿宋"/>
          <w:color w:val="auto"/>
          <w:lang w:val="zh-CN"/>
        </w:rPr>
      </w:pPr>
      <w:r>
        <w:rPr>
          <w:rFonts w:hint="eastAsia" w:cs="仿宋"/>
          <w:color w:val="auto"/>
          <w:lang w:val="zh-CN"/>
        </w:rPr>
        <w:t xml:space="preserve">二、不为项目有关人员及部门报销应由你方单位或个人支付的费用； </w:t>
      </w:r>
    </w:p>
    <w:p w14:paraId="2D12B854">
      <w:pPr>
        <w:spacing w:line="360" w:lineRule="auto"/>
        <w:rPr>
          <w:rFonts w:cs="仿宋"/>
          <w:color w:val="auto"/>
          <w:lang w:val="zh-CN"/>
        </w:rPr>
      </w:pPr>
      <w:r>
        <w:rPr>
          <w:rFonts w:hint="eastAsia" w:cs="仿宋"/>
          <w:color w:val="auto"/>
          <w:lang w:val="zh-CN"/>
        </w:rPr>
        <w:t xml:space="preserve">三、不向项目有关人员及部门提供有可能影响公正的宴请和健身娱乐等活动； </w:t>
      </w:r>
    </w:p>
    <w:p w14:paraId="000FE66A">
      <w:pPr>
        <w:spacing w:line="360" w:lineRule="auto"/>
        <w:rPr>
          <w:rFonts w:cs="仿宋"/>
          <w:color w:val="auto"/>
          <w:lang w:val="zh-CN"/>
        </w:rPr>
      </w:pPr>
      <w:r>
        <w:rPr>
          <w:rFonts w:hint="eastAsia" w:cs="仿宋"/>
          <w:color w:val="auto"/>
          <w:lang w:val="zh-CN"/>
        </w:rPr>
        <w:t>四、不为项目有关人员及部门出国（境）、旅游等提供方便；</w:t>
      </w:r>
    </w:p>
    <w:p w14:paraId="10F938FC">
      <w:pPr>
        <w:spacing w:line="360" w:lineRule="auto"/>
        <w:rPr>
          <w:rFonts w:cs="仿宋"/>
          <w:color w:val="auto"/>
          <w:lang w:val="zh-CN"/>
        </w:rPr>
      </w:pPr>
      <w:r>
        <w:rPr>
          <w:rFonts w:hint="eastAsia" w:cs="仿宋"/>
          <w:color w:val="auto"/>
          <w:lang w:val="zh-CN"/>
        </w:rPr>
        <w:t>五、不为项目有关人员个人装修住房、婚丧嫁娶、配偶子女工作安排等提供</w:t>
      </w:r>
    </w:p>
    <w:p w14:paraId="07ACC0E1">
      <w:pPr>
        <w:spacing w:line="360" w:lineRule="auto"/>
        <w:rPr>
          <w:rFonts w:cs="仿宋"/>
          <w:color w:val="auto"/>
          <w:lang w:val="zh-CN"/>
        </w:rPr>
      </w:pPr>
      <w:r>
        <w:rPr>
          <w:rFonts w:hint="eastAsia" w:cs="仿宋"/>
          <w:color w:val="auto"/>
          <w:lang w:val="zh-CN"/>
        </w:rPr>
        <w:t>好处；</w:t>
      </w:r>
    </w:p>
    <w:p w14:paraId="68C0FB3E">
      <w:pPr>
        <w:spacing w:line="360" w:lineRule="auto"/>
        <w:rPr>
          <w:rFonts w:cs="仿宋"/>
          <w:color w:val="auto"/>
          <w:lang w:val="zh-CN"/>
        </w:rPr>
      </w:pPr>
      <w:r>
        <w:rPr>
          <w:rFonts w:hint="eastAsia" w:cs="仿宋"/>
          <w:color w:val="auto"/>
          <w:lang w:val="zh-CN"/>
        </w:rPr>
        <w:t>六、严格遵守《中华人民共和国政府采购法》《中华人民共和国</w:t>
      </w:r>
      <w:r>
        <w:rPr>
          <w:rFonts w:hint="eastAsia" w:cs="仿宋"/>
          <w:color w:val="auto"/>
          <w:lang w:val="en-US" w:eastAsia="zh-CN"/>
        </w:rPr>
        <w:t>招标</w:t>
      </w:r>
      <w:r>
        <w:rPr>
          <w:rFonts w:hint="eastAsia" w:cs="仿宋"/>
          <w:color w:val="auto"/>
          <w:lang w:val="zh-CN"/>
        </w:rPr>
        <w:t>投标</w:t>
      </w:r>
    </w:p>
    <w:p w14:paraId="5545F238">
      <w:pPr>
        <w:spacing w:line="360" w:lineRule="auto"/>
        <w:rPr>
          <w:rFonts w:cs="仿宋"/>
          <w:color w:val="auto"/>
          <w:lang w:val="zh-CN"/>
        </w:rPr>
      </w:pPr>
      <w:r>
        <w:rPr>
          <w:rFonts w:hint="eastAsia" w:cs="仿宋"/>
          <w:color w:val="auto"/>
          <w:lang w:val="zh-CN"/>
        </w:rPr>
        <w:t xml:space="preserve">法》《中华人民共和国民法典》等法律法规，诚实守信，合法经营，坚决抵制各种违法违纪行为。 </w:t>
      </w:r>
    </w:p>
    <w:p w14:paraId="15BD5FF8">
      <w:pPr>
        <w:spacing w:line="360" w:lineRule="auto"/>
        <w:rPr>
          <w:rFonts w:cs="仿宋"/>
          <w:color w:val="auto"/>
          <w:lang w:val="zh-CN"/>
        </w:rPr>
      </w:pPr>
      <w:r>
        <w:rPr>
          <w:rFonts w:hint="eastAsia" w:cs="仿宋"/>
          <w:color w:val="auto"/>
          <w:lang w:val="zh-CN"/>
        </w:rPr>
        <w:t>如违反上述承诺，你</w:t>
      </w:r>
      <w:r>
        <w:rPr>
          <w:rFonts w:hint="eastAsia" w:cs="仿宋"/>
          <w:color w:val="auto"/>
        </w:rPr>
        <w:t>单位</w:t>
      </w:r>
      <w:r>
        <w:rPr>
          <w:rFonts w:hint="eastAsia" w:cs="仿宋"/>
          <w:color w:val="auto"/>
          <w:lang w:val="zh-CN"/>
        </w:rPr>
        <w:t>有权立即取消我单位</w:t>
      </w:r>
      <w:r>
        <w:rPr>
          <w:rFonts w:hint="eastAsia" w:cs="仿宋"/>
          <w:color w:val="auto"/>
        </w:rPr>
        <w:t>响应</w:t>
      </w:r>
      <w:r>
        <w:rPr>
          <w:rFonts w:hint="eastAsia" w:cs="仿宋"/>
          <w:color w:val="auto"/>
          <w:lang w:val="zh-CN"/>
        </w:rPr>
        <w:t>、</w:t>
      </w:r>
      <w:r>
        <w:rPr>
          <w:rFonts w:hint="eastAsia" w:cs="仿宋"/>
          <w:color w:val="auto"/>
        </w:rPr>
        <w:t>成交</w:t>
      </w:r>
      <w:r>
        <w:rPr>
          <w:rFonts w:hint="eastAsia" w:cs="仿宋"/>
          <w:color w:val="auto"/>
          <w:lang w:val="zh-CN"/>
        </w:rPr>
        <w:t>或在建项目的建设资格，有权拒绝我单位在一定时期内进入你</w:t>
      </w:r>
      <w:r>
        <w:rPr>
          <w:rFonts w:hint="eastAsia" w:cs="仿宋"/>
          <w:color w:val="auto"/>
        </w:rPr>
        <w:t>单位</w:t>
      </w:r>
      <w:r>
        <w:rPr>
          <w:rFonts w:hint="eastAsia" w:cs="仿宋"/>
          <w:color w:val="auto"/>
          <w:lang w:val="zh-CN"/>
        </w:rPr>
        <w:t>进行项目建设或其他经营活动，并通报市财政局。由此引起的相应损失均由我单位承担。</w:t>
      </w:r>
    </w:p>
    <w:p w14:paraId="6025C8BF">
      <w:pPr>
        <w:spacing w:line="360" w:lineRule="auto"/>
        <w:jc w:val="right"/>
        <w:rPr>
          <w:rFonts w:cs="仿宋"/>
          <w:color w:val="auto"/>
          <w:lang w:val="zh-CN"/>
        </w:rPr>
      </w:pPr>
      <w:r>
        <w:rPr>
          <w:rFonts w:hint="eastAsia" w:cs="仿宋"/>
          <w:color w:val="auto"/>
          <w:lang w:val="zh-CN"/>
        </w:rPr>
        <w:t>供应商名称（</w:t>
      </w:r>
      <w:r>
        <w:rPr>
          <w:rFonts w:hint="eastAsia" w:cs="仿宋"/>
          <w:color w:val="auto"/>
        </w:rPr>
        <w:t>电子签名</w:t>
      </w:r>
      <w:r>
        <w:rPr>
          <w:rFonts w:hint="eastAsia" w:cs="仿宋"/>
          <w:color w:val="auto"/>
          <w:lang w:val="zh-CN"/>
        </w:rPr>
        <w:t xml:space="preserve">）： </w:t>
      </w:r>
    </w:p>
    <w:p w14:paraId="4276DA93">
      <w:pPr>
        <w:spacing w:line="360" w:lineRule="auto"/>
        <w:jc w:val="right"/>
        <w:rPr>
          <w:rFonts w:cs="仿宋"/>
          <w:color w:val="auto"/>
        </w:rPr>
      </w:pPr>
      <w:r>
        <w:rPr>
          <w:rFonts w:hint="eastAsia" w:cs="仿宋"/>
          <w:color w:val="auto"/>
          <w:lang w:val="zh-CN"/>
        </w:rPr>
        <w:t>日期</w:t>
      </w:r>
      <w:r>
        <w:rPr>
          <w:rFonts w:hint="eastAsia" w:cs="仿宋"/>
          <w:color w:val="auto"/>
        </w:rPr>
        <w:t>：</w:t>
      </w:r>
      <w:r>
        <w:rPr>
          <w:rFonts w:hint="eastAsia" w:cs="仿宋"/>
          <w:color w:val="auto"/>
          <w:lang w:val="zh-CN"/>
        </w:rPr>
        <w:t xml:space="preserve">   年   月   日</w:t>
      </w:r>
    </w:p>
    <w:p w14:paraId="67A3653C">
      <w:pPr>
        <w:spacing w:line="360" w:lineRule="auto"/>
        <w:rPr>
          <w:rFonts w:cs="仿宋"/>
          <w:b/>
          <w:bCs/>
          <w:color w:val="auto"/>
        </w:rPr>
      </w:pPr>
    </w:p>
    <w:p w14:paraId="23EEA82F">
      <w:pPr>
        <w:spacing w:line="360" w:lineRule="auto"/>
        <w:rPr>
          <w:rFonts w:cs="仿宋"/>
          <w:color w:val="auto"/>
        </w:rPr>
      </w:pPr>
      <w:r>
        <w:rPr>
          <w:rFonts w:hint="eastAsia" w:cs="仿宋"/>
          <w:color w:val="auto"/>
        </w:rPr>
        <w:t>注：按本格式和要求提供。</w:t>
      </w:r>
    </w:p>
    <w:p w14:paraId="3486C7C5">
      <w:pPr>
        <w:spacing w:line="360" w:lineRule="auto"/>
        <w:rPr>
          <w:rFonts w:cs="仿宋"/>
          <w:color w:val="auto"/>
        </w:rPr>
      </w:pPr>
      <w:r>
        <w:rPr>
          <w:rFonts w:hint="eastAsia" w:cs="仿宋"/>
          <w:color w:val="auto"/>
        </w:rPr>
        <w:br w:type="page"/>
      </w:r>
    </w:p>
    <w:p w14:paraId="1179CBB7">
      <w:pPr>
        <w:pStyle w:val="3"/>
        <w:spacing w:line="360" w:lineRule="auto"/>
        <w:rPr>
          <w:rFonts w:cs="仿宋"/>
          <w:color w:val="auto"/>
        </w:rPr>
      </w:pPr>
      <w:r>
        <w:rPr>
          <w:rFonts w:hint="eastAsia" w:cs="仿宋"/>
          <w:color w:val="auto"/>
        </w:rPr>
        <w:t>报价文件部分</w:t>
      </w:r>
    </w:p>
    <w:p w14:paraId="2DB985FB">
      <w:pPr>
        <w:spacing w:line="360" w:lineRule="auto"/>
        <w:jc w:val="center"/>
        <w:rPr>
          <w:rFonts w:cs="仿宋"/>
          <w:color w:val="auto"/>
          <w:sz w:val="40"/>
        </w:rPr>
      </w:pPr>
      <w:r>
        <w:rPr>
          <w:rFonts w:hint="eastAsia" w:cs="仿宋"/>
          <w:color w:val="auto"/>
          <w:sz w:val="40"/>
        </w:rPr>
        <w:t>目录</w:t>
      </w:r>
    </w:p>
    <w:p w14:paraId="50FDB748">
      <w:pPr>
        <w:numPr>
          <w:ilvl w:val="0"/>
          <w:numId w:val="4"/>
        </w:numPr>
        <w:spacing w:line="360" w:lineRule="auto"/>
        <w:rPr>
          <w:rFonts w:hint="eastAsia" w:cs="仿宋"/>
          <w:color w:val="auto"/>
        </w:rPr>
      </w:pPr>
      <w:r>
        <w:rPr>
          <w:rFonts w:hint="eastAsia" w:cs="仿宋"/>
          <w:color w:val="auto"/>
        </w:rPr>
        <w:t>响应一览表（报价表）…………………………………………………（页码）</w:t>
      </w:r>
    </w:p>
    <w:p w14:paraId="2A50639E">
      <w:pPr>
        <w:spacing w:line="360" w:lineRule="auto"/>
        <w:jc w:val="left"/>
        <w:rPr>
          <w:rFonts w:hint="eastAsia" w:eastAsia="仿宋"/>
          <w:color w:val="auto"/>
          <w:lang w:eastAsia="zh-CN"/>
        </w:rPr>
      </w:pPr>
    </w:p>
    <w:p w14:paraId="4E06BC23">
      <w:pPr>
        <w:snapToGrid w:val="0"/>
        <w:spacing w:line="360" w:lineRule="auto"/>
        <w:ind w:right="480"/>
        <w:jc w:val="center"/>
        <w:rPr>
          <w:rFonts w:cs="仿宋"/>
          <w:b/>
          <w:color w:val="auto"/>
          <w:sz w:val="32"/>
          <w:szCs w:val="32"/>
        </w:rPr>
      </w:pPr>
    </w:p>
    <w:p w14:paraId="0EFC0661">
      <w:pPr>
        <w:pStyle w:val="87"/>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headerReference r:id="rId4" w:type="default"/>
          <w:footerReference r:id="rId5" w:type="default"/>
          <w:pgSz w:w="11906" w:h="16838"/>
          <w:pgMar w:top="1440" w:right="1700" w:bottom="1440" w:left="1800" w:header="851" w:footer="992" w:gutter="0"/>
          <w:cols w:space="425" w:num="1"/>
          <w:docGrid w:type="lines" w:linePitch="312" w:charSpace="0"/>
        </w:sectPr>
      </w:pPr>
    </w:p>
    <w:p w14:paraId="35809A90">
      <w:pPr>
        <w:pStyle w:val="8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一、交易一览表（报价表）</w:t>
      </w:r>
    </w:p>
    <w:p w14:paraId="14EA0B9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kern w:val="0"/>
          <w:sz w:val="24"/>
          <w:lang w:val="zh-CN"/>
        </w:rPr>
        <w:t>：</w:t>
      </w:r>
    </w:p>
    <w:p w14:paraId="2AD83154">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按你方交易文件要求，我们，本响应文件签字方，谨此向你方发出要约如下：如你方接受本响应，我方承诺按照如下交易一览表（报价表）的价格完成</w:t>
      </w:r>
      <w:r>
        <w:rPr>
          <w:rFonts w:hint="eastAsia" w:ascii="仿宋" w:hAnsi="仿宋" w:eastAsia="仿宋" w:cs="仿宋"/>
          <w:color w:val="auto"/>
          <w:sz w:val="24"/>
          <w:u w:val="single"/>
        </w:rPr>
        <w:t>（项目名称）</w:t>
      </w:r>
      <w:r>
        <w:rPr>
          <w:rFonts w:hint="eastAsia" w:ascii="仿宋" w:hAnsi="仿宋" w:eastAsia="仿宋" w:cs="仿宋"/>
          <w:color w:val="auto"/>
          <w:kern w:val="0"/>
          <w:sz w:val="24"/>
          <w:u w:val="single"/>
          <w:lang w:val="zh-CN"/>
        </w:rPr>
        <w:t>【交易编号：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6316FE38">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3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36D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32A456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14:paraId="76CDC75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843" w:type="dxa"/>
          </w:tcPr>
          <w:p w14:paraId="1B06B629">
            <w:pPr>
              <w:spacing w:line="360" w:lineRule="auto"/>
              <w:jc w:val="center"/>
              <w:rPr>
                <w:rFonts w:hint="eastAsia" w:ascii="仿宋" w:hAnsi="仿宋" w:eastAsia="仿宋" w:cs="仿宋"/>
                <w:b/>
                <w:color w:val="auto"/>
                <w:sz w:val="24"/>
              </w:rPr>
            </w:pPr>
          </w:p>
          <w:p w14:paraId="319F363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14:paraId="13BC7E4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规格型号（或具体服务）</w:t>
            </w:r>
          </w:p>
        </w:tc>
        <w:tc>
          <w:tcPr>
            <w:tcW w:w="993" w:type="dxa"/>
            <w:vAlign w:val="center"/>
          </w:tcPr>
          <w:p w14:paraId="707373E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14:paraId="557D794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984" w:type="dxa"/>
            <w:vAlign w:val="center"/>
          </w:tcPr>
          <w:p w14:paraId="129A3C5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总价</w:t>
            </w:r>
          </w:p>
        </w:tc>
        <w:tc>
          <w:tcPr>
            <w:tcW w:w="3119" w:type="dxa"/>
            <w:vAlign w:val="center"/>
          </w:tcPr>
          <w:p w14:paraId="523E021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77BD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143FEC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14:paraId="264378A7">
            <w:pPr>
              <w:snapToGrid w:val="0"/>
              <w:spacing w:line="360" w:lineRule="auto"/>
              <w:jc w:val="center"/>
              <w:rPr>
                <w:rFonts w:hint="eastAsia" w:ascii="仿宋" w:hAnsi="仿宋" w:eastAsia="仿宋" w:cs="仿宋"/>
                <w:color w:val="auto"/>
                <w:sz w:val="24"/>
              </w:rPr>
            </w:pPr>
          </w:p>
        </w:tc>
        <w:tc>
          <w:tcPr>
            <w:tcW w:w="1843" w:type="dxa"/>
            <w:vAlign w:val="center"/>
          </w:tcPr>
          <w:p w14:paraId="7EC27F9E">
            <w:pPr>
              <w:snapToGrid w:val="0"/>
              <w:spacing w:line="360" w:lineRule="auto"/>
              <w:jc w:val="center"/>
              <w:rPr>
                <w:rFonts w:hint="eastAsia" w:ascii="仿宋" w:hAnsi="仿宋" w:eastAsia="仿宋" w:cs="仿宋"/>
                <w:color w:val="auto"/>
                <w:sz w:val="24"/>
              </w:rPr>
            </w:pPr>
          </w:p>
        </w:tc>
        <w:tc>
          <w:tcPr>
            <w:tcW w:w="3118" w:type="dxa"/>
            <w:vAlign w:val="center"/>
          </w:tcPr>
          <w:p w14:paraId="0C5CF529">
            <w:pPr>
              <w:snapToGrid w:val="0"/>
              <w:spacing w:line="360" w:lineRule="auto"/>
              <w:jc w:val="center"/>
              <w:rPr>
                <w:rFonts w:hint="eastAsia" w:ascii="仿宋" w:hAnsi="仿宋" w:eastAsia="仿宋" w:cs="仿宋"/>
                <w:color w:val="auto"/>
                <w:sz w:val="24"/>
              </w:rPr>
            </w:pPr>
          </w:p>
        </w:tc>
        <w:tc>
          <w:tcPr>
            <w:tcW w:w="993" w:type="dxa"/>
            <w:vAlign w:val="center"/>
          </w:tcPr>
          <w:p w14:paraId="11BA68E8">
            <w:pPr>
              <w:snapToGrid w:val="0"/>
              <w:spacing w:line="360" w:lineRule="auto"/>
              <w:jc w:val="center"/>
              <w:rPr>
                <w:rFonts w:hint="eastAsia" w:ascii="仿宋" w:hAnsi="仿宋" w:eastAsia="仿宋" w:cs="仿宋"/>
                <w:color w:val="auto"/>
                <w:sz w:val="24"/>
              </w:rPr>
            </w:pPr>
          </w:p>
        </w:tc>
        <w:tc>
          <w:tcPr>
            <w:tcW w:w="1559" w:type="dxa"/>
            <w:vAlign w:val="center"/>
          </w:tcPr>
          <w:p w14:paraId="059E4BE6">
            <w:pPr>
              <w:spacing w:line="360" w:lineRule="auto"/>
              <w:jc w:val="center"/>
              <w:rPr>
                <w:rFonts w:hint="eastAsia" w:ascii="仿宋" w:hAnsi="仿宋" w:eastAsia="仿宋" w:cs="仿宋"/>
                <w:color w:val="auto"/>
                <w:sz w:val="24"/>
              </w:rPr>
            </w:pPr>
          </w:p>
        </w:tc>
        <w:tc>
          <w:tcPr>
            <w:tcW w:w="1984" w:type="dxa"/>
            <w:vAlign w:val="center"/>
          </w:tcPr>
          <w:p w14:paraId="135BCFE1">
            <w:pPr>
              <w:spacing w:line="360" w:lineRule="auto"/>
              <w:jc w:val="center"/>
              <w:rPr>
                <w:rFonts w:hint="eastAsia" w:ascii="仿宋" w:hAnsi="仿宋" w:eastAsia="仿宋" w:cs="仿宋"/>
                <w:color w:val="auto"/>
                <w:sz w:val="24"/>
              </w:rPr>
            </w:pPr>
          </w:p>
        </w:tc>
        <w:tc>
          <w:tcPr>
            <w:tcW w:w="3119" w:type="dxa"/>
            <w:vAlign w:val="center"/>
          </w:tcPr>
          <w:p w14:paraId="60591DE1">
            <w:pPr>
              <w:spacing w:line="360" w:lineRule="auto"/>
              <w:jc w:val="center"/>
              <w:rPr>
                <w:rFonts w:hint="eastAsia" w:ascii="仿宋" w:hAnsi="仿宋" w:eastAsia="仿宋" w:cs="仿宋"/>
                <w:color w:val="auto"/>
                <w:sz w:val="24"/>
              </w:rPr>
            </w:pPr>
          </w:p>
        </w:tc>
      </w:tr>
      <w:tr w14:paraId="059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133BA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14:paraId="441C0AD5">
            <w:pPr>
              <w:snapToGrid w:val="0"/>
              <w:spacing w:line="360" w:lineRule="auto"/>
              <w:jc w:val="center"/>
              <w:rPr>
                <w:rFonts w:hint="eastAsia" w:ascii="仿宋" w:hAnsi="仿宋" w:eastAsia="仿宋" w:cs="仿宋"/>
                <w:color w:val="auto"/>
                <w:sz w:val="24"/>
              </w:rPr>
            </w:pPr>
          </w:p>
        </w:tc>
        <w:tc>
          <w:tcPr>
            <w:tcW w:w="1843" w:type="dxa"/>
            <w:vAlign w:val="center"/>
          </w:tcPr>
          <w:p w14:paraId="2DDA9FE9">
            <w:pPr>
              <w:snapToGrid w:val="0"/>
              <w:spacing w:line="360" w:lineRule="auto"/>
              <w:jc w:val="center"/>
              <w:rPr>
                <w:rFonts w:hint="eastAsia" w:ascii="仿宋" w:hAnsi="仿宋" w:eastAsia="仿宋" w:cs="仿宋"/>
                <w:color w:val="auto"/>
                <w:sz w:val="24"/>
              </w:rPr>
            </w:pPr>
          </w:p>
        </w:tc>
        <w:tc>
          <w:tcPr>
            <w:tcW w:w="3118" w:type="dxa"/>
            <w:vAlign w:val="center"/>
          </w:tcPr>
          <w:p w14:paraId="063AC68C">
            <w:pPr>
              <w:snapToGrid w:val="0"/>
              <w:spacing w:line="360" w:lineRule="auto"/>
              <w:jc w:val="center"/>
              <w:rPr>
                <w:rFonts w:hint="eastAsia" w:ascii="仿宋" w:hAnsi="仿宋" w:eastAsia="仿宋" w:cs="仿宋"/>
                <w:color w:val="auto"/>
                <w:sz w:val="24"/>
              </w:rPr>
            </w:pPr>
          </w:p>
        </w:tc>
        <w:tc>
          <w:tcPr>
            <w:tcW w:w="993" w:type="dxa"/>
            <w:vAlign w:val="center"/>
          </w:tcPr>
          <w:p w14:paraId="32F035DC">
            <w:pPr>
              <w:snapToGrid w:val="0"/>
              <w:spacing w:line="360" w:lineRule="auto"/>
              <w:jc w:val="center"/>
              <w:rPr>
                <w:rFonts w:hint="eastAsia" w:ascii="仿宋" w:hAnsi="仿宋" w:eastAsia="仿宋" w:cs="仿宋"/>
                <w:color w:val="auto"/>
                <w:sz w:val="24"/>
              </w:rPr>
            </w:pPr>
          </w:p>
        </w:tc>
        <w:tc>
          <w:tcPr>
            <w:tcW w:w="1559" w:type="dxa"/>
            <w:vAlign w:val="center"/>
          </w:tcPr>
          <w:p w14:paraId="10D81024">
            <w:pPr>
              <w:spacing w:line="360" w:lineRule="auto"/>
              <w:jc w:val="center"/>
              <w:rPr>
                <w:rFonts w:hint="eastAsia" w:ascii="仿宋" w:hAnsi="仿宋" w:eastAsia="仿宋" w:cs="仿宋"/>
                <w:color w:val="auto"/>
                <w:sz w:val="24"/>
              </w:rPr>
            </w:pPr>
          </w:p>
        </w:tc>
        <w:tc>
          <w:tcPr>
            <w:tcW w:w="1984" w:type="dxa"/>
            <w:vAlign w:val="center"/>
          </w:tcPr>
          <w:p w14:paraId="0EE34D36">
            <w:pPr>
              <w:spacing w:line="360" w:lineRule="auto"/>
              <w:jc w:val="center"/>
              <w:rPr>
                <w:rFonts w:hint="eastAsia" w:ascii="仿宋" w:hAnsi="仿宋" w:eastAsia="仿宋" w:cs="仿宋"/>
                <w:color w:val="auto"/>
                <w:sz w:val="24"/>
              </w:rPr>
            </w:pPr>
          </w:p>
        </w:tc>
        <w:tc>
          <w:tcPr>
            <w:tcW w:w="3119" w:type="dxa"/>
            <w:vAlign w:val="center"/>
          </w:tcPr>
          <w:p w14:paraId="472B65DC">
            <w:pPr>
              <w:spacing w:line="360" w:lineRule="auto"/>
              <w:jc w:val="center"/>
              <w:rPr>
                <w:rFonts w:hint="eastAsia" w:ascii="仿宋" w:hAnsi="仿宋" w:eastAsia="仿宋" w:cs="仿宋"/>
                <w:color w:val="auto"/>
                <w:sz w:val="24"/>
              </w:rPr>
            </w:pPr>
          </w:p>
        </w:tc>
      </w:tr>
      <w:tr w14:paraId="5FD9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C4EFA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14:paraId="2B1C2394">
            <w:pPr>
              <w:snapToGrid w:val="0"/>
              <w:spacing w:line="360" w:lineRule="auto"/>
              <w:jc w:val="center"/>
              <w:rPr>
                <w:rFonts w:hint="eastAsia" w:ascii="仿宋" w:hAnsi="仿宋" w:eastAsia="仿宋" w:cs="仿宋"/>
                <w:color w:val="auto"/>
                <w:sz w:val="24"/>
              </w:rPr>
            </w:pPr>
          </w:p>
        </w:tc>
        <w:tc>
          <w:tcPr>
            <w:tcW w:w="1843" w:type="dxa"/>
            <w:vAlign w:val="center"/>
          </w:tcPr>
          <w:p w14:paraId="035167C5">
            <w:pPr>
              <w:snapToGrid w:val="0"/>
              <w:spacing w:line="360" w:lineRule="auto"/>
              <w:jc w:val="center"/>
              <w:rPr>
                <w:rFonts w:hint="eastAsia" w:ascii="仿宋" w:hAnsi="仿宋" w:eastAsia="仿宋" w:cs="仿宋"/>
                <w:color w:val="auto"/>
                <w:sz w:val="24"/>
              </w:rPr>
            </w:pPr>
          </w:p>
        </w:tc>
        <w:tc>
          <w:tcPr>
            <w:tcW w:w="3118" w:type="dxa"/>
            <w:vAlign w:val="center"/>
          </w:tcPr>
          <w:p w14:paraId="13A0D48E">
            <w:pPr>
              <w:snapToGrid w:val="0"/>
              <w:spacing w:line="360" w:lineRule="auto"/>
              <w:jc w:val="center"/>
              <w:rPr>
                <w:rFonts w:hint="eastAsia" w:ascii="仿宋" w:hAnsi="仿宋" w:eastAsia="仿宋" w:cs="仿宋"/>
                <w:color w:val="auto"/>
                <w:sz w:val="24"/>
              </w:rPr>
            </w:pPr>
          </w:p>
        </w:tc>
        <w:tc>
          <w:tcPr>
            <w:tcW w:w="993" w:type="dxa"/>
            <w:vAlign w:val="center"/>
          </w:tcPr>
          <w:p w14:paraId="1E0F84F5">
            <w:pPr>
              <w:snapToGrid w:val="0"/>
              <w:spacing w:line="360" w:lineRule="auto"/>
              <w:jc w:val="center"/>
              <w:rPr>
                <w:rFonts w:hint="eastAsia" w:ascii="仿宋" w:hAnsi="仿宋" w:eastAsia="仿宋" w:cs="仿宋"/>
                <w:color w:val="auto"/>
                <w:sz w:val="24"/>
              </w:rPr>
            </w:pPr>
          </w:p>
        </w:tc>
        <w:tc>
          <w:tcPr>
            <w:tcW w:w="1559" w:type="dxa"/>
            <w:vAlign w:val="center"/>
          </w:tcPr>
          <w:p w14:paraId="2D02A565">
            <w:pPr>
              <w:spacing w:line="360" w:lineRule="auto"/>
              <w:jc w:val="center"/>
              <w:rPr>
                <w:rFonts w:hint="eastAsia" w:ascii="仿宋" w:hAnsi="仿宋" w:eastAsia="仿宋" w:cs="仿宋"/>
                <w:color w:val="auto"/>
                <w:sz w:val="24"/>
              </w:rPr>
            </w:pPr>
          </w:p>
        </w:tc>
        <w:tc>
          <w:tcPr>
            <w:tcW w:w="1984" w:type="dxa"/>
            <w:vAlign w:val="center"/>
          </w:tcPr>
          <w:p w14:paraId="59BBFC58">
            <w:pPr>
              <w:spacing w:line="360" w:lineRule="auto"/>
              <w:jc w:val="center"/>
              <w:rPr>
                <w:rFonts w:hint="eastAsia" w:ascii="仿宋" w:hAnsi="仿宋" w:eastAsia="仿宋" w:cs="仿宋"/>
                <w:color w:val="auto"/>
                <w:sz w:val="24"/>
              </w:rPr>
            </w:pPr>
          </w:p>
        </w:tc>
        <w:tc>
          <w:tcPr>
            <w:tcW w:w="3119" w:type="dxa"/>
            <w:vAlign w:val="center"/>
          </w:tcPr>
          <w:p w14:paraId="4FBC7389">
            <w:pPr>
              <w:spacing w:line="360" w:lineRule="auto"/>
              <w:jc w:val="center"/>
              <w:rPr>
                <w:rFonts w:hint="eastAsia" w:ascii="仿宋" w:hAnsi="仿宋" w:eastAsia="仿宋" w:cs="仿宋"/>
                <w:color w:val="auto"/>
                <w:sz w:val="24"/>
              </w:rPr>
            </w:pPr>
          </w:p>
        </w:tc>
      </w:tr>
      <w:tr w14:paraId="2C4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BB5B78B">
            <w:pPr>
              <w:spacing w:line="360" w:lineRule="auto"/>
              <w:jc w:val="center"/>
              <w:rPr>
                <w:rFonts w:hint="eastAsia" w:ascii="仿宋" w:hAnsi="仿宋" w:eastAsia="仿宋" w:cs="仿宋"/>
                <w:color w:val="auto"/>
                <w:sz w:val="24"/>
              </w:rPr>
            </w:pPr>
          </w:p>
        </w:tc>
        <w:tc>
          <w:tcPr>
            <w:tcW w:w="1417" w:type="dxa"/>
            <w:vAlign w:val="center"/>
          </w:tcPr>
          <w:p w14:paraId="17A7212A">
            <w:pPr>
              <w:snapToGrid w:val="0"/>
              <w:spacing w:line="360" w:lineRule="auto"/>
              <w:jc w:val="center"/>
              <w:rPr>
                <w:rFonts w:hint="eastAsia" w:ascii="仿宋" w:hAnsi="仿宋" w:eastAsia="仿宋" w:cs="仿宋"/>
                <w:color w:val="auto"/>
                <w:sz w:val="24"/>
              </w:rPr>
            </w:pPr>
          </w:p>
        </w:tc>
        <w:tc>
          <w:tcPr>
            <w:tcW w:w="1843" w:type="dxa"/>
            <w:vAlign w:val="center"/>
          </w:tcPr>
          <w:p w14:paraId="6EA186C7">
            <w:pPr>
              <w:snapToGrid w:val="0"/>
              <w:spacing w:line="360" w:lineRule="auto"/>
              <w:jc w:val="center"/>
              <w:rPr>
                <w:rFonts w:hint="eastAsia" w:ascii="仿宋" w:hAnsi="仿宋" w:eastAsia="仿宋" w:cs="仿宋"/>
                <w:color w:val="auto"/>
                <w:sz w:val="24"/>
              </w:rPr>
            </w:pPr>
          </w:p>
        </w:tc>
        <w:tc>
          <w:tcPr>
            <w:tcW w:w="3118" w:type="dxa"/>
            <w:vAlign w:val="center"/>
          </w:tcPr>
          <w:p w14:paraId="6073204D">
            <w:pPr>
              <w:snapToGrid w:val="0"/>
              <w:spacing w:line="360" w:lineRule="auto"/>
              <w:jc w:val="center"/>
              <w:rPr>
                <w:rFonts w:hint="eastAsia" w:ascii="仿宋" w:hAnsi="仿宋" w:eastAsia="仿宋" w:cs="仿宋"/>
                <w:color w:val="auto"/>
                <w:sz w:val="24"/>
              </w:rPr>
            </w:pPr>
          </w:p>
        </w:tc>
        <w:tc>
          <w:tcPr>
            <w:tcW w:w="993" w:type="dxa"/>
            <w:vAlign w:val="center"/>
          </w:tcPr>
          <w:p w14:paraId="3A6428DB">
            <w:pPr>
              <w:snapToGrid w:val="0"/>
              <w:spacing w:line="360" w:lineRule="auto"/>
              <w:jc w:val="center"/>
              <w:rPr>
                <w:rFonts w:hint="eastAsia" w:ascii="仿宋" w:hAnsi="仿宋" w:eastAsia="仿宋" w:cs="仿宋"/>
                <w:color w:val="auto"/>
                <w:sz w:val="24"/>
              </w:rPr>
            </w:pPr>
          </w:p>
        </w:tc>
        <w:tc>
          <w:tcPr>
            <w:tcW w:w="1559" w:type="dxa"/>
            <w:vAlign w:val="center"/>
          </w:tcPr>
          <w:p w14:paraId="1724DF0B">
            <w:pPr>
              <w:spacing w:line="360" w:lineRule="auto"/>
              <w:jc w:val="center"/>
              <w:rPr>
                <w:rFonts w:hint="eastAsia" w:ascii="仿宋" w:hAnsi="仿宋" w:eastAsia="仿宋" w:cs="仿宋"/>
                <w:color w:val="auto"/>
                <w:sz w:val="24"/>
              </w:rPr>
            </w:pPr>
          </w:p>
        </w:tc>
        <w:tc>
          <w:tcPr>
            <w:tcW w:w="1984" w:type="dxa"/>
            <w:vAlign w:val="center"/>
          </w:tcPr>
          <w:p w14:paraId="0B455C9C">
            <w:pPr>
              <w:spacing w:line="360" w:lineRule="auto"/>
              <w:jc w:val="center"/>
              <w:rPr>
                <w:rFonts w:hint="eastAsia" w:ascii="仿宋" w:hAnsi="仿宋" w:eastAsia="仿宋" w:cs="仿宋"/>
                <w:color w:val="auto"/>
                <w:sz w:val="24"/>
              </w:rPr>
            </w:pPr>
          </w:p>
        </w:tc>
        <w:tc>
          <w:tcPr>
            <w:tcW w:w="3119" w:type="dxa"/>
            <w:vAlign w:val="center"/>
          </w:tcPr>
          <w:p w14:paraId="26B4982C">
            <w:pPr>
              <w:spacing w:line="360" w:lineRule="auto"/>
              <w:jc w:val="center"/>
              <w:rPr>
                <w:rFonts w:hint="eastAsia" w:ascii="仿宋" w:hAnsi="仿宋" w:eastAsia="仿宋" w:cs="仿宋"/>
                <w:color w:val="auto"/>
                <w:sz w:val="24"/>
              </w:rPr>
            </w:pPr>
          </w:p>
        </w:tc>
      </w:tr>
      <w:tr w14:paraId="65E4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C48B956">
            <w:pPr>
              <w:spacing w:line="360" w:lineRule="auto"/>
              <w:jc w:val="center"/>
              <w:rPr>
                <w:rFonts w:hint="eastAsia" w:ascii="仿宋" w:hAnsi="仿宋" w:eastAsia="仿宋" w:cs="仿宋"/>
                <w:color w:val="auto"/>
                <w:sz w:val="24"/>
              </w:rPr>
            </w:pPr>
          </w:p>
        </w:tc>
        <w:tc>
          <w:tcPr>
            <w:tcW w:w="1417" w:type="dxa"/>
            <w:vAlign w:val="center"/>
          </w:tcPr>
          <w:p w14:paraId="559AE963">
            <w:pPr>
              <w:snapToGrid w:val="0"/>
              <w:spacing w:line="360" w:lineRule="auto"/>
              <w:jc w:val="center"/>
              <w:rPr>
                <w:rFonts w:hint="eastAsia" w:ascii="仿宋" w:hAnsi="仿宋" w:eastAsia="仿宋" w:cs="仿宋"/>
                <w:color w:val="auto"/>
                <w:sz w:val="24"/>
              </w:rPr>
            </w:pPr>
          </w:p>
        </w:tc>
        <w:tc>
          <w:tcPr>
            <w:tcW w:w="1843" w:type="dxa"/>
            <w:vAlign w:val="center"/>
          </w:tcPr>
          <w:p w14:paraId="41B2DA0A">
            <w:pPr>
              <w:snapToGrid w:val="0"/>
              <w:spacing w:line="360" w:lineRule="auto"/>
              <w:jc w:val="center"/>
              <w:rPr>
                <w:rFonts w:hint="eastAsia" w:ascii="仿宋" w:hAnsi="仿宋" w:eastAsia="仿宋" w:cs="仿宋"/>
                <w:color w:val="auto"/>
                <w:sz w:val="24"/>
              </w:rPr>
            </w:pPr>
          </w:p>
        </w:tc>
        <w:tc>
          <w:tcPr>
            <w:tcW w:w="3118" w:type="dxa"/>
            <w:vAlign w:val="center"/>
          </w:tcPr>
          <w:p w14:paraId="772FDE37">
            <w:pPr>
              <w:snapToGrid w:val="0"/>
              <w:spacing w:line="360" w:lineRule="auto"/>
              <w:jc w:val="center"/>
              <w:rPr>
                <w:rFonts w:hint="eastAsia" w:ascii="仿宋" w:hAnsi="仿宋" w:eastAsia="仿宋" w:cs="仿宋"/>
                <w:color w:val="auto"/>
                <w:sz w:val="24"/>
              </w:rPr>
            </w:pPr>
          </w:p>
        </w:tc>
        <w:tc>
          <w:tcPr>
            <w:tcW w:w="993" w:type="dxa"/>
            <w:vAlign w:val="center"/>
          </w:tcPr>
          <w:p w14:paraId="2804699E">
            <w:pPr>
              <w:snapToGrid w:val="0"/>
              <w:spacing w:line="360" w:lineRule="auto"/>
              <w:jc w:val="center"/>
              <w:rPr>
                <w:rFonts w:hint="eastAsia" w:ascii="仿宋" w:hAnsi="仿宋" w:eastAsia="仿宋" w:cs="仿宋"/>
                <w:color w:val="auto"/>
                <w:sz w:val="24"/>
              </w:rPr>
            </w:pPr>
          </w:p>
        </w:tc>
        <w:tc>
          <w:tcPr>
            <w:tcW w:w="1559" w:type="dxa"/>
            <w:vAlign w:val="center"/>
          </w:tcPr>
          <w:p w14:paraId="1B29D6F2">
            <w:pPr>
              <w:spacing w:line="360" w:lineRule="auto"/>
              <w:jc w:val="center"/>
              <w:rPr>
                <w:rFonts w:hint="eastAsia" w:ascii="仿宋" w:hAnsi="仿宋" w:eastAsia="仿宋" w:cs="仿宋"/>
                <w:color w:val="auto"/>
                <w:sz w:val="24"/>
              </w:rPr>
            </w:pPr>
          </w:p>
        </w:tc>
        <w:tc>
          <w:tcPr>
            <w:tcW w:w="1984" w:type="dxa"/>
            <w:vAlign w:val="center"/>
          </w:tcPr>
          <w:p w14:paraId="141356A6">
            <w:pPr>
              <w:spacing w:line="360" w:lineRule="auto"/>
              <w:jc w:val="center"/>
              <w:rPr>
                <w:rFonts w:hint="eastAsia" w:ascii="仿宋" w:hAnsi="仿宋" w:eastAsia="仿宋" w:cs="仿宋"/>
                <w:color w:val="auto"/>
                <w:sz w:val="24"/>
              </w:rPr>
            </w:pPr>
          </w:p>
        </w:tc>
        <w:tc>
          <w:tcPr>
            <w:tcW w:w="3119" w:type="dxa"/>
            <w:vAlign w:val="center"/>
          </w:tcPr>
          <w:p w14:paraId="588EB0EF">
            <w:pPr>
              <w:spacing w:line="360" w:lineRule="auto"/>
              <w:jc w:val="center"/>
              <w:rPr>
                <w:rFonts w:hint="eastAsia" w:ascii="仿宋" w:hAnsi="仿宋" w:eastAsia="仿宋" w:cs="仿宋"/>
                <w:color w:val="auto"/>
                <w:sz w:val="24"/>
              </w:rPr>
            </w:pPr>
          </w:p>
        </w:tc>
      </w:tr>
      <w:tr w14:paraId="78E0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F4CB55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响应报价（小写）</w:t>
            </w:r>
          </w:p>
        </w:tc>
        <w:tc>
          <w:tcPr>
            <w:tcW w:w="7655" w:type="dxa"/>
            <w:gridSpan w:val="4"/>
            <w:vAlign w:val="center"/>
          </w:tcPr>
          <w:p w14:paraId="5BAD5A58">
            <w:pPr>
              <w:spacing w:line="360" w:lineRule="auto"/>
              <w:jc w:val="center"/>
              <w:rPr>
                <w:rFonts w:hint="eastAsia" w:ascii="仿宋" w:hAnsi="仿宋" w:eastAsia="仿宋" w:cs="仿宋"/>
                <w:color w:val="auto"/>
                <w:sz w:val="24"/>
              </w:rPr>
            </w:pPr>
          </w:p>
        </w:tc>
      </w:tr>
      <w:tr w14:paraId="4233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99E25A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响应报价（大写）</w:t>
            </w:r>
          </w:p>
        </w:tc>
        <w:tc>
          <w:tcPr>
            <w:tcW w:w="7655" w:type="dxa"/>
            <w:gridSpan w:val="4"/>
            <w:vAlign w:val="center"/>
          </w:tcPr>
          <w:p w14:paraId="73B9B1B3">
            <w:pPr>
              <w:spacing w:line="360" w:lineRule="auto"/>
              <w:jc w:val="center"/>
              <w:rPr>
                <w:rFonts w:hint="eastAsia" w:ascii="仿宋" w:hAnsi="仿宋" w:eastAsia="仿宋" w:cs="仿宋"/>
                <w:color w:val="auto"/>
                <w:sz w:val="24"/>
              </w:rPr>
            </w:pPr>
          </w:p>
        </w:tc>
      </w:tr>
    </w:tbl>
    <w:p w14:paraId="488CDE02">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421AE958">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1、供应商须按本表格式填写，不得自行更改。</w:t>
      </w:r>
    </w:p>
    <w:p w14:paraId="5FDA2D0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响应文件含有采购人不能接受的附加条件的，交易无效</w:t>
      </w:r>
      <w:r>
        <w:rPr>
          <w:rFonts w:hint="eastAsia" w:ascii="仿宋" w:hAnsi="仿宋" w:eastAsia="仿宋" w:cs="仿宋"/>
          <w:b/>
          <w:color w:val="auto"/>
          <w:kern w:val="0"/>
          <w:sz w:val="24"/>
          <w:lang w:val="zh-CN"/>
        </w:rPr>
        <w:t>；采购内容未包含在《交易一览表（报价表）》名称栏中，供应商不能作出合理解释的，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响应文件含有采购人不能接受的附加条件的，交易无效。</w:t>
      </w:r>
    </w:p>
    <w:p w14:paraId="5AAC99DE">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3、以上表格要求细分项目及报价，在“规格型号（或具体服务）”一栏中，货物类项目填写规格型号，服务类项目填写具体服务。</w:t>
      </w:r>
    </w:p>
    <w:p w14:paraId="27E1AC1E">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4、特别提示：采购机构将对项目名称和项目编号，成交供应商名称、地址和成交金额，主要成交标的的名称、规格型号、数量、单价、服务要求等予以公示。</w:t>
      </w:r>
    </w:p>
    <w:p w14:paraId="31A09AF1">
      <w:pPr>
        <w:spacing w:line="360" w:lineRule="auto"/>
        <w:ind w:firstLine="482" w:firstLineChars="200"/>
        <w:rPr>
          <w:rFonts w:hint="eastAsia" w:ascii="仿宋" w:hAnsi="仿宋" w:eastAsia="仿宋" w:cs="仿宋"/>
          <w:b/>
          <w:color w:val="auto"/>
          <w:kern w:val="0"/>
          <w:sz w:val="24"/>
        </w:rPr>
      </w:pPr>
    </w:p>
    <w:p w14:paraId="42FD40DD">
      <w:pPr>
        <w:pStyle w:val="3"/>
        <w:spacing w:line="360" w:lineRule="auto"/>
        <w:rPr>
          <w:rFonts w:hint="eastAsia" w:cs="仿宋"/>
          <w:color w:val="auto"/>
        </w:rPr>
        <w:sectPr>
          <w:pgSz w:w="16838" w:h="11906" w:orient="landscape"/>
          <w:pgMar w:top="1803" w:right="1440" w:bottom="1701" w:left="1440" w:header="851" w:footer="992" w:gutter="0"/>
          <w:cols w:space="0" w:num="1"/>
          <w:rtlGutter w:val="0"/>
          <w:docGrid w:type="lines" w:linePitch="336" w:charSpace="0"/>
        </w:sectPr>
      </w:pPr>
    </w:p>
    <w:p w14:paraId="0239EE51">
      <w:pPr>
        <w:pStyle w:val="3"/>
        <w:spacing w:line="360" w:lineRule="auto"/>
        <w:jc w:val="left"/>
        <w:rPr>
          <w:rFonts w:cs="仿宋"/>
          <w:color w:val="auto"/>
        </w:rPr>
      </w:pPr>
      <w:r>
        <w:rPr>
          <w:rFonts w:hint="eastAsia" w:cs="仿宋"/>
          <w:color w:val="auto"/>
        </w:rPr>
        <w:t>附件</w:t>
      </w:r>
      <w:r>
        <w:rPr>
          <w:rFonts w:hint="eastAsia" w:cs="仿宋"/>
          <w:color w:val="auto"/>
          <w:lang w:val="en-US" w:eastAsia="zh-CN"/>
        </w:rPr>
        <w:t>1</w:t>
      </w:r>
      <w:r>
        <w:rPr>
          <w:rFonts w:hint="eastAsia" w:cs="仿宋"/>
          <w:color w:val="auto"/>
        </w:rPr>
        <w:t>：质疑函范本及制作说明</w:t>
      </w:r>
    </w:p>
    <w:p w14:paraId="0FC1B028">
      <w:pPr>
        <w:spacing w:line="360" w:lineRule="auto"/>
        <w:jc w:val="center"/>
        <w:rPr>
          <w:rFonts w:cs="仿宋"/>
          <w:b/>
          <w:color w:val="auto"/>
          <w:spacing w:val="6"/>
          <w:sz w:val="32"/>
          <w:szCs w:val="32"/>
        </w:rPr>
      </w:pPr>
      <w:r>
        <w:rPr>
          <w:rFonts w:hint="eastAsia" w:cs="仿宋"/>
          <w:b/>
          <w:color w:val="auto"/>
          <w:spacing w:val="6"/>
          <w:sz w:val="32"/>
          <w:szCs w:val="32"/>
        </w:rPr>
        <w:t>质疑函范本</w:t>
      </w:r>
    </w:p>
    <w:p w14:paraId="24920986">
      <w:pPr>
        <w:pStyle w:val="72"/>
        <w:rPr>
          <w:rFonts w:cs="仿宋"/>
          <w:color w:val="auto"/>
        </w:rPr>
      </w:pPr>
      <w:r>
        <w:rPr>
          <w:rFonts w:hint="eastAsia" w:cs="仿宋"/>
          <w:color w:val="auto"/>
        </w:rPr>
        <w:t>一、质疑供应商基本信息</w:t>
      </w:r>
    </w:p>
    <w:p w14:paraId="1B8D0737">
      <w:pPr>
        <w:pStyle w:val="72"/>
        <w:rPr>
          <w:rFonts w:cs="仿宋"/>
          <w:color w:val="auto"/>
          <w:u w:val="dotted"/>
        </w:rPr>
      </w:pPr>
      <w:r>
        <w:rPr>
          <w:rFonts w:hint="eastAsia" w:cs="仿宋"/>
          <w:color w:val="auto"/>
        </w:rPr>
        <w:t>质疑供应商：</w:t>
      </w:r>
    </w:p>
    <w:p w14:paraId="4EB91EA8">
      <w:pPr>
        <w:pStyle w:val="72"/>
        <w:rPr>
          <w:rFonts w:cs="仿宋"/>
          <w:color w:val="auto"/>
        </w:rPr>
      </w:pPr>
      <w:r>
        <w:rPr>
          <w:rFonts w:hint="eastAsia" w:cs="仿宋"/>
          <w:color w:val="auto"/>
        </w:rPr>
        <w:t>地址：邮编：</w:t>
      </w:r>
    </w:p>
    <w:p w14:paraId="479986B9">
      <w:pPr>
        <w:pStyle w:val="72"/>
        <w:rPr>
          <w:rFonts w:cs="仿宋"/>
          <w:color w:val="auto"/>
        </w:rPr>
      </w:pPr>
      <w:r>
        <w:rPr>
          <w:rFonts w:hint="eastAsia" w:cs="仿宋"/>
          <w:color w:val="auto"/>
        </w:rPr>
        <w:t>联系人：联系电话：</w:t>
      </w:r>
    </w:p>
    <w:p w14:paraId="5579F0AD">
      <w:pPr>
        <w:pStyle w:val="72"/>
        <w:rPr>
          <w:rFonts w:cs="仿宋"/>
          <w:color w:val="auto"/>
          <w:u w:val="dotted"/>
        </w:rPr>
      </w:pPr>
      <w:r>
        <w:rPr>
          <w:rFonts w:hint="eastAsia" w:cs="仿宋"/>
          <w:color w:val="auto"/>
        </w:rPr>
        <w:t>授权代表：</w:t>
      </w:r>
    </w:p>
    <w:p w14:paraId="6E701613">
      <w:pPr>
        <w:pStyle w:val="72"/>
        <w:rPr>
          <w:rFonts w:cs="仿宋"/>
          <w:color w:val="auto"/>
        </w:rPr>
      </w:pPr>
      <w:r>
        <w:rPr>
          <w:rFonts w:hint="eastAsia" w:cs="仿宋"/>
          <w:color w:val="auto"/>
        </w:rPr>
        <w:t>联系电话：</w:t>
      </w:r>
    </w:p>
    <w:p w14:paraId="36E3D77A">
      <w:pPr>
        <w:pStyle w:val="72"/>
        <w:rPr>
          <w:rFonts w:cs="仿宋"/>
          <w:color w:val="auto"/>
        </w:rPr>
      </w:pPr>
      <w:r>
        <w:rPr>
          <w:rFonts w:hint="eastAsia" w:cs="仿宋"/>
          <w:color w:val="auto"/>
        </w:rPr>
        <w:t>地址： 邮编：</w:t>
      </w:r>
    </w:p>
    <w:p w14:paraId="2AB71A04">
      <w:pPr>
        <w:pStyle w:val="72"/>
        <w:rPr>
          <w:rFonts w:cs="仿宋"/>
          <w:color w:val="auto"/>
        </w:rPr>
      </w:pPr>
      <w:r>
        <w:rPr>
          <w:rFonts w:hint="eastAsia" w:cs="仿宋"/>
          <w:color w:val="auto"/>
        </w:rPr>
        <w:t>二、质疑项目基本情况</w:t>
      </w:r>
    </w:p>
    <w:p w14:paraId="6E0108C5">
      <w:pPr>
        <w:pStyle w:val="72"/>
        <w:rPr>
          <w:rFonts w:cs="仿宋"/>
          <w:color w:val="auto"/>
        </w:rPr>
      </w:pPr>
      <w:r>
        <w:rPr>
          <w:rFonts w:hint="eastAsia" w:cs="仿宋"/>
          <w:color w:val="auto"/>
        </w:rPr>
        <w:t>质疑项目的名称：</w:t>
      </w:r>
    </w:p>
    <w:p w14:paraId="199E1392">
      <w:pPr>
        <w:pStyle w:val="72"/>
        <w:rPr>
          <w:rFonts w:cs="仿宋"/>
          <w:color w:val="auto"/>
        </w:rPr>
      </w:pPr>
      <w:r>
        <w:rPr>
          <w:rFonts w:hint="eastAsia" w:cs="仿宋"/>
          <w:color w:val="auto"/>
        </w:rPr>
        <w:t>质疑项目的编号：包号：</w:t>
      </w:r>
    </w:p>
    <w:p w14:paraId="54F1D922">
      <w:pPr>
        <w:pStyle w:val="72"/>
        <w:rPr>
          <w:rFonts w:cs="仿宋"/>
          <w:color w:val="auto"/>
          <w:u w:val="dotted"/>
        </w:rPr>
      </w:pPr>
      <w:r>
        <w:rPr>
          <w:rFonts w:hint="eastAsia" w:cs="仿宋"/>
          <w:color w:val="auto"/>
          <w:lang w:eastAsia="zh-CN"/>
        </w:rPr>
        <w:t>交易发起人</w:t>
      </w:r>
      <w:r>
        <w:rPr>
          <w:rFonts w:hint="eastAsia" w:cs="仿宋"/>
          <w:color w:val="auto"/>
        </w:rPr>
        <w:t>名称：</w:t>
      </w:r>
    </w:p>
    <w:p w14:paraId="1E2A681E">
      <w:pPr>
        <w:pStyle w:val="72"/>
        <w:rPr>
          <w:rFonts w:cs="仿宋"/>
          <w:color w:val="auto"/>
        </w:rPr>
      </w:pPr>
      <w:r>
        <w:rPr>
          <w:rFonts w:hint="eastAsia" w:cs="仿宋"/>
          <w:color w:val="auto"/>
        </w:rPr>
        <w:t>采购文件获取日期：</w:t>
      </w:r>
    </w:p>
    <w:p w14:paraId="760DF586">
      <w:pPr>
        <w:pStyle w:val="72"/>
        <w:rPr>
          <w:rFonts w:cs="仿宋"/>
          <w:color w:val="auto"/>
        </w:rPr>
      </w:pPr>
      <w:r>
        <w:rPr>
          <w:rFonts w:hint="eastAsia" w:cs="仿宋"/>
          <w:color w:val="auto"/>
        </w:rPr>
        <w:t>三、质疑事项具体内容</w:t>
      </w:r>
    </w:p>
    <w:p w14:paraId="3848FB5D">
      <w:pPr>
        <w:pStyle w:val="72"/>
        <w:rPr>
          <w:rFonts w:cs="仿宋"/>
          <w:color w:val="auto"/>
          <w:u w:val="dotted"/>
        </w:rPr>
      </w:pPr>
      <w:r>
        <w:rPr>
          <w:rFonts w:hint="eastAsia" w:cs="仿宋"/>
          <w:color w:val="auto"/>
        </w:rPr>
        <w:t>质疑事项1：</w:t>
      </w:r>
    </w:p>
    <w:p w14:paraId="70F3B742">
      <w:pPr>
        <w:pStyle w:val="72"/>
        <w:rPr>
          <w:rFonts w:cs="仿宋"/>
          <w:color w:val="auto"/>
          <w:u w:val="dotted"/>
        </w:rPr>
      </w:pPr>
      <w:r>
        <w:rPr>
          <w:rFonts w:hint="eastAsia" w:cs="仿宋"/>
          <w:color w:val="auto"/>
        </w:rPr>
        <w:t>事实依据：</w:t>
      </w:r>
    </w:p>
    <w:p w14:paraId="6BE1BD6D">
      <w:pPr>
        <w:pStyle w:val="72"/>
        <w:rPr>
          <w:rFonts w:cs="仿宋"/>
          <w:color w:val="auto"/>
        </w:rPr>
      </w:pPr>
    </w:p>
    <w:p w14:paraId="3D83EC79">
      <w:pPr>
        <w:pStyle w:val="72"/>
        <w:rPr>
          <w:rFonts w:cs="仿宋"/>
          <w:color w:val="auto"/>
          <w:u w:val="dotted"/>
        </w:rPr>
      </w:pPr>
      <w:r>
        <w:rPr>
          <w:rFonts w:hint="eastAsia" w:cs="仿宋"/>
          <w:color w:val="auto"/>
        </w:rPr>
        <w:t>法律依据：</w:t>
      </w:r>
    </w:p>
    <w:p w14:paraId="48E205CB">
      <w:pPr>
        <w:pStyle w:val="72"/>
        <w:rPr>
          <w:rFonts w:cs="仿宋"/>
          <w:color w:val="auto"/>
          <w:u w:val="dotted"/>
        </w:rPr>
      </w:pPr>
    </w:p>
    <w:p w14:paraId="12944351">
      <w:pPr>
        <w:pStyle w:val="72"/>
        <w:rPr>
          <w:rFonts w:cs="仿宋"/>
          <w:color w:val="auto"/>
          <w:u w:val="dotted"/>
        </w:rPr>
      </w:pPr>
      <w:r>
        <w:rPr>
          <w:rFonts w:hint="eastAsia" w:cs="仿宋"/>
          <w:color w:val="auto"/>
        </w:rPr>
        <w:t>质疑事项2</w:t>
      </w:r>
    </w:p>
    <w:p w14:paraId="7C6D82E7">
      <w:pPr>
        <w:pStyle w:val="72"/>
        <w:rPr>
          <w:rFonts w:cs="仿宋"/>
          <w:color w:val="auto"/>
        </w:rPr>
      </w:pPr>
      <w:r>
        <w:rPr>
          <w:rFonts w:hint="eastAsia" w:cs="仿宋"/>
          <w:color w:val="auto"/>
        </w:rPr>
        <w:t>……</w:t>
      </w:r>
    </w:p>
    <w:p w14:paraId="26847ABC">
      <w:pPr>
        <w:pStyle w:val="72"/>
        <w:rPr>
          <w:rFonts w:cs="仿宋"/>
          <w:color w:val="auto"/>
        </w:rPr>
      </w:pPr>
      <w:r>
        <w:rPr>
          <w:rFonts w:hint="eastAsia" w:cs="仿宋"/>
          <w:color w:val="auto"/>
        </w:rPr>
        <w:t>四、与质疑事项相关的质疑请求</w:t>
      </w:r>
    </w:p>
    <w:p w14:paraId="473C287C">
      <w:pPr>
        <w:pStyle w:val="72"/>
        <w:rPr>
          <w:rFonts w:cs="仿宋"/>
          <w:color w:val="auto"/>
          <w:u w:val="dotted"/>
        </w:rPr>
      </w:pPr>
      <w:r>
        <w:rPr>
          <w:rFonts w:hint="eastAsia" w:cs="仿宋"/>
          <w:color w:val="auto"/>
        </w:rPr>
        <w:t>请求：</w:t>
      </w:r>
    </w:p>
    <w:p w14:paraId="3E99FDFB">
      <w:pPr>
        <w:pStyle w:val="72"/>
        <w:rPr>
          <w:rFonts w:cs="仿宋"/>
          <w:color w:val="auto"/>
        </w:rPr>
      </w:pPr>
      <w:r>
        <w:rPr>
          <w:rFonts w:hint="eastAsia" w:cs="仿宋"/>
          <w:color w:val="auto"/>
        </w:rPr>
        <w:t xml:space="preserve">签字(签章)：                   公章：                      </w:t>
      </w:r>
    </w:p>
    <w:p w14:paraId="2422B49B">
      <w:pPr>
        <w:pStyle w:val="72"/>
        <w:rPr>
          <w:rFonts w:cs="仿宋"/>
          <w:color w:val="auto"/>
        </w:rPr>
      </w:pPr>
      <w:r>
        <w:rPr>
          <w:rFonts w:hint="eastAsia" w:cs="仿宋"/>
          <w:color w:val="auto"/>
        </w:rPr>
        <w:t xml:space="preserve">日期：    </w:t>
      </w:r>
    </w:p>
    <w:p w14:paraId="1B1E1B59">
      <w:pPr>
        <w:spacing w:line="360" w:lineRule="auto"/>
        <w:rPr>
          <w:rFonts w:cs="仿宋"/>
          <w:b/>
          <w:color w:val="auto"/>
        </w:rPr>
      </w:pPr>
      <w:r>
        <w:rPr>
          <w:rFonts w:hint="eastAsia" w:cs="仿宋"/>
          <w:b/>
          <w:color w:val="auto"/>
        </w:rPr>
        <w:t>质疑函制作说明：</w:t>
      </w:r>
    </w:p>
    <w:p w14:paraId="2C8E9C34">
      <w:pPr>
        <w:pStyle w:val="72"/>
        <w:rPr>
          <w:rFonts w:cs="仿宋"/>
          <w:color w:val="auto"/>
        </w:rPr>
      </w:pPr>
      <w:r>
        <w:rPr>
          <w:rFonts w:hint="eastAsia" w:cs="仿宋"/>
          <w:color w:val="auto"/>
        </w:rPr>
        <w:t>1.供应商提出质疑时，应提交质疑函和必要的证明材料。</w:t>
      </w:r>
    </w:p>
    <w:p w14:paraId="3DDA8599">
      <w:pPr>
        <w:pStyle w:val="72"/>
        <w:rPr>
          <w:rFonts w:cs="仿宋"/>
          <w:color w:val="auto"/>
        </w:rPr>
      </w:pPr>
      <w:r>
        <w:rPr>
          <w:rFonts w:hint="eastAsia" w:cs="仿宋"/>
          <w:color w:val="auto"/>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C7B8160">
      <w:pPr>
        <w:pStyle w:val="72"/>
        <w:rPr>
          <w:rFonts w:cs="仿宋"/>
          <w:color w:val="auto"/>
        </w:rPr>
      </w:pPr>
      <w:r>
        <w:rPr>
          <w:rFonts w:hint="eastAsia" w:cs="仿宋"/>
          <w:color w:val="auto"/>
        </w:rPr>
        <w:t>3.质疑供应商若对项目的某一分包进行质疑，质疑函中应列明具体分包号。</w:t>
      </w:r>
    </w:p>
    <w:p w14:paraId="555690B5">
      <w:pPr>
        <w:pStyle w:val="72"/>
        <w:rPr>
          <w:rFonts w:cs="仿宋"/>
          <w:color w:val="auto"/>
        </w:rPr>
      </w:pPr>
      <w:r>
        <w:rPr>
          <w:rFonts w:hint="eastAsia" w:cs="仿宋"/>
          <w:color w:val="auto"/>
        </w:rPr>
        <w:t>4.质疑函的质疑事项应具体、明确，并有必要的事实依据和法律依据。</w:t>
      </w:r>
    </w:p>
    <w:p w14:paraId="30CAC01E">
      <w:pPr>
        <w:pStyle w:val="72"/>
        <w:rPr>
          <w:rFonts w:cs="仿宋"/>
          <w:color w:val="auto"/>
        </w:rPr>
      </w:pPr>
      <w:r>
        <w:rPr>
          <w:rFonts w:hint="eastAsia" w:cs="仿宋"/>
          <w:color w:val="auto"/>
        </w:rPr>
        <w:t>5.质疑函的质疑请求应与质疑事项相关。</w:t>
      </w:r>
    </w:p>
    <w:p w14:paraId="124904BA">
      <w:pPr>
        <w:pStyle w:val="72"/>
        <w:rPr>
          <w:rFonts w:cs="仿宋"/>
          <w:color w:val="auto"/>
        </w:rPr>
      </w:pPr>
      <w:r>
        <w:rPr>
          <w:rFonts w:hint="eastAsia" w:cs="仿宋"/>
          <w:color w:val="auto"/>
        </w:rPr>
        <w:t>6.质疑供应商为自然人的，质疑函应由本人签字；质疑供应商为法人或者其他组织的，质疑函应由法定代表人、主要负责人，或者其授权代表签字或者盖章，并加盖公章。</w:t>
      </w:r>
    </w:p>
    <w:p w14:paraId="1E321A54">
      <w:pPr>
        <w:spacing w:line="360" w:lineRule="auto"/>
        <w:ind w:firstLine="600" w:firstLineChars="200"/>
        <w:rPr>
          <w:rFonts w:cs="仿宋"/>
          <w:color w:val="auto"/>
          <w:sz w:val="30"/>
          <w:szCs w:val="30"/>
        </w:rPr>
      </w:pPr>
    </w:p>
    <w:p w14:paraId="012495CD">
      <w:pPr>
        <w:spacing w:line="360" w:lineRule="auto"/>
        <w:jc w:val="center"/>
        <w:rPr>
          <w:rFonts w:cs="仿宋"/>
          <w:b/>
          <w:color w:val="auto"/>
          <w:spacing w:val="6"/>
          <w:sz w:val="32"/>
          <w:szCs w:val="32"/>
        </w:rPr>
      </w:pPr>
    </w:p>
    <w:p w14:paraId="74C78FE6">
      <w:pPr>
        <w:pStyle w:val="3"/>
        <w:spacing w:line="360" w:lineRule="auto"/>
        <w:jc w:val="left"/>
        <w:rPr>
          <w:rFonts w:cs="仿宋"/>
          <w:color w:val="auto"/>
        </w:rPr>
      </w:pPr>
      <w:r>
        <w:rPr>
          <w:rFonts w:hint="eastAsia" w:cs="仿宋"/>
          <w:color w:val="auto"/>
        </w:rPr>
        <w:t>附件</w:t>
      </w:r>
      <w:r>
        <w:rPr>
          <w:rFonts w:hint="eastAsia" w:cs="仿宋"/>
          <w:color w:val="auto"/>
          <w:lang w:val="en-US" w:eastAsia="zh-CN"/>
        </w:rPr>
        <w:t>2</w:t>
      </w:r>
      <w:r>
        <w:rPr>
          <w:rFonts w:hint="eastAsia" w:cs="仿宋"/>
          <w:color w:val="auto"/>
        </w:rPr>
        <w:t>：投诉书范本及制作说明</w:t>
      </w:r>
    </w:p>
    <w:p w14:paraId="154A52A0">
      <w:pPr>
        <w:spacing w:line="360" w:lineRule="auto"/>
        <w:jc w:val="center"/>
        <w:rPr>
          <w:rFonts w:cs="仿宋"/>
          <w:b/>
          <w:color w:val="auto"/>
        </w:rPr>
      </w:pPr>
    </w:p>
    <w:p w14:paraId="6A2FF385">
      <w:pPr>
        <w:spacing w:line="360" w:lineRule="auto"/>
        <w:jc w:val="center"/>
        <w:rPr>
          <w:rFonts w:cs="仿宋"/>
          <w:b/>
          <w:color w:val="auto"/>
          <w:spacing w:val="6"/>
          <w:sz w:val="32"/>
          <w:szCs w:val="32"/>
        </w:rPr>
      </w:pPr>
      <w:r>
        <w:rPr>
          <w:rFonts w:hint="eastAsia" w:cs="仿宋"/>
          <w:b/>
          <w:color w:val="auto"/>
          <w:spacing w:val="6"/>
          <w:sz w:val="32"/>
          <w:szCs w:val="32"/>
        </w:rPr>
        <w:t>投诉书范本</w:t>
      </w:r>
    </w:p>
    <w:p w14:paraId="3705E184">
      <w:pPr>
        <w:spacing w:line="360" w:lineRule="auto"/>
        <w:rPr>
          <w:rFonts w:cs="仿宋"/>
          <w:color w:val="auto"/>
        </w:rPr>
      </w:pPr>
      <w:r>
        <w:rPr>
          <w:rFonts w:hint="eastAsia" w:cs="仿宋"/>
          <w:color w:val="auto"/>
        </w:rPr>
        <w:t>一、投诉相关主体基本情况</w:t>
      </w:r>
    </w:p>
    <w:p w14:paraId="1CAF8307">
      <w:pPr>
        <w:spacing w:line="360" w:lineRule="auto"/>
        <w:rPr>
          <w:rFonts w:cs="仿宋"/>
          <w:color w:val="auto"/>
          <w:u w:val="dotted"/>
        </w:rPr>
      </w:pPr>
      <w:r>
        <w:rPr>
          <w:rFonts w:hint="eastAsia" w:cs="仿宋"/>
          <w:color w:val="auto"/>
        </w:rPr>
        <w:t>投诉人：</w:t>
      </w:r>
    </w:p>
    <w:p w14:paraId="53EAF496">
      <w:pPr>
        <w:spacing w:line="360" w:lineRule="auto"/>
        <w:rPr>
          <w:rFonts w:cs="仿宋"/>
          <w:color w:val="auto"/>
          <w:u w:val="single"/>
        </w:rPr>
      </w:pPr>
      <w:r>
        <w:rPr>
          <w:rFonts w:hint="eastAsia" w:cs="仿宋"/>
          <w:color w:val="auto"/>
        </w:rPr>
        <w:t>地     址：邮编：</w:t>
      </w:r>
    </w:p>
    <w:p w14:paraId="346A3630">
      <w:pPr>
        <w:tabs>
          <w:tab w:val="left" w:pos="6510"/>
        </w:tabs>
        <w:spacing w:line="360" w:lineRule="auto"/>
        <w:rPr>
          <w:rFonts w:cs="仿宋"/>
          <w:color w:val="auto"/>
        </w:rPr>
      </w:pPr>
      <w:r>
        <w:rPr>
          <w:rFonts w:hint="eastAsia" w:cs="仿宋"/>
          <w:color w:val="auto"/>
        </w:rPr>
        <w:t>法定代表人/主要负责人：</w:t>
      </w:r>
    </w:p>
    <w:p w14:paraId="50D475E7">
      <w:pPr>
        <w:tabs>
          <w:tab w:val="left" w:pos="6510"/>
        </w:tabs>
        <w:spacing w:line="360" w:lineRule="auto"/>
        <w:rPr>
          <w:rFonts w:cs="仿宋"/>
          <w:color w:val="auto"/>
          <w:u w:val="dotted"/>
        </w:rPr>
      </w:pPr>
      <w:r>
        <w:rPr>
          <w:rFonts w:hint="eastAsia" w:cs="仿宋"/>
          <w:color w:val="auto"/>
        </w:rPr>
        <w:t>联系电话：</w:t>
      </w:r>
    </w:p>
    <w:p w14:paraId="2F282C99">
      <w:pPr>
        <w:spacing w:line="360" w:lineRule="auto"/>
        <w:rPr>
          <w:rFonts w:cs="仿宋"/>
          <w:color w:val="auto"/>
          <w:u w:val="dotted"/>
        </w:rPr>
      </w:pPr>
      <w:r>
        <w:rPr>
          <w:rFonts w:hint="eastAsia" w:cs="仿宋"/>
          <w:color w:val="auto"/>
        </w:rPr>
        <w:t>授权代表：联系电话</w:t>
      </w:r>
      <w:r>
        <w:rPr>
          <w:rFonts w:hint="eastAsia" w:cs="仿宋"/>
          <w:color w:val="auto"/>
          <w:u w:val="dotted"/>
        </w:rPr>
        <w:t xml:space="preserve">：                  </w:t>
      </w:r>
    </w:p>
    <w:p w14:paraId="44A079E5">
      <w:pPr>
        <w:spacing w:line="360" w:lineRule="auto"/>
        <w:rPr>
          <w:rFonts w:cs="仿宋"/>
          <w:color w:val="auto"/>
          <w:u w:val="dotted"/>
        </w:rPr>
      </w:pPr>
      <w:r>
        <w:rPr>
          <w:rFonts w:hint="eastAsia" w:cs="仿宋"/>
          <w:color w:val="auto"/>
        </w:rPr>
        <w:t>地     址：邮编：</w:t>
      </w:r>
    </w:p>
    <w:p w14:paraId="4569C965">
      <w:pPr>
        <w:spacing w:line="360" w:lineRule="auto"/>
        <w:rPr>
          <w:rFonts w:cs="仿宋"/>
          <w:color w:val="auto"/>
          <w:u w:val="single"/>
        </w:rPr>
      </w:pPr>
      <w:r>
        <w:rPr>
          <w:rFonts w:hint="eastAsia" w:cs="仿宋"/>
          <w:color w:val="auto"/>
        </w:rPr>
        <w:t>被投诉人1：</w:t>
      </w:r>
    </w:p>
    <w:p w14:paraId="6FE051C6">
      <w:pPr>
        <w:spacing w:line="360" w:lineRule="auto"/>
        <w:rPr>
          <w:rFonts w:cs="仿宋"/>
          <w:color w:val="auto"/>
          <w:u w:val="single"/>
        </w:rPr>
      </w:pPr>
      <w:r>
        <w:rPr>
          <w:rFonts w:hint="eastAsia" w:cs="仿宋"/>
          <w:color w:val="auto"/>
        </w:rPr>
        <w:t>地     址：邮编：</w:t>
      </w:r>
    </w:p>
    <w:p w14:paraId="3BD142BF">
      <w:pPr>
        <w:spacing w:line="360" w:lineRule="auto"/>
        <w:rPr>
          <w:rFonts w:cs="仿宋"/>
          <w:color w:val="auto"/>
          <w:u w:val="single"/>
        </w:rPr>
      </w:pPr>
      <w:r>
        <w:rPr>
          <w:rFonts w:hint="eastAsia" w:cs="仿宋"/>
          <w:color w:val="auto"/>
        </w:rPr>
        <w:t>联系人：联系电话：</w:t>
      </w:r>
    </w:p>
    <w:p w14:paraId="02FF2272">
      <w:pPr>
        <w:spacing w:line="360" w:lineRule="auto"/>
        <w:rPr>
          <w:rFonts w:cs="仿宋"/>
          <w:color w:val="auto"/>
        </w:rPr>
      </w:pPr>
      <w:r>
        <w:rPr>
          <w:rFonts w:hint="eastAsia" w:cs="仿宋"/>
          <w:color w:val="auto"/>
        </w:rPr>
        <w:t>被投诉人2</w:t>
      </w:r>
    </w:p>
    <w:p w14:paraId="546E6AB4">
      <w:pPr>
        <w:spacing w:line="360" w:lineRule="auto"/>
        <w:rPr>
          <w:rFonts w:cs="仿宋"/>
          <w:color w:val="auto"/>
          <w:u w:val="dotted"/>
        </w:rPr>
      </w:pPr>
      <w:r>
        <w:rPr>
          <w:rFonts w:hint="eastAsia" w:cs="仿宋"/>
          <w:color w:val="auto"/>
        </w:rPr>
        <w:t>……</w:t>
      </w:r>
    </w:p>
    <w:p w14:paraId="75995A6A">
      <w:pPr>
        <w:spacing w:line="360" w:lineRule="auto"/>
        <w:rPr>
          <w:rFonts w:cs="仿宋"/>
          <w:color w:val="auto"/>
          <w:u w:val="single"/>
        </w:rPr>
      </w:pPr>
      <w:r>
        <w:rPr>
          <w:rFonts w:hint="eastAsia" w:cs="仿宋"/>
          <w:color w:val="auto"/>
        </w:rPr>
        <w:t>相关供应商：</w:t>
      </w:r>
    </w:p>
    <w:p w14:paraId="66935C66">
      <w:pPr>
        <w:spacing w:line="360" w:lineRule="auto"/>
        <w:rPr>
          <w:rFonts w:cs="仿宋"/>
          <w:color w:val="auto"/>
          <w:u w:val="single"/>
        </w:rPr>
      </w:pPr>
      <w:r>
        <w:rPr>
          <w:rFonts w:hint="eastAsia" w:cs="仿宋"/>
          <w:color w:val="auto"/>
        </w:rPr>
        <w:t>地     址：邮编：</w:t>
      </w:r>
    </w:p>
    <w:p w14:paraId="1669C938">
      <w:pPr>
        <w:spacing w:line="360" w:lineRule="auto"/>
        <w:rPr>
          <w:rFonts w:cs="仿宋"/>
          <w:color w:val="auto"/>
          <w:u w:val="single"/>
        </w:rPr>
      </w:pPr>
      <w:r>
        <w:rPr>
          <w:rFonts w:hint="eastAsia" w:cs="仿宋"/>
          <w:color w:val="auto"/>
        </w:rPr>
        <w:t>联系人：联系电话：</w:t>
      </w:r>
    </w:p>
    <w:p w14:paraId="632D86C7">
      <w:pPr>
        <w:spacing w:line="360" w:lineRule="auto"/>
        <w:rPr>
          <w:rFonts w:cs="仿宋"/>
          <w:color w:val="auto"/>
        </w:rPr>
      </w:pPr>
      <w:r>
        <w:rPr>
          <w:rFonts w:hint="eastAsia" w:cs="仿宋"/>
          <w:color w:val="auto"/>
        </w:rPr>
        <w:t>二、投诉项目基本情况</w:t>
      </w:r>
    </w:p>
    <w:p w14:paraId="71B2B5D0">
      <w:pPr>
        <w:spacing w:line="360" w:lineRule="auto"/>
        <w:rPr>
          <w:rFonts w:cs="仿宋"/>
          <w:color w:val="auto"/>
          <w:u w:val="dotted"/>
        </w:rPr>
      </w:pPr>
      <w:r>
        <w:rPr>
          <w:rFonts w:hint="eastAsia" w:cs="仿宋"/>
          <w:color w:val="auto"/>
        </w:rPr>
        <w:t>采购项目名称：</w:t>
      </w:r>
    </w:p>
    <w:p w14:paraId="30A3B4F6">
      <w:pPr>
        <w:spacing w:line="360" w:lineRule="auto"/>
        <w:rPr>
          <w:rFonts w:cs="仿宋"/>
          <w:color w:val="auto"/>
          <w:u w:val="single"/>
        </w:rPr>
      </w:pPr>
      <w:r>
        <w:rPr>
          <w:rFonts w:hint="eastAsia" w:cs="仿宋"/>
          <w:color w:val="auto"/>
        </w:rPr>
        <w:t>采购项目编号：包号：</w:t>
      </w:r>
    </w:p>
    <w:p w14:paraId="6B0CDCE1">
      <w:pPr>
        <w:spacing w:line="360" w:lineRule="auto"/>
        <w:rPr>
          <w:rFonts w:cs="仿宋"/>
          <w:color w:val="auto"/>
        </w:rPr>
      </w:pPr>
      <w:r>
        <w:rPr>
          <w:rFonts w:hint="eastAsia" w:cs="仿宋"/>
          <w:color w:val="auto"/>
          <w:lang w:eastAsia="zh-CN"/>
        </w:rPr>
        <w:t>交易发起人</w:t>
      </w:r>
      <w:r>
        <w:rPr>
          <w:rFonts w:hint="eastAsia" w:cs="仿宋"/>
          <w:color w:val="auto"/>
        </w:rPr>
        <w:t>名称：</w:t>
      </w:r>
    </w:p>
    <w:p w14:paraId="08787932">
      <w:pPr>
        <w:spacing w:line="360" w:lineRule="auto"/>
        <w:rPr>
          <w:rFonts w:cs="仿宋"/>
          <w:color w:val="auto"/>
          <w:u w:val="single"/>
        </w:rPr>
      </w:pPr>
      <w:r>
        <w:rPr>
          <w:rFonts w:hint="eastAsia" w:cs="仿宋"/>
          <w:color w:val="auto"/>
        </w:rPr>
        <w:t>代理机构名称：</w:t>
      </w:r>
    </w:p>
    <w:p w14:paraId="26BF848A">
      <w:pPr>
        <w:spacing w:line="360" w:lineRule="auto"/>
        <w:rPr>
          <w:rFonts w:cs="仿宋"/>
          <w:color w:val="auto"/>
          <w:u w:val="dotted"/>
        </w:rPr>
      </w:pPr>
      <w:r>
        <w:rPr>
          <w:rFonts w:hint="eastAsia" w:cs="仿宋"/>
          <w:color w:val="auto"/>
        </w:rPr>
        <w:t>采购文件公告:</w:t>
      </w:r>
      <w:r>
        <w:rPr>
          <w:rFonts w:hint="eastAsia" w:cs="仿宋"/>
          <w:color w:val="auto"/>
          <w:u w:val="dotted"/>
        </w:rPr>
        <w:t xml:space="preserve">是/否 </w:t>
      </w:r>
      <w:r>
        <w:rPr>
          <w:rFonts w:hint="eastAsia" w:cs="仿宋"/>
          <w:color w:val="auto"/>
        </w:rPr>
        <w:t>公告期限：</w:t>
      </w:r>
    </w:p>
    <w:p w14:paraId="6CFD837D">
      <w:pPr>
        <w:spacing w:line="360" w:lineRule="auto"/>
        <w:rPr>
          <w:rFonts w:cs="仿宋"/>
          <w:color w:val="auto"/>
          <w:u w:val="single"/>
        </w:rPr>
      </w:pPr>
      <w:r>
        <w:rPr>
          <w:rFonts w:hint="eastAsia" w:cs="仿宋"/>
          <w:color w:val="auto"/>
        </w:rPr>
        <w:t>采购结果公告:</w:t>
      </w:r>
      <w:r>
        <w:rPr>
          <w:rFonts w:hint="eastAsia" w:cs="仿宋"/>
          <w:color w:val="auto"/>
          <w:u w:val="dotted"/>
        </w:rPr>
        <w:t xml:space="preserve">是/否 </w:t>
      </w:r>
      <w:r>
        <w:rPr>
          <w:rFonts w:hint="eastAsia" w:cs="仿宋"/>
          <w:color w:val="auto"/>
        </w:rPr>
        <w:t>公告期限：</w:t>
      </w:r>
    </w:p>
    <w:p w14:paraId="5DAA4249">
      <w:pPr>
        <w:spacing w:line="360" w:lineRule="auto"/>
        <w:rPr>
          <w:rFonts w:cs="仿宋"/>
          <w:color w:val="auto"/>
        </w:rPr>
      </w:pPr>
      <w:r>
        <w:rPr>
          <w:rFonts w:hint="eastAsia" w:cs="仿宋"/>
          <w:color w:val="auto"/>
        </w:rPr>
        <w:t>三、质疑基本情况</w:t>
      </w:r>
    </w:p>
    <w:p w14:paraId="463A894A">
      <w:pPr>
        <w:spacing w:line="360" w:lineRule="auto"/>
        <w:ind w:firstLine="480" w:firstLineChars="200"/>
        <w:rPr>
          <w:rFonts w:cs="仿宋"/>
          <w:color w:val="auto"/>
          <w:u w:val="dotted"/>
        </w:rPr>
      </w:pPr>
      <w:r>
        <w:rPr>
          <w:rFonts w:hint="eastAsia" w:cs="仿宋"/>
          <w:color w:val="auto"/>
        </w:rPr>
        <w:t>投诉人于年月日,向提出质疑，质疑事项为：</w:t>
      </w:r>
    </w:p>
    <w:p w14:paraId="721B1757">
      <w:pPr>
        <w:spacing w:line="360" w:lineRule="auto"/>
        <w:ind w:firstLine="360" w:firstLineChars="150"/>
        <w:rPr>
          <w:rFonts w:cs="仿宋"/>
          <w:color w:val="auto"/>
        </w:rPr>
      </w:pPr>
      <w:r>
        <w:rPr>
          <w:rFonts w:hint="eastAsia" w:cs="仿宋"/>
          <w:color w:val="auto"/>
          <w:u w:val="dotted"/>
          <w:lang w:eastAsia="zh-CN"/>
        </w:rPr>
        <w:t>交易发起人</w:t>
      </w:r>
      <w:r>
        <w:rPr>
          <w:rFonts w:hint="eastAsia" w:cs="仿宋"/>
          <w:color w:val="auto"/>
          <w:u w:val="dotted"/>
        </w:rPr>
        <w:t>/代理机构</w:t>
      </w:r>
      <w:r>
        <w:rPr>
          <w:rFonts w:hint="eastAsia" w:cs="仿宋"/>
          <w:color w:val="auto"/>
        </w:rPr>
        <w:t>于年月日,就质疑事项作出了答复/没有在法定期限内作出答复。</w:t>
      </w:r>
    </w:p>
    <w:p w14:paraId="034FFF12">
      <w:pPr>
        <w:spacing w:line="360" w:lineRule="auto"/>
        <w:rPr>
          <w:rFonts w:cs="仿宋"/>
          <w:color w:val="auto"/>
        </w:rPr>
      </w:pPr>
      <w:r>
        <w:rPr>
          <w:rFonts w:hint="eastAsia" w:cs="仿宋"/>
          <w:color w:val="auto"/>
        </w:rPr>
        <w:t>四、投诉事项具体内容</w:t>
      </w:r>
    </w:p>
    <w:p w14:paraId="7DA28C3E">
      <w:pPr>
        <w:spacing w:line="360" w:lineRule="auto"/>
        <w:rPr>
          <w:rFonts w:cs="仿宋"/>
          <w:color w:val="auto"/>
          <w:u w:val="single"/>
        </w:rPr>
      </w:pPr>
      <w:r>
        <w:rPr>
          <w:rFonts w:hint="eastAsia" w:cs="仿宋"/>
          <w:color w:val="auto"/>
        </w:rPr>
        <w:t>投诉事项 1：</w:t>
      </w:r>
    </w:p>
    <w:p w14:paraId="1A0A7462">
      <w:pPr>
        <w:spacing w:line="360" w:lineRule="auto"/>
        <w:rPr>
          <w:rFonts w:cs="仿宋"/>
          <w:color w:val="auto"/>
        </w:rPr>
      </w:pPr>
      <w:r>
        <w:rPr>
          <w:rFonts w:hint="eastAsia" w:cs="仿宋"/>
          <w:color w:val="auto"/>
        </w:rPr>
        <w:t>事实依据：</w:t>
      </w:r>
    </w:p>
    <w:p w14:paraId="26DB1720">
      <w:pPr>
        <w:spacing w:line="360" w:lineRule="auto"/>
        <w:rPr>
          <w:rFonts w:cs="仿宋"/>
          <w:color w:val="auto"/>
          <w:u w:val="dotted"/>
        </w:rPr>
      </w:pPr>
    </w:p>
    <w:p w14:paraId="07E41CE3">
      <w:pPr>
        <w:spacing w:line="360" w:lineRule="auto"/>
        <w:rPr>
          <w:rFonts w:cs="仿宋"/>
          <w:color w:val="auto"/>
          <w:u w:val="single"/>
        </w:rPr>
      </w:pPr>
      <w:r>
        <w:rPr>
          <w:rFonts w:hint="eastAsia" w:cs="仿宋"/>
          <w:color w:val="auto"/>
        </w:rPr>
        <w:t>法律依据：</w:t>
      </w:r>
    </w:p>
    <w:p w14:paraId="77C0D26E">
      <w:pPr>
        <w:spacing w:line="360" w:lineRule="auto"/>
        <w:rPr>
          <w:rFonts w:cs="仿宋"/>
          <w:color w:val="auto"/>
          <w:u w:val="dotted"/>
        </w:rPr>
      </w:pPr>
    </w:p>
    <w:p w14:paraId="601D0BD5">
      <w:pPr>
        <w:spacing w:line="360" w:lineRule="auto"/>
        <w:rPr>
          <w:rFonts w:cs="仿宋"/>
          <w:color w:val="auto"/>
        </w:rPr>
      </w:pPr>
      <w:r>
        <w:rPr>
          <w:rFonts w:hint="eastAsia" w:cs="仿宋"/>
          <w:color w:val="auto"/>
        </w:rPr>
        <w:t>投诉事项2</w:t>
      </w:r>
    </w:p>
    <w:p w14:paraId="44FB7023">
      <w:pPr>
        <w:spacing w:line="360" w:lineRule="auto"/>
        <w:rPr>
          <w:rFonts w:cs="仿宋"/>
          <w:color w:val="auto"/>
          <w:u w:val="dotted"/>
        </w:rPr>
      </w:pPr>
      <w:r>
        <w:rPr>
          <w:rFonts w:hint="eastAsia" w:cs="仿宋"/>
          <w:color w:val="auto"/>
        </w:rPr>
        <w:t>……</w:t>
      </w:r>
    </w:p>
    <w:p w14:paraId="6896BAEF">
      <w:pPr>
        <w:spacing w:line="360" w:lineRule="auto"/>
        <w:rPr>
          <w:rFonts w:cs="仿宋"/>
          <w:color w:val="auto"/>
        </w:rPr>
      </w:pPr>
      <w:r>
        <w:rPr>
          <w:rFonts w:hint="eastAsia" w:cs="仿宋"/>
          <w:color w:val="auto"/>
        </w:rPr>
        <w:t>五、与投诉事项相关的投诉请求</w:t>
      </w:r>
    </w:p>
    <w:p w14:paraId="6C4F64B0">
      <w:pPr>
        <w:spacing w:line="360" w:lineRule="auto"/>
        <w:rPr>
          <w:rFonts w:cs="仿宋"/>
          <w:color w:val="auto"/>
        </w:rPr>
      </w:pPr>
      <w:r>
        <w:rPr>
          <w:rFonts w:hint="eastAsia" w:cs="仿宋"/>
          <w:color w:val="auto"/>
        </w:rPr>
        <w:t>请求：</w:t>
      </w:r>
    </w:p>
    <w:p w14:paraId="6EC636C3">
      <w:pPr>
        <w:spacing w:line="360" w:lineRule="auto"/>
        <w:rPr>
          <w:rFonts w:cs="仿宋"/>
          <w:color w:val="auto"/>
          <w:u w:val="single"/>
        </w:rPr>
      </w:pPr>
    </w:p>
    <w:p w14:paraId="77EAB5A3">
      <w:pPr>
        <w:spacing w:line="360" w:lineRule="auto"/>
        <w:rPr>
          <w:rFonts w:cs="仿宋"/>
          <w:color w:val="auto"/>
        </w:rPr>
      </w:pPr>
      <w:r>
        <w:rPr>
          <w:rFonts w:hint="eastAsia" w:cs="仿宋"/>
          <w:color w:val="auto"/>
        </w:rPr>
        <w:t xml:space="preserve">签字(签章)：                   公章：                      </w:t>
      </w:r>
    </w:p>
    <w:p w14:paraId="09F3EEB5">
      <w:pPr>
        <w:spacing w:line="360" w:lineRule="auto"/>
        <w:rPr>
          <w:rFonts w:cs="仿宋"/>
          <w:color w:val="auto"/>
        </w:rPr>
      </w:pPr>
      <w:r>
        <w:rPr>
          <w:rFonts w:hint="eastAsia" w:cs="仿宋"/>
          <w:color w:val="auto"/>
        </w:rPr>
        <w:t xml:space="preserve">日期：    </w:t>
      </w:r>
    </w:p>
    <w:p w14:paraId="766E598C">
      <w:pPr>
        <w:spacing w:line="360" w:lineRule="auto"/>
        <w:rPr>
          <w:rFonts w:cs="仿宋"/>
          <w:b/>
          <w:color w:val="auto"/>
        </w:rPr>
      </w:pPr>
    </w:p>
    <w:p w14:paraId="0A783D23">
      <w:pPr>
        <w:spacing w:line="360" w:lineRule="auto"/>
        <w:rPr>
          <w:rFonts w:cs="仿宋"/>
          <w:b/>
          <w:color w:val="auto"/>
        </w:rPr>
      </w:pPr>
      <w:r>
        <w:rPr>
          <w:rFonts w:hint="eastAsia" w:cs="仿宋"/>
          <w:b/>
          <w:color w:val="auto"/>
        </w:rPr>
        <w:t>投诉书制作说明：</w:t>
      </w:r>
    </w:p>
    <w:p w14:paraId="74EE4DDA">
      <w:pPr>
        <w:spacing w:line="360" w:lineRule="auto"/>
        <w:ind w:firstLine="480" w:firstLineChars="200"/>
        <w:rPr>
          <w:rFonts w:cs="仿宋"/>
          <w:color w:val="auto"/>
        </w:rPr>
      </w:pPr>
      <w:r>
        <w:rPr>
          <w:rFonts w:hint="eastAsia" w:cs="仿宋"/>
          <w:color w:val="auto"/>
        </w:rPr>
        <w:t>1.投诉人提起投诉时，应当提交投诉书和必要的证明材料，并按照被投诉人和与投诉事项有关的供应商数量提供投诉书副本。</w:t>
      </w:r>
    </w:p>
    <w:p w14:paraId="0F6DB506">
      <w:pPr>
        <w:spacing w:line="360" w:lineRule="auto"/>
        <w:ind w:firstLine="480" w:firstLineChars="200"/>
        <w:rPr>
          <w:rFonts w:cs="仿宋"/>
          <w:color w:val="auto"/>
        </w:rPr>
      </w:pPr>
      <w:r>
        <w:rPr>
          <w:rFonts w:hint="eastAsia" w:cs="仿宋"/>
          <w:color w:val="auto"/>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9107DE5">
      <w:pPr>
        <w:spacing w:line="360" w:lineRule="auto"/>
        <w:ind w:firstLine="480" w:firstLineChars="200"/>
        <w:rPr>
          <w:rFonts w:cs="仿宋"/>
          <w:color w:val="auto"/>
        </w:rPr>
      </w:pPr>
      <w:r>
        <w:rPr>
          <w:rFonts w:hint="eastAsia" w:cs="仿宋"/>
          <w:color w:val="auto"/>
        </w:rPr>
        <w:t>3.投诉人若对项目的某一分包进行投诉，投诉书应列明具体分包号。</w:t>
      </w:r>
    </w:p>
    <w:p w14:paraId="03473A10">
      <w:pPr>
        <w:spacing w:line="360" w:lineRule="auto"/>
        <w:ind w:firstLine="480" w:firstLineChars="200"/>
        <w:rPr>
          <w:rFonts w:cs="仿宋"/>
          <w:color w:val="auto"/>
        </w:rPr>
      </w:pPr>
      <w:r>
        <w:rPr>
          <w:rFonts w:hint="eastAsia" w:cs="仿宋"/>
          <w:color w:val="auto"/>
        </w:rPr>
        <w:t>4.投诉书应简要列明质疑事项，质疑函、质疑答复等作为附件材料提供。</w:t>
      </w:r>
    </w:p>
    <w:p w14:paraId="284A7065">
      <w:pPr>
        <w:spacing w:line="360" w:lineRule="auto"/>
        <w:ind w:firstLine="480" w:firstLineChars="200"/>
        <w:rPr>
          <w:rFonts w:cs="仿宋"/>
          <w:color w:val="auto"/>
        </w:rPr>
      </w:pPr>
      <w:r>
        <w:rPr>
          <w:rFonts w:hint="eastAsia" w:cs="仿宋"/>
          <w:color w:val="auto"/>
        </w:rPr>
        <w:t>5.投诉书的投诉事项应具体、明确，并有必要的事实依据和法律依据。</w:t>
      </w:r>
    </w:p>
    <w:p w14:paraId="74494CD4">
      <w:pPr>
        <w:spacing w:line="360" w:lineRule="auto"/>
        <w:ind w:firstLine="480" w:firstLineChars="200"/>
        <w:rPr>
          <w:rFonts w:cs="仿宋"/>
          <w:color w:val="auto"/>
        </w:rPr>
      </w:pPr>
      <w:r>
        <w:rPr>
          <w:rFonts w:hint="eastAsia" w:cs="仿宋"/>
          <w:color w:val="auto"/>
        </w:rPr>
        <w:t>6.投诉书的投诉请求应与投诉事项相关。</w:t>
      </w:r>
    </w:p>
    <w:p w14:paraId="61A862F2">
      <w:pPr>
        <w:spacing w:line="360" w:lineRule="auto"/>
        <w:ind w:firstLine="480" w:firstLineChars="200"/>
        <w:rPr>
          <w:rFonts w:cs="仿宋"/>
          <w:color w:val="auto"/>
        </w:rPr>
      </w:pPr>
      <w:r>
        <w:rPr>
          <w:rFonts w:hint="eastAsia" w:cs="仿宋"/>
          <w:color w:val="auto"/>
        </w:rPr>
        <w:t>7.投诉人为自然人的，投诉书应当由本人签字；投诉人为法人或者其他组织的，投诉书应当由法定代表人、主要负责人，或者其授权代表签字或者盖章，并加盖公章。</w:t>
      </w:r>
    </w:p>
    <w:p w14:paraId="1BD6A8B1">
      <w:pPr>
        <w:spacing w:line="360" w:lineRule="auto"/>
        <w:rPr>
          <w:rFonts w:cs="仿宋"/>
          <w:b/>
          <w:color w:val="auto"/>
        </w:rPr>
      </w:pPr>
      <w:r>
        <w:rPr>
          <w:rFonts w:hint="eastAsia" w:cs="仿宋"/>
          <w:b/>
          <w:color w:val="auto"/>
        </w:rPr>
        <w:br w:type="page"/>
      </w:r>
    </w:p>
    <w:p w14:paraId="34B14E4C">
      <w:pPr>
        <w:pStyle w:val="3"/>
        <w:spacing w:line="360" w:lineRule="auto"/>
        <w:jc w:val="left"/>
        <w:rPr>
          <w:rFonts w:cs="仿宋"/>
          <w:color w:val="auto"/>
        </w:rPr>
      </w:pPr>
      <w:r>
        <w:rPr>
          <w:rFonts w:hint="eastAsia" w:cs="仿宋"/>
          <w:color w:val="auto"/>
          <w:spacing w:val="6"/>
        </w:rPr>
        <w:t>附件</w:t>
      </w:r>
      <w:r>
        <w:rPr>
          <w:rFonts w:hint="eastAsia" w:cs="仿宋"/>
          <w:color w:val="auto"/>
          <w:spacing w:val="6"/>
          <w:lang w:val="en-US" w:eastAsia="zh-CN"/>
        </w:rPr>
        <w:t>3</w:t>
      </w:r>
      <w:r>
        <w:rPr>
          <w:rFonts w:hint="eastAsia" w:cs="仿宋"/>
          <w:color w:val="auto"/>
          <w:spacing w:val="6"/>
        </w:rPr>
        <w:t>：</w:t>
      </w:r>
      <w:r>
        <w:rPr>
          <w:rFonts w:hint="eastAsia" w:cs="仿宋"/>
          <w:color w:val="auto"/>
        </w:rPr>
        <w:t>业务专用章使用说明函</w:t>
      </w:r>
    </w:p>
    <w:p w14:paraId="691007CB">
      <w:pPr>
        <w:spacing w:line="360" w:lineRule="auto"/>
        <w:jc w:val="center"/>
        <w:rPr>
          <w:rFonts w:cs="仿宋"/>
          <w:b/>
          <w:smallCaps/>
          <w:color w:val="auto"/>
          <w:spacing w:val="6"/>
          <w:sz w:val="36"/>
          <w:szCs w:val="28"/>
        </w:rPr>
      </w:pPr>
      <w:r>
        <w:rPr>
          <w:rFonts w:hint="eastAsia" w:cs="仿宋"/>
          <w:b/>
          <w:color w:val="auto"/>
          <w:sz w:val="32"/>
        </w:rPr>
        <w:t>业务专用章使用说明函</w:t>
      </w:r>
    </w:p>
    <w:p w14:paraId="6761F58E">
      <w:pPr>
        <w:spacing w:line="360" w:lineRule="auto"/>
        <w:rPr>
          <w:rFonts w:cs="仿宋"/>
          <w:color w:val="auto"/>
        </w:rPr>
      </w:pPr>
      <w:r>
        <w:rPr>
          <w:rFonts w:hint="eastAsia" w:cs="仿宋"/>
          <w:color w:val="auto"/>
          <w:u w:val="single"/>
        </w:rPr>
        <w:t>（</w:t>
      </w:r>
      <w:r>
        <w:rPr>
          <w:rFonts w:hint="eastAsia" w:cs="仿宋"/>
          <w:color w:val="auto"/>
          <w:u w:val="single"/>
          <w:lang w:eastAsia="zh-CN"/>
        </w:rPr>
        <w:t>交易发起人</w:t>
      </w:r>
      <w:r>
        <w:rPr>
          <w:rFonts w:hint="eastAsia" w:cs="仿宋"/>
          <w:color w:val="auto"/>
          <w:u w:val="single"/>
        </w:rPr>
        <w:t>）、（采购代理机构）</w:t>
      </w:r>
    </w:p>
    <w:p w14:paraId="387BD509">
      <w:pPr>
        <w:spacing w:line="360" w:lineRule="auto"/>
        <w:ind w:firstLine="480" w:firstLineChars="200"/>
        <w:rPr>
          <w:rFonts w:cs="仿宋"/>
          <w:color w:val="auto"/>
        </w:rPr>
      </w:pPr>
      <w:r>
        <w:rPr>
          <w:rFonts w:hint="eastAsia" w:cs="仿宋"/>
          <w:color w:val="auto"/>
          <w:lang w:val="zh-CN"/>
        </w:rPr>
        <w:t>我方</w:t>
      </w:r>
      <w:r>
        <w:rPr>
          <w:rFonts w:hint="eastAsia" w:cs="仿宋"/>
          <w:color w:val="auto"/>
        </w:rPr>
        <w:t>(供应商全称)是中华人民共和国依法登记注册的合法企业，</w:t>
      </w:r>
      <w:r>
        <w:rPr>
          <w:rFonts w:hint="eastAsia" w:cs="仿宋"/>
          <w:bCs/>
          <w:color w:val="auto"/>
        </w:rPr>
        <w:t>在参加</w:t>
      </w:r>
      <w:r>
        <w:rPr>
          <w:rFonts w:hint="eastAsia" w:cs="仿宋"/>
          <w:color w:val="auto"/>
        </w:rPr>
        <w:t>你方组织的（项目名称）项目【采购编号：    】</w:t>
      </w:r>
      <w:r>
        <w:rPr>
          <w:rFonts w:hint="eastAsia" w:cs="仿宋"/>
          <w:bCs/>
          <w:color w:val="auto"/>
        </w:rPr>
        <w:t>响应活动中作如下说明：</w:t>
      </w:r>
      <w:r>
        <w:rPr>
          <w:rFonts w:hint="eastAsia" w:cs="仿宋"/>
          <w:color w:val="auto"/>
        </w:rPr>
        <w:t xml:space="preserve">我方所使用的“XX专用章”与法定名称章具有同等的法律效力，对使用“XX专用章”的行为予以完全承认，并愿意承担相应责任。   </w:t>
      </w:r>
    </w:p>
    <w:p w14:paraId="35FB0FAD">
      <w:pPr>
        <w:spacing w:line="360" w:lineRule="auto"/>
        <w:ind w:firstLine="480" w:firstLineChars="200"/>
        <w:rPr>
          <w:rFonts w:cs="仿宋"/>
          <w:color w:val="auto"/>
        </w:rPr>
      </w:pPr>
      <w:r>
        <w:rPr>
          <w:rFonts w:hint="eastAsia" w:cs="仿宋"/>
          <w:color w:val="auto"/>
        </w:rPr>
        <w:t>特此说明。</w:t>
      </w:r>
    </w:p>
    <w:p w14:paraId="092D4E14">
      <w:pPr>
        <w:spacing w:line="360" w:lineRule="auto"/>
        <w:ind w:firstLine="494"/>
        <w:rPr>
          <w:rFonts w:cs="仿宋"/>
          <w:color w:val="auto"/>
        </w:rPr>
      </w:pPr>
    </w:p>
    <w:p w14:paraId="0829EDD1">
      <w:pPr>
        <w:spacing w:line="360" w:lineRule="auto"/>
        <w:ind w:firstLine="494"/>
        <w:rPr>
          <w:rFonts w:cs="仿宋"/>
          <w:color w:val="auto"/>
        </w:rPr>
      </w:pPr>
    </w:p>
    <w:p w14:paraId="7041C39A">
      <w:pPr>
        <w:spacing w:line="360" w:lineRule="auto"/>
        <w:ind w:firstLine="494"/>
        <w:rPr>
          <w:rFonts w:cs="仿宋"/>
          <w:color w:val="auto"/>
        </w:rPr>
      </w:pPr>
    </w:p>
    <w:p w14:paraId="0A8AAB86">
      <w:pPr>
        <w:spacing w:line="360" w:lineRule="auto"/>
        <w:ind w:firstLine="494"/>
        <w:rPr>
          <w:rFonts w:cs="仿宋"/>
          <w:color w:val="auto"/>
        </w:rPr>
      </w:pPr>
    </w:p>
    <w:p w14:paraId="5DC77A90">
      <w:pPr>
        <w:spacing w:line="360" w:lineRule="auto"/>
        <w:ind w:right="480" w:firstLine="4080" w:firstLineChars="1700"/>
        <w:rPr>
          <w:rFonts w:cs="仿宋"/>
          <w:color w:val="auto"/>
        </w:rPr>
      </w:pPr>
      <w:r>
        <w:rPr>
          <w:rFonts w:hint="eastAsia" w:cs="仿宋"/>
          <w:color w:val="auto"/>
        </w:rPr>
        <w:t>供应商（法定名称章）：</w:t>
      </w:r>
    </w:p>
    <w:p w14:paraId="42204FD2">
      <w:pPr>
        <w:spacing w:line="360" w:lineRule="auto"/>
        <w:ind w:right="-234" w:firstLine="494"/>
        <w:jc w:val="center"/>
        <w:rPr>
          <w:rFonts w:cs="仿宋"/>
          <w:color w:val="auto"/>
        </w:rPr>
      </w:pPr>
      <w:r>
        <w:rPr>
          <w:rFonts w:hint="eastAsia" w:cs="仿宋"/>
          <w:color w:val="auto"/>
        </w:rPr>
        <w:t xml:space="preserve">                            日期：       年     月    日</w:t>
      </w:r>
    </w:p>
    <w:p w14:paraId="7BAE3750">
      <w:pPr>
        <w:spacing w:line="360" w:lineRule="auto"/>
        <w:rPr>
          <w:rFonts w:cs="仿宋"/>
          <w:color w:val="auto"/>
        </w:rPr>
      </w:pPr>
      <w:r>
        <w:rPr>
          <w:rFonts w:hint="eastAsia" w:cs="仿宋"/>
          <w:b/>
          <w:bCs/>
          <w:color w:val="auto"/>
        </w:rPr>
        <w:t>附：</w:t>
      </w:r>
    </w:p>
    <w:p w14:paraId="4AA6DDB1">
      <w:pPr>
        <w:spacing w:line="360" w:lineRule="auto"/>
        <w:rPr>
          <w:rFonts w:cs="仿宋"/>
          <w:bCs/>
          <w:color w:val="auto"/>
        </w:rPr>
      </w:pPr>
      <w:r>
        <w:rPr>
          <w:rFonts w:cs="仿宋"/>
          <w:color w:va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2A8B262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2A8B2626">
                      <w:pPr>
                        <w:jc w:val="center"/>
                      </w:pPr>
                    </w:p>
                  </w:txbxContent>
                </v:textbox>
              </v:rect>
            </w:pict>
          </mc:Fallback>
        </mc:AlternateContent>
      </w:r>
      <w:r>
        <w:rPr>
          <w:rFonts w:cs="仿宋"/>
          <w:color w:va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64D8A7FE">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64D8A7FE">
                      <w:pPr>
                        <w:jc w:val="center"/>
                      </w:pPr>
                    </w:p>
                  </w:txbxContent>
                </v:textbox>
              </v:rect>
            </w:pict>
          </mc:Fallback>
        </mc:AlternateContent>
      </w:r>
      <w:r>
        <w:rPr>
          <w:rFonts w:hint="eastAsia" w:cs="仿宋"/>
          <w:color w:val="auto"/>
        </w:rPr>
        <w:t>供应商法定名称章（印模）                供应商“XX专用章”（印模）</w:t>
      </w:r>
    </w:p>
    <w:p w14:paraId="5698AEF8">
      <w:pPr>
        <w:spacing w:line="360" w:lineRule="auto"/>
        <w:rPr>
          <w:rFonts w:cs="仿宋"/>
          <w:b/>
          <w:color w:val="auto"/>
          <w:spacing w:val="6"/>
          <w:sz w:val="32"/>
          <w:szCs w:val="32"/>
        </w:rPr>
      </w:pPr>
    </w:p>
    <w:p w14:paraId="5700D7C2">
      <w:pPr>
        <w:spacing w:line="360" w:lineRule="auto"/>
        <w:rPr>
          <w:rFonts w:cs="仿宋"/>
          <w:b/>
          <w:smallCaps/>
          <w:color w:val="auto"/>
          <w:spacing w:val="6"/>
          <w:sz w:val="28"/>
          <w:szCs w:val="28"/>
        </w:rPr>
      </w:pPr>
    </w:p>
    <w:p w14:paraId="67491AA8">
      <w:pPr>
        <w:spacing w:line="360" w:lineRule="auto"/>
        <w:rPr>
          <w:rFonts w:cs="仿宋"/>
          <w:b/>
          <w:smallCaps/>
          <w:color w:val="auto"/>
          <w:spacing w:val="6"/>
          <w:sz w:val="28"/>
          <w:szCs w:val="28"/>
        </w:rPr>
      </w:pPr>
      <w:r>
        <w:rPr>
          <w:rFonts w:hint="eastAsia" w:cs="仿宋"/>
          <w:color w:val="auto"/>
          <w:spacing w:val="6"/>
        </w:rPr>
        <w:br w:type="page"/>
      </w:r>
    </w:p>
    <w:p w14:paraId="6607E192">
      <w:pPr>
        <w:pStyle w:val="3"/>
        <w:spacing w:line="360" w:lineRule="auto"/>
        <w:jc w:val="left"/>
        <w:rPr>
          <w:rFonts w:cs="仿宋"/>
          <w:color w:val="auto"/>
          <w:sz w:val="24"/>
        </w:rPr>
      </w:pPr>
      <w:r>
        <w:rPr>
          <w:rFonts w:hint="eastAsia" w:cs="仿宋"/>
          <w:color w:val="auto"/>
        </w:rPr>
        <w:t>附件</w:t>
      </w:r>
      <w:r>
        <w:rPr>
          <w:rFonts w:hint="eastAsia" w:cs="仿宋"/>
          <w:color w:val="auto"/>
          <w:lang w:val="en-US" w:eastAsia="zh-CN"/>
        </w:rPr>
        <w:t>4</w:t>
      </w:r>
      <w:r>
        <w:rPr>
          <w:rFonts w:hint="eastAsia" w:cs="仿宋"/>
          <w:color w:val="auto"/>
        </w:rPr>
        <w:t>样品（演示）授权委托书</w:t>
      </w:r>
    </w:p>
    <w:p w14:paraId="1B71D8FC">
      <w:pPr>
        <w:spacing w:line="360" w:lineRule="auto"/>
        <w:jc w:val="center"/>
        <w:rPr>
          <w:rFonts w:cs="仿宋"/>
          <w:color w:val="auto"/>
          <w:sz w:val="40"/>
        </w:rPr>
      </w:pPr>
      <w:r>
        <w:rPr>
          <w:rFonts w:hint="eastAsia" w:cs="仿宋"/>
          <w:color w:val="auto"/>
          <w:sz w:val="40"/>
        </w:rPr>
        <w:t>样品（演示）授权委托书</w:t>
      </w:r>
    </w:p>
    <w:p w14:paraId="1DBB04AD">
      <w:pPr>
        <w:spacing w:line="360" w:lineRule="auto"/>
        <w:jc w:val="center"/>
        <w:rPr>
          <w:rFonts w:hint="default" w:eastAsia="仿宋" w:cs="仿宋"/>
          <w:color w:val="auto"/>
          <w:sz w:val="40"/>
          <w:lang w:val="en-US" w:eastAsia="zh-CN"/>
        </w:rPr>
      </w:pPr>
      <w:r>
        <w:rPr>
          <w:rFonts w:hint="eastAsia" w:cs="仿宋"/>
          <w:color w:val="auto"/>
          <w:sz w:val="40"/>
          <w:lang w:val="en-US" w:eastAsia="zh-CN"/>
        </w:rPr>
        <w:t xml:space="preserve">                                                  </w:t>
      </w:r>
    </w:p>
    <w:p w14:paraId="34271F91">
      <w:pPr>
        <w:snapToGrid w:val="0"/>
        <w:spacing w:line="360" w:lineRule="auto"/>
        <w:rPr>
          <w:rFonts w:cs="仿宋"/>
          <w:color w:val="auto"/>
        </w:rPr>
      </w:pPr>
      <w:r>
        <w:rPr>
          <w:rFonts w:hint="eastAsia" w:cs="仿宋"/>
          <w:color w:val="auto"/>
        </w:rPr>
        <w:t>XXX（单位名称或采购机构名称）</w:t>
      </w:r>
      <w:r>
        <w:rPr>
          <w:rFonts w:hint="eastAsia" w:cs="仿宋"/>
          <w:color w:val="auto"/>
          <w:lang w:val="zh-CN"/>
        </w:rPr>
        <w:t>：</w:t>
      </w:r>
    </w:p>
    <w:p w14:paraId="33B5D859">
      <w:pPr>
        <w:snapToGrid w:val="0"/>
        <w:spacing w:line="360" w:lineRule="auto"/>
        <w:ind w:left="290" w:leftChars="121" w:firstLine="480" w:firstLineChars="200"/>
        <w:rPr>
          <w:rFonts w:cs="仿宋"/>
          <w:color w:val="auto"/>
          <w:u w:val="single"/>
          <w:lang w:val="zh-CN"/>
        </w:rPr>
      </w:pPr>
      <w:r>
        <w:rPr>
          <w:rFonts w:hint="eastAsia" w:cs="仿宋"/>
          <w:color w:val="auto"/>
          <w:lang w:val="zh-CN"/>
        </w:rPr>
        <w:t>兹委派先生/女士，身份证号：</w:t>
      </w:r>
    </w:p>
    <w:p w14:paraId="70D6710D">
      <w:pPr>
        <w:snapToGrid w:val="0"/>
        <w:spacing w:line="360" w:lineRule="auto"/>
        <w:ind w:left="290" w:leftChars="121" w:firstLine="480" w:firstLineChars="200"/>
        <w:rPr>
          <w:rFonts w:cs="仿宋"/>
          <w:color w:val="auto"/>
        </w:rPr>
      </w:pPr>
      <w:r>
        <w:rPr>
          <w:rFonts w:hint="eastAsia" w:cs="仿宋"/>
          <w:color w:val="auto"/>
          <w:lang w:val="zh-CN"/>
        </w:rPr>
        <w:t>手机：，代表我公司前来递交</w:t>
      </w:r>
      <w:r>
        <w:rPr>
          <w:rFonts w:hint="eastAsia" w:cs="仿宋"/>
          <w:color w:val="auto"/>
          <w:u w:val="single"/>
          <w:lang w:val="zh-CN"/>
        </w:rPr>
        <w:t xml:space="preserve">                           采购项目</w:t>
      </w:r>
      <w:r>
        <w:rPr>
          <w:rFonts w:hint="eastAsia" w:cs="仿宋"/>
          <w:color w:val="auto"/>
          <w:lang w:val="zh-CN"/>
        </w:rPr>
        <w:t>【项目编号：              】（标项号：  ）响应样品或参加演示，并全权负责标后取回样品等其他处理事宜。</w:t>
      </w:r>
    </w:p>
    <w:p w14:paraId="2DCA2D82">
      <w:pPr>
        <w:snapToGrid w:val="0"/>
        <w:spacing w:line="360" w:lineRule="auto"/>
        <w:rPr>
          <w:rFonts w:cs="仿宋"/>
          <w:color w:val="auto"/>
          <w:lang w:val="zh-CN"/>
        </w:rPr>
      </w:pPr>
    </w:p>
    <w:p w14:paraId="14717D81">
      <w:pPr>
        <w:snapToGrid w:val="0"/>
        <w:spacing w:line="360" w:lineRule="auto"/>
        <w:rPr>
          <w:rFonts w:cs="仿宋"/>
          <w:color w:val="auto"/>
        </w:rPr>
      </w:pPr>
      <w:r>
        <w:rPr>
          <w:rFonts w:hint="eastAsia" w:cs="仿宋"/>
          <w:color w:val="auto"/>
          <w:lang w:val="zh-CN"/>
        </w:rPr>
        <w:t xml:space="preserve">    特此告知。</w:t>
      </w:r>
    </w:p>
    <w:p w14:paraId="6E9ED477">
      <w:pPr>
        <w:snapToGrid w:val="0"/>
        <w:spacing w:line="360" w:lineRule="auto"/>
        <w:rPr>
          <w:rFonts w:cs="仿宋"/>
          <w:color w:val="auto"/>
        </w:rPr>
      </w:pPr>
      <w:r>
        <w:rPr>
          <w:rFonts w:hint="eastAsia" w:cs="仿宋"/>
          <w:color w:val="auto"/>
          <w:lang w:val="zh-CN"/>
        </w:rPr>
        <w:t xml:space="preserve">                                                  供应商名称(公章)：</w:t>
      </w:r>
    </w:p>
    <w:p w14:paraId="7E0AA69A">
      <w:pPr>
        <w:snapToGrid w:val="0"/>
        <w:spacing w:line="360" w:lineRule="auto"/>
        <w:rPr>
          <w:rFonts w:cs="仿宋"/>
          <w:color w:val="auto"/>
        </w:rPr>
      </w:pPr>
    </w:p>
    <w:p w14:paraId="518FB92C">
      <w:pPr>
        <w:snapToGrid w:val="0"/>
        <w:spacing w:line="360" w:lineRule="auto"/>
        <w:ind w:right="240"/>
        <w:jc w:val="right"/>
        <w:rPr>
          <w:rFonts w:cs="仿宋"/>
          <w:color w:val="auto"/>
          <w:lang w:val="zh-CN"/>
        </w:rPr>
      </w:pPr>
      <w:r>
        <w:rPr>
          <w:rFonts w:hint="eastAsia" w:cs="仿宋"/>
          <w:color w:val="auto"/>
          <w:lang w:val="zh-CN"/>
        </w:rPr>
        <w:t>签发日期：  年  月   日</w:t>
      </w:r>
    </w:p>
    <w:p w14:paraId="278186D2">
      <w:pPr>
        <w:snapToGrid w:val="0"/>
        <w:spacing w:line="360" w:lineRule="auto"/>
        <w:ind w:right="240"/>
        <w:jc w:val="right"/>
        <w:rPr>
          <w:rFonts w:cs="仿宋"/>
          <w:color w:val="auto"/>
          <w:lang w:val="zh-CN"/>
        </w:rPr>
      </w:pPr>
    </w:p>
    <w:p w14:paraId="0C8EF421">
      <w:pPr>
        <w:snapToGrid w:val="0"/>
        <w:spacing w:line="360" w:lineRule="auto"/>
        <w:ind w:right="1920"/>
        <w:rPr>
          <w:rFonts w:cs="仿宋"/>
          <w:color w:val="auto"/>
          <w:lang w:val="zh-CN"/>
        </w:rPr>
      </w:pPr>
    </w:p>
    <w:p w14:paraId="74D95865">
      <w:pPr>
        <w:snapToGrid w:val="0"/>
        <w:spacing w:line="360" w:lineRule="auto"/>
        <w:ind w:right="240"/>
        <w:jc w:val="right"/>
        <w:rPr>
          <w:rFonts w:cs="仿宋"/>
          <w:color w:val="auto"/>
          <w:lang w:val="zh-CN"/>
        </w:rPr>
      </w:pPr>
    </w:p>
    <w:p w14:paraId="031CDA8C">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67EF1332">
      <w:pPr>
        <w:snapToGrid w:val="0"/>
        <w:spacing w:line="360" w:lineRule="auto"/>
        <w:ind w:right="240"/>
        <w:rPr>
          <w:rFonts w:cs="仿宋"/>
          <w:color w:val="auto"/>
          <w:lang w:val="zh-CN"/>
        </w:rPr>
      </w:pPr>
    </w:p>
    <w:p w14:paraId="2551C72A">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45D68C2D">
      <w:pPr>
        <w:spacing w:line="360" w:lineRule="auto"/>
        <w:rPr>
          <w:rFonts w:cs="仿宋"/>
          <w:b/>
          <w:color w:val="auto"/>
        </w:rPr>
      </w:pPr>
      <w:r>
        <w:rPr>
          <w:rFonts w:hint="eastAsia" w:cs="仿宋"/>
          <w:b/>
          <w:color w:val="auto"/>
        </w:rPr>
        <w:t>同时有样品和演示的，可委托不同人员。</w:t>
      </w:r>
    </w:p>
    <w:p w14:paraId="515A4D92">
      <w:pPr>
        <w:spacing w:line="360" w:lineRule="auto"/>
        <w:ind w:right="420"/>
        <w:rPr>
          <w:rFonts w:cs="仿宋"/>
          <w:color w:val="auto"/>
        </w:rPr>
      </w:pPr>
    </w:p>
    <w:sectPr>
      <w:pgSz w:w="11906" w:h="16838"/>
      <w:pgMar w:top="1440" w:right="1701" w:bottom="1440" w:left="1803" w:header="851" w:footer="992" w:gutter="0"/>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5AD9">
    <w:pPr>
      <w:pStyle w:val="21"/>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80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81</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12A6F">
    <w:pPr>
      <w:pStyle w:val="23"/>
      <w:jc w:val="right"/>
    </w:pP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D9A45"/>
    <w:multiLevelType w:val="singleLevel"/>
    <w:tmpl w:val="FF1D9A45"/>
    <w:lvl w:ilvl="0" w:tentative="0">
      <w:start w:val="1"/>
      <w:numFmt w:val="decimal"/>
      <w:suff w:val="nothing"/>
      <w:lvlText w:val="（%1）"/>
      <w:lvlJc w:val="left"/>
    </w:lvl>
  </w:abstractNum>
  <w:abstractNum w:abstractNumId="1">
    <w:nsid w:val="06FE841E"/>
    <w:multiLevelType w:val="singleLevel"/>
    <w:tmpl w:val="06FE841E"/>
    <w:lvl w:ilvl="0" w:tentative="0">
      <w:start w:val="1"/>
      <w:numFmt w:val="chineseCounting"/>
      <w:suff w:val="nothing"/>
      <w:lvlText w:val="（%1）"/>
      <w:lvlJc w:val="left"/>
      <w:rPr>
        <w:rFonts w:hint="eastAsia"/>
      </w:rPr>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BED0DE"/>
    <w:multiLevelType w:val="singleLevel"/>
    <w:tmpl w:val="50BED0DE"/>
    <w:lvl w:ilvl="0" w:tentative="0">
      <w:start w:val="5"/>
      <w:numFmt w:val="chineseCounting"/>
      <w:suff w:val="space"/>
      <w:lvlText w:val="第%1部分"/>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20"/>
  <w:drawingGridVerticalSpacing w:val="168"/>
  <w:displayHorizontalDrawingGridEvery w:val="1"/>
  <w:displayVerticalDrawingGridEvery w:val="2"/>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NDU3NmU0MDFhZTc0ZDgxMWZiNTY1ZDQyZTZjZmYifQ=="/>
  </w:docVars>
  <w:rsids>
    <w:rsidRoot w:val="004A31C0"/>
    <w:rsid w:val="00007349"/>
    <w:rsid w:val="00040E44"/>
    <w:rsid w:val="000506FE"/>
    <w:rsid w:val="00052F13"/>
    <w:rsid w:val="00062A5D"/>
    <w:rsid w:val="00083EEE"/>
    <w:rsid w:val="00091250"/>
    <w:rsid w:val="000C67BA"/>
    <w:rsid w:val="000E75F8"/>
    <w:rsid w:val="000F5980"/>
    <w:rsid w:val="001375DB"/>
    <w:rsid w:val="001448FA"/>
    <w:rsid w:val="001478DA"/>
    <w:rsid w:val="00173428"/>
    <w:rsid w:val="001A3CF6"/>
    <w:rsid w:val="001C206D"/>
    <w:rsid w:val="0022259E"/>
    <w:rsid w:val="00240685"/>
    <w:rsid w:val="0024401D"/>
    <w:rsid w:val="002534A7"/>
    <w:rsid w:val="002D5E34"/>
    <w:rsid w:val="002E02E0"/>
    <w:rsid w:val="003169BC"/>
    <w:rsid w:val="0035778E"/>
    <w:rsid w:val="00380ED1"/>
    <w:rsid w:val="00381B1D"/>
    <w:rsid w:val="003A3435"/>
    <w:rsid w:val="00404E96"/>
    <w:rsid w:val="004105E2"/>
    <w:rsid w:val="00424619"/>
    <w:rsid w:val="00424A1D"/>
    <w:rsid w:val="00462F9D"/>
    <w:rsid w:val="00474FC4"/>
    <w:rsid w:val="00474FCF"/>
    <w:rsid w:val="004A31C0"/>
    <w:rsid w:val="00501CA3"/>
    <w:rsid w:val="00523EB0"/>
    <w:rsid w:val="005648CB"/>
    <w:rsid w:val="00581054"/>
    <w:rsid w:val="005A325A"/>
    <w:rsid w:val="005A3BF2"/>
    <w:rsid w:val="0060320D"/>
    <w:rsid w:val="006511DA"/>
    <w:rsid w:val="00652051"/>
    <w:rsid w:val="0065383E"/>
    <w:rsid w:val="00661973"/>
    <w:rsid w:val="006657BD"/>
    <w:rsid w:val="00674D84"/>
    <w:rsid w:val="006F2568"/>
    <w:rsid w:val="006F282E"/>
    <w:rsid w:val="00706DC6"/>
    <w:rsid w:val="00711092"/>
    <w:rsid w:val="00716529"/>
    <w:rsid w:val="00725C59"/>
    <w:rsid w:val="00734973"/>
    <w:rsid w:val="00742C93"/>
    <w:rsid w:val="00744AB4"/>
    <w:rsid w:val="007A6664"/>
    <w:rsid w:val="007B00D4"/>
    <w:rsid w:val="007B07B1"/>
    <w:rsid w:val="007C2164"/>
    <w:rsid w:val="00805D91"/>
    <w:rsid w:val="00825212"/>
    <w:rsid w:val="00827416"/>
    <w:rsid w:val="00843A59"/>
    <w:rsid w:val="00852E70"/>
    <w:rsid w:val="00872DA1"/>
    <w:rsid w:val="00873B8A"/>
    <w:rsid w:val="008B1281"/>
    <w:rsid w:val="008C3320"/>
    <w:rsid w:val="008F729B"/>
    <w:rsid w:val="009040D0"/>
    <w:rsid w:val="009064F4"/>
    <w:rsid w:val="009823B1"/>
    <w:rsid w:val="009863A6"/>
    <w:rsid w:val="0098739B"/>
    <w:rsid w:val="009B7259"/>
    <w:rsid w:val="009E6B47"/>
    <w:rsid w:val="00A5394E"/>
    <w:rsid w:val="00A955FA"/>
    <w:rsid w:val="00AB3C03"/>
    <w:rsid w:val="00AC5A89"/>
    <w:rsid w:val="00AD7338"/>
    <w:rsid w:val="00B13AE7"/>
    <w:rsid w:val="00B34428"/>
    <w:rsid w:val="00B40EFA"/>
    <w:rsid w:val="00B506B1"/>
    <w:rsid w:val="00B50722"/>
    <w:rsid w:val="00B638D9"/>
    <w:rsid w:val="00C12471"/>
    <w:rsid w:val="00C445E6"/>
    <w:rsid w:val="00C44684"/>
    <w:rsid w:val="00C522BB"/>
    <w:rsid w:val="00C555C7"/>
    <w:rsid w:val="00C963BD"/>
    <w:rsid w:val="00CA5372"/>
    <w:rsid w:val="00CB6725"/>
    <w:rsid w:val="00CF35F3"/>
    <w:rsid w:val="00D03E3B"/>
    <w:rsid w:val="00D901E0"/>
    <w:rsid w:val="00DE7F9D"/>
    <w:rsid w:val="00E01C27"/>
    <w:rsid w:val="00E428C8"/>
    <w:rsid w:val="00E81776"/>
    <w:rsid w:val="00E94AF3"/>
    <w:rsid w:val="00EA7068"/>
    <w:rsid w:val="00ED389E"/>
    <w:rsid w:val="00EE2D23"/>
    <w:rsid w:val="00F577A9"/>
    <w:rsid w:val="00F66F6C"/>
    <w:rsid w:val="00F82240"/>
    <w:rsid w:val="00F872C5"/>
    <w:rsid w:val="00F906B9"/>
    <w:rsid w:val="00F95235"/>
    <w:rsid w:val="00FD0193"/>
    <w:rsid w:val="00FD5896"/>
    <w:rsid w:val="00FE3A5D"/>
    <w:rsid w:val="011078C7"/>
    <w:rsid w:val="01662293"/>
    <w:rsid w:val="01D95F0B"/>
    <w:rsid w:val="02740D00"/>
    <w:rsid w:val="02AE467C"/>
    <w:rsid w:val="02F16097"/>
    <w:rsid w:val="03BE360A"/>
    <w:rsid w:val="03C11F1C"/>
    <w:rsid w:val="042408DC"/>
    <w:rsid w:val="045975DF"/>
    <w:rsid w:val="04AF7342"/>
    <w:rsid w:val="04CE688F"/>
    <w:rsid w:val="04FA68C4"/>
    <w:rsid w:val="051E6A56"/>
    <w:rsid w:val="05307141"/>
    <w:rsid w:val="056E4FDA"/>
    <w:rsid w:val="05A9579A"/>
    <w:rsid w:val="06253E14"/>
    <w:rsid w:val="069B6235"/>
    <w:rsid w:val="071719AF"/>
    <w:rsid w:val="07BE1E2B"/>
    <w:rsid w:val="07E21FBD"/>
    <w:rsid w:val="07E31891"/>
    <w:rsid w:val="07FB6BDB"/>
    <w:rsid w:val="080C0DE8"/>
    <w:rsid w:val="0828199A"/>
    <w:rsid w:val="08297BEC"/>
    <w:rsid w:val="08A41020"/>
    <w:rsid w:val="08C96CD9"/>
    <w:rsid w:val="091B1595"/>
    <w:rsid w:val="093D1475"/>
    <w:rsid w:val="09A60DC8"/>
    <w:rsid w:val="0A2D5046"/>
    <w:rsid w:val="0A4F76B2"/>
    <w:rsid w:val="0ACB6F04"/>
    <w:rsid w:val="0AE94133"/>
    <w:rsid w:val="0B574A70"/>
    <w:rsid w:val="0B6D3274"/>
    <w:rsid w:val="0B9864B8"/>
    <w:rsid w:val="0BBE4AEF"/>
    <w:rsid w:val="0BF95B27"/>
    <w:rsid w:val="0C05627A"/>
    <w:rsid w:val="0C394176"/>
    <w:rsid w:val="0CA42CBA"/>
    <w:rsid w:val="0D3F3A0E"/>
    <w:rsid w:val="0D5F5E5E"/>
    <w:rsid w:val="0DE907B1"/>
    <w:rsid w:val="0E46733B"/>
    <w:rsid w:val="0EB775D4"/>
    <w:rsid w:val="0F0D6DB5"/>
    <w:rsid w:val="0FC93A62"/>
    <w:rsid w:val="10185A61"/>
    <w:rsid w:val="10FA6B54"/>
    <w:rsid w:val="11360C84"/>
    <w:rsid w:val="115F467E"/>
    <w:rsid w:val="11D843B8"/>
    <w:rsid w:val="12080872"/>
    <w:rsid w:val="12103BCB"/>
    <w:rsid w:val="12264B29"/>
    <w:rsid w:val="12686790"/>
    <w:rsid w:val="129A3494"/>
    <w:rsid w:val="12C329EB"/>
    <w:rsid w:val="13217712"/>
    <w:rsid w:val="13B01143"/>
    <w:rsid w:val="13EC3DB1"/>
    <w:rsid w:val="145C7314"/>
    <w:rsid w:val="14740441"/>
    <w:rsid w:val="147E4E1C"/>
    <w:rsid w:val="149B16F1"/>
    <w:rsid w:val="15080B89"/>
    <w:rsid w:val="15836462"/>
    <w:rsid w:val="15D171CD"/>
    <w:rsid w:val="162639BD"/>
    <w:rsid w:val="16BE3BF5"/>
    <w:rsid w:val="16CD208A"/>
    <w:rsid w:val="1715773D"/>
    <w:rsid w:val="172A3BC6"/>
    <w:rsid w:val="172C5003"/>
    <w:rsid w:val="17824C23"/>
    <w:rsid w:val="17CF3BE0"/>
    <w:rsid w:val="18335F1D"/>
    <w:rsid w:val="184C6FDF"/>
    <w:rsid w:val="18702CCD"/>
    <w:rsid w:val="189B3AC2"/>
    <w:rsid w:val="18AD07C8"/>
    <w:rsid w:val="18F13D9B"/>
    <w:rsid w:val="193463F1"/>
    <w:rsid w:val="195C76F5"/>
    <w:rsid w:val="19921369"/>
    <w:rsid w:val="19BE215E"/>
    <w:rsid w:val="1A116F74"/>
    <w:rsid w:val="1A4E703E"/>
    <w:rsid w:val="1A8B2040"/>
    <w:rsid w:val="1AD11A1D"/>
    <w:rsid w:val="1B6D52A2"/>
    <w:rsid w:val="1B7E1BA5"/>
    <w:rsid w:val="1BE0016A"/>
    <w:rsid w:val="1C0A51E7"/>
    <w:rsid w:val="1C1E6EE4"/>
    <w:rsid w:val="1C5A616E"/>
    <w:rsid w:val="1CC96E50"/>
    <w:rsid w:val="1CD852E5"/>
    <w:rsid w:val="1D2B3667"/>
    <w:rsid w:val="1DB47B00"/>
    <w:rsid w:val="1DE859FC"/>
    <w:rsid w:val="1F422EEA"/>
    <w:rsid w:val="1FBE4C66"/>
    <w:rsid w:val="1FE71698"/>
    <w:rsid w:val="201B0B13"/>
    <w:rsid w:val="202E4274"/>
    <w:rsid w:val="21333432"/>
    <w:rsid w:val="21893052"/>
    <w:rsid w:val="22123047"/>
    <w:rsid w:val="22146DBF"/>
    <w:rsid w:val="223E0FE2"/>
    <w:rsid w:val="22B83BEE"/>
    <w:rsid w:val="22CF2CE6"/>
    <w:rsid w:val="22FB1D2D"/>
    <w:rsid w:val="23C72D0D"/>
    <w:rsid w:val="24482D50"/>
    <w:rsid w:val="24BE1264"/>
    <w:rsid w:val="24BE3012"/>
    <w:rsid w:val="24D4284F"/>
    <w:rsid w:val="25123C48"/>
    <w:rsid w:val="259326F1"/>
    <w:rsid w:val="25AB17E9"/>
    <w:rsid w:val="25BD151C"/>
    <w:rsid w:val="25FD27E9"/>
    <w:rsid w:val="26EF7DFB"/>
    <w:rsid w:val="27201D62"/>
    <w:rsid w:val="27A209C9"/>
    <w:rsid w:val="28786B6B"/>
    <w:rsid w:val="288B3B53"/>
    <w:rsid w:val="28EA2628"/>
    <w:rsid w:val="293B37A3"/>
    <w:rsid w:val="296A5517"/>
    <w:rsid w:val="29780547"/>
    <w:rsid w:val="2A475D63"/>
    <w:rsid w:val="2A7A5C2D"/>
    <w:rsid w:val="2A8645D2"/>
    <w:rsid w:val="2C0C0B07"/>
    <w:rsid w:val="2C5774FC"/>
    <w:rsid w:val="2C5A1872"/>
    <w:rsid w:val="2C923702"/>
    <w:rsid w:val="2D5746CB"/>
    <w:rsid w:val="2E4E5407"/>
    <w:rsid w:val="2E862DF3"/>
    <w:rsid w:val="2FA07EE4"/>
    <w:rsid w:val="2FCC0CD9"/>
    <w:rsid w:val="2FDB2CCA"/>
    <w:rsid w:val="2FE222AB"/>
    <w:rsid w:val="30EB1633"/>
    <w:rsid w:val="30F77FD8"/>
    <w:rsid w:val="30FF6E8C"/>
    <w:rsid w:val="317E18A9"/>
    <w:rsid w:val="3209225F"/>
    <w:rsid w:val="320B7A1D"/>
    <w:rsid w:val="322A7F39"/>
    <w:rsid w:val="3239017C"/>
    <w:rsid w:val="328F5F4B"/>
    <w:rsid w:val="32990C1B"/>
    <w:rsid w:val="32A001FB"/>
    <w:rsid w:val="32CB1E38"/>
    <w:rsid w:val="3337290D"/>
    <w:rsid w:val="334479F4"/>
    <w:rsid w:val="33833DA5"/>
    <w:rsid w:val="33C5616B"/>
    <w:rsid w:val="33F45A77"/>
    <w:rsid w:val="34237336"/>
    <w:rsid w:val="34785C8F"/>
    <w:rsid w:val="349D0E96"/>
    <w:rsid w:val="351057B7"/>
    <w:rsid w:val="35A45262"/>
    <w:rsid w:val="35F0631B"/>
    <w:rsid w:val="36987B67"/>
    <w:rsid w:val="36E52680"/>
    <w:rsid w:val="37893743"/>
    <w:rsid w:val="378D0422"/>
    <w:rsid w:val="37C631FA"/>
    <w:rsid w:val="37F55810"/>
    <w:rsid w:val="38657F1D"/>
    <w:rsid w:val="39A34C90"/>
    <w:rsid w:val="39FC4F67"/>
    <w:rsid w:val="3A871771"/>
    <w:rsid w:val="3AAB31A5"/>
    <w:rsid w:val="3BB52F69"/>
    <w:rsid w:val="3BC74A4B"/>
    <w:rsid w:val="3BDA652C"/>
    <w:rsid w:val="3BF31F42"/>
    <w:rsid w:val="3C7A386B"/>
    <w:rsid w:val="3D2832C7"/>
    <w:rsid w:val="3DB64076"/>
    <w:rsid w:val="3E772758"/>
    <w:rsid w:val="3F16360F"/>
    <w:rsid w:val="3F1E0E25"/>
    <w:rsid w:val="3F3C0A48"/>
    <w:rsid w:val="3F402B4A"/>
    <w:rsid w:val="3F5B7984"/>
    <w:rsid w:val="3F6031EC"/>
    <w:rsid w:val="3F76656C"/>
    <w:rsid w:val="3FE77469"/>
    <w:rsid w:val="3FF81676"/>
    <w:rsid w:val="40072094"/>
    <w:rsid w:val="407A02DD"/>
    <w:rsid w:val="407C4056"/>
    <w:rsid w:val="40C33A32"/>
    <w:rsid w:val="40F06C50"/>
    <w:rsid w:val="41A75102"/>
    <w:rsid w:val="41AF583F"/>
    <w:rsid w:val="41FB7E96"/>
    <w:rsid w:val="42337750"/>
    <w:rsid w:val="439A77FE"/>
    <w:rsid w:val="441F3676"/>
    <w:rsid w:val="4455528C"/>
    <w:rsid w:val="44564BBE"/>
    <w:rsid w:val="445F5821"/>
    <w:rsid w:val="454669E0"/>
    <w:rsid w:val="46162856"/>
    <w:rsid w:val="47262F6D"/>
    <w:rsid w:val="47290367"/>
    <w:rsid w:val="475611C0"/>
    <w:rsid w:val="477E3D8E"/>
    <w:rsid w:val="47815E58"/>
    <w:rsid w:val="47BC173B"/>
    <w:rsid w:val="48284AC3"/>
    <w:rsid w:val="48374151"/>
    <w:rsid w:val="4852763F"/>
    <w:rsid w:val="486D24D6"/>
    <w:rsid w:val="48AE321A"/>
    <w:rsid w:val="48B41BE0"/>
    <w:rsid w:val="49415E3C"/>
    <w:rsid w:val="496164DE"/>
    <w:rsid w:val="49DA3B9B"/>
    <w:rsid w:val="49DB1DED"/>
    <w:rsid w:val="4A162E25"/>
    <w:rsid w:val="4A5B4CDC"/>
    <w:rsid w:val="4A5E1D10"/>
    <w:rsid w:val="4A934476"/>
    <w:rsid w:val="4B3D0885"/>
    <w:rsid w:val="4B78366B"/>
    <w:rsid w:val="4B9506C1"/>
    <w:rsid w:val="4BB24DCF"/>
    <w:rsid w:val="4C46376A"/>
    <w:rsid w:val="4C4A1A57"/>
    <w:rsid w:val="4C575977"/>
    <w:rsid w:val="4C854292"/>
    <w:rsid w:val="4CAE59C6"/>
    <w:rsid w:val="4CBD3A2C"/>
    <w:rsid w:val="4CD3324F"/>
    <w:rsid w:val="4DA40CE0"/>
    <w:rsid w:val="4DC808DA"/>
    <w:rsid w:val="4DCC4620"/>
    <w:rsid w:val="4E094A4F"/>
    <w:rsid w:val="4E200716"/>
    <w:rsid w:val="4E393586"/>
    <w:rsid w:val="4E702867"/>
    <w:rsid w:val="4F07310A"/>
    <w:rsid w:val="4F6665FD"/>
    <w:rsid w:val="4F80079F"/>
    <w:rsid w:val="4F9A44F8"/>
    <w:rsid w:val="5016796F"/>
    <w:rsid w:val="50A62A29"/>
    <w:rsid w:val="50C01D3C"/>
    <w:rsid w:val="50EF617E"/>
    <w:rsid w:val="51C25640"/>
    <w:rsid w:val="51D07C2C"/>
    <w:rsid w:val="52754AEC"/>
    <w:rsid w:val="52B7716F"/>
    <w:rsid w:val="52F4365E"/>
    <w:rsid w:val="53AE0572"/>
    <w:rsid w:val="53B56F30"/>
    <w:rsid w:val="54295E4B"/>
    <w:rsid w:val="54300F87"/>
    <w:rsid w:val="547E56C7"/>
    <w:rsid w:val="54EB1C31"/>
    <w:rsid w:val="55012924"/>
    <w:rsid w:val="55630EE8"/>
    <w:rsid w:val="556F5ADF"/>
    <w:rsid w:val="5596306C"/>
    <w:rsid w:val="55A51501"/>
    <w:rsid w:val="55EB506C"/>
    <w:rsid w:val="561416FE"/>
    <w:rsid w:val="563A60ED"/>
    <w:rsid w:val="57917F8F"/>
    <w:rsid w:val="581F559B"/>
    <w:rsid w:val="583F5C3D"/>
    <w:rsid w:val="59036C6A"/>
    <w:rsid w:val="596516D3"/>
    <w:rsid w:val="59E20F76"/>
    <w:rsid w:val="5B914A01"/>
    <w:rsid w:val="5BA83AF9"/>
    <w:rsid w:val="5BC66144"/>
    <w:rsid w:val="5BF4415A"/>
    <w:rsid w:val="5C341831"/>
    <w:rsid w:val="5C967DF5"/>
    <w:rsid w:val="5D064F7B"/>
    <w:rsid w:val="5D290C69"/>
    <w:rsid w:val="5DB6074F"/>
    <w:rsid w:val="5E531B05"/>
    <w:rsid w:val="5EAE1426"/>
    <w:rsid w:val="5FB23198"/>
    <w:rsid w:val="60116111"/>
    <w:rsid w:val="61C564C1"/>
    <w:rsid w:val="61EA3BDA"/>
    <w:rsid w:val="622D4D58"/>
    <w:rsid w:val="62C3746A"/>
    <w:rsid w:val="63100901"/>
    <w:rsid w:val="63394B40"/>
    <w:rsid w:val="63984453"/>
    <w:rsid w:val="639F3A33"/>
    <w:rsid w:val="63CD67F3"/>
    <w:rsid w:val="63FC0686"/>
    <w:rsid w:val="645760BC"/>
    <w:rsid w:val="64B928D3"/>
    <w:rsid w:val="64FD3107"/>
    <w:rsid w:val="650869CE"/>
    <w:rsid w:val="662326FA"/>
    <w:rsid w:val="667967BE"/>
    <w:rsid w:val="66DB4D83"/>
    <w:rsid w:val="66F916AD"/>
    <w:rsid w:val="672524A2"/>
    <w:rsid w:val="676C1E7F"/>
    <w:rsid w:val="67EB3E10"/>
    <w:rsid w:val="684D1CB0"/>
    <w:rsid w:val="688F22C8"/>
    <w:rsid w:val="69177BC2"/>
    <w:rsid w:val="69327D9A"/>
    <w:rsid w:val="69561038"/>
    <w:rsid w:val="699B217D"/>
    <w:rsid w:val="69B61AD7"/>
    <w:rsid w:val="6A1E1961"/>
    <w:rsid w:val="6A303637"/>
    <w:rsid w:val="6B5B2936"/>
    <w:rsid w:val="6BCB7ABB"/>
    <w:rsid w:val="6BE36707"/>
    <w:rsid w:val="6C3248FA"/>
    <w:rsid w:val="6CB57E24"/>
    <w:rsid w:val="6CD413B6"/>
    <w:rsid w:val="6CF7668E"/>
    <w:rsid w:val="6D8F2D6B"/>
    <w:rsid w:val="6DB620A5"/>
    <w:rsid w:val="6DE45E03"/>
    <w:rsid w:val="6E9126EC"/>
    <w:rsid w:val="6E9466D8"/>
    <w:rsid w:val="6ECC76A7"/>
    <w:rsid w:val="6EFF78C3"/>
    <w:rsid w:val="6F362712"/>
    <w:rsid w:val="6F745D74"/>
    <w:rsid w:val="6FB00832"/>
    <w:rsid w:val="6FF91C8F"/>
    <w:rsid w:val="70076BE8"/>
    <w:rsid w:val="702F32CF"/>
    <w:rsid w:val="706E0BEB"/>
    <w:rsid w:val="708C6B18"/>
    <w:rsid w:val="70A72179"/>
    <w:rsid w:val="717F284B"/>
    <w:rsid w:val="72192C03"/>
    <w:rsid w:val="731735E6"/>
    <w:rsid w:val="7500502D"/>
    <w:rsid w:val="752124FA"/>
    <w:rsid w:val="75272958"/>
    <w:rsid w:val="75F23E97"/>
    <w:rsid w:val="7608069C"/>
    <w:rsid w:val="761F7763"/>
    <w:rsid w:val="766A6123"/>
    <w:rsid w:val="768061C2"/>
    <w:rsid w:val="76B537DF"/>
    <w:rsid w:val="76D65566"/>
    <w:rsid w:val="77381D7D"/>
    <w:rsid w:val="77A25449"/>
    <w:rsid w:val="78324A1E"/>
    <w:rsid w:val="78477072"/>
    <w:rsid w:val="78496C6A"/>
    <w:rsid w:val="78AC47D1"/>
    <w:rsid w:val="78FF6FF6"/>
    <w:rsid w:val="79254583"/>
    <w:rsid w:val="79CC49FF"/>
    <w:rsid w:val="79F006ED"/>
    <w:rsid w:val="7A410F49"/>
    <w:rsid w:val="7B184692"/>
    <w:rsid w:val="7C0861C2"/>
    <w:rsid w:val="7C142DB9"/>
    <w:rsid w:val="7C647448"/>
    <w:rsid w:val="7E0F59F6"/>
    <w:rsid w:val="7E221091"/>
    <w:rsid w:val="7E3E411D"/>
    <w:rsid w:val="7E671A54"/>
    <w:rsid w:val="7ED21069"/>
    <w:rsid w:val="7EE36A72"/>
    <w:rsid w:val="7F871A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仿宋" w:hAnsi="仿宋" w:eastAsia="仿宋" w:cstheme="majorBidi"/>
      <w:sz w:val="24"/>
      <w:szCs w:val="24"/>
      <w:lang w:val="en-US" w:eastAsia="zh-CN" w:bidi="ar-SA"/>
    </w:rPr>
  </w:style>
  <w:style w:type="paragraph" w:styleId="2">
    <w:name w:val="heading 1"/>
    <w:basedOn w:val="1"/>
    <w:next w:val="1"/>
    <w:link w:val="47"/>
    <w:qFormat/>
    <w:uiPriority w:val="9"/>
    <w:pPr>
      <w:spacing w:before="480" w:after="0"/>
      <w:contextualSpacing/>
      <w:jc w:val="center"/>
      <w:outlineLvl w:val="0"/>
    </w:pPr>
    <w:rPr>
      <w:rFonts w:ascii="仿宋_GB2312" w:eastAsia="仿宋_GB2312"/>
      <w:b/>
      <w:smallCaps/>
      <w:spacing w:val="5"/>
      <w:sz w:val="36"/>
      <w:szCs w:val="36"/>
    </w:rPr>
  </w:style>
  <w:style w:type="paragraph" w:styleId="3">
    <w:name w:val="heading 2"/>
    <w:basedOn w:val="1"/>
    <w:next w:val="1"/>
    <w:link w:val="48"/>
    <w:unhideWhenUsed/>
    <w:qFormat/>
    <w:uiPriority w:val="9"/>
    <w:pPr>
      <w:spacing w:before="200" w:after="0" w:line="271" w:lineRule="auto"/>
      <w:jc w:val="center"/>
      <w:outlineLvl w:val="1"/>
    </w:pPr>
    <w:rPr>
      <w:b/>
      <w:smallCaps/>
      <w:sz w:val="28"/>
      <w:szCs w:val="28"/>
    </w:rPr>
  </w:style>
  <w:style w:type="paragraph" w:styleId="4">
    <w:name w:val="heading 3"/>
    <w:basedOn w:val="1"/>
    <w:next w:val="1"/>
    <w:link w:val="43"/>
    <w:unhideWhenUsed/>
    <w:qFormat/>
    <w:uiPriority w:val="9"/>
    <w:pPr>
      <w:outlineLvl w:val="2"/>
    </w:pPr>
    <w:rPr>
      <w:b/>
    </w:rPr>
  </w:style>
  <w:style w:type="paragraph" w:styleId="5">
    <w:name w:val="heading 4"/>
    <w:basedOn w:val="1"/>
    <w:next w:val="6"/>
    <w:link w:val="49"/>
    <w:unhideWhenUsed/>
    <w:qFormat/>
    <w:uiPriority w:val="9"/>
    <w:pPr>
      <w:spacing w:after="0" w:line="271" w:lineRule="auto"/>
      <w:outlineLvl w:val="3"/>
    </w:pPr>
    <w:rPr>
      <w:b/>
      <w:bCs/>
      <w:spacing w:val="5"/>
    </w:rPr>
  </w:style>
  <w:style w:type="paragraph" w:styleId="7">
    <w:name w:val="heading 5"/>
    <w:basedOn w:val="1"/>
    <w:next w:val="1"/>
    <w:link w:val="50"/>
    <w:unhideWhenUsed/>
    <w:qFormat/>
    <w:uiPriority w:val="9"/>
    <w:pPr>
      <w:spacing w:after="0" w:line="271" w:lineRule="auto"/>
      <w:outlineLvl w:val="4"/>
    </w:pPr>
    <w:rPr>
      <w:i/>
      <w:iCs/>
    </w:rPr>
  </w:style>
  <w:style w:type="paragraph" w:styleId="8">
    <w:name w:val="heading 6"/>
    <w:basedOn w:val="1"/>
    <w:next w:val="1"/>
    <w:link w:val="51"/>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9">
    <w:name w:val="heading 7"/>
    <w:basedOn w:val="1"/>
    <w:next w:val="1"/>
    <w:link w:val="52"/>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0">
    <w:name w:val="heading 8"/>
    <w:basedOn w:val="1"/>
    <w:next w:val="1"/>
    <w:link w:val="53"/>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1">
    <w:name w:val="heading 9"/>
    <w:basedOn w:val="1"/>
    <w:next w:val="1"/>
    <w:link w:val="54"/>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73"/>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Document Map"/>
    <w:basedOn w:val="1"/>
    <w:link w:val="92"/>
    <w:semiHidden/>
    <w:unhideWhenUsed/>
    <w:qFormat/>
    <w:uiPriority w:val="99"/>
    <w:rPr>
      <w:rFonts w:ascii="宋体" w:eastAsia="宋体"/>
      <w:sz w:val="18"/>
      <w:szCs w:val="18"/>
    </w:rPr>
  </w:style>
  <w:style w:type="paragraph" w:styleId="14">
    <w:name w:val="annotation text"/>
    <w:basedOn w:val="1"/>
    <w:link w:val="89"/>
    <w:semiHidden/>
    <w:unhideWhenUsed/>
    <w:qFormat/>
    <w:uiPriority w:val="99"/>
  </w:style>
  <w:style w:type="paragraph" w:styleId="15">
    <w:name w:val="Body Text"/>
    <w:basedOn w:val="1"/>
    <w:next w:val="1"/>
    <w:unhideWhenUsed/>
    <w:qFormat/>
    <w:uiPriority w:val="99"/>
    <w:pPr>
      <w:spacing w:after="120" w:line="300" w:lineRule="auto"/>
    </w:pPr>
    <w:rPr>
      <w:rFonts w:cs="Times New Roman"/>
      <w:sz w:val="28"/>
      <w:szCs w:val="20"/>
    </w:rPr>
  </w:style>
  <w:style w:type="paragraph" w:styleId="16">
    <w:name w:val="Body Text Indent"/>
    <w:basedOn w:val="1"/>
    <w:next w:val="1"/>
    <w:link w:val="76"/>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7">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8">
    <w:name w:val="Plain Text"/>
    <w:basedOn w:val="1"/>
    <w:next w:val="1"/>
    <w:link w:val="74"/>
    <w:qFormat/>
    <w:uiPriority w:val="0"/>
    <w:pPr>
      <w:widowControl w:val="0"/>
      <w:adjustRightInd w:val="0"/>
      <w:spacing w:after="0"/>
      <w:jc w:val="both"/>
    </w:pPr>
    <w:rPr>
      <w:rFonts w:ascii="宋体" w:hAnsi="Courier New" w:eastAsia="宋体" w:cs="Arial"/>
      <w:snapToGrid w:val="0"/>
      <w:kern w:val="2"/>
      <w:sz w:val="21"/>
      <w:szCs w:val="21"/>
    </w:rPr>
  </w:style>
  <w:style w:type="paragraph" w:styleId="19">
    <w:name w:val="Body Text Indent 2"/>
    <w:basedOn w:val="1"/>
    <w:qFormat/>
    <w:uiPriority w:val="99"/>
    <w:pPr>
      <w:widowControl/>
      <w:spacing w:line="480" w:lineRule="atLeast"/>
      <w:ind w:firstLine="480"/>
    </w:pPr>
    <w:rPr>
      <w:rFonts w:ascii="宋体"/>
      <w:kern w:val="0"/>
      <w:sz w:val="24"/>
      <w:szCs w:val="20"/>
    </w:rPr>
  </w:style>
  <w:style w:type="paragraph" w:styleId="20">
    <w:name w:val="Balloon Text"/>
    <w:basedOn w:val="1"/>
    <w:link w:val="88"/>
    <w:semiHidden/>
    <w:unhideWhenUsed/>
    <w:qFormat/>
    <w:uiPriority w:val="99"/>
    <w:pPr>
      <w:spacing w:after="0"/>
    </w:pPr>
    <w:rPr>
      <w:sz w:val="18"/>
      <w:szCs w:val="18"/>
    </w:rPr>
  </w:style>
  <w:style w:type="paragraph" w:styleId="21">
    <w:name w:val="footer"/>
    <w:basedOn w:val="1"/>
    <w:link w:val="46"/>
    <w:unhideWhenUsed/>
    <w:qFormat/>
    <w:uiPriority w:val="99"/>
    <w:pPr>
      <w:tabs>
        <w:tab w:val="center" w:pos="4153"/>
        <w:tab w:val="right" w:pos="8306"/>
      </w:tabs>
      <w:snapToGrid w:val="0"/>
    </w:pPr>
    <w:rPr>
      <w:sz w:val="18"/>
      <w:szCs w:val="18"/>
    </w:rPr>
  </w:style>
  <w:style w:type="paragraph" w:styleId="22">
    <w:name w:val="envelope return"/>
    <w:basedOn w:val="1"/>
    <w:qFormat/>
    <w:uiPriority w:val="0"/>
    <w:rPr>
      <w:rFonts w:ascii="Arial" w:hAnsi="Arial"/>
    </w:rPr>
  </w:style>
  <w:style w:type="paragraph" w:styleId="23">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next w:val="1"/>
    <w:link w:val="56"/>
    <w:qFormat/>
    <w:uiPriority w:val="11"/>
    <w:rPr>
      <w:i/>
      <w:iCs/>
      <w:smallCaps/>
      <w:spacing w:val="10"/>
      <w:sz w:val="28"/>
      <w:szCs w:val="28"/>
    </w:rPr>
  </w:style>
  <w:style w:type="paragraph" w:styleId="25">
    <w:name w:val="toc 6"/>
    <w:basedOn w:val="1"/>
    <w:next w:val="1"/>
    <w:qFormat/>
    <w:uiPriority w:val="0"/>
    <w:pPr>
      <w:ind w:left="2100" w:leftChars="1000"/>
    </w:pPr>
  </w:style>
  <w:style w:type="paragraph" w:styleId="26">
    <w:name w:val="Body Text 2"/>
    <w:basedOn w:val="1"/>
    <w:qFormat/>
    <w:uiPriority w:val="0"/>
    <w:pPr>
      <w:spacing w:afterLines="50" w:line="216" w:lineRule="auto"/>
      <w:jc w:val="center"/>
    </w:pPr>
    <w:rPr>
      <w:rFonts w:ascii="隶书" w:eastAsia="隶书"/>
      <w:bCs/>
      <w:sz w:val="72"/>
      <w:szCs w:val="84"/>
    </w:rPr>
  </w:style>
  <w:style w:type="paragraph" w:styleId="2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8">
    <w:name w:val="Title"/>
    <w:basedOn w:val="1"/>
    <w:next w:val="1"/>
    <w:link w:val="55"/>
    <w:qFormat/>
    <w:uiPriority w:val="10"/>
    <w:pPr>
      <w:spacing w:after="300"/>
      <w:contextualSpacing/>
    </w:pPr>
    <w:rPr>
      <w:smallCaps/>
      <w:sz w:val="52"/>
      <w:szCs w:val="52"/>
    </w:rPr>
  </w:style>
  <w:style w:type="paragraph" w:styleId="29">
    <w:name w:val="annotation subject"/>
    <w:basedOn w:val="14"/>
    <w:next w:val="14"/>
    <w:link w:val="90"/>
    <w:semiHidden/>
    <w:unhideWhenUsed/>
    <w:qFormat/>
    <w:uiPriority w:val="99"/>
    <w:rPr>
      <w:b/>
      <w:bCs/>
    </w:rPr>
  </w:style>
  <w:style w:type="paragraph" w:styleId="30">
    <w:name w:val="Body Text First Indent"/>
    <w:basedOn w:val="15"/>
    <w:next w:val="25"/>
    <w:qFormat/>
    <w:uiPriority w:val="0"/>
    <w:pPr>
      <w:ind w:firstLine="420"/>
    </w:pPr>
    <w:rPr>
      <w:rFonts w:hAnsi="Calibri"/>
    </w:rPr>
  </w:style>
  <w:style w:type="paragraph" w:styleId="31">
    <w:name w:val="Body Text First Indent 2"/>
    <w:basedOn w:val="16"/>
    <w:qFormat/>
    <w:uiPriority w:val="0"/>
    <w:pPr>
      <w:ind w:firstLine="420"/>
    </w:p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22"/>
    <w:rPr>
      <w:b/>
      <w:bCs/>
    </w:rPr>
  </w:style>
  <w:style w:type="character" w:styleId="36">
    <w:name w:val="Emphasis"/>
    <w:qFormat/>
    <w:uiPriority w:val="20"/>
    <w:rPr>
      <w:b/>
      <w:bCs/>
      <w:i/>
      <w:iCs/>
      <w:spacing w:val="10"/>
    </w:rPr>
  </w:style>
  <w:style w:type="character" w:styleId="37">
    <w:name w:val="Hyperlink"/>
    <w:qFormat/>
    <w:uiPriority w:val="99"/>
    <w:rPr>
      <w:rFonts w:ascii="Arial" w:hAnsi="Arial" w:eastAsia="黑体" w:cs="Arial"/>
      <w:snapToGrid w:val="0"/>
      <w:color w:val="000000"/>
      <w:kern w:val="0"/>
      <w:sz w:val="18"/>
      <w:szCs w:val="18"/>
      <w:u w:val="none"/>
    </w:rPr>
  </w:style>
  <w:style w:type="character" w:styleId="38">
    <w:name w:val="annotation reference"/>
    <w:basedOn w:val="34"/>
    <w:semiHidden/>
    <w:unhideWhenUsed/>
    <w:qFormat/>
    <w:uiPriority w:val="99"/>
    <w:rPr>
      <w:sz w:val="21"/>
      <w:szCs w:val="21"/>
    </w:rPr>
  </w:style>
  <w:style w:type="paragraph" w:customStyle="1" w:styleId="39">
    <w:name w:val="正文1"/>
    <w:basedOn w:val="17"/>
    <w:qFormat/>
    <w:uiPriority w:val="0"/>
    <w:pPr>
      <w:ind w:left="0" w:leftChars="0" w:firstLine="480" w:firstLineChars="200"/>
    </w:pPr>
    <w:rPr>
      <w:rFonts w:ascii="仿宋_GB2312" w:hAnsi="Courier New" w:eastAsia="仿宋_GB2312"/>
      <w:kern w:val="28"/>
      <w:sz w:val="24"/>
    </w:rPr>
  </w:style>
  <w:style w:type="paragraph" w:customStyle="1" w:styleId="40">
    <w:name w:val="一级条标题"/>
    <w:basedOn w:val="41"/>
    <w:next w:val="42"/>
    <w:qFormat/>
    <w:uiPriority w:val="0"/>
    <w:pPr>
      <w:spacing w:line="240" w:lineRule="auto"/>
      <w:ind w:left="420"/>
      <w:outlineLvl w:val="2"/>
    </w:pPr>
  </w:style>
  <w:style w:type="paragraph" w:customStyle="1" w:styleId="41">
    <w:name w:val="章标题"/>
    <w:next w:val="1"/>
    <w:qFormat/>
    <w:uiPriority w:val="0"/>
    <w:pPr>
      <w:spacing w:line="360" w:lineRule="auto"/>
      <w:jc w:val="both"/>
      <w:outlineLvl w:val="1"/>
    </w:pPr>
    <w:rPr>
      <w:rFonts w:ascii="黑体" w:hAnsi="Times New Roman" w:eastAsia="黑体" w:cs="Times New Roman"/>
      <w:sz w:val="21"/>
      <w:lang w:val="en-US" w:eastAsia="zh-CN" w:bidi="ar-SA"/>
    </w:rPr>
  </w:style>
  <w:style w:type="paragraph" w:customStyle="1" w:styleId="4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
    <w:name w:val="标题 3 Char"/>
    <w:basedOn w:val="34"/>
    <w:link w:val="4"/>
    <w:qFormat/>
    <w:uiPriority w:val="9"/>
    <w:rPr>
      <w:rFonts w:ascii="仿宋" w:hAnsi="仿宋" w:eastAsia="仿宋"/>
      <w:b/>
      <w:sz w:val="24"/>
      <w:szCs w:val="24"/>
    </w:rPr>
  </w:style>
  <w:style w:type="paragraph" w:customStyle="1" w:styleId="44">
    <w:name w:val="正文文本首行缩进 21"/>
    <w:basedOn w:val="1"/>
    <w:qFormat/>
    <w:uiPriority w:val="0"/>
    <w:pPr>
      <w:spacing w:before="100" w:beforeAutospacing="1"/>
      <w:ind w:left="420" w:leftChars="200" w:firstLine="420"/>
    </w:pPr>
    <w:rPr>
      <w:rFonts w:cs="宋体"/>
      <w:color w:val="000000"/>
      <w:szCs w:val="21"/>
    </w:rPr>
  </w:style>
  <w:style w:type="character" w:customStyle="1" w:styleId="45">
    <w:name w:val="页眉 Char"/>
    <w:basedOn w:val="34"/>
    <w:link w:val="23"/>
    <w:qFormat/>
    <w:uiPriority w:val="99"/>
    <w:rPr>
      <w:sz w:val="18"/>
      <w:szCs w:val="18"/>
    </w:rPr>
  </w:style>
  <w:style w:type="character" w:customStyle="1" w:styleId="46">
    <w:name w:val="页脚 Char"/>
    <w:basedOn w:val="34"/>
    <w:link w:val="21"/>
    <w:qFormat/>
    <w:uiPriority w:val="99"/>
    <w:rPr>
      <w:sz w:val="18"/>
      <w:szCs w:val="18"/>
    </w:rPr>
  </w:style>
  <w:style w:type="character" w:customStyle="1" w:styleId="47">
    <w:name w:val="标题 1 Char"/>
    <w:basedOn w:val="34"/>
    <w:link w:val="2"/>
    <w:qFormat/>
    <w:uiPriority w:val="9"/>
    <w:rPr>
      <w:rFonts w:ascii="仿宋_GB2312" w:hAnsi="仿宋" w:eastAsia="仿宋_GB2312"/>
      <w:b/>
      <w:smallCaps/>
      <w:spacing w:val="5"/>
      <w:sz w:val="36"/>
      <w:szCs w:val="36"/>
    </w:rPr>
  </w:style>
  <w:style w:type="character" w:customStyle="1" w:styleId="48">
    <w:name w:val="标题 2 Char"/>
    <w:basedOn w:val="34"/>
    <w:link w:val="3"/>
    <w:qFormat/>
    <w:uiPriority w:val="9"/>
    <w:rPr>
      <w:rFonts w:ascii="仿宋" w:hAnsi="仿宋" w:eastAsia="仿宋"/>
      <w:b/>
      <w:smallCaps/>
      <w:sz w:val="28"/>
      <w:szCs w:val="28"/>
    </w:rPr>
  </w:style>
  <w:style w:type="character" w:customStyle="1" w:styleId="49">
    <w:name w:val="标题 4 Char"/>
    <w:basedOn w:val="34"/>
    <w:link w:val="5"/>
    <w:qFormat/>
    <w:uiPriority w:val="9"/>
    <w:rPr>
      <w:b/>
      <w:bCs/>
      <w:spacing w:val="5"/>
      <w:sz w:val="24"/>
      <w:szCs w:val="24"/>
    </w:rPr>
  </w:style>
  <w:style w:type="character" w:customStyle="1" w:styleId="50">
    <w:name w:val="标题 5 Char"/>
    <w:basedOn w:val="34"/>
    <w:link w:val="7"/>
    <w:qFormat/>
    <w:uiPriority w:val="9"/>
    <w:rPr>
      <w:i/>
      <w:iCs/>
      <w:sz w:val="24"/>
      <w:szCs w:val="24"/>
    </w:rPr>
  </w:style>
  <w:style w:type="character" w:customStyle="1" w:styleId="51">
    <w:name w:val="标题 6 Char"/>
    <w:basedOn w:val="34"/>
    <w:link w:val="8"/>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52">
    <w:name w:val="标题 7 Char"/>
    <w:basedOn w:val="34"/>
    <w:link w:val="9"/>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53">
    <w:name w:val="标题 8 Char"/>
    <w:basedOn w:val="34"/>
    <w:link w:val="10"/>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54">
    <w:name w:val="标题 9 Char"/>
    <w:basedOn w:val="34"/>
    <w:link w:val="11"/>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55">
    <w:name w:val="标题 Char"/>
    <w:basedOn w:val="34"/>
    <w:link w:val="28"/>
    <w:qFormat/>
    <w:uiPriority w:val="10"/>
    <w:rPr>
      <w:smallCaps/>
      <w:sz w:val="52"/>
      <w:szCs w:val="52"/>
    </w:rPr>
  </w:style>
  <w:style w:type="character" w:customStyle="1" w:styleId="56">
    <w:name w:val="副标题 Char"/>
    <w:basedOn w:val="34"/>
    <w:link w:val="24"/>
    <w:qFormat/>
    <w:uiPriority w:val="11"/>
    <w:rPr>
      <w:i/>
      <w:iCs/>
      <w:smallCaps/>
      <w:spacing w:val="10"/>
      <w:sz w:val="28"/>
      <w:szCs w:val="28"/>
    </w:rPr>
  </w:style>
  <w:style w:type="paragraph" w:styleId="57">
    <w:name w:val="No Spacing"/>
    <w:basedOn w:val="1"/>
    <w:link w:val="69"/>
    <w:qFormat/>
    <w:uiPriority w:val="1"/>
    <w:pPr>
      <w:spacing w:after="0"/>
    </w:pPr>
  </w:style>
  <w:style w:type="paragraph" w:styleId="58">
    <w:name w:val="List Paragraph"/>
    <w:basedOn w:val="1"/>
    <w:qFormat/>
    <w:uiPriority w:val="34"/>
    <w:pPr>
      <w:ind w:left="720"/>
      <w:contextualSpacing/>
    </w:pPr>
  </w:style>
  <w:style w:type="paragraph" w:styleId="59">
    <w:name w:val="Quote"/>
    <w:basedOn w:val="1"/>
    <w:next w:val="1"/>
    <w:link w:val="60"/>
    <w:qFormat/>
    <w:uiPriority w:val="29"/>
    <w:rPr>
      <w:i/>
      <w:iCs/>
    </w:rPr>
  </w:style>
  <w:style w:type="character" w:customStyle="1" w:styleId="60">
    <w:name w:val="引用 Char"/>
    <w:basedOn w:val="34"/>
    <w:link w:val="59"/>
    <w:qFormat/>
    <w:uiPriority w:val="29"/>
    <w:rPr>
      <w:i/>
      <w:iCs/>
    </w:rPr>
  </w:style>
  <w:style w:type="paragraph" w:styleId="61">
    <w:name w:val="Intense Quote"/>
    <w:basedOn w:val="1"/>
    <w:next w:val="1"/>
    <w:link w:val="62"/>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62">
    <w:name w:val="明显引用 Char"/>
    <w:basedOn w:val="34"/>
    <w:link w:val="61"/>
    <w:qFormat/>
    <w:uiPriority w:val="30"/>
    <w:rPr>
      <w:i/>
      <w:iCs/>
    </w:rPr>
  </w:style>
  <w:style w:type="character" w:customStyle="1" w:styleId="63">
    <w:name w:val="不明显强调1"/>
    <w:qFormat/>
    <w:uiPriority w:val="19"/>
    <w:rPr>
      <w:i/>
      <w:iCs/>
    </w:rPr>
  </w:style>
  <w:style w:type="character" w:customStyle="1" w:styleId="64">
    <w:name w:val="明显强调1"/>
    <w:qFormat/>
    <w:uiPriority w:val="21"/>
    <w:rPr>
      <w:b/>
      <w:bCs/>
      <w:i/>
      <w:iCs/>
    </w:rPr>
  </w:style>
  <w:style w:type="character" w:customStyle="1" w:styleId="65">
    <w:name w:val="不明显参考1"/>
    <w:basedOn w:val="34"/>
    <w:qFormat/>
    <w:uiPriority w:val="31"/>
    <w:rPr>
      <w:smallCaps/>
    </w:rPr>
  </w:style>
  <w:style w:type="character" w:customStyle="1" w:styleId="66">
    <w:name w:val="明显参考1"/>
    <w:qFormat/>
    <w:uiPriority w:val="32"/>
    <w:rPr>
      <w:b/>
      <w:bCs/>
      <w:smallCaps/>
    </w:rPr>
  </w:style>
  <w:style w:type="character" w:customStyle="1" w:styleId="67">
    <w:name w:val="书籍标题1"/>
    <w:basedOn w:val="34"/>
    <w:qFormat/>
    <w:uiPriority w:val="33"/>
    <w:rPr>
      <w:i/>
      <w:iCs/>
      <w:smallCaps/>
      <w:spacing w:val="5"/>
    </w:rPr>
  </w:style>
  <w:style w:type="paragraph" w:customStyle="1" w:styleId="68">
    <w:name w:val="TOC 标题1"/>
    <w:basedOn w:val="2"/>
    <w:next w:val="1"/>
    <w:semiHidden/>
    <w:unhideWhenUsed/>
    <w:qFormat/>
    <w:uiPriority w:val="39"/>
    <w:pPr>
      <w:outlineLvl w:val="9"/>
    </w:pPr>
    <w:rPr>
      <w:lang w:bidi="en-US"/>
    </w:rPr>
  </w:style>
  <w:style w:type="character" w:customStyle="1" w:styleId="69">
    <w:name w:val="无间隔 Char"/>
    <w:basedOn w:val="34"/>
    <w:link w:val="57"/>
    <w:qFormat/>
    <w:uiPriority w:val="1"/>
  </w:style>
  <w:style w:type="paragraph" w:customStyle="1" w:styleId="70">
    <w:name w:val="Personal Name"/>
    <w:basedOn w:val="28"/>
    <w:qFormat/>
    <w:uiPriority w:val="0"/>
    <w:rPr>
      <w:b/>
      <w:caps/>
      <w:color w:val="000000"/>
      <w:sz w:val="28"/>
      <w:szCs w:val="28"/>
    </w:rPr>
  </w:style>
  <w:style w:type="character" w:customStyle="1" w:styleId="71">
    <w:name w:val="正文2 Char Char"/>
    <w:link w:val="72"/>
    <w:qFormat/>
    <w:uiPriority w:val="0"/>
    <w:rPr>
      <w:rFonts w:ascii="仿宋" w:hAnsi="仿宋" w:eastAsia="仿宋"/>
      <w:sz w:val="24"/>
      <w:szCs w:val="24"/>
    </w:rPr>
  </w:style>
  <w:style w:type="paragraph" w:customStyle="1" w:styleId="72">
    <w:name w:val="正文2"/>
    <w:basedOn w:val="1"/>
    <w:link w:val="71"/>
    <w:qFormat/>
    <w:uiPriority w:val="0"/>
    <w:pPr>
      <w:spacing w:line="360" w:lineRule="auto"/>
    </w:pPr>
  </w:style>
  <w:style w:type="character" w:customStyle="1" w:styleId="73">
    <w:name w:val="正文缩进 Char"/>
    <w:link w:val="6"/>
    <w:qFormat/>
    <w:uiPriority w:val="0"/>
    <w:rPr>
      <w:rFonts w:ascii="宋体" w:hAnsi="Times New Roman" w:eastAsia="宋体" w:cs="Times New Roman"/>
      <w:snapToGrid w:val="0"/>
      <w:color w:val="000000"/>
      <w:kern w:val="28"/>
      <w:sz w:val="28"/>
      <w:szCs w:val="20"/>
    </w:rPr>
  </w:style>
  <w:style w:type="character" w:customStyle="1" w:styleId="74">
    <w:name w:val="纯文本 Char"/>
    <w:basedOn w:val="34"/>
    <w:link w:val="18"/>
    <w:qFormat/>
    <w:uiPriority w:val="0"/>
    <w:rPr>
      <w:rFonts w:ascii="宋体" w:hAnsi="Courier New" w:eastAsia="宋体" w:cs="Arial"/>
      <w:snapToGrid w:val="0"/>
      <w:kern w:val="2"/>
      <w:sz w:val="21"/>
      <w:szCs w:val="21"/>
    </w:rPr>
  </w:style>
  <w:style w:type="character" w:customStyle="1" w:styleId="75">
    <w:name w:val="正文文本缩进 Char"/>
    <w:basedOn w:val="34"/>
    <w:semiHidden/>
    <w:qFormat/>
    <w:uiPriority w:val="99"/>
    <w:rPr>
      <w:rFonts w:ascii="仿宋" w:hAnsi="仿宋" w:eastAsia="仿宋"/>
      <w:sz w:val="24"/>
      <w:szCs w:val="24"/>
    </w:rPr>
  </w:style>
  <w:style w:type="character" w:customStyle="1" w:styleId="76">
    <w:name w:val="正文文本缩进 Char1"/>
    <w:link w:val="16"/>
    <w:qFormat/>
    <w:uiPriority w:val="0"/>
    <w:rPr>
      <w:rFonts w:ascii="宋体" w:hAnsi="宋体" w:eastAsia="宋体" w:cs="Times New Roman"/>
      <w:kern w:val="2"/>
      <w:sz w:val="24"/>
      <w:szCs w:val="24"/>
    </w:rPr>
  </w:style>
  <w:style w:type="character" w:customStyle="1" w:styleId="77">
    <w:name w:val="标题 Char2"/>
    <w:qFormat/>
    <w:uiPriority w:val="10"/>
    <w:rPr>
      <w:b/>
      <w:sz w:val="24"/>
      <w:lang w:val="en-GB"/>
    </w:rPr>
  </w:style>
  <w:style w:type="character" w:customStyle="1" w:styleId="78">
    <w:name w:val="纯文本 Char1"/>
    <w:link w:val="79"/>
    <w:qFormat/>
    <w:uiPriority w:val="0"/>
    <w:rPr>
      <w:rFonts w:ascii="宋体" w:hAnsi="Courier New"/>
    </w:rPr>
  </w:style>
  <w:style w:type="paragraph" w:customStyle="1" w:styleId="79">
    <w:name w:val="纯文本1"/>
    <w:basedOn w:val="1"/>
    <w:link w:val="78"/>
    <w:qFormat/>
    <w:uiPriority w:val="0"/>
    <w:pPr>
      <w:widowControl w:val="0"/>
      <w:spacing w:after="0"/>
      <w:jc w:val="both"/>
    </w:pPr>
    <w:rPr>
      <w:rFonts w:ascii="宋体" w:hAnsi="Courier New" w:eastAsiaTheme="majorEastAsia"/>
      <w:sz w:val="22"/>
      <w:szCs w:val="22"/>
    </w:rPr>
  </w:style>
  <w:style w:type="character" w:customStyle="1" w:styleId="80">
    <w:name w:val="页脚 Char2"/>
    <w:qFormat/>
    <w:locked/>
    <w:uiPriority w:val="99"/>
    <w:rPr>
      <w:kern w:val="2"/>
      <w:sz w:val="18"/>
      <w:szCs w:val="18"/>
    </w:rPr>
  </w:style>
  <w:style w:type="character" w:customStyle="1" w:styleId="81">
    <w:name w:val="页眉 Char2"/>
    <w:qFormat/>
    <w:uiPriority w:val="99"/>
    <w:rPr>
      <w:kern w:val="2"/>
      <w:sz w:val="18"/>
      <w:szCs w:val="18"/>
    </w:rPr>
  </w:style>
  <w:style w:type="paragraph" w:customStyle="1" w:styleId="82">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83">
    <w:name w:val="正文缩进1"/>
    <w:basedOn w:val="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84">
    <w:name w:val="text-tag"/>
    <w:basedOn w:val="1"/>
    <w:semiHidden/>
    <w:qFormat/>
    <w:uiPriority w:val="99"/>
    <w:pPr>
      <w:spacing w:before="100" w:beforeAutospacing="1" w:after="100" w:afterAutospacing="1"/>
    </w:pPr>
    <w:rPr>
      <w:rFonts w:ascii="宋体" w:hAnsi="宋体" w:eastAsia="宋体" w:cs="宋体"/>
    </w:rPr>
  </w:style>
  <w:style w:type="character" w:customStyle="1" w:styleId="85">
    <w:name w:val="纯文本 Char_0"/>
    <w:link w:val="86"/>
    <w:qFormat/>
    <w:uiPriority w:val="0"/>
    <w:rPr>
      <w:rFonts w:ascii="宋体" w:hAnsi="Courier New"/>
      <w:kern w:val="2"/>
      <w:sz w:val="21"/>
      <w:szCs w:val="21"/>
    </w:rPr>
  </w:style>
  <w:style w:type="paragraph" w:customStyle="1" w:styleId="86">
    <w:name w:val="纯文本_0_0"/>
    <w:basedOn w:val="1"/>
    <w:link w:val="85"/>
    <w:qFormat/>
    <w:uiPriority w:val="0"/>
    <w:pPr>
      <w:widowControl w:val="0"/>
      <w:spacing w:after="0"/>
      <w:jc w:val="both"/>
    </w:pPr>
    <w:rPr>
      <w:rFonts w:ascii="宋体" w:hAnsi="Courier New" w:eastAsiaTheme="majorEastAsia"/>
      <w:kern w:val="2"/>
      <w:sz w:val="21"/>
      <w:szCs w:val="21"/>
    </w:rPr>
  </w:style>
  <w:style w:type="paragraph" w:customStyle="1" w:styleId="87">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88">
    <w:name w:val="批注框文本 Char"/>
    <w:basedOn w:val="34"/>
    <w:link w:val="20"/>
    <w:semiHidden/>
    <w:qFormat/>
    <w:uiPriority w:val="99"/>
    <w:rPr>
      <w:rFonts w:ascii="仿宋" w:hAnsi="仿宋" w:eastAsia="仿宋"/>
      <w:sz w:val="18"/>
      <w:szCs w:val="18"/>
    </w:rPr>
  </w:style>
  <w:style w:type="character" w:customStyle="1" w:styleId="89">
    <w:name w:val="批注文字 Char"/>
    <w:basedOn w:val="34"/>
    <w:link w:val="14"/>
    <w:semiHidden/>
    <w:qFormat/>
    <w:uiPriority w:val="99"/>
    <w:rPr>
      <w:rFonts w:ascii="仿宋" w:hAnsi="仿宋" w:eastAsia="仿宋" w:cstheme="majorBidi"/>
      <w:sz w:val="24"/>
      <w:szCs w:val="24"/>
    </w:rPr>
  </w:style>
  <w:style w:type="character" w:customStyle="1" w:styleId="90">
    <w:name w:val="批注主题 Char"/>
    <w:basedOn w:val="89"/>
    <w:link w:val="29"/>
    <w:semiHidden/>
    <w:qFormat/>
    <w:uiPriority w:val="99"/>
    <w:rPr>
      <w:rFonts w:ascii="仿宋" w:hAnsi="仿宋" w:eastAsia="仿宋" w:cstheme="majorBidi"/>
      <w:b/>
      <w:bCs/>
      <w:sz w:val="24"/>
      <w:szCs w:val="24"/>
    </w:rPr>
  </w:style>
  <w:style w:type="paragraph" w:customStyle="1" w:styleId="91">
    <w:name w:val="列出段落1"/>
    <w:basedOn w:val="1"/>
    <w:qFormat/>
    <w:uiPriority w:val="0"/>
    <w:pPr>
      <w:widowControl w:val="0"/>
      <w:spacing w:after="160" w:line="256" w:lineRule="auto"/>
      <w:ind w:firstLine="420" w:firstLineChars="200"/>
      <w:jc w:val="both"/>
    </w:pPr>
    <w:rPr>
      <w:rFonts w:ascii="Calibri" w:hAnsi="Calibri" w:eastAsia="宋体" w:cs="Times New Roman"/>
      <w:kern w:val="2"/>
      <w:sz w:val="21"/>
      <w:szCs w:val="22"/>
    </w:rPr>
  </w:style>
  <w:style w:type="character" w:customStyle="1" w:styleId="92">
    <w:name w:val="文档结构图 Char"/>
    <w:basedOn w:val="34"/>
    <w:link w:val="13"/>
    <w:semiHidden/>
    <w:qFormat/>
    <w:uiPriority w:val="99"/>
    <w:rPr>
      <w:rFonts w:ascii="宋体" w:hAnsi="仿宋" w:cstheme="majorBidi"/>
      <w:sz w:val="18"/>
      <w:szCs w:val="18"/>
    </w:rPr>
  </w:style>
  <w:style w:type="paragraph" w:customStyle="1" w:styleId="93">
    <w:name w:val="[Normal]"/>
    <w:qFormat/>
    <w:uiPriority w:val="0"/>
    <w:rPr>
      <w:rFonts w:ascii="宋体" w:hAnsi="宋体" w:eastAsia="宋体" w:cs="Times New Roman"/>
      <w:sz w:val="24"/>
      <w:lang w:val="zh-CN" w:eastAsia="zh-CN" w:bidi="ar-SA"/>
    </w:rPr>
  </w:style>
  <w:style w:type="paragraph" w:customStyle="1" w:styleId="94">
    <w:name w:val="正文段"/>
    <w:basedOn w:val="1"/>
    <w:unhideWhenUsed/>
    <w:qFormat/>
    <w:uiPriority w:val="0"/>
    <w:pPr>
      <w:widowControl/>
      <w:snapToGrid w:val="0"/>
      <w:spacing w:beforeLines="0" w:after="156" w:afterLines="50"/>
      <w:ind w:firstLine="200" w:firstLineChars="200"/>
    </w:pPr>
    <w:rPr>
      <w:rFonts w:hint="default"/>
      <w:kern w:val="0"/>
      <w:sz w:val="24"/>
      <w:szCs w:val="20"/>
    </w:rPr>
  </w:style>
  <w:style w:type="table" w:customStyle="1" w:styleId="95">
    <w:name w:val="Table Normal"/>
    <w:unhideWhenUsed/>
    <w:qFormat/>
    <w:uiPriority w:val="0"/>
    <w:tblPr>
      <w:tblCellMar>
        <w:top w:w="0" w:type="dxa"/>
        <w:left w:w="0" w:type="dxa"/>
        <w:bottom w:w="0" w:type="dxa"/>
        <w:right w:w="0" w:type="dxa"/>
      </w:tblCellMar>
    </w:tblPr>
  </w:style>
  <w:style w:type="character" w:customStyle="1" w:styleId="9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
    <w:name w:val="0.正文"/>
    <w:qFormat/>
    <w:uiPriority w:val="0"/>
    <w:pPr>
      <w:widowControl w:val="0"/>
      <w:spacing w:line="360" w:lineRule="auto"/>
      <w:ind w:firstLine="200" w:firstLineChars="200"/>
      <w:jc w:val="both"/>
    </w:pPr>
    <w:rPr>
      <w:rFonts w:ascii="Calibri" w:hAnsi="Calibri" w:eastAsia="宋体" w:cs="Times New Roman"/>
      <w:kern w:val="2"/>
      <w:sz w:val="28"/>
      <w:szCs w:val="24"/>
      <w:lang w:val="en-US" w:eastAsia="zh-CN" w:bidi="ar-SA"/>
    </w:rPr>
  </w:style>
  <w:style w:type="character" w:customStyle="1" w:styleId="98">
    <w:name w:val="font21"/>
    <w:basedOn w:val="34"/>
    <w:qFormat/>
    <w:uiPriority w:val="0"/>
    <w:rPr>
      <w:rFonts w:ascii="宋体" w:hAnsi="宋体" w:eastAsia="宋体" w:cs="宋体"/>
      <w:color w:val="000000"/>
      <w:sz w:val="12"/>
      <w:szCs w:val="12"/>
      <w:u w:val="none"/>
    </w:rPr>
  </w:style>
  <w:style w:type="character" w:customStyle="1" w:styleId="99">
    <w:name w:val="font61"/>
    <w:basedOn w:val="34"/>
    <w:qFormat/>
    <w:uiPriority w:val="0"/>
    <w:rPr>
      <w:rFonts w:hint="default" w:ascii="Arial" w:hAnsi="Arial" w:cs="Arial"/>
      <w:color w:val="000000"/>
      <w:sz w:val="7"/>
      <w:szCs w:val="7"/>
      <w:u w:val="none"/>
    </w:rPr>
  </w:style>
  <w:style w:type="character" w:customStyle="1" w:styleId="100">
    <w:name w:val="font51"/>
    <w:basedOn w:val="34"/>
    <w:qFormat/>
    <w:uiPriority w:val="0"/>
    <w:rPr>
      <w:rFonts w:ascii="宋体" w:hAnsi="宋体" w:eastAsia="宋体" w:cs="宋体"/>
      <w:b/>
      <w:bCs/>
      <w:color w:val="000000"/>
      <w:sz w:val="12"/>
      <w:szCs w:val="12"/>
      <w:u w:val="none"/>
    </w:rPr>
  </w:style>
  <w:style w:type="character" w:customStyle="1" w:styleId="101">
    <w:name w:val="font01"/>
    <w:basedOn w:val="34"/>
    <w:qFormat/>
    <w:uiPriority w:val="0"/>
    <w:rPr>
      <w:rFonts w:hint="default" w:ascii="Arial" w:hAnsi="Arial" w:cs="Arial"/>
      <w:color w:val="000000"/>
      <w:sz w:val="10"/>
      <w:szCs w:val="10"/>
      <w:u w:val="none"/>
    </w:rPr>
  </w:style>
  <w:style w:type="paragraph" w:customStyle="1" w:styleId="102">
    <w:name w:val="p0"/>
    <w:basedOn w:val="1"/>
    <w:qFormat/>
    <w:uiPriority w:val="0"/>
    <w:pPr>
      <w:widowControl/>
    </w:pPr>
    <w:rPr>
      <w:rFonts w:ascii="Calibri" w:hAnsi="Calibri" w:cs="Calibri"/>
      <w:kern w:val="1"/>
    </w:rPr>
  </w:style>
  <w:style w:type="paragraph" w:customStyle="1" w:styleId="10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23974</Words>
  <Characters>25558</Characters>
  <Lines>285</Lines>
  <Paragraphs>80</Paragraphs>
  <TotalTime>2</TotalTime>
  <ScaleCrop>false</ScaleCrop>
  <LinksUpToDate>false</LinksUpToDate>
  <CharactersWithSpaces>27123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2022-08-09T03:02:00Z</dcterms:created>
  <dc:creator>admin</dc:creator>
  <cp:lastModifiedBy>招标代理</cp:lastModifiedBy>
  <cp:lastPrinted>2022-06-10T09:02:00Z</cp:lastPrinted>
  <dcterms:modified xsi:type="dcterms:W3CDTF">2024-12-31T06:12:05Z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A2488ADAC7914A7ABECCB8A1FCD6128F_13</vt:lpwstr>
  </property>
  <property fmtid="{D5CDD505-2E9C-101B-9397-08002B2CF9AE}" pid="4" name="KSOTemplateDocerSaveRecord">
    <vt:lpwstr>eyJoZGlkIjoiYTRkMGQ5ZDBiZDY1NDMxYTdkYjliMWE2ZTFjOGI5M2QiLCJ1c2VySWQiOiI0MjI1NzE4NTIifQ==</vt:lpwstr>
  </property>
</Properties>
</file>