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48FDE1E">
      <w:pPr>
        <w:spacing w:before="120"/>
        <w:ind w:firstLine="643"/>
        <w:jc w:val="center"/>
        <w:rPr>
          <w:rFonts w:hint="eastAsia" w:ascii="仿宋" w:hAnsi="仿宋" w:eastAsia="仿宋" w:cs="仿宋"/>
          <w:b/>
          <w:color w:val="auto"/>
          <w:spacing w:val="-23"/>
          <w:sz w:val="52"/>
          <w:szCs w:val="52"/>
          <w:highlight w:val="none"/>
          <w:lang w:eastAsia="zh-CN"/>
        </w:rPr>
      </w:pPr>
      <w:r>
        <w:rPr>
          <w:rFonts w:hint="eastAsia" w:ascii="仿宋" w:hAnsi="仿宋" w:eastAsia="仿宋" w:cs="仿宋"/>
          <w:b/>
          <w:color w:val="auto"/>
          <w:spacing w:val="-23"/>
          <w:sz w:val="52"/>
          <w:szCs w:val="52"/>
          <w:highlight w:val="none"/>
          <w:lang w:eastAsia="zh-CN"/>
        </w:rPr>
        <w:t>浙江临昌交通新材料有限公司2025年度</w:t>
      </w:r>
      <w:r>
        <w:rPr>
          <w:rFonts w:hint="eastAsia" w:ascii="仿宋" w:hAnsi="仿宋" w:eastAsia="仿宋" w:cs="仿宋"/>
          <w:b/>
          <w:color w:val="auto"/>
          <w:spacing w:val="-23"/>
          <w:sz w:val="52"/>
          <w:szCs w:val="52"/>
          <w:highlight w:val="none"/>
          <w:lang w:val="en-US" w:eastAsia="zh-CN"/>
        </w:rPr>
        <w:t>新</w:t>
      </w:r>
      <w:r>
        <w:rPr>
          <w:rFonts w:hint="eastAsia" w:ascii="仿宋" w:hAnsi="仿宋" w:eastAsia="仿宋" w:cs="仿宋"/>
          <w:b/>
          <w:color w:val="auto"/>
          <w:spacing w:val="-23"/>
          <w:sz w:val="52"/>
          <w:szCs w:val="52"/>
          <w:highlight w:val="none"/>
          <w:lang w:eastAsia="zh-CN"/>
        </w:rPr>
        <w:t>矿粉采购</w:t>
      </w:r>
    </w:p>
    <w:p w14:paraId="250D2074">
      <w:pPr>
        <w:pStyle w:val="2"/>
        <w:jc w:val="center"/>
        <w:rPr>
          <w:rFonts w:hint="eastAsia"/>
          <w:lang w:eastAsia="zh-CN"/>
        </w:rPr>
      </w:pPr>
      <w:r>
        <w:rPr>
          <w:rFonts w:hint="eastAsia" w:ascii="仿宋" w:hAnsi="仿宋" w:eastAsia="仿宋" w:cs="仿宋"/>
          <w:b/>
          <w:color w:val="auto"/>
          <w:spacing w:val="-23"/>
          <w:sz w:val="52"/>
          <w:szCs w:val="52"/>
          <w:highlight w:val="none"/>
          <w:lang w:eastAsia="zh-CN"/>
        </w:rPr>
        <w:t>（</w:t>
      </w:r>
      <w:r>
        <w:rPr>
          <w:rFonts w:hint="eastAsia" w:ascii="仿宋" w:hAnsi="仿宋" w:eastAsia="仿宋" w:cs="仿宋"/>
          <w:b/>
          <w:color w:val="auto"/>
          <w:spacing w:val="-23"/>
          <w:sz w:val="52"/>
          <w:szCs w:val="52"/>
          <w:highlight w:val="none"/>
          <w:lang w:val="en-US" w:eastAsia="zh-CN"/>
        </w:rPr>
        <w:t>重新招标</w:t>
      </w:r>
      <w:r>
        <w:rPr>
          <w:rFonts w:hint="eastAsia" w:ascii="仿宋" w:hAnsi="仿宋" w:eastAsia="仿宋" w:cs="仿宋"/>
          <w:b/>
          <w:color w:val="auto"/>
          <w:spacing w:val="-23"/>
          <w:sz w:val="52"/>
          <w:szCs w:val="52"/>
          <w:highlight w:val="none"/>
          <w:lang w:eastAsia="zh-CN"/>
        </w:rPr>
        <w:t>）</w:t>
      </w:r>
    </w:p>
    <w:p w14:paraId="144CE0A0">
      <w:pPr>
        <w:spacing w:before="120"/>
        <w:ind w:firstLine="643"/>
        <w:jc w:val="center"/>
        <w:rPr>
          <w:rFonts w:hint="default" w:ascii="仿宋" w:hAnsi="仿宋" w:eastAsia="仿宋" w:cs="仿宋"/>
          <w:b/>
          <w:color w:val="auto"/>
          <w:sz w:val="32"/>
          <w:szCs w:val="32"/>
          <w:highlight w:val="none"/>
          <w:lang w:val="en-US" w:eastAsia="zh-CN"/>
        </w:rPr>
      </w:pPr>
      <w:r>
        <w:rPr>
          <w:rFonts w:hint="eastAsia" w:ascii="仿宋" w:hAnsi="仿宋" w:eastAsia="仿宋" w:cs="仿宋"/>
          <w:b/>
          <w:color w:val="auto"/>
          <w:sz w:val="32"/>
          <w:szCs w:val="32"/>
          <w:highlight w:val="none"/>
        </w:rPr>
        <w:t>项目编号：</w:t>
      </w:r>
      <w:bookmarkStart w:id="0" w:name="OLE_LINK1"/>
      <w:r>
        <w:rPr>
          <w:rFonts w:hint="eastAsia" w:ascii="仿宋" w:hAnsi="仿宋" w:eastAsia="仿宋" w:cs="仿宋"/>
          <w:b/>
          <w:color w:val="auto"/>
          <w:sz w:val="32"/>
          <w:szCs w:val="32"/>
          <w:highlight w:val="none"/>
        </w:rPr>
        <w:t>JJZC202</w:t>
      </w:r>
      <w:r>
        <w:rPr>
          <w:rFonts w:hint="eastAsia" w:ascii="仿宋" w:hAnsi="仿宋" w:eastAsia="仿宋" w:cs="仿宋"/>
          <w:b/>
          <w:color w:val="auto"/>
          <w:sz w:val="32"/>
          <w:szCs w:val="32"/>
          <w:highlight w:val="none"/>
          <w:lang w:val="en-US" w:eastAsia="zh-CN"/>
        </w:rPr>
        <w:t>5</w:t>
      </w:r>
      <w:r>
        <w:rPr>
          <w:rFonts w:hint="eastAsia" w:ascii="仿宋" w:hAnsi="仿宋" w:eastAsia="仿宋" w:cs="仿宋"/>
          <w:b/>
          <w:color w:val="auto"/>
          <w:sz w:val="32"/>
          <w:szCs w:val="32"/>
          <w:highlight w:val="none"/>
        </w:rPr>
        <w:t>-</w:t>
      </w:r>
      <w:bookmarkEnd w:id="0"/>
      <w:r>
        <w:rPr>
          <w:rFonts w:hint="eastAsia" w:ascii="仿宋" w:hAnsi="仿宋" w:eastAsia="仿宋" w:cs="仿宋"/>
          <w:b/>
          <w:color w:val="auto"/>
          <w:sz w:val="32"/>
          <w:szCs w:val="32"/>
          <w:highlight w:val="none"/>
          <w:lang w:val="en-US" w:eastAsia="zh-CN"/>
        </w:rPr>
        <w:t>07-02</w:t>
      </w:r>
    </w:p>
    <w:p w14:paraId="0250DC77">
      <w:pPr>
        <w:jc w:val="center"/>
        <w:rPr>
          <w:rFonts w:ascii="仿宋" w:hAnsi="仿宋" w:eastAsia="仿宋" w:cs="仿宋"/>
          <w:b/>
          <w:color w:val="auto"/>
          <w:sz w:val="84"/>
          <w:szCs w:val="84"/>
          <w:highlight w:val="none"/>
        </w:rPr>
      </w:pPr>
      <w:r>
        <w:rPr>
          <w:rFonts w:hint="eastAsia" w:ascii="仿宋" w:hAnsi="仿宋" w:eastAsia="仿宋" w:cs="仿宋"/>
          <w:b/>
          <w:color w:val="auto"/>
          <w:sz w:val="84"/>
          <w:szCs w:val="84"/>
          <w:highlight w:val="none"/>
        </w:rPr>
        <w:t>招</w:t>
      </w:r>
    </w:p>
    <w:p w14:paraId="78BB86CE">
      <w:pPr>
        <w:jc w:val="center"/>
        <w:rPr>
          <w:rFonts w:ascii="仿宋" w:hAnsi="仿宋" w:eastAsia="仿宋" w:cs="仿宋"/>
          <w:b/>
          <w:color w:val="auto"/>
          <w:sz w:val="84"/>
          <w:szCs w:val="84"/>
          <w:highlight w:val="none"/>
        </w:rPr>
      </w:pPr>
      <w:r>
        <w:rPr>
          <w:rFonts w:hint="eastAsia" w:ascii="仿宋" w:hAnsi="仿宋" w:eastAsia="仿宋" w:cs="仿宋"/>
          <w:b/>
          <w:color w:val="auto"/>
          <w:sz w:val="84"/>
          <w:szCs w:val="84"/>
          <w:highlight w:val="none"/>
        </w:rPr>
        <w:t>标</w:t>
      </w:r>
    </w:p>
    <w:p w14:paraId="2C762DF2">
      <w:pPr>
        <w:jc w:val="center"/>
        <w:rPr>
          <w:rFonts w:ascii="仿宋" w:hAnsi="仿宋" w:eastAsia="仿宋" w:cs="仿宋"/>
          <w:b/>
          <w:color w:val="auto"/>
          <w:sz w:val="84"/>
          <w:szCs w:val="84"/>
          <w:highlight w:val="none"/>
        </w:rPr>
      </w:pPr>
      <w:r>
        <w:rPr>
          <w:rFonts w:hint="eastAsia" w:ascii="仿宋" w:hAnsi="仿宋" w:eastAsia="仿宋" w:cs="仿宋"/>
          <w:b/>
          <w:color w:val="auto"/>
          <w:sz w:val="84"/>
          <w:szCs w:val="84"/>
          <w:highlight w:val="none"/>
        </w:rPr>
        <w:t>文</w:t>
      </w:r>
    </w:p>
    <w:p w14:paraId="0044C14D">
      <w:pPr>
        <w:jc w:val="center"/>
        <w:rPr>
          <w:rFonts w:ascii="仿宋" w:hAnsi="仿宋" w:eastAsia="仿宋" w:cs="仿宋"/>
          <w:b/>
          <w:color w:val="auto"/>
          <w:sz w:val="48"/>
          <w:szCs w:val="48"/>
          <w:highlight w:val="none"/>
        </w:rPr>
      </w:pPr>
      <w:r>
        <w:rPr>
          <w:rFonts w:hint="eastAsia" w:ascii="仿宋" w:hAnsi="仿宋" w:eastAsia="仿宋" w:cs="仿宋"/>
          <w:b/>
          <w:color w:val="auto"/>
          <w:sz w:val="84"/>
          <w:szCs w:val="84"/>
          <w:highlight w:val="none"/>
        </w:rPr>
        <w:t>件</w:t>
      </w:r>
    </w:p>
    <w:p w14:paraId="134C321E">
      <w:pPr>
        <w:spacing w:before="120"/>
        <w:ind w:firstLine="0" w:firstLineChars="0"/>
        <w:rPr>
          <w:rFonts w:hint="eastAsia" w:ascii="仿宋" w:hAnsi="仿宋" w:eastAsia="仿宋" w:cs="仿宋"/>
          <w:b/>
          <w:color w:val="auto"/>
          <w:sz w:val="32"/>
          <w:szCs w:val="32"/>
          <w:highlight w:val="none"/>
        </w:rPr>
      </w:pPr>
    </w:p>
    <w:p w14:paraId="76E6D1BF">
      <w:pPr>
        <w:spacing w:before="120"/>
        <w:ind w:firstLine="0" w:firstLineChars="0"/>
        <w:rPr>
          <w:rFonts w:hint="eastAsia" w:ascii="仿宋" w:hAnsi="仿宋" w:eastAsia="仿宋" w:cs="仿宋"/>
          <w:b/>
          <w:color w:val="auto"/>
          <w:sz w:val="32"/>
          <w:szCs w:val="32"/>
          <w:highlight w:val="none"/>
        </w:rPr>
      </w:pPr>
    </w:p>
    <w:p w14:paraId="24FD9949">
      <w:pPr>
        <w:spacing w:before="120"/>
        <w:ind w:firstLine="0" w:firstLineChars="0"/>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rPr>
        <w:t>采 购 单 位：</w:t>
      </w:r>
      <w:r>
        <w:rPr>
          <w:rFonts w:hint="eastAsia" w:ascii="仿宋" w:hAnsi="仿宋" w:eastAsia="仿宋" w:cs="仿宋"/>
          <w:b/>
          <w:color w:val="auto"/>
          <w:sz w:val="32"/>
          <w:szCs w:val="32"/>
          <w:highlight w:val="none"/>
          <w:lang w:eastAsia="zh-CN"/>
        </w:rPr>
        <w:t>浙江临昌交通新材料有限公司</w:t>
      </w:r>
    </w:p>
    <w:p w14:paraId="4762D642">
      <w:pPr>
        <w:spacing w:before="120"/>
        <w:ind w:firstLine="0" w:firstLineChars="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代 理 单 位：建经投资咨询有限公司</w:t>
      </w:r>
    </w:p>
    <w:p w14:paraId="5DE5EA45">
      <w:pPr>
        <w:spacing w:before="120"/>
        <w:ind w:firstLine="0" w:firstLineChars="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lang w:val="en-US" w:eastAsia="zh-CN"/>
        </w:rPr>
        <w:t>监 督</w:t>
      </w:r>
      <w:r>
        <w:rPr>
          <w:rFonts w:hint="eastAsia" w:ascii="仿宋" w:hAnsi="仿宋" w:eastAsia="仿宋" w:cs="仿宋"/>
          <w:b/>
          <w:color w:val="auto"/>
          <w:sz w:val="32"/>
          <w:szCs w:val="32"/>
          <w:highlight w:val="none"/>
        </w:rPr>
        <w:t xml:space="preserve"> 单 位：杭州市临安区城市发展投资集团有限公司</w:t>
      </w:r>
      <w:r>
        <w:rPr>
          <w:rFonts w:hint="eastAsia" w:ascii="仿宋" w:hAnsi="仿宋" w:eastAsia="仿宋" w:cs="仿宋"/>
          <w:b/>
          <w:color w:val="auto"/>
          <w:sz w:val="32"/>
          <w:szCs w:val="32"/>
          <w:highlight w:val="none"/>
          <w:lang w:val="en-US" w:eastAsia="zh-CN"/>
        </w:rPr>
        <w:t>监督小组</w:t>
      </w:r>
    </w:p>
    <w:p w14:paraId="438B385D">
      <w:pPr>
        <w:spacing w:before="120"/>
        <w:ind w:firstLine="0"/>
        <w:jc w:val="center"/>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202</w:t>
      </w:r>
      <w:r>
        <w:rPr>
          <w:rFonts w:hint="eastAsia" w:ascii="仿宋" w:hAnsi="仿宋" w:eastAsia="仿宋" w:cs="仿宋"/>
          <w:b/>
          <w:color w:val="auto"/>
          <w:sz w:val="32"/>
          <w:szCs w:val="32"/>
          <w:highlight w:val="none"/>
          <w:lang w:val="en-US" w:eastAsia="zh-CN"/>
        </w:rPr>
        <w:t>5</w:t>
      </w:r>
      <w:r>
        <w:rPr>
          <w:rFonts w:hint="eastAsia" w:ascii="仿宋" w:hAnsi="仿宋" w:eastAsia="仿宋" w:cs="仿宋"/>
          <w:b/>
          <w:color w:val="auto"/>
          <w:sz w:val="32"/>
          <w:szCs w:val="32"/>
          <w:highlight w:val="none"/>
        </w:rPr>
        <w:t>年</w:t>
      </w:r>
      <w:r>
        <w:rPr>
          <w:rFonts w:hint="eastAsia" w:ascii="仿宋" w:hAnsi="仿宋" w:eastAsia="仿宋" w:cs="仿宋"/>
          <w:b/>
          <w:color w:val="auto"/>
          <w:sz w:val="32"/>
          <w:szCs w:val="32"/>
          <w:highlight w:val="none"/>
          <w:lang w:val="en-US" w:eastAsia="zh-CN"/>
        </w:rPr>
        <w:t>04</w:t>
      </w:r>
      <w:r>
        <w:rPr>
          <w:rFonts w:hint="eastAsia" w:ascii="仿宋" w:hAnsi="仿宋" w:eastAsia="仿宋" w:cs="仿宋"/>
          <w:b/>
          <w:color w:val="auto"/>
          <w:sz w:val="32"/>
          <w:szCs w:val="32"/>
          <w:highlight w:val="none"/>
        </w:rPr>
        <w:t>月</w:t>
      </w:r>
      <w:r>
        <w:rPr>
          <w:rFonts w:hint="eastAsia" w:ascii="仿宋" w:hAnsi="仿宋" w:eastAsia="仿宋" w:cs="仿宋"/>
          <w:b/>
          <w:color w:val="auto"/>
          <w:sz w:val="32"/>
          <w:szCs w:val="32"/>
          <w:highlight w:val="none"/>
          <w:lang w:val="en-US" w:eastAsia="zh-CN"/>
        </w:rPr>
        <w:t>03</w:t>
      </w:r>
      <w:r>
        <w:rPr>
          <w:rFonts w:hint="eastAsia" w:ascii="仿宋" w:hAnsi="仿宋" w:eastAsia="仿宋" w:cs="仿宋"/>
          <w:b/>
          <w:color w:val="auto"/>
          <w:sz w:val="32"/>
          <w:szCs w:val="32"/>
          <w:highlight w:val="none"/>
        </w:rPr>
        <w:t>日</w:t>
      </w:r>
    </w:p>
    <w:p w14:paraId="457D9530">
      <w:pPr>
        <w:ind w:firstLine="883"/>
        <w:jc w:val="center"/>
        <w:rPr>
          <w:rFonts w:ascii="仿宋" w:hAnsi="仿宋" w:eastAsia="仿宋" w:cs="仿宋"/>
          <w:color w:val="auto"/>
          <w:sz w:val="44"/>
          <w:szCs w:val="44"/>
          <w:highlight w:val="none"/>
        </w:rPr>
      </w:pPr>
    </w:p>
    <w:p w14:paraId="1C37F44B">
      <w:pPr>
        <w:ind w:firstLine="883"/>
        <w:jc w:val="center"/>
        <w:rPr>
          <w:rFonts w:ascii="仿宋" w:hAnsi="仿宋" w:eastAsia="仿宋" w:cs="仿宋"/>
          <w:color w:val="auto"/>
          <w:sz w:val="44"/>
          <w:szCs w:val="44"/>
          <w:highlight w:val="none"/>
        </w:rPr>
      </w:pPr>
    </w:p>
    <w:p w14:paraId="0639D8D7">
      <w:pPr>
        <w:pStyle w:val="19"/>
        <w:ind w:firstLine="640"/>
        <w:rPr>
          <w:rFonts w:cs="仿宋"/>
          <w:color w:val="auto"/>
          <w:highlight w:val="none"/>
        </w:rPr>
      </w:pPr>
    </w:p>
    <w:p w14:paraId="0CA9E2A3">
      <w:pPr>
        <w:rPr>
          <w:rFonts w:cs="仿宋"/>
          <w:color w:val="auto"/>
          <w:highlight w:val="none"/>
        </w:rPr>
      </w:pPr>
    </w:p>
    <w:p w14:paraId="77EA4EAE">
      <w:pPr>
        <w:pStyle w:val="2"/>
        <w:rPr>
          <w:color w:val="auto"/>
          <w:highlight w:val="none"/>
        </w:rPr>
      </w:pPr>
    </w:p>
    <w:p w14:paraId="4B55C108">
      <w:pPr>
        <w:pStyle w:val="19"/>
        <w:ind w:firstLine="720"/>
        <w:rPr>
          <w:rFonts w:cs="仿宋"/>
          <w:color w:val="auto"/>
          <w:sz w:val="36"/>
          <w:szCs w:val="36"/>
          <w:highlight w:val="none"/>
        </w:rPr>
      </w:pPr>
      <w:r>
        <w:rPr>
          <w:rFonts w:hint="eastAsia" w:cs="仿宋"/>
          <w:color w:val="auto"/>
          <w:sz w:val="36"/>
          <w:szCs w:val="36"/>
          <w:highlight w:val="none"/>
        </w:rPr>
        <w:t>目  录</w:t>
      </w:r>
    </w:p>
    <w:p w14:paraId="490EEC70">
      <w:pPr>
        <w:pStyle w:val="19"/>
        <w:ind w:firstLine="643"/>
        <w:rPr>
          <w:rFonts w:cs="仿宋"/>
          <w:color w:val="auto"/>
          <w:highlight w:val="none"/>
        </w:rPr>
      </w:pPr>
      <w:r>
        <w:rPr>
          <w:rFonts w:hint="eastAsia" w:cs="仿宋"/>
          <w:color w:val="auto"/>
          <w:highlight w:val="none"/>
        </w:rPr>
        <w:fldChar w:fldCharType="begin"/>
      </w:r>
      <w:r>
        <w:rPr>
          <w:rFonts w:hint="eastAsia" w:cs="仿宋"/>
          <w:color w:val="auto"/>
          <w:highlight w:val="none"/>
        </w:rPr>
        <w:instrText xml:space="preserve"> TOC \o "1-1" \h \z \u </w:instrText>
      </w:r>
      <w:r>
        <w:rPr>
          <w:rFonts w:hint="eastAsia" w:cs="仿宋"/>
          <w:color w:val="auto"/>
          <w:highlight w:val="none"/>
        </w:rPr>
        <w:fldChar w:fldCharType="separate"/>
      </w:r>
      <w:r>
        <w:rPr>
          <w:color w:val="auto"/>
          <w:highlight w:val="none"/>
        </w:rPr>
        <w:fldChar w:fldCharType="begin"/>
      </w:r>
      <w:r>
        <w:rPr>
          <w:color w:val="auto"/>
          <w:highlight w:val="none"/>
        </w:rPr>
        <w:instrText xml:space="preserve"> HYPERLINK \l "_Toc109240582" </w:instrText>
      </w:r>
      <w:r>
        <w:rPr>
          <w:color w:val="auto"/>
          <w:highlight w:val="none"/>
        </w:rPr>
        <w:fldChar w:fldCharType="separate"/>
      </w:r>
      <w:r>
        <w:rPr>
          <w:rStyle w:val="30"/>
          <w:rFonts w:hint="eastAsia" w:cs="仿宋"/>
          <w:bCs/>
          <w:color w:val="auto"/>
          <w:sz w:val="28"/>
          <w:szCs w:val="28"/>
          <w:highlight w:val="none"/>
        </w:rPr>
        <w:t>第一章  招标公告(非政府采购项目)</w:t>
      </w:r>
      <w:r>
        <w:rPr>
          <w:rFonts w:hint="eastAsia" w:cs="仿宋"/>
          <w:color w:val="auto"/>
          <w:highlight w:val="none"/>
        </w:rPr>
        <w:tab/>
      </w:r>
      <w:r>
        <w:rPr>
          <w:rFonts w:hint="eastAsia" w:cs="仿宋"/>
          <w:color w:val="auto"/>
          <w:highlight w:val="none"/>
        </w:rPr>
        <w:fldChar w:fldCharType="begin"/>
      </w:r>
      <w:r>
        <w:rPr>
          <w:rFonts w:hint="eastAsia" w:cs="仿宋"/>
          <w:color w:val="auto"/>
          <w:highlight w:val="none"/>
        </w:rPr>
        <w:instrText xml:space="preserve"> PAGEREF _Toc109240582 \h </w:instrText>
      </w:r>
      <w:r>
        <w:rPr>
          <w:rFonts w:hint="eastAsia" w:cs="仿宋"/>
          <w:color w:val="auto"/>
          <w:highlight w:val="none"/>
        </w:rPr>
        <w:fldChar w:fldCharType="separate"/>
      </w:r>
      <w:r>
        <w:rPr>
          <w:rFonts w:hint="eastAsia" w:cs="仿宋"/>
          <w:color w:val="auto"/>
          <w:highlight w:val="none"/>
        </w:rPr>
        <w:t>1</w:t>
      </w:r>
      <w:r>
        <w:rPr>
          <w:rFonts w:hint="eastAsia" w:cs="仿宋"/>
          <w:color w:val="auto"/>
          <w:highlight w:val="none"/>
        </w:rPr>
        <w:fldChar w:fldCharType="end"/>
      </w:r>
      <w:r>
        <w:rPr>
          <w:rFonts w:hint="eastAsia" w:cs="仿宋"/>
          <w:color w:val="auto"/>
          <w:highlight w:val="none"/>
        </w:rPr>
        <w:fldChar w:fldCharType="end"/>
      </w:r>
    </w:p>
    <w:p w14:paraId="1B2C76C3">
      <w:pPr>
        <w:pStyle w:val="19"/>
        <w:ind w:firstLine="640"/>
        <w:rPr>
          <w:rFonts w:cs="仿宋"/>
          <w:color w:val="auto"/>
          <w:highlight w:val="none"/>
        </w:rPr>
      </w:pPr>
      <w:r>
        <w:rPr>
          <w:color w:val="auto"/>
          <w:highlight w:val="none"/>
        </w:rPr>
        <w:fldChar w:fldCharType="begin"/>
      </w:r>
      <w:r>
        <w:rPr>
          <w:color w:val="auto"/>
          <w:highlight w:val="none"/>
        </w:rPr>
        <w:instrText xml:space="preserve"> HYPERLINK \l "_Toc109240583" </w:instrText>
      </w:r>
      <w:r>
        <w:rPr>
          <w:color w:val="auto"/>
          <w:highlight w:val="none"/>
        </w:rPr>
        <w:fldChar w:fldCharType="separate"/>
      </w:r>
      <w:r>
        <w:rPr>
          <w:rStyle w:val="30"/>
          <w:rFonts w:hint="eastAsia" w:cs="仿宋"/>
          <w:color w:val="auto"/>
          <w:sz w:val="28"/>
          <w:szCs w:val="28"/>
          <w:highlight w:val="none"/>
        </w:rPr>
        <w:t>第二章  投标人须知</w:t>
      </w:r>
      <w:r>
        <w:rPr>
          <w:rFonts w:hint="eastAsia" w:cs="仿宋"/>
          <w:color w:val="auto"/>
          <w:highlight w:val="none"/>
        </w:rPr>
        <w:tab/>
      </w:r>
      <w:r>
        <w:rPr>
          <w:rFonts w:hint="eastAsia" w:cs="仿宋"/>
          <w:color w:val="auto"/>
          <w:highlight w:val="none"/>
        </w:rPr>
        <w:fldChar w:fldCharType="begin"/>
      </w:r>
      <w:r>
        <w:rPr>
          <w:rFonts w:hint="eastAsia" w:cs="仿宋"/>
          <w:color w:val="auto"/>
          <w:highlight w:val="none"/>
        </w:rPr>
        <w:instrText xml:space="preserve"> PAGEREF _Toc109240583 \h </w:instrText>
      </w:r>
      <w:r>
        <w:rPr>
          <w:rFonts w:hint="eastAsia" w:cs="仿宋"/>
          <w:color w:val="auto"/>
          <w:highlight w:val="none"/>
        </w:rPr>
        <w:fldChar w:fldCharType="separate"/>
      </w:r>
      <w:r>
        <w:rPr>
          <w:rFonts w:hint="eastAsia" w:cs="仿宋"/>
          <w:color w:val="auto"/>
          <w:highlight w:val="none"/>
        </w:rPr>
        <w:t>6</w:t>
      </w:r>
      <w:r>
        <w:rPr>
          <w:rFonts w:hint="eastAsia" w:cs="仿宋"/>
          <w:color w:val="auto"/>
          <w:highlight w:val="none"/>
        </w:rPr>
        <w:fldChar w:fldCharType="end"/>
      </w:r>
      <w:r>
        <w:rPr>
          <w:rFonts w:hint="eastAsia" w:cs="仿宋"/>
          <w:color w:val="auto"/>
          <w:highlight w:val="none"/>
        </w:rPr>
        <w:fldChar w:fldCharType="end"/>
      </w:r>
    </w:p>
    <w:p w14:paraId="4697AADA">
      <w:pPr>
        <w:pStyle w:val="19"/>
        <w:ind w:firstLine="640"/>
        <w:rPr>
          <w:rFonts w:hint="default" w:eastAsia="仿宋" w:cs="仿宋"/>
          <w:color w:val="auto"/>
          <w:highlight w:val="none"/>
          <w:lang w:val="en-US" w:eastAsia="zh-CN"/>
        </w:rPr>
      </w:pPr>
      <w:r>
        <w:rPr>
          <w:color w:val="auto"/>
          <w:highlight w:val="none"/>
        </w:rPr>
        <w:fldChar w:fldCharType="begin"/>
      </w:r>
      <w:r>
        <w:rPr>
          <w:color w:val="auto"/>
          <w:highlight w:val="none"/>
        </w:rPr>
        <w:instrText xml:space="preserve"> HYPERLINK \l "_Toc109240584" </w:instrText>
      </w:r>
      <w:r>
        <w:rPr>
          <w:color w:val="auto"/>
          <w:highlight w:val="none"/>
        </w:rPr>
        <w:fldChar w:fldCharType="separate"/>
      </w:r>
      <w:r>
        <w:rPr>
          <w:rStyle w:val="30"/>
          <w:rFonts w:hint="eastAsia" w:cs="仿宋"/>
          <w:color w:val="auto"/>
          <w:sz w:val="28"/>
          <w:szCs w:val="28"/>
          <w:highlight w:val="none"/>
        </w:rPr>
        <w:t>第三章  评标办法及标准</w:t>
      </w:r>
      <w:r>
        <w:rPr>
          <w:rFonts w:hint="eastAsia" w:cs="仿宋"/>
          <w:color w:val="auto"/>
          <w:highlight w:val="none"/>
        </w:rPr>
        <w:tab/>
      </w:r>
      <w:r>
        <w:rPr>
          <w:rFonts w:hint="eastAsia" w:cs="仿宋"/>
          <w:color w:val="auto"/>
          <w:highlight w:val="none"/>
        </w:rPr>
        <w:fldChar w:fldCharType="end"/>
      </w:r>
      <w:r>
        <w:rPr>
          <w:rFonts w:hint="eastAsia" w:cs="仿宋"/>
          <w:color w:val="auto"/>
          <w:highlight w:val="none"/>
          <w:lang w:val="en-US" w:eastAsia="zh-CN"/>
        </w:rPr>
        <w:t>20</w:t>
      </w:r>
    </w:p>
    <w:p w14:paraId="3FC8A4A0">
      <w:pPr>
        <w:pStyle w:val="19"/>
        <w:ind w:firstLine="640"/>
        <w:rPr>
          <w:rFonts w:hint="eastAsia" w:eastAsia="仿宋" w:cs="仿宋"/>
          <w:color w:val="auto"/>
          <w:highlight w:val="none"/>
          <w:lang w:eastAsia="zh-CN"/>
        </w:rPr>
      </w:pPr>
      <w:r>
        <w:rPr>
          <w:color w:val="auto"/>
          <w:highlight w:val="none"/>
        </w:rPr>
        <w:fldChar w:fldCharType="begin"/>
      </w:r>
      <w:r>
        <w:rPr>
          <w:color w:val="auto"/>
          <w:highlight w:val="none"/>
        </w:rPr>
        <w:instrText xml:space="preserve"> HYPERLINK \l "_Toc109240585" </w:instrText>
      </w:r>
      <w:r>
        <w:rPr>
          <w:color w:val="auto"/>
          <w:highlight w:val="none"/>
        </w:rPr>
        <w:fldChar w:fldCharType="separate"/>
      </w:r>
      <w:r>
        <w:rPr>
          <w:rStyle w:val="30"/>
          <w:rFonts w:hint="eastAsia" w:cs="仿宋"/>
          <w:color w:val="auto"/>
          <w:sz w:val="28"/>
          <w:szCs w:val="28"/>
          <w:highlight w:val="none"/>
        </w:rPr>
        <w:t>第四章  采购需求</w:t>
      </w:r>
      <w:r>
        <w:rPr>
          <w:rFonts w:hint="eastAsia" w:cs="仿宋"/>
          <w:color w:val="auto"/>
          <w:highlight w:val="none"/>
        </w:rPr>
        <w:tab/>
      </w:r>
      <w:r>
        <w:rPr>
          <w:rFonts w:hint="eastAsia" w:cs="仿宋"/>
          <w:color w:val="auto"/>
          <w:highlight w:val="none"/>
        </w:rPr>
        <w:fldChar w:fldCharType="end"/>
      </w:r>
      <w:r>
        <w:rPr>
          <w:rFonts w:hint="eastAsia" w:cs="仿宋"/>
          <w:color w:val="auto"/>
          <w:highlight w:val="none"/>
        </w:rPr>
        <w:t>2</w:t>
      </w:r>
      <w:r>
        <w:rPr>
          <w:rFonts w:hint="eastAsia" w:cs="仿宋"/>
          <w:color w:val="auto"/>
          <w:highlight w:val="none"/>
          <w:lang w:val="en-US" w:eastAsia="zh-CN"/>
        </w:rPr>
        <w:t>7</w:t>
      </w:r>
    </w:p>
    <w:p w14:paraId="18BCC124">
      <w:pPr>
        <w:pStyle w:val="19"/>
        <w:ind w:firstLine="640"/>
        <w:rPr>
          <w:rFonts w:hint="default" w:eastAsia="仿宋" w:cs="仿宋"/>
          <w:color w:val="auto"/>
          <w:highlight w:val="none"/>
          <w:lang w:val="en-US" w:eastAsia="zh-CN"/>
        </w:rPr>
      </w:pPr>
      <w:r>
        <w:rPr>
          <w:color w:val="auto"/>
          <w:highlight w:val="none"/>
        </w:rPr>
        <w:fldChar w:fldCharType="begin"/>
      </w:r>
      <w:r>
        <w:rPr>
          <w:color w:val="auto"/>
          <w:highlight w:val="none"/>
        </w:rPr>
        <w:instrText xml:space="preserve"> HYPERLINK \l "_Toc109240586" </w:instrText>
      </w:r>
      <w:r>
        <w:rPr>
          <w:color w:val="auto"/>
          <w:highlight w:val="none"/>
        </w:rPr>
        <w:fldChar w:fldCharType="separate"/>
      </w:r>
      <w:r>
        <w:rPr>
          <w:rStyle w:val="30"/>
          <w:rFonts w:hint="eastAsia" w:cs="仿宋"/>
          <w:color w:val="auto"/>
          <w:sz w:val="28"/>
          <w:szCs w:val="28"/>
          <w:highlight w:val="none"/>
        </w:rPr>
        <w:t>第五章  采购合同主要条款</w:t>
      </w:r>
      <w:r>
        <w:rPr>
          <w:rFonts w:hint="eastAsia" w:cs="仿宋"/>
          <w:color w:val="auto"/>
          <w:highlight w:val="none"/>
        </w:rPr>
        <w:tab/>
      </w:r>
      <w:r>
        <w:rPr>
          <w:rFonts w:hint="eastAsia" w:cs="仿宋"/>
          <w:color w:val="auto"/>
          <w:highlight w:val="none"/>
        </w:rPr>
        <w:fldChar w:fldCharType="end"/>
      </w:r>
      <w:r>
        <w:rPr>
          <w:rFonts w:hint="eastAsia" w:cs="仿宋"/>
          <w:color w:val="auto"/>
          <w:highlight w:val="none"/>
          <w:lang w:val="en-US" w:eastAsia="zh-CN"/>
        </w:rPr>
        <w:t>31</w:t>
      </w:r>
    </w:p>
    <w:p w14:paraId="33B27B8B">
      <w:pPr>
        <w:pStyle w:val="19"/>
        <w:ind w:firstLine="640"/>
        <w:rPr>
          <w:rFonts w:hint="default" w:eastAsia="仿宋" w:cs="仿宋"/>
          <w:color w:val="auto"/>
          <w:highlight w:val="none"/>
          <w:lang w:val="en-US" w:eastAsia="zh-CN"/>
        </w:rPr>
      </w:pPr>
      <w:r>
        <w:rPr>
          <w:color w:val="auto"/>
          <w:highlight w:val="none"/>
        </w:rPr>
        <w:fldChar w:fldCharType="begin"/>
      </w:r>
      <w:r>
        <w:rPr>
          <w:color w:val="auto"/>
          <w:highlight w:val="none"/>
        </w:rPr>
        <w:instrText xml:space="preserve"> HYPERLINK \l "_Toc109240587" </w:instrText>
      </w:r>
      <w:r>
        <w:rPr>
          <w:color w:val="auto"/>
          <w:highlight w:val="none"/>
        </w:rPr>
        <w:fldChar w:fldCharType="separate"/>
      </w:r>
      <w:r>
        <w:rPr>
          <w:rStyle w:val="30"/>
          <w:rFonts w:hint="eastAsia" w:cs="仿宋"/>
          <w:color w:val="auto"/>
          <w:sz w:val="28"/>
          <w:szCs w:val="28"/>
          <w:highlight w:val="none"/>
        </w:rPr>
        <w:t>第六章 投标文件格式附件</w:t>
      </w:r>
      <w:r>
        <w:rPr>
          <w:rFonts w:hint="eastAsia" w:cs="仿宋"/>
          <w:color w:val="auto"/>
          <w:highlight w:val="none"/>
        </w:rPr>
        <w:tab/>
      </w:r>
      <w:r>
        <w:rPr>
          <w:rFonts w:hint="eastAsia" w:cs="仿宋"/>
          <w:color w:val="auto"/>
          <w:highlight w:val="none"/>
        </w:rPr>
        <w:fldChar w:fldCharType="end"/>
      </w:r>
      <w:r>
        <w:rPr>
          <w:rFonts w:hint="eastAsia" w:cs="仿宋"/>
          <w:color w:val="auto"/>
          <w:highlight w:val="none"/>
          <w:lang w:val="en-US" w:eastAsia="zh-CN"/>
        </w:rPr>
        <w:t>37</w:t>
      </w:r>
    </w:p>
    <w:p w14:paraId="087BD89F">
      <w:pPr>
        <w:widowControl/>
        <w:ind w:firstLine="562"/>
        <w:jc w:val="left"/>
        <w:rPr>
          <w:rFonts w:ascii="仿宋" w:hAnsi="仿宋" w:eastAsia="仿宋" w:cs="仿宋"/>
          <w:color w:val="auto"/>
          <w:sz w:val="44"/>
          <w:szCs w:val="44"/>
          <w:highlight w:val="none"/>
        </w:rPr>
      </w:pPr>
      <w:r>
        <w:rPr>
          <w:rFonts w:hint="eastAsia" w:ascii="仿宋" w:hAnsi="仿宋" w:eastAsia="仿宋" w:cs="仿宋"/>
          <w:color w:val="auto"/>
          <w:sz w:val="28"/>
          <w:szCs w:val="28"/>
          <w:highlight w:val="none"/>
        </w:rPr>
        <w:fldChar w:fldCharType="end"/>
      </w:r>
    </w:p>
    <w:p w14:paraId="14D3322E">
      <w:pPr>
        <w:pStyle w:val="14"/>
        <w:snapToGrid w:val="0"/>
        <w:spacing w:before="0" w:beforeLines="0" w:afterLines="0" w:line="500" w:lineRule="exact"/>
        <w:ind w:firstLine="723"/>
        <w:jc w:val="center"/>
        <w:outlineLvl w:val="0"/>
        <w:rPr>
          <w:rFonts w:ascii="仿宋" w:hAnsi="仿宋" w:eastAsia="仿宋" w:cs="仿宋"/>
          <w:b/>
          <w:bCs/>
          <w:color w:val="auto"/>
          <w:sz w:val="36"/>
          <w:szCs w:val="36"/>
          <w:highlight w:val="none"/>
        </w:rPr>
        <w:sectPr>
          <w:headerReference r:id="rId3" w:type="default"/>
          <w:footerReference r:id="rId4" w:type="default"/>
          <w:pgSz w:w="11906" w:h="16838"/>
          <w:pgMar w:top="1417" w:right="1417" w:bottom="1417" w:left="1417" w:header="397" w:footer="794" w:gutter="0"/>
          <w:cols w:space="0" w:num="1"/>
          <w:docGrid w:type="lines" w:linePitch="312" w:charSpace="0"/>
        </w:sectPr>
      </w:pPr>
      <w:bookmarkStart w:id="1" w:name="_Toc109240582"/>
    </w:p>
    <w:p w14:paraId="4418725B">
      <w:pPr>
        <w:pStyle w:val="14"/>
        <w:snapToGrid w:val="0"/>
        <w:spacing w:before="0" w:beforeLines="0" w:afterLines="0" w:line="500" w:lineRule="exact"/>
        <w:ind w:firstLine="723"/>
        <w:jc w:val="center"/>
        <w:outlineLvl w:val="0"/>
        <w:rPr>
          <w:rFonts w:ascii="仿宋" w:hAnsi="仿宋" w:eastAsia="仿宋" w:cs="仿宋"/>
          <w:color w:val="auto"/>
          <w:sz w:val="36"/>
          <w:szCs w:val="36"/>
          <w:highlight w:val="none"/>
        </w:rPr>
      </w:pPr>
      <w:r>
        <w:rPr>
          <w:rFonts w:hint="eastAsia" w:ascii="仿宋" w:hAnsi="仿宋" w:eastAsia="仿宋" w:cs="仿宋"/>
          <w:b/>
          <w:bCs/>
          <w:color w:val="auto"/>
          <w:sz w:val="36"/>
          <w:szCs w:val="36"/>
          <w:highlight w:val="none"/>
        </w:rPr>
        <w:t>第一章  招标公告(非政府采购项目)</w:t>
      </w:r>
      <w:bookmarkEnd w:id="1"/>
    </w:p>
    <w:p w14:paraId="5643B050">
      <w:pPr>
        <w:pStyle w:val="14"/>
        <w:spacing w:before="0" w:beforeLines="0" w:afterLines="0" w:line="440" w:lineRule="exact"/>
        <w:ind w:firstLine="470" w:firstLineChars="196"/>
        <w:rPr>
          <w:rFonts w:ascii="仿宋" w:hAnsi="仿宋" w:eastAsia="仿宋" w:cs="仿宋"/>
          <w:color w:val="auto"/>
          <w:highlight w:val="none"/>
        </w:rPr>
      </w:pPr>
      <w:r>
        <w:rPr>
          <w:rFonts w:hint="eastAsia" w:ascii="仿宋" w:hAnsi="仿宋" w:eastAsia="仿宋" w:cs="仿宋"/>
          <w:color w:val="auto"/>
          <w:highlight w:val="none"/>
          <w:u w:val="single"/>
          <w:lang w:eastAsia="zh-CN"/>
        </w:rPr>
        <w:t>浙江临昌交通新材料有限公司</w:t>
      </w:r>
      <w:r>
        <w:rPr>
          <w:rFonts w:hint="eastAsia" w:ascii="仿宋" w:hAnsi="仿宋" w:eastAsia="仿宋" w:cs="仿宋"/>
          <w:color w:val="auto"/>
          <w:highlight w:val="none"/>
        </w:rPr>
        <w:t>现就“</w:t>
      </w:r>
      <w:r>
        <w:rPr>
          <w:rFonts w:hint="eastAsia" w:ascii="仿宋" w:hAnsi="仿宋" w:eastAsia="仿宋" w:cs="仿宋"/>
          <w:color w:val="auto"/>
          <w:sz w:val="24"/>
          <w:szCs w:val="24"/>
          <w:highlight w:val="none"/>
          <w:u w:val="single"/>
          <w:lang w:eastAsia="zh-CN"/>
        </w:rPr>
        <w:t>浙江临昌交通新材料有限公司2025年度新矿粉采购（</w:t>
      </w:r>
      <w:r>
        <w:rPr>
          <w:rFonts w:hint="eastAsia" w:ascii="仿宋" w:hAnsi="仿宋" w:eastAsia="仿宋" w:cs="仿宋"/>
          <w:color w:val="auto"/>
          <w:sz w:val="24"/>
          <w:szCs w:val="24"/>
          <w:highlight w:val="none"/>
          <w:u w:val="single"/>
          <w:lang w:val="en-US" w:eastAsia="zh-CN"/>
        </w:rPr>
        <w:t>重新招标</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highlight w:val="none"/>
        </w:rPr>
        <w:t>”进行公开招标采购，欢迎符合要求的投标人前来投标。本项目的潜在投标人应在“乐采云”平台</w:t>
      </w:r>
      <w:r>
        <w:rPr>
          <w:rFonts w:hint="eastAsia" w:ascii="仿宋" w:hAnsi="仿宋" w:eastAsia="仿宋" w:cs="仿宋"/>
          <w:color w:val="auto"/>
          <w:highlight w:val="none"/>
          <w:u w:val="single"/>
        </w:rPr>
        <w:t xml:space="preserve"> </w:t>
      </w:r>
      <w:r>
        <w:rPr>
          <w:color w:val="auto"/>
          <w:highlight w:val="none"/>
        </w:rPr>
        <w:fldChar w:fldCharType="begin"/>
      </w:r>
      <w:r>
        <w:rPr>
          <w:color w:val="auto"/>
          <w:highlight w:val="none"/>
        </w:rPr>
        <w:instrText xml:space="preserve"> HYPERLINK "https://www.lecaiyun.com/" </w:instrText>
      </w:r>
      <w:r>
        <w:rPr>
          <w:color w:val="auto"/>
          <w:highlight w:val="none"/>
        </w:rPr>
        <w:fldChar w:fldCharType="separate"/>
      </w:r>
      <w:r>
        <w:rPr>
          <w:rStyle w:val="30"/>
          <w:rFonts w:hint="eastAsia" w:ascii="仿宋" w:hAnsi="仿宋" w:eastAsia="仿宋" w:cs="仿宋"/>
          <w:color w:val="auto"/>
          <w:highlight w:val="none"/>
        </w:rPr>
        <w:t>https://www.lecaiyun.com/</w:t>
      </w:r>
      <w:r>
        <w:rPr>
          <w:rStyle w:val="30"/>
          <w:rFonts w:hint="eastAsia" w:ascii="仿宋" w:hAnsi="仿宋" w:eastAsia="仿宋" w:cs="仿宋"/>
          <w:color w:val="auto"/>
          <w:highlight w:val="none"/>
        </w:rPr>
        <w:fldChar w:fldCharType="end"/>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获取（下载）采购文件，并于</w:t>
      </w:r>
      <w:r>
        <w:rPr>
          <w:rFonts w:hint="eastAsia" w:ascii="仿宋" w:hAnsi="仿宋" w:eastAsia="仿宋" w:cs="仿宋"/>
          <w:color w:val="0000FF"/>
          <w:highlight w:val="none"/>
          <w:u w:val="single"/>
        </w:rPr>
        <w:t xml:space="preserve"> </w:t>
      </w:r>
      <w:r>
        <w:rPr>
          <w:rFonts w:hint="eastAsia" w:ascii="仿宋" w:hAnsi="仿宋" w:eastAsia="仿宋" w:cs="仿宋"/>
          <w:b/>
          <w:bCs/>
          <w:color w:val="0000FF"/>
          <w:highlight w:val="none"/>
          <w:u w:val="single"/>
        </w:rPr>
        <w:t>202</w:t>
      </w:r>
      <w:r>
        <w:rPr>
          <w:rFonts w:hint="eastAsia" w:ascii="仿宋" w:hAnsi="仿宋" w:eastAsia="仿宋" w:cs="仿宋"/>
          <w:b/>
          <w:bCs/>
          <w:color w:val="0000FF"/>
          <w:highlight w:val="none"/>
          <w:u w:val="single"/>
          <w:lang w:val="en-US" w:eastAsia="zh-CN"/>
        </w:rPr>
        <w:t>5</w:t>
      </w:r>
      <w:r>
        <w:rPr>
          <w:rFonts w:hint="eastAsia" w:ascii="仿宋" w:hAnsi="仿宋" w:eastAsia="仿宋" w:cs="仿宋"/>
          <w:b/>
          <w:bCs/>
          <w:color w:val="0000FF"/>
          <w:highlight w:val="none"/>
          <w:u w:val="single"/>
        </w:rPr>
        <w:t>年</w:t>
      </w:r>
      <w:r>
        <w:rPr>
          <w:rFonts w:hint="eastAsia" w:ascii="仿宋" w:hAnsi="仿宋" w:eastAsia="仿宋" w:cs="仿宋"/>
          <w:b/>
          <w:bCs/>
          <w:color w:val="0000FF"/>
          <w:highlight w:val="none"/>
          <w:u w:val="single"/>
          <w:lang w:val="en-US" w:eastAsia="zh-CN"/>
        </w:rPr>
        <w:t>04</w:t>
      </w:r>
      <w:r>
        <w:rPr>
          <w:rFonts w:hint="eastAsia" w:ascii="仿宋" w:hAnsi="仿宋" w:eastAsia="仿宋" w:cs="仿宋"/>
          <w:b/>
          <w:bCs/>
          <w:color w:val="0000FF"/>
          <w:highlight w:val="none"/>
          <w:u w:val="single"/>
        </w:rPr>
        <w:t>月</w:t>
      </w:r>
      <w:r>
        <w:rPr>
          <w:rFonts w:hint="eastAsia" w:ascii="仿宋" w:hAnsi="仿宋" w:eastAsia="仿宋" w:cs="仿宋"/>
          <w:b/>
          <w:bCs/>
          <w:color w:val="0000FF"/>
          <w:highlight w:val="none"/>
          <w:u w:val="single"/>
          <w:lang w:val="en-US" w:eastAsia="zh-CN"/>
        </w:rPr>
        <w:t>23</w:t>
      </w:r>
      <w:r>
        <w:rPr>
          <w:rFonts w:hint="eastAsia" w:ascii="仿宋" w:hAnsi="仿宋" w:eastAsia="仿宋" w:cs="仿宋"/>
          <w:b/>
          <w:bCs/>
          <w:color w:val="0000FF"/>
          <w:highlight w:val="none"/>
          <w:u w:val="single"/>
        </w:rPr>
        <w:t>日</w:t>
      </w:r>
      <w:r>
        <w:rPr>
          <w:rFonts w:hint="eastAsia" w:ascii="仿宋" w:hAnsi="仿宋" w:eastAsia="仿宋" w:cs="仿宋"/>
          <w:b/>
          <w:bCs/>
          <w:color w:val="0000FF"/>
          <w:highlight w:val="none"/>
          <w:u w:val="single"/>
          <w:lang w:val="en-US" w:eastAsia="zh-CN"/>
        </w:rPr>
        <w:t xml:space="preserve">14 </w:t>
      </w:r>
      <w:r>
        <w:rPr>
          <w:rFonts w:hint="eastAsia" w:ascii="仿宋" w:hAnsi="仿宋" w:eastAsia="仿宋" w:cs="仿宋"/>
          <w:b/>
          <w:bCs/>
          <w:color w:val="0000FF"/>
          <w:highlight w:val="none"/>
          <w:u w:val="single"/>
        </w:rPr>
        <w:t>:</w:t>
      </w:r>
      <w:r>
        <w:rPr>
          <w:rFonts w:hint="eastAsia" w:ascii="仿宋" w:hAnsi="仿宋" w:eastAsia="仿宋" w:cs="仿宋"/>
          <w:b/>
          <w:bCs/>
          <w:color w:val="0000FF"/>
          <w:highlight w:val="none"/>
          <w:u w:val="single"/>
          <w:lang w:val="en-US" w:eastAsia="zh-CN"/>
        </w:rPr>
        <w:t>30</w:t>
      </w:r>
      <w:r>
        <w:rPr>
          <w:rFonts w:hint="eastAsia" w:ascii="仿宋" w:hAnsi="仿宋" w:eastAsia="仿宋" w:cs="仿宋"/>
          <w:color w:val="auto"/>
          <w:highlight w:val="none"/>
        </w:rPr>
        <w:t>（北京时间）前递交（上传）投标文件。</w:t>
      </w:r>
    </w:p>
    <w:p w14:paraId="7E1C1D00">
      <w:pPr>
        <w:pStyle w:val="14"/>
        <w:spacing w:before="0" w:beforeLines="0" w:afterLines="0" w:line="440" w:lineRule="exact"/>
        <w:ind w:firstLine="472" w:firstLineChars="196"/>
        <w:outlineLvl w:val="1"/>
        <w:rPr>
          <w:rFonts w:ascii="仿宋" w:hAnsi="仿宋" w:eastAsia="仿宋" w:cs="仿宋"/>
          <w:b/>
          <w:bCs/>
          <w:color w:val="auto"/>
          <w:highlight w:val="none"/>
        </w:rPr>
      </w:pPr>
      <w:r>
        <w:rPr>
          <w:rFonts w:hint="eastAsia" w:ascii="仿宋" w:hAnsi="仿宋" w:eastAsia="仿宋" w:cs="仿宋"/>
          <w:b/>
          <w:bCs/>
          <w:color w:val="auto"/>
          <w:highlight w:val="none"/>
        </w:rPr>
        <w:t>一、项目基本情况</w:t>
      </w:r>
    </w:p>
    <w:p w14:paraId="527277F2">
      <w:pPr>
        <w:spacing w:line="440" w:lineRule="exact"/>
        <w:ind w:firstLine="472" w:firstLineChars="196"/>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rPr>
        <w:t>1.项目名称：</w:t>
      </w:r>
      <w:r>
        <w:rPr>
          <w:rFonts w:hint="eastAsia" w:ascii="仿宋" w:hAnsi="仿宋" w:eastAsia="仿宋" w:cs="仿宋"/>
          <w:color w:val="auto"/>
          <w:sz w:val="24"/>
          <w:szCs w:val="24"/>
          <w:highlight w:val="none"/>
          <w:lang w:eastAsia="zh-CN"/>
        </w:rPr>
        <w:t>浙江临昌交通新材料有限公司2025年度新矿粉采购</w:t>
      </w:r>
      <w:r>
        <w:rPr>
          <w:rFonts w:hint="eastAsia" w:ascii="仿宋" w:hAnsi="仿宋" w:eastAsia="仿宋" w:cs="仿宋"/>
          <w:color w:val="auto"/>
          <w:sz w:val="24"/>
          <w:szCs w:val="24"/>
          <w:highlight w:val="none"/>
          <w:u w:val="none"/>
          <w:lang w:eastAsia="zh-CN"/>
        </w:rPr>
        <w:t>（</w:t>
      </w:r>
      <w:r>
        <w:rPr>
          <w:rFonts w:hint="eastAsia" w:ascii="仿宋" w:hAnsi="仿宋" w:eastAsia="仿宋" w:cs="仿宋"/>
          <w:color w:val="auto"/>
          <w:sz w:val="24"/>
          <w:szCs w:val="24"/>
          <w:highlight w:val="none"/>
          <w:u w:val="none"/>
          <w:lang w:val="en-US" w:eastAsia="zh-CN"/>
        </w:rPr>
        <w:t>重新招标</w:t>
      </w:r>
      <w:r>
        <w:rPr>
          <w:rFonts w:hint="eastAsia" w:ascii="仿宋" w:hAnsi="仿宋" w:eastAsia="仿宋" w:cs="仿宋"/>
          <w:color w:val="auto"/>
          <w:sz w:val="24"/>
          <w:szCs w:val="24"/>
          <w:highlight w:val="none"/>
          <w:u w:val="none"/>
          <w:lang w:eastAsia="zh-CN"/>
        </w:rPr>
        <w:t>）</w:t>
      </w:r>
    </w:p>
    <w:p w14:paraId="28E2B0CE">
      <w:pPr>
        <w:spacing w:line="440" w:lineRule="exact"/>
        <w:ind w:firstLine="472" w:firstLineChars="196"/>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rPr>
        <w:t>2.项目编号：</w:t>
      </w:r>
      <w:r>
        <w:rPr>
          <w:rFonts w:hint="eastAsia" w:ascii="仿宋" w:hAnsi="仿宋" w:eastAsia="仿宋" w:cs="仿宋"/>
          <w:color w:val="auto"/>
          <w:sz w:val="24"/>
          <w:szCs w:val="24"/>
          <w:highlight w:val="none"/>
        </w:rPr>
        <w:t>JJZC202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07-02</w:t>
      </w:r>
    </w:p>
    <w:p w14:paraId="31943613">
      <w:pPr>
        <w:spacing w:line="440" w:lineRule="exact"/>
        <w:ind w:firstLine="472" w:firstLineChars="196"/>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3.采购方式：</w:t>
      </w:r>
      <w:r>
        <w:rPr>
          <w:rFonts w:hint="eastAsia" w:ascii="仿宋" w:hAnsi="仿宋" w:eastAsia="仿宋" w:cs="仿宋"/>
          <w:bCs/>
          <w:color w:val="auto"/>
          <w:sz w:val="24"/>
          <w:szCs w:val="24"/>
          <w:highlight w:val="none"/>
        </w:rPr>
        <w:t>公开招标</w:t>
      </w:r>
    </w:p>
    <w:p w14:paraId="0CEE9D90">
      <w:pPr>
        <w:spacing w:line="440" w:lineRule="exact"/>
        <w:ind w:firstLine="472" w:firstLineChars="196"/>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4.采购需求：</w:t>
      </w:r>
    </w:p>
    <w:tbl>
      <w:tblPr>
        <w:tblStyle w:val="26"/>
        <w:tblW w:w="9069" w:type="dxa"/>
        <w:tblInd w:w="13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14"/>
        <w:gridCol w:w="2097"/>
        <w:gridCol w:w="4046"/>
        <w:gridCol w:w="2212"/>
      </w:tblGrid>
      <w:tr w14:paraId="2DA3C4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3" w:hRule="atLeast"/>
        </w:trPr>
        <w:tc>
          <w:tcPr>
            <w:tcW w:w="714" w:type="dxa"/>
            <w:noWrap w:val="0"/>
            <w:vAlign w:val="center"/>
          </w:tcPr>
          <w:p w14:paraId="733B858E">
            <w:pPr>
              <w:widowControl/>
              <w:spacing w:line="240" w:lineRule="auto"/>
              <w:ind w:firstLine="0" w:firstLineChars="0"/>
              <w:jc w:val="left"/>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序号</w:t>
            </w:r>
          </w:p>
        </w:tc>
        <w:tc>
          <w:tcPr>
            <w:tcW w:w="2097" w:type="dxa"/>
            <w:noWrap w:val="0"/>
            <w:vAlign w:val="center"/>
          </w:tcPr>
          <w:p w14:paraId="0AE32281">
            <w:pPr>
              <w:widowControl/>
              <w:spacing w:line="240" w:lineRule="auto"/>
              <w:ind w:firstLine="0" w:firstLineChars="0"/>
              <w:jc w:val="center"/>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货物名称</w:t>
            </w:r>
          </w:p>
        </w:tc>
        <w:tc>
          <w:tcPr>
            <w:tcW w:w="4046" w:type="dxa"/>
            <w:noWrap w:val="0"/>
            <w:vAlign w:val="center"/>
          </w:tcPr>
          <w:p w14:paraId="5E19575B">
            <w:pPr>
              <w:widowControl/>
              <w:spacing w:line="240" w:lineRule="auto"/>
              <w:ind w:firstLine="0" w:firstLineChars="0"/>
              <w:jc w:val="center"/>
              <w:rPr>
                <w:rFonts w:hint="eastAsia" w:ascii="仿宋" w:hAnsi="仿宋" w:eastAsia="仿宋" w:cs="仿宋"/>
                <w:b w:val="0"/>
                <w:bCs w:val="0"/>
                <w:color w:val="auto"/>
                <w:kern w:val="2"/>
                <w:sz w:val="24"/>
                <w:szCs w:val="24"/>
                <w:highlight w:val="none"/>
              </w:rPr>
            </w:pPr>
            <w:r>
              <w:rPr>
                <w:rFonts w:hint="eastAsia" w:ascii="仿宋" w:hAnsi="仿宋" w:eastAsia="仿宋" w:cs="仿宋"/>
                <w:b w:val="0"/>
                <w:bCs w:val="0"/>
                <w:color w:val="auto"/>
                <w:kern w:val="2"/>
                <w:sz w:val="24"/>
                <w:szCs w:val="24"/>
                <w:highlight w:val="none"/>
              </w:rPr>
              <w:t>综合单价（最高限价）</w:t>
            </w:r>
          </w:p>
        </w:tc>
        <w:tc>
          <w:tcPr>
            <w:tcW w:w="2212" w:type="dxa"/>
            <w:noWrap w:val="0"/>
            <w:vAlign w:val="center"/>
          </w:tcPr>
          <w:p w14:paraId="21C45C65">
            <w:pPr>
              <w:widowControl/>
              <w:spacing w:line="240" w:lineRule="auto"/>
              <w:ind w:firstLine="470" w:firstLineChars="196"/>
              <w:jc w:val="left"/>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kern w:val="2"/>
                <w:sz w:val="24"/>
                <w:szCs w:val="24"/>
                <w:highlight w:val="none"/>
              </w:rPr>
              <w:t>备注</w:t>
            </w:r>
          </w:p>
        </w:tc>
      </w:tr>
      <w:tr w14:paraId="4E26DC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88" w:hRule="atLeast"/>
        </w:trPr>
        <w:tc>
          <w:tcPr>
            <w:tcW w:w="714" w:type="dxa"/>
            <w:noWrap w:val="0"/>
            <w:vAlign w:val="center"/>
          </w:tcPr>
          <w:p w14:paraId="269C008D">
            <w:pPr>
              <w:widowControl/>
              <w:spacing w:line="240" w:lineRule="auto"/>
              <w:jc w:val="center"/>
              <w:rPr>
                <w:rFonts w:hint="eastAsia" w:ascii="仿宋" w:hAnsi="仿宋" w:eastAsia="仿宋" w:cs="仿宋"/>
                <w:color w:val="FF0000"/>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2097" w:type="dxa"/>
            <w:noWrap w:val="0"/>
            <w:vAlign w:val="center"/>
          </w:tcPr>
          <w:p w14:paraId="55F793BD">
            <w:pPr>
              <w:widowControl/>
              <w:spacing w:line="24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新矿粉</w:t>
            </w:r>
          </w:p>
        </w:tc>
        <w:tc>
          <w:tcPr>
            <w:tcW w:w="4046" w:type="dxa"/>
            <w:tcBorders>
              <w:bottom w:val="single" w:color="auto" w:sz="4" w:space="0"/>
            </w:tcBorders>
            <w:noWrap w:val="0"/>
            <w:vAlign w:val="center"/>
          </w:tcPr>
          <w:p w14:paraId="7D1E9242">
            <w:pPr>
              <w:widowControl/>
              <w:spacing w:line="240" w:lineRule="auto"/>
              <w:ind w:firstLine="0" w:firstLineChars="0"/>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b w:val="0"/>
                <w:color w:val="auto"/>
                <w:sz w:val="24"/>
                <w:szCs w:val="24"/>
                <w:highlight w:val="none"/>
                <w:lang w:val="en-US" w:eastAsia="zh-CN"/>
              </w:rPr>
              <w:t>190元/吨</w:t>
            </w:r>
          </w:p>
        </w:tc>
        <w:tc>
          <w:tcPr>
            <w:tcW w:w="2212" w:type="dxa"/>
            <w:noWrap w:val="0"/>
            <w:vAlign w:val="center"/>
          </w:tcPr>
          <w:p w14:paraId="5B0FFE7E">
            <w:pPr>
              <w:rPr>
                <w:color w:val="auto"/>
              </w:rPr>
            </w:pPr>
            <w:r>
              <w:rPr>
                <w:rFonts w:hint="eastAsia" w:ascii="仿宋" w:hAnsi="仿宋" w:eastAsia="仿宋" w:cs="仿宋"/>
                <w:color w:val="auto"/>
                <w:kern w:val="2"/>
                <w:sz w:val="24"/>
                <w:szCs w:val="24"/>
                <w:highlight w:val="none"/>
                <w:lang w:val="en-US" w:eastAsia="zh-CN"/>
              </w:rPr>
              <w:t>成交1家单位。（含13%增值税）</w:t>
            </w:r>
          </w:p>
        </w:tc>
      </w:tr>
      <w:tr w14:paraId="43A3B1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5" w:hRule="atLeast"/>
        </w:trPr>
        <w:tc>
          <w:tcPr>
            <w:tcW w:w="9069" w:type="dxa"/>
            <w:gridSpan w:val="4"/>
            <w:noWrap w:val="0"/>
            <w:vAlign w:val="center"/>
          </w:tcPr>
          <w:p w14:paraId="2D4DDB04">
            <w:pPr>
              <w:widowControl/>
              <w:spacing w:line="240" w:lineRule="auto"/>
              <w:ind w:firstLine="470" w:firstLineChars="19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注：本项目的投标价格应为货到采购人指定地点的交货价格，包括但不限于产品</w:t>
            </w:r>
            <w:r>
              <w:rPr>
                <w:rFonts w:hint="eastAsia" w:ascii="仿宋" w:hAnsi="仿宋" w:eastAsia="仿宋" w:cs="仿宋"/>
                <w:color w:val="auto"/>
                <w:sz w:val="24"/>
                <w:szCs w:val="24"/>
                <w:highlight w:val="none"/>
                <w:lang w:val="en-US" w:eastAsia="zh-CN"/>
              </w:rPr>
              <w:t>货物</w:t>
            </w:r>
            <w:r>
              <w:rPr>
                <w:rFonts w:hint="eastAsia" w:ascii="仿宋" w:hAnsi="仿宋" w:eastAsia="仿宋" w:cs="仿宋"/>
                <w:color w:val="auto"/>
                <w:sz w:val="24"/>
                <w:szCs w:val="24"/>
                <w:highlight w:val="none"/>
              </w:rPr>
              <w:t>、税金、货运至指定地点[含运输、装卸、保险、包装费、货车加固费等）、人工、验收、技术服务（含技术培训等）、资料费、质检、验收、管理、招标代理费、售后服务、规费、安全文明、环境保护、风险（市场人工、材料价格波动等风险）、利润、不可预见费等完成本次项目涉及的一切费用。属于完成本次项目所必需的但投标人未列入报价的费用将被视为投标人优惠，采购人均不予支付。</w:t>
            </w:r>
          </w:p>
        </w:tc>
      </w:tr>
    </w:tbl>
    <w:p w14:paraId="282D9FCC">
      <w:pPr>
        <w:pStyle w:val="14"/>
        <w:spacing w:before="0" w:beforeLines="0" w:afterLines="0" w:line="440" w:lineRule="exact"/>
        <w:ind w:firstLine="472" w:firstLineChars="196"/>
        <w:outlineLvl w:val="1"/>
        <w:rPr>
          <w:rFonts w:ascii="仿宋" w:hAnsi="仿宋" w:eastAsia="仿宋" w:cs="仿宋"/>
          <w:b/>
          <w:bCs/>
          <w:color w:val="auto"/>
          <w:highlight w:val="none"/>
        </w:rPr>
      </w:pPr>
      <w:r>
        <w:rPr>
          <w:rFonts w:hint="eastAsia" w:ascii="仿宋" w:hAnsi="仿宋" w:eastAsia="仿宋" w:cs="仿宋"/>
          <w:b/>
          <w:bCs/>
          <w:color w:val="auto"/>
          <w:highlight w:val="none"/>
        </w:rPr>
        <w:t>二、投标人的资格要求</w:t>
      </w:r>
    </w:p>
    <w:p w14:paraId="5CC4D110">
      <w:pPr>
        <w:pStyle w:val="14"/>
        <w:spacing w:before="0" w:beforeLines="0" w:afterLines="0" w:line="360" w:lineRule="auto"/>
        <w:ind w:firstLine="480" w:firstLineChars="200"/>
        <w:rPr>
          <w:rFonts w:ascii="仿宋" w:hAnsi="仿宋" w:eastAsia="仿宋" w:cs="仿宋"/>
          <w:bCs/>
          <w:color w:val="auto"/>
          <w:highlight w:val="none"/>
        </w:rPr>
      </w:pPr>
      <w:r>
        <w:rPr>
          <w:rFonts w:hint="eastAsia" w:ascii="仿宋" w:hAnsi="仿宋" w:eastAsia="仿宋" w:cs="仿宋"/>
          <w:bCs/>
          <w:color w:val="auto"/>
          <w:highlight w:val="none"/>
        </w:rPr>
        <w:t>1.符合《中华人民共和国政府采购法》第二十二条之规定；</w:t>
      </w:r>
    </w:p>
    <w:p w14:paraId="13132815">
      <w:pPr>
        <w:pStyle w:val="14"/>
        <w:spacing w:before="0" w:beforeLines="0" w:afterLines="0" w:line="360" w:lineRule="auto"/>
        <w:ind w:firstLine="480" w:firstLineChars="200"/>
        <w:rPr>
          <w:rFonts w:ascii="仿宋" w:hAnsi="仿宋" w:eastAsia="仿宋" w:cs="仿宋"/>
          <w:bCs/>
          <w:color w:val="auto"/>
          <w:highlight w:val="none"/>
        </w:rPr>
      </w:pPr>
      <w:r>
        <w:rPr>
          <w:rFonts w:hint="eastAsia" w:ascii="仿宋" w:hAnsi="仿宋" w:eastAsia="仿宋" w:cs="仿宋"/>
          <w:bCs/>
          <w:color w:val="auto"/>
          <w:highlight w:val="none"/>
        </w:rPr>
        <w:t>2.未被“信用中国”（www.creditchina.gov.cn）、中国政府采购网（www.ccgp.gov.cn）列入失信被执行人、重大税收违法案件当事人名单、政府采购严重违法失信行为记录名单；</w:t>
      </w:r>
    </w:p>
    <w:p w14:paraId="664798CC">
      <w:pPr>
        <w:pStyle w:val="14"/>
        <w:spacing w:before="0" w:beforeLines="0" w:afterLines="0" w:line="360" w:lineRule="auto"/>
        <w:ind w:firstLine="480" w:firstLineChars="200"/>
        <w:rPr>
          <w:rFonts w:hint="eastAsia" w:ascii="仿宋" w:hAnsi="仿宋" w:eastAsia="仿宋" w:cs="仿宋"/>
          <w:bCs/>
          <w:color w:val="auto"/>
          <w:highlight w:val="none"/>
        </w:rPr>
      </w:pPr>
      <w:r>
        <w:rPr>
          <w:rFonts w:hint="eastAsia" w:ascii="仿宋" w:hAnsi="仿宋" w:eastAsia="仿宋" w:cs="仿宋"/>
          <w:bCs/>
          <w:color w:val="auto"/>
          <w:highlight w:val="none"/>
        </w:rPr>
        <w:t>3.单位负责人为同一人或者存在直接控股、管理关系的不同投标人，不得参加同一合同项下的采购活动；</w:t>
      </w:r>
    </w:p>
    <w:p w14:paraId="7EB2816F">
      <w:pPr>
        <w:pStyle w:val="14"/>
        <w:keepNext w:val="0"/>
        <w:keepLines w:val="0"/>
        <w:pageBreakBefore w:val="0"/>
        <w:widowControl w:val="0"/>
        <w:kinsoku/>
        <w:wordWrap/>
        <w:overflowPunct/>
        <w:topLinePunct w:val="0"/>
        <w:autoSpaceDE/>
        <w:autoSpaceDN/>
        <w:bidi w:val="0"/>
        <w:adjustRightInd/>
        <w:snapToGrid/>
        <w:spacing w:before="0" w:beforeLines="0" w:afterLines="0" w:line="360" w:lineRule="auto"/>
        <w:ind w:left="0" w:firstLine="480" w:firstLineChars="200"/>
        <w:textAlignment w:val="auto"/>
        <w:rPr>
          <w:rFonts w:ascii="仿宋" w:hAnsi="仿宋" w:eastAsia="仿宋" w:cs="仿宋"/>
          <w:bCs/>
          <w:color w:val="auto"/>
          <w:highlight w:val="none"/>
        </w:rPr>
      </w:pPr>
      <w:r>
        <w:rPr>
          <w:rFonts w:hint="eastAsia" w:ascii="仿宋" w:hAnsi="仿宋" w:eastAsia="仿宋" w:cs="仿宋"/>
          <w:bCs/>
          <w:color w:val="auto"/>
          <w:highlight w:val="none"/>
          <w:lang w:val="en-US" w:eastAsia="zh-CN"/>
        </w:rPr>
        <w:t>4</w:t>
      </w:r>
      <w:r>
        <w:rPr>
          <w:rFonts w:hint="eastAsia" w:ascii="仿宋" w:hAnsi="仿宋" w:eastAsia="仿宋" w:cs="仿宋"/>
          <w:bCs/>
          <w:color w:val="auto"/>
          <w:highlight w:val="none"/>
        </w:rPr>
        <w:t>.</w:t>
      </w:r>
      <w:r>
        <w:rPr>
          <w:rFonts w:ascii="仿宋" w:hAnsi="仿宋" w:eastAsia="仿宋" w:cs="仿宋"/>
          <w:bCs/>
          <w:color w:val="auto"/>
          <w:highlight w:val="none"/>
        </w:rPr>
        <w:t>本项目接受联合体投标：</w:t>
      </w:r>
      <w:r>
        <w:rPr>
          <w:rFonts w:hint="eastAsia" w:ascii="仿宋_GB2312" w:hAnsi="仿宋_GB2312" w:eastAsia="仿宋_GB2312" w:cs="仿宋_GB2312"/>
          <w:color w:val="auto"/>
          <w:sz w:val="28"/>
          <w:szCs w:val="28"/>
          <w:highlight w:val="none"/>
        </w:rPr>
        <w:sym w:font="Wingdings" w:char="00A8"/>
      </w:r>
      <w:r>
        <w:rPr>
          <w:rFonts w:ascii="仿宋" w:hAnsi="仿宋" w:eastAsia="仿宋" w:cs="仿宋"/>
          <w:bCs/>
          <w:color w:val="auto"/>
          <w:highlight w:val="none"/>
        </w:rPr>
        <w:t>是，</w:t>
      </w:r>
      <w:r>
        <w:rPr>
          <w:rFonts w:hint="eastAsia" w:ascii="仿宋_GB2312" w:hAnsi="仿宋_GB2312" w:eastAsia="仿宋_GB2312" w:cs="仿宋_GB2312"/>
          <w:color w:val="auto"/>
          <w:sz w:val="28"/>
          <w:szCs w:val="28"/>
          <w:highlight w:val="none"/>
        </w:rPr>
        <w:sym w:font="Wingdings" w:char="00FE"/>
      </w:r>
      <w:r>
        <w:rPr>
          <w:rFonts w:ascii="仿宋" w:hAnsi="仿宋" w:eastAsia="仿宋" w:cs="仿宋"/>
          <w:bCs/>
          <w:color w:val="auto"/>
          <w:highlight w:val="none"/>
        </w:rPr>
        <w:t>否。</w:t>
      </w:r>
    </w:p>
    <w:p w14:paraId="2168EC43">
      <w:pPr>
        <w:pStyle w:val="14"/>
        <w:spacing w:before="0" w:beforeLines="0" w:afterLines="0" w:line="360" w:lineRule="auto"/>
        <w:ind w:firstLine="480" w:firstLineChars="200"/>
        <w:rPr>
          <w:rFonts w:ascii="仿宋" w:hAnsi="仿宋" w:eastAsia="仿宋" w:cs="仿宋"/>
          <w:bCs/>
          <w:color w:val="auto"/>
          <w:highlight w:val="none"/>
        </w:rPr>
      </w:pPr>
      <w:r>
        <w:rPr>
          <w:rFonts w:hint="eastAsia" w:ascii="仿宋" w:hAnsi="仿宋" w:eastAsia="仿宋" w:cs="仿宋"/>
          <w:bCs/>
          <w:color w:val="auto"/>
          <w:highlight w:val="none"/>
        </w:rPr>
        <w:t>以联合体形式投标的，提供联合协议</w:t>
      </w:r>
      <w:r>
        <w:rPr>
          <w:rFonts w:ascii="仿宋" w:hAnsi="仿宋" w:eastAsia="仿宋" w:cs="仿宋"/>
          <w:bCs/>
          <w:color w:val="auto"/>
          <w:highlight w:val="none"/>
        </w:rPr>
        <w:t>(本项目不接受联合体投标或者投标人不以联合体形式投标的，则不需要提供)</w:t>
      </w:r>
    </w:p>
    <w:p w14:paraId="495815DE">
      <w:pPr>
        <w:numPr>
          <w:ilvl w:val="-1"/>
          <w:numId w:val="0"/>
        </w:numPr>
        <w:spacing w:line="360" w:lineRule="auto"/>
        <w:ind w:firstLine="480" w:firstLineChars="200"/>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5.</w:t>
      </w:r>
      <w:r>
        <w:rPr>
          <w:rFonts w:hint="eastAsia" w:ascii="仿宋" w:hAnsi="仿宋" w:eastAsia="仿宋" w:cs="仿宋"/>
          <w:bCs/>
          <w:color w:val="auto"/>
          <w:kern w:val="0"/>
          <w:sz w:val="24"/>
          <w:szCs w:val="24"/>
          <w:highlight w:val="none"/>
        </w:rPr>
        <w:t>落实政府采购政策需满足的资格要求：</w:t>
      </w:r>
    </w:p>
    <w:p w14:paraId="62D5BC48">
      <w:pPr>
        <w:spacing w:line="360" w:lineRule="auto"/>
        <w:rPr>
          <w:rFonts w:ascii="仿宋" w:hAnsi="仿宋" w:eastAsia="仿宋" w:cs="仿宋"/>
          <w:bCs/>
          <w:color w:val="auto"/>
          <w:kern w:val="0"/>
          <w:sz w:val="24"/>
          <w:szCs w:val="24"/>
          <w:highlight w:val="none"/>
        </w:rPr>
        <w:sectPr>
          <w:footerReference r:id="rId5" w:type="default"/>
          <w:pgSz w:w="11906" w:h="16838"/>
          <w:pgMar w:top="1417" w:right="1417" w:bottom="1417" w:left="1417" w:header="454" w:footer="794" w:gutter="0"/>
          <w:pgNumType w:fmt="decimal" w:start="1"/>
          <w:cols w:space="0" w:num="1"/>
          <w:docGrid w:type="lines" w:linePitch="312" w:charSpace="0"/>
        </w:sectPr>
      </w:pPr>
    </w:p>
    <w:p w14:paraId="30FD50BA">
      <w:pPr>
        <w:spacing w:line="360" w:lineRule="auto"/>
        <w:rPr>
          <w:rFonts w:ascii="仿宋" w:hAnsi="仿宋" w:eastAsia="仿宋" w:cs="仿宋"/>
          <w:bCs/>
          <w:color w:val="auto"/>
          <w:kern w:val="0"/>
          <w:sz w:val="24"/>
          <w:szCs w:val="24"/>
          <w:highlight w:val="none"/>
        </w:rPr>
      </w:pPr>
      <w:r>
        <w:rPr>
          <w:rFonts w:ascii="仿宋" w:hAnsi="仿宋" w:eastAsia="仿宋" w:cs="仿宋"/>
          <w:bCs/>
          <w:color w:val="auto"/>
          <w:kern w:val="0"/>
          <w:sz w:val="24"/>
          <w:szCs w:val="24"/>
          <w:highlight w:val="none"/>
        </w:rPr>
        <w:t></w:t>
      </w:r>
      <w:r>
        <w:rPr>
          <w:rFonts w:hint="eastAsia" w:ascii="仿宋_GB2312" w:hAnsi="仿宋_GB2312" w:eastAsia="仿宋_GB2312" w:cs="仿宋_GB2312"/>
          <w:color w:val="auto"/>
          <w:sz w:val="28"/>
          <w:szCs w:val="28"/>
          <w:highlight w:val="none"/>
        </w:rPr>
        <w:sym w:font="Wingdings" w:char="00FE"/>
      </w:r>
      <w:r>
        <w:rPr>
          <w:rFonts w:hint="eastAsia" w:ascii="仿宋" w:hAnsi="仿宋" w:eastAsia="仿宋" w:cs="仿宋"/>
          <w:bCs/>
          <w:color w:val="auto"/>
          <w:kern w:val="0"/>
          <w:sz w:val="24"/>
          <w:szCs w:val="24"/>
          <w:highlight w:val="none"/>
          <w:lang w:val="en-US" w:eastAsia="zh-CN"/>
        </w:rPr>
        <w:t>无</w:t>
      </w:r>
      <w:r>
        <w:rPr>
          <w:rFonts w:ascii="仿宋" w:hAnsi="仿宋" w:eastAsia="仿宋" w:cs="仿宋"/>
          <w:bCs/>
          <w:color w:val="auto"/>
          <w:kern w:val="0"/>
          <w:sz w:val="24"/>
          <w:szCs w:val="24"/>
          <w:highlight w:val="none"/>
        </w:rPr>
        <w:t>：</w:t>
      </w:r>
    </w:p>
    <w:p w14:paraId="1C09076B">
      <w:pPr>
        <w:spacing w:line="360" w:lineRule="auto"/>
        <w:rPr>
          <w:rFonts w:ascii="仿宋" w:hAnsi="仿宋" w:eastAsia="仿宋" w:cs="仿宋"/>
          <w:bCs/>
          <w:color w:val="auto"/>
          <w:kern w:val="0"/>
          <w:sz w:val="24"/>
          <w:szCs w:val="24"/>
          <w:highlight w:val="none"/>
        </w:rPr>
      </w:pPr>
      <w:r>
        <w:rPr>
          <w:rFonts w:ascii="仿宋" w:hAnsi="仿宋" w:eastAsia="仿宋" w:cs="仿宋"/>
          <w:bCs/>
          <w:color w:val="auto"/>
          <w:kern w:val="0"/>
          <w:sz w:val="24"/>
          <w:szCs w:val="24"/>
          <w:highlight w:val="none"/>
        </w:rPr>
        <w:t></w:t>
      </w:r>
      <w:r>
        <w:rPr>
          <w:rFonts w:hint="eastAsia" w:ascii="仿宋_GB2312" w:hAnsi="仿宋_GB2312" w:eastAsia="仿宋_GB2312" w:cs="仿宋_GB2312"/>
          <w:color w:val="auto"/>
          <w:sz w:val="28"/>
          <w:szCs w:val="28"/>
          <w:highlight w:val="none"/>
        </w:rPr>
        <w:sym w:font="Wingdings" w:char="00A8"/>
      </w:r>
      <w:r>
        <w:rPr>
          <w:rFonts w:ascii="仿宋" w:hAnsi="仿宋" w:eastAsia="仿宋" w:cs="仿宋"/>
          <w:bCs/>
          <w:color w:val="auto"/>
          <w:kern w:val="0"/>
          <w:sz w:val="24"/>
          <w:szCs w:val="24"/>
          <w:highlight w:val="none"/>
        </w:rPr>
        <w:t>专门面向中小企业：</w:t>
      </w:r>
    </w:p>
    <w:p w14:paraId="2D925B9E">
      <w:pPr>
        <w:spacing w:line="360" w:lineRule="auto"/>
        <w:rPr>
          <w:rFonts w:ascii="仿宋" w:hAnsi="仿宋" w:eastAsia="仿宋" w:cs="仿宋"/>
          <w:bCs/>
          <w:color w:val="auto"/>
          <w:kern w:val="0"/>
          <w:sz w:val="24"/>
          <w:szCs w:val="24"/>
          <w:highlight w:val="none"/>
        </w:rPr>
      </w:pPr>
      <w:r>
        <w:rPr>
          <w:rFonts w:ascii="仿宋" w:hAnsi="仿宋" w:eastAsia="仿宋" w:cs="仿宋"/>
          <w:bCs/>
          <w:color w:val="auto"/>
          <w:kern w:val="0"/>
          <w:sz w:val="24"/>
          <w:szCs w:val="24"/>
          <w:highlight w:val="none"/>
        </w:rPr>
        <w:t></w:t>
      </w:r>
      <w:r>
        <w:rPr>
          <w:rFonts w:hint="eastAsia" w:ascii="仿宋_GB2312" w:hAnsi="仿宋_GB2312" w:eastAsia="仿宋_GB2312" w:cs="仿宋_GB2312"/>
          <w:color w:val="auto"/>
          <w:sz w:val="28"/>
          <w:szCs w:val="28"/>
          <w:highlight w:val="none"/>
        </w:rPr>
        <w:sym w:font="Wingdings" w:char="00A8"/>
      </w:r>
      <w:r>
        <w:rPr>
          <w:rFonts w:ascii="仿宋" w:hAnsi="仿宋" w:eastAsia="仿宋" w:cs="仿宋"/>
          <w:bCs/>
          <w:color w:val="auto"/>
          <w:kern w:val="0"/>
          <w:sz w:val="24"/>
          <w:szCs w:val="24"/>
          <w:highlight w:val="none"/>
        </w:rPr>
        <w:t>货物全部由符合政策要求的中小</w:t>
      </w:r>
      <w:r>
        <w:rPr>
          <w:rFonts w:hint="eastAsia" w:ascii="仿宋" w:hAnsi="仿宋" w:eastAsia="仿宋" w:cs="仿宋"/>
          <w:bCs/>
          <w:color w:val="auto"/>
          <w:kern w:val="0"/>
          <w:sz w:val="24"/>
          <w:szCs w:val="24"/>
          <w:highlight w:val="none"/>
          <w:lang w:val="en-US" w:eastAsia="zh-CN"/>
        </w:rPr>
        <w:t>微</w:t>
      </w:r>
      <w:r>
        <w:rPr>
          <w:rFonts w:ascii="仿宋" w:hAnsi="仿宋" w:eastAsia="仿宋" w:cs="仿宋"/>
          <w:bCs/>
          <w:color w:val="auto"/>
          <w:kern w:val="0"/>
          <w:sz w:val="24"/>
          <w:szCs w:val="24"/>
          <w:highlight w:val="none"/>
        </w:rPr>
        <w:t>企业制造，提供中小企业声明函；</w:t>
      </w:r>
    </w:p>
    <w:p w14:paraId="35C3AD69">
      <w:pPr>
        <w:spacing w:line="360" w:lineRule="auto"/>
        <w:ind w:firstLine="482"/>
        <w:rPr>
          <w:rFonts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w:t>
      </w:r>
      <w:r>
        <w:rPr>
          <w:rFonts w:ascii="仿宋" w:hAnsi="仿宋" w:eastAsia="仿宋" w:cs="仿宋"/>
          <w:bCs/>
          <w:color w:val="auto"/>
          <w:kern w:val="0"/>
          <w:sz w:val="24"/>
          <w:szCs w:val="24"/>
          <w:highlight w:val="none"/>
        </w:rPr>
        <w:t>货物全部由符合政策要求的小微企业制造，提供中小企业声明函；</w:t>
      </w:r>
    </w:p>
    <w:p w14:paraId="5E09A2FF">
      <w:pPr>
        <w:spacing w:line="360" w:lineRule="auto"/>
        <w:ind w:firstLine="482"/>
        <w:rPr>
          <w:rFonts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w:t>
      </w:r>
      <w:r>
        <w:rPr>
          <w:rFonts w:ascii="仿宋" w:hAnsi="仿宋" w:eastAsia="仿宋" w:cs="仿宋"/>
          <w:bCs/>
          <w:color w:val="auto"/>
          <w:kern w:val="0"/>
          <w:sz w:val="24"/>
          <w:szCs w:val="24"/>
          <w:highlight w:val="none"/>
        </w:rPr>
        <w:t>要求以联合体形式参加，提供联合协议和中小企业声明函，联合协议中中小企业合同金额应当达到  %，其中小微企业合同金额应当达到  %;如果供应商本身提供所有标的均由中小企业制造、承建或承接，并相应达到了前述比例要求，视同符合了资格条件，无需再与其他中小企业组成联合体参加政府采购活动，无需提供联合协议；</w:t>
      </w:r>
    </w:p>
    <w:p w14:paraId="533A5485">
      <w:pPr>
        <w:spacing w:line="360" w:lineRule="auto"/>
        <w:ind w:firstLine="482"/>
        <w:rPr>
          <w:rFonts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w:t>
      </w:r>
      <w:r>
        <w:rPr>
          <w:rFonts w:ascii="仿宋" w:hAnsi="仿宋" w:eastAsia="仿宋" w:cs="仿宋"/>
          <w:bCs/>
          <w:color w:val="auto"/>
          <w:kern w:val="0"/>
          <w:sz w:val="24"/>
          <w:szCs w:val="24"/>
          <w:highlight w:val="none"/>
        </w:rPr>
        <w:t>要求合同分包，提供分包意向协议和中小企业声明函，分包意向协议中中小企业合同金额应当达到达到   % ，其中小微企业合同金额应当达到   % ;如果供应商本身提供所有标的均由中小企业制造、承建或承接，并相应达到了前述比例要求，视同符合了资格条件，无需再向中小企业分包，无需提供分包意向协议；</w:t>
      </w:r>
    </w:p>
    <w:p w14:paraId="73FE280B">
      <w:pPr>
        <w:pStyle w:val="14"/>
        <w:spacing w:before="0" w:beforeLines="0" w:afterLines="0" w:line="440" w:lineRule="exact"/>
        <w:ind w:firstLine="472" w:firstLineChars="196"/>
        <w:outlineLvl w:val="1"/>
        <w:rPr>
          <w:rFonts w:ascii="仿宋" w:hAnsi="仿宋" w:eastAsia="仿宋" w:cs="仿宋"/>
          <w:b/>
          <w:bCs/>
          <w:color w:val="auto"/>
          <w:highlight w:val="none"/>
        </w:rPr>
      </w:pPr>
      <w:r>
        <w:rPr>
          <w:rFonts w:hint="eastAsia" w:ascii="仿宋" w:hAnsi="仿宋" w:eastAsia="仿宋" w:cs="仿宋"/>
          <w:b/>
          <w:bCs/>
          <w:color w:val="auto"/>
          <w:highlight w:val="none"/>
        </w:rPr>
        <w:t>三、获取采购文件</w:t>
      </w:r>
    </w:p>
    <w:p w14:paraId="5300D947">
      <w:pPr>
        <w:spacing w:line="440" w:lineRule="exact"/>
        <w:ind w:left="479" w:leftChars="228"/>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1.时间：</w:t>
      </w:r>
      <w:r>
        <w:rPr>
          <w:rFonts w:hint="eastAsia" w:ascii="仿宋" w:hAnsi="仿宋" w:eastAsia="仿宋" w:cs="仿宋"/>
          <w:b/>
          <w:bCs/>
          <w:color w:val="auto"/>
          <w:sz w:val="24"/>
          <w:szCs w:val="24"/>
          <w:highlight w:val="none"/>
        </w:rPr>
        <w:t>至</w:t>
      </w:r>
      <w:r>
        <w:rPr>
          <w:rFonts w:hint="eastAsia" w:ascii="仿宋" w:hAnsi="仿宋" w:eastAsia="仿宋" w:cs="仿宋"/>
          <w:b/>
          <w:bCs/>
          <w:color w:val="0000FF"/>
          <w:sz w:val="24"/>
          <w:szCs w:val="24"/>
          <w:highlight w:val="none"/>
          <w:u w:val="single"/>
        </w:rPr>
        <w:t xml:space="preserve"> 202</w:t>
      </w:r>
      <w:r>
        <w:rPr>
          <w:rFonts w:hint="eastAsia" w:ascii="仿宋" w:hAnsi="仿宋" w:eastAsia="仿宋" w:cs="仿宋"/>
          <w:b/>
          <w:bCs/>
          <w:color w:val="0000FF"/>
          <w:sz w:val="24"/>
          <w:szCs w:val="24"/>
          <w:highlight w:val="none"/>
          <w:u w:val="single"/>
          <w:lang w:val="en-US" w:eastAsia="zh-CN"/>
        </w:rPr>
        <w:t>5</w:t>
      </w:r>
      <w:r>
        <w:rPr>
          <w:rFonts w:hint="eastAsia" w:ascii="仿宋" w:hAnsi="仿宋" w:eastAsia="仿宋" w:cs="仿宋"/>
          <w:b/>
          <w:bCs/>
          <w:color w:val="0000FF"/>
          <w:sz w:val="24"/>
          <w:szCs w:val="24"/>
          <w:highlight w:val="none"/>
          <w:u w:val="single"/>
        </w:rPr>
        <w:t>年</w:t>
      </w:r>
      <w:r>
        <w:rPr>
          <w:rFonts w:hint="eastAsia" w:ascii="仿宋" w:hAnsi="仿宋" w:eastAsia="仿宋" w:cs="仿宋"/>
          <w:b/>
          <w:bCs/>
          <w:color w:val="0000FF"/>
          <w:sz w:val="24"/>
          <w:szCs w:val="24"/>
          <w:highlight w:val="none"/>
          <w:u w:val="single"/>
          <w:lang w:val="en-US" w:eastAsia="zh-CN"/>
        </w:rPr>
        <w:t>04</w:t>
      </w:r>
      <w:r>
        <w:rPr>
          <w:rFonts w:hint="eastAsia" w:ascii="仿宋" w:hAnsi="仿宋" w:eastAsia="仿宋" w:cs="仿宋"/>
          <w:b/>
          <w:bCs/>
          <w:color w:val="0000FF"/>
          <w:sz w:val="24"/>
          <w:szCs w:val="24"/>
          <w:highlight w:val="none"/>
          <w:u w:val="single"/>
        </w:rPr>
        <w:t>月</w:t>
      </w:r>
      <w:r>
        <w:rPr>
          <w:rFonts w:hint="eastAsia" w:ascii="仿宋" w:hAnsi="仿宋" w:eastAsia="仿宋" w:cs="仿宋"/>
          <w:b/>
          <w:bCs/>
          <w:color w:val="0000FF"/>
          <w:sz w:val="24"/>
          <w:szCs w:val="24"/>
          <w:highlight w:val="none"/>
          <w:u w:val="single"/>
          <w:lang w:val="en-US" w:eastAsia="zh-CN"/>
        </w:rPr>
        <w:t>23</w:t>
      </w:r>
      <w:r>
        <w:rPr>
          <w:rFonts w:hint="eastAsia" w:ascii="仿宋" w:hAnsi="仿宋" w:eastAsia="仿宋" w:cs="仿宋"/>
          <w:b/>
          <w:bCs/>
          <w:color w:val="0000FF"/>
          <w:sz w:val="24"/>
          <w:szCs w:val="24"/>
          <w:highlight w:val="none"/>
          <w:u w:val="single"/>
        </w:rPr>
        <w:t>日</w:t>
      </w:r>
      <w:r>
        <w:rPr>
          <w:rFonts w:hint="eastAsia" w:ascii="仿宋" w:hAnsi="仿宋" w:eastAsia="仿宋" w:cs="仿宋"/>
          <w:color w:val="auto"/>
          <w:sz w:val="24"/>
          <w:szCs w:val="24"/>
          <w:highlight w:val="none"/>
        </w:rPr>
        <w:t>，</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4AE6E2B3">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2.地点（网址）：乐采云平台（</w:t>
      </w:r>
      <w:r>
        <w:rPr>
          <w:color w:val="auto"/>
          <w:highlight w:val="none"/>
        </w:rPr>
        <w:fldChar w:fldCharType="begin"/>
      </w:r>
      <w:r>
        <w:rPr>
          <w:color w:val="auto"/>
          <w:highlight w:val="none"/>
        </w:rPr>
        <w:instrText xml:space="preserve"> HYPERLINK "https://www.lecaiyun.com/" </w:instrText>
      </w:r>
      <w:r>
        <w:rPr>
          <w:color w:val="auto"/>
          <w:highlight w:val="none"/>
        </w:rPr>
        <w:fldChar w:fldCharType="separate"/>
      </w:r>
      <w:r>
        <w:rPr>
          <w:rStyle w:val="30"/>
          <w:rFonts w:hint="eastAsia" w:ascii="仿宋" w:hAnsi="仿宋" w:eastAsia="仿宋" w:cs="仿宋"/>
          <w:color w:val="auto"/>
          <w:sz w:val="24"/>
          <w:szCs w:val="24"/>
          <w:highlight w:val="none"/>
        </w:rPr>
        <w:t>https://www.lecaiyun.com/</w:t>
      </w:r>
      <w:r>
        <w:rPr>
          <w:rStyle w:val="30"/>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w:t>
      </w:r>
    </w:p>
    <w:p w14:paraId="5FE8975C">
      <w:pPr>
        <w:spacing w:line="440" w:lineRule="exact"/>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方式：在线申请获取招标文件。供应商注册为正式供应商或临时供应商后，使用账号登录或者使用CA登录“乐采云”平台进入“项目采购”应用，在获取采购文件菜单中选择项目，申请获取采购文件。（注册账号--点击“商家入驻”，进行供应商资料填写；申领CA数字证书--申领流程详见“https://service.zcygov.cn/#/knowledges/cm2eqWwBFdiHxlNd_otq/lwV6GXABiyELHE-oVMj3”）</w:t>
      </w:r>
    </w:p>
    <w:p w14:paraId="681209F4">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4.售价：0元。</w:t>
      </w:r>
    </w:p>
    <w:p w14:paraId="25F6678F">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5.提示：</w:t>
      </w:r>
    </w:p>
    <w:p w14:paraId="4457B1CB">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采购监督管理部门投诉。质疑函范本、投诉书范本请到浙江政府采购网下载专区下载。</w:t>
      </w:r>
    </w:p>
    <w:p w14:paraId="4E0EA5F2">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（2）采购人依托乐采云平台完成本项目的电子交易活动，平台不接受未按上述方式获取采购文件的供应商进行投标活动；</w:t>
      </w:r>
    </w:p>
    <w:p w14:paraId="75BC04E3">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（3）对未按上述方式获取采购文件的供应商对该文件提出的质疑，采购人将不予处理；</w:t>
      </w:r>
    </w:p>
    <w:p w14:paraId="1049C3EE">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（4）采购人对已发出的采购文件等进行必要的澄清或者修改的，采购人将无法通过政采云平台通知未按上述方式获取采购文件的供应商；</w:t>
      </w:r>
    </w:p>
    <w:p w14:paraId="47A39A52">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招标公告所附采购文件仅供阅览使用，供应商只有在“乐采云”平台完成获取采购文件申请并下载了采购文件后才被视为合法获取了采购文件，否则投标将被拒绝。（供应商获取采购文件时间以供应商完成获取采购文件申请后下载采购文件的时间为准）。</w:t>
      </w:r>
    </w:p>
    <w:p w14:paraId="26CFF5FD">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注：请供应商按上述要求获取采购文件，如未在“乐采云”平台完成相关流程，引起的投标无效责任自负。</w:t>
      </w:r>
    </w:p>
    <w:p w14:paraId="3EAF4B62">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（6）本项目不提供采购文件纸质版。</w:t>
      </w:r>
    </w:p>
    <w:p w14:paraId="22E019EC">
      <w:pPr>
        <w:spacing w:line="440" w:lineRule="exact"/>
        <w:ind w:firstLine="482" w:firstLineChars="2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四、电子招投标的说明：</w:t>
      </w:r>
    </w:p>
    <w:p w14:paraId="280D0FE5">
      <w:pPr>
        <w:spacing w:line="440" w:lineRule="exact"/>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1.电子招投标：本项目以数据电文形式，依托“乐采云”平台（www.lecaiyun.com）”进行招投标活动，各投标人应按照本项目采购文件和“乐采云”平台的要求编制、加密并递交投标文件，不接受纸质投标文件。</w:t>
      </w:r>
    </w:p>
    <w:p w14:paraId="0B4DFC1D">
      <w:pPr>
        <w:spacing w:line="440" w:lineRule="exact"/>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2.投标准备：</w:t>
      </w:r>
    </w:p>
    <w:p w14:paraId="7088AF13">
      <w:pPr>
        <w:spacing w:line="440" w:lineRule="exact"/>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（1）注册账号--点击“商家入驻”，进行项目采购供应商资料填写，通过审核后成为正式供应商。</w:t>
      </w:r>
    </w:p>
    <w:p w14:paraId="4A5ACB1C">
      <w:pPr>
        <w:spacing w:line="440" w:lineRule="exact"/>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申领CA数字证书---申领流程详见“https://zfcg.czt.zj.gov.cn/bidClientTemplate/2019-05-27/12945.html”：投标人应在开标前完成CA数字证书办理，完成CA数字证书办理预计1-2周左右，各投标人应充分考虑办理时间等因素。办理流程详见:CA管理操作指南</w:t>
      </w:r>
      <w:r>
        <w:rPr>
          <w:color w:val="auto"/>
          <w:highlight w:val="none"/>
        </w:rPr>
        <w:fldChar w:fldCharType="begin"/>
      </w:r>
      <w:r>
        <w:rPr>
          <w:color w:val="auto"/>
          <w:highlight w:val="none"/>
        </w:rPr>
        <w:instrText xml:space="preserve"> HYPERLINK "https://service.zcygov.cn/" \l "/knowledges/cm2eqWwBFdiHxlNd_otq/lwV6GXABiyELHE-oVMj3" </w:instrText>
      </w:r>
      <w:r>
        <w:rPr>
          <w:color w:val="auto"/>
          <w:highlight w:val="none"/>
        </w:rPr>
        <w:fldChar w:fldCharType="separate"/>
      </w:r>
      <w:r>
        <w:rPr>
          <w:rFonts w:hint="eastAsia" w:ascii="仿宋" w:hAnsi="仿宋" w:eastAsia="仿宋" w:cs="仿宋"/>
          <w:color w:val="auto"/>
          <w:sz w:val="24"/>
          <w:szCs w:val="24"/>
          <w:highlight w:val="none"/>
        </w:rPr>
        <w:t>https://service.zcygov.cn/#/knowledges/cm2eqWwBFdiHxlNd_otq/lwV6GXABiyELHE-oVMj3</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w:t>
      </w:r>
    </w:p>
    <w:p w14:paraId="01E04316">
      <w:pPr>
        <w:spacing w:line="440" w:lineRule="exact"/>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（3）安装“电子投标客户端”----投标人通过“乐采云”平台电子投标工具制作投标文件，客户端安装链接：</w:t>
      </w:r>
      <w:r>
        <w:rPr>
          <w:color w:val="auto"/>
          <w:highlight w:val="none"/>
        </w:rPr>
        <w:fldChar w:fldCharType="begin"/>
      </w:r>
      <w:r>
        <w:rPr>
          <w:color w:val="auto"/>
          <w:highlight w:val="none"/>
        </w:rPr>
        <w:instrText xml:space="preserve"> HYPERLINK "https://zfcg.czt.zj.gov.cn/bidClientTemplate/2021-11-01/12975.html" </w:instrText>
      </w:r>
      <w:r>
        <w:rPr>
          <w:color w:val="auto"/>
          <w:highlight w:val="none"/>
        </w:rPr>
        <w:fldChar w:fldCharType="separate"/>
      </w:r>
      <w:r>
        <w:rPr>
          <w:rStyle w:val="30"/>
          <w:rFonts w:hint="eastAsia" w:ascii="仿宋" w:hAnsi="仿宋" w:eastAsia="仿宋" w:cs="仿宋"/>
          <w:color w:val="auto"/>
          <w:sz w:val="24"/>
          <w:szCs w:val="24"/>
          <w:highlight w:val="none"/>
        </w:rPr>
        <w:t>https://zfcg.czt.zj.gov.cn/bidClientTemplate/2021-11-01/12975.html</w:t>
      </w:r>
      <w:r>
        <w:rPr>
          <w:rStyle w:val="30"/>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w:t>
      </w:r>
    </w:p>
    <w:p w14:paraId="01614D4F">
      <w:pPr>
        <w:spacing w:line="440" w:lineRule="exact"/>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3.采购文件的获取：使用账号登录或者使用CA登录政采云平台；进入“项目采购”应用，在获取采购文件菜单中选择项目，获取采购文件。</w:t>
      </w:r>
    </w:p>
    <w:p w14:paraId="3199517A">
      <w:pPr>
        <w:spacing w:line="440" w:lineRule="exact"/>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4.投标文件的制作：在“电子投标客户端”中完成“填写基本信息”、“导入投标文件”、“标书关联”、“标书检查”、“电子签名”、“生成电子标书”等操作。</w:t>
      </w:r>
    </w:p>
    <w:p w14:paraId="1647570B">
      <w:pPr>
        <w:spacing w:line="440" w:lineRule="exact"/>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5.投标文件的传输递交：投标人在投标截止时间前将加密的投标文件上传至“乐采云”平台。</w:t>
      </w:r>
    </w:p>
    <w:p w14:paraId="0136B6DB">
      <w:pPr>
        <w:spacing w:line="440" w:lineRule="exact"/>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6.投标文件的解密：投标人按照平台提示和采购文件的规定在开标时间起30分钟内完成在线解密。</w:t>
      </w:r>
    </w:p>
    <w:p w14:paraId="210E419F">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7.供应商在使用系统进行投标的过程中遇到涉及平台使用的任何问题，可致电乐采云平台技术支持热线咨询，联系方式：400-881-7190。</w:t>
      </w:r>
    </w:p>
    <w:p w14:paraId="3D50ECD3">
      <w:pPr>
        <w:pStyle w:val="8"/>
        <w:spacing w:beforeLines="0" w:line="440" w:lineRule="exact"/>
        <w:ind w:firstLine="436" w:firstLineChars="181"/>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五、提交投标文件截止时间与地点：</w:t>
      </w:r>
    </w:p>
    <w:p w14:paraId="7D40B704">
      <w:pPr>
        <w:pStyle w:val="8"/>
        <w:spacing w:beforeLines="0" w:line="440" w:lineRule="exact"/>
        <w:ind w:firstLine="434" w:firstLineChars="181"/>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1.提交投标文件截止时间：</w:t>
      </w:r>
      <w:r>
        <w:rPr>
          <w:rFonts w:hint="eastAsia" w:ascii="仿宋" w:hAnsi="仿宋" w:eastAsia="仿宋" w:cs="仿宋"/>
          <w:b/>
          <w:bCs/>
          <w:color w:val="0000FF"/>
          <w:sz w:val="24"/>
          <w:szCs w:val="24"/>
          <w:highlight w:val="none"/>
        </w:rPr>
        <w:t>202</w:t>
      </w:r>
      <w:r>
        <w:rPr>
          <w:rFonts w:hint="eastAsia" w:ascii="仿宋" w:hAnsi="仿宋" w:eastAsia="仿宋" w:cs="仿宋"/>
          <w:b/>
          <w:bCs/>
          <w:color w:val="0000FF"/>
          <w:sz w:val="24"/>
          <w:szCs w:val="24"/>
          <w:highlight w:val="none"/>
          <w:lang w:val="en-US" w:eastAsia="zh-CN"/>
        </w:rPr>
        <w:t>5</w:t>
      </w:r>
      <w:r>
        <w:rPr>
          <w:rFonts w:hint="eastAsia" w:ascii="仿宋" w:hAnsi="仿宋" w:eastAsia="仿宋" w:cs="仿宋"/>
          <w:b/>
          <w:bCs/>
          <w:color w:val="0000FF"/>
          <w:sz w:val="24"/>
          <w:szCs w:val="24"/>
          <w:highlight w:val="none"/>
        </w:rPr>
        <w:t>年</w:t>
      </w:r>
      <w:r>
        <w:rPr>
          <w:rFonts w:hint="eastAsia" w:ascii="仿宋" w:hAnsi="仿宋" w:eastAsia="仿宋" w:cs="仿宋"/>
          <w:b/>
          <w:bCs/>
          <w:color w:val="0000FF"/>
          <w:sz w:val="24"/>
          <w:szCs w:val="24"/>
          <w:highlight w:val="none"/>
          <w:lang w:val="en-US" w:eastAsia="zh-CN"/>
        </w:rPr>
        <w:t>04</w:t>
      </w:r>
      <w:r>
        <w:rPr>
          <w:rFonts w:hint="eastAsia" w:ascii="仿宋" w:hAnsi="仿宋" w:eastAsia="仿宋" w:cs="仿宋"/>
          <w:b/>
          <w:bCs/>
          <w:color w:val="0000FF"/>
          <w:sz w:val="24"/>
          <w:szCs w:val="24"/>
          <w:highlight w:val="none"/>
        </w:rPr>
        <w:t>月</w:t>
      </w:r>
      <w:r>
        <w:rPr>
          <w:rFonts w:hint="eastAsia" w:ascii="仿宋" w:hAnsi="仿宋" w:eastAsia="仿宋" w:cs="仿宋"/>
          <w:b/>
          <w:bCs/>
          <w:color w:val="0000FF"/>
          <w:sz w:val="24"/>
          <w:szCs w:val="24"/>
          <w:highlight w:val="none"/>
          <w:lang w:val="en-US" w:eastAsia="zh-CN"/>
        </w:rPr>
        <w:t>23</w:t>
      </w:r>
      <w:r>
        <w:rPr>
          <w:rFonts w:hint="eastAsia" w:ascii="仿宋" w:hAnsi="仿宋" w:eastAsia="仿宋" w:cs="仿宋"/>
          <w:b/>
          <w:bCs/>
          <w:color w:val="0000FF"/>
          <w:sz w:val="24"/>
          <w:szCs w:val="24"/>
          <w:highlight w:val="none"/>
        </w:rPr>
        <w:t>日</w:t>
      </w:r>
      <w:r>
        <w:rPr>
          <w:rFonts w:hint="eastAsia" w:ascii="仿宋" w:hAnsi="仿宋" w:eastAsia="仿宋" w:cs="仿宋"/>
          <w:b/>
          <w:bCs/>
          <w:color w:val="0000FF"/>
          <w:sz w:val="24"/>
          <w:szCs w:val="24"/>
          <w:highlight w:val="none"/>
          <w:lang w:val="en-US" w:eastAsia="zh-CN"/>
        </w:rPr>
        <w:t>14</w:t>
      </w:r>
      <w:r>
        <w:rPr>
          <w:rFonts w:hint="eastAsia" w:ascii="仿宋" w:hAnsi="仿宋" w:eastAsia="仿宋" w:cs="仿宋"/>
          <w:b/>
          <w:bCs/>
          <w:color w:val="0000FF"/>
          <w:sz w:val="24"/>
          <w:szCs w:val="24"/>
          <w:highlight w:val="none"/>
        </w:rPr>
        <w:t>时</w:t>
      </w:r>
      <w:r>
        <w:rPr>
          <w:rFonts w:hint="eastAsia" w:ascii="仿宋" w:hAnsi="仿宋" w:eastAsia="仿宋" w:cs="仿宋"/>
          <w:b/>
          <w:bCs/>
          <w:color w:val="0000FF"/>
          <w:sz w:val="24"/>
          <w:szCs w:val="24"/>
          <w:highlight w:val="none"/>
          <w:lang w:val="en-US" w:eastAsia="zh-CN"/>
        </w:rPr>
        <w:t>30</w:t>
      </w:r>
      <w:r>
        <w:rPr>
          <w:rFonts w:hint="eastAsia" w:ascii="仿宋" w:hAnsi="仿宋" w:eastAsia="仿宋" w:cs="仿宋"/>
          <w:b/>
          <w:bCs/>
          <w:color w:val="0000FF"/>
          <w:sz w:val="24"/>
          <w:szCs w:val="24"/>
          <w:highlight w:val="none"/>
        </w:rPr>
        <w:t>分</w:t>
      </w:r>
      <w:r>
        <w:rPr>
          <w:rFonts w:hint="eastAsia" w:ascii="仿宋" w:hAnsi="仿宋" w:eastAsia="仿宋" w:cs="仿宋"/>
          <w:color w:val="auto"/>
          <w:sz w:val="24"/>
          <w:szCs w:val="24"/>
          <w:highlight w:val="none"/>
        </w:rPr>
        <w:t>（北京时间）；</w:t>
      </w:r>
    </w:p>
    <w:p w14:paraId="4ED9968B">
      <w:pPr>
        <w:pStyle w:val="8"/>
        <w:spacing w:beforeLines="0" w:line="440" w:lineRule="exact"/>
        <w:ind w:firstLine="434" w:firstLineChars="181"/>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p w14:paraId="4B8BB6B1">
      <w:pPr>
        <w:pStyle w:val="8"/>
        <w:spacing w:beforeLines="0" w:line="440" w:lineRule="exact"/>
        <w:ind w:firstLine="434" w:firstLineChars="181"/>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3.投标地点（网址）：本项目采用全流程电子化交易，无须参加现场开标会</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r>
        <w:rPr>
          <w:color w:val="auto"/>
          <w:highlight w:val="none"/>
        </w:rPr>
        <w:fldChar w:fldCharType="begin"/>
      </w:r>
      <w:r>
        <w:rPr>
          <w:color w:val="auto"/>
          <w:highlight w:val="none"/>
        </w:rPr>
        <w:instrText xml:space="preserve"> HYPERLINK "https://www.lecaiyun.com/" </w:instrText>
      </w:r>
      <w:r>
        <w:rPr>
          <w:color w:val="auto"/>
          <w:highlight w:val="none"/>
        </w:rPr>
        <w:fldChar w:fldCharType="separate"/>
      </w:r>
      <w:r>
        <w:rPr>
          <w:rStyle w:val="30"/>
          <w:rFonts w:hint="eastAsia" w:ascii="仿宋" w:hAnsi="仿宋" w:eastAsia="仿宋" w:cs="仿宋"/>
          <w:color w:val="auto"/>
          <w:sz w:val="24"/>
          <w:szCs w:val="24"/>
          <w:highlight w:val="none"/>
        </w:rPr>
        <w:t>https://www.lecaiyun.com/</w:t>
      </w:r>
      <w:r>
        <w:rPr>
          <w:rStyle w:val="30"/>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w:t>
      </w:r>
    </w:p>
    <w:p w14:paraId="6E1D1660">
      <w:pPr>
        <w:pStyle w:val="8"/>
        <w:spacing w:beforeLines="0" w:line="440" w:lineRule="exact"/>
        <w:ind w:firstLine="436" w:firstLineChars="181"/>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六、开标时间与地点：</w:t>
      </w:r>
    </w:p>
    <w:p w14:paraId="50EFA9E0">
      <w:pPr>
        <w:pStyle w:val="8"/>
        <w:spacing w:beforeLines="0" w:line="440" w:lineRule="exact"/>
        <w:ind w:firstLine="434" w:firstLineChars="181"/>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1.开标时间：</w:t>
      </w:r>
      <w:r>
        <w:rPr>
          <w:rFonts w:hint="eastAsia" w:ascii="仿宋" w:hAnsi="仿宋" w:eastAsia="仿宋" w:cs="仿宋"/>
          <w:b/>
          <w:bCs/>
          <w:color w:val="0000FF"/>
          <w:sz w:val="24"/>
          <w:szCs w:val="24"/>
          <w:highlight w:val="none"/>
        </w:rPr>
        <w:t>202</w:t>
      </w:r>
      <w:r>
        <w:rPr>
          <w:rFonts w:hint="eastAsia" w:ascii="仿宋" w:hAnsi="仿宋" w:eastAsia="仿宋" w:cs="仿宋"/>
          <w:b/>
          <w:bCs/>
          <w:color w:val="0000FF"/>
          <w:sz w:val="24"/>
          <w:szCs w:val="24"/>
          <w:highlight w:val="none"/>
          <w:lang w:val="en-US" w:eastAsia="zh-CN"/>
        </w:rPr>
        <w:t>5</w:t>
      </w:r>
      <w:r>
        <w:rPr>
          <w:rFonts w:hint="eastAsia" w:ascii="仿宋" w:hAnsi="仿宋" w:eastAsia="仿宋" w:cs="仿宋"/>
          <w:b/>
          <w:bCs/>
          <w:color w:val="0000FF"/>
          <w:sz w:val="24"/>
          <w:szCs w:val="24"/>
          <w:highlight w:val="none"/>
        </w:rPr>
        <w:t>年</w:t>
      </w:r>
      <w:r>
        <w:rPr>
          <w:rFonts w:hint="eastAsia" w:ascii="仿宋" w:hAnsi="仿宋" w:eastAsia="仿宋" w:cs="仿宋"/>
          <w:b/>
          <w:bCs/>
          <w:color w:val="0000FF"/>
          <w:sz w:val="24"/>
          <w:szCs w:val="24"/>
          <w:highlight w:val="none"/>
          <w:lang w:val="en-US" w:eastAsia="zh-CN"/>
        </w:rPr>
        <w:t>04</w:t>
      </w:r>
      <w:r>
        <w:rPr>
          <w:rFonts w:hint="eastAsia" w:ascii="仿宋" w:hAnsi="仿宋" w:eastAsia="仿宋" w:cs="仿宋"/>
          <w:b/>
          <w:bCs/>
          <w:color w:val="0000FF"/>
          <w:sz w:val="24"/>
          <w:szCs w:val="24"/>
          <w:highlight w:val="none"/>
        </w:rPr>
        <w:t>月</w:t>
      </w:r>
      <w:r>
        <w:rPr>
          <w:rFonts w:hint="eastAsia" w:ascii="仿宋" w:hAnsi="仿宋" w:eastAsia="仿宋" w:cs="仿宋"/>
          <w:b/>
          <w:bCs/>
          <w:color w:val="0000FF"/>
          <w:sz w:val="24"/>
          <w:szCs w:val="24"/>
          <w:highlight w:val="none"/>
          <w:lang w:val="en-US" w:eastAsia="zh-CN"/>
        </w:rPr>
        <w:t>23</w:t>
      </w:r>
      <w:r>
        <w:rPr>
          <w:rFonts w:hint="eastAsia" w:ascii="仿宋" w:hAnsi="仿宋" w:eastAsia="仿宋" w:cs="仿宋"/>
          <w:b/>
          <w:bCs/>
          <w:color w:val="0000FF"/>
          <w:sz w:val="24"/>
          <w:szCs w:val="24"/>
          <w:highlight w:val="none"/>
        </w:rPr>
        <w:t>日</w:t>
      </w:r>
      <w:r>
        <w:rPr>
          <w:rFonts w:hint="eastAsia" w:ascii="仿宋" w:hAnsi="仿宋" w:eastAsia="仿宋" w:cs="仿宋"/>
          <w:b/>
          <w:bCs/>
          <w:color w:val="0000FF"/>
          <w:sz w:val="24"/>
          <w:szCs w:val="24"/>
          <w:highlight w:val="none"/>
          <w:lang w:val="en-US" w:eastAsia="zh-CN"/>
        </w:rPr>
        <w:t>14</w:t>
      </w:r>
      <w:r>
        <w:rPr>
          <w:rFonts w:hint="eastAsia" w:ascii="仿宋" w:hAnsi="仿宋" w:eastAsia="仿宋" w:cs="仿宋"/>
          <w:b/>
          <w:bCs/>
          <w:color w:val="0000FF"/>
          <w:sz w:val="24"/>
          <w:szCs w:val="24"/>
          <w:highlight w:val="none"/>
        </w:rPr>
        <w:t>时</w:t>
      </w:r>
      <w:r>
        <w:rPr>
          <w:rFonts w:hint="eastAsia" w:ascii="仿宋" w:hAnsi="仿宋" w:eastAsia="仿宋" w:cs="仿宋"/>
          <w:b/>
          <w:bCs/>
          <w:color w:val="0000FF"/>
          <w:sz w:val="24"/>
          <w:szCs w:val="24"/>
          <w:highlight w:val="none"/>
          <w:lang w:val="en-US" w:eastAsia="zh-CN"/>
        </w:rPr>
        <w:t>30</w:t>
      </w:r>
      <w:r>
        <w:rPr>
          <w:rFonts w:hint="eastAsia" w:ascii="仿宋" w:hAnsi="仿宋" w:eastAsia="仿宋" w:cs="仿宋"/>
          <w:b/>
          <w:bCs/>
          <w:color w:val="0000FF"/>
          <w:sz w:val="24"/>
          <w:szCs w:val="24"/>
          <w:highlight w:val="none"/>
        </w:rPr>
        <w:t>分</w:t>
      </w:r>
      <w:r>
        <w:rPr>
          <w:rFonts w:hint="eastAsia" w:ascii="仿宋" w:hAnsi="仿宋" w:eastAsia="仿宋" w:cs="仿宋"/>
          <w:color w:val="auto"/>
          <w:sz w:val="24"/>
          <w:szCs w:val="24"/>
          <w:highlight w:val="none"/>
        </w:rPr>
        <w:t>（北京时间）；</w:t>
      </w:r>
    </w:p>
    <w:p w14:paraId="47E4C6D6">
      <w:pPr>
        <w:pStyle w:val="8"/>
        <w:wordWrap w:val="0"/>
        <w:spacing w:beforeLines="0" w:line="440" w:lineRule="exact"/>
        <w:ind w:firstLine="434" w:firstLineChars="181"/>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2.开标地点（网址）：（</w:t>
      </w:r>
      <w:r>
        <w:rPr>
          <w:color w:val="auto"/>
          <w:highlight w:val="none"/>
        </w:rPr>
        <w:fldChar w:fldCharType="begin"/>
      </w:r>
      <w:r>
        <w:rPr>
          <w:color w:val="auto"/>
          <w:highlight w:val="none"/>
        </w:rPr>
        <w:instrText xml:space="preserve"> HYPERLINK "https://www.lecaiyun.com/" </w:instrText>
      </w:r>
      <w:r>
        <w:rPr>
          <w:color w:val="auto"/>
          <w:highlight w:val="none"/>
        </w:rPr>
        <w:fldChar w:fldCharType="separate"/>
      </w:r>
      <w:r>
        <w:rPr>
          <w:rStyle w:val="30"/>
          <w:rFonts w:hint="eastAsia" w:ascii="仿宋" w:hAnsi="仿宋" w:eastAsia="仿宋" w:cs="仿宋"/>
          <w:color w:val="auto"/>
          <w:sz w:val="24"/>
          <w:szCs w:val="24"/>
          <w:highlight w:val="none"/>
        </w:rPr>
        <w:t>https://www.lecaiyun.com/</w:t>
      </w:r>
      <w:r>
        <w:rPr>
          <w:rStyle w:val="30"/>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w:t>
      </w:r>
    </w:p>
    <w:p w14:paraId="4F9C5216">
      <w:pPr>
        <w:pStyle w:val="8"/>
        <w:spacing w:beforeLines="0" w:line="440" w:lineRule="exact"/>
        <w:ind w:firstLine="436" w:firstLineChars="181"/>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七、公告期限</w:t>
      </w:r>
    </w:p>
    <w:p w14:paraId="31F834DE">
      <w:pPr>
        <w:pStyle w:val="8"/>
        <w:spacing w:beforeLines="0" w:line="440" w:lineRule="exact"/>
        <w:ind w:firstLine="434" w:firstLineChars="181"/>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自本公告发布之日起5个工作日。</w:t>
      </w:r>
    </w:p>
    <w:p w14:paraId="22D51F09">
      <w:pPr>
        <w:pStyle w:val="14"/>
        <w:spacing w:before="0" w:beforeLines="0" w:afterLines="0" w:line="440" w:lineRule="exact"/>
        <w:ind w:firstLine="472" w:firstLineChars="196"/>
        <w:rPr>
          <w:rFonts w:ascii="仿宋" w:hAnsi="仿宋" w:eastAsia="仿宋" w:cs="仿宋"/>
          <w:snapToGrid w:val="0"/>
          <w:color w:val="auto"/>
          <w:kern w:val="28"/>
          <w:highlight w:val="none"/>
        </w:rPr>
      </w:pPr>
      <w:r>
        <w:rPr>
          <w:rFonts w:hint="eastAsia" w:ascii="仿宋" w:hAnsi="仿宋" w:eastAsia="仿宋" w:cs="仿宋"/>
          <w:b/>
          <w:snapToGrid w:val="0"/>
          <w:color w:val="auto"/>
          <w:kern w:val="28"/>
          <w:highlight w:val="none"/>
        </w:rPr>
        <w:t>八、对本次招标提出询问、质疑、投诉，请按以下方式联系</w:t>
      </w:r>
      <w:r>
        <w:rPr>
          <w:rFonts w:hint="eastAsia" w:ascii="仿宋" w:hAnsi="仿宋" w:eastAsia="仿宋" w:cs="仿宋"/>
          <w:b/>
          <w:bCs/>
          <w:color w:val="auto"/>
          <w:highlight w:val="none"/>
        </w:rPr>
        <w:t>：</w:t>
      </w:r>
    </w:p>
    <w:p w14:paraId="4B043887">
      <w:pPr>
        <w:widowControl/>
        <w:spacing w:line="440" w:lineRule="exact"/>
        <w:ind w:firstLine="480" w:firstLineChars="200"/>
        <w:jc w:val="left"/>
        <w:rPr>
          <w:rFonts w:ascii="仿宋" w:hAnsi="仿宋" w:eastAsia="仿宋" w:cs="仿宋"/>
          <w:bCs/>
          <w:color w:val="auto"/>
          <w:kern w:val="0"/>
          <w:sz w:val="24"/>
          <w:szCs w:val="24"/>
          <w:highlight w:val="none"/>
        </w:rPr>
      </w:pPr>
      <w:bookmarkStart w:id="2" w:name="OLE_LINK3"/>
      <w:r>
        <w:rPr>
          <w:rFonts w:hint="eastAsia" w:ascii="仿宋" w:hAnsi="仿宋" w:eastAsia="仿宋" w:cs="仿宋"/>
          <w:bCs/>
          <w:color w:val="auto"/>
          <w:kern w:val="0"/>
          <w:sz w:val="24"/>
          <w:szCs w:val="24"/>
          <w:highlight w:val="none"/>
        </w:rPr>
        <w:t>1.采购人信息：</w:t>
      </w:r>
    </w:p>
    <w:p w14:paraId="2FA154DA">
      <w:pPr>
        <w:widowControl/>
        <w:spacing w:line="440" w:lineRule="exact"/>
        <w:ind w:firstLine="480" w:firstLineChars="200"/>
        <w:jc w:val="left"/>
        <w:rPr>
          <w:rFonts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名  称：</w:t>
      </w:r>
      <w:r>
        <w:rPr>
          <w:rFonts w:hint="eastAsia" w:ascii="仿宋" w:hAnsi="仿宋" w:eastAsia="仿宋" w:cs="仿宋"/>
          <w:bCs/>
          <w:color w:val="auto"/>
          <w:kern w:val="0"/>
          <w:sz w:val="24"/>
          <w:szCs w:val="24"/>
          <w:highlight w:val="none"/>
          <w:lang w:eastAsia="zh-CN"/>
        </w:rPr>
        <w:t xml:space="preserve"> 浙江临昌交通新材料有限公司</w:t>
      </w:r>
    </w:p>
    <w:p w14:paraId="0C22121D">
      <w:pPr>
        <w:widowControl/>
        <w:spacing w:line="440" w:lineRule="exact"/>
        <w:ind w:firstLine="480" w:firstLineChars="200"/>
        <w:jc w:val="left"/>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rPr>
        <w:t>项目联系人：</w:t>
      </w:r>
      <w:r>
        <w:rPr>
          <w:rFonts w:hint="eastAsia" w:ascii="仿宋" w:hAnsi="仿宋" w:eastAsia="仿宋" w:cs="仿宋"/>
          <w:bCs/>
          <w:color w:val="auto"/>
          <w:kern w:val="0"/>
          <w:sz w:val="24"/>
          <w:szCs w:val="24"/>
          <w:highlight w:val="none"/>
          <w:lang w:val="en-US" w:eastAsia="zh-CN"/>
        </w:rPr>
        <w:t>余元海</w:t>
      </w:r>
    </w:p>
    <w:p w14:paraId="181FFADF">
      <w:pPr>
        <w:widowControl/>
        <w:spacing w:line="440" w:lineRule="exact"/>
        <w:ind w:firstLine="480" w:firstLineChars="200"/>
        <w:jc w:val="left"/>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联系电话：</w:t>
      </w:r>
      <w:r>
        <w:rPr>
          <w:rFonts w:hint="eastAsia" w:ascii="仿宋" w:hAnsi="仿宋" w:eastAsia="仿宋" w:cs="仿宋"/>
          <w:bCs/>
          <w:color w:val="auto"/>
          <w:kern w:val="0"/>
          <w:sz w:val="24"/>
          <w:szCs w:val="24"/>
          <w:highlight w:val="none"/>
          <w:lang w:val="en-US" w:eastAsia="zh-CN"/>
        </w:rPr>
        <w:t xml:space="preserve">18365352718 </w:t>
      </w:r>
    </w:p>
    <w:p w14:paraId="2C22B5A3">
      <w:pPr>
        <w:widowControl/>
        <w:spacing w:line="440" w:lineRule="exact"/>
        <w:ind w:firstLine="480" w:firstLineChars="200"/>
        <w:jc w:val="left"/>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rPr>
        <w:t>质疑联系人：</w:t>
      </w:r>
      <w:r>
        <w:rPr>
          <w:rFonts w:hint="eastAsia" w:ascii="仿宋" w:hAnsi="仿宋" w:eastAsia="仿宋" w:cs="仿宋"/>
          <w:bCs/>
          <w:color w:val="auto"/>
          <w:kern w:val="0"/>
          <w:sz w:val="24"/>
          <w:szCs w:val="24"/>
          <w:highlight w:val="none"/>
          <w:lang w:val="en-US" w:eastAsia="zh-CN"/>
        </w:rPr>
        <w:t xml:space="preserve">蒋鹏 </w:t>
      </w:r>
    </w:p>
    <w:p w14:paraId="7776A27D">
      <w:pPr>
        <w:widowControl/>
        <w:spacing w:line="440" w:lineRule="exact"/>
        <w:ind w:firstLine="480" w:firstLineChars="200"/>
        <w:jc w:val="left"/>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质疑联系人电话：</w:t>
      </w:r>
      <w:r>
        <w:rPr>
          <w:rFonts w:hint="eastAsia" w:ascii="仿宋" w:hAnsi="仿宋" w:eastAsia="仿宋" w:cs="仿宋"/>
          <w:bCs/>
          <w:color w:val="auto"/>
          <w:kern w:val="0"/>
          <w:sz w:val="24"/>
          <w:szCs w:val="24"/>
          <w:highlight w:val="none"/>
          <w:lang w:val="en-US" w:eastAsia="zh-CN"/>
        </w:rPr>
        <w:t xml:space="preserve">15968193388 </w:t>
      </w:r>
    </w:p>
    <w:p w14:paraId="0DAD44D8">
      <w:pPr>
        <w:widowControl/>
        <w:spacing w:line="440" w:lineRule="exact"/>
        <w:ind w:firstLine="480" w:firstLineChars="200"/>
        <w:jc w:val="left"/>
        <w:rPr>
          <w:rFonts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2.采购代理机构：建经投资咨询有限公司</w:t>
      </w:r>
    </w:p>
    <w:p w14:paraId="7690F7E7">
      <w:pPr>
        <w:widowControl/>
        <w:spacing w:line="440" w:lineRule="exact"/>
        <w:ind w:firstLine="480" w:firstLineChars="200"/>
        <w:jc w:val="left"/>
        <w:rPr>
          <w:rFonts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地    址：杭州市临安区锦城街道城中街730号3楼</w:t>
      </w:r>
    </w:p>
    <w:p w14:paraId="72513A1C">
      <w:pPr>
        <w:widowControl/>
        <w:spacing w:line="440" w:lineRule="exact"/>
        <w:ind w:firstLine="480" w:firstLineChars="200"/>
        <w:jc w:val="left"/>
        <w:rPr>
          <w:rFonts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项目联系人：王海波</w:t>
      </w:r>
    </w:p>
    <w:p w14:paraId="018285CA">
      <w:pPr>
        <w:widowControl/>
        <w:spacing w:line="440" w:lineRule="exact"/>
        <w:ind w:firstLine="480" w:firstLineChars="200"/>
        <w:jc w:val="left"/>
        <w:rPr>
          <w:rFonts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联系电话：0571-63708227</w:t>
      </w:r>
    </w:p>
    <w:p w14:paraId="5EBDCD3C">
      <w:pPr>
        <w:widowControl/>
        <w:spacing w:line="440" w:lineRule="exact"/>
        <w:ind w:firstLine="480" w:firstLineChars="200"/>
        <w:jc w:val="left"/>
        <w:rPr>
          <w:rFonts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质疑联系人：李薇</w:t>
      </w:r>
    </w:p>
    <w:p w14:paraId="1965AE9D">
      <w:pPr>
        <w:widowControl/>
        <w:spacing w:line="440" w:lineRule="exact"/>
        <w:ind w:firstLine="480" w:firstLineChars="200"/>
        <w:jc w:val="left"/>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质疑联系电话：0571-63708227</w:t>
      </w:r>
    </w:p>
    <w:p w14:paraId="75200DBF">
      <w:pPr>
        <w:widowControl/>
        <w:numPr>
          <w:ilvl w:val="0"/>
          <w:numId w:val="1"/>
        </w:numPr>
        <w:spacing w:line="440" w:lineRule="exact"/>
        <w:ind w:firstLine="480" w:firstLineChars="200"/>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监督管理部门</w:t>
      </w:r>
    </w:p>
    <w:p w14:paraId="42281806">
      <w:pPr>
        <w:pStyle w:val="11"/>
        <w:spacing w:line="360" w:lineRule="auto"/>
        <w:ind w:firstLine="345"/>
        <w:rPr>
          <w:rFonts w:hint="eastAsia" w:ascii="仿宋" w:hAnsi="仿宋" w:eastAsia="仿宋" w:cs="仿宋"/>
          <w:color w:val="auto"/>
          <w:spacing w:val="0"/>
          <w:kern w:val="0"/>
          <w:sz w:val="24"/>
          <w:szCs w:val="24"/>
          <w:highlight w:val="none"/>
          <w:lang w:eastAsia="zh-CN"/>
        </w:rPr>
      </w:pPr>
      <w:r>
        <w:rPr>
          <w:rFonts w:hint="eastAsia"/>
          <w:color w:val="auto"/>
          <w:highlight w:val="none"/>
        </w:rPr>
        <w:t xml:space="preserve">    </w:t>
      </w:r>
      <w:r>
        <w:rPr>
          <w:rFonts w:hint="eastAsia" w:ascii="仿宋" w:hAnsi="仿宋" w:eastAsia="仿宋" w:cs="仿宋"/>
          <w:color w:val="auto"/>
          <w:spacing w:val="0"/>
          <w:kern w:val="0"/>
          <w:sz w:val="24"/>
          <w:szCs w:val="24"/>
          <w:highlight w:val="none"/>
        </w:rPr>
        <w:t xml:space="preserve"> 名 称：杭州市临安区城市发展投资集团有限公司监督小组</w:t>
      </w:r>
      <w:r>
        <w:rPr>
          <w:rFonts w:hint="eastAsia" w:ascii="仿宋" w:hAnsi="仿宋" w:eastAsia="仿宋" w:cs="仿宋"/>
          <w:color w:val="auto"/>
          <w:spacing w:val="0"/>
          <w:kern w:val="0"/>
          <w:sz w:val="24"/>
          <w:szCs w:val="24"/>
          <w:highlight w:val="none"/>
          <w:lang w:val="en-US" w:eastAsia="zh-CN"/>
        </w:rPr>
        <w:t xml:space="preserve"> </w:t>
      </w:r>
    </w:p>
    <w:p w14:paraId="20F7B702">
      <w:pPr>
        <w:widowControl/>
        <w:jc w:val="left"/>
        <w:rPr>
          <w:rFonts w:hint="default" w:ascii="仿宋" w:hAnsi="仿宋" w:eastAsia="仿宋" w:cs="仿宋"/>
          <w:color w:val="auto"/>
          <w:kern w:val="0"/>
          <w:sz w:val="24"/>
          <w:szCs w:val="24"/>
          <w:highlight w:val="none"/>
          <w:lang w:val="en-US"/>
        </w:rPr>
      </w:pP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FF0000"/>
          <w:kern w:val="0"/>
          <w:sz w:val="24"/>
          <w:szCs w:val="24"/>
          <w:highlight w:val="none"/>
          <w:lang w:val="en-US" w:eastAsia="zh-CN"/>
        </w:rPr>
        <w:t xml:space="preserve"> </w:t>
      </w:r>
      <w:r>
        <w:rPr>
          <w:rFonts w:hint="eastAsia" w:ascii="仿宋" w:hAnsi="仿宋" w:eastAsia="仿宋" w:cs="仿宋"/>
          <w:color w:val="FF0000"/>
          <w:spacing w:val="0"/>
          <w:kern w:val="0"/>
          <w:sz w:val="24"/>
          <w:szCs w:val="24"/>
          <w:highlight w:val="none"/>
          <w:lang w:val="en-US" w:eastAsia="zh-CN" w:bidi="ar-SA"/>
        </w:rPr>
        <w:t xml:space="preserve"> </w:t>
      </w:r>
      <w:r>
        <w:rPr>
          <w:rFonts w:hint="eastAsia" w:ascii="仿宋" w:hAnsi="仿宋" w:eastAsia="仿宋" w:cs="仿宋"/>
          <w:bCs/>
          <w:color w:val="auto"/>
          <w:spacing w:val="0"/>
          <w:kern w:val="0"/>
          <w:sz w:val="24"/>
          <w:szCs w:val="24"/>
          <w:highlight w:val="none"/>
          <w:lang w:val="en-US" w:eastAsia="zh-CN" w:bidi="ar-SA"/>
        </w:rPr>
        <w:t xml:space="preserve"> 联系电话：0571-61060908 </w:t>
      </w:r>
      <w:r>
        <w:rPr>
          <w:rFonts w:hint="eastAsia" w:ascii="仿宋" w:hAnsi="仿宋" w:eastAsia="仿宋" w:cs="仿宋"/>
          <w:color w:val="FF0000"/>
          <w:spacing w:val="0"/>
          <w:kern w:val="0"/>
          <w:sz w:val="24"/>
          <w:szCs w:val="24"/>
          <w:highlight w:val="none"/>
          <w:lang w:val="en-US" w:eastAsia="zh-CN" w:bidi="ar-SA"/>
        </w:rPr>
        <w:t xml:space="preserve"> </w:t>
      </w:r>
    </w:p>
    <w:bookmarkEnd w:id="2"/>
    <w:p w14:paraId="0083A677">
      <w:pPr>
        <w:rPr>
          <w:color w:val="auto"/>
          <w:highlight w:val="none"/>
        </w:rPr>
      </w:pPr>
      <w:r>
        <w:rPr>
          <w:rFonts w:hint="eastAsia"/>
          <w:color w:val="auto"/>
          <w:highlight w:val="none"/>
        </w:rPr>
        <w:t xml:space="preserve">     </w:t>
      </w:r>
    </w:p>
    <w:p w14:paraId="70A3ED9C">
      <w:pPr>
        <w:widowControl/>
        <w:spacing w:line="440" w:lineRule="exact"/>
        <w:ind w:firstLine="480" w:firstLineChars="200"/>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若对项目采购电子交易系统操作有疑问，可登录“乐采云”平台（https://www.lecaiyun.com/），点击右侧咨询小采，获取采小蜜智能服务管家帮助，或拨打乐采云服务热线400-881-7190获取热线服务帮助。CA问题联系电话（人工）：汇信CA 400-888-4636；天谷CA 400-087-8198。</w:t>
      </w:r>
    </w:p>
    <w:p w14:paraId="623B3D30">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br w:type="page"/>
      </w:r>
    </w:p>
    <w:p w14:paraId="67AE260C">
      <w:pPr>
        <w:pStyle w:val="14"/>
        <w:snapToGrid w:val="0"/>
        <w:spacing w:before="0" w:beforeLines="0" w:afterLines="0"/>
        <w:ind w:firstLine="723"/>
        <w:jc w:val="center"/>
        <w:outlineLvl w:val="0"/>
        <w:rPr>
          <w:rFonts w:ascii="仿宋" w:hAnsi="仿宋" w:eastAsia="仿宋" w:cs="仿宋"/>
          <w:b/>
          <w:color w:val="auto"/>
          <w:sz w:val="36"/>
          <w:szCs w:val="36"/>
          <w:highlight w:val="none"/>
        </w:rPr>
      </w:pPr>
      <w:bookmarkStart w:id="3" w:name="_Toc109240583"/>
      <w:r>
        <w:rPr>
          <w:rFonts w:hint="eastAsia" w:ascii="仿宋" w:hAnsi="仿宋" w:eastAsia="仿宋" w:cs="仿宋"/>
          <w:b/>
          <w:color w:val="auto"/>
          <w:sz w:val="36"/>
          <w:szCs w:val="36"/>
          <w:highlight w:val="none"/>
        </w:rPr>
        <w:t>第二章  投标人须知</w:t>
      </w:r>
      <w:bookmarkEnd w:id="3"/>
    </w:p>
    <w:p w14:paraId="7B3B3AEC">
      <w:pPr>
        <w:snapToGrid w:val="0"/>
        <w:spacing w:line="480" w:lineRule="exact"/>
        <w:ind w:firstLine="602"/>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前附表</w:t>
      </w:r>
    </w:p>
    <w:tbl>
      <w:tblPr>
        <w:tblStyle w:val="26"/>
        <w:tblW w:w="95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1"/>
        <w:gridCol w:w="8749"/>
      </w:tblGrid>
      <w:tr w14:paraId="12BA8D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8"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0E75FFFE">
            <w:pPr>
              <w:snapToGrid w:val="0"/>
              <w:spacing w:line="36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8749" w:type="dxa"/>
            <w:tcBorders>
              <w:top w:val="single" w:color="auto" w:sz="4" w:space="0"/>
              <w:left w:val="single" w:color="auto" w:sz="4" w:space="0"/>
              <w:bottom w:val="single" w:color="auto" w:sz="4" w:space="0"/>
              <w:right w:val="single" w:color="auto" w:sz="4" w:space="0"/>
            </w:tcBorders>
            <w:vAlign w:val="center"/>
          </w:tcPr>
          <w:p w14:paraId="07637467">
            <w:pPr>
              <w:snapToGrid w:val="0"/>
              <w:spacing w:line="36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内容及要求</w:t>
            </w:r>
          </w:p>
        </w:tc>
      </w:tr>
      <w:tr w14:paraId="28F715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6"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4B44BD58">
            <w:pPr>
              <w:snapToGrid w:val="0"/>
              <w:spacing w:line="36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8749" w:type="dxa"/>
            <w:tcBorders>
              <w:top w:val="single" w:color="auto" w:sz="4" w:space="0"/>
              <w:left w:val="single" w:color="auto" w:sz="4" w:space="0"/>
              <w:bottom w:val="single" w:color="auto" w:sz="4" w:space="0"/>
              <w:right w:val="single" w:color="auto" w:sz="4" w:space="0"/>
            </w:tcBorders>
            <w:vAlign w:val="center"/>
          </w:tcPr>
          <w:p w14:paraId="5DCA89CA">
            <w:pPr>
              <w:widowControl/>
              <w:snapToGrid w:val="0"/>
              <w:spacing w:line="360" w:lineRule="auto"/>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项目名称：</w:t>
            </w:r>
            <w:r>
              <w:rPr>
                <w:rFonts w:hint="default" w:ascii="仿宋" w:hAnsi="仿宋" w:eastAsia="仿宋" w:cs="仿宋"/>
                <w:color w:val="auto"/>
                <w:sz w:val="24"/>
                <w:szCs w:val="24"/>
                <w:highlight w:val="none"/>
                <w:lang w:val="en-US" w:eastAsia="zh-CN"/>
              </w:rPr>
              <w:t>浙江临昌交通新材料有限公司2025年度</w:t>
            </w:r>
            <w:r>
              <w:rPr>
                <w:rFonts w:hint="eastAsia" w:ascii="仿宋" w:hAnsi="仿宋" w:eastAsia="仿宋" w:cs="仿宋"/>
                <w:color w:val="auto"/>
                <w:sz w:val="24"/>
                <w:szCs w:val="24"/>
                <w:highlight w:val="none"/>
                <w:lang w:val="en-US" w:eastAsia="zh-CN"/>
              </w:rPr>
              <w:t>新矿粉</w:t>
            </w:r>
            <w:r>
              <w:rPr>
                <w:rFonts w:hint="default" w:ascii="仿宋" w:hAnsi="仿宋" w:eastAsia="仿宋" w:cs="仿宋"/>
                <w:color w:val="auto"/>
                <w:sz w:val="24"/>
                <w:szCs w:val="24"/>
                <w:highlight w:val="none"/>
                <w:lang w:val="en-US" w:eastAsia="zh-CN"/>
              </w:rPr>
              <w:t>采购</w:t>
            </w:r>
            <w:r>
              <w:rPr>
                <w:rFonts w:hint="eastAsia" w:ascii="仿宋" w:hAnsi="仿宋" w:eastAsia="仿宋" w:cs="仿宋"/>
                <w:color w:val="auto"/>
                <w:sz w:val="24"/>
                <w:szCs w:val="24"/>
                <w:highlight w:val="none"/>
                <w:u w:val="none"/>
                <w:lang w:eastAsia="zh-CN"/>
              </w:rPr>
              <w:t>（</w:t>
            </w:r>
            <w:r>
              <w:rPr>
                <w:rFonts w:hint="eastAsia" w:ascii="仿宋" w:hAnsi="仿宋" w:eastAsia="仿宋" w:cs="仿宋"/>
                <w:color w:val="auto"/>
                <w:sz w:val="24"/>
                <w:szCs w:val="24"/>
                <w:highlight w:val="none"/>
                <w:u w:val="none"/>
                <w:lang w:val="en-US" w:eastAsia="zh-CN"/>
              </w:rPr>
              <w:t>重新招标</w:t>
            </w:r>
            <w:r>
              <w:rPr>
                <w:rFonts w:hint="eastAsia" w:ascii="仿宋" w:hAnsi="仿宋" w:eastAsia="仿宋" w:cs="仿宋"/>
                <w:color w:val="auto"/>
                <w:sz w:val="24"/>
                <w:szCs w:val="24"/>
                <w:highlight w:val="none"/>
                <w:u w:val="none"/>
                <w:lang w:eastAsia="zh-CN"/>
              </w:rPr>
              <w:t>）</w:t>
            </w:r>
            <w:r>
              <w:rPr>
                <w:rFonts w:hint="eastAsia" w:ascii="仿宋" w:hAnsi="仿宋" w:eastAsia="仿宋" w:cs="仿宋"/>
                <w:color w:val="auto"/>
                <w:sz w:val="24"/>
                <w:szCs w:val="24"/>
                <w:highlight w:val="none"/>
                <w:lang w:eastAsia="zh-CN"/>
              </w:rPr>
              <w:t>。</w:t>
            </w:r>
          </w:p>
        </w:tc>
      </w:tr>
      <w:tr w14:paraId="30B0CE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6"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693BD8FD">
            <w:pPr>
              <w:snapToGrid w:val="0"/>
              <w:spacing w:line="36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8749" w:type="dxa"/>
            <w:tcBorders>
              <w:top w:val="single" w:color="auto" w:sz="4" w:space="0"/>
              <w:left w:val="single" w:color="auto" w:sz="4" w:space="0"/>
              <w:bottom w:val="single" w:color="auto" w:sz="4" w:space="0"/>
              <w:right w:val="single" w:color="auto" w:sz="4" w:space="0"/>
            </w:tcBorders>
            <w:vAlign w:val="center"/>
          </w:tcPr>
          <w:p w14:paraId="6FC2BDB1">
            <w:pPr>
              <w:widowControl/>
              <w:snapToGrid w:val="0"/>
              <w:spacing w:line="36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项目主要内容：本项目</w:t>
            </w:r>
            <w:r>
              <w:rPr>
                <w:rFonts w:hint="eastAsia" w:ascii="仿宋" w:hAnsi="仿宋" w:eastAsia="仿宋" w:cs="仿宋"/>
                <w:color w:val="auto"/>
                <w:sz w:val="24"/>
                <w:szCs w:val="24"/>
                <w:highlight w:val="none"/>
                <w:lang w:val="en-US" w:eastAsia="zh-CN"/>
              </w:rPr>
              <w:t>主要为确定</w:t>
            </w:r>
            <w:r>
              <w:rPr>
                <w:rFonts w:hint="eastAsia" w:ascii="仿宋" w:hAnsi="仿宋" w:eastAsia="仿宋" w:cs="仿宋"/>
                <w:color w:val="auto"/>
                <w:sz w:val="24"/>
                <w:szCs w:val="24"/>
                <w:highlight w:val="none"/>
                <w:lang w:eastAsia="zh-CN"/>
              </w:rPr>
              <w:t>浙江临昌交通新材料有限公司2025年度</w:t>
            </w:r>
            <w:r>
              <w:rPr>
                <w:rFonts w:hint="eastAsia" w:ascii="仿宋" w:hAnsi="仿宋" w:eastAsia="仿宋" w:cs="仿宋"/>
                <w:color w:val="auto"/>
                <w:sz w:val="24"/>
                <w:szCs w:val="24"/>
                <w:highlight w:val="none"/>
                <w:lang w:val="en-US" w:eastAsia="zh-CN"/>
              </w:rPr>
              <w:t>新矿粉</w:t>
            </w:r>
            <w:r>
              <w:rPr>
                <w:rFonts w:hint="eastAsia" w:ascii="仿宋" w:hAnsi="仿宋" w:eastAsia="仿宋" w:cs="仿宋"/>
                <w:color w:val="auto"/>
                <w:sz w:val="24"/>
                <w:szCs w:val="24"/>
                <w:highlight w:val="none"/>
                <w:u w:val="none"/>
                <w:lang w:eastAsia="zh-CN"/>
              </w:rPr>
              <w:t>（</w:t>
            </w:r>
            <w:r>
              <w:rPr>
                <w:rFonts w:hint="eastAsia" w:ascii="仿宋" w:hAnsi="仿宋" w:eastAsia="仿宋" w:cs="仿宋"/>
                <w:color w:val="auto"/>
                <w:sz w:val="24"/>
                <w:szCs w:val="24"/>
                <w:highlight w:val="none"/>
                <w:u w:val="none"/>
                <w:lang w:val="en-US" w:eastAsia="zh-CN"/>
              </w:rPr>
              <w:t>重新招标</w:t>
            </w:r>
            <w:r>
              <w:rPr>
                <w:rFonts w:hint="eastAsia" w:ascii="仿宋" w:hAnsi="仿宋" w:eastAsia="仿宋" w:cs="仿宋"/>
                <w:color w:val="auto"/>
                <w:sz w:val="24"/>
                <w:szCs w:val="24"/>
                <w:highlight w:val="none"/>
                <w:u w:val="none"/>
                <w:lang w:eastAsia="zh-CN"/>
              </w:rPr>
              <w:t>）</w:t>
            </w:r>
            <w:r>
              <w:rPr>
                <w:rFonts w:hint="eastAsia" w:ascii="仿宋" w:hAnsi="仿宋" w:eastAsia="仿宋" w:cs="仿宋"/>
                <w:color w:val="auto"/>
                <w:sz w:val="24"/>
                <w:szCs w:val="24"/>
                <w:highlight w:val="none"/>
                <w:lang w:eastAsia="zh-CN"/>
              </w:rPr>
              <w:t>采购</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成交1家单位，</w:t>
            </w:r>
            <w:r>
              <w:rPr>
                <w:rFonts w:hint="eastAsia" w:ascii="仿宋" w:hAnsi="仿宋" w:eastAsia="仿宋" w:cs="仿宋"/>
                <w:color w:val="auto"/>
                <w:sz w:val="24"/>
                <w:szCs w:val="24"/>
                <w:highlight w:val="none"/>
              </w:rPr>
              <w:t>采购具体内容及要求详见第四章采购需求</w:t>
            </w:r>
            <w:r>
              <w:rPr>
                <w:rFonts w:hint="eastAsia" w:ascii="仿宋" w:hAnsi="仿宋" w:eastAsia="仿宋" w:cs="仿宋"/>
                <w:color w:val="auto"/>
                <w:sz w:val="24"/>
                <w:szCs w:val="24"/>
                <w:highlight w:val="none"/>
                <w:lang w:eastAsia="zh-CN"/>
              </w:rPr>
              <w:t>。</w:t>
            </w:r>
          </w:p>
        </w:tc>
      </w:tr>
      <w:tr w14:paraId="5FE9E8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2439B642">
            <w:pPr>
              <w:snapToGrid w:val="0"/>
              <w:spacing w:line="36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8749" w:type="dxa"/>
            <w:tcBorders>
              <w:top w:val="single" w:color="auto" w:sz="4" w:space="0"/>
              <w:left w:val="single" w:color="auto" w:sz="4" w:space="0"/>
              <w:bottom w:val="single" w:color="auto" w:sz="4" w:space="0"/>
              <w:right w:val="single" w:color="auto" w:sz="4" w:space="0"/>
            </w:tcBorders>
            <w:vAlign w:val="center"/>
          </w:tcPr>
          <w:p w14:paraId="7D7637CD">
            <w:pPr>
              <w:snapToGrid w:val="0"/>
              <w:spacing w:line="44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质量要求：产品的规格、型号和质量均符合</w:t>
            </w:r>
            <w:r>
              <w:rPr>
                <w:rFonts w:hint="eastAsia" w:ascii="仿宋" w:hAnsi="仿宋" w:eastAsia="仿宋" w:cs="仿宋"/>
                <w:color w:val="auto"/>
                <w:sz w:val="24"/>
                <w:szCs w:val="24"/>
                <w:highlight w:val="none"/>
                <w:lang w:eastAsia="zh-CN"/>
              </w:rPr>
              <w:t>《公路沥青路面施工</w:t>
            </w:r>
            <w:r>
              <w:rPr>
                <w:rFonts w:hint="eastAsia" w:ascii="仿宋" w:hAnsi="仿宋" w:eastAsia="仿宋" w:cs="仿宋"/>
                <w:color w:val="auto"/>
                <w:sz w:val="24"/>
                <w:szCs w:val="24"/>
                <w:highlight w:val="none"/>
                <w:lang w:val="en-US" w:eastAsia="zh-CN"/>
              </w:rPr>
              <w:t>技术</w:t>
            </w:r>
            <w:r>
              <w:rPr>
                <w:rFonts w:hint="eastAsia" w:ascii="仿宋" w:hAnsi="仿宋" w:eastAsia="仿宋" w:cs="仿宋"/>
                <w:color w:val="auto"/>
                <w:sz w:val="24"/>
                <w:szCs w:val="24"/>
                <w:highlight w:val="none"/>
                <w:lang w:eastAsia="zh-CN"/>
              </w:rPr>
              <w:t>规范》。</w:t>
            </w:r>
          </w:p>
        </w:tc>
      </w:tr>
      <w:tr w14:paraId="08A701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4B522DB3">
            <w:pPr>
              <w:snapToGrid w:val="0"/>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8749" w:type="dxa"/>
            <w:tcBorders>
              <w:top w:val="single" w:color="auto" w:sz="4" w:space="0"/>
              <w:left w:val="single" w:color="auto" w:sz="4" w:space="0"/>
              <w:bottom w:val="single" w:color="auto" w:sz="4" w:space="0"/>
              <w:right w:val="single" w:color="auto" w:sz="4" w:space="0"/>
            </w:tcBorders>
            <w:vAlign w:val="center"/>
          </w:tcPr>
          <w:p w14:paraId="40D07006">
            <w:pPr>
              <w:keepNext w:val="0"/>
              <w:keepLines w:val="0"/>
              <w:pageBreakBefore w:val="0"/>
              <w:widowControl/>
              <w:numPr>
                <w:ilvl w:val="0"/>
                <w:numId w:val="0"/>
              </w:numPr>
              <w:kinsoku/>
              <w:wordWrap/>
              <w:overflowPunct/>
              <w:topLinePunct w:val="0"/>
              <w:bidi w:val="0"/>
              <w:snapToGrid w:val="0"/>
              <w:spacing w:line="44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样品要求：</w:t>
            </w:r>
          </w:p>
          <w:p w14:paraId="16610372">
            <w:pPr>
              <w:numPr>
                <w:ilvl w:val="0"/>
                <w:numId w:val="0"/>
              </w:numPr>
              <w:snapToGrid w:val="0"/>
              <w:spacing w:line="440" w:lineRule="exact"/>
              <w:rPr>
                <w:rFonts w:hint="eastAsia"/>
                <w:color w:val="auto"/>
                <w:lang w:val="en-US" w:eastAsia="zh-CN"/>
              </w:rPr>
            </w:pPr>
            <w:r>
              <w:rPr>
                <w:rFonts w:hint="eastAsia" w:ascii="仿宋" w:hAnsi="仿宋" w:eastAsia="仿宋" w:cs="仿宋"/>
                <w:b w:val="0"/>
                <w:bCs w:val="0"/>
                <w:color w:val="auto"/>
                <w:sz w:val="24"/>
                <w:szCs w:val="24"/>
                <w:highlight w:val="none"/>
                <w:lang w:val="en-US" w:eastAsia="zh-CN"/>
              </w:rPr>
              <w:t>1、投标人需提供产品对应第三方检测单位出具的检测报告，在开标当日提供材料样品2份（每份均用铁质密封罐罐装3KG以上样品），1份作为采购单位检测样品，1份作为密封样品，作为后期原材料对比样品。</w:t>
            </w:r>
          </w:p>
          <w:p w14:paraId="4363B200">
            <w:pPr>
              <w:numPr>
                <w:ilvl w:val="-1"/>
                <w:numId w:val="0"/>
              </w:numPr>
              <w:snapToGrid w:val="0"/>
              <w:spacing w:line="440" w:lineRule="exact"/>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2、样品送达时间及地点：投标人在投标截止时间前将上述样品送至建经投资咨询有限公司临安分公司开标室（杭州市临安区城中街730号三楼）并完成签到，逾期样品将被拒收。</w:t>
            </w:r>
          </w:p>
        </w:tc>
      </w:tr>
      <w:tr w14:paraId="3307C9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2F72A8A1">
            <w:pPr>
              <w:snapToGrid w:val="0"/>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8749" w:type="dxa"/>
            <w:tcBorders>
              <w:top w:val="single" w:color="auto" w:sz="4" w:space="0"/>
              <w:left w:val="single" w:color="auto" w:sz="4" w:space="0"/>
              <w:bottom w:val="single" w:color="auto" w:sz="4" w:space="0"/>
              <w:right w:val="single" w:color="auto" w:sz="4" w:space="0"/>
            </w:tcBorders>
            <w:vAlign w:val="center"/>
          </w:tcPr>
          <w:p w14:paraId="46B27155">
            <w:pPr>
              <w:snapToGrid w:val="0"/>
              <w:spacing w:line="440" w:lineRule="exact"/>
              <w:rPr>
                <w:rFonts w:hint="eastAsia" w:ascii="仿宋" w:hAnsi="仿宋" w:eastAsia="仿宋" w:cs="仿宋"/>
                <w:color w:val="FF0000"/>
                <w:sz w:val="24"/>
                <w:szCs w:val="24"/>
                <w:highlight w:val="none"/>
                <w:lang w:val="en-US" w:eastAsia="zh-CN"/>
              </w:rPr>
            </w:pPr>
            <w:r>
              <w:rPr>
                <w:rFonts w:hint="eastAsia" w:ascii="仿宋" w:hAnsi="仿宋" w:eastAsia="仿宋" w:cs="仿宋"/>
                <w:b/>
                <w:bCs/>
                <w:color w:val="auto"/>
                <w:sz w:val="24"/>
                <w:szCs w:val="24"/>
                <w:highlight w:val="none"/>
                <w:lang w:val="en-US" w:eastAsia="zh-CN"/>
              </w:rPr>
              <w:t>如投标人非新矿粉生产厂家，中标后须提供其与新矿粉生产厂家之间的购销合同，无法提供，甲方有权拒签合同。</w:t>
            </w:r>
          </w:p>
        </w:tc>
      </w:tr>
      <w:tr w14:paraId="6361B3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34B3E0E1">
            <w:pPr>
              <w:numPr>
                <w:ilvl w:val="0"/>
                <w:numId w:val="0"/>
              </w:numPr>
              <w:snapToGrid w:val="0"/>
              <w:spacing w:line="44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w:t>
            </w:r>
          </w:p>
        </w:tc>
        <w:tc>
          <w:tcPr>
            <w:tcW w:w="8749" w:type="dxa"/>
            <w:tcBorders>
              <w:top w:val="single" w:color="auto" w:sz="4" w:space="0"/>
              <w:left w:val="single" w:color="auto" w:sz="4" w:space="0"/>
              <w:bottom w:val="single" w:color="auto" w:sz="4" w:space="0"/>
              <w:right w:val="single" w:color="auto" w:sz="4" w:space="0"/>
            </w:tcBorders>
            <w:vAlign w:val="center"/>
          </w:tcPr>
          <w:p w14:paraId="3026FFB4">
            <w:pPr>
              <w:numPr>
                <w:ilvl w:val="0"/>
                <w:numId w:val="0"/>
              </w:numPr>
              <w:snapToGrid w:val="0"/>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履约期限：</w:t>
            </w:r>
            <w:r>
              <w:rPr>
                <w:rFonts w:hint="eastAsia" w:ascii="仿宋" w:hAnsi="仿宋" w:eastAsia="仿宋" w:cs="仿宋"/>
                <w:color w:val="auto"/>
                <w:sz w:val="24"/>
                <w:szCs w:val="24"/>
                <w:highlight w:val="none"/>
                <w:lang w:val="en-US" w:eastAsia="zh-CN"/>
              </w:rPr>
              <w:t>合同签订之日起1年。</w:t>
            </w:r>
          </w:p>
        </w:tc>
      </w:tr>
      <w:tr w14:paraId="247813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4D6BC81B">
            <w:pPr>
              <w:snapToGrid w:val="0"/>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8749" w:type="dxa"/>
            <w:tcBorders>
              <w:top w:val="single" w:color="auto" w:sz="4" w:space="0"/>
              <w:left w:val="single" w:color="auto" w:sz="4" w:space="0"/>
              <w:bottom w:val="single" w:color="auto" w:sz="4" w:space="0"/>
              <w:right w:val="single" w:color="auto" w:sz="4" w:space="0"/>
            </w:tcBorders>
            <w:vAlign w:val="center"/>
          </w:tcPr>
          <w:p w14:paraId="56903FB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是否分包：</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A 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p>
          <w:p w14:paraId="44D44594">
            <w:pPr>
              <w:snapToGrid w:val="0"/>
              <w:spacing w:line="360" w:lineRule="auto"/>
              <w:ind w:firstLine="1200" w:firstLineChars="5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B 不同意分包。</w:t>
            </w:r>
          </w:p>
        </w:tc>
      </w:tr>
      <w:tr w14:paraId="48EA41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52DC4529">
            <w:pPr>
              <w:snapToGrid w:val="0"/>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8</w:t>
            </w:r>
          </w:p>
        </w:tc>
        <w:tc>
          <w:tcPr>
            <w:tcW w:w="8749" w:type="dxa"/>
            <w:tcBorders>
              <w:top w:val="single" w:color="auto" w:sz="4" w:space="0"/>
              <w:left w:val="single" w:color="auto" w:sz="4" w:space="0"/>
              <w:bottom w:val="single" w:color="auto" w:sz="4" w:space="0"/>
              <w:right w:val="single" w:color="auto" w:sz="4" w:space="0"/>
            </w:tcBorders>
            <w:vAlign w:val="center"/>
          </w:tcPr>
          <w:p w14:paraId="74852C69">
            <w:pPr>
              <w:snapToGrid w:val="0"/>
              <w:spacing w:line="360" w:lineRule="auto"/>
              <w:rPr>
                <w:rFonts w:hint="default"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rPr>
              <w:t>最高限价：</w:t>
            </w:r>
            <w:r>
              <w:rPr>
                <w:rFonts w:hint="eastAsia" w:ascii="仿宋" w:hAnsi="仿宋" w:eastAsia="仿宋" w:cs="仿宋"/>
                <w:color w:val="auto"/>
                <w:sz w:val="24"/>
                <w:szCs w:val="24"/>
                <w:highlight w:val="none"/>
                <w:lang w:val="en-US" w:eastAsia="zh-CN"/>
              </w:rPr>
              <w:t>见招标公告。</w:t>
            </w:r>
          </w:p>
          <w:p w14:paraId="5494CDA5">
            <w:pPr>
              <w:snapToGrid w:val="0"/>
              <w:spacing w:line="360" w:lineRule="auto"/>
              <w:rPr>
                <w:rFonts w:ascii="仿宋" w:hAnsi="仿宋" w:eastAsia="仿宋" w:cs="仿宋"/>
                <w:bCs/>
                <w:color w:val="auto"/>
                <w:sz w:val="24"/>
                <w:szCs w:val="24"/>
                <w:highlight w:val="none"/>
              </w:rPr>
            </w:pPr>
            <w:r>
              <w:rPr>
                <w:rFonts w:hint="eastAsia" w:ascii="仿宋" w:hAnsi="仿宋" w:eastAsia="仿宋" w:cs="仿宋"/>
                <w:b/>
                <w:bCs/>
                <w:color w:val="auto"/>
                <w:sz w:val="24"/>
                <w:szCs w:val="24"/>
                <w:highlight w:val="none"/>
              </w:rPr>
              <w:t>注：投标人的报价超过招标人设置最高限价的，作无效标处理。</w:t>
            </w:r>
          </w:p>
        </w:tc>
      </w:tr>
      <w:tr w14:paraId="2A81D8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5"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48918493">
            <w:pPr>
              <w:snapToGrid w:val="0"/>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9</w:t>
            </w:r>
          </w:p>
        </w:tc>
        <w:tc>
          <w:tcPr>
            <w:tcW w:w="8749" w:type="dxa"/>
            <w:tcBorders>
              <w:top w:val="single" w:color="auto" w:sz="4" w:space="0"/>
              <w:left w:val="single" w:color="auto" w:sz="4" w:space="0"/>
              <w:bottom w:val="single" w:color="auto" w:sz="4" w:space="0"/>
              <w:right w:val="single" w:color="auto" w:sz="4" w:space="0"/>
            </w:tcBorders>
            <w:vAlign w:val="center"/>
          </w:tcPr>
          <w:p w14:paraId="78B51594">
            <w:pPr>
              <w:widowControl/>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投标保证金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人民币：</w:t>
            </w:r>
            <w:r>
              <w:rPr>
                <w:rFonts w:hint="eastAsia" w:ascii="仿宋" w:hAnsi="仿宋" w:eastAsia="仿宋" w:cs="仿宋"/>
                <w:b/>
                <w:bCs/>
                <w:color w:val="auto"/>
                <w:sz w:val="24"/>
                <w:szCs w:val="24"/>
                <w:highlight w:val="none"/>
                <w:lang w:val="en-US" w:eastAsia="zh-CN"/>
              </w:rPr>
              <w:t>贰万元</w:t>
            </w:r>
            <w:r>
              <w:rPr>
                <w:rFonts w:hint="eastAsia" w:ascii="仿宋" w:hAnsi="仿宋" w:eastAsia="仿宋" w:cs="仿宋"/>
                <w:color w:val="auto"/>
                <w:sz w:val="24"/>
                <w:szCs w:val="24"/>
                <w:highlight w:val="none"/>
              </w:rPr>
              <w:t>整，须在</w:t>
            </w:r>
            <w:r>
              <w:rPr>
                <w:rFonts w:hint="eastAsia" w:ascii="仿宋" w:hAnsi="仿宋" w:eastAsia="仿宋" w:cs="仿宋"/>
                <w:b w:val="0"/>
                <w:bCs w:val="0"/>
                <w:color w:val="auto"/>
                <w:sz w:val="24"/>
                <w:szCs w:val="24"/>
                <w:highlight w:val="none"/>
              </w:rPr>
              <w:t>202</w:t>
            </w:r>
            <w:r>
              <w:rPr>
                <w:rFonts w:hint="eastAsia" w:ascii="仿宋" w:hAnsi="仿宋" w:eastAsia="仿宋" w:cs="仿宋"/>
                <w:b w:val="0"/>
                <w:bCs w:val="0"/>
                <w:color w:val="auto"/>
                <w:sz w:val="24"/>
                <w:szCs w:val="24"/>
                <w:highlight w:val="none"/>
                <w:lang w:val="en-US" w:eastAsia="zh-CN"/>
              </w:rPr>
              <w:t>5</w:t>
            </w:r>
            <w:r>
              <w:rPr>
                <w:rFonts w:hint="eastAsia" w:ascii="仿宋" w:hAnsi="仿宋" w:eastAsia="仿宋" w:cs="仿宋"/>
                <w:b w:val="0"/>
                <w:bCs w:val="0"/>
                <w:color w:val="auto"/>
                <w:sz w:val="24"/>
                <w:szCs w:val="24"/>
                <w:highlight w:val="none"/>
              </w:rPr>
              <w:t>年</w:t>
            </w:r>
            <w:r>
              <w:rPr>
                <w:rFonts w:hint="eastAsia" w:ascii="仿宋" w:hAnsi="仿宋" w:eastAsia="仿宋" w:cs="仿宋"/>
                <w:b w:val="0"/>
                <w:bCs w:val="0"/>
                <w:color w:val="auto"/>
                <w:sz w:val="24"/>
                <w:szCs w:val="24"/>
                <w:highlight w:val="none"/>
                <w:lang w:val="en-US" w:eastAsia="zh-CN"/>
              </w:rPr>
              <w:t>04</w:t>
            </w:r>
            <w:r>
              <w:rPr>
                <w:rFonts w:hint="eastAsia" w:ascii="仿宋" w:hAnsi="仿宋" w:eastAsia="仿宋" w:cs="仿宋"/>
                <w:b w:val="0"/>
                <w:bCs w:val="0"/>
                <w:color w:val="auto"/>
                <w:sz w:val="24"/>
                <w:szCs w:val="24"/>
                <w:highlight w:val="none"/>
              </w:rPr>
              <w:t>月</w:t>
            </w:r>
            <w:r>
              <w:rPr>
                <w:rFonts w:hint="eastAsia" w:ascii="仿宋" w:hAnsi="仿宋" w:eastAsia="仿宋" w:cs="仿宋"/>
                <w:b w:val="0"/>
                <w:bCs w:val="0"/>
                <w:color w:val="auto"/>
                <w:sz w:val="24"/>
                <w:szCs w:val="24"/>
                <w:highlight w:val="none"/>
                <w:lang w:val="en-US" w:eastAsia="zh-CN"/>
              </w:rPr>
              <w:t>22</w:t>
            </w:r>
            <w:r>
              <w:rPr>
                <w:rFonts w:hint="eastAsia" w:ascii="仿宋" w:hAnsi="仿宋" w:eastAsia="仿宋" w:cs="仿宋"/>
                <w:b w:val="0"/>
                <w:bCs w:val="0"/>
                <w:color w:val="auto"/>
                <w:sz w:val="24"/>
                <w:szCs w:val="24"/>
                <w:highlight w:val="none"/>
              </w:rPr>
              <w:t>日</w:t>
            </w:r>
            <w:r>
              <w:rPr>
                <w:rFonts w:hint="eastAsia" w:ascii="仿宋" w:hAnsi="仿宋" w:eastAsia="仿宋" w:cs="仿宋"/>
                <w:b w:val="0"/>
                <w:bCs w:val="0"/>
                <w:color w:val="auto"/>
                <w:sz w:val="24"/>
                <w:szCs w:val="24"/>
                <w:highlight w:val="none"/>
                <w:lang w:val="en-US" w:eastAsia="zh-CN"/>
              </w:rPr>
              <w:t>16</w:t>
            </w:r>
            <w:r>
              <w:rPr>
                <w:rFonts w:hint="eastAsia" w:ascii="仿宋" w:hAnsi="仿宋" w:eastAsia="仿宋" w:cs="仿宋"/>
                <w:b w:val="0"/>
                <w:bCs w:val="0"/>
                <w:color w:val="auto"/>
                <w:sz w:val="24"/>
                <w:szCs w:val="24"/>
                <w:highlight w:val="none"/>
              </w:rPr>
              <w:t>时</w:t>
            </w:r>
            <w:r>
              <w:rPr>
                <w:rFonts w:hint="eastAsia" w:ascii="仿宋" w:hAnsi="仿宋" w:eastAsia="仿宋" w:cs="仿宋"/>
                <w:b w:val="0"/>
                <w:bCs w:val="0"/>
                <w:color w:val="auto"/>
                <w:sz w:val="24"/>
                <w:szCs w:val="24"/>
                <w:highlight w:val="none"/>
                <w:lang w:val="en-US" w:eastAsia="zh-CN"/>
              </w:rPr>
              <w:t>00</w:t>
            </w:r>
            <w:r>
              <w:rPr>
                <w:rFonts w:hint="eastAsia" w:ascii="仿宋" w:hAnsi="仿宋" w:eastAsia="仿宋" w:cs="仿宋"/>
                <w:b w:val="0"/>
                <w:bCs w:val="0"/>
                <w:color w:val="auto"/>
                <w:sz w:val="24"/>
                <w:szCs w:val="24"/>
                <w:highlight w:val="none"/>
              </w:rPr>
              <w:t>分</w:t>
            </w:r>
            <w:r>
              <w:rPr>
                <w:rFonts w:hint="eastAsia" w:ascii="仿宋" w:hAnsi="仿宋" w:eastAsia="仿宋" w:cs="仿宋"/>
                <w:color w:val="auto"/>
                <w:sz w:val="24"/>
                <w:szCs w:val="24"/>
                <w:highlight w:val="none"/>
              </w:rPr>
              <w:t>前以电汇或转帐等方式从企业原始工商注册地公司帐户中划出，禁止现金交缴。缴纳至以下账户： </w:t>
            </w:r>
          </w:p>
          <w:p w14:paraId="2B8A940F">
            <w:pPr>
              <w:widowControl/>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开户银行：中信银行杭州分行天水支行 </w:t>
            </w:r>
          </w:p>
          <w:p w14:paraId="3C7D0761">
            <w:pPr>
              <w:widowControl/>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户    名：建经投资咨询有限公司临安分公司</w:t>
            </w:r>
          </w:p>
          <w:p w14:paraId="5EC0BC21">
            <w:pPr>
              <w:widowControl/>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账    号：8126101012900012265</w:t>
            </w:r>
          </w:p>
          <w:p w14:paraId="2AABC516">
            <w:pPr>
              <w:widowControl/>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联系人：徐女士      联系电话（传真）：0571-63708377</w:t>
            </w:r>
          </w:p>
          <w:p w14:paraId="31E8FBB0">
            <w:pPr>
              <w:snapToGrid w:val="0"/>
              <w:spacing w:line="36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注：投标保证金缴存时需备注招标编号，投标文件内须附投标保证金缴纳凭证复印件，否则投标无效。投标保证金以实际到账为准，投标截止前未到账的作无效标。</w:t>
            </w:r>
          </w:p>
        </w:tc>
      </w:tr>
      <w:tr w14:paraId="0411F1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130135BA">
            <w:pPr>
              <w:snapToGrid w:val="0"/>
              <w:spacing w:line="42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8749" w:type="dxa"/>
            <w:tcBorders>
              <w:top w:val="single" w:color="auto" w:sz="4" w:space="0"/>
              <w:left w:val="single" w:color="auto" w:sz="4" w:space="0"/>
              <w:bottom w:val="single" w:color="auto" w:sz="4" w:space="0"/>
              <w:right w:val="single" w:color="auto" w:sz="4" w:space="0"/>
            </w:tcBorders>
            <w:vAlign w:val="center"/>
          </w:tcPr>
          <w:p w14:paraId="0838035E">
            <w:pPr>
              <w:spacing w:line="42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质疑与投诉</w:t>
            </w:r>
            <w:r>
              <w:rPr>
                <w:rFonts w:hint="eastAsia" w:ascii="仿宋" w:hAnsi="仿宋" w:eastAsia="仿宋" w:cs="仿宋"/>
                <w:color w:val="auto"/>
                <w:sz w:val="24"/>
                <w:szCs w:val="24"/>
                <w:highlight w:val="none"/>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采购监督管理部门投诉。质疑函范本、投诉书范本请到浙江政府采购网下载专区下载。</w:t>
            </w:r>
          </w:p>
          <w:p w14:paraId="7508D2EC">
            <w:pPr>
              <w:snapToGrid w:val="0"/>
              <w:spacing w:line="42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电话：0571-63708227，传真：0571-63708227，电子邮箱：842952583@qq.com</w:t>
            </w:r>
          </w:p>
        </w:tc>
      </w:tr>
      <w:tr w14:paraId="3A4BF1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0"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3141C657">
            <w:pPr>
              <w:snapToGrid w:val="0"/>
              <w:spacing w:line="42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w:t>
            </w:r>
          </w:p>
        </w:tc>
        <w:tc>
          <w:tcPr>
            <w:tcW w:w="8749" w:type="dxa"/>
            <w:tcBorders>
              <w:top w:val="single" w:color="auto" w:sz="4" w:space="0"/>
              <w:left w:val="single" w:color="auto" w:sz="4" w:space="0"/>
              <w:bottom w:val="single" w:color="auto" w:sz="4" w:space="0"/>
              <w:right w:val="single" w:color="auto" w:sz="4" w:space="0"/>
            </w:tcBorders>
            <w:vAlign w:val="center"/>
          </w:tcPr>
          <w:p w14:paraId="41361C47">
            <w:pPr>
              <w:pStyle w:val="51"/>
              <w:snapToGrid w:val="0"/>
              <w:spacing w:beforeLines="0" w:line="42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投标报价及费用：</w:t>
            </w:r>
          </w:p>
          <w:p w14:paraId="5B60FF65">
            <w:pPr>
              <w:pStyle w:val="51"/>
              <w:snapToGrid w:val="0"/>
              <w:spacing w:beforeLines="0" w:line="42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1.本项目投标应以人民币报价；</w:t>
            </w:r>
          </w:p>
          <w:p w14:paraId="0E34F676">
            <w:pPr>
              <w:pStyle w:val="51"/>
              <w:snapToGrid w:val="0"/>
              <w:spacing w:beforeLines="0" w:line="42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2.本项目的投标价格应为货到采购人指定地点的交货价格，包括但不限于产品</w:t>
            </w:r>
            <w:r>
              <w:rPr>
                <w:rFonts w:hint="eastAsia" w:ascii="仿宋" w:hAnsi="仿宋" w:eastAsia="仿宋" w:cs="仿宋"/>
                <w:color w:val="auto"/>
                <w:sz w:val="24"/>
                <w:szCs w:val="24"/>
                <w:highlight w:val="none"/>
                <w:lang w:val="en-US" w:eastAsia="zh-CN"/>
              </w:rPr>
              <w:t>货物</w:t>
            </w:r>
            <w:r>
              <w:rPr>
                <w:rFonts w:hint="eastAsia" w:ascii="仿宋" w:hAnsi="仿宋" w:eastAsia="仿宋" w:cs="仿宋"/>
                <w:color w:val="auto"/>
                <w:sz w:val="24"/>
                <w:szCs w:val="24"/>
                <w:highlight w:val="none"/>
              </w:rPr>
              <w:t>、税金、货运至指定地点[含运输、装卸、保险、包装费、货车加固费等）、人工、验收、技术服务（含技术培训等）、资料费、质检、验收、管理、招标代理费、售后服务、规费、安全文明、环境保护、风险（市场人工、材料价格波动等风险）、利润、不可预见费等完成本次项目涉及的一切费用。属于完成本次项目所必需的但投标人未列入报价的费用将被视为投标人优惠，采购人均不予支付。</w:t>
            </w:r>
          </w:p>
        </w:tc>
      </w:tr>
      <w:tr w14:paraId="41BEB8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0"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1603D3A8">
            <w:pPr>
              <w:snapToGrid w:val="0"/>
              <w:spacing w:line="420" w:lineRule="exact"/>
              <w:jc w:val="both"/>
              <w:rPr>
                <w:rFonts w:hint="eastAsia" w:ascii="仿宋" w:hAnsi="仿宋" w:eastAsia="仿宋" w:cs="仿宋"/>
                <w:color w:val="auto"/>
                <w:sz w:val="24"/>
                <w:szCs w:val="24"/>
                <w:highlight w:val="none"/>
                <w:lang w:val="en-US" w:eastAsia="zh-CN"/>
              </w:rPr>
            </w:pPr>
          </w:p>
          <w:p w14:paraId="27F99E5D">
            <w:pPr>
              <w:snapToGrid w:val="0"/>
              <w:spacing w:line="42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w:t>
            </w:r>
          </w:p>
        </w:tc>
        <w:tc>
          <w:tcPr>
            <w:tcW w:w="8749" w:type="dxa"/>
            <w:tcBorders>
              <w:top w:val="single" w:color="auto" w:sz="4" w:space="0"/>
              <w:left w:val="single" w:color="auto" w:sz="4" w:space="0"/>
              <w:bottom w:val="single" w:color="auto" w:sz="4" w:space="0"/>
              <w:right w:val="single" w:color="auto" w:sz="4" w:space="0"/>
            </w:tcBorders>
            <w:vAlign w:val="center"/>
          </w:tcPr>
          <w:p w14:paraId="3A9D390C">
            <w:pPr>
              <w:snapToGrid w:val="0"/>
              <w:spacing w:line="420" w:lineRule="exact"/>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r>
              <w:rPr>
                <w:rFonts w:hint="eastAsia" w:ascii="仿宋" w:hAnsi="仿宋" w:eastAsia="仿宋" w:cs="仿宋"/>
                <w:b/>
                <w:bCs/>
                <w:color w:val="auto"/>
                <w:sz w:val="24"/>
                <w:highlight w:val="none"/>
                <w:lang w:val="zh-CN"/>
              </w:rPr>
              <w:t>投标人</w:t>
            </w:r>
            <w:r>
              <w:rPr>
                <w:rFonts w:hint="eastAsia" w:ascii="仿宋" w:hAnsi="仿宋" w:eastAsia="仿宋" w:cs="仿宋"/>
                <w:b/>
                <w:bCs/>
                <w:color w:val="auto"/>
                <w:sz w:val="24"/>
                <w:highlight w:val="none"/>
              </w:rPr>
              <w:t>就</w:t>
            </w:r>
            <w:r>
              <w:rPr>
                <w:rFonts w:hint="eastAsia" w:ascii="仿宋" w:hAnsi="仿宋" w:eastAsia="仿宋" w:cs="仿宋"/>
                <w:b/>
                <w:bCs/>
                <w:color w:val="auto"/>
                <w:sz w:val="24"/>
                <w:highlight w:val="none"/>
                <w:lang w:val="zh-CN"/>
              </w:rPr>
              <w:t>相应的投标产品未</w:t>
            </w:r>
            <w:r>
              <w:rPr>
                <w:rFonts w:hint="eastAsia" w:ascii="仿宋" w:hAnsi="仿宋" w:eastAsia="仿宋" w:cs="仿宋"/>
                <w:b/>
                <w:bCs/>
                <w:color w:val="auto"/>
                <w:sz w:val="24"/>
                <w:highlight w:val="none"/>
              </w:rPr>
              <w:t>提供</w:t>
            </w:r>
            <w:r>
              <w:rPr>
                <w:rFonts w:hint="eastAsia" w:ascii="仿宋" w:hAnsi="仿宋" w:eastAsia="仿宋" w:cs="仿宋"/>
                <w:b/>
                <w:bCs/>
                <w:color w:val="auto"/>
                <w:sz w:val="24"/>
                <w:highlight w:val="none"/>
                <w:lang w:val="zh-CN"/>
              </w:rPr>
              <w:t>国家确定的认证机构出具的、处于有效期之内的节能产品认证证书的，投标无效。</w:t>
            </w:r>
          </w:p>
        </w:tc>
      </w:tr>
      <w:tr w14:paraId="183084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4"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226F17CE">
            <w:pPr>
              <w:snapToGrid w:val="0"/>
              <w:spacing w:line="42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13</w:t>
            </w:r>
          </w:p>
        </w:tc>
        <w:tc>
          <w:tcPr>
            <w:tcW w:w="8749" w:type="dxa"/>
            <w:tcBorders>
              <w:top w:val="single" w:color="auto" w:sz="4" w:space="0"/>
              <w:left w:val="single" w:color="auto" w:sz="4" w:space="0"/>
              <w:bottom w:val="single" w:color="auto" w:sz="4" w:space="0"/>
              <w:right w:val="single" w:color="auto" w:sz="4" w:space="0"/>
            </w:tcBorders>
            <w:vAlign w:val="center"/>
          </w:tcPr>
          <w:p w14:paraId="21FC4F47">
            <w:pPr>
              <w:snapToGrid w:val="0"/>
              <w:spacing w:line="42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实行电子投标。电子投标文件，按“乐采云”平台项目采购-电子招投标操作指南及本采购文件要求递交。投标文件均由资格文件、商务及资信技术文件、报价文件组成。投标人务必按时自行解密，规定时间内解密失败者作无效响应处理。</w:t>
            </w:r>
          </w:p>
          <w:p w14:paraId="13BBED84">
            <w:pPr>
              <w:snapToGrid w:val="0"/>
              <w:spacing w:line="420" w:lineRule="exact"/>
              <w:rPr>
                <w:rFonts w:ascii="仿宋" w:hAnsi="仿宋" w:eastAsia="仿宋" w:cs="仿宋"/>
                <w:color w:val="auto"/>
                <w:sz w:val="24"/>
                <w:szCs w:val="24"/>
                <w:highlight w:val="none"/>
              </w:rPr>
            </w:pPr>
            <w:r>
              <w:rPr>
                <w:rFonts w:hint="eastAsia" w:ascii="仿宋" w:hAnsi="仿宋" w:eastAsia="仿宋" w:cs="仿宋"/>
                <w:b/>
                <w:color w:val="auto"/>
                <w:sz w:val="24"/>
                <w:szCs w:val="24"/>
                <w:highlight w:val="none"/>
              </w:rPr>
              <w:t>▲投标截止时间前，供应商未传输递交“电子加密投标文件”的，投标无效。</w:t>
            </w:r>
          </w:p>
        </w:tc>
      </w:tr>
      <w:tr w14:paraId="4B4EBA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9"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2BDF090F">
            <w:pPr>
              <w:snapToGrid w:val="0"/>
              <w:spacing w:line="42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14</w:t>
            </w:r>
          </w:p>
        </w:tc>
        <w:tc>
          <w:tcPr>
            <w:tcW w:w="8749" w:type="dxa"/>
            <w:tcBorders>
              <w:top w:val="single" w:color="auto" w:sz="4" w:space="0"/>
              <w:left w:val="single" w:color="auto" w:sz="4" w:space="0"/>
              <w:bottom w:val="single" w:color="auto" w:sz="4" w:space="0"/>
              <w:right w:val="single" w:color="auto" w:sz="4" w:space="0"/>
            </w:tcBorders>
            <w:vAlign w:val="center"/>
          </w:tcPr>
          <w:p w14:paraId="28F084D6">
            <w:pPr>
              <w:snapToGrid w:val="0"/>
              <w:spacing w:line="42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评标办法及标准：按照采购文件第三章评标办法及标准。</w:t>
            </w:r>
          </w:p>
        </w:tc>
      </w:tr>
      <w:tr w14:paraId="5E2E8C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9"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63D1A2FA">
            <w:pPr>
              <w:snapToGrid w:val="0"/>
              <w:spacing w:line="42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15</w:t>
            </w:r>
          </w:p>
        </w:tc>
        <w:tc>
          <w:tcPr>
            <w:tcW w:w="8749" w:type="dxa"/>
            <w:tcBorders>
              <w:top w:val="single" w:color="auto" w:sz="4" w:space="0"/>
              <w:left w:val="single" w:color="auto" w:sz="4" w:space="0"/>
              <w:bottom w:val="single" w:color="auto" w:sz="4" w:space="0"/>
              <w:right w:val="single" w:color="auto" w:sz="4" w:space="0"/>
            </w:tcBorders>
            <w:vAlign w:val="center"/>
          </w:tcPr>
          <w:p w14:paraId="5955B031">
            <w:pPr>
              <w:snapToGrid w:val="0"/>
              <w:spacing w:line="42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现场踏勘：不统一组织，由投标人自行踏勘。</w:t>
            </w:r>
          </w:p>
        </w:tc>
      </w:tr>
      <w:tr w14:paraId="5EDB60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9"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2892A88E">
            <w:pPr>
              <w:snapToGrid w:val="0"/>
              <w:spacing w:line="42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16</w:t>
            </w:r>
          </w:p>
        </w:tc>
        <w:tc>
          <w:tcPr>
            <w:tcW w:w="8749" w:type="dxa"/>
            <w:tcBorders>
              <w:top w:val="single" w:color="auto" w:sz="4" w:space="0"/>
              <w:left w:val="single" w:color="auto" w:sz="4" w:space="0"/>
              <w:bottom w:val="single" w:color="auto" w:sz="4" w:space="0"/>
              <w:right w:val="single" w:color="auto" w:sz="4" w:space="0"/>
            </w:tcBorders>
            <w:vAlign w:val="center"/>
          </w:tcPr>
          <w:p w14:paraId="75F6484C">
            <w:pPr>
              <w:snapToGrid w:val="0"/>
              <w:spacing w:line="42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评标委员会人数：5人或以上单数，其中采购人代表不超过1/3；</w:t>
            </w:r>
          </w:p>
          <w:p w14:paraId="00B61D8B">
            <w:pPr>
              <w:snapToGrid w:val="0"/>
              <w:spacing w:line="42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评标专家确定方式：在乐采云平台专家库随机抽取。在专家中推荐产生一名负责人，负责组织、协调评标委员会开展评标工作。</w:t>
            </w:r>
          </w:p>
        </w:tc>
      </w:tr>
      <w:tr w14:paraId="04BAC8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4"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0DA67D0F">
            <w:pPr>
              <w:snapToGrid w:val="0"/>
              <w:spacing w:line="42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17</w:t>
            </w:r>
          </w:p>
        </w:tc>
        <w:tc>
          <w:tcPr>
            <w:tcW w:w="8749" w:type="dxa"/>
            <w:tcBorders>
              <w:top w:val="single" w:color="auto" w:sz="4" w:space="0"/>
              <w:left w:val="single" w:color="auto" w:sz="4" w:space="0"/>
              <w:bottom w:val="single" w:color="auto" w:sz="4" w:space="0"/>
              <w:right w:val="single" w:color="auto" w:sz="4" w:space="0"/>
            </w:tcBorders>
            <w:vAlign w:val="center"/>
          </w:tcPr>
          <w:p w14:paraId="6FD0AAA4">
            <w:pPr>
              <w:snapToGrid w:val="0"/>
              <w:spacing w:line="420" w:lineRule="exact"/>
              <w:rPr>
                <w:rFonts w:ascii="仿宋" w:hAnsi="仿宋" w:eastAsia="仿宋" w:cs="仿宋"/>
                <w:b/>
                <w:color w:val="auto"/>
                <w:sz w:val="24"/>
                <w:szCs w:val="24"/>
                <w:highlight w:val="none"/>
              </w:rPr>
            </w:pPr>
            <w:r>
              <w:rPr>
                <w:rFonts w:hint="eastAsia" w:ascii="仿宋" w:hAnsi="仿宋" w:eastAsia="仿宋" w:cs="仿宋"/>
                <w:color w:val="auto"/>
                <w:sz w:val="24"/>
                <w:szCs w:val="24"/>
                <w:highlight w:val="none"/>
              </w:rPr>
              <w:t>评标结果公示、公告：评审结束后两个工作日内，中标公示于发布招标公告的网站发布</w:t>
            </w:r>
            <w:r>
              <w:rPr>
                <w:rFonts w:hint="eastAsia" w:ascii="仿宋" w:hAnsi="仿宋" w:eastAsia="仿宋" w:cs="仿宋"/>
                <w:color w:val="auto"/>
                <w:sz w:val="24"/>
                <w:szCs w:val="24"/>
                <w:highlight w:val="none"/>
                <w:lang w:val="en-US" w:eastAsia="zh-CN"/>
              </w:rPr>
              <w:t>并同时</w:t>
            </w:r>
            <w:r>
              <w:rPr>
                <w:rFonts w:hint="eastAsia" w:ascii="仿宋" w:hAnsi="仿宋" w:eastAsia="仿宋" w:cs="仿宋"/>
                <w:color w:val="auto"/>
                <w:sz w:val="24"/>
                <w:szCs w:val="24"/>
                <w:highlight w:val="none"/>
              </w:rPr>
              <w:t>发出中标通知书。</w:t>
            </w:r>
          </w:p>
        </w:tc>
      </w:tr>
      <w:tr w14:paraId="6DFB37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51"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49324B8F">
            <w:pPr>
              <w:snapToGrid w:val="0"/>
              <w:spacing w:line="42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18</w:t>
            </w:r>
          </w:p>
        </w:tc>
        <w:tc>
          <w:tcPr>
            <w:tcW w:w="8749" w:type="dxa"/>
            <w:tcBorders>
              <w:top w:val="single" w:color="auto" w:sz="4" w:space="0"/>
              <w:left w:val="single" w:color="auto" w:sz="4" w:space="0"/>
              <w:bottom w:val="single" w:color="auto" w:sz="4" w:space="0"/>
              <w:right w:val="single" w:color="auto" w:sz="4" w:space="0"/>
            </w:tcBorders>
            <w:vAlign w:val="center"/>
          </w:tcPr>
          <w:p w14:paraId="0F8A418C">
            <w:pPr>
              <w:snapToGrid w:val="0"/>
              <w:spacing w:line="42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投标截止时间：</w:t>
            </w:r>
            <w:r>
              <w:rPr>
                <w:rFonts w:hint="eastAsia" w:ascii="仿宋" w:hAnsi="仿宋" w:eastAsia="仿宋" w:cs="仿宋"/>
                <w:b/>
                <w:bCs/>
                <w:color w:val="0070C0"/>
                <w:sz w:val="24"/>
                <w:szCs w:val="24"/>
                <w:highlight w:val="none"/>
              </w:rPr>
              <w:t>202</w:t>
            </w:r>
            <w:r>
              <w:rPr>
                <w:rFonts w:hint="eastAsia" w:ascii="仿宋" w:hAnsi="仿宋" w:eastAsia="仿宋" w:cs="仿宋"/>
                <w:b/>
                <w:bCs/>
                <w:color w:val="0070C0"/>
                <w:sz w:val="24"/>
                <w:szCs w:val="24"/>
                <w:highlight w:val="none"/>
                <w:lang w:val="en-US" w:eastAsia="zh-CN"/>
              </w:rPr>
              <w:t>5</w:t>
            </w:r>
            <w:r>
              <w:rPr>
                <w:rFonts w:hint="eastAsia" w:ascii="仿宋" w:hAnsi="仿宋" w:eastAsia="仿宋" w:cs="仿宋"/>
                <w:b/>
                <w:bCs/>
                <w:color w:val="0070C0"/>
                <w:sz w:val="24"/>
                <w:szCs w:val="24"/>
                <w:highlight w:val="none"/>
              </w:rPr>
              <w:t>年</w:t>
            </w:r>
            <w:r>
              <w:rPr>
                <w:rFonts w:hint="eastAsia" w:ascii="仿宋" w:hAnsi="仿宋" w:eastAsia="仿宋" w:cs="仿宋"/>
                <w:b/>
                <w:bCs/>
                <w:color w:val="0070C0"/>
                <w:sz w:val="24"/>
                <w:szCs w:val="24"/>
                <w:highlight w:val="none"/>
                <w:lang w:val="en-US" w:eastAsia="zh-CN"/>
              </w:rPr>
              <w:t>04</w:t>
            </w:r>
            <w:r>
              <w:rPr>
                <w:rFonts w:hint="eastAsia" w:ascii="仿宋" w:hAnsi="仿宋" w:eastAsia="仿宋" w:cs="仿宋"/>
                <w:b/>
                <w:bCs/>
                <w:color w:val="0070C0"/>
                <w:sz w:val="24"/>
                <w:szCs w:val="24"/>
                <w:highlight w:val="none"/>
              </w:rPr>
              <w:t>月</w:t>
            </w:r>
            <w:r>
              <w:rPr>
                <w:rFonts w:hint="eastAsia" w:ascii="仿宋" w:hAnsi="仿宋" w:eastAsia="仿宋" w:cs="仿宋"/>
                <w:b/>
                <w:bCs/>
                <w:color w:val="0070C0"/>
                <w:sz w:val="24"/>
                <w:szCs w:val="24"/>
                <w:highlight w:val="none"/>
                <w:lang w:val="en-US" w:eastAsia="zh-CN"/>
              </w:rPr>
              <w:t>23</w:t>
            </w:r>
            <w:r>
              <w:rPr>
                <w:rFonts w:hint="eastAsia" w:ascii="仿宋" w:hAnsi="仿宋" w:eastAsia="仿宋" w:cs="仿宋"/>
                <w:b/>
                <w:bCs/>
                <w:color w:val="0070C0"/>
                <w:sz w:val="24"/>
                <w:szCs w:val="24"/>
                <w:highlight w:val="none"/>
              </w:rPr>
              <w:t>日</w:t>
            </w:r>
            <w:r>
              <w:rPr>
                <w:rFonts w:hint="eastAsia" w:ascii="仿宋" w:hAnsi="仿宋" w:eastAsia="仿宋" w:cs="仿宋"/>
                <w:b/>
                <w:bCs/>
                <w:color w:val="0070C0"/>
                <w:sz w:val="24"/>
                <w:szCs w:val="24"/>
                <w:highlight w:val="none"/>
                <w:lang w:val="en-US" w:eastAsia="zh-CN"/>
              </w:rPr>
              <w:t xml:space="preserve"> 14</w:t>
            </w:r>
            <w:r>
              <w:rPr>
                <w:rFonts w:hint="eastAsia" w:ascii="仿宋" w:hAnsi="仿宋" w:eastAsia="仿宋" w:cs="仿宋"/>
                <w:b/>
                <w:bCs/>
                <w:color w:val="0070C0"/>
                <w:sz w:val="24"/>
                <w:szCs w:val="24"/>
                <w:highlight w:val="none"/>
              </w:rPr>
              <w:t>时</w:t>
            </w:r>
            <w:r>
              <w:rPr>
                <w:rFonts w:hint="eastAsia" w:ascii="仿宋" w:hAnsi="仿宋" w:eastAsia="仿宋" w:cs="仿宋"/>
                <w:b/>
                <w:bCs/>
                <w:color w:val="0070C0"/>
                <w:sz w:val="24"/>
                <w:szCs w:val="24"/>
                <w:highlight w:val="none"/>
                <w:lang w:val="en-US" w:eastAsia="zh-CN"/>
              </w:rPr>
              <w:t>30</w:t>
            </w:r>
            <w:r>
              <w:rPr>
                <w:rFonts w:hint="eastAsia" w:ascii="仿宋" w:hAnsi="仿宋" w:eastAsia="仿宋" w:cs="仿宋"/>
                <w:b/>
                <w:bCs/>
                <w:color w:val="0070C0"/>
                <w:sz w:val="24"/>
                <w:szCs w:val="24"/>
                <w:highlight w:val="none"/>
              </w:rPr>
              <w:t>分</w:t>
            </w:r>
            <w:r>
              <w:rPr>
                <w:rFonts w:hint="eastAsia" w:ascii="仿宋" w:hAnsi="仿宋" w:eastAsia="仿宋" w:cs="仿宋"/>
                <w:b/>
                <w:bCs/>
                <w:color w:val="auto"/>
                <w:sz w:val="24"/>
                <w:szCs w:val="24"/>
                <w:highlight w:val="none"/>
              </w:rPr>
              <w:t>（</w:t>
            </w:r>
            <w:r>
              <w:rPr>
                <w:rFonts w:hint="eastAsia" w:ascii="仿宋" w:hAnsi="仿宋" w:eastAsia="仿宋" w:cs="仿宋"/>
                <w:color w:val="auto"/>
                <w:sz w:val="24"/>
                <w:szCs w:val="24"/>
                <w:highlight w:val="none"/>
              </w:rPr>
              <w:t>北京时间）；</w:t>
            </w:r>
          </w:p>
          <w:p w14:paraId="2C182492">
            <w:pPr>
              <w:snapToGrid w:val="0"/>
              <w:spacing w:line="42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投标地点（网址）：（</w:t>
            </w:r>
            <w:r>
              <w:rPr>
                <w:color w:val="auto"/>
                <w:highlight w:val="none"/>
              </w:rPr>
              <w:fldChar w:fldCharType="begin"/>
            </w:r>
            <w:r>
              <w:rPr>
                <w:color w:val="auto"/>
                <w:highlight w:val="none"/>
              </w:rPr>
              <w:instrText xml:space="preserve"> HYPERLINK "https://www.lecaiyun.com/" </w:instrText>
            </w:r>
            <w:r>
              <w:rPr>
                <w:color w:val="auto"/>
                <w:highlight w:val="none"/>
              </w:rPr>
              <w:fldChar w:fldCharType="separate"/>
            </w:r>
            <w:r>
              <w:rPr>
                <w:rStyle w:val="30"/>
                <w:rFonts w:hint="eastAsia" w:ascii="仿宋" w:hAnsi="仿宋" w:eastAsia="仿宋" w:cs="仿宋"/>
                <w:color w:val="auto"/>
                <w:sz w:val="24"/>
                <w:szCs w:val="24"/>
                <w:highlight w:val="none"/>
              </w:rPr>
              <w:t>https://www.lecaiyun.com/</w:t>
            </w:r>
            <w:r>
              <w:rPr>
                <w:rStyle w:val="30"/>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w:t>
            </w:r>
          </w:p>
        </w:tc>
      </w:tr>
      <w:tr w14:paraId="684F5D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4"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137EEB84">
            <w:pPr>
              <w:snapToGrid w:val="0"/>
              <w:spacing w:line="42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19</w:t>
            </w:r>
          </w:p>
        </w:tc>
        <w:tc>
          <w:tcPr>
            <w:tcW w:w="8749" w:type="dxa"/>
            <w:tcBorders>
              <w:top w:val="single" w:color="auto" w:sz="4" w:space="0"/>
              <w:left w:val="single" w:color="auto" w:sz="4" w:space="0"/>
              <w:bottom w:val="single" w:color="auto" w:sz="4" w:space="0"/>
              <w:right w:val="single" w:color="auto" w:sz="4" w:space="0"/>
            </w:tcBorders>
            <w:vAlign w:val="center"/>
          </w:tcPr>
          <w:p w14:paraId="58001E1E">
            <w:pPr>
              <w:snapToGrid w:val="0"/>
              <w:spacing w:line="42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开标时间：</w:t>
            </w:r>
            <w:r>
              <w:rPr>
                <w:rFonts w:hint="eastAsia" w:ascii="仿宋" w:hAnsi="仿宋" w:eastAsia="仿宋" w:cs="仿宋"/>
                <w:b/>
                <w:bCs/>
                <w:color w:val="0070C0"/>
                <w:sz w:val="24"/>
                <w:szCs w:val="24"/>
                <w:highlight w:val="none"/>
              </w:rPr>
              <w:t>202</w:t>
            </w:r>
            <w:r>
              <w:rPr>
                <w:rFonts w:hint="eastAsia" w:ascii="仿宋" w:hAnsi="仿宋" w:eastAsia="仿宋" w:cs="仿宋"/>
                <w:b/>
                <w:bCs/>
                <w:color w:val="0070C0"/>
                <w:sz w:val="24"/>
                <w:szCs w:val="24"/>
                <w:highlight w:val="none"/>
                <w:lang w:val="en-US" w:eastAsia="zh-CN"/>
              </w:rPr>
              <w:t>5</w:t>
            </w:r>
            <w:r>
              <w:rPr>
                <w:rFonts w:hint="eastAsia" w:ascii="仿宋" w:hAnsi="仿宋" w:eastAsia="仿宋" w:cs="仿宋"/>
                <w:b/>
                <w:bCs/>
                <w:color w:val="0070C0"/>
                <w:sz w:val="24"/>
                <w:szCs w:val="24"/>
                <w:highlight w:val="none"/>
              </w:rPr>
              <w:t>年</w:t>
            </w:r>
            <w:r>
              <w:rPr>
                <w:rFonts w:hint="eastAsia" w:ascii="仿宋" w:hAnsi="仿宋" w:eastAsia="仿宋" w:cs="仿宋"/>
                <w:b/>
                <w:bCs/>
                <w:color w:val="0070C0"/>
                <w:sz w:val="24"/>
                <w:szCs w:val="24"/>
                <w:highlight w:val="none"/>
                <w:lang w:val="en-US" w:eastAsia="zh-CN"/>
              </w:rPr>
              <w:t>04</w:t>
            </w:r>
            <w:r>
              <w:rPr>
                <w:rFonts w:hint="eastAsia" w:ascii="仿宋" w:hAnsi="仿宋" w:eastAsia="仿宋" w:cs="仿宋"/>
                <w:b/>
                <w:bCs/>
                <w:color w:val="0070C0"/>
                <w:sz w:val="24"/>
                <w:szCs w:val="24"/>
                <w:highlight w:val="none"/>
              </w:rPr>
              <w:t>月</w:t>
            </w:r>
            <w:r>
              <w:rPr>
                <w:rFonts w:hint="eastAsia" w:ascii="仿宋" w:hAnsi="仿宋" w:eastAsia="仿宋" w:cs="仿宋"/>
                <w:b/>
                <w:bCs/>
                <w:color w:val="0070C0"/>
                <w:sz w:val="24"/>
                <w:szCs w:val="24"/>
                <w:highlight w:val="none"/>
                <w:lang w:val="en-US" w:eastAsia="zh-CN"/>
              </w:rPr>
              <w:t>23</w:t>
            </w:r>
            <w:r>
              <w:rPr>
                <w:rFonts w:hint="eastAsia" w:ascii="仿宋" w:hAnsi="仿宋" w:eastAsia="仿宋" w:cs="仿宋"/>
                <w:b/>
                <w:bCs/>
                <w:color w:val="0070C0"/>
                <w:sz w:val="24"/>
                <w:szCs w:val="24"/>
                <w:highlight w:val="none"/>
              </w:rPr>
              <w:t>日</w:t>
            </w:r>
            <w:r>
              <w:rPr>
                <w:rFonts w:hint="eastAsia" w:ascii="仿宋" w:hAnsi="仿宋" w:eastAsia="仿宋" w:cs="仿宋"/>
                <w:b/>
                <w:bCs/>
                <w:color w:val="0070C0"/>
                <w:sz w:val="24"/>
                <w:szCs w:val="24"/>
                <w:highlight w:val="none"/>
                <w:lang w:val="en-US" w:eastAsia="zh-CN"/>
              </w:rPr>
              <w:t>14</w:t>
            </w:r>
            <w:r>
              <w:rPr>
                <w:rFonts w:hint="eastAsia" w:ascii="仿宋" w:hAnsi="仿宋" w:eastAsia="仿宋" w:cs="仿宋"/>
                <w:b/>
                <w:bCs/>
                <w:color w:val="0070C0"/>
                <w:sz w:val="24"/>
                <w:szCs w:val="24"/>
                <w:highlight w:val="none"/>
              </w:rPr>
              <w:t>时</w:t>
            </w:r>
            <w:r>
              <w:rPr>
                <w:rFonts w:hint="eastAsia" w:ascii="仿宋" w:hAnsi="仿宋" w:eastAsia="仿宋" w:cs="仿宋"/>
                <w:b/>
                <w:bCs/>
                <w:color w:val="0070C0"/>
                <w:sz w:val="24"/>
                <w:szCs w:val="24"/>
                <w:highlight w:val="none"/>
                <w:lang w:val="en-US" w:eastAsia="zh-CN"/>
              </w:rPr>
              <w:t>30</w:t>
            </w:r>
            <w:r>
              <w:rPr>
                <w:rFonts w:hint="eastAsia" w:ascii="仿宋" w:hAnsi="仿宋" w:eastAsia="仿宋" w:cs="仿宋"/>
                <w:b/>
                <w:bCs/>
                <w:color w:val="0070C0"/>
                <w:sz w:val="24"/>
                <w:szCs w:val="24"/>
                <w:highlight w:val="none"/>
              </w:rPr>
              <w:t>分</w:t>
            </w:r>
            <w:r>
              <w:rPr>
                <w:rFonts w:hint="eastAsia" w:ascii="仿宋" w:hAnsi="仿宋" w:eastAsia="仿宋" w:cs="仿宋"/>
                <w:color w:val="auto"/>
                <w:sz w:val="24"/>
                <w:szCs w:val="24"/>
                <w:highlight w:val="none"/>
              </w:rPr>
              <w:t>（北京时间）；</w:t>
            </w:r>
          </w:p>
          <w:p w14:paraId="5DC8AB9F">
            <w:pPr>
              <w:snapToGrid w:val="0"/>
              <w:spacing w:line="42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开标地点（网址）：（</w:t>
            </w:r>
            <w:r>
              <w:rPr>
                <w:color w:val="auto"/>
                <w:highlight w:val="none"/>
              </w:rPr>
              <w:fldChar w:fldCharType="begin"/>
            </w:r>
            <w:r>
              <w:rPr>
                <w:color w:val="auto"/>
                <w:highlight w:val="none"/>
              </w:rPr>
              <w:instrText xml:space="preserve"> HYPERLINK "https://lecaiyun.com" </w:instrText>
            </w:r>
            <w:r>
              <w:rPr>
                <w:color w:val="auto"/>
                <w:highlight w:val="none"/>
              </w:rPr>
              <w:fldChar w:fldCharType="separate"/>
            </w:r>
            <w:r>
              <w:rPr>
                <w:rStyle w:val="30"/>
                <w:rFonts w:hint="eastAsia" w:ascii="仿宋" w:hAnsi="仿宋" w:eastAsia="仿宋" w:cs="仿宋"/>
                <w:color w:val="auto"/>
                <w:sz w:val="24"/>
                <w:szCs w:val="24"/>
                <w:highlight w:val="none"/>
              </w:rPr>
              <w:t>https://lecaiyun.com</w:t>
            </w:r>
            <w:r>
              <w:rPr>
                <w:rStyle w:val="30"/>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 xml:space="preserve"> ）。</w:t>
            </w:r>
          </w:p>
        </w:tc>
      </w:tr>
      <w:tr w14:paraId="6615EC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5"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31CB9B48">
            <w:pPr>
              <w:snapToGrid w:val="0"/>
              <w:spacing w:line="42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20</w:t>
            </w:r>
          </w:p>
        </w:tc>
        <w:tc>
          <w:tcPr>
            <w:tcW w:w="8749" w:type="dxa"/>
            <w:tcBorders>
              <w:top w:val="single" w:color="auto" w:sz="4" w:space="0"/>
              <w:left w:val="single" w:color="auto" w:sz="4" w:space="0"/>
              <w:bottom w:val="single" w:color="auto" w:sz="4" w:space="0"/>
              <w:right w:val="single" w:color="auto" w:sz="4" w:space="0"/>
            </w:tcBorders>
            <w:vAlign w:val="center"/>
          </w:tcPr>
          <w:p w14:paraId="43F6238B">
            <w:pPr>
              <w:snapToGrid w:val="0"/>
              <w:spacing w:before="156" w:line="42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1．信用信息查询渠道及截止时间：采购人代表或由采购人委托的评标委员会将通过“信用中国”网站(www.creditchina.gov.cn)、中国政府采购网(www.ccgp.gov.cn)渠道查询投标人投标截止时间前的信用记录。</w:t>
            </w:r>
          </w:p>
          <w:p w14:paraId="4CDFAA76">
            <w:pPr>
              <w:snapToGrid w:val="0"/>
              <w:spacing w:line="42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2.信用信息查询记录和证据留存的具体方式：采购人代表或由采购人委托的评标委员会现场查询投标人的信用记录，查询结果经确认后与采购文件一起存档。</w:t>
            </w:r>
          </w:p>
          <w:p w14:paraId="62FAAA72">
            <w:pPr>
              <w:spacing w:line="420" w:lineRule="exact"/>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3.信用信息的使用规则：</w:t>
            </w:r>
          </w:p>
          <w:p w14:paraId="15C36068">
            <w:pPr>
              <w:spacing w:line="420" w:lineRule="exact"/>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①在“信用中国”具有负面记录：列入失信被执行人、重大税收违法案件当事人名单、采购严重违法失信行为名单；</w:t>
            </w:r>
          </w:p>
          <w:p w14:paraId="50856178">
            <w:pPr>
              <w:spacing w:line="420" w:lineRule="exact"/>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②被“中国政府采购网”(www.ccgp.gov.cn)列入采购严重违法失信行为记录名单。</w:t>
            </w:r>
          </w:p>
          <w:p w14:paraId="6C52DC64">
            <w:pPr>
              <w:snapToGrid w:val="0"/>
              <w:spacing w:line="42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4.具有以上（3）所述信息记录的投标人，其投标做无效投标处理。</w:t>
            </w:r>
          </w:p>
        </w:tc>
      </w:tr>
      <w:tr w14:paraId="191EA2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5"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02FE5712">
            <w:pPr>
              <w:snapToGrid w:val="0"/>
              <w:spacing w:line="42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21</w:t>
            </w:r>
          </w:p>
        </w:tc>
        <w:tc>
          <w:tcPr>
            <w:tcW w:w="8749" w:type="dxa"/>
            <w:tcBorders>
              <w:top w:val="single" w:color="auto" w:sz="4" w:space="0"/>
              <w:left w:val="single" w:color="auto" w:sz="4" w:space="0"/>
              <w:bottom w:val="single" w:color="auto" w:sz="4" w:space="0"/>
              <w:right w:val="single" w:color="auto" w:sz="4" w:space="0"/>
            </w:tcBorders>
            <w:vAlign w:val="center"/>
          </w:tcPr>
          <w:p w14:paraId="6A10D7F7">
            <w:pPr>
              <w:snapToGrid w:val="0"/>
              <w:spacing w:line="42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签订合同时间：中标通知书发出后30日内。</w:t>
            </w:r>
          </w:p>
        </w:tc>
      </w:tr>
      <w:tr w14:paraId="726A3D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58DB1D4F">
            <w:pPr>
              <w:snapToGrid w:val="0"/>
              <w:spacing w:line="420" w:lineRule="exact"/>
              <w:jc w:val="center"/>
              <w:rPr>
                <w:rFonts w:hint="default" w:ascii="仿宋" w:hAnsi="仿宋" w:eastAsia="仿宋" w:cs="仿宋"/>
                <w:color w:val="auto"/>
                <w:sz w:val="24"/>
                <w:szCs w:val="24"/>
                <w:highlight w:val="none"/>
                <w:lang w:val="en-US" w:eastAsia="zh-CN"/>
              </w:rPr>
            </w:pPr>
            <w:bookmarkStart w:id="13" w:name="_GoBack"/>
            <w:bookmarkEnd w:id="13"/>
            <w:r>
              <w:rPr>
                <w:rFonts w:hint="eastAsia" w:ascii="仿宋" w:hAnsi="仿宋" w:eastAsia="仿宋" w:cs="仿宋"/>
                <w:color w:val="auto"/>
                <w:sz w:val="24"/>
                <w:szCs w:val="24"/>
                <w:highlight w:val="none"/>
                <w:lang w:val="en-US" w:eastAsia="zh-CN"/>
              </w:rPr>
              <w:t>22</w:t>
            </w:r>
          </w:p>
        </w:tc>
        <w:tc>
          <w:tcPr>
            <w:tcW w:w="8749" w:type="dxa"/>
            <w:tcBorders>
              <w:top w:val="single" w:color="auto" w:sz="4" w:space="0"/>
              <w:left w:val="single" w:color="auto" w:sz="4" w:space="0"/>
              <w:bottom w:val="single" w:color="auto" w:sz="4" w:space="0"/>
              <w:right w:val="single" w:color="auto" w:sz="4" w:space="0"/>
            </w:tcBorders>
            <w:vAlign w:val="center"/>
          </w:tcPr>
          <w:p w14:paraId="7769924C">
            <w:pPr>
              <w:snapToGrid w:val="0"/>
              <w:spacing w:line="42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履约担保：</w:t>
            </w:r>
            <w:r>
              <w:rPr>
                <w:rFonts w:hint="eastAsia" w:ascii="仿宋" w:hAnsi="仿宋" w:eastAsia="仿宋" w:cs="仿宋"/>
                <w:color w:val="auto"/>
                <w:sz w:val="24"/>
                <w:szCs w:val="24"/>
                <w:highlight w:val="none"/>
                <w:lang w:val="en-US" w:eastAsia="zh-CN"/>
              </w:rPr>
              <w:t>20000元</w:t>
            </w:r>
            <w:r>
              <w:rPr>
                <w:rFonts w:hint="eastAsia" w:ascii="仿宋" w:hAnsi="仿宋" w:eastAsia="仿宋" w:cs="仿宋"/>
                <w:color w:val="auto"/>
                <w:sz w:val="24"/>
                <w:szCs w:val="24"/>
                <w:highlight w:val="none"/>
              </w:rPr>
              <w:t>。</w:t>
            </w:r>
          </w:p>
          <w:p w14:paraId="3183260A">
            <w:pPr>
              <w:snapToGrid w:val="0"/>
              <w:spacing w:line="42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履约担保形式：转账/银行保函/保险保证/担保公司担保等形式； </w:t>
            </w:r>
          </w:p>
          <w:p w14:paraId="2AC615F4">
            <w:pPr>
              <w:snapToGrid w:val="0"/>
              <w:spacing w:line="42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如采用银行保函：应由投标人从县（区、市）级支行及以上的银行开具，并保证其有效。保函有效时间</w:t>
            </w:r>
            <w:r>
              <w:rPr>
                <w:rFonts w:hint="eastAsia" w:ascii="仿宋" w:hAnsi="仿宋" w:eastAsia="仿宋" w:cs="仿宋"/>
                <w:color w:val="auto"/>
                <w:sz w:val="24"/>
                <w:szCs w:val="24"/>
                <w:highlight w:val="none"/>
                <w:lang w:val="en-US" w:eastAsia="zh-CN"/>
              </w:rPr>
              <w:t>不少于12个月</w:t>
            </w:r>
            <w:r>
              <w:rPr>
                <w:rFonts w:hint="eastAsia" w:ascii="仿宋" w:hAnsi="仿宋" w:eastAsia="仿宋" w:cs="仿宋"/>
                <w:color w:val="auto"/>
                <w:sz w:val="24"/>
                <w:szCs w:val="24"/>
                <w:highlight w:val="none"/>
              </w:rPr>
              <w:t>。</w:t>
            </w:r>
          </w:p>
        </w:tc>
      </w:tr>
      <w:tr w14:paraId="34EA35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46A0A7C1">
            <w:pPr>
              <w:snapToGrid w:val="0"/>
              <w:spacing w:line="420" w:lineRule="exact"/>
              <w:ind w:firstLine="0" w:firstLineChars="0"/>
              <w:jc w:val="center"/>
              <w:rPr>
                <w:rFonts w:hint="default" w:ascii="仿宋" w:hAnsi="仿宋" w:eastAsia="仿宋" w:cs="仿宋"/>
                <w:color w:val="FF0000"/>
                <w:sz w:val="24"/>
                <w:szCs w:val="24"/>
                <w:highlight w:val="none"/>
                <w:lang w:val="en-US" w:eastAsia="zh-CN"/>
              </w:rPr>
            </w:pPr>
            <w:r>
              <w:rPr>
                <w:rFonts w:hint="eastAsia" w:ascii="仿宋" w:hAnsi="仿宋" w:eastAsia="仿宋" w:cs="仿宋"/>
                <w:color w:val="auto"/>
                <w:sz w:val="24"/>
                <w:szCs w:val="24"/>
                <w:highlight w:val="none"/>
                <w:lang w:val="en-US" w:eastAsia="zh-CN"/>
              </w:rPr>
              <w:t>23</w:t>
            </w:r>
          </w:p>
        </w:tc>
        <w:tc>
          <w:tcPr>
            <w:tcW w:w="8749" w:type="dxa"/>
            <w:tcBorders>
              <w:top w:val="single" w:color="auto" w:sz="4" w:space="0"/>
              <w:left w:val="single" w:color="auto" w:sz="4" w:space="0"/>
              <w:bottom w:val="single" w:color="auto" w:sz="4" w:space="0"/>
              <w:right w:val="single" w:color="auto" w:sz="4" w:space="0"/>
            </w:tcBorders>
            <w:vAlign w:val="center"/>
          </w:tcPr>
          <w:p w14:paraId="4D9C7330">
            <w:pPr>
              <w:spacing w:line="42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结算方式：</w:t>
            </w:r>
          </w:p>
          <w:p w14:paraId="51539F3A">
            <w:pPr>
              <w:spacing w:line="420" w:lineRule="exact"/>
              <w:rPr>
                <w:rFonts w:hint="eastAsia" w:ascii="仿宋" w:hAnsi="仿宋" w:eastAsia="仿宋" w:cs="仿宋"/>
                <w:color w:val="auto"/>
                <w:sz w:val="24"/>
                <w:szCs w:val="24"/>
                <w:highlight w:val="none"/>
                <w:lang w:val="en-US" w:eastAsia="zh-CN"/>
              </w:rPr>
            </w:pPr>
            <w:r>
              <w:rPr>
                <w:rFonts w:hint="eastAsia" w:ascii="仿宋" w:hAnsi="仿宋" w:eastAsia="仿宋" w:cs="仿宋"/>
                <w:bCs w:val="0"/>
                <w:color w:val="auto"/>
                <w:sz w:val="24"/>
                <w:szCs w:val="24"/>
                <w:highlight w:val="none"/>
              </w:rPr>
              <w:t>最终结算</w:t>
            </w:r>
            <w:r>
              <w:rPr>
                <w:rFonts w:hint="eastAsia" w:ascii="仿宋" w:hAnsi="仿宋" w:eastAsia="仿宋" w:cs="仿宋"/>
                <w:bCs w:val="0"/>
                <w:color w:val="auto"/>
                <w:sz w:val="24"/>
                <w:szCs w:val="24"/>
                <w:highlight w:val="none"/>
                <w:lang w:val="en-US" w:eastAsia="zh-CN"/>
              </w:rPr>
              <w:t>金额=结算单价*经采购人审核后的实际用量。</w:t>
            </w:r>
          </w:p>
        </w:tc>
      </w:tr>
      <w:tr w14:paraId="728DE2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5"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0BFBF2A2">
            <w:pPr>
              <w:snapToGrid w:val="0"/>
              <w:spacing w:line="42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24</w:t>
            </w:r>
          </w:p>
        </w:tc>
        <w:tc>
          <w:tcPr>
            <w:tcW w:w="8749" w:type="dxa"/>
            <w:tcBorders>
              <w:top w:val="single" w:color="auto" w:sz="4" w:space="0"/>
              <w:left w:val="single" w:color="auto" w:sz="4" w:space="0"/>
              <w:bottom w:val="single" w:color="auto" w:sz="4" w:space="0"/>
              <w:right w:val="single" w:color="auto" w:sz="4" w:space="0"/>
            </w:tcBorders>
            <w:vAlign w:val="center"/>
          </w:tcPr>
          <w:p w14:paraId="5292437B">
            <w:pPr>
              <w:snapToGrid w:val="0"/>
              <w:spacing w:line="42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投标文件有效期：</w:t>
            </w:r>
            <w:r>
              <w:rPr>
                <w:rFonts w:hint="eastAsia" w:ascii="仿宋" w:hAnsi="仿宋" w:eastAsia="仿宋" w:cs="仿宋"/>
                <w:color w:val="auto"/>
                <w:sz w:val="24"/>
                <w:szCs w:val="24"/>
                <w:highlight w:val="none"/>
                <w:u w:val="single"/>
              </w:rPr>
              <w:t>90</w:t>
            </w:r>
            <w:r>
              <w:rPr>
                <w:rFonts w:hint="eastAsia" w:ascii="仿宋" w:hAnsi="仿宋" w:eastAsia="仿宋" w:cs="仿宋"/>
                <w:color w:val="auto"/>
                <w:sz w:val="24"/>
                <w:szCs w:val="24"/>
                <w:highlight w:val="none"/>
              </w:rPr>
              <w:t>日</w:t>
            </w:r>
          </w:p>
        </w:tc>
      </w:tr>
      <w:tr w14:paraId="4C2B4A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7"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506DBAD9">
            <w:pPr>
              <w:snapToGrid w:val="0"/>
              <w:spacing w:line="42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25</w:t>
            </w:r>
          </w:p>
        </w:tc>
        <w:tc>
          <w:tcPr>
            <w:tcW w:w="8749" w:type="dxa"/>
            <w:tcBorders>
              <w:top w:val="single" w:color="auto" w:sz="4" w:space="0"/>
              <w:left w:val="single" w:color="auto" w:sz="4" w:space="0"/>
              <w:bottom w:val="single" w:color="auto" w:sz="4" w:space="0"/>
              <w:right w:val="single" w:color="auto" w:sz="4" w:space="0"/>
            </w:tcBorders>
            <w:vAlign w:val="center"/>
          </w:tcPr>
          <w:p w14:paraId="1AF1B1A6">
            <w:pPr>
              <w:snapToGrid w:val="0"/>
              <w:spacing w:line="42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1、招标代理服务费：</w:t>
            </w:r>
            <w:r>
              <w:rPr>
                <w:rFonts w:hint="eastAsia" w:ascii="仿宋" w:hAnsi="仿宋" w:eastAsia="仿宋" w:cs="仿宋"/>
                <w:color w:val="auto"/>
                <w:sz w:val="24"/>
                <w:szCs w:val="24"/>
                <w:highlight w:val="none"/>
                <w:lang w:val="en-US" w:eastAsia="zh-CN"/>
              </w:rPr>
              <w:t>10000元，</w:t>
            </w:r>
            <w:r>
              <w:rPr>
                <w:rFonts w:hint="eastAsia" w:ascii="仿宋" w:hAnsi="仿宋" w:eastAsia="仿宋" w:cs="仿宋"/>
                <w:color w:val="auto"/>
                <w:sz w:val="24"/>
                <w:szCs w:val="24"/>
                <w:highlight w:val="none"/>
              </w:rPr>
              <w:t>由中标人在领取中标通知书前一次性付清。</w:t>
            </w:r>
          </w:p>
        </w:tc>
      </w:tr>
      <w:tr w14:paraId="7BAAA4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3"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66C1E21E">
            <w:pPr>
              <w:snapToGrid w:val="0"/>
              <w:spacing w:line="42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26</w:t>
            </w:r>
          </w:p>
        </w:tc>
        <w:tc>
          <w:tcPr>
            <w:tcW w:w="8749" w:type="dxa"/>
            <w:tcBorders>
              <w:top w:val="single" w:color="auto" w:sz="4" w:space="0"/>
              <w:left w:val="single" w:color="auto" w:sz="4" w:space="0"/>
              <w:bottom w:val="single" w:color="auto" w:sz="4" w:space="0"/>
              <w:right w:val="single" w:color="auto" w:sz="4" w:space="0"/>
            </w:tcBorders>
            <w:vAlign w:val="center"/>
          </w:tcPr>
          <w:p w14:paraId="63ECDFC6">
            <w:pPr>
              <w:snapToGrid w:val="0"/>
              <w:spacing w:line="42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解释：本采购文件的解释权属于采购人。</w:t>
            </w:r>
          </w:p>
        </w:tc>
      </w:tr>
      <w:tr w14:paraId="61D4AB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3"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49B48F3D">
            <w:pPr>
              <w:snapToGrid w:val="0"/>
              <w:spacing w:line="42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27</w:t>
            </w:r>
          </w:p>
        </w:tc>
        <w:tc>
          <w:tcPr>
            <w:tcW w:w="8749" w:type="dxa"/>
            <w:tcBorders>
              <w:top w:val="single" w:color="auto" w:sz="4" w:space="0"/>
              <w:left w:val="single" w:color="auto" w:sz="4" w:space="0"/>
              <w:bottom w:val="single" w:color="auto" w:sz="4" w:space="0"/>
              <w:right w:val="single" w:color="auto" w:sz="4" w:space="0"/>
            </w:tcBorders>
            <w:vAlign w:val="center"/>
          </w:tcPr>
          <w:p w14:paraId="6E959CEB">
            <w:pPr>
              <w:snapToGrid w:val="0"/>
              <w:spacing w:line="42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现场确认声明书：开标记录开启后，投标人须将《采购活动现场确认声明书》按</w:t>
            </w:r>
          </w:p>
          <w:p w14:paraId="677D08B1">
            <w:pPr>
              <w:snapToGrid w:val="0"/>
              <w:spacing w:line="42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规定格式填写、签署，并将扫描件发送至邮箱：</w:t>
            </w:r>
            <w:r>
              <w:rPr>
                <w:rFonts w:hint="eastAsia" w:ascii="仿宋" w:hAnsi="仿宋" w:eastAsia="仿宋" w:cs="仿宋"/>
                <w:color w:val="auto"/>
                <w:sz w:val="24"/>
                <w:szCs w:val="24"/>
                <w:highlight w:val="none"/>
                <w:lang w:val="en-US" w:eastAsia="zh-CN"/>
              </w:rPr>
              <w:t>842952583</w:t>
            </w:r>
            <w:r>
              <w:rPr>
                <w:rFonts w:hint="eastAsia" w:ascii="仿宋" w:hAnsi="仿宋" w:eastAsia="仿宋" w:cs="仿宋"/>
                <w:color w:val="auto"/>
                <w:sz w:val="24"/>
                <w:szCs w:val="24"/>
                <w:highlight w:val="none"/>
              </w:rPr>
              <w:t>@qq.com（格式</w:t>
            </w:r>
            <w:r>
              <w:rPr>
                <w:rFonts w:hint="eastAsia" w:ascii="仿宋" w:hAnsi="仿宋" w:eastAsia="仿宋" w:cs="仿宋"/>
                <w:color w:val="auto"/>
                <w:sz w:val="24"/>
                <w:szCs w:val="24"/>
                <w:highlight w:val="none"/>
                <w:lang w:val="en-US" w:eastAsia="zh-CN"/>
              </w:rPr>
              <w:t>见采购文件最后一页</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w:t>
            </w:r>
          </w:p>
        </w:tc>
      </w:tr>
    </w:tbl>
    <w:p w14:paraId="406D1BEF">
      <w:pPr>
        <w:pStyle w:val="14"/>
        <w:spacing w:before="0" w:beforeLines="0" w:afterLines="0" w:line="440" w:lineRule="exact"/>
        <w:ind w:firstLine="472" w:firstLineChars="196"/>
        <w:outlineLvl w:val="1"/>
        <w:rPr>
          <w:rFonts w:hint="eastAsia" w:ascii="仿宋" w:hAnsi="仿宋" w:eastAsia="仿宋" w:cs="仿宋"/>
          <w:b/>
          <w:bCs/>
          <w:color w:val="auto"/>
          <w:highlight w:val="none"/>
        </w:rPr>
      </w:pPr>
    </w:p>
    <w:p w14:paraId="35343179">
      <w:pPr>
        <w:pStyle w:val="14"/>
        <w:spacing w:before="0" w:beforeLines="0" w:afterLines="0" w:line="440" w:lineRule="exact"/>
        <w:ind w:firstLine="472" w:firstLineChars="196"/>
        <w:outlineLvl w:val="1"/>
        <w:rPr>
          <w:rFonts w:ascii="仿宋" w:hAnsi="仿宋" w:eastAsia="仿宋" w:cs="仿宋"/>
          <w:b/>
          <w:bCs/>
          <w:color w:val="auto"/>
          <w:highlight w:val="none"/>
        </w:rPr>
      </w:pPr>
      <w:r>
        <w:rPr>
          <w:rFonts w:hint="eastAsia" w:ascii="仿宋" w:hAnsi="仿宋" w:eastAsia="仿宋" w:cs="仿宋"/>
          <w:b/>
          <w:bCs/>
          <w:color w:val="auto"/>
          <w:highlight w:val="none"/>
        </w:rPr>
        <w:t>一、总 则</w:t>
      </w:r>
    </w:p>
    <w:p w14:paraId="7EB35C10">
      <w:pPr>
        <w:snapToGrid w:val="0"/>
        <w:spacing w:line="440" w:lineRule="exact"/>
        <w:ind w:firstLine="357" w:firstLineChars="148"/>
        <w:jc w:val="left"/>
        <w:outlineLvl w:val="2"/>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（一）适用范围</w:t>
      </w:r>
    </w:p>
    <w:p w14:paraId="4F0A2C5D">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仅适用于本次采购文件中采购项目的招标、投标、评标、定标、验收、合同履约、付款等行为（法律、法规另有规定的，从其规定）。</w:t>
      </w:r>
    </w:p>
    <w:p w14:paraId="44B812B6">
      <w:pPr>
        <w:snapToGrid w:val="0"/>
        <w:spacing w:line="440" w:lineRule="exact"/>
        <w:ind w:firstLine="357" w:firstLineChars="148"/>
        <w:jc w:val="left"/>
        <w:outlineLvl w:val="2"/>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（二）定义</w:t>
      </w:r>
    </w:p>
    <w:p w14:paraId="6DCE03AB">
      <w:pPr>
        <w:snapToGrid w:val="0"/>
        <w:spacing w:line="440" w:lineRule="exact"/>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1.“采购人”系指组织本次招标的</w:t>
      </w:r>
      <w:r>
        <w:rPr>
          <w:rFonts w:hint="eastAsia" w:ascii="仿宋" w:hAnsi="仿宋" w:eastAsia="仿宋" w:cs="仿宋"/>
          <w:color w:val="auto"/>
          <w:sz w:val="24"/>
          <w:szCs w:val="24"/>
          <w:highlight w:val="none"/>
          <w:u w:val="single"/>
          <w:lang w:eastAsia="zh-CN"/>
        </w:rPr>
        <w:t xml:space="preserve"> 浙江临昌交通新材料有限公司</w:t>
      </w:r>
      <w:r>
        <w:rPr>
          <w:rFonts w:hint="eastAsia" w:ascii="仿宋" w:hAnsi="仿宋" w:eastAsia="仿宋" w:cs="仿宋"/>
          <w:color w:val="auto"/>
          <w:sz w:val="24"/>
          <w:szCs w:val="24"/>
          <w:highlight w:val="none"/>
        </w:rPr>
        <w:t>。</w:t>
      </w:r>
    </w:p>
    <w:p w14:paraId="3B800FE0">
      <w:pPr>
        <w:snapToGrid w:val="0"/>
        <w:spacing w:line="440" w:lineRule="exact"/>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2.“投标人”系指向采购人提交投标文件的单位。</w:t>
      </w:r>
    </w:p>
    <w:p w14:paraId="489BA848">
      <w:pPr>
        <w:snapToGrid w:val="0"/>
        <w:spacing w:line="440" w:lineRule="exact"/>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3.“产品”系指供方按采购文件规定，须向采购人提供的一切材料、设备、保险、税金、备品备件、工具、手册及其它有关技术资料和材料。</w:t>
      </w:r>
    </w:p>
    <w:p w14:paraId="6DD8A903">
      <w:pPr>
        <w:snapToGrid w:val="0"/>
        <w:spacing w:line="440" w:lineRule="exact"/>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4.“服务”系指采购文件规定投标人须承担的技术指导以及其他类似的义务。</w:t>
      </w:r>
    </w:p>
    <w:p w14:paraId="01C90646">
      <w:pPr>
        <w:snapToGrid w:val="0"/>
        <w:spacing w:line="440" w:lineRule="exact"/>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5.“项目”系指投标人按采购文件规定向采购人提供的产品和服务。</w:t>
      </w:r>
    </w:p>
    <w:p w14:paraId="2CAB190C">
      <w:pPr>
        <w:snapToGrid w:val="0"/>
        <w:spacing w:line="440" w:lineRule="exact"/>
        <w:ind w:firstLine="357" w:firstLineChars="148"/>
        <w:jc w:val="left"/>
        <w:outlineLvl w:val="2"/>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（三）投标委托</w:t>
      </w:r>
    </w:p>
    <w:p w14:paraId="21AB5EE3">
      <w:pPr>
        <w:snapToGrid w:val="0"/>
        <w:spacing w:line="440" w:lineRule="exact"/>
        <w:ind w:firstLine="482" w:firstLineChars="200"/>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若存在现场演示环节或样品送达情况，授权代表须携带有效身份证件。如授权代表不是法定代表人（负责人）（下同），须有法定代表人出具的授权委托书。</w:t>
      </w:r>
    </w:p>
    <w:p w14:paraId="3A1848A0">
      <w:pPr>
        <w:snapToGrid w:val="0"/>
        <w:spacing w:line="440" w:lineRule="exact"/>
        <w:ind w:firstLine="357" w:firstLineChars="148"/>
        <w:jc w:val="left"/>
        <w:outlineLvl w:val="2"/>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（四）投标费用</w:t>
      </w:r>
    </w:p>
    <w:p w14:paraId="6C468ACD">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无论投标过程和结果如何，投标人均应自行承担所有与投标有关的全部费用。</w:t>
      </w:r>
    </w:p>
    <w:p w14:paraId="3B76A48B">
      <w:pPr>
        <w:snapToGrid w:val="0"/>
        <w:spacing w:line="440" w:lineRule="exact"/>
        <w:ind w:firstLine="357" w:firstLineChars="148"/>
        <w:jc w:val="left"/>
        <w:outlineLvl w:val="2"/>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（五）特别说明</w:t>
      </w:r>
    </w:p>
    <w:p w14:paraId="2560FDEA">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1.投标人应仔细阅读采购文件的所有内容，按照采购文件的要求提交投标文件，并对所提供的全部资料的真实性承担法律责任。</w:t>
      </w:r>
    </w:p>
    <w:p w14:paraId="512685F5">
      <w:pPr>
        <w:snapToGrid w:val="0"/>
        <w:spacing w:line="440" w:lineRule="exact"/>
        <w:ind w:firstLine="480" w:firstLineChars="200"/>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2.价格是评标的重要因素之一，但最低报价不是中标的唯一依据。</w:t>
      </w:r>
      <w:r>
        <w:rPr>
          <w:rFonts w:hint="eastAsia" w:ascii="仿宋" w:hAnsi="仿宋" w:eastAsia="仿宋" w:cs="仿宋"/>
          <w:color w:val="auto"/>
          <w:sz w:val="24"/>
          <w:szCs w:val="24"/>
          <w:highlight w:val="none"/>
          <w:lang w:val="zh-CN"/>
        </w:rPr>
        <w:t>投标人应不得以低于产品的生产成本的报价，严禁企业低价恶意竞争，否则采购人有权拒绝投标报价明显低于成本价的投标。报价明显低于其他通过符合性审查投标人的报价，有可能影响服务质量或者不能诚信履约的，未能按要求提供书面说明或者提交相关证明材料，不能证明其报价合理性的，投标无效。</w:t>
      </w:r>
    </w:p>
    <w:p w14:paraId="56E64FB3">
      <w:pPr>
        <w:snapToGrid w:val="0"/>
        <w:spacing w:line="440" w:lineRule="exact"/>
        <w:ind w:firstLine="480" w:firstLineChars="200"/>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3.使用综合评分法的采购项目，提供相同品牌产品且通过资格审查、符合性审查的不同投标人参加同一合同项下投标的，按一家投标人计算，评审后得分最高的同品牌投标人获得中标人推荐资格；评审得分相同的，按照采购文件“第三章 评标办法及评分标准”中有关条款规定的方式确定一个投标人获得中标人推荐资格，其他同品牌投标人不作为中标候选人。</w:t>
      </w:r>
    </w:p>
    <w:p w14:paraId="4DEDDDC1">
      <w:pPr>
        <w:snapToGrid w:val="0"/>
        <w:spacing w:line="440" w:lineRule="exact"/>
        <w:ind w:firstLine="480" w:firstLineChars="20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非单一产品采购项目，多家投标人提供的核心产品品牌相同的，按前款规定处理。核心产品由采购人在采购文件采购需求中指定。</w:t>
      </w:r>
    </w:p>
    <w:p w14:paraId="1EE15663">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投标供应商所投产品除采购文件中明确规定要求“提供官网截图或相应检测报告的证明材料”以外，所有技术参数描述均以投标文件为准。投标供应商对所投产品技术参数的真实性承担法律责任。项目招标结束后、质疑期限内，如有质疑供应商认为中标供应商所投产品、投标文件技术参数与招标需求存在重大偏离、错误、甚至造假的情况，应提供具体有效的证明材料。</w:t>
      </w:r>
    </w:p>
    <w:p w14:paraId="6B1C5CCA">
      <w:pPr>
        <w:snapToGrid w:val="0"/>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5.投标人不得相互串通投标报价，不得妨碍其他投标人的公平竞争，不得损害采购人或其他投标人的合法权益，投标人不得以向采购人、评标委员会成员行贿或者采取其他不正当手段谋取中标。</w:t>
      </w:r>
    </w:p>
    <w:p w14:paraId="3DB79221">
      <w:pPr>
        <w:pStyle w:val="14"/>
        <w:spacing w:before="0" w:beforeLines="0" w:afterLines="0" w:line="440" w:lineRule="exact"/>
        <w:ind w:firstLine="472" w:firstLineChars="196"/>
        <w:outlineLvl w:val="1"/>
        <w:rPr>
          <w:rFonts w:ascii="仿宋" w:hAnsi="仿宋" w:eastAsia="仿宋" w:cs="仿宋"/>
          <w:b/>
          <w:bCs/>
          <w:color w:val="auto"/>
          <w:highlight w:val="none"/>
        </w:rPr>
      </w:pPr>
      <w:r>
        <w:rPr>
          <w:rFonts w:hint="eastAsia" w:ascii="仿宋" w:hAnsi="仿宋" w:eastAsia="仿宋" w:cs="仿宋"/>
          <w:b/>
          <w:bCs/>
          <w:color w:val="auto"/>
          <w:highlight w:val="none"/>
        </w:rPr>
        <w:t>二、采购文件的澄清与修改</w:t>
      </w:r>
    </w:p>
    <w:p w14:paraId="401FDFDD">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澄清要求的提交：任何已获取了采购文件的潜在投标人，在前附表规定时间前，均可要求对采购文件进行澄清，按招标公告中的联系地址以书面形式（加盖公章的纸质信件和数据电文，包括传真、电子数据交换和电子邮件）（下同）送达采购人。如规定时间内未收到任何质疑，则视为各投标人均对此无异议。</w:t>
      </w:r>
    </w:p>
    <w:p w14:paraId="231BC32D">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采购人对澄清要求的处理：采购人对其认为需要给予澄清、修改或进行其它答复的，如有必要，将在规定时间内，以补充文件的方式进行发布（原公告媒体上同时发布），并将通过“乐采云”平台通知所有已获取采购文件的潜在投标人。补充文件中包括原提出的问题及问题的说明意见，但不包括问题的来源。</w:t>
      </w:r>
    </w:p>
    <w:p w14:paraId="2DCDEE36">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3.澄清或修改的内容可能影响投标文件编制的，采购人用补充文件的方式进行澄清和修改（原公告媒体上同时发布）。补充文件将通过“乐采云”平台通知所有已获取采购文件的潜在投标人。</w:t>
      </w:r>
    </w:p>
    <w:p w14:paraId="6C11CCBE">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在投标截止期前任何时候，采购人无论是出于何种原因，均可对采购文件进行修改，并将修改的内容以书面的形式通过“乐采云”平台通知所有获取采购文件的投标人。投标人应立即以书面形式回复确认已收到修改文件。</w:t>
      </w:r>
    </w:p>
    <w:p w14:paraId="12D846BC">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5.为使投标人有足够的时间按采购文件修改要求修正投标文件，采购人可酌情推迟投标的截止日期和开标日期，并将具体变更情况通过“乐采云”平台通知所有获取采购文件的投标人。</w:t>
      </w:r>
    </w:p>
    <w:p w14:paraId="233615D4">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6.采购文件澄清、答复、修改、补充的内容为采购文件的组成部分。当采购文件与采购文件的答复、澄清、修改、补充通知就同一内容的表述不一致时，以最后发出的书面文件为准。</w:t>
      </w:r>
    </w:p>
    <w:p w14:paraId="4B53B136">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7.采购人澄清、修改及其它答复的效力：无论是否根据投标人的澄清、修改或进行其它答复的要求，采购人一旦对采购文件做出澄清、修改或进行其它答复，即刻发生效力。答疑或补充文件将作为采购文件的组成部分，对所有投标人均具有约束力。</w:t>
      </w:r>
      <w:r>
        <w:rPr>
          <w:rFonts w:hint="eastAsia" w:ascii="仿宋" w:hAnsi="仿宋" w:eastAsia="仿宋" w:cs="仿宋"/>
          <w:b/>
          <w:bCs/>
          <w:color w:val="auto"/>
          <w:sz w:val="24"/>
          <w:szCs w:val="24"/>
          <w:highlight w:val="none"/>
        </w:rPr>
        <w:t>▲投标文件未按采购文件的澄清、修改的内容编制，又不符合实质性要求的，投标无效。</w:t>
      </w:r>
    </w:p>
    <w:p w14:paraId="6F2FD474">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8.采购人不组织所有已获取了采购文件的潜在响应人现场考察，不召开标前答疑会。</w:t>
      </w:r>
    </w:p>
    <w:p w14:paraId="0D97D0F9">
      <w:pPr>
        <w:pStyle w:val="14"/>
        <w:spacing w:before="0" w:beforeLines="0" w:afterLines="0" w:line="440" w:lineRule="exact"/>
        <w:ind w:firstLine="472" w:firstLineChars="196"/>
        <w:outlineLvl w:val="1"/>
        <w:rPr>
          <w:rFonts w:ascii="仿宋" w:hAnsi="仿宋" w:eastAsia="仿宋" w:cs="仿宋"/>
          <w:b/>
          <w:bCs/>
          <w:color w:val="auto"/>
          <w:highlight w:val="none"/>
        </w:rPr>
      </w:pPr>
      <w:r>
        <w:rPr>
          <w:rFonts w:hint="eastAsia" w:ascii="仿宋" w:hAnsi="仿宋" w:eastAsia="仿宋" w:cs="仿宋"/>
          <w:b/>
          <w:bCs/>
          <w:color w:val="auto"/>
          <w:highlight w:val="none"/>
        </w:rPr>
        <w:t>三、投标文件的编制</w:t>
      </w:r>
    </w:p>
    <w:p w14:paraId="47A89FCF">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应仔细阅读采购文件中的所有内容，按照采购文件及招标技术规格要求，详细编制投标文件。投标人必须按采购文件的要求提供相关技术参数、资料，包括采用的单位，并保证投标文件的正确性和真实性，否则可能导致不利于其投标的评定。投标人和投标产品须符合国家强制性标准。</w:t>
      </w:r>
    </w:p>
    <w:p w14:paraId="169EA311">
      <w:pPr>
        <w:snapToGrid w:val="0"/>
        <w:spacing w:line="440" w:lineRule="exact"/>
        <w:ind w:firstLine="357" w:firstLineChars="148"/>
        <w:jc w:val="left"/>
        <w:outlineLvl w:val="2"/>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（一）投标文件的语言及计量</w:t>
      </w:r>
    </w:p>
    <w:p w14:paraId="2A22A513">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1.投标文件以及投标人与采购人就有关投标事宜的所有来往函电，均应以中文汉语书写。除签名、盖章、专用名称等特殊情形外，以中文汉语以外的文字表述的投标文件视同未提供。</w:t>
      </w:r>
    </w:p>
    <w:p w14:paraId="260EC3A3">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投标文件中如附有外文资料，必须逐一对应翻译成中文并加盖投标人公章后附在相关外文资料后面，否则外文资料不予认可。翻译的中文资料与外文资料不符的，均不予认可。翻译严重错误的，将视同提供虚假资料。</w:t>
      </w:r>
    </w:p>
    <w:p w14:paraId="4E679E50">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3.投标计量单位，采购文件已有明确规定的，使用采购文件规定的计量单位；采购文件没有规定的，应采用中华人民共和国法定计量单位（货币单位：人民币元），否则视同未响应。</w:t>
      </w:r>
    </w:p>
    <w:p w14:paraId="628ACD73">
      <w:pPr>
        <w:snapToGrid w:val="0"/>
        <w:spacing w:line="440" w:lineRule="exact"/>
        <w:ind w:firstLine="357" w:firstLineChars="148"/>
        <w:jc w:val="left"/>
        <w:outlineLvl w:val="2"/>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（二）投标文件的组成</w:t>
      </w:r>
    </w:p>
    <w:p w14:paraId="0F086C39">
      <w:pPr>
        <w:snapToGrid w:val="0"/>
        <w:spacing w:line="440" w:lineRule="exact"/>
        <w:ind w:firstLine="470" w:firstLineChars="196"/>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为电子投标文件。电子投标文件，按“乐采云供应商项目采购-电子招投标操作指南”及本采购文件要求制作、加密并递交。电子投标文件由资格文件、商务及资信技术文件和报价文件组成。电子投标文件中所须加盖公章部分均采用CA签章。</w:t>
      </w:r>
    </w:p>
    <w:p w14:paraId="14693B05">
      <w:pPr>
        <w:snapToGrid w:val="0"/>
        <w:spacing w:line="440" w:lineRule="exact"/>
        <w:ind w:firstLine="472" w:firstLineChars="196"/>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1、资格文件</w:t>
      </w:r>
    </w:p>
    <w:p w14:paraId="779952D9">
      <w:pPr>
        <w:snapToGrid w:val="0"/>
        <w:spacing w:line="440" w:lineRule="exact"/>
        <w:ind w:firstLine="470" w:firstLineChars="196"/>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（1）承诺函（如以联合体形式参加采购活动的，联合体各方均应提交该承诺函）</w:t>
      </w:r>
    </w:p>
    <w:p w14:paraId="4D32CA99">
      <w:pPr>
        <w:pStyle w:val="14"/>
        <w:spacing w:before="0" w:beforeLines="0" w:afterLines="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bCs/>
          <w:strike w:val="0"/>
          <w:dstrike w:val="0"/>
          <w:color w:val="auto"/>
          <w:highlight w:val="none"/>
        </w:rPr>
        <w:t>（2）</w:t>
      </w:r>
      <w:r>
        <w:rPr>
          <w:rFonts w:hint="eastAsia" w:ascii="仿宋" w:hAnsi="仿宋" w:eastAsia="仿宋" w:cs="仿宋"/>
          <w:color w:val="auto"/>
          <w:sz w:val="24"/>
          <w:szCs w:val="24"/>
          <w:highlight w:val="none"/>
        </w:rPr>
        <w:t>营业执照(或事业法人登记证或其他工商等登记证明材料)复印件、税务登记证（或其它缴纳证明材料）复印件、社保登记证（或其它缴纳证明材料）复印件；实施“五证合一、一照一码”登记制度改革的，只需提供改革后取得的营业执照复印件；</w:t>
      </w:r>
    </w:p>
    <w:p w14:paraId="4A8B3E82">
      <w:pPr>
        <w:snapToGrid w:val="0"/>
        <w:spacing w:line="440" w:lineRule="exact"/>
        <w:ind w:firstLine="470" w:firstLineChars="196"/>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）法定代表人授权委托书（格式见附件），法定代表人及授权代表的身份证正反复印件或扫描件；</w:t>
      </w:r>
    </w:p>
    <w:p w14:paraId="6BBB46C7">
      <w:pPr>
        <w:snapToGrid w:val="0"/>
        <w:spacing w:line="440" w:lineRule="exact"/>
        <w:ind w:firstLine="470" w:firstLineChars="196"/>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）参加采购活动前三年内在经营活动中没有重大违法记录的声明（格式见附件）；</w:t>
      </w:r>
    </w:p>
    <w:p w14:paraId="2F35F174">
      <w:pPr>
        <w:snapToGrid w:val="0"/>
        <w:spacing w:line="440" w:lineRule="exact"/>
        <w:ind w:firstLine="470" w:firstLineChars="196"/>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）投标诚信承诺书(格式见附件)；</w:t>
      </w:r>
    </w:p>
    <w:p w14:paraId="051BFFDC">
      <w:pPr>
        <w:snapToGrid w:val="0"/>
        <w:spacing w:line="440" w:lineRule="exact"/>
        <w:ind w:firstLine="470" w:firstLineChars="196"/>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）投标人认为有必要提供的其他资格文件或说明。</w:t>
      </w:r>
    </w:p>
    <w:p w14:paraId="02A647F5">
      <w:pPr>
        <w:snapToGrid w:val="0"/>
        <w:spacing w:line="440" w:lineRule="exact"/>
        <w:ind w:firstLine="472" w:firstLineChars="196"/>
        <w:jc w:val="left"/>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2、商务及资信技术文件</w:t>
      </w:r>
    </w:p>
    <w:p w14:paraId="2BF8A16E">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（1）评分索引表（格式见附件）；</w:t>
      </w:r>
    </w:p>
    <w:p w14:paraId="128B4492">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（2）声明书（格式见附件）；</w:t>
      </w:r>
    </w:p>
    <w:p w14:paraId="14F8C64A">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（3）评分规则中涉及的所需提交的材料（若有）；</w:t>
      </w:r>
    </w:p>
    <w:p w14:paraId="305E8FD1">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）技术规格偏离表（格式见附件）；</w:t>
      </w:r>
    </w:p>
    <w:p w14:paraId="39CF7532">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）投标人情况介绍（格式见附件）；</w:t>
      </w:r>
    </w:p>
    <w:p w14:paraId="73590B6D">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bCs/>
          <w:color w:val="auto"/>
          <w:sz w:val="24"/>
          <w:szCs w:val="24"/>
          <w:highlight w:val="none"/>
        </w:rPr>
        <w:t>投标人同类项目实施业绩一览表（格式见附件）；</w:t>
      </w:r>
    </w:p>
    <w:p w14:paraId="501F6CC8">
      <w:pPr>
        <w:spacing w:line="440" w:lineRule="exact"/>
        <w:ind w:firstLine="480" w:firstLineChars="20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w:t>
      </w:r>
      <w:r>
        <w:rPr>
          <w:rFonts w:hint="eastAsia" w:ascii="仿宋" w:hAnsi="仿宋" w:eastAsia="仿宋" w:cs="仿宋"/>
          <w:bCs/>
          <w:color w:val="auto"/>
          <w:sz w:val="24"/>
          <w:szCs w:val="24"/>
          <w:highlight w:val="none"/>
          <w:lang w:eastAsia="zh-CN"/>
        </w:rPr>
        <w:t>7</w:t>
      </w:r>
      <w:r>
        <w:rPr>
          <w:rFonts w:hint="eastAsia" w:ascii="仿宋" w:hAnsi="仿宋" w:eastAsia="仿宋" w:cs="仿宋"/>
          <w:bCs/>
          <w:color w:val="auto"/>
          <w:sz w:val="24"/>
          <w:szCs w:val="24"/>
          <w:highlight w:val="none"/>
        </w:rPr>
        <w:t>）投标人认为有必要提供的其他文件和说明（格式自拟）。</w:t>
      </w:r>
    </w:p>
    <w:p w14:paraId="6E184171">
      <w:pPr>
        <w:spacing w:line="440" w:lineRule="exact"/>
        <w:ind w:firstLine="482" w:firstLineChars="2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3.报价文件：</w:t>
      </w:r>
    </w:p>
    <w:p w14:paraId="0D54ED1B">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）报价一览表（格式见附件）；</w:t>
      </w:r>
    </w:p>
    <w:p w14:paraId="759713D2">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）缴纳采购代理服务费承诺书（</w:t>
      </w:r>
      <w:r>
        <w:rPr>
          <w:rFonts w:hint="eastAsia" w:ascii="仿宋" w:hAnsi="仿宋" w:eastAsia="仿宋" w:cs="仿宋"/>
          <w:color w:val="auto"/>
          <w:sz w:val="24"/>
          <w:szCs w:val="24"/>
          <w:highlight w:val="none"/>
          <w:lang w:val="en-US" w:eastAsia="zh-CN"/>
        </w:rPr>
        <w:t>格式见附件</w:t>
      </w:r>
      <w:r>
        <w:rPr>
          <w:rFonts w:hint="eastAsia" w:ascii="仿宋" w:hAnsi="仿宋" w:eastAsia="仿宋" w:cs="仿宋"/>
          <w:color w:val="auto"/>
          <w:sz w:val="24"/>
          <w:szCs w:val="24"/>
          <w:highlight w:val="none"/>
          <w:lang w:eastAsia="zh-CN"/>
        </w:rPr>
        <w:t>）</w:t>
      </w:r>
    </w:p>
    <w:p w14:paraId="26622B60">
      <w:pPr>
        <w:snapToGrid w:val="0"/>
        <w:spacing w:line="440" w:lineRule="exact"/>
        <w:ind w:firstLine="357" w:firstLineChars="148"/>
        <w:jc w:val="left"/>
        <w:outlineLvl w:val="2"/>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（三）投标文件的编制、签署</w:t>
      </w:r>
    </w:p>
    <w:p w14:paraId="1CC67DA8">
      <w:pPr>
        <w:widowControl/>
        <w:snapToGrid w:val="0"/>
        <w:spacing w:line="440" w:lineRule="exact"/>
        <w:ind w:firstLine="460" w:firstLineChars="192"/>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组成投标文件的各项资料均应遵守本条：</w:t>
      </w:r>
    </w:p>
    <w:p w14:paraId="7D6B1C3F">
      <w:pPr>
        <w:widowControl/>
        <w:snapToGrid w:val="0"/>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kern w:val="0"/>
          <w:sz w:val="24"/>
          <w:highlight w:val="none"/>
        </w:rPr>
        <w:t>投标文件的签署、盖章：</w:t>
      </w:r>
    </w:p>
    <w:p w14:paraId="7FE902CD">
      <w:pPr>
        <w:widowControl/>
        <w:snapToGrid w:val="0"/>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投标文件按照采购文件格式要求进行签署、盖章。投标人的投标文件未按照采购文件要求签署、盖章的，其投标无效；</w:t>
      </w:r>
      <w:r>
        <w:rPr>
          <w:rFonts w:hint="eastAsia" w:ascii="仿宋" w:hAnsi="仿宋" w:eastAsia="仿宋" w:cs="仿宋"/>
          <w:b/>
          <w:color w:val="auto"/>
          <w:kern w:val="0"/>
          <w:sz w:val="24"/>
          <w:highlight w:val="none"/>
        </w:rPr>
        <w:t>其中电子投标文件中所须加盖公章部分均采用CA签章，并根据“乐采云供应商项目采购-电子招投标操作指南”及本采购文件规定的格式和顺序编制电子投标文件并进行关联定位。</w:t>
      </w:r>
    </w:p>
    <w:p w14:paraId="1330219A">
      <w:pPr>
        <w:widowControl/>
        <w:snapToGrid w:val="0"/>
        <w:spacing w:line="440" w:lineRule="exact"/>
        <w:ind w:firstLine="463" w:firstLineChars="192"/>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2.投标文件必须由法定代表人或其授权代表签署。投标人法定代表人或授权代表的签字须用不褪色墨水或电子签名，否则按无效标处理。</w:t>
      </w:r>
    </w:p>
    <w:p w14:paraId="635F6C64">
      <w:pPr>
        <w:spacing w:line="44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3.资格文件、商务及资信技术文件中不得出现投标报价等价格信息，否则按无效标处理。</w:t>
      </w:r>
    </w:p>
    <w:p w14:paraId="620EEA31">
      <w:pPr>
        <w:snapToGrid w:val="0"/>
        <w:spacing w:line="440" w:lineRule="exact"/>
        <w:ind w:firstLine="470" w:firstLineChars="196"/>
        <w:jc w:val="left"/>
        <w:rPr>
          <w:rFonts w:ascii="仿宋" w:hAnsi="仿宋" w:eastAsia="仿宋" w:cs="仿宋"/>
          <w:color w:val="auto"/>
          <w:sz w:val="24"/>
          <w:szCs w:val="24"/>
          <w:highlight w:val="none"/>
        </w:rPr>
      </w:pPr>
      <w:r>
        <w:rPr>
          <w:rFonts w:hint="eastAsia" w:ascii="仿宋" w:hAnsi="仿宋" w:eastAsia="仿宋" w:cs="仿宋"/>
          <w:color w:val="auto"/>
          <w:kern w:val="0"/>
          <w:sz w:val="24"/>
          <w:highlight w:val="none"/>
        </w:rPr>
        <w:t>4.投标文件应字迹清楚、内容齐全、格式规范，如有修改，修改处须有法定代表人或其授权代表不褪色墨水或电子签名并加盖公章。投标文件因字迹潦草或表达不清所引起的后果由投标人负责。</w:t>
      </w:r>
    </w:p>
    <w:p w14:paraId="7033BB46">
      <w:pPr>
        <w:widowControl/>
        <w:snapToGrid w:val="0"/>
        <w:spacing w:line="440" w:lineRule="exact"/>
        <w:ind w:firstLine="460" w:firstLineChars="192"/>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因未按照采购文件要求编制而导致的投标文件被误读或按无效标处理等不利后果由投标人承担。</w:t>
      </w:r>
    </w:p>
    <w:p w14:paraId="088957F9">
      <w:pPr>
        <w:snapToGrid w:val="0"/>
        <w:spacing w:line="440" w:lineRule="exact"/>
        <w:ind w:firstLine="357" w:firstLineChars="148"/>
        <w:jc w:val="left"/>
        <w:outlineLvl w:val="2"/>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（四）投标报价</w:t>
      </w:r>
    </w:p>
    <w:p w14:paraId="645F25F8">
      <w:pPr>
        <w:widowControl/>
        <w:snapToGrid w:val="0"/>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1.所有投标报价均以人民币元为计算单位。</w:t>
      </w:r>
      <w:r>
        <w:rPr>
          <w:rFonts w:hint="eastAsia" w:ascii="仿宋" w:hAnsi="仿宋" w:eastAsia="仿宋" w:cs="仿宋"/>
          <w:color w:val="auto"/>
          <w:sz w:val="24"/>
          <w:szCs w:val="24"/>
          <w:highlight w:val="none"/>
        </w:rPr>
        <w:t>投标报价应是唯一的，采购人将拒绝有选择的报价，投标报价应按采购文件中相关附表格式填报</w:t>
      </w:r>
      <w:r>
        <w:rPr>
          <w:rFonts w:hint="eastAsia" w:ascii="仿宋" w:hAnsi="仿宋" w:eastAsia="仿宋" w:cs="仿宋"/>
          <w:color w:val="auto"/>
          <w:kern w:val="0"/>
          <w:sz w:val="24"/>
          <w:highlight w:val="none"/>
        </w:rPr>
        <w:t>。</w:t>
      </w:r>
    </w:p>
    <w:p w14:paraId="7081CCFA">
      <w:pPr>
        <w:widowControl/>
        <w:snapToGrid w:val="0"/>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2.投标价格应该已经扣除所有同业折扣以及现金折扣。投标报价应包括所需缴纳的所有税费、项目实施所需的一切费用。</w:t>
      </w:r>
    </w:p>
    <w:p w14:paraId="7901161B">
      <w:pPr>
        <w:widowControl/>
        <w:snapToGrid w:val="0"/>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3.供应商所报的费率是固定不变的，不得以任何理由予以变更。任何包含价格调整的要求，将被认为是非实质性响应投标而予以拒绝。</w:t>
      </w:r>
    </w:p>
    <w:p w14:paraId="16F54DD8">
      <w:pPr>
        <w:widowControl/>
        <w:snapToGrid w:val="0"/>
        <w:spacing w:line="440" w:lineRule="exact"/>
        <w:ind w:firstLine="480" w:firstLineChars="200"/>
        <w:rPr>
          <w:rFonts w:ascii="仿宋" w:hAnsi="仿宋" w:eastAsia="仿宋" w:cs="仿宋"/>
          <w:b/>
          <w:color w:val="auto"/>
          <w:kern w:val="0"/>
          <w:sz w:val="24"/>
          <w:highlight w:val="none"/>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.其他费用处理：采购文件未列明，而投标人认为必需的费用也应列入报价。</w:t>
      </w:r>
    </w:p>
    <w:p w14:paraId="7934F02A">
      <w:pPr>
        <w:pStyle w:val="14"/>
        <w:spacing w:before="0" w:beforeLines="0" w:afterLines="0" w:line="440" w:lineRule="exact"/>
        <w:ind w:firstLine="472" w:firstLineChars="196"/>
        <w:outlineLvl w:val="1"/>
        <w:rPr>
          <w:rFonts w:ascii="仿宋" w:hAnsi="仿宋" w:eastAsia="仿宋" w:cs="仿宋"/>
          <w:b/>
          <w:bCs/>
          <w:color w:val="auto"/>
          <w:highlight w:val="none"/>
        </w:rPr>
      </w:pPr>
      <w:r>
        <w:rPr>
          <w:rFonts w:hint="eastAsia" w:ascii="仿宋" w:hAnsi="仿宋" w:eastAsia="仿宋" w:cs="仿宋"/>
          <w:b/>
          <w:bCs/>
          <w:color w:val="auto"/>
          <w:highlight w:val="none"/>
        </w:rPr>
        <w:t>四、投标文件的递交</w:t>
      </w:r>
    </w:p>
    <w:p w14:paraId="2A16D4EA">
      <w:pPr>
        <w:widowControl/>
        <w:snapToGrid w:val="0"/>
        <w:spacing w:line="440" w:lineRule="exact"/>
        <w:ind w:left="210" w:leftChars="100" w:firstLine="248" w:firstLineChars="103"/>
        <w:outlineLvl w:val="2"/>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（一）投标文件的递交</w:t>
      </w:r>
    </w:p>
    <w:p w14:paraId="6FE9BF76">
      <w:pPr>
        <w:widowControl/>
        <w:snapToGrid w:val="0"/>
        <w:spacing w:line="440" w:lineRule="exact"/>
        <w:ind w:firstLine="487" w:firstLineChars="203"/>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投标人在投标截止时间前将加密的投标文件上传至“乐采云”平台，同时在投标截止时间前将在“投标客户端”上最后生成的具备电子签章的备份加密投标文件(文件名采用“采购编号+投标人名称+系统自动生成的后缀名")以</w:t>
      </w:r>
      <w:r>
        <w:rPr>
          <w:rFonts w:hint="eastAsia" w:ascii="仿宋" w:hAnsi="仿宋" w:eastAsia="仿宋" w:cs="仿宋"/>
          <w:color w:val="auto"/>
          <w:kern w:val="0"/>
          <w:sz w:val="24"/>
          <w:highlight w:val="none"/>
          <w:lang w:val="en-US" w:eastAsia="zh-CN"/>
        </w:rPr>
        <w:t>邮寄</w:t>
      </w:r>
      <w:r>
        <w:rPr>
          <w:rFonts w:hint="eastAsia" w:ascii="仿宋" w:hAnsi="仿宋" w:eastAsia="仿宋" w:cs="仿宋"/>
          <w:color w:val="auto"/>
          <w:kern w:val="0"/>
          <w:sz w:val="24"/>
          <w:highlight w:val="none"/>
        </w:rPr>
        <w:t>方式</w:t>
      </w:r>
      <w:r>
        <w:rPr>
          <w:rFonts w:hint="eastAsia" w:ascii="仿宋" w:hAnsi="仿宋" w:eastAsia="仿宋" w:cs="仿宋"/>
          <w:color w:val="auto"/>
          <w:kern w:val="0"/>
          <w:sz w:val="24"/>
          <w:highlight w:val="none"/>
          <w:lang w:val="en-US" w:eastAsia="zh-CN"/>
        </w:rPr>
        <w:t>寄至采购代理机构（杭州市临安区城中街730号3楼，建经投资咨询有限公司临安分公司王海波收，联系电话：0571-63708227）。</w:t>
      </w:r>
      <w:r>
        <w:rPr>
          <w:rFonts w:hint="eastAsia" w:ascii="仿宋" w:hAnsi="仿宋" w:eastAsia="仿宋" w:cs="仿宋"/>
          <w:color w:val="auto"/>
          <w:kern w:val="0"/>
          <w:sz w:val="24"/>
          <w:highlight w:val="none"/>
        </w:rPr>
        <w:t>投标供应商仅递交备份投标文件的，投标无效。</w:t>
      </w:r>
    </w:p>
    <w:p w14:paraId="66C3BCD0">
      <w:pPr>
        <w:widowControl/>
        <w:snapToGrid w:val="0"/>
        <w:spacing w:line="440" w:lineRule="exact"/>
        <w:ind w:firstLine="487" w:firstLineChars="203"/>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采购机构可以视情况延长投标文件提交的截止时间。在上述情况下，采购人与投标人以前在投标截止期方面的全部权利、责任和义务，将适用于延长至新的投标截止期。</w:t>
      </w:r>
    </w:p>
    <w:p w14:paraId="73499FA3">
      <w:pPr>
        <w:snapToGrid w:val="0"/>
        <w:spacing w:line="440" w:lineRule="exact"/>
        <w:ind w:firstLine="357" w:firstLineChars="148"/>
        <w:jc w:val="left"/>
        <w:outlineLvl w:val="2"/>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（二）投标文件的补充和修改</w:t>
      </w:r>
    </w:p>
    <w:p w14:paraId="0412834E">
      <w:pPr>
        <w:widowControl/>
        <w:snapToGrid w:val="0"/>
        <w:spacing w:line="440" w:lineRule="exact"/>
        <w:ind w:firstLine="487" w:firstLineChars="203"/>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电子投标文件。投标截止时间后传输递交的电子文件，将被拒收。▲未传输递交电子投标文件的，投标将被拒绝。</w:t>
      </w:r>
    </w:p>
    <w:p w14:paraId="3EED82B2">
      <w:pPr>
        <w:snapToGrid w:val="0"/>
        <w:spacing w:line="440" w:lineRule="exact"/>
        <w:ind w:firstLine="357" w:firstLineChars="148"/>
        <w:jc w:val="left"/>
        <w:outlineLvl w:val="2"/>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（三）投标截止时间和有效时间</w:t>
      </w:r>
    </w:p>
    <w:p w14:paraId="72AE8EC1">
      <w:pPr>
        <w:snapToGrid w:val="0"/>
        <w:spacing w:line="440" w:lineRule="exact"/>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1.投标截止时间后，投标人登录“乐采云”平台，用“项目采购-开标评标”功能对电子投标文件进行在线解密。</w:t>
      </w:r>
      <w:r>
        <w:rPr>
          <w:rFonts w:hint="eastAsia" w:ascii="仿宋" w:hAnsi="仿宋" w:eastAsia="仿宋" w:cs="仿宋"/>
          <w:b/>
          <w:color w:val="auto"/>
          <w:sz w:val="24"/>
          <w:szCs w:val="24"/>
          <w:highlight w:val="none"/>
          <w:u w:val="single"/>
        </w:rPr>
        <w:t>在线解密电子投标文件时间为开标时间起30分钟内（采购文件编制时设置的时间）。</w:t>
      </w:r>
    </w:p>
    <w:p w14:paraId="0B4D691E">
      <w:pPr>
        <w:snapToGrid w:val="0"/>
        <w:spacing w:line="440" w:lineRule="exact"/>
        <w:ind w:firstLine="480" w:firstLineChars="200"/>
        <w:jc w:val="left"/>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2.投标有效期应保持自投标截止日起90天。有效期不足的投标文件将被拒绝。</w:t>
      </w:r>
    </w:p>
    <w:p w14:paraId="1E7BB6BA">
      <w:pPr>
        <w:snapToGrid w:val="0"/>
        <w:spacing w:line="440" w:lineRule="exact"/>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3.中标人的投标文件自开标之日起至合同履行完毕止均应保持有效。</w:t>
      </w:r>
    </w:p>
    <w:p w14:paraId="5B56BB8E">
      <w:pPr>
        <w:snapToGrid w:val="0"/>
        <w:spacing w:line="440" w:lineRule="exact"/>
        <w:ind w:firstLine="477" w:firstLineChars="198"/>
        <w:outlineLvl w:val="1"/>
        <w:rPr>
          <w:rFonts w:ascii="仿宋" w:hAnsi="仿宋" w:eastAsia="仿宋" w:cs="仿宋"/>
          <w:color w:val="auto"/>
          <w:sz w:val="24"/>
          <w:szCs w:val="24"/>
          <w:highlight w:val="none"/>
        </w:rPr>
      </w:pPr>
      <w:r>
        <w:rPr>
          <w:rFonts w:hint="eastAsia" w:ascii="仿宋" w:hAnsi="仿宋" w:eastAsia="仿宋" w:cs="仿宋"/>
          <w:b/>
          <w:color w:val="auto"/>
          <w:kern w:val="0"/>
          <w:sz w:val="24"/>
          <w:highlight w:val="none"/>
        </w:rPr>
        <w:t>五、开标</w:t>
      </w:r>
    </w:p>
    <w:p w14:paraId="1E6EA5E5">
      <w:pPr>
        <w:snapToGrid w:val="0"/>
        <w:spacing w:line="440" w:lineRule="exact"/>
        <w:ind w:firstLine="357" w:firstLineChars="148"/>
        <w:jc w:val="left"/>
        <w:outlineLvl w:val="2"/>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（一）开标程序</w:t>
      </w:r>
    </w:p>
    <w:p w14:paraId="76D7E4C5">
      <w:pPr>
        <w:pStyle w:val="14"/>
        <w:snapToGrid w:val="0"/>
        <w:spacing w:before="0" w:beforeLines="0" w:afterLines="0" w:line="46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电子招投标开标及评审程序：</w:t>
      </w:r>
    </w:p>
    <w:p w14:paraId="38EEF6C1">
      <w:pPr>
        <w:pStyle w:val="14"/>
        <w:snapToGrid w:val="0"/>
        <w:spacing w:before="0" w:beforeLines="0" w:afterLines="0" w:line="46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1.开标会由采购人主持，主持人宣布开标会议开始；</w:t>
      </w:r>
    </w:p>
    <w:p w14:paraId="172B4CF9">
      <w:pPr>
        <w:pStyle w:val="14"/>
        <w:snapToGrid w:val="0"/>
        <w:spacing w:before="0" w:beforeLines="0" w:afterLines="0" w:line="46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2.主持人介绍参加开标会的成员，宣布开标期间的有关事项、开标纪律、应当回避的情形等注意事项；</w:t>
      </w:r>
    </w:p>
    <w:p w14:paraId="693E0471">
      <w:pPr>
        <w:pStyle w:val="14"/>
        <w:snapToGrid w:val="0"/>
        <w:spacing w:before="0" w:beforeLines="0" w:afterLines="0" w:line="44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3.投标截止时间后，“乐采云”平台按开标时间自动提取所有投标文件，采购人依托“乐采云”平台发起开始解密指令，主持人宣读在线递交电子投标文件的投标人名单。投标人登录“乐采云”平台，用“项目采购-开标评标”功能对电子投标文件进行在线解密。</w:t>
      </w:r>
      <w:r>
        <w:rPr>
          <w:rFonts w:hint="eastAsia" w:ascii="仿宋" w:hAnsi="仿宋" w:eastAsia="仿宋" w:cs="仿宋"/>
          <w:b/>
          <w:bCs/>
          <w:color w:val="auto"/>
          <w:kern w:val="2"/>
          <w:highlight w:val="none"/>
        </w:rPr>
        <w:t>在线解密电子投标文件时间为开标时间起30分钟内。</w:t>
      </w:r>
      <w:r>
        <w:rPr>
          <w:rFonts w:hint="eastAsia" w:ascii="仿宋" w:hAnsi="仿宋" w:eastAsia="仿宋" w:cs="仿宋"/>
          <w:bCs/>
          <w:color w:val="auto"/>
          <w:kern w:val="2"/>
          <w:highlight w:val="none"/>
        </w:rPr>
        <w:t>所有投标人均应当准时在线参加，投标人不足3家的，不得开标。</w:t>
      </w:r>
    </w:p>
    <w:p w14:paraId="1892B8E1">
      <w:pPr>
        <w:pStyle w:val="14"/>
        <w:snapToGrid w:val="0"/>
        <w:spacing w:before="0" w:beforeLines="0" w:afterLines="0" w:line="44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4.开标解密后，采购人应当依法对投标人的资格进行审查，依据法律法规和招标文件的规定，对投标人的基本资格条件、特定资格条件进行审查。投标人未按照招标文件要求提供与基本资格条件、特定资格条件相应的有效资格证明材料的，视为投标人不具备招标文件中规定的资格要求，其投标无效。对未通过资格审查的投标人，采购人或采购机构告知其未通过的原因。合格投标人不足 3 家的，不得评标。评标委员会对通过资格审查的投标人的商务及资信技术文件进行评审。</w:t>
      </w:r>
    </w:p>
    <w:p w14:paraId="5FEDF8D5">
      <w:pPr>
        <w:pStyle w:val="14"/>
        <w:snapToGrid w:val="0"/>
        <w:spacing w:before="0" w:beforeLines="0" w:afterLines="0" w:line="44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5.在“乐采云”平台上公开资格和商务技术评审结果，由主持人公布无效投标的投标人名单、投标无效的原因；</w:t>
      </w:r>
      <w:r>
        <w:rPr>
          <w:rFonts w:hint="eastAsia" w:ascii="仿宋" w:hAnsi="仿宋" w:eastAsia="仿宋" w:cs="仿宋"/>
          <w:bCs/>
          <w:color w:val="auto"/>
          <w:kern w:val="2"/>
          <w:highlight w:val="none"/>
        </w:rPr>
        <w:t>如投标有效供应商不足三家，评标委员会确定为废标；</w:t>
      </w:r>
    </w:p>
    <w:p w14:paraId="5939E346">
      <w:pPr>
        <w:pStyle w:val="14"/>
        <w:snapToGrid w:val="0"/>
        <w:spacing w:before="0" w:beforeLines="0" w:afterLines="0" w:line="44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6.在“乐采云”平台上公开报价开标情况，采购人做开标记录并进行公开唱标，唱标内容为报价文件中“报价一览表”内容，以及采购人认为合适的其他内容与记录。采购人在“乐采云”平台-开标记录模块开放供应商在线签字确认环节，投标人法定代表人或其授权代表对开标记录进行在线核实，投标人法定代表人或其授权代表未在10分钟内进行在线核实的，视作同意报价，不影响评标过程和结果；同时由唱标人、监督人当场签字确认。</w:t>
      </w:r>
    </w:p>
    <w:p w14:paraId="3521EE7A">
      <w:pPr>
        <w:pStyle w:val="14"/>
        <w:snapToGrid w:val="0"/>
        <w:spacing w:before="0" w:beforeLines="0" w:afterLines="0" w:line="44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7.评标委员会对各投标人的报价文件进行评审；</w:t>
      </w:r>
    </w:p>
    <w:p w14:paraId="0E855CC9">
      <w:pPr>
        <w:pStyle w:val="14"/>
        <w:snapToGrid w:val="0"/>
        <w:spacing w:before="0" w:beforeLines="0" w:afterLines="0" w:line="44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8.在“乐采云”平台上公布评审结果。评标结束，采购人公布有效投标人的评审结果和推荐的中标候选人，宣布本次开标会议结束。</w:t>
      </w:r>
    </w:p>
    <w:p w14:paraId="5BE60557">
      <w:pPr>
        <w:pStyle w:val="14"/>
        <w:snapToGrid w:val="0"/>
        <w:spacing w:before="0" w:beforeLines="0" w:afterLines="0" w:line="44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特别说明：</w:t>
      </w:r>
    </w:p>
    <w:p w14:paraId="6A312615">
      <w:pPr>
        <w:pStyle w:val="14"/>
        <w:snapToGrid w:val="0"/>
        <w:spacing w:before="0" w:beforeLines="0" w:afterLines="0" w:line="44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1、政采云公司如对电子化开标及评审程序有调整的，请根据相关公告，按调整后的程序操作。</w:t>
      </w:r>
    </w:p>
    <w:p w14:paraId="4739E8EF">
      <w:pPr>
        <w:pStyle w:val="14"/>
        <w:snapToGrid w:val="0"/>
        <w:spacing w:before="0" w:beforeLines="0" w:afterLines="0" w:line="44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2、项目采购全流程电子化交易，投标人须在规定时间内自行解密。</w:t>
      </w:r>
    </w:p>
    <w:p w14:paraId="10E72F3E">
      <w:pPr>
        <w:pStyle w:val="14"/>
        <w:snapToGrid w:val="0"/>
        <w:spacing w:before="0" w:beforeLines="0" w:afterLines="0" w:line="44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3、本项目严格采用“乐采云”平台开标及评审程序，但有下情形之一的，按以下情况处理：</w:t>
      </w:r>
    </w:p>
    <w:p w14:paraId="0786886A">
      <w:pPr>
        <w:pStyle w:val="14"/>
        <w:snapToGrid w:val="0"/>
        <w:spacing w:before="0" w:beforeLines="0" w:afterLines="0" w:line="44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（1）若个别投标人在规定时间内无法解密或解密失败的，作无效投标处理。解密成功的投标人不足三家的，本项目重新组织采购活动。</w:t>
      </w:r>
    </w:p>
    <w:p w14:paraId="3B10020C">
      <w:pPr>
        <w:pStyle w:val="14"/>
        <w:snapToGrid w:val="0"/>
        <w:spacing w:before="0" w:beforeLines="0" w:afterLines="0" w:line="44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（2）若因“乐采云”平台原因导致采购活动无法正常进行的，采购人将情况报告采购监管部门，经同意后，重新组织采购活动。</w:t>
      </w:r>
    </w:p>
    <w:p w14:paraId="6162AF54">
      <w:pPr>
        <w:pStyle w:val="14"/>
        <w:tabs>
          <w:tab w:val="left" w:pos="630"/>
        </w:tabs>
        <w:snapToGrid w:val="0"/>
        <w:spacing w:before="0" w:beforeLines="0" w:afterLines="0" w:line="440" w:lineRule="exact"/>
        <w:ind w:firstLine="472" w:firstLineChars="196"/>
        <w:outlineLvl w:val="1"/>
        <w:rPr>
          <w:rFonts w:ascii="仿宋" w:hAnsi="仿宋" w:eastAsia="仿宋" w:cs="仿宋"/>
          <w:b/>
          <w:color w:val="auto"/>
          <w:highlight w:val="none"/>
        </w:rPr>
      </w:pPr>
      <w:r>
        <w:rPr>
          <w:rFonts w:hint="eastAsia" w:ascii="仿宋" w:hAnsi="仿宋" w:eastAsia="仿宋" w:cs="仿宋"/>
          <w:b/>
          <w:color w:val="auto"/>
          <w:highlight w:val="none"/>
        </w:rPr>
        <w:t>六、评标</w:t>
      </w:r>
    </w:p>
    <w:p w14:paraId="230B5B30">
      <w:pPr>
        <w:snapToGrid w:val="0"/>
        <w:spacing w:line="440" w:lineRule="exact"/>
        <w:ind w:firstLine="355" w:firstLineChars="148"/>
        <w:jc w:val="left"/>
        <w:outlineLvl w:val="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（一）评标委员会</w:t>
      </w:r>
    </w:p>
    <w:p w14:paraId="12FAACB4">
      <w:pPr>
        <w:pStyle w:val="14"/>
        <w:snapToGrid w:val="0"/>
        <w:spacing w:before="0" w:beforeLines="0" w:afterLines="0" w:line="44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评标委员会依法由相关专家和采购人代表</w:t>
      </w:r>
      <w:r>
        <w:rPr>
          <w:rFonts w:hint="eastAsia" w:ascii="仿宋" w:hAnsi="仿宋" w:eastAsia="仿宋" w:cs="仿宋"/>
          <w:color w:val="auto"/>
          <w:kern w:val="2"/>
          <w:highlight w:val="none"/>
          <w:lang w:eastAsia="zh-CN"/>
        </w:rPr>
        <w:t>（</w:t>
      </w:r>
      <w:r>
        <w:rPr>
          <w:rFonts w:hint="eastAsia" w:ascii="仿宋" w:hAnsi="仿宋" w:eastAsia="仿宋" w:cs="仿宋"/>
          <w:color w:val="auto"/>
          <w:kern w:val="2"/>
          <w:highlight w:val="none"/>
          <w:lang w:val="en-US" w:eastAsia="zh-CN"/>
        </w:rPr>
        <w:t>若有</w:t>
      </w:r>
      <w:r>
        <w:rPr>
          <w:rFonts w:hint="eastAsia" w:ascii="仿宋" w:hAnsi="仿宋" w:eastAsia="仿宋" w:cs="仿宋"/>
          <w:color w:val="auto"/>
          <w:kern w:val="2"/>
          <w:highlight w:val="none"/>
          <w:lang w:eastAsia="zh-CN"/>
        </w:rPr>
        <w:t>）</w:t>
      </w:r>
      <w:r>
        <w:rPr>
          <w:rFonts w:hint="eastAsia" w:ascii="仿宋" w:hAnsi="仿宋" w:eastAsia="仿宋" w:cs="仿宋"/>
          <w:color w:val="auto"/>
          <w:kern w:val="2"/>
          <w:highlight w:val="none"/>
        </w:rPr>
        <w:t>组成，人数为</w:t>
      </w:r>
      <w:r>
        <w:rPr>
          <w:rFonts w:hint="eastAsia" w:ascii="仿宋" w:hAnsi="仿宋" w:eastAsia="仿宋" w:cs="仿宋"/>
          <w:color w:val="auto"/>
          <w:kern w:val="2"/>
          <w:highlight w:val="none"/>
          <w:lang w:val="en-US" w:eastAsia="zh-CN"/>
        </w:rPr>
        <w:t>5</w:t>
      </w:r>
      <w:r>
        <w:rPr>
          <w:rFonts w:hint="eastAsia" w:ascii="仿宋" w:hAnsi="仿宋" w:eastAsia="仿宋" w:cs="仿宋"/>
          <w:color w:val="auto"/>
          <w:kern w:val="2"/>
          <w:highlight w:val="none"/>
        </w:rPr>
        <w:t>人（含）以上奇数，评标委员会对投标文件进行审查、质询、评估和比较。如需在线询标，投标人法人代表人或授权代表必须在规定时间内提交询标澄清。</w:t>
      </w:r>
    </w:p>
    <w:p w14:paraId="3583247A">
      <w:pPr>
        <w:snapToGrid w:val="0"/>
        <w:spacing w:line="440" w:lineRule="exact"/>
        <w:ind w:firstLine="355" w:firstLineChars="148"/>
        <w:jc w:val="left"/>
        <w:outlineLvl w:val="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（二）评标原则</w:t>
      </w:r>
    </w:p>
    <w:p w14:paraId="0B20EFB9">
      <w:pPr>
        <w:pStyle w:val="14"/>
        <w:snapToGrid w:val="0"/>
        <w:spacing w:before="0" w:beforeLines="0" w:afterLines="0" w:line="44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1.评标委员会必须公平、公正、客观，不带任何倾向性和启发性；按照采购文件的要求和条件进行评标；客观、公正地对待所有投标人，对所有投标评审，均采用相同的程序和标准。</w:t>
      </w:r>
    </w:p>
    <w:p w14:paraId="57A6DC2A">
      <w:pPr>
        <w:pStyle w:val="14"/>
        <w:snapToGrid w:val="0"/>
        <w:spacing w:before="0" w:beforeLines="0" w:afterLines="0" w:line="44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2.评标委员会要审查每份投标文件是否实质上响应了采购文件的要求。实质上响应的投标文件应该是与采购文件要求的全部条款、条件和规格相符，没有重大偏离的投标</w:t>
      </w:r>
      <w:r>
        <w:rPr>
          <w:rFonts w:hint="eastAsia" w:ascii="仿宋" w:hAnsi="仿宋" w:eastAsia="仿宋" w:cs="仿宋"/>
          <w:b/>
          <w:color w:val="auto"/>
          <w:kern w:val="2"/>
          <w:highlight w:val="none"/>
        </w:rPr>
        <w:t>。</w:t>
      </w:r>
      <w:r>
        <w:rPr>
          <w:rFonts w:hint="eastAsia" w:ascii="仿宋" w:hAnsi="仿宋" w:eastAsia="仿宋" w:cs="仿宋"/>
          <w:bCs/>
          <w:color w:val="auto"/>
          <w:kern w:val="2"/>
          <w:highlight w:val="none"/>
        </w:rPr>
        <w:t>评标委员会决定投标的响应性只根据投标文件的内容，而不寻求外部的证据。投标人不得通过修改或撤消不合要求的偏离或保留从而使其投标成为实质上响应的投标。</w:t>
      </w:r>
    </w:p>
    <w:p w14:paraId="74590DDF">
      <w:pPr>
        <w:pStyle w:val="14"/>
        <w:snapToGrid w:val="0"/>
        <w:spacing w:before="0" w:beforeLines="0" w:afterLines="0" w:line="44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3.在评标过程中，评标委员会及有关工作人员不得私下与投标人接触，在招标工作结束后，凡与评标情况有接触的人不得向外界透露任何与评标有关的内容。采购人不向落标方解释落标原因。</w:t>
      </w:r>
    </w:p>
    <w:p w14:paraId="544D1165">
      <w:pPr>
        <w:pStyle w:val="14"/>
        <w:snapToGrid w:val="0"/>
        <w:spacing w:before="0" w:beforeLines="0" w:afterLines="0" w:line="44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4.在开标、评标期间，任何单位和个人不得干扰、影响评标的正常进行，投标人不得向评标委员会成员询问评标情况，不得进行旨在影响评标结果的活动，否则将废除其投标资格。</w:t>
      </w:r>
    </w:p>
    <w:p w14:paraId="204C1F49">
      <w:pPr>
        <w:pStyle w:val="14"/>
        <w:snapToGrid w:val="0"/>
        <w:spacing w:before="0" w:beforeLines="0" w:afterLines="0" w:line="44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5.电子交易活动的中止</w:t>
      </w:r>
    </w:p>
    <w:p w14:paraId="1E41493C">
      <w:pPr>
        <w:pStyle w:val="14"/>
        <w:snapToGrid w:val="0"/>
        <w:spacing w:before="0" w:beforeLines="0" w:afterLines="0" w:line="440" w:lineRule="exact"/>
        <w:ind w:firstLine="480" w:firstLineChars="200"/>
        <w:rPr>
          <w:rFonts w:ascii="仿宋" w:hAnsi="仿宋" w:eastAsia="仿宋" w:cs="仿宋"/>
          <w:bCs/>
          <w:color w:val="auto"/>
          <w:kern w:val="2"/>
          <w:highlight w:val="none"/>
        </w:rPr>
      </w:pPr>
      <w:r>
        <w:rPr>
          <w:rFonts w:hint="eastAsia" w:ascii="仿宋" w:hAnsi="仿宋" w:eastAsia="仿宋" w:cs="仿宋"/>
          <w:bCs/>
          <w:color w:val="auto"/>
          <w:kern w:val="2"/>
          <w:highlight w:val="none"/>
        </w:rPr>
        <w:t>采购过程中出现以下情形，导致“乐采云”平台无法正常运行，或者无法保证电子交易的公平、公正和安全时，采购人可中止电子交易活动：</w:t>
      </w:r>
    </w:p>
    <w:p w14:paraId="1E51A1EA">
      <w:pPr>
        <w:pStyle w:val="14"/>
        <w:snapToGrid w:val="0"/>
        <w:spacing w:before="0" w:beforeLines="0" w:afterLines="0" w:line="440" w:lineRule="exact"/>
        <w:ind w:firstLine="480" w:firstLineChars="200"/>
        <w:rPr>
          <w:rFonts w:ascii="仿宋" w:hAnsi="仿宋" w:eastAsia="仿宋" w:cs="仿宋"/>
          <w:bCs/>
          <w:color w:val="auto"/>
          <w:kern w:val="2"/>
          <w:highlight w:val="none"/>
        </w:rPr>
      </w:pPr>
      <w:r>
        <w:rPr>
          <w:rFonts w:hint="eastAsia" w:ascii="仿宋" w:hAnsi="仿宋" w:eastAsia="仿宋" w:cs="仿宋"/>
          <w:color w:val="auto"/>
          <w:kern w:val="2"/>
          <w:highlight w:val="none"/>
        </w:rPr>
        <w:t>“乐采云”平台</w:t>
      </w:r>
      <w:r>
        <w:rPr>
          <w:rFonts w:hint="eastAsia" w:ascii="仿宋" w:hAnsi="仿宋" w:eastAsia="仿宋" w:cs="仿宋"/>
          <w:bCs/>
          <w:color w:val="auto"/>
          <w:kern w:val="2"/>
          <w:highlight w:val="none"/>
        </w:rPr>
        <w:t xml:space="preserve">发生故障而无法登录访问的； </w:t>
      </w:r>
    </w:p>
    <w:p w14:paraId="415F07E5">
      <w:pPr>
        <w:pStyle w:val="14"/>
        <w:snapToGrid w:val="0"/>
        <w:spacing w:before="0" w:beforeLines="0" w:afterLines="0" w:line="440" w:lineRule="exact"/>
        <w:ind w:firstLine="480" w:firstLineChars="200"/>
        <w:rPr>
          <w:rFonts w:ascii="仿宋" w:hAnsi="仿宋" w:eastAsia="仿宋" w:cs="仿宋"/>
          <w:bCs/>
          <w:color w:val="auto"/>
          <w:kern w:val="2"/>
          <w:highlight w:val="none"/>
        </w:rPr>
      </w:pPr>
      <w:r>
        <w:rPr>
          <w:rFonts w:hint="eastAsia" w:ascii="仿宋" w:hAnsi="仿宋" w:eastAsia="仿宋" w:cs="仿宋"/>
          <w:color w:val="auto"/>
          <w:kern w:val="2"/>
          <w:highlight w:val="none"/>
        </w:rPr>
        <w:t>“乐采云”平台</w:t>
      </w:r>
      <w:r>
        <w:rPr>
          <w:rFonts w:hint="eastAsia" w:ascii="仿宋" w:hAnsi="仿宋" w:eastAsia="仿宋" w:cs="仿宋"/>
          <w:bCs/>
          <w:color w:val="auto"/>
          <w:kern w:val="2"/>
          <w:highlight w:val="none"/>
        </w:rPr>
        <w:t>应用或数据库出现错误，不能进行正常操作的；</w:t>
      </w:r>
    </w:p>
    <w:p w14:paraId="079F34DA">
      <w:pPr>
        <w:pStyle w:val="14"/>
        <w:snapToGrid w:val="0"/>
        <w:spacing w:before="0" w:beforeLines="0" w:afterLines="0" w:line="440" w:lineRule="exact"/>
        <w:ind w:firstLine="480" w:firstLineChars="200"/>
        <w:rPr>
          <w:rFonts w:ascii="仿宋" w:hAnsi="仿宋" w:eastAsia="仿宋" w:cs="仿宋"/>
          <w:bCs/>
          <w:color w:val="auto"/>
          <w:kern w:val="2"/>
          <w:highlight w:val="none"/>
        </w:rPr>
      </w:pPr>
      <w:r>
        <w:rPr>
          <w:rFonts w:hint="eastAsia" w:ascii="仿宋" w:hAnsi="仿宋" w:eastAsia="仿宋" w:cs="仿宋"/>
          <w:color w:val="auto"/>
          <w:kern w:val="2"/>
          <w:highlight w:val="none"/>
        </w:rPr>
        <w:t>“乐采云”平台</w:t>
      </w:r>
      <w:r>
        <w:rPr>
          <w:rFonts w:hint="eastAsia" w:ascii="仿宋" w:hAnsi="仿宋" w:eastAsia="仿宋" w:cs="仿宋"/>
          <w:bCs/>
          <w:color w:val="auto"/>
          <w:kern w:val="2"/>
          <w:highlight w:val="none"/>
        </w:rPr>
        <w:t>发现严重安全漏洞，有潜在泄密危险的；</w:t>
      </w:r>
    </w:p>
    <w:p w14:paraId="010C35A5">
      <w:pPr>
        <w:pStyle w:val="14"/>
        <w:snapToGrid w:val="0"/>
        <w:spacing w:before="0" w:beforeLines="0" w:afterLines="0" w:line="440" w:lineRule="exact"/>
        <w:ind w:firstLine="480" w:firstLineChars="200"/>
        <w:rPr>
          <w:rFonts w:ascii="仿宋" w:hAnsi="仿宋" w:eastAsia="仿宋" w:cs="仿宋"/>
          <w:bCs/>
          <w:color w:val="auto"/>
          <w:kern w:val="2"/>
          <w:highlight w:val="none"/>
        </w:rPr>
      </w:pPr>
      <w:r>
        <w:rPr>
          <w:rFonts w:hint="eastAsia" w:ascii="仿宋" w:hAnsi="仿宋" w:eastAsia="仿宋" w:cs="仿宋"/>
          <w:bCs/>
          <w:color w:val="auto"/>
          <w:kern w:val="2"/>
          <w:highlight w:val="none"/>
        </w:rPr>
        <w:t xml:space="preserve">病毒发作导致不能进行正常操作的； </w:t>
      </w:r>
    </w:p>
    <w:p w14:paraId="592CFCD1">
      <w:pPr>
        <w:pStyle w:val="14"/>
        <w:snapToGrid w:val="0"/>
        <w:spacing w:before="0" w:beforeLines="0" w:afterLines="0" w:line="440" w:lineRule="exact"/>
        <w:ind w:firstLine="480" w:firstLineChars="200"/>
        <w:rPr>
          <w:rFonts w:ascii="仿宋" w:hAnsi="仿宋" w:eastAsia="仿宋" w:cs="仿宋"/>
          <w:bCs/>
          <w:color w:val="auto"/>
          <w:kern w:val="2"/>
          <w:highlight w:val="none"/>
        </w:rPr>
      </w:pPr>
      <w:r>
        <w:rPr>
          <w:rFonts w:hint="eastAsia" w:ascii="仿宋" w:hAnsi="仿宋" w:eastAsia="仿宋" w:cs="仿宋"/>
          <w:bCs/>
          <w:color w:val="auto"/>
          <w:kern w:val="2"/>
          <w:highlight w:val="none"/>
        </w:rPr>
        <w:t>其他无法保证电子交易的公平、公正和安全的情况。</w:t>
      </w:r>
    </w:p>
    <w:p w14:paraId="1BBE1E63">
      <w:pPr>
        <w:pStyle w:val="14"/>
        <w:snapToGrid w:val="0"/>
        <w:spacing w:before="0" w:beforeLines="0" w:afterLines="0" w:line="440" w:lineRule="exact"/>
        <w:ind w:firstLine="480" w:firstLineChars="200"/>
        <w:rPr>
          <w:rFonts w:ascii="仿宋" w:hAnsi="仿宋" w:eastAsia="仿宋" w:cs="仿宋"/>
          <w:bCs/>
          <w:color w:val="auto"/>
          <w:kern w:val="2"/>
          <w:highlight w:val="none"/>
        </w:rPr>
      </w:pPr>
      <w:r>
        <w:rPr>
          <w:rFonts w:hint="eastAsia" w:ascii="仿宋" w:hAnsi="仿宋" w:eastAsia="仿宋" w:cs="仿宋"/>
          <w:bCs/>
          <w:color w:val="auto"/>
          <w:kern w:val="2"/>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65D40C7E">
      <w:pPr>
        <w:pStyle w:val="14"/>
        <w:snapToGrid w:val="0"/>
        <w:spacing w:before="0" w:beforeLines="0" w:afterLines="0" w:line="440" w:lineRule="exact"/>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6.评标方法及标准等。详见采购文件“第三章  评标办法及标准”。</w:t>
      </w:r>
    </w:p>
    <w:p w14:paraId="297D29FD">
      <w:pPr>
        <w:snapToGrid w:val="0"/>
        <w:spacing w:line="440" w:lineRule="exact"/>
        <w:ind w:firstLine="357" w:firstLineChars="148"/>
        <w:jc w:val="left"/>
        <w:outlineLvl w:val="2"/>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（三）评标程序</w:t>
      </w:r>
    </w:p>
    <w:p w14:paraId="15FB7025">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本项目评标一般将按以下程序进行：投标文件资格审查和符合性审查、商务及资信技术部分的评审、报价文件的比较与评审、推荐中标候选人和编写评标报告等。</w:t>
      </w:r>
    </w:p>
    <w:p w14:paraId="4EAA5E33">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1.投标文件初审分为资格性检查和符合性检查。</w:t>
      </w:r>
    </w:p>
    <w:p w14:paraId="418444C6">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资格性检查：采购人代表应当依法对投标人的资格进行审查，并以开标当日为准对投标人“信用中国”网站（www.creditchina.gov.cn）、中国政府采购网（www.ccgp.gov.cn）信用记录情况进行核实，信用信息查询记录和证据留存的具体方式：现场查询的投标人的信用记录、查询结果经确认后将与采购文件一起存档。信用信息的使用规则：经查询列入失信被执行人名单、重大税收违法案件当事人名单、政府采购严重违法失信行为记录名单的投标人将被拒绝参与采购活动。资格不符合的，应组织相关投标人代表进行陈述、澄清或申辩。资格性检查不合格的投标人则无须继续进行符合性检查，并且投标文件初审结论不合格。特别声明：在开标前，“信用中国”网站（www.creditchina.gov.cn）、中国政府采购网（www.ccgp.gov.cn）未完全反映投标人失信记录的，投标人在知情的情况下应当如实填报，因瞒报或漏报经查实后达到较大数额罚款金额的，作无效标处理。</w:t>
      </w:r>
    </w:p>
    <w:p w14:paraId="5022539F">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符合性检查：依据采购文件的规定，从投标文件的商务及资信技术文件和报价文件有效性、完整性和对采购文件的响应程度进行审查、比较和评估，以确定是否对采购文件的实质性要求作出响应。符合性检查不合格的投标人，投标文件初审结论不合格。</w:t>
      </w:r>
    </w:p>
    <w:p w14:paraId="332BB9D5">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投标文件的澄清。对投标文件中含义不明确、同类问题表述不一致或者有明显文字和计算错误的内容，评标委员会可以书面形式要求投标人作出必要的澄清、说明或者纠正。投标人的澄清、说明或者补正应当采用“乐采云”平台询标澄清功能，并不得超出投标文件的范围或者改变投标文件的实质性内容。</w:t>
      </w:r>
    </w:p>
    <w:p w14:paraId="3FFBDEDE">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3.比较与评审。按采购文件中规定的评标方法和标准，对资格性检查和符合性检查合格的投标文件进行商务和技术评审，报价文件评审。</w:t>
      </w:r>
    </w:p>
    <w:p w14:paraId="35E22D42">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4.推荐中标候选人。评标委员会完成评标后,评标委员会按评标原则、标准和方法推荐中标候选人同时起草评标报告。</w:t>
      </w:r>
    </w:p>
    <w:p w14:paraId="5149CE23">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5.供应商拒绝澄清或者澄清的内容改变了投标文件的实质性内容或者需要现场演示的授权代表未到场的，评标委员会有权对该投标文件作出不利于投标人的评判。</w:t>
      </w:r>
    </w:p>
    <w:p w14:paraId="067D05BA">
      <w:pPr>
        <w:spacing w:line="440" w:lineRule="exact"/>
        <w:ind w:firstLine="482" w:firstLineChars="200"/>
        <w:outlineLvl w:val="1"/>
        <w:rPr>
          <w:rFonts w:hint="eastAsia" w:ascii="仿宋" w:hAnsi="仿宋" w:eastAsia="仿宋" w:cs="仿宋"/>
          <w:b/>
          <w:color w:val="auto"/>
          <w:kern w:val="0"/>
          <w:sz w:val="24"/>
          <w:highlight w:val="none"/>
        </w:rPr>
      </w:pPr>
    </w:p>
    <w:p w14:paraId="5E9E6632">
      <w:pPr>
        <w:spacing w:line="440" w:lineRule="exact"/>
        <w:ind w:firstLine="482" w:firstLineChars="200"/>
        <w:outlineLvl w:val="1"/>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七、重新组织采购</w:t>
      </w:r>
    </w:p>
    <w:p w14:paraId="2A222709">
      <w:pPr>
        <w:spacing w:line="440" w:lineRule="exact"/>
        <w:ind w:firstLine="480" w:firstLineChars="200"/>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1.修改采购文件，重新组织采购活动。评标委员会发现采购文件存在歧义、重大缺陷导致评标工作无法进行，或者采购文件内容违反国家有关强制性规定的，将停止评标工作，并与采购人、采购机构沟通并作书面记录。采购人、采购机构确认后，将修改采购文件，重新组织采购活动。</w:t>
      </w:r>
    </w:p>
    <w:p w14:paraId="6AE70316">
      <w:pPr>
        <w:spacing w:line="440" w:lineRule="exact"/>
        <w:ind w:firstLine="480" w:firstLineChars="200"/>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2.重新开展采购。有下列违法行为之一，影响或者可能影响中标、成交结果的，依照下列规定处理：</w:t>
      </w:r>
    </w:p>
    <w:p w14:paraId="279F37FB">
      <w:pPr>
        <w:spacing w:line="440" w:lineRule="exact"/>
        <w:ind w:firstLine="480" w:firstLineChars="200"/>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1）未确定中标或者成交供应商的，终止本次采购活动，重新开展采购活动。</w:t>
      </w:r>
    </w:p>
    <w:p w14:paraId="0988EA66">
      <w:pPr>
        <w:spacing w:line="440" w:lineRule="exact"/>
        <w:ind w:firstLine="480" w:firstLineChars="200"/>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2）已确定中标或者成交供应商但尚未签订采购合同的，中标或者成交结果无效，重新开展采购活动。</w:t>
      </w:r>
    </w:p>
    <w:p w14:paraId="2C335E80">
      <w:pPr>
        <w:spacing w:line="440" w:lineRule="exact"/>
        <w:ind w:firstLine="480" w:firstLineChars="200"/>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3）采购合同已签订但尚未履行的，撤销合同，重新开展采购活动。</w:t>
      </w:r>
    </w:p>
    <w:p w14:paraId="05F1627B">
      <w:pPr>
        <w:spacing w:line="440" w:lineRule="exact"/>
        <w:ind w:firstLine="480" w:firstLineChars="200"/>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4）采购合同已经履行，给采购人、供应商造成损失的，由责任人承担赔偿责任。</w:t>
      </w:r>
    </w:p>
    <w:p w14:paraId="3A6F89A5">
      <w:pPr>
        <w:spacing w:line="440" w:lineRule="exact"/>
        <w:ind w:firstLine="480" w:firstLineChars="200"/>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5）因质疑答复，改变原中标结果，重新开展采购活动。</w:t>
      </w:r>
    </w:p>
    <w:p w14:paraId="6D0E5516">
      <w:pPr>
        <w:spacing w:line="440" w:lineRule="exact"/>
        <w:ind w:firstLine="480" w:firstLineChars="200"/>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6）采购当事人有其他违反采购法或者本条例规定的行为，经改正后仍然影响或者可能影响中标、成交结果或者依法被认定为中标、成交无效的，依照1-5条规定处理。</w:t>
      </w:r>
    </w:p>
    <w:p w14:paraId="6DB7544C">
      <w:pPr>
        <w:spacing w:line="440" w:lineRule="exact"/>
        <w:ind w:firstLine="482" w:firstLineChars="200"/>
        <w:outlineLvl w:val="1"/>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八、定标</w:t>
      </w:r>
    </w:p>
    <w:p w14:paraId="005DD2DF">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1.本项目由评标委员会根据采购文件和有关规定推荐中标候选人，采购结果由采购人代表签字确认，采购人自收到评审报告之日起5个工作日内确认中标供应商。</w:t>
      </w:r>
    </w:p>
    <w:p w14:paraId="478B6432">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自中标人确定之日起2个工作日内，采购机构通过纸质形式或电子交易平台向中标人发出中标通知书，同时在浙江省政府采购网发布采购结果公告，中标结果公告内容包括采购人及其委托的采购机构的名称、地址、联系方式，项目名称和项目编号，中标人名称、地址和中标金额，主要中标标的的名称、规格型号、数量、单价、服务要求，中标公告期限以及评审专家名单。公告期限为1个工作日。</w:t>
      </w:r>
    </w:p>
    <w:p w14:paraId="7392EC31">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3.中标通知书发出后，若中标供应商放弃中标，应当承担相应的法律责任，中标通知书对采购人和中标供应商具有同等法律效力。</w:t>
      </w:r>
    </w:p>
    <w:p w14:paraId="4E179560">
      <w:pPr>
        <w:spacing w:line="440" w:lineRule="exact"/>
        <w:ind w:firstLine="482" w:firstLineChars="200"/>
        <w:outlineLvl w:val="1"/>
        <w:rPr>
          <w:rFonts w:ascii="仿宋" w:hAnsi="仿宋" w:eastAsia="仿宋" w:cs="仿宋"/>
          <w:b/>
          <w:bCs/>
          <w:color w:val="auto"/>
          <w:highlight w:val="none"/>
        </w:rPr>
      </w:pPr>
      <w:r>
        <w:rPr>
          <w:rFonts w:hint="eastAsia" w:ascii="仿宋" w:hAnsi="仿宋" w:eastAsia="仿宋" w:cs="仿宋"/>
          <w:b/>
          <w:color w:val="auto"/>
          <w:kern w:val="0"/>
          <w:sz w:val="24"/>
          <w:highlight w:val="none"/>
        </w:rPr>
        <w:t>九、合同签订及其他</w:t>
      </w:r>
    </w:p>
    <w:p w14:paraId="25231E7B">
      <w:pPr>
        <w:snapToGrid w:val="0"/>
        <w:spacing w:line="440" w:lineRule="exact"/>
        <w:ind w:firstLine="472" w:firstLineChars="196"/>
        <w:outlineLvl w:val="2"/>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（一）签订合同  </w:t>
      </w:r>
    </w:p>
    <w:p w14:paraId="6CE53856">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1.采购人与中标人应当在《中标通知书》发出之日起30日内按照采购文件及投标文件确定的事项尽快签订采购合同。</w:t>
      </w:r>
    </w:p>
    <w:p w14:paraId="2B300A36">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2.采购文件、中标人的投标文件、澄清文件及中标通知书等，均为签订合同的依据。</w:t>
      </w:r>
    </w:p>
    <w:p w14:paraId="73380EF6">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3.中标人拖延、拒签合同的，或提出采购人不能接受的条件，致使合同无法签订，除按照合同条款处理外，采购人将书面报告主管部门并取消其中标资格。采购人将重新组织采购。</w:t>
      </w:r>
    </w:p>
    <w:p w14:paraId="333CD817">
      <w:pPr>
        <w:snapToGrid w:val="0"/>
        <w:spacing w:line="440" w:lineRule="exact"/>
        <w:ind w:firstLine="472" w:firstLineChars="196"/>
        <w:outlineLvl w:val="2"/>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（二）履约保证金</w:t>
      </w:r>
    </w:p>
    <w:p w14:paraId="78C93BCF">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履约担保：</w:t>
      </w:r>
      <w:r>
        <w:rPr>
          <w:rFonts w:hint="eastAsia" w:ascii="仿宋" w:hAnsi="仿宋" w:eastAsia="仿宋" w:cs="仿宋"/>
          <w:color w:val="auto"/>
          <w:sz w:val="24"/>
          <w:szCs w:val="24"/>
          <w:highlight w:val="none"/>
          <w:lang w:val="en-US" w:eastAsia="zh-CN"/>
        </w:rPr>
        <w:t>20000元</w:t>
      </w:r>
      <w:r>
        <w:rPr>
          <w:rFonts w:hint="eastAsia" w:ascii="仿宋" w:hAnsi="仿宋" w:eastAsia="仿宋" w:cs="仿宋"/>
          <w:color w:val="auto"/>
          <w:sz w:val="24"/>
          <w:szCs w:val="24"/>
          <w:highlight w:val="none"/>
        </w:rPr>
        <w:t>。</w:t>
      </w:r>
    </w:p>
    <w:p w14:paraId="43FD2B92">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履约担保形式：转账/银行保函/保险保证/担保公司担保等形式； </w:t>
      </w:r>
    </w:p>
    <w:p w14:paraId="2701E702">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如采用银行保函：应由投标人从县（区、市）级支行及以上的银行开具， </w:t>
      </w:r>
    </w:p>
    <w:p w14:paraId="0D5F5081">
      <w:pPr>
        <w:snapToGrid w:val="0"/>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并保证其有效。保函有效时间</w:t>
      </w:r>
      <w:r>
        <w:rPr>
          <w:rFonts w:hint="eastAsia" w:ascii="仿宋" w:hAnsi="仿宋" w:eastAsia="仿宋" w:cs="仿宋"/>
          <w:color w:val="auto"/>
          <w:sz w:val="24"/>
          <w:szCs w:val="24"/>
          <w:highlight w:val="none"/>
          <w:lang w:val="en-US" w:eastAsia="zh-CN"/>
        </w:rPr>
        <w:t>不少于12个月</w:t>
      </w:r>
      <w:r>
        <w:rPr>
          <w:rFonts w:hint="eastAsia" w:ascii="仿宋" w:hAnsi="仿宋" w:eastAsia="仿宋" w:cs="仿宋"/>
          <w:color w:val="auto"/>
          <w:sz w:val="24"/>
          <w:szCs w:val="24"/>
          <w:highlight w:val="none"/>
        </w:rPr>
        <w:t>。</w:t>
      </w:r>
    </w:p>
    <w:p w14:paraId="290F3665">
      <w:pPr>
        <w:snapToGrid w:val="0"/>
        <w:spacing w:line="440" w:lineRule="exact"/>
        <w:ind w:firstLine="482" w:firstLineChars="200"/>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（三）询问、质疑和投诉</w:t>
      </w:r>
    </w:p>
    <w:p w14:paraId="3BE1E2D7">
      <w:pPr>
        <w:spacing w:line="440" w:lineRule="exact"/>
        <w:ind w:firstLine="480" w:firstLineChars="200"/>
        <w:rPr>
          <w:rFonts w:ascii="仿宋" w:hAnsi="仿宋" w:eastAsia="仿宋" w:cs="仿宋"/>
          <w:b/>
          <w:bCs/>
          <w:color w:val="auto"/>
          <w:sz w:val="24"/>
          <w:highlight w:val="none"/>
        </w:rPr>
      </w:pPr>
      <w:r>
        <w:rPr>
          <w:rFonts w:hint="eastAsia" w:ascii="仿宋" w:hAnsi="仿宋" w:eastAsia="仿宋" w:cs="仿宋"/>
          <w:color w:val="auto"/>
          <w:sz w:val="24"/>
          <w:highlight w:val="none"/>
        </w:rPr>
        <w:t>1.供应商对采购活动事项有疑问的，可以向采购人提出询问。</w:t>
      </w:r>
      <w:r>
        <w:rPr>
          <w:rFonts w:hint="eastAsia" w:ascii="仿宋" w:hAnsi="仿宋" w:eastAsia="仿宋" w:cs="仿宋"/>
          <w:b/>
          <w:bCs/>
          <w:color w:val="auto"/>
          <w:sz w:val="24"/>
          <w:highlight w:val="none"/>
        </w:rPr>
        <w:t>质疑函范本、投诉书范本请到浙江政府采购网下载专区下载。</w:t>
      </w:r>
    </w:p>
    <w:p w14:paraId="409B4571">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供应商可以就采购文件及采购过程中针对</w:t>
      </w:r>
      <w:r>
        <w:rPr>
          <w:rFonts w:hint="eastAsia" w:ascii="仿宋" w:hAnsi="仿宋" w:eastAsia="仿宋" w:cs="仿宋"/>
          <w:b/>
          <w:bCs/>
          <w:color w:val="auto"/>
          <w:sz w:val="24"/>
          <w:highlight w:val="none"/>
        </w:rPr>
        <w:t>资格条件、采购需求、评分办法</w:t>
      </w:r>
      <w:r>
        <w:rPr>
          <w:rFonts w:hint="eastAsia" w:ascii="仿宋" w:hAnsi="仿宋" w:eastAsia="仿宋" w:cs="仿宋"/>
          <w:color w:val="auto"/>
          <w:sz w:val="24"/>
          <w:highlight w:val="none"/>
        </w:rPr>
        <w:t>中的相关事项向采购人提出询问、质疑，采购人将对此作出答复，答复的内容不得涉及商业秘密。</w:t>
      </w:r>
    </w:p>
    <w:p w14:paraId="38B3E0E5">
      <w:pPr>
        <w:tabs>
          <w:tab w:val="left" w:pos="1260"/>
        </w:tabs>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2.提出质疑的供应商应当是参与所质疑项目采购活动的供应商。潜在投标人已依法获取其可质疑的采购文件的，可以对该文件提出质疑。</w:t>
      </w:r>
    </w:p>
    <w:p w14:paraId="3F68E7CF">
      <w:pPr>
        <w:tabs>
          <w:tab w:val="left" w:pos="1260"/>
        </w:tabs>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供应商认为招标文件、采购过程和中标结果使自己的合法权益受到损害的，可以自知道或者应知其权益受到损害之日起七个工作日内，即获取采购文件之日或者采购文件公告期限届满之日（公告期限届满后获取采购文件的，以公告期限届满之日为准）起七个工作日内，以书面形式向采购人提出质疑。否则，采购人将不予受理。</w:t>
      </w:r>
    </w:p>
    <w:p w14:paraId="65E67C19">
      <w:pPr>
        <w:tabs>
          <w:tab w:val="left" w:pos="1260"/>
        </w:tabs>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供应商提交的质疑函需一式三份。供应商为自然人的，应当由本人签字；供应商为法人或者其他组织的，应当由法定代表人、主要负责人、或者其授权代表签字或者盖章，并加盖公章。质疑函至少应包括下列主要内容：</w:t>
      </w:r>
    </w:p>
    <w:p w14:paraId="4617404C">
      <w:pPr>
        <w:tabs>
          <w:tab w:val="left" w:pos="1260"/>
        </w:tabs>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（1）质疑人的姓名或名称、地址、邮政编码、联系人、联系电话；</w:t>
      </w:r>
    </w:p>
    <w:p w14:paraId="1335E0F0">
      <w:pPr>
        <w:tabs>
          <w:tab w:val="left" w:pos="1260"/>
        </w:tabs>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（2）被质疑采购项目名称、编号；</w:t>
      </w:r>
    </w:p>
    <w:p w14:paraId="0CDFCEBA">
      <w:pPr>
        <w:tabs>
          <w:tab w:val="left" w:pos="1260"/>
        </w:tabs>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（3）具体、明确的质疑事项和与质疑事项相关的请求；</w:t>
      </w:r>
    </w:p>
    <w:p w14:paraId="2D32EA9F">
      <w:pPr>
        <w:tabs>
          <w:tab w:val="left" w:pos="1260"/>
        </w:tabs>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（4）认为自己合法权益受到损害或可能受到损害的相关证据材料：事实依据、必要的法律依据；</w:t>
      </w:r>
    </w:p>
    <w:p w14:paraId="5383D52D">
      <w:pPr>
        <w:widowControl/>
        <w:snapToGrid w:val="0"/>
        <w:spacing w:line="440" w:lineRule="exact"/>
        <w:ind w:firstLine="475" w:firstLineChars="198"/>
        <w:jc w:val="left"/>
        <w:rPr>
          <w:rFonts w:ascii="仿宋" w:hAnsi="仿宋" w:eastAsia="仿宋" w:cs="仿宋"/>
          <w:color w:val="auto"/>
          <w:sz w:val="24"/>
          <w:highlight w:val="none"/>
        </w:rPr>
      </w:pPr>
      <w:r>
        <w:rPr>
          <w:rFonts w:hint="eastAsia" w:ascii="仿宋" w:hAnsi="仿宋" w:eastAsia="仿宋" w:cs="仿宋"/>
          <w:color w:val="auto"/>
          <w:sz w:val="24"/>
          <w:highlight w:val="none"/>
        </w:rPr>
        <w:t>（5）提出质疑的日期；</w:t>
      </w:r>
    </w:p>
    <w:p w14:paraId="6EDEBE6D">
      <w:pPr>
        <w:widowControl/>
        <w:snapToGrid w:val="0"/>
        <w:spacing w:line="440" w:lineRule="exact"/>
        <w:ind w:firstLine="475" w:firstLineChars="198"/>
        <w:jc w:val="left"/>
        <w:rPr>
          <w:rFonts w:ascii="仿宋" w:hAnsi="仿宋" w:eastAsia="仿宋" w:cs="仿宋"/>
          <w:color w:val="auto"/>
          <w:sz w:val="24"/>
          <w:highlight w:val="none"/>
        </w:rPr>
      </w:pPr>
      <w:r>
        <w:rPr>
          <w:rFonts w:hint="eastAsia" w:ascii="仿宋" w:hAnsi="仿宋" w:eastAsia="仿宋" w:cs="仿宋"/>
          <w:color w:val="auto"/>
          <w:sz w:val="24"/>
          <w:highlight w:val="none"/>
        </w:rPr>
        <w:t>（6）采购文件获取日期及“乐采云”平台截图。</w:t>
      </w:r>
    </w:p>
    <w:p w14:paraId="0FF1C9EB">
      <w:pPr>
        <w:widowControl/>
        <w:snapToGrid w:val="0"/>
        <w:spacing w:line="440" w:lineRule="exact"/>
        <w:ind w:firstLine="475" w:firstLineChars="198"/>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4.采购人会在收到投标人的书面质疑后7个工作日内审查质疑事项，作出答复或相关处理决定，并以书面形式通知质疑投标人，但答复的内容涉及商业秘密的除外。</w:t>
      </w:r>
    </w:p>
    <w:p w14:paraId="07FD2868">
      <w:pPr>
        <w:widowControl/>
        <w:snapToGrid w:val="0"/>
        <w:spacing w:line="440" w:lineRule="exact"/>
        <w:ind w:firstLine="477" w:firstLineChars="198"/>
        <w:jc w:val="left"/>
        <w:rPr>
          <w:rFonts w:ascii="仿宋" w:hAnsi="仿宋" w:eastAsia="仿宋" w:cs="仿宋"/>
          <w:b/>
          <w:bCs/>
          <w:color w:val="auto"/>
          <w:sz w:val="24"/>
          <w:szCs w:val="24"/>
          <w:highlight w:val="none"/>
        </w:rPr>
      </w:pPr>
      <w:r>
        <w:rPr>
          <w:rFonts w:hint="eastAsia" w:ascii="仿宋" w:hAnsi="仿宋" w:eastAsia="仿宋" w:cs="仿宋"/>
          <w:b/>
          <w:bCs/>
          <w:color w:val="auto"/>
          <w:kern w:val="0"/>
          <w:sz w:val="24"/>
          <w:highlight w:val="none"/>
        </w:rPr>
        <w:t>若质疑涉及招标制度或程序，会被转交采购管理部门审查。</w:t>
      </w:r>
    </w:p>
    <w:p w14:paraId="6564BDE2">
      <w:pPr>
        <w:pStyle w:val="42"/>
        <w:numPr>
          <w:ilvl w:val="0"/>
          <w:numId w:val="2"/>
        </w:numPr>
        <w:shd w:val="clear" w:color="auto" w:fill="FFFFFF"/>
        <w:snapToGrid w:val="0"/>
        <w:spacing w:before="0" w:beforeLines="0" w:beforeAutospacing="0" w:after="0" w:afterAutospacing="0" w:line="440" w:lineRule="exact"/>
        <w:ind w:firstLine="482"/>
        <w:contextualSpacing/>
        <w:rPr>
          <w:rFonts w:ascii="仿宋" w:hAnsi="仿宋" w:eastAsia="仿宋" w:cs="仿宋"/>
          <w:color w:val="auto"/>
          <w:szCs w:val="24"/>
          <w:highlight w:val="none"/>
        </w:rPr>
      </w:pPr>
      <w:r>
        <w:rPr>
          <w:rFonts w:hint="eastAsia" w:ascii="仿宋" w:hAnsi="仿宋" w:eastAsia="仿宋" w:cs="仿宋"/>
          <w:color w:val="auto"/>
          <w:szCs w:val="24"/>
          <w:highlight w:val="none"/>
        </w:rPr>
        <w:t>质疑供应商对采购人的答复不满意或者采购人未在规定的时间内做出答复的，可以在答复期满后15个工作日内向采购人所在采购监督管理部门提出投诉。</w:t>
      </w:r>
    </w:p>
    <w:p w14:paraId="54322EC1">
      <w:pPr>
        <w:pStyle w:val="42"/>
        <w:shd w:val="clear" w:color="auto" w:fill="FFFFFF"/>
        <w:snapToGrid w:val="0"/>
        <w:spacing w:before="0" w:beforeLines="0" w:beforeAutospacing="0" w:after="0" w:afterAutospacing="0" w:line="440" w:lineRule="exact"/>
        <w:ind w:firstLine="480" w:firstLineChars="200"/>
        <w:contextualSpacing/>
        <w:rPr>
          <w:rFonts w:ascii="仿宋" w:hAnsi="仿宋" w:eastAsia="仿宋" w:cs="仿宋"/>
          <w:color w:val="auto"/>
          <w:szCs w:val="24"/>
          <w:highlight w:val="none"/>
        </w:rPr>
      </w:pPr>
      <w:r>
        <w:rPr>
          <w:rFonts w:hint="eastAsia" w:ascii="仿宋" w:hAnsi="仿宋" w:eastAsia="仿宋" w:cs="仿宋"/>
          <w:color w:val="auto"/>
          <w:szCs w:val="24"/>
          <w:highlight w:val="none"/>
        </w:rPr>
        <w:t>供应商投诉的事项不得超出已质疑事项的范围，基于质疑答复内容提出的投诉事项除外。供应商投诉应当有明确的请求和必要的证明材料。</w:t>
      </w:r>
    </w:p>
    <w:p w14:paraId="674D5ECB">
      <w:pPr>
        <w:widowControl/>
        <w:jc w:val="left"/>
        <w:rPr>
          <w:rFonts w:ascii="仿宋" w:hAnsi="仿宋" w:eastAsia="仿宋" w:cs="仿宋"/>
          <w:color w:val="auto"/>
          <w:kern w:val="0"/>
          <w:sz w:val="24"/>
          <w:szCs w:val="24"/>
          <w:highlight w:val="none"/>
        </w:rPr>
      </w:pPr>
      <w:r>
        <w:rPr>
          <w:rFonts w:hint="eastAsia" w:ascii="仿宋" w:hAnsi="仿宋" w:eastAsia="仿宋" w:cs="仿宋"/>
          <w:color w:val="auto"/>
          <w:szCs w:val="24"/>
          <w:highlight w:val="none"/>
        </w:rPr>
        <w:br w:type="page"/>
      </w:r>
    </w:p>
    <w:p w14:paraId="1927761E">
      <w:pPr>
        <w:widowControl/>
        <w:snapToGrid w:val="0"/>
        <w:spacing w:line="440" w:lineRule="exact"/>
        <w:ind w:firstLine="723"/>
        <w:jc w:val="center"/>
        <w:outlineLvl w:val="0"/>
        <w:rPr>
          <w:rFonts w:ascii="仿宋" w:hAnsi="仿宋" w:eastAsia="仿宋" w:cs="仿宋"/>
          <w:b/>
          <w:color w:val="auto"/>
          <w:sz w:val="36"/>
          <w:szCs w:val="36"/>
          <w:highlight w:val="none"/>
        </w:rPr>
      </w:pPr>
      <w:bookmarkStart w:id="4" w:name="_Toc109240584"/>
      <w:r>
        <w:rPr>
          <w:rFonts w:hint="eastAsia" w:ascii="仿宋" w:hAnsi="仿宋" w:eastAsia="仿宋" w:cs="仿宋"/>
          <w:b/>
          <w:color w:val="auto"/>
          <w:sz w:val="36"/>
          <w:szCs w:val="36"/>
          <w:highlight w:val="none"/>
        </w:rPr>
        <w:t>第三章  评标办法及标准</w:t>
      </w:r>
      <w:bookmarkEnd w:id="4"/>
    </w:p>
    <w:p w14:paraId="48B1583D">
      <w:pPr>
        <w:spacing w:line="440" w:lineRule="exact"/>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根据有关法律法规，遵循“公开、公平、公正”的原则，结合本项目的实际需求，制定本办法。</w:t>
      </w:r>
    </w:p>
    <w:p w14:paraId="22C335C0">
      <w:pPr>
        <w:spacing w:line="440" w:lineRule="exact"/>
        <w:ind w:firstLine="472" w:firstLineChars="196"/>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一、总则</w:t>
      </w:r>
    </w:p>
    <w:p w14:paraId="470B997D">
      <w:pPr>
        <w:spacing w:line="440" w:lineRule="exact"/>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1.本次评标采用综合评分法，总分为100分。</w:t>
      </w:r>
    </w:p>
    <w:p w14:paraId="5D5F7C30">
      <w:pPr>
        <w:spacing w:line="440" w:lineRule="exact"/>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2.合格投标人综合得分的计算公式为：投标人评标综合得分=商务及资信技术得分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50分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＋报价得分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50分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p>
    <w:p w14:paraId="062112D4">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3.投标人的评标得分为各项目汇总得分，中标候选资格按评标得分由高到低顺序排列；如综合得分相同的，按投标报价由低到高顺序排列；如综合得分和报价均相同的，抽签确定。</w:t>
      </w:r>
    </w:p>
    <w:p w14:paraId="48F56760">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编写评标报告。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51E818B">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5.评分过程中采用四舍五入法，并保留小数2位。</w:t>
      </w:r>
    </w:p>
    <w:p w14:paraId="111356CD">
      <w:pPr>
        <w:spacing w:line="440" w:lineRule="exact"/>
        <w:ind w:firstLine="472" w:firstLineChars="196"/>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二、评分内容及标准</w:t>
      </w:r>
    </w:p>
    <w:p w14:paraId="382D9DCB">
      <w:pPr>
        <w:spacing w:line="440" w:lineRule="exact"/>
        <w:ind w:firstLine="412" w:firstLineChars="171"/>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（一）商务及资信技术评分（</w:t>
      </w:r>
      <w:r>
        <w:rPr>
          <w:rFonts w:hint="eastAsia" w:ascii="仿宋" w:hAnsi="仿宋" w:eastAsia="仿宋" w:cs="仿宋"/>
          <w:b/>
          <w:bCs/>
          <w:color w:val="auto"/>
          <w:sz w:val="24"/>
          <w:szCs w:val="24"/>
          <w:highlight w:val="none"/>
          <w:lang w:val="en-US" w:eastAsia="zh-CN"/>
        </w:rPr>
        <w:t>50</w:t>
      </w:r>
      <w:r>
        <w:rPr>
          <w:rFonts w:hint="eastAsia" w:ascii="仿宋" w:hAnsi="仿宋" w:eastAsia="仿宋" w:cs="仿宋"/>
          <w:b/>
          <w:bCs/>
          <w:color w:val="auto"/>
          <w:sz w:val="24"/>
          <w:szCs w:val="24"/>
          <w:highlight w:val="none"/>
        </w:rPr>
        <w:t xml:space="preserve">分）； </w:t>
      </w:r>
    </w:p>
    <w:p w14:paraId="7C554E0D">
      <w:pPr>
        <w:spacing w:line="440" w:lineRule="exact"/>
        <w:ind w:firstLine="412" w:firstLineChars="171"/>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color w:val="auto"/>
          <w:highlight w:val="none"/>
        </w:rPr>
        <w:t xml:space="preserve"> </w:t>
      </w:r>
      <w:r>
        <w:rPr>
          <w:rFonts w:hint="eastAsia" w:ascii="仿宋" w:hAnsi="仿宋" w:eastAsia="仿宋" w:cs="仿宋"/>
          <w:b/>
          <w:bCs/>
          <w:color w:val="auto"/>
          <w:sz w:val="24"/>
          <w:szCs w:val="24"/>
          <w:highlight w:val="none"/>
        </w:rPr>
        <w:t>商务及资信技术得分的计算。</w:t>
      </w:r>
    </w:p>
    <w:p w14:paraId="1D8D0694">
      <w:pPr>
        <w:spacing w:line="440" w:lineRule="exact"/>
        <w:ind w:firstLine="410" w:firstLineChars="171"/>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商务及资信技术</w:t>
      </w:r>
      <w:r>
        <w:rPr>
          <w:rFonts w:hint="eastAsia" w:ascii="仿宋" w:hAnsi="仿宋" w:eastAsia="仿宋" w:cs="仿宋"/>
          <w:bCs/>
          <w:color w:val="auto"/>
          <w:sz w:val="24"/>
          <w:szCs w:val="24"/>
          <w:highlight w:val="none"/>
        </w:rPr>
        <w:t>得分</w:t>
      </w:r>
      <w:r>
        <w:rPr>
          <w:rFonts w:hint="eastAsia" w:ascii="仿宋" w:hAnsi="仿宋" w:eastAsia="仿宋" w:cs="仿宋"/>
          <w:color w:val="auto"/>
          <w:sz w:val="24"/>
          <w:szCs w:val="24"/>
          <w:highlight w:val="none"/>
        </w:rPr>
        <w:t>按照评标委员会成员的独立评分结果汇总后的算术平均分计算，计算公式为：商务及资信技术</w:t>
      </w:r>
      <w:r>
        <w:rPr>
          <w:rFonts w:hint="eastAsia" w:ascii="仿宋" w:hAnsi="仿宋" w:eastAsia="仿宋" w:cs="仿宋"/>
          <w:bCs/>
          <w:color w:val="auto"/>
          <w:sz w:val="24"/>
          <w:szCs w:val="24"/>
          <w:highlight w:val="none"/>
        </w:rPr>
        <w:t>得分</w:t>
      </w:r>
      <w:r>
        <w:rPr>
          <w:rFonts w:hint="eastAsia" w:ascii="仿宋" w:hAnsi="仿宋" w:eastAsia="仿宋" w:cs="仿宋"/>
          <w:color w:val="auto"/>
          <w:sz w:val="24"/>
          <w:szCs w:val="24"/>
          <w:highlight w:val="none"/>
        </w:rPr>
        <w:t>＝评标委员会所有成员评分合计数/评标委员会组成人员数。</w:t>
      </w:r>
    </w:p>
    <w:p w14:paraId="34FBB0AE">
      <w:pPr>
        <w:spacing w:line="440" w:lineRule="exact"/>
        <w:ind w:firstLine="412" w:firstLineChars="171"/>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2.评分细则</w:t>
      </w:r>
    </w:p>
    <w:p w14:paraId="13161289">
      <w:pPr>
        <w:spacing w:line="440" w:lineRule="exact"/>
        <w:ind w:firstLine="410" w:firstLineChars="171"/>
        <w:jc w:val="center"/>
        <w:rPr>
          <w:rFonts w:hint="eastAsia" w:ascii="仿宋" w:hAnsi="仿宋" w:eastAsia="仿宋" w:cs="仿宋"/>
          <w:color w:val="auto"/>
          <w:sz w:val="24"/>
          <w:szCs w:val="24"/>
          <w:highlight w:val="none"/>
        </w:rPr>
      </w:pPr>
    </w:p>
    <w:p w14:paraId="5596E294">
      <w:pPr>
        <w:spacing w:line="440" w:lineRule="exact"/>
        <w:ind w:firstLine="410" w:firstLineChars="171"/>
        <w:jc w:val="center"/>
        <w:rPr>
          <w:rFonts w:hint="eastAsia" w:ascii="仿宋" w:hAnsi="仿宋" w:eastAsia="仿宋" w:cs="仿宋"/>
          <w:color w:val="auto"/>
          <w:sz w:val="24"/>
          <w:szCs w:val="24"/>
          <w:highlight w:val="none"/>
        </w:rPr>
      </w:pPr>
    </w:p>
    <w:p w14:paraId="00D9543D">
      <w:pPr>
        <w:spacing w:line="440" w:lineRule="exact"/>
        <w:ind w:firstLine="410" w:firstLineChars="171"/>
        <w:jc w:val="center"/>
        <w:rPr>
          <w:rFonts w:hint="eastAsia" w:ascii="仿宋" w:hAnsi="仿宋" w:eastAsia="仿宋" w:cs="仿宋"/>
          <w:color w:val="auto"/>
          <w:sz w:val="24"/>
          <w:szCs w:val="24"/>
          <w:highlight w:val="none"/>
        </w:rPr>
      </w:pPr>
    </w:p>
    <w:p w14:paraId="0B4CBAF8">
      <w:pPr>
        <w:spacing w:line="440" w:lineRule="exact"/>
        <w:ind w:firstLine="410" w:firstLineChars="171"/>
        <w:jc w:val="center"/>
        <w:rPr>
          <w:rFonts w:hint="eastAsia" w:ascii="仿宋" w:hAnsi="仿宋" w:eastAsia="仿宋" w:cs="仿宋"/>
          <w:color w:val="auto"/>
          <w:sz w:val="24"/>
          <w:szCs w:val="24"/>
          <w:highlight w:val="none"/>
        </w:rPr>
      </w:pPr>
    </w:p>
    <w:p w14:paraId="21FAE498">
      <w:pPr>
        <w:spacing w:line="440" w:lineRule="exact"/>
        <w:ind w:firstLine="410" w:firstLineChars="171"/>
        <w:jc w:val="center"/>
        <w:rPr>
          <w:rFonts w:hint="eastAsia" w:ascii="仿宋" w:hAnsi="仿宋" w:eastAsia="仿宋" w:cs="仿宋"/>
          <w:color w:val="auto"/>
          <w:sz w:val="24"/>
          <w:szCs w:val="24"/>
          <w:highlight w:val="none"/>
        </w:rPr>
      </w:pPr>
    </w:p>
    <w:p w14:paraId="51AACDD5">
      <w:pPr>
        <w:spacing w:line="440" w:lineRule="exact"/>
        <w:ind w:firstLine="410" w:firstLineChars="171"/>
        <w:jc w:val="center"/>
        <w:rPr>
          <w:rFonts w:hint="eastAsia" w:ascii="仿宋" w:hAnsi="仿宋" w:eastAsia="仿宋" w:cs="仿宋"/>
          <w:color w:val="auto"/>
          <w:sz w:val="24"/>
          <w:szCs w:val="24"/>
          <w:highlight w:val="none"/>
        </w:rPr>
      </w:pPr>
    </w:p>
    <w:p w14:paraId="68ACE5FA">
      <w:pPr>
        <w:spacing w:line="440" w:lineRule="exact"/>
        <w:ind w:firstLine="410" w:firstLineChars="171"/>
        <w:jc w:val="center"/>
        <w:rPr>
          <w:rFonts w:hint="eastAsia" w:ascii="仿宋" w:hAnsi="仿宋" w:eastAsia="仿宋" w:cs="仿宋"/>
          <w:color w:val="auto"/>
          <w:sz w:val="24"/>
          <w:szCs w:val="24"/>
          <w:highlight w:val="none"/>
        </w:rPr>
      </w:pPr>
    </w:p>
    <w:p w14:paraId="6040BFAA">
      <w:pPr>
        <w:spacing w:line="440" w:lineRule="exact"/>
        <w:ind w:firstLine="410" w:firstLineChars="171"/>
        <w:jc w:val="center"/>
        <w:rPr>
          <w:rFonts w:hint="eastAsia" w:ascii="仿宋" w:hAnsi="仿宋" w:eastAsia="仿宋" w:cs="仿宋"/>
          <w:color w:val="auto"/>
          <w:sz w:val="24"/>
          <w:szCs w:val="24"/>
          <w:highlight w:val="none"/>
        </w:rPr>
      </w:pPr>
    </w:p>
    <w:p w14:paraId="004968B5">
      <w:pPr>
        <w:spacing w:line="440" w:lineRule="exact"/>
        <w:ind w:firstLine="410" w:firstLineChars="171"/>
        <w:jc w:val="center"/>
        <w:rPr>
          <w:rFonts w:hint="eastAsia" w:ascii="仿宋" w:hAnsi="仿宋" w:eastAsia="仿宋" w:cs="仿宋"/>
          <w:color w:val="auto"/>
          <w:sz w:val="24"/>
          <w:szCs w:val="24"/>
          <w:highlight w:val="none"/>
        </w:rPr>
      </w:pPr>
    </w:p>
    <w:p w14:paraId="5CBA87AD">
      <w:pPr>
        <w:spacing w:line="440" w:lineRule="exact"/>
        <w:ind w:firstLine="412" w:firstLineChars="171"/>
        <w:jc w:val="center"/>
        <w:rPr>
          <w:rFonts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商务及资信技术评分细则（</w:t>
      </w:r>
      <w:r>
        <w:rPr>
          <w:rFonts w:hint="eastAsia" w:ascii="仿宋" w:hAnsi="仿宋" w:eastAsia="仿宋" w:cs="仿宋"/>
          <w:b/>
          <w:bCs/>
          <w:color w:val="auto"/>
          <w:sz w:val="24"/>
          <w:szCs w:val="24"/>
          <w:highlight w:val="none"/>
          <w:lang w:val="en-US" w:eastAsia="zh-CN"/>
        </w:rPr>
        <w:t>50</w:t>
      </w:r>
      <w:r>
        <w:rPr>
          <w:rFonts w:hint="eastAsia" w:ascii="仿宋" w:hAnsi="仿宋" w:eastAsia="仿宋" w:cs="仿宋"/>
          <w:b/>
          <w:bCs/>
          <w:color w:val="auto"/>
          <w:sz w:val="24"/>
          <w:szCs w:val="24"/>
          <w:highlight w:val="none"/>
        </w:rPr>
        <w:t>分）</w:t>
      </w:r>
    </w:p>
    <w:tbl>
      <w:tblPr>
        <w:tblStyle w:val="26"/>
        <w:tblpPr w:leftFromText="180" w:rightFromText="180" w:vertAnchor="text" w:horzAnchor="margin" w:tblpXSpec="center" w:tblpY="75"/>
        <w:tblW w:w="100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5"/>
        <w:gridCol w:w="6018"/>
        <w:gridCol w:w="690"/>
        <w:gridCol w:w="818"/>
        <w:gridCol w:w="1989"/>
      </w:tblGrid>
      <w:tr w14:paraId="39C6B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6" w:hRule="atLeast"/>
          <w:jc w:val="center"/>
        </w:trPr>
        <w:tc>
          <w:tcPr>
            <w:tcW w:w="535" w:type="dxa"/>
            <w:tcBorders>
              <w:top w:val="single" w:color="auto" w:sz="4" w:space="0"/>
              <w:left w:val="single" w:color="auto" w:sz="4" w:space="0"/>
              <w:bottom w:val="single" w:color="auto" w:sz="4" w:space="0"/>
              <w:right w:val="single" w:color="auto" w:sz="4" w:space="0"/>
            </w:tcBorders>
            <w:noWrap w:val="0"/>
            <w:vAlign w:val="center"/>
          </w:tcPr>
          <w:p w14:paraId="7BC5ADE8">
            <w:pPr>
              <w:adjustRightInd w:val="0"/>
              <w:spacing w:line="360" w:lineRule="auto"/>
              <w:jc w:val="center"/>
              <w:outlineLvl w:val="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序号</w:t>
            </w:r>
          </w:p>
        </w:tc>
        <w:tc>
          <w:tcPr>
            <w:tcW w:w="6018" w:type="dxa"/>
            <w:tcBorders>
              <w:top w:val="single" w:color="auto" w:sz="4" w:space="0"/>
              <w:left w:val="single" w:color="auto" w:sz="4" w:space="0"/>
              <w:bottom w:val="single" w:color="auto" w:sz="4" w:space="0"/>
              <w:right w:val="single" w:color="auto" w:sz="4" w:space="0"/>
            </w:tcBorders>
            <w:noWrap w:val="0"/>
            <w:vAlign w:val="center"/>
          </w:tcPr>
          <w:p w14:paraId="4BB72726">
            <w:pPr>
              <w:adjustRightInd w:val="0"/>
              <w:spacing w:line="360" w:lineRule="auto"/>
              <w:jc w:val="center"/>
              <w:outlineLvl w:val="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评标标准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1C50E8CF">
            <w:pPr>
              <w:adjustRightInd w:val="0"/>
              <w:spacing w:line="360" w:lineRule="auto"/>
              <w:jc w:val="center"/>
              <w:outlineLvl w:val="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权重</w:t>
            </w:r>
          </w:p>
        </w:tc>
        <w:tc>
          <w:tcPr>
            <w:tcW w:w="818" w:type="dxa"/>
            <w:tcBorders>
              <w:top w:val="single" w:color="auto" w:sz="4" w:space="0"/>
              <w:left w:val="single" w:color="auto" w:sz="4" w:space="0"/>
              <w:bottom w:val="single" w:color="auto" w:sz="4" w:space="0"/>
              <w:right w:val="single" w:color="auto" w:sz="4" w:space="0"/>
            </w:tcBorders>
            <w:noWrap w:val="0"/>
            <w:vAlign w:val="center"/>
          </w:tcPr>
          <w:p w14:paraId="63953010">
            <w:pPr>
              <w:adjustRightInd w:val="0"/>
              <w:spacing w:line="360" w:lineRule="auto"/>
              <w:jc w:val="both"/>
              <w:outlineLvl w:val="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主客观属性</w:t>
            </w:r>
          </w:p>
        </w:tc>
        <w:tc>
          <w:tcPr>
            <w:tcW w:w="1989" w:type="dxa"/>
            <w:tcBorders>
              <w:top w:val="single" w:color="auto" w:sz="4" w:space="0"/>
              <w:left w:val="single" w:color="auto" w:sz="4" w:space="0"/>
              <w:bottom w:val="single" w:color="auto" w:sz="4" w:space="0"/>
              <w:right w:val="single" w:color="auto" w:sz="4" w:space="0"/>
            </w:tcBorders>
            <w:noWrap w:val="0"/>
            <w:vAlign w:val="center"/>
          </w:tcPr>
          <w:p w14:paraId="29263E0C">
            <w:pPr>
              <w:adjustRightInd w:val="0"/>
              <w:spacing w:line="360" w:lineRule="auto"/>
              <w:jc w:val="both"/>
              <w:outlineLvl w:val="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投标文件中评标标准相应的商务技术资料目录</w:t>
            </w:r>
            <w:r>
              <w:rPr>
                <w:rFonts w:hint="eastAsia" w:ascii="仿宋" w:hAnsi="仿宋" w:eastAsia="仿宋" w:cs="仿宋"/>
                <w:color w:val="auto"/>
                <w:sz w:val="24"/>
                <w:szCs w:val="24"/>
                <w:highlight w:val="none"/>
                <w:shd w:val="clear" w:color="auto" w:fill="FFFFFF"/>
              </w:rPr>
              <w:t> *</w:t>
            </w:r>
          </w:p>
        </w:tc>
      </w:tr>
      <w:tr w14:paraId="0DA78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35" w:type="dxa"/>
            <w:tcBorders>
              <w:top w:val="single" w:color="auto" w:sz="4" w:space="0"/>
              <w:left w:val="single" w:color="auto" w:sz="4" w:space="0"/>
              <w:bottom w:val="single" w:color="auto" w:sz="4" w:space="0"/>
              <w:right w:val="single" w:color="auto" w:sz="4" w:space="0"/>
            </w:tcBorders>
            <w:noWrap w:val="0"/>
            <w:vAlign w:val="center"/>
          </w:tcPr>
          <w:p w14:paraId="142D802C">
            <w:pPr>
              <w:adjustRightInd w:val="0"/>
              <w:spacing w:line="360" w:lineRule="auto"/>
              <w:jc w:val="center"/>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6018" w:type="dxa"/>
            <w:tcBorders>
              <w:top w:val="single" w:color="auto" w:sz="4" w:space="0"/>
              <w:left w:val="single" w:color="auto" w:sz="4" w:space="0"/>
              <w:bottom w:val="single" w:color="auto" w:sz="4" w:space="0"/>
              <w:right w:val="single" w:color="auto" w:sz="4" w:space="0"/>
            </w:tcBorders>
            <w:noWrap w:val="0"/>
            <w:vAlign w:val="center"/>
          </w:tcPr>
          <w:p w14:paraId="5DF10048">
            <w:pPr>
              <w:keepNext w:val="0"/>
              <w:keepLines w:val="0"/>
              <w:pageBreakBefore w:val="0"/>
              <w:kinsoku/>
              <w:wordWrap/>
              <w:overflowPunct/>
              <w:topLinePunct w:val="0"/>
              <w:autoSpaceDE/>
              <w:autoSpaceDN/>
              <w:bidi w:val="0"/>
              <w:adjustRightInd w:val="0"/>
              <w:snapToGrid/>
              <w:spacing w:line="360" w:lineRule="auto"/>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投标人自20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月1日</w:t>
            </w:r>
            <w:r>
              <w:rPr>
                <w:rFonts w:hint="eastAsia" w:ascii="仿宋" w:hAnsi="仿宋" w:eastAsia="仿宋" w:cs="仿宋"/>
                <w:color w:val="auto"/>
                <w:sz w:val="24"/>
                <w:szCs w:val="24"/>
                <w:highlight w:val="none"/>
                <w:lang w:val="en-US" w:eastAsia="zh-CN"/>
              </w:rPr>
              <w:t>以来</w:t>
            </w:r>
            <w:r>
              <w:rPr>
                <w:rFonts w:hint="eastAsia" w:ascii="仿宋" w:hAnsi="仿宋" w:eastAsia="仿宋" w:cs="仿宋"/>
                <w:color w:val="auto"/>
                <w:sz w:val="24"/>
                <w:szCs w:val="24"/>
                <w:highlight w:val="none"/>
              </w:rPr>
              <w:t>有</w:t>
            </w:r>
            <w:r>
              <w:rPr>
                <w:rFonts w:hint="eastAsia" w:ascii="仿宋" w:hAnsi="仿宋" w:eastAsia="仿宋" w:cs="仿宋"/>
                <w:color w:val="auto"/>
                <w:sz w:val="24"/>
                <w:szCs w:val="24"/>
                <w:highlight w:val="none"/>
                <w:lang w:val="en-US" w:eastAsia="zh-CN"/>
              </w:rPr>
              <w:t>类似矿粉供应</w:t>
            </w:r>
            <w:r>
              <w:rPr>
                <w:rFonts w:hint="eastAsia" w:ascii="仿宋" w:hAnsi="仿宋" w:eastAsia="仿宋" w:cs="仿宋"/>
                <w:color w:val="auto"/>
                <w:sz w:val="24"/>
                <w:szCs w:val="24"/>
                <w:highlight w:val="none"/>
              </w:rPr>
              <w:t>业绩</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，每提供一个业绩得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分，最多得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p w14:paraId="495304E5">
            <w:pPr>
              <w:adjustRightInd w:val="0"/>
              <w:spacing w:line="360" w:lineRule="auto"/>
              <w:outlineLvl w:val="0"/>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rPr>
              <w:t>【证明材料：须提供合同原件的扫描件或清晰复印件，时间以合同签订时间为准。上述材料加盖本单位公章，未按要求提供不得分。】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72521B58">
            <w:pPr>
              <w:adjustRightInd w:val="0"/>
              <w:spacing w:line="360" w:lineRule="auto"/>
              <w:ind w:firstLine="240" w:firstLineChars="100"/>
              <w:outlineLvl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818" w:type="dxa"/>
            <w:tcBorders>
              <w:top w:val="single" w:color="auto" w:sz="4" w:space="0"/>
              <w:left w:val="single" w:color="auto" w:sz="4" w:space="0"/>
              <w:bottom w:val="single" w:color="auto" w:sz="4" w:space="0"/>
              <w:right w:val="single" w:color="auto" w:sz="4" w:space="0"/>
            </w:tcBorders>
            <w:noWrap w:val="0"/>
            <w:vAlign w:val="center"/>
          </w:tcPr>
          <w:p w14:paraId="47E09C22">
            <w:pPr>
              <w:adjustRightInd w:val="0"/>
              <w:spacing w:line="360" w:lineRule="auto"/>
              <w:jc w:val="center"/>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客</w:t>
            </w:r>
            <w:r>
              <w:rPr>
                <w:rFonts w:hint="eastAsia" w:ascii="仿宋" w:hAnsi="仿宋" w:eastAsia="仿宋" w:cs="仿宋"/>
                <w:color w:val="auto"/>
                <w:sz w:val="24"/>
                <w:szCs w:val="24"/>
                <w:highlight w:val="none"/>
              </w:rPr>
              <w:t>观分</w:t>
            </w:r>
          </w:p>
        </w:tc>
        <w:tc>
          <w:tcPr>
            <w:tcW w:w="1989" w:type="dxa"/>
            <w:tcBorders>
              <w:top w:val="single" w:color="auto" w:sz="4" w:space="0"/>
              <w:left w:val="single" w:color="auto" w:sz="4" w:space="0"/>
              <w:bottom w:val="single" w:color="auto" w:sz="4" w:space="0"/>
              <w:right w:val="single" w:color="auto" w:sz="4" w:space="0"/>
            </w:tcBorders>
            <w:noWrap w:val="0"/>
            <w:vAlign w:val="center"/>
          </w:tcPr>
          <w:p w14:paraId="7FA8D826">
            <w:pPr>
              <w:adjustRightInd w:val="0"/>
              <w:spacing w:line="360" w:lineRule="auto"/>
              <w:jc w:val="both"/>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一、</w:t>
            </w:r>
            <w:r>
              <w:rPr>
                <w:rFonts w:hint="eastAsia" w:ascii="仿宋" w:hAnsi="仿宋" w:eastAsia="仿宋" w:cs="仿宋"/>
                <w:color w:val="auto"/>
                <w:sz w:val="24"/>
                <w:szCs w:val="24"/>
                <w:highlight w:val="none"/>
                <w:lang w:val="en-US" w:eastAsia="zh-CN"/>
              </w:rPr>
              <w:t>企业业绩</w:t>
            </w:r>
          </w:p>
        </w:tc>
      </w:tr>
      <w:tr w14:paraId="0CCAC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535" w:type="dxa"/>
            <w:tcBorders>
              <w:top w:val="single" w:color="auto" w:sz="4" w:space="0"/>
              <w:left w:val="single" w:color="auto" w:sz="4" w:space="0"/>
              <w:bottom w:val="single" w:color="auto" w:sz="4" w:space="0"/>
              <w:right w:val="single" w:color="auto" w:sz="4" w:space="0"/>
            </w:tcBorders>
            <w:noWrap w:val="0"/>
            <w:vAlign w:val="center"/>
          </w:tcPr>
          <w:p w14:paraId="76CFE318">
            <w:pPr>
              <w:adjustRightInd w:val="0"/>
              <w:spacing w:line="360" w:lineRule="auto"/>
              <w:jc w:val="center"/>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6018" w:type="dxa"/>
            <w:tcBorders>
              <w:top w:val="single" w:color="auto" w:sz="4" w:space="0"/>
              <w:left w:val="single" w:color="auto" w:sz="4" w:space="0"/>
              <w:bottom w:val="single" w:color="auto" w:sz="4" w:space="0"/>
              <w:right w:val="single" w:color="auto" w:sz="4" w:space="0"/>
            </w:tcBorders>
            <w:noWrap w:val="0"/>
            <w:vAlign w:val="center"/>
          </w:tcPr>
          <w:p w14:paraId="1FA6BFF9">
            <w:pPr>
              <w:keepNext w:val="0"/>
              <w:keepLines w:val="0"/>
              <w:pageBreakBefore w:val="0"/>
              <w:kinsoku/>
              <w:wordWrap/>
              <w:overflowPunct/>
              <w:topLinePunct w:val="0"/>
              <w:autoSpaceDE/>
              <w:autoSpaceDN/>
              <w:bidi w:val="0"/>
              <w:adjustRightInd w:val="0"/>
              <w:snapToGrid/>
              <w:spacing w:line="360" w:lineRule="auto"/>
              <w:textAlignment w:val="auto"/>
              <w:outlineLvl w:val="0"/>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投标人提供的材料样本是否符合采购文件要求，并提供材料对应第三方检测机构出具的检测报告。每有1项不符合，扣1分，扣完为止。</w:t>
            </w:r>
          </w:p>
          <w:p w14:paraId="48D25028">
            <w:pPr>
              <w:adjustRightInd w:val="0"/>
              <w:spacing w:line="360" w:lineRule="auto"/>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b/>
                <w:bCs/>
                <w:color w:val="auto"/>
                <w:kern w:val="2"/>
                <w:sz w:val="24"/>
                <w:szCs w:val="24"/>
                <w:highlight w:val="none"/>
                <w:lang w:val="en-US" w:eastAsia="zh-CN" w:bidi="ar-SA"/>
              </w:rPr>
              <w:t>证明材料：提供样品及有效的第三方检测报告复印件或扫描件并加盖本单位公章，未按要求提供不得分。</w:t>
            </w:r>
            <w:r>
              <w:rPr>
                <w:rFonts w:hint="eastAsia" w:ascii="仿宋" w:hAnsi="仿宋" w:eastAsia="仿宋" w:cs="仿宋"/>
                <w:color w:val="auto"/>
                <w:kern w:val="2"/>
                <w:sz w:val="24"/>
                <w:szCs w:val="24"/>
                <w:highlight w:val="none"/>
                <w:lang w:val="en-US" w:eastAsia="zh-CN" w:bidi="ar-SA"/>
              </w:rPr>
              <w:t>】</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56A0EA6C">
            <w:pPr>
              <w:adjustRightInd w:val="0"/>
              <w:spacing w:line="360" w:lineRule="auto"/>
              <w:ind w:firstLine="0" w:firstLineChars="0"/>
              <w:jc w:val="center"/>
              <w:outlineLvl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818" w:type="dxa"/>
            <w:tcBorders>
              <w:top w:val="single" w:color="auto" w:sz="4" w:space="0"/>
              <w:left w:val="single" w:color="auto" w:sz="4" w:space="0"/>
              <w:bottom w:val="single" w:color="auto" w:sz="4" w:space="0"/>
              <w:right w:val="single" w:color="auto" w:sz="4" w:space="0"/>
            </w:tcBorders>
            <w:noWrap w:val="0"/>
            <w:vAlign w:val="center"/>
          </w:tcPr>
          <w:p w14:paraId="26DAF9C2">
            <w:pPr>
              <w:adjustRightInd w:val="0"/>
              <w:spacing w:line="360" w:lineRule="auto"/>
              <w:jc w:val="lef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客</w:t>
            </w:r>
            <w:r>
              <w:rPr>
                <w:rFonts w:hint="eastAsia" w:ascii="仿宋" w:hAnsi="仿宋" w:eastAsia="仿宋" w:cs="仿宋"/>
                <w:color w:val="auto"/>
                <w:sz w:val="24"/>
                <w:szCs w:val="24"/>
                <w:highlight w:val="none"/>
              </w:rPr>
              <w:t>观分</w:t>
            </w:r>
          </w:p>
        </w:tc>
        <w:tc>
          <w:tcPr>
            <w:tcW w:w="1989" w:type="dxa"/>
            <w:tcBorders>
              <w:top w:val="single" w:color="auto" w:sz="4" w:space="0"/>
              <w:left w:val="single" w:color="auto" w:sz="4" w:space="0"/>
              <w:bottom w:val="single" w:color="auto" w:sz="4" w:space="0"/>
              <w:right w:val="single" w:color="auto" w:sz="4" w:space="0"/>
            </w:tcBorders>
            <w:noWrap w:val="0"/>
            <w:vAlign w:val="center"/>
          </w:tcPr>
          <w:p w14:paraId="2C6DBEE8">
            <w:pPr>
              <w:widowControl/>
              <w:adjustRightInd w:val="0"/>
              <w:spacing w:line="360" w:lineRule="auto"/>
              <w:jc w:val="center"/>
              <w:outlineLvl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二、</w:t>
            </w:r>
            <w:r>
              <w:rPr>
                <w:rFonts w:hint="eastAsia" w:ascii="仿宋" w:hAnsi="仿宋" w:eastAsia="仿宋" w:cs="仿宋"/>
                <w:color w:val="auto"/>
                <w:sz w:val="24"/>
                <w:szCs w:val="24"/>
                <w:highlight w:val="none"/>
                <w:lang w:val="en-US" w:eastAsia="zh-CN"/>
              </w:rPr>
              <w:t>样品</w:t>
            </w:r>
          </w:p>
        </w:tc>
      </w:tr>
      <w:tr w14:paraId="7CDD6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8" w:hRule="atLeast"/>
          <w:jc w:val="center"/>
        </w:trPr>
        <w:tc>
          <w:tcPr>
            <w:tcW w:w="535" w:type="dxa"/>
            <w:tcBorders>
              <w:top w:val="single" w:color="auto" w:sz="4" w:space="0"/>
              <w:left w:val="single" w:color="auto" w:sz="4" w:space="0"/>
              <w:right w:val="single" w:color="auto" w:sz="4" w:space="0"/>
            </w:tcBorders>
            <w:noWrap w:val="0"/>
            <w:vAlign w:val="center"/>
          </w:tcPr>
          <w:p w14:paraId="7EBEC59D">
            <w:pPr>
              <w:adjustRightInd w:val="0"/>
              <w:spacing w:line="360" w:lineRule="auto"/>
              <w:jc w:val="center"/>
              <w:outlineLvl w:val="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w:t>
            </w:r>
          </w:p>
        </w:tc>
        <w:tc>
          <w:tcPr>
            <w:tcW w:w="6018" w:type="dxa"/>
            <w:tcBorders>
              <w:top w:val="single" w:color="auto" w:sz="4" w:space="0"/>
              <w:left w:val="single" w:color="auto" w:sz="4" w:space="0"/>
              <w:bottom w:val="single" w:color="auto" w:sz="4" w:space="0"/>
              <w:right w:val="single" w:color="auto" w:sz="4" w:space="0"/>
            </w:tcBorders>
            <w:noWrap w:val="0"/>
            <w:vAlign w:val="center"/>
          </w:tcPr>
          <w:p w14:paraId="387D8274">
            <w:pPr>
              <w:keepNext w:val="0"/>
              <w:keepLines w:val="0"/>
              <w:pageBreakBefore w:val="0"/>
              <w:kinsoku/>
              <w:wordWrap/>
              <w:overflowPunct/>
              <w:topLinePunct w:val="0"/>
              <w:autoSpaceDE/>
              <w:autoSpaceDN/>
              <w:bidi w:val="0"/>
              <w:adjustRightInd w:val="0"/>
              <w:snapToGrid/>
              <w:spacing w:line="360" w:lineRule="auto"/>
              <w:outlineLvl w:val="0"/>
              <w:rPr>
                <w:rFonts w:hint="eastAsia" w:ascii="仿宋" w:hAnsi="仿宋" w:eastAsia="仿宋" w:cs="仿宋"/>
                <w:b w:val="0"/>
                <w:bCs w:val="0"/>
                <w:color w:val="auto"/>
                <w:sz w:val="24"/>
                <w:szCs w:val="24"/>
                <w:highlight w:val="none"/>
                <w:lang w:eastAsia="zh-CN"/>
              </w:rPr>
            </w:pPr>
            <w:r>
              <w:rPr>
                <w:rFonts w:hint="eastAsia" w:ascii="仿宋" w:hAnsi="仿宋" w:eastAsia="仿宋" w:cs="仿宋"/>
                <w:color w:val="auto"/>
                <w:sz w:val="24"/>
                <w:szCs w:val="24"/>
                <w:highlight w:val="none"/>
                <w:lang w:val="en-US" w:eastAsia="zh-CN"/>
              </w:rPr>
              <w:t>评委根据投标人</w:t>
            </w:r>
            <w:r>
              <w:rPr>
                <w:rFonts w:hint="eastAsia" w:ascii="仿宋" w:hAnsi="仿宋" w:eastAsia="仿宋" w:cs="仿宋"/>
                <w:color w:val="auto"/>
                <w:sz w:val="24"/>
                <w:szCs w:val="24"/>
                <w:highlight w:val="none"/>
              </w:rPr>
              <w:t>对</w:t>
            </w:r>
            <w:r>
              <w:rPr>
                <w:rFonts w:hint="eastAsia" w:ascii="仿宋" w:hAnsi="仿宋" w:eastAsia="仿宋" w:cs="仿宋"/>
                <w:color w:val="auto"/>
                <w:sz w:val="24"/>
                <w:szCs w:val="24"/>
                <w:highlight w:val="none"/>
                <w:lang w:val="en-US" w:eastAsia="zh-CN"/>
              </w:rPr>
              <w:t>本</w:t>
            </w:r>
            <w:r>
              <w:rPr>
                <w:rFonts w:hint="eastAsia" w:ascii="仿宋" w:hAnsi="仿宋" w:eastAsia="仿宋" w:cs="仿宋"/>
                <w:color w:val="auto"/>
                <w:sz w:val="24"/>
                <w:szCs w:val="24"/>
                <w:highlight w:val="none"/>
              </w:rPr>
              <w:t>项目</w:t>
            </w:r>
            <w:r>
              <w:rPr>
                <w:rFonts w:hint="eastAsia" w:ascii="仿宋" w:hAnsi="仿宋" w:eastAsia="仿宋" w:cs="仿宋"/>
                <w:color w:val="auto"/>
                <w:sz w:val="24"/>
                <w:szCs w:val="24"/>
                <w:highlight w:val="none"/>
                <w:lang w:val="en-US" w:eastAsia="zh-CN"/>
              </w:rPr>
              <w:t>的整体组织实施</w:t>
            </w:r>
            <w:r>
              <w:rPr>
                <w:rFonts w:hint="eastAsia" w:ascii="仿宋" w:hAnsi="仿宋" w:eastAsia="仿宋" w:cs="仿宋"/>
                <w:color w:val="auto"/>
                <w:sz w:val="24"/>
                <w:szCs w:val="24"/>
                <w:highlight w:val="none"/>
              </w:rPr>
              <w:t>方案（包括</w:t>
            </w:r>
            <w:r>
              <w:rPr>
                <w:rFonts w:hint="eastAsia" w:ascii="仿宋" w:hAnsi="仿宋" w:eastAsia="仿宋" w:cs="仿宋"/>
                <w:color w:val="auto"/>
                <w:sz w:val="24"/>
                <w:szCs w:val="24"/>
                <w:highlight w:val="none"/>
                <w:lang w:val="en-US" w:eastAsia="zh-CN"/>
              </w:rPr>
              <w:t>但不限于</w:t>
            </w:r>
            <w:r>
              <w:rPr>
                <w:rFonts w:hint="eastAsia" w:ascii="仿宋" w:hAnsi="仿宋" w:eastAsia="仿宋" w:cs="仿宋"/>
                <w:color w:val="auto"/>
                <w:sz w:val="24"/>
                <w:szCs w:val="24"/>
                <w:highlight w:val="none"/>
              </w:rPr>
              <w:t>交货方式、供货能力</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进度保障措施</w:t>
            </w:r>
            <w:r>
              <w:rPr>
                <w:rFonts w:hint="eastAsia" w:ascii="仿宋" w:hAnsi="仿宋" w:eastAsia="仿宋" w:cs="仿宋"/>
                <w:color w:val="auto"/>
                <w:sz w:val="24"/>
                <w:szCs w:val="24"/>
                <w:highlight w:val="none"/>
              </w:rPr>
              <w:t>等）进行</w:t>
            </w:r>
            <w:r>
              <w:rPr>
                <w:rFonts w:hint="eastAsia" w:ascii="仿宋" w:hAnsi="仿宋" w:eastAsia="仿宋" w:cs="仿宋"/>
                <w:color w:val="auto"/>
                <w:sz w:val="24"/>
                <w:szCs w:val="24"/>
                <w:highlight w:val="none"/>
                <w:lang w:val="en-US" w:eastAsia="zh-CN"/>
              </w:rPr>
              <w:t>横向比较，酌情打</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w:t>
            </w:r>
          </w:p>
          <w:p w14:paraId="615978E7">
            <w:pPr>
              <w:keepNext w:val="0"/>
              <w:keepLines w:val="0"/>
              <w:pageBreakBefore w:val="0"/>
              <w:kinsoku/>
              <w:wordWrap/>
              <w:overflowPunct/>
              <w:topLinePunct w:val="0"/>
              <w:autoSpaceDE/>
              <w:autoSpaceDN/>
              <w:bidi w:val="0"/>
              <w:adjustRightInd w:val="0"/>
              <w:snapToGrid/>
              <w:spacing w:line="360" w:lineRule="auto"/>
              <w:outlineLvl w:val="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组织实施方案科学、合理、可靠的得5分，较科学、较合理、较可靠的得3分 ，略有不足的得1分 ，未阐述不得分。</w:t>
            </w:r>
            <w:r>
              <w:rPr>
                <w:rFonts w:hint="eastAsia" w:ascii="仿宋" w:hAnsi="仿宋" w:eastAsia="仿宋" w:cs="仿宋"/>
                <w:b/>
                <w:bCs/>
                <w:color w:val="auto"/>
                <w:sz w:val="24"/>
                <w:szCs w:val="24"/>
                <w:highlight w:val="none"/>
                <w:lang w:eastAsia="zh-CN"/>
              </w:rPr>
              <w:t>】</w:t>
            </w:r>
          </w:p>
        </w:tc>
        <w:tc>
          <w:tcPr>
            <w:tcW w:w="690" w:type="dxa"/>
            <w:tcBorders>
              <w:top w:val="single" w:color="auto" w:sz="4" w:space="0"/>
              <w:left w:val="single" w:color="auto" w:sz="4" w:space="0"/>
              <w:right w:val="single" w:color="auto" w:sz="4" w:space="0"/>
            </w:tcBorders>
            <w:noWrap w:val="0"/>
            <w:vAlign w:val="center"/>
          </w:tcPr>
          <w:p w14:paraId="79C62733">
            <w:pPr>
              <w:adjustRightInd w:val="0"/>
              <w:spacing w:line="360" w:lineRule="auto"/>
              <w:ind w:firstLine="0" w:firstLineChars="0"/>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818" w:type="dxa"/>
            <w:tcBorders>
              <w:top w:val="single" w:color="auto" w:sz="4" w:space="0"/>
              <w:left w:val="single" w:color="auto" w:sz="4" w:space="0"/>
              <w:right w:val="single" w:color="auto" w:sz="4" w:space="0"/>
            </w:tcBorders>
            <w:noWrap w:val="0"/>
            <w:vAlign w:val="center"/>
          </w:tcPr>
          <w:p w14:paraId="258C0763">
            <w:pPr>
              <w:adjustRightInd w:val="0"/>
              <w:spacing w:line="360" w:lineRule="auto"/>
              <w:jc w:val="center"/>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主观分</w:t>
            </w:r>
          </w:p>
        </w:tc>
        <w:tc>
          <w:tcPr>
            <w:tcW w:w="1989" w:type="dxa"/>
            <w:tcBorders>
              <w:top w:val="single" w:color="auto" w:sz="4" w:space="0"/>
              <w:left w:val="single" w:color="auto" w:sz="4" w:space="0"/>
              <w:right w:val="single" w:color="auto" w:sz="4" w:space="0"/>
            </w:tcBorders>
            <w:noWrap w:val="0"/>
            <w:vAlign w:val="center"/>
          </w:tcPr>
          <w:p w14:paraId="6DC00C75">
            <w:pPr>
              <w:adjustRightInd w:val="0"/>
              <w:spacing w:line="360" w:lineRule="auto"/>
              <w:jc w:val="both"/>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三、组织实施方案</w:t>
            </w:r>
          </w:p>
        </w:tc>
      </w:tr>
      <w:tr w14:paraId="094FB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535" w:type="dxa"/>
            <w:tcBorders>
              <w:top w:val="single" w:color="auto" w:sz="4" w:space="0"/>
              <w:left w:val="single" w:color="auto" w:sz="4" w:space="0"/>
              <w:right w:val="single" w:color="auto" w:sz="4" w:space="0"/>
            </w:tcBorders>
            <w:noWrap w:val="0"/>
            <w:vAlign w:val="center"/>
          </w:tcPr>
          <w:p w14:paraId="48F2E4C4">
            <w:pPr>
              <w:adjustRightInd w:val="0"/>
              <w:spacing w:line="360" w:lineRule="auto"/>
              <w:jc w:val="center"/>
              <w:outlineLvl w:val="0"/>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4</w:t>
            </w:r>
          </w:p>
        </w:tc>
        <w:tc>
          <w:tcPr>
            <w:tcW w:w="6018" w:type="dxa"/>
            <w:tcBorders>
              <w:top w:val="single" w:color="auto" w:sz="4" w:space="0"/>
              <w:left w:val="single" w:color="auto" w:sz="4" w:space="0"/>
              <w:bottom w:val="single" w:color="auto" w:sz="4" w:space="0"/>
              <w:right w:val="single" w:color="auto" w:sz="4" w:space="0"/>
            </w:tcBorders>
            <w:noWrap w:val="0"/>
            <w:vAlign w:val="center"/>
          </w:tcPr>
          <w:p w14:paraId="29C6F664">
            <w:pPr>
              <w:keepNext w:val="0"/>
              <w:keepLines w:val="0"/>
              <w:pageBreakBefore w:val="0"/>
              <w:kinsoku/>
              <w:wordWrap/>
              <w:overflowPunct/>
              <w:topLinePunct w:val="0"/>
              <w:autoSpaceDE/>
              <w:autoSpaceDN/>
              <w:bidi w:val="0"/>
              <w:adjustRightInd w:val="0"/>
              <w:snapToGrid/>
              <w:spacing w:line="360" w:lineRule="auto"/>
              <w:outlineLvl w:val="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评委根据投标人对本项目的运输方案（包括但不限于运输车辆及现场人员配备、各类天气运输方案等）进行横向比较、酌情打分。</w:t>
            </w:r>
          </w:p>
          <w:p w14:paraId="6F55FC60">
            <w:pPr>
              <w:keepNext w:val="0"/>
              <w:keepLines w:val="0"/>
              <w:pageBreakBefore w:val="0"/>
              <w:kinsoku/>
              <w:wordWrap/>
              <w:overflowPunct/>
              <w:topLinePunct w:val="0"/>
              <w:autoSpaceDE/>
              <w:autoSpaceDN/>
              <w:bidi w:val="0"/>
              <w:adjustRightInd w:val="0"/>
              <w:snapToGrid/>
              <w:spacing w:line="360" w:lineRule="auto"/>
              <w:outlineLvl w:val="0"/>
              <w:rPr>
                <w:rFonts w:hint="default" w:ascii="仿宋" w:hAnsi="仿宋" w:eastAsia="仿宋" w:cs="仿宋"/>
                <w:b/>
                <w:bCs/>
                <w:color w:val="auto"/>
                <w:sz w:val="24"/>
                <w:szCs w:val="24"/>
                <w:highlight w:val="none"/>
                <w:lang w:val="en-US" w:eastAsia="zh-CN"/>
              </w:rPr>
            </w:pPr>
            <w:r>
              <w:rPr>
                <w:rFonts w:hint="eastAsia" w:ascii="仿宋" w:hAnsi="仿宋" w:eastAsia="仿宋" w:cs="仿宋"/>
                <w:b/>
                <w:bCs w:val="0"/>
                <w:color w:val="auto"/>
                <w:sz w:val="24"/>
                <w:szCs w:val="24"/>
                <w:highlight w:val="none"/>
                <w:lang w:eastAsia="zh-CN"/>
              </w:rPr>
              <w:t>【</w:t>
            </w:r>
            <w:r>
              <w:rPr>
                <w:rFonts w:hint="eastAsia" w:ascii="仿宋" w:hAnsi="仿宋" w:eastAsia="仿宋" w:cs="仿宋"/>
                <w:b/>
                <w:color w:val="auto"/>
                <w:sz w:val="24"/>
                <w:szCs w:val="24"/>
                <w:highlight w:val="none"/>
                <w:lang w:val="en-US" w:eastAsia="zh-CN"/>
              </w:rPr>
              <w:t>运输方案</w:t>
            </w:r>
            <w:r>
              <w:rPr>
                <w:rFonts w:hint="eastAsia" w:ascii="仿宋" w:hAnsi="仿宋" w:eastAsia="仿宋" w:cs="仿宋"/>
                <w:b/>
                <w:bCs w:val="0"/>
                <w:color w:val="auto"/>
                <w:sz w:val="24"/>
                <w:szCs w:val="24"/>
                <w:highlight w:val="none"/>
              </w:rPr>
              <w:t>详细完整、合理</w:t>
            </w:r>
            <w:r>
              <w:rPr>
                <w:rFonts w:hint="eastAsia" w:ascii="仿宋" w:hAnsi="仿宋" w:eastAsia="仿宋" w:cs="仿宋"/>
                <w:b/>
                <w:bCs w:val="0"/>
                <w:color w:val="auto"/>
                <w:sz w:val="24"/>
                <w:szCs w:val="24"/>
                <w:highlight w:val="none"/>
                <w:lang w:eastAsia="zh-CN"/>
              </w:rPr>
              <w:t>、</w:t>
            </w:r>
            <w:r>
              <w:rPr>
                <w:rFonts w:hint="eastAsia" w:ascii="仿宋" w:hAnsi="仿宋" w:eastAsia="仿宋" w:cs="仿宋"/>
                <w:b/>
                <w:bCs w:val="0"/>
                <w:color w:val="auto"/>
                <w:sz w:val="24"/>
                <w:szCs w:val="24"/>
                <w:highlight w:val="none"/>
              </w:rPr>
              <w:t>可行性</w:t>
            </w:r>
            <w:r>
              <w:rPr>
                <w:rFonts w:hint="eastAsia" w:ascii="仿宋" w:hAnsi="仿宋" w:eastAsia="仿宋" w:cs="仿宋"/>
                <w:b/>
                <w:bCs w:val="0"/>
                <w:color w:val="auto"/>
                <w:sz w:val="24"/>
                <w:szCs w:val="24"/>
                <w:highlight w:val="none"/>
                <w:lang w:eastAsia="zh-CN"/>
              </w:rPr>
              <w:t>强</w:t>
            </w:r>
            <w:r>
              <w:rPr>
                <w:rFonts w:hint="eastAsia" w:ascii="仿宋" w:hAnsi="仿宋" w:eastAsia="仿宋" w:cs="仿宋"/>
                <w:b/>
                <w:bCs w:val="0"/>
                <w:color w:val="auto"/>
                <w:sz w:val="24"/>
                <w:szCs w:val="24"/>
                <w:highlight w:val="none"/>
                <w:lang w:val="en-US" w:eastAsia="zh-CN"/>
              </w:rPr>
              <w:t>的得5分，较完整、较合理、可行性较强的得3分，略有不足的得1分，未阐述不得分</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eastAsia="zh-CN"/>
              </w:rPr>
              <w:t>】</w:t>
            </w:r>
          </w:p>
        </w:tc>
        <w:tc>
          <w:tcPr>
            <w:tcW w:w="690" w:type="dxa"/>
            <w:tcBorders>
              <w:top w:val="single" w:color="auto" w:sz="4" w:space="0"/>
              <w:left w:val="single" w:color="auto" w:sz="4" w:space="0"/>
              <w:right w:val="single" w:color="auto" w:sz="4" w:space="0"/>
            </w:tcBorders>
            <w:noWrap w:val="0"/>
            <w:vAlign w:val="center"/>
          </w:tcPr>
          <w:p w14:paraId="1373D8CA">
            <w:pPr>
              <w:adjustRightInd w:val="0"/>
              <w:spacing w:line="360" w:lineRule="auto"/>
              <w:ind w:firstLine="0" w:firstLineChars="0"/>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818" w:type="dxa"/>
            <w:tcBorders>
              <w:top w:val="single" w:color="auto" w:sz="4" w:space="0"/>
              <w:left w:val="single" w:color="auto" w:sz="4" w:space="0"/>
              <w:right w:val="single" w:color="auto" w:sz="4" w:space="0"/>
            </w:tcBorders>
            <w:noWrap w:val="0"/>
            <w:vAlign w:val="center"/>
          </w:tcPr>
          <w:p w14:paraId="0DE821C8">
            <w:pPr>
              <w:adjustRightInd w:val="0"/>
              <w:spacing w:line="360" w:lineRule="auto"/>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c>
          <w:tcPr>
            <w:tcW w:w="1989" w:type="dxa"/>
            <w:tcBorders>
              <w:top w:val="single" w:color="auto" w:sz="4" w:space="0"/>
              <w:left w:val="single" w:color="auto" w:sz="4" w:space="0"/>
              <w:right w:val="single" w:color="auto" w:sz="4" w:space="0"/>
            </w:tcBorders>
            <w:noWrap w:val="0"/>
            <w:vAlign w:val="center"/>
          </w:tcPr>
          <w:p w14:paraId="6D7559B7">
            <w:pPr>
              <w:adjustRightInd w:val="0"/>
              <w:spacing w:line="360" w:lineRule="auto"/>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四、运输方案</w:t>
            </w:r>
          </w:p>
        </w:tc>
      </w:tr>
      <w:tr w14:paraId="1A3F6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1" w:hRule="atLeast"/>
          <w:jc w:val="center"/>
        </w:trPr>
        <w:tc>
          <w:tcPr>
            <w:tcW w:w="535" w:type="dxa"/>
            <w:tcBorders>
              <w:top w:val="single" w:color="auto" w:sz="4" w:space="0"/>
              <w:left w:val="single" w:color="auto" w:sz="4" w:space="0"/>
              <w:right w:val="single" w:color="auto" w:sz="4" w:space="0"/>
            </w:tcBorders>
            <w:noWrap w:val="0"/>
            <w:vAlign w:val="center"/>
          </w:tcPr>
          <w:p w14:paraId="4B65A75A">
            <w:pPr>
              <w:adjustRightInd w:val="0"/>
              <w:spacing w:line="360" w:lineRule="auto"/>
              <w:jc w:val="center"/>
              <w:outlineLvl w:val="0"/>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5</w:t>
            </w:r>
          </w:p>
        </w:tc>
        <w:tc>
          <w:tcPr>
            <w:tcW w:w="6018" w:type="dxa"/>
            <w:tcBorders>
              <w:top w:val="single" w:color="auto" w:sz="4" w:space="0"/>
              <w:left w:val="single" w:color="auto" w:sz="4" w:space="0"/>
              <w:bottom w:val="single" w:color="auto" w:sz="4" w:space="0"/>
              <w:right w:val="single" w:color="auto" w:sz="4" w:space="0"/>
            </w:tcBorders>
            <w:noWrap w:val="0"/>
            <w:vAlign w:val="center"/>
          </w:tcPr>
          <w:p w14:paraId="3D5848FD">
            <w:pPr>
              <w:keepNext w:val="0"/>
              <w:keepLines w:val="0"/>
              <w:pageBreakBefore w:val="0"/>
              <w:kinsoku/>
              <w:wordWrap/>
              <w:overflowPunct/>
              <w:topLinePunct w:val="0"/>
              <w:autoSpaceDE/>
              <w:autoSpaceDN/>
              <w:bidi w:val="0"/>
              <w:adjustRightInd w:val="0"/>
              <w:snapToGrid w:val="0"/>
              <w:spacing w:line="360" w:lineRule="auto"/>
              <w:rPr>
                <w:rFonts w:hint="eastAsia" w:ascii="仿宋" w:hAnsi="仿宋" w:eastAsia="仿宋" w:cs="仿宋"/>
                <w:b/>
                <w:bCs w:val="0"/>
                <w:color w:val="auto"/>
                <w:sz w:val="24"/>
                <w:szCs w:val="24"/>
                <w:highlight w:val="none"/>
                <w:lang w:eastAsia="zh-CN"/>
              </w:rPr>
            </w:pPr>
            <w:r>
              <w:rPr>
                <w:rFonts w:hint="eastAsia" w:ascii="仿宋" w:hAnsi="仿宋" w:eastAsia="仿宋" w:cs="仿宋"/>
                <w:color w:val="auto"/>
                <w:kern w:val="2"/>
                <w:sz w:val="24"/>
                <w:szCs w:val="24"/>
                <w:highlight w:val="none"/>
              </w:rPr>
              <w:t>评委根据投标单位投标文件中</w:t>
            </w:r>
            <w:r>
              <w:rPr>
                <w:rFonts w:hint="eastAsia" w:ascii="仿宋" w:hAnsi="仿宋" w:eastAsia="仿宋" w:cs="仿宋"/>
                <w:color w:val="auto"/>
                <w:sz w:val="24"/>
                <w:szCs w:val="24"/>
                <w:highlight w:val="none"/>
              </w:rPr>
              <w:t>供货质量承诺、</w:t>
            </w:r>
            <w:r>
              <w:rPr>
                <w:rFonts w:hint="eastAsia" w:ascii="仿宋" w:hAnsi="仿宋" w:eastAsia="仿宋" w:cs="仿宋"/>
                <w:color w:val="auto"/>
                <w:sz w:val="24"/>
                <w:szCs w:val="24"/>
                <w:highlight w:val="none"/>
                <w:lang w:val="en-US" w:eastAsia="zh-CN"/>
              </w:rPr>
              <w:t>仓储</w:t>
            </w:r>
            <w:r>
              <w:rPr>
                <w:rFonts w:hint="eastAsia" w:ascii="仿宋" w:hAnsi="仿宋" w:eastAsia="仿宋" w:cs="仿宋"/>
                <w:color w:val="auto"/>
                <w:sz w:val="24"/>
                <w:szCs w:val="24"/>
                <w:highlight w:val="none"/>
              </w:rPr>
              <w:t>管理程序、质量管理体系等质量保证措施</w:t>
            </w:r>
            <w:r>
              <w:rPr>
                <w:rFonts w:hint="eastAsia" w:ascii="仿宋" w:hAnsi="仿宋" w:eastAsia="仿宋" w:cs="仿宋"/>
                <w:color w:val="auto"/>
                <w:kern w:val="2"/>
                <w:sz w:val="24"/>
                <w:szCs w:val="24"/>
                <w:highlight w:val="none"/>
              </w:rPr>
              <w:t>进行横向比较，酌情打分。</w:t>
            </w:r>
          </w:p>
          <w:p w14:paraId="1F2C28A3">
            <w:pPr>
              <w:keepNext w:val="0"/>
              <w:keepLines w:val="0"/>
              <w:pageBreakBefore w:val="0"/>
              <w:kinsoku/>
              <w:wordWrap/>
              <w:overflowPunct/>
              <w:topLinePunct w:val="0"/>
              <w:autoSpaceDE/>
              <w:autoSpaceDN/>
              <w:bidi w:val="0"/>
              <w:adjustRightInd w:val="0"/>
              <w:snapToGrid w:val="0"/>
              <w:spacing w:line="360" w:lineRule="auto"/>
              <w:rPr>
                <w:rFonts w:hint="eastAsia" w:ascii="仿宋" w:hAnsi="仿宋" w:eastAsia="仿宋" w:cs="仿宋"/>
                <w:b/>
                <w:bCs w:val="0"/>
                <w:color w:val="auto"/>
                <w:sz w:val="24"/>
                <w:szCs w:val="24"/>
                <w:highlight w:val="none"/>
                <w:lang w:eastAsia="zh-CN"/>
              </w:rPr>
            </w:pPr>
            <w:r>
              <w:rPr>
                <w:rFonts w:hint="eastAsia" w:ascii="仿宋" w:hAnsi="仿宋" w:eastAsia="仿宋" w:cs="仿宋"/>
                <w:b/>
                <w:bCs w:val="0"/>
                <w:color w:val="auto"/>
                <w:sz w:val="24"/>
                <w:szCs w:val="24"/>
                <w:highlight w:val="none"/>
                <w:lang w:eastAsia="zh-CN"/>
              </w:rPr>
              <w:t>【</w:t>
            </w:r>
            <w:r>
              <w:rPr>
                <w:rFonts w:hint="eastAsia" w:ascii="仿宋" w:hAnsi="仿宋" w:eastAsia="仿宋" w:cs="仿宋"/>
                <w:b/>
                <w:color w:val="auto"/>
                <w:sz w:val="24"/>
                <w:szCs w:val="24"/>
                <w:highlight w:val="none"/>
              </w:rPr>
              <w:t>质量保障措施</w:t>
            </w:r>
            <w:r>
              <w:rPr>
                <w:rFonts w:hint="eastAsia" w:ascii="仿宋" w:hAnsi="仿宋" w:eastAsia="仿宋" w:cs="仿宋"/>
                <w:b/>
                <w:bCs w:val="0"/>
                <w:color w:val="auto"/>
                <w:sz w:val="24"/>
                <w:szCs w:val="24"/>
                <w:highlight w:val="none"/>
              </w:rPr>
              <w:t>详细完整、合理</w:t>
            </w:r>
            <w:r>
              <w:rPr>
                <w:rFonts w:hint="eastAsia" w:ascii="仿宋" w:hAnsi="仿宋" w:eastAsia="仿宋" w:cs="仿宋"/>
                <w:b/>
                <w:bCs w:val="0"/>
                <w:color w:val="auto"/>
                <w:sz w:val="24"/>
                <w:szCs w:val="24"/>
                <w:highlight w:val="none"/>
                <w:lang w:eastAsia="zh-CN"/>
              </w:rPr>
              <w:t>、</w:t>
            </w:r>
            <w:r>
              <w:rPr>
                <w:rFonts w:hint="eastAsia" w:ascii="仿宋" w:hAnsi="仿宋" w:eastAsia="仿宋" w:cs="仿宋"/>
                <w:b/>
                <w:bCs w:val="0"/>
                <w:color w:val="auto"/>
                <w:sz w:val="24"/>
                <w:szCs w:val="24"/>
                <w:highlight w:val="none"/>
              </w:rPr>
              <w:t>可行性</w:t>
            </w:r>
            <w:r>
              <w:rPr>
                <w:rFonts w:hint="eastAsia" w:ascii="仿宋" w:hAnsi="仿宋" w:eastAsia="仿宋" w:cs="仿宋"/>
                <w:b/>
                <w:bCs w:val="0"/>
                <w:color w:val="auto"/>
                <w:sz w:val="24"/>
                <w:szCs w:val="24"/>
                <w:highlight w:val="none"/>
                <w:lang w:eastAsia="zh-CN"/>
              </w:rPr>
              <w:t>强</w:t>
            </w:r>
            <w:r>
              <w:rPr>
                <w:rFonts w:hint="eastAsia" w:ascii="仿宋" w:hAnsi="仿宋" w:eastAsia="仿宋" w:cs="仿宋"/>
                <w:b/>
                <w:bCs w:val="0"/>
                <w:color w:val="auto"/>
                <w:sz w:val="24"/>
                <w:szCs w:val="24"/>
                <w:highlight w:val="none"/>
                <w:lang w:val="en-US" w:eastAsia="zh-CN"/>
              </w:rPr>
              <w:t>的得8分，较完整、较合理、可行性较强的得5分，略有不足的得2分，未阐述不得分</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eastAsia="zh-CN"/>
              </w:rPr>
              <w:t>】</w:t>
            </w:r>
          </w:p>
        </w:tc>
        <w:tc>
          <w:tcPr>
            <w:tcW w:w="690" w:type="dxa"/>
            <w:tcBorders>
              <w:top w:val="single" w:color="auto" w:sz="4" w:space="0"/>
              <w:left w:val="single" w:color="auto" w:sz="4" w:space="0"/>
              <w:right w:val="single" w:color="auto" w:sz="4" w:space="0"/>
            </w:tcBorders>
            <w:noWrap w:val="0"/>
            <w:vAlign w:val="center"/>
          </w:tcPr>
          <w:p w14:paraId="2749FFCC">
            <w:pPr>
              <w:adjustRightInd w:val="0"/>
              <w:spacing w:line="360" w:lineRule="auto"/>
              <w:ind w:firstLine="0" w:firstLineChars="0"/>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818" w:type="dxa"/>
            <w:tcBorders>
              <w:top w:val="single" w:color="auto" w:sz="4" w:space="0"/>
              <w:left w:val="single" w:color="auto" w:sz="4" w:space="0"/>
              <w:right w:val="single" w:color="auto" w:sz="4" w:space="0"/>
            </w:tcBorders>
            <w:noWrap w:val="0"/>
            <w:vAlign w:val="center"/>
          </w:tcPr>
          <w:p w14:paraId="29B6EA0B">
            <w:pPr>
              <w:adjustRightInd w:val="0"/>
              <w:spacing w:line="360" w:lineRule="auto"/>
              <w:jc w:val="center"/>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主观分</w:t>
            </w:r>
          </w:p>
        </w:tc>
        <w:tc>
          <w:tcPr>
            <w:tcW w:w="1989" w:type="dxa"/>
            <w:tcBorders>
              <w:top w:val="single" w:color="auto" w:sz="4" w:space="0"/>
              <w:left w:val="single" w:color="auto" w:sz="4" w:space="0"/>
              <w:right w:val="single" w:color="auto" w:sz="4" w:space="0"/>
            </w:tcBorders>
            <w:noWrap w:val="0"/>
            <w:vAlign w:val="center"/>
          </w:tcPr>
          <w:p w14:paraId="0AEF331A">
            <w:pPr>
              <w:adjustRightInd w:val="0"/>
              <w:spacing w:line="360" w:lineRule="auto"/>
              <w:jc w:val="both"/>
              <w:outlineLvl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2"/>
                <w:highlight w:val="none"/>
                <w:lang w:val="en-US" w:eastAsia="zh-CN"/>
              </w:rPr>
              <w:t>五、</w:t>
            </w:r>
            <w:r>
              <w:rPr>
                <w:rFonts w:hint="eastAsia" w:ascii="仿宋" w:hAnsi="仿宋" w:eastAsia="仿宋" w:cs="仿宋"/>
                <w:color w:val="auto"/>
                <w:sz w:val="24"/>
                <w:highlight w:val="none"/>
              </w:rPr>
              <w:t>质量保障措施</w:t>
            </w:r>
          </w:p>
        </w:tc>
      </w:tr>
      <w:tr w14:paraId="2A80A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6" w:hRule="atLeast"/>
          <w:jc w:val="center"/>
        </w:trPr>
        <w:tc>
          <w:tcPr>
            <w:tcW w:w="535" w:type="dxa"/>
            <w:tcBorders>
              <w:top w:val="single" w:color="auto" w:sz="4" w:space="0"/>
              <w:left w:val="single" w:color="auto" w:sz="4" w:space="0"/>
              <w:right w:val="single" w:color="auto" w:sz="4" w:space="0"/>
            </w:tcBorders>
            <w:noWrap w:val="0"/>
            <w:vAlign w:val="center"/>
          </w:tcPr>
          <w:p w14:paraId="314DE951">
            <w:pPr>
              <w:adjustRightInd w:val="0"/>
              <w:spacing w:line="360" w:lineRule="auto"/>
              <w:jc w:val="center"/>
              <w:outlineLvl w:val="0"/>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6</w:t>
            </w:r>
          </w:p>
        </w:tc>
        <w:tc>
          <w:tcPr>
            <w:tcW w:w="6018" w:type="dxa"/>
            <w:tcBorders>
              <w:top w:val="single" w:color="auto" w:sz="4" w:space="0"/>
              <w:left w:val="single" w:color="auto" w:sz="4" w:space="0"/>
              <w:bottom w:val="single" w:color="auto" w:sz="4" w:space="0"/>
              <w:right w:val="single" w:color="auto" w:sz="4" w:space="0"/>
            </w:tcBorders>
            <w:noWrap w:val="0"/>
            <w:vAlign w:val="center"/>
          </w:tcPr>
          <w:p w14:paraId="5DC40F88">
            <w:pPr>
              <w:keepNext w:val="0"/>
              <w:keepLines w:val="0"/>
              <w:pageBreakBefore w:val="0"/>
              <w:kinsoku/>
              <w:wordWrap/>
              <w:overflowPunct/>
              <w:topLinePunct w:val="0"/>
              <w:autoSpaceDE/>
              <w:autoSpaceDN/>
              <w:bidi w:val="0"/>
              <w:adjustRightInd w:val="0"/>
              <w:snapToGrid w:val="0"/>
              <w:spacing w:line="360" w:lineRule="auto"/>
              <w:rPr>
                <w:rFonts w:hint="eastAsia" w:ascii="仿宋" w:hAnsi="仿宋" w:eastAsia="仿宋" w:cs="仿宋"/>
                <w:b/>
                <w:bCs w:val="0"/>
                <w:color w:val="auto"/>
                <w:sz w:val="24"/>
                <w:szCs w:val="24"/>
                <w:highlight w:val="none"/>
                <w:lang w:eastAsia="zh-CN"/>
              </w:rPr>
            </w:pPr>
            <w:r>
              <w:rPr>
                <w:rFonts w:hint="eastAsia" w:ascii="仿宋" w:hAnsi="仿宋" w:eastAsia="仿宋" w:cs="仿宋"/>
                <w:color w:val="auto"/>
                <w:kern w:val="2"/>
                <w:sz w:val="24"/>
                <w:szCs w:val="24"/>
                <w:highlight w:val="none"/>
              </w:rPr>
              <w:t>评委根据投标单位投标文件中</w:t>
            </w:r>
            <w:r>
              <w:rPr>
                <w:rFonts w:hint="eastAsia" w:ascii="仿宋" w:hAnsi="仿宋" w:eastAsia="仿宋" w:cs="仿宋"/>
                <w:color w:val="auto"/>
                <w:kern w:val="2"/>
                <w:sz w:val="24"/>
                <w:szCs w:val="24"/>
                <w:highlight w:val="none"/>
                <w:lang w:val="en-US" w:eastAsia="zh-CN"/>
              </w:rPr>
              <w:t>安全保障措施（包括但不限于装卸车过程中的安全保障措施、运输等过程中的安全保障措施）</w:t>
            </w:r>
            <w:r>
              <w:rPr>
                <w:rFonts w:hint="eastAsia" w:ascii="仿宋" w:hAnsi="仿宋" w:eastAsia="仿宋" w:cs="仿宋"/>
                <w:color w:val="auto"/>
                <w:kern w:val="2"/>
                <w:sz w:val="24"/>
                <w:szCs w:val="24"/>
                <w:highlight w:val="none"/>
              </w:rPr>
              <w:t>进行横向比较，酌情打分。</w:t>
            </w:r>
          </w:p>
          <w:p w14:paraId="2C1E3987">
            <w:pPr>
              <w:keepNext w:val="0"/>
              <w:keepLines w:val="0"/>
              <w:pageBreakBefore w:val="0"/>
              <w:kinsoku/>
              <w:wordWrap/>
              <w:overflowPunct/>
              <w:topLinePunct w:val="0"/>
              <w:autoSpaceDE/>
              <w:autoSpaceDN/>
              <w:bidi w:val="0"/>
              <w:adjustRightInd w:val="0"/>
              <w:snapToGrid w:val="0"/>
              <w:spacing w:line="360" w:lineRule="auto"/>
              <w:rPr>
                <w:rFonts w:hint="eastAsia" w:ascii="仿宋" w:hAnsi="仿宋" w:eastAsia="仿宋" w:cs="仿宋"/>
                <w:b/>
                <w:bCs w:val="0"/>
                <w:color w:val="auto"/>
                <w:sz w:val="24"/>
                <w:szCs w:val="24"/>
                <w:highlight w:val="none"/>
                <w:lang w:eastAsia="zh-CN"/>
              </w:rPr>
            </w:pPr>
            <w:r>
              <w:rPr>
                <w:rFonts w:hint="eastAsia" w:ascii="仿宋" w:hAnsi="仿宋" w:eastAsia="仿宋" w:cs="仿宋"/>
                <w:b/>
                <w:bCs w:val="0"/>
                <w:color w:val="auto"/>
                <w:sz w:val="24"/>
                <w:szCs w:val="24"/>
                <w:highlight w:val="none"/>
                <w:lang w:eastAsia="zh-CN"/>
              </w:rPr>
              <w:t>【</w:t>
            </w:r>
            <w:r>
              <w:rPr>
                <w:rFonts w:hint="eastAsia" w:ascii="仿宋" w:hAnsi="仿宋" w:eastAsia="仿宋" w:cs="仿宋"/>
                <w:b/>
                <w:color w:val="auto"/>
                <w:sz w:val="24"/>
                <w:szCs w:val="24"/>
                <w:highlight w:val="none"/>
                <w:lang w:val="en-US" w:eastAsia="zh-CN"/>
              </w:rPr>
              <w:t>安全</w:t>
            </w:r>
            <w:r>
              <w:rPr>
                <w:rFonts w:hint="eastAsia" w:ascii="仿宋" w:hAnsi="仿宋" w:eastAsia="仿宋" w:cs="仿宋"/>
                <w:b/>
                <w:color w:val="auto"/>
                <w:sz w:val="24"/>
                <w:szCs w:val="24"/>
                <w:highlight w:val="none"/>
              </w:rPr>
              <w:t>保障措施</w:t>
            </w:r>
            <w:r>
              <w:rPr>
                <w:rFonts w:hint="eastAsia" w:ascii="仿宋" w:hAnsi="仿宋" w:eastAsia="仿宋" w:cs="仿宋"/>
                <w:b/>
                <w:bCs w:val="0"/>
                <w:color w:val="auto"/>
                <w:sz w:val="24"/>
                <w:szCs w:val="24"/>
                <w:highlight w:val="none"/>
              </w:rPr>
              <w:t>详细完整、合理</w:t>
            </w:r>
            <w:r>
              <w:rPr>
                <w:rFonts w:hint="eastAsia" w:ascii="仿宋" w:hAnsi="仿宋" w:eastAsia="仿宋" w:cs="仿宋"/>
                <w:b/>
                <w:bCs w:val="0"/>
                <w:color w:val="auto"/>
                <w:sz w:val="24"/>
                <w:szCs w:val="24"/>
                <w:highlight w:val="none"/>
                <w:lang w:eastAsia="zh-CN"/>
              </w:rPr>
              <w:t>、</w:t>
            </w:r>
            <w:r>
              <w:rPr>
                <w:rFonts w:hint="eastAsia" w:ascii="仿宋" w:hAnsi="仿宋" w:eastAsia="仿宋" w:cs="仿宋"/>
                <w:b/>
                <w:bCs w:val="0"/>
                <w:color w:val="auto"/>
                <w:sz w:val="24"/>
                <w:szCs w:val="24"/>
                <w:highlight w:val="none"/>
              </w:rPr>
              <w:t>可行性</w:t>
            </w:r>
            <w:r>
              <w:rPr>
                <w:rFonts w:hint="eastAsia" w:ascii="仿宋" w:hAnsi="仿宋" w:eastAsia="仿宋" w:cs="仿宋"/>
                <w:b/>
                <w:bCs w:val="0"/>
                <w:color w:val="auto"/>
                <w:sz w:val="24"/>
                <w:szCs w:val="24"/>
                <w:highlight w:val="none"/>
                <w:lang w:eastAsia="zh-CN"/>
              </w:rPr>
              <w:t>强</w:t>
            </w:r>
            <w:r>
              <w:rPr>
                <w:rFonts w:hint="eastAsia" w:ascii="仿宋" w:hAnsi="仿宋" w:eastAsia="仿宋" w:cs="仿宋"/>
                <w:b/>
                <w:bCs w:val="0"/>
                <w:color w:val="auto"/>
                <w:sz w:val="24"/>
                <w:szCs w:val="24"/>
                <w:highlight w:val="none"/>
                <w:lang w:val="en-US" w:eastAsia="zh-CN"/>
              </w:rPr>
              <w:t>的得8分，较完整、较合理、可行性较强的得5分，略有不足的得2分，未阐述不得分</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eastAsia="zh-CN"/>
              </w:rPr>
              <w:t>】</w:t>
            </w:r>
          </w:p>
        </w:tc>
        <w:tc>
          <w:tcPr>
            <w:tcW w:w="690" w:type="dxa"/>
            <w:tcBorders>
              <w:top w:val="single" w:color="auto" w:sz="4" w:space="0"/>
              <w:left w:val="single" w:color="auto" w:sz="4" w:space="0"/>
              <w:right w:val="single" w:color="auto" w:sz="4" w:space="0"/>
            </w:tcBorders>
            <w:noWrap w:val="0"/>
            <w:vAlign w:val="center"/>
          </w:tcPr>
          <w:p w14:paraId="1124D1CE">
            <w:pPr>
              <w:adjustRightInd w:val="0"/>
              <w:spacing w:line="360" w:lineRule="auto"/>
              <w:ind w:firstLine="0" w:firstLineChars="0"/>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818" w:type="dxa"/>
            <w:tcBorders>
              <w:top w:val="single" w:color="auto" w:sz="4" w:space="0"/>
              <w:left w:val="single" w:color="auto" w:sz="4" w:space="0"/>
              <w:right w:val="single" w:color="auto" w:sz="4" w:space="0"/>
            </w:tcBorders>
            <w:noWrap w:val="0"/>
            <w:vAlign w:val="center"/>
          </w:tcPr>
          <w:p w14:paraId="1D9780CB">
            <w:pPr>
              <w:adjustRightInd w:val="0"/>
              <w:spacing w:line="360" w:lineRule="auto"/>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c>
          <w:tcPr>
            <w:tcW w:w="1989" w:type="dxa"/>
            <w:tcBorders>
              <w:top w:val="single" w:color="auto" w:sz="4" w:space="0"/>
              <w:left w:val="single" w:color="auto" w:sz="4" w:space="0"/>
              <w:right w:val="single" w:color="auto" w:sz="4" w:space="0"/>
            </w:tcBorders>
            <w:noWrap w:val="0"/>
            <w:vAlign w:val="center"/>
          </w:tcPr>
          <w:p w14:paraId="76AC0953">
            <w:pPr>
              <w:adjustRightInd w:val="0"/>
              <w:spacing w:line="360" w:lineRule="auto"/>
              <w:jc w:val="both"/>
              <w:outlineLvl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2"/>
                <w:highlight w:val="none"/>
                <w:lang w:val="en-US" w:eastAsia="zh-CN"/>
              </w:rPr>
              <w:t>六、</w:t>
            </w:r>
            <w:r>
              <w:rPr>
                <w:rFonts w:hint="eastAsia" w:ascii="仿宋" w:hAnsi="仿宋" w:eastAsia="仿宋" w:cs="仿宋"/>
                <w:color w:val="auto"/>
                <w:sz w:val="24"/>
                <w:highlight w:val="none"/>
                <w:lang w:val="en-US" w:eastAsia="zh-CN"/>
              </w:rPr>
              <w:t>安全保障措施</w:t>
            </w:r>
          </w:p>
        </w:tc>
      </w:tr>
      <w:tr w14:paraId="447AA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35" w:type="dxa"/>
            <w:tcBorders>
              <w:top w:val="single" w:color="auto" w:sz="4" w:space="0"/>
              <w:left w:val="single" w:color="auto" w:sz="4" w:space="0"/>
              <w:bottom w:val="single" w:color="auto" w:sz="4" w:space="0"/>
              <w:right w:val="single" w:color="auto" w:sz="4" w:space="0"/>
            </w:tcBorders>
            <w:noWrap w:val="0"/>
            <w:vAlign w:val="center"/>
          </w:tcPr>
          <w:p w14:paraId="42C86D71">
            <w:pPr>
              <w:adjustRightInd w:val="0"/>
              <w:spacing w:line="360" w:lineRule="auto"/>
              <w:jc w:val="center"/>
              <w:outlineLvl w:val="0"/>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7</w:t>
            </w:r>
          </w:p>
        </w:tc>
        <w:tc>
          <w:tcPr>
            <w:tcW w:w="6018" w:type="dxa"/>
            <w:tcBorders>
              <w:top w:val="single" w:color="auto" w:sz="4" w:space="0"/>
              <w:left w:val="single" w:color="auto" w:sz="4" w:space="0"/>
              <w:bottom w:val="single" w:color="auto" w:sz="4" w:space="0"/>
              <w:right w:val="single" w:color="auto" w:sz="4" w:space="0"/>
            </w:tcBorders>
            <w:noWrap w:val="0"/>
            <w:vAlign w:val="center"/>
          </w:tcPr>
          <w:p w14:paraId="2D2FBF34">
            <w:pPr>
              <w:adjustRightInd w:val="0"/>
              <w:spacing w:line="360" w:lineRule="auto"/>
              <w:outlineLvl w:val="0"/>
              <w:rPr>
                <w:rFonts w:hint="eastAsia" w:ascii="仿宋" w:hAnsi="仿宋" w:eastAsia="仿宋" w:cs="仿宋"/>
                <w:b/>
                <w:bCs w:val="0"/>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SA"/>
              </w:rPr>
              <w:t>评委根据投标人应急措施的科学性、合理性和可操作性进行横向比较，酌情打分，不提供不得分。</w:t>
            </w:r>
          </w:p>
          <w:p w14:paraId="2C9F109A">
            <w:pPr>
              <w:adjustRightInd w:val="0"/>
              <w:spacing w:line="360" w:lineRule="auto"/>
              <w:outlineLvl w:val="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val="0"/>
                <w:color w:val="auto"/>
                <w:sz w:val="24"/>
                <w:szCs w:val="24"/>
                <w:highlight w:val="none"/>
                <w:lang w:val="en-US" w:eastAsia="zh-CN"/>
              </w:rPr>
              <w:t>【应急措施详细完整、合理、可行性强的得4分，较完整、较合理、可行性较强的得3分，略有不足的得1分，未阐述不得分。】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60E0DD58">
            <w:pPr>
              <w:adjustRightInd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4</w:t>
            </w:r>
          </w:p>
        </w:tc>
        <w:tc>
          <w:tcPr>
            <w:tcW w:w="818" w:type="dxa"/>
            <w:tcBorders>
              <w:top w:val="single" w:color="auto" w:sz="4" w:space="0"/>
              <w:left w:val="single" w:color="auto" w:sz="4" w:space="0"/>
              <w:bottom w:val="single" w:color="auto" w:sz="4" w:space="0"/>
              <w:right w:val="single" w:color="auto" w:sz="4" w:space="0"/>
            </w:tcBorders>
            <w:noWrap w:val="0"/>
            <w:vAlign w:val="center"/>
          </w:tcPr>
          <w:p w14:paraId="71A8C6C9">
            <w:pPr>
              <w:adjustRightIn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主观分</w:t>
            </w:r>
          </w:p>
        </w:tc>
        <w:tc>
          <w:tcPr>
            <w:tcW w:w="1989" w:type="dxa"/>
            <w:tcBorders>
              <w:left w:val="single" w:color="auto" w:sz="4" w:space="0"/>
              <w:right w:val="single" w:color="auto" w:sz="4" w:space="0"/>
            </w:tcBorders>
            <w:noWrap w:val="0"/>
            <w:vAlign w:val="center"/>
          </w:tcPr>
          <w:p w14:paraId="0272EEC7">
            <w:pPr>
              <w:widowControl/>
              <w:adjustRightInd/>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七、应急措施</w:t>
            </w:r>
          </w:p>
        </w:tc>
      </w:tr>
      <w:tr w14:paraId="3BAF0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8" w:hRule="atLeast"/>
          <w:jc w:val="center"/>
        </w:trPr>
        <w:tc>
          <w:tcPr>
            <w:tcW w:w="535" w:type="dxa"/>
            <w:tcBorders>
              <w:top w:val="single" w:color="auto" w:sz="4" w:space="0"/>
              <w:left w:val="single" w:color="auto" w:sz="4" w:space="0"/>
              <w:bottom w:val="single" w:color="auto" w:sz="4" w:space="0"/>
              <w:right w:val="single" w:color="auto" w:sz="4" w:space="0"/>
            </w:tcBorders>
            <w:noWrap w:val="0"/>
            <w:vAlign w:val="center"/>
          </w:tcPr>
          <w:p w14:paraId="1A992F87">
            <w:pPr>
              <w:adjustRightInd w:val="0"/>
              <w:spacing w:line="360" w:lineRule="auto"/>
              <w:jc w:val="center"/>
              <w:outlineLvl w:val="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8</w:t>
            </w:r>
          </w:p>
        </w:tc>
        <w:tc>
          <w:tcPr>
            <w:tcW w:w="6018" w:type="dxa"/>
            <w:tcBorders>
              <w:top w:val="single" w:color="auto" w:sz="4" w:space="0"/>
              <w:left w:val="single" w:color="auto" w:sz="4" w:space="0"/>
              <w:bottom w:val="single" w:color="auto" w:sz="4" w:space="0"/>
              <w:right w:val="single" w:color="auto" w:sz="4" w:space="0"/>
            </w:tcBorders>
            <w:noWrap w:val="0"/>
            <w:vAlign w:val="center"/>
          </w:tcPr>
          <w:p w14:paraId="1CABA0A1">
            <w:pPr>
              <w:keepNext w:val="0"/>
              <w:keepLines w:val="0"/>
              <w:pageBreakBefore w:val="0"/>
              <w:kinsoku/>
              <w:wordWrap/>
              <w:overflowPunct/>
              <w:topLinePunct w:val="0"/>
              <w:autoSpaceDE/>
              <w:autoSpaceDN/>
              <w:bidi w:val="0"/>
              <w:adjustRightInd w:val="0"/>
              <w:snapToGrid w:val="0"/>
              <w:spacing w:beforeLines="0" w:afterLines="0" w:line="360" w:lineRule="auto"/>
              <w:rPr>
                <w:rFonts w:hint="eastAsia" w:ascii="仿宋" w:hAnsi="仿宋" w:eastAsia="仿宋" w:cs="仿宋"/>
                <w:b/>
                <w:bCs w:val="0"/>
                <w:color w:val="auto"/>
                <w:sz w:val="24"/>
                <w:szCs w:val="24"/>
                <w:highlight w:val="none"/>
                <w:lang w:val="en-US" w:eastAsia="zh-CN"/>
              </w:rPr>
            </w:pPr>
            <w:r>
              <w:rPr>
                <w:rFonts w:hint="eastAsia" w:ascii="仿宋" w:hAnsi="仿宋" w:eastAsia="仿宋" w:cs="仿宋"/>
                <w:color w:val="auto"/>
                <w:sz w:val="24"/>
                <w:szCs w:val="24"/>
                <w:highlight w:val="none"/>
                <w:lang w:val="en-US" w:eastAsia="zh-CN"/>
              </w:rPr>
              <w:t>评委根据</w:t>
            </w:r>
            <w:r>
              <w:rPr>
                <w:rFonts w:hint="eastAsia" w:ascii="仿宋" w:hAnsi="仿宋" w:eastAsia="仿宋" w:cs="仿宋"/>
                <w:color w:val="auto"/>
                <w:sz w:val="24"/>
                <w:szCs w:val="24"/>
                <w:highlight w:val="none"/>
              </w:rPr>
              <w:t>投标人提供</w:t>
            </w:r>
            <w:r>
              <w:rPr>
                <w:rFonts w:hint="eastAsia" w:ascii="仿宋" w:hAnsi="仿宋" w:eastAsia="仿宋" w:cs="仿宋"/>
                <w:color w:val="auto"/>
                <w:sz w:val="24"/>
                <w:szCs w:val="24"/>
                <w:highlight w:val="none"/>
                <w:lang w:eastAsia="zh-CN"/>
              </w:rPr>
              <w:t>针对本项目的</w:t>
            </w:r>
            <w:r>
              <w:rPr>
                <w:rFonts w:hint="eastAsia" w:ascii="仿宋" w:hAnsi="仿宋" w:eastAsia="仿宋" w:cs="仿宋"/>
                <w:color w:val="auto"/>
                <w:sz w:val="24"/>
                <w:szCs w:val="24"/>
                <w:highlight w:val="none"/>
                <w:lang w:val="en-US"/>
              </w:rPr>
              <w:t>优惠条件及特殊承诺</w:t>
            </w:r>
            <w:r>
              <w:rPr>
                <w:rFonts w:hint="eastAsia" w:ascii="仿宋" w:hAnsi="仿宋" w:eastAsia="仿宋" w:cs="仿宋"/>
                <w:color w:val="auto"/>
                <w:sz w:val="24"/>
                <w:szCs w:val="24"/>
                <w:highlight w:val="none"/>
                <w:lang w:val="en-US" w:eastAsia="zh-CN"/>
              </w:rPr>
              <w:t>进行横向比较，酌情打分</w:t>
            </w:r>
            <w:r>
              <w:rPr>
                <w:rFonts w:hint="eastAsia" w:ascii="仿宋" w:hAnsi="仿宋" w:eastAsia="仿宋" w:cs="仿宋"/>
                <w:color w:val="auto"/>
                <w:sz w:val="24"/>
                <w:szCs w:val="24"/>
                <w:highlight w:val="none"/>
                <w:lang w:val="en-US"/>
              </w:rPr>
              <w:t>。</w:t>
            </w:r>
          </w:p>
          <w:p w14:paraId="48C0AF17">
            <w:pPr>
              <w:keepNext w:val="0"/>
              <w:keepLines w:val="0"/>
              <w:pageBreakBefore w:val="0"/>
              <w:kinsoku/>
              <w:wordWrap/>
              <w:overflowPunct/>
              <w:topLinePunct w:val="0"/>
              <w:autoSpaceDE/>
              <w:autoSpaceDN/>
              <w:bidi w:val="0"/>
              <w:adjustRightInd w:val="0"/>
              <w:snapToGrid w:val="0"/>
              <w:spacing w:beforeLines="0" w:afterLines="0"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val="0"/>
                <w:color w:val="auto"/>
                <w:sz w:val="24"/>
                <w:szCs w:val="24"/>
                <w:highlight w:val="none"/>
                <w:lang w:val="en-US" w:eastAsia="zh-CN"/>
              </w:rPr>
              <w:t>【</w:t>
            </w:r>
            <w:r>
              <w:rPr>
                <w:rFonts w:hint="eastAsia" w:ascii="仿宋" w:hAnsi="仿宋" w:eastAsia="仿宋" w:cs="仿宋"/>
                <w:b/>
                <w:color w:val="auto"/>
                <w:sz w:val="24"/>
                <w:szCs w:val="24"/>
                <w:highlight w:val="none"/>
                <w:lang w:val="en-US"/>
              </w:rPr>
              <w:t>优惠条件及特殊承诺</w:t>
            </w:r>
            <w:r>
              <w:rPr>
                <w:rFonts w:hint="eastAsia" w:ascii="仿宋" w:hAnsi="仿宋" w:eastAsia="仿宋" w:cs="仿宋"/>
                <w:b/>
                <w:bCs w:val="0"/>
                <w:color w:val="auto"/>
                <w:sz w:val="24"/>
                <w:szCs w:val="24"/>
                <w:highlight w:val="none"/>
                <w:lang w:val="en-US" w:eastAsia="zh-CN"/>
              </w:rPr>
              <w:t>合理、可行性强的得5分，较合理、可行性较强的得3分，略有不足的得1分，未阐述不得分。】</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571A8EED">
            <w:pPr>
              <w:adjustRightInd w:val="0"/>
              <w:spacing w:line="360" w:lineRule="auto"/>
              <w:ind w:firstLine="240" w:firstLineChars="100"/>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818" w:type="dxa"/>
            <w:tcBorders>
              <w:top w:val="single" w:color="auto" w:sz="4" w:space="0"/>
              <w:left w:val="single" w:color="auto" w:sz="4" w:space="0"/>
              <w:bottom w:val="single" w:color="auto" w:sz="4" w:space="0"/>
              <w:right w:val="single" w:color="auto" w:sz="4" w:space="0"/>
            </w:tcBorders>
            <w:noWrap w:val="0"/>
            <w:vAlign w:val="center"/>
          </w:tcPr>
          <w:p w14:paraId="5B96FB43">
            <w:pPr>
              <w:adjustRightInd w:val="0"/>
              <w:spacing w:line="360" w:lineRule="auto"/>
              <w:jc w:val="center"/>
              <w:outlineLvl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主观分</w:t>
            </w:r>
          </w:p>
        </w:tc>
        <w:tc>
          <w:tcPr>
            <w:tcW w:w="1989" w:type="dxa"/>
            <w:tcBorders>
              <w:left w:val="single" w:color="auto" w:sz="4" w:space="0"/>
              <w:right w:val="single" w:color="auto" w:sz="4" w:space="0"/>
            </w:tcBorders>
            <w:noWrap w:val="0"/>
            <w:vAlign w:val="center"/>
          </w:tcPr>
          <w:p w14:paraId="55E2A3A6">
            <w:pPr>
              <w:widowControl/>
              <w:adjustRightInd/>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八</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优惠承诺</w:t>
            </w:r>
          </w:p>
        </w:tc>
      </w:tr>
      <w:tr w14:paraId="48AE2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1" w:hRule="atLeast"/>
          <w:jc w:val="center"/>
        </w:trPr>
        <w:tc>
          <w:tcPr>
            <w:tcW w:w="535" w:type="dxa"/>
            <w:tcBorders>
              <w:top w:val="single" w:color="auto" w:sz="4" w:space="0"/>
              <w:left w:val="single" w:color="auto" w:sz="4" w:space="0"/>
              <w:bottom w:val="single" w:color="auto" w:sz="4" w:space="0"/>
              <w:right w:val="single" w:color="auto" w:sz="4" w:space="0"/>
            </w:tcBorders>
            <w:noWrap w:val="0"/>
            <w:vAlign w:val="center"/>
          </w:tcPr>
          <w:p w14:paraId="2F95FC01">
            <w:pPr>
              <w:adjustRightInd w:val="0"/>
              <w:spacing w:line="360" w:lineRule="auto"/>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c>
          <w:tcPr>
            <w:tcW w:w="6018" w:type="dxa"/>
            <w:tcBorders>
              <w:top w:val="single" w:color="auto" w:sz="4" w:space="0"/>
              <w:left w:val="single" w:color="auto" w:sz="4" w:space="0"/>
              <w:bottom w:val="single" w:color="auto" w:sz="4" w:space="0"/>
              <w:right w:val="single" w:color="auto" w:sz="4" w:space="0"/>
            </w:tcBorders>
            <w:noWrap w:val="0"/>
            <w:vAlign w:val="center"/>
          </w:tcPr>
          <w:p w14:paraId="1C753177">
            <w:pPr>
              <w:widowControl/>
              <w:adjustRightInd/>
              <w:spacing w:line="360" w:lineRule="auto"/>
              <w:outlineLvl w:val="9"/>
              <w:rPr>
                <w:rFonts w:hint="eastAsia" w:ascii="仿宋" w:hAnsi="仿宋" w:eastAsia="仿宋" w:cs="仿宋"/>
                <w:color w:val="auto"/>
                <w:kern w:val="2"/>
                <w:sz w:val="24"/>
                <w:szCs w:val="24"/>
                <w:highlight w:val="none"/>
              </w:rPr>
            </w:pPr>
            <w:r>
              <w:rPr>
                <w:rFonts w:hint="eastAsia" w:ascii="仿宋" w:hAnsi="仿宋" w:eastAsia="仿宋" w:cs="仿宋"/>
                <w:color w:val="auto"/>
                <w:sz w:val="24"/>
                <w:szCs w:val="24"/>
                <w:highlight w:val="none"/>
              </w:rPr>
              <w:t>评委根据投标</w:t>
            </w:r>
            <w:r>
              <w:rPr>
                <w:rFonts w:hint="eastAsia" w:ascii="仿宋" w:hAnsi="仿宋" w:eastAsia="仿宋" w:cs="仿宋"/>
                <w:color w:val="auto"/>
                <w:sz w:val="24"/>
                <w:szCs w:val="24"/>
                <w:highlight w:val="none"/>
                <w:lang w:val="en-US" w:eastAsia="zh-CN"/>
              </w:rPr>
              <w:t>人</w:t>
            </w:r>
            <w:r>
              <w:rPr>
                <w:rFonts w:hint="eastAsia" w:ascii="仿宋" w:hAnsi="仿宋" w:eastAsia="仿宋" w:cs="仿宋"/>
                <w:color w:val="auto"/>
                <w:sz w:val="24"/>
                <w:szCs w:val="24"/>
                <w:highlight w:val="none"/>
              </w:rPr>
              <w:t>提供的售后服务方案（包括但不限于服务机构情况、服务人员、售后服务内容承诺及保障措施、产品质量问题解决等）进行横向比较，酌情打分</w:t>
            </w:r>
            <w:r>
              <w:rPr>
                <w:rFonts w:hint="eastAsia" w:ascii="仿宋" w:hAnsi="仿宋" w:eastAsia="仿宋" w:cs="仿宋"/>
                <w:color w:val="auto"/>
                <w:kern w:val="2"/>
                <w:sz w:val="24"/>
                <w:szCs w:val="24"/>
                <w:highlight w:val="none"/>
              </w:rPr>
              <w:t>。</w:t>
            </w:r>
          </w:p>
          <w:p w14:paraId="3261DB09">
            <w:pPr>
              <w:adjustRightInd w:val="0"/>
              <w:spacing w:line="360" w:lineRule="auto"/>
              <w:outlineLvl w:val="0"/>
              <w:rPr>
                <w:rFonts w:hint="eastAsia" w:ascii="仿宋" w:hAnsi="仿宋" w:eastAsia="仿宋" w:cs="仿宋"/>
                <w:b/>
                <w:bCs w:val="0"/>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w:t>
            </w:r>
            <w:r>
              <w:rPr>
                <w:rFonts w:hint="eastAsia" w:ascii="仿宋" w:hAnsi="仿宋" w:eastAsia="仿宋" w:cs="仿宋"/>
                <w:b/>
                <w:color w:val="auto"/>
                <w:kern w:val="2"/>
                <w:sz w:val="24"/>
                <w:szCs w:val="24"/>
                <w:highlight w:val="none"/>
                <w:lang w:val="en-US" w:eastAsia="zh-CN"/>
              </w:rPr>
              <w:t>售后服务</w:t>
            </w:r>
            <w:r>
              <w:rPr>
                <w:rFonts w:hint="eastAsia" w:ascii="仿宋" w:hAnsi="仿宋" w:eastAsia="仿宋" w:cs="仿宋"/>
                <w:b/>
                <w:bCs w:val="0"/>
                <w:color w:val="auto"/>
                <w:sz w:val="24"/>
                <w:szCs w:val="24"/>
                <w:highlight w:val="none"/>
                <w:lang w:val="en-US" w:eastAsia="zh-CN"/>
              </w:rPr>
              <w:t>详细完整、合理、可行性强的得5分，较完整、较合理、可行性较强的得3分，略有不足的得1分，未阐述不得分。</w:t>
            </w:r>
            <w:r>
              <w:rPr>
                <w:rFonts w:hint="eastAsia" w:ascii="仿宋" w:hAnsi="仿宋" w:eastAsia="仿宋" w:cs="仿宋"/>
                <w:color w:val="auto"/>
                <w:sz w:val="24"/>
                <w:szCs w:val="24"/>
                <w:highlight w:val="none"/>
                <w:lang w:eastAsia="zh-CN"/>
              </w:rPr>
              <w:t>】</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2021AC04">
            <w:pPr>
              <w:adjustRightInd w:val="0"/>
              <w:spacing w:line="360" w:lineRule="auto"/>
              <w:ind w:firstLine="240" w:firstLineChars="100"/>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818" w:type="dxa"/>
            <w:tcBorders>
              <w:top w:val="single" w:color="auto" w:sz="4" w:space="0"/>
              <w:left w:val="single" w:color="auto" w:sz="4" w:space="0"/>
              <w:bottom w:val="single" w:color="auto" w:sz="4" w:space="0"/>
              <w:right w:val="single" w:color="auto" w:sz="4" w:space="0"/>
            </w:tcBorders>
            <w:noWrap w:val="0"/>
            <w:vAlign w:val="center"/>
          </w:tcPr>
          <w:p w14:paraId="6346ED4E">
            <w:pPr>
              <w:adjustRightInd w:val="0"/>
              <w:spacing w:line="360" w:lineRule="auto"/>
              <w:jc w:val="center"/>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主观分</w:t>
            </w:r>
          </w:p>
        </w:tc>
        <w:tc>
          <w:tcPr>
            <w:tcW w:w="1989" w:type="dxa"/>
            <w:tcBorders>
              <w:left w:val="single" w:color="auto" w:sz="4" w:space="0"/>
              <w:bottom w:val="single" w:color="auto" w:sz="4" w:space="0"/>
              <w:right w:val="single" w:color="auto" w:sz="4" w:space="0"/>
            </w:tcBorders>
            <w:noWrap w:val="0"/>
            <w:vAlign w:val="center"/>
          </w:tcPr>
          <w:p w14:paraId="5DEFBBBB">
            <w:pPr>
              <w:widowControl/>
              <w:adjustRightInd/>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九、售后服务</w:t>
            </w:r>
          </w:p>
        </w:tc>
      </w:tr>
      <w:tr w14:paraId="33DE3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2" w:hRule="atLeast"/>
          <w:jc w:val="center"/>
        </w:trPr>
        <w:tc>
          <w:tcPr>
            <w:tcW w:w="535" w:type="dxa"/>
            <w:tcBorders>
              <w:top w:val="single" w:color="auto" w:sz="4" w:space="0"/>
              <w:left w:val="single" w:color="auto" w:sz="4" w:space="0"/>
              <w:bottom w:val="single" w:color="auto" w:sz="4" w:space="0"/>
              <w:right w:val="single" w:color="auto" w:sz="4" w:space="0"/>
            </w:tcBorders>
            <w:noWrap w:val="0"/>
            <w:vAlign w:val="center"/>
          </w:tcPr>
          <w:p w14:paraId="723BB1E7">
            <w:pPr>
              <w:adjustRightInd w:val="0"/>
              <w:spacing w:line="360" w:lineRule="auto"/>
              <w:jc w:val="center"/>
              <w:outlineLvl w:val="0"/>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10</w:t>
            </w:r>
          </w:p>
        </w:tc>
        <w:tc>
          <w:tcPr>
            <w:tcW w:w="6018" w:type="dxa"/>
            <w:tcBorders>
              <w:top w:val="single" w:color="auto" w:sz="4" w:space="0"/>
              <w:left w:val="single" w:color="auto" w:sz="4" w:space="0"/>
              <w:bottom w:val="single" w:color="auto" w:sz="4" w:space="0"/>
              <w:right w:val="single" w:color="auto" w:sz="4" w:space="0"/>
            </w:tcBorders>
            <w:noWrap w:val="0"/>
            <w:vAlign w:val="center"/>
          </w:tcPr>
          <w:p w14:paraId="1F8CC680">
            <w:pPr>
              <w:widowControl/>
              <w:shd w:val="clear" w:color="auto" w:fill="auto"/>
              <w:spacing w:line="360" w:lineRule="auto"/>
              <w:ind w:firstLine="0" w:firstLineChars="0"/>
              <w:outlineLvl w:val="9"/>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1）全部报价中，超过最高限价的报价无效。</w:t>
            </w:r>
          </w:p>
          <w:p w14:paraId="2A25B1FD">
            <w:pPr>
              <w:widowControl/>
              <w:shd w:val="clear" w:color="auto" w:fill="auto"/>
              <w:spacing w:line="360" w:lineRule="auto"/>
              <w:ind w:firstLine="0" w:firstLineChars="0"/>
              <w:outlineLvl w:val="9"/>
              <w:rPr>
                <w:rFonts w:hint="eastAsia" w:ascii="仿宋" w:hAnsi="仿宋" w:eastAsia="仿宋" w:cs="仿宋"/>
                <w:bCs w:val="0"/>
                <w:color w:val="auto"/>
                <w:sz w:val="24"/>
                <w:szCs w:val="24"/>
                <w:highlight w:val="none"/>
                <w:lang w:val="en-US" w:eastAsia="zh-CN"/>
              </w:rPr>
            </w:pPr>
            <w:r>
              <w:rPr>
                <w:rFonts w:hint="eastAsia" w:ascii="仿宋" w:hAnsi="仿宋" w:eastAsia="仿宋" w:cs="仿宋"/>
                <w:bCs w:val="0"/>
                <w:color w:val="auto"/>
                <w:sz w:val="24"/>
                <w:szCs w:val="24"/>
                <w:highlight w:val="none"/>
              </w:rPr>
              <w:t>2）满足采购文件要求且投标报价中最低的投标报价为评标基准价其价格分为满分；其他投标人的价格分统一按照以下公式计算：投标报价得分=（评标基准价/投标报价）×价格权值×100</w:t>
            </w:r>
          </w:p>
          <w:p w14:paraId="3BA67347">
            <w:pPr>
              <w:keepNext w:val="0"/>
              <w:keepLines w:val="0"/>
              <w:pageBreakBefore w:val="0"/>
              <w:widowControl/>
              <w:kinsoku/>
              <w:wordWrap/>
              <w:overflowPunct/>
              <w:topLinePunct w:val="0"/>
              <w:autoSpaceDE/>
              <w:autoSpaceDN/>
              <w:bidi w:val="0"/>
              <w:adjustRightInd/>
              <w:spacing w:before="0" w:line="360" w:lineRule="auto"/>
              <w:ind w:firstLine="0" w:firstLineChars="0"/>
              <w:jc w:val="left"/>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以上</w:t>
            </w:r>
            <w:r>
              <w:rPr>
                <w:rFonts w:hint="eastAsia" w:ascii="仿宋" w:hAnsi="仿宋" w:eastAsia="仿宋" w:cs="仿宋"/>
                <w:color w:val="auto"/>
                <w:sz w:val="24"/>
                <w:szCs w:val="24"/>
                <w:highlight w:val="none"/>
              </w:rPr>
              <w:t>评分时分值保留两位小数，小数点后第三位四舍五入。</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2B847611">
            <w:pPr>
              <w:adjustRightInd w:val="0"/>
              <w:spacing w:line="360" w:lineRule="auto"/>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50</w:t>
            </w:r>
          </w:p>
        </w:tc>
        <w:tc>
          <w:tcPr>
            <w:tcW w:w="818" w:type="dxa"/>
            <w:tcBorders>
              <w:top w:val="single" w:color="auto" w:sz="4" w:space="0"/>
              <w:left w:val="single" w:color="auto" w:sz="4" w:space="0"/>
              <w:bottom w:val="single" w:color="auto" w:sz="4" w:space="0"/>
              <w:right w:val="single" w:color="auto" w:sz="4" w:space="0"/>
            </w:tcBorders>
            <w:noWrap w:val="0"/>
            <w:vAlign w:val="center"/>
          </w:tcPr>
          <w:p w14:paraId="2F17309A">
            <w:pPr>
              <w:adjustRightInd w:val="0"/>
              <w:spacing w:line="360" w:lineRule="auto"/>
              <w:jc w:val="center"/>
              <w:outlineLvl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w:t>
            </w:r>
          </w:p>
        </w:tc>
        <w:tc>
          <w:tcPr>
            <w:tcW w:w="1989" w:type="dxa"/>
            <w:tcBorders>
              <w:top w:val="single" w:color="auto" w:sz="4" w:space="0"/>
              <w:left w:val="single" w:color="auto" w:sz="4" w:space="0"/>
              <w:bottom w:val="single" w:color="auto" w:sz="4" w:space="0"/>
              <w:right w:val="single" w:color="auto" w:sz="4" w:space="0"/>
            </w:tcBorders>
            <w:noWrap w:val="0"/>
            <w:vAlign w:val="center"/>
          </w:tcPr>
          <w:p w14:paraId="0A56A4F2">
            <w:pPr>
              <w:adjustRightInd w:val="0"/>
              <w:spacing w:line="360" w:lineRule="auto"/>
              <w:jc w:val="center"/>
              <w:outlineLvl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w:t>
            </w:r>
          </w:p>
        </w:tc>
      </w:tr>
    </w:tbl>
    <w:p w14:paraId="4F8B9A4F">
      <w:pPr>
        <w:spacing w:line="440" w:lineRule="exact"/>
        <w:ind w:firstLine="241" w:firstLineChars="1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注：1.以上证明材料须提供复印件并加盖电子签章，所有证明材料必须在有效期内。以上证明材料必须真实有效，如评标委员会发现提供虚假证明材料，将取消中标人的中标资格。</w:t>
      </w:r>
    </w:p>
    <w:p w14:paraId="40C19FC8">
      <w:pPr>
        <w:spacing w:line="440" w:lineRule="exact"/>
        <w:ind w:firstLine="482" w:firstLineChars="2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2.因投标人提供的相关证明材料的复印件或网页截图清晰度、真实性等原因造成评标委员会无法辨认或判定，可能被严厉扣分或不得分，由此造成的后果，由投标人自行承担。</w:t>
      </w:r>
    </w:p>
    <w:p w14:paraId="7FA60592">
      <w:pPr>
        <w:widowControl/>
        <w:spacing w:line="440" w:lineRule="exact"/>
        <w:ind w:firstLine="482" w:firstLineChars="200"/>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（二）报价评分（</w:t>
      </w:r>
      <w:r>
        <w:rPr>
          <w:rFonts w:hint="eastAsia" w:ascii="仿宋" w:hAnsi="仿宋" w:eastAsia="仿宋" w:cs="仿宋"/>
          <w:b/>
          <w:bCs/>
          <w:color w:val="auto"/>
          <w:sz w:val="24"/>
          <w:szCs w:val="24"/>
          <w:highlight w:val="none"/>
          <w:lang w:val="en-US" w:eastAsia="zh-CN"/>
        </w:rPr>
        <w:t>50</w:t>
      </w:r>
      <w:r>
        <w:rPr>
          <w:rFonts w:hint="eastAsia" w:ascii="仿宋" w:hAnsi="仿宋" w:eastAsia="仿宋" w:cs="仿宋"/>
          <w:b/>
          <w:bCs/>
          <w:color w:val="auto"/>
          <w:sz w:val="24"/>
          <w:szCs w:val="24"/>
          <w:highlight w:val="none"/>
        </w:rPr>
        <w:t xml:space="preserve">分）； </w:t>
      </w:r>
    </w:p>
    <w:p w14:paraId="240099AA">
      <w:pPr>
        <w:spacing w:line="440" w:lineRule="exact"/>
        <w:ind w:firstLine="412" w:firstLineChars="171"/>
        <w:rPr>
          <w:rFonts w:ascii="仿宋" w:hAnsi="仿宋" w:eastAsia="仿宋" w:cs="仿宋"/>
          <w:color w:val="auto"/>
          <w:sz w:val="24"/>
          <w:szCs w:val="24"/>
          <w:highlight w:val="none"/>
        </w:rPr>
      </w:pPr>
      <w:r>
        <w:rPr>
          <w:rFonts w:hint="eastAsia" w:ascii="仿宋" w:hAnsi="仿宋" w:eastAsia="仿宋" w:cs="仿宋"/>
          <w:b/>
          <w:color w:val="auto"/>
          <w:sz w:val="24"/>
          <w:szCs w:val="24"/>
          <w:highlight w:val="none"/>
        </w:rPr>
        <w:t>1.报价的合理性：</w:t>
      </w:r>
      <w:r>
        <w:rPr>
          <w:rFonts w:hint="eastAsia" w:ascii="仿宋" w:hAnsi="仿宋" w:eastAsia="仿宋" w:cs="仿宋"/>
          <w:bCs/>
          <w:color w:val="auto"/>
          <w:sz w:val="24"/>
          <w:szCs w:val="24"/>
          <w:highlight w:val="none"/>
        </w:rPr>
        <w:t>分析报价是否合理，报价范围是否完整，有否重大错漏项，评标委员会认为投标报价出现异常时，有权要求投标人在评标期间对投标报价的详细组成等事项作出解释和澄清，并确认其投标报价是否有效。</w:t>
      </w:r>
    </w:p>
    <w:p w14:paraId="0F6A365C">
      <w:pPr>
        <w:spacing w:line="440" w:lineRule="exact"/>
        <w:ind w:firstLine="412" w:firstLineChars="171"/>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2.报价得分的计算：</w:t>
      </w:r>
    </w:p>
    <w:p w14:paraId="51F1B3FE">
      <w:pPr>
        <w:spacing w:line="360" w:lineRule="auto"/>
        <w:ind w:firstLine="480" w:firstLineChars="200"/>
        <w:rPr>
          <w:rFonts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rPr>
        <w:t>1）全部报价中，超过项目最高限价的报价无效。</w:t>
      </w:r>
    </w:p>
    <w:p w14:paraId="32FD1B2B">
      <w:pPr>
        <w:widowControl/>
        <w:shd w:val="clear" w:color="auto" w:fill="auto"/>
        <w:spacing w:line="360" w:lineRule="auto"/>
        <w:ind w:firstLine="480" w:firstLineChars="200"/>
        <w:outlineLvl w:val="9"/>
        <w:rPr>
          <w:rFonts w:hint="eastAsia" w:ascii="仿宋" w:hAnsi="仿宋" w:eastAsia="仿宋" w:cs="仿宋"/>
          <w:bCs w:val="0"/>
          <w:color w:val="auto"/>
          <w:sz w:val="24"/>
          <w:szCs w:val="24"/>
          <w:highlight w:val="none"/>
          <w:lang w:val="en-US" w:eastAsia="zh-CN"/>
        </w:rPr>
      </w:pPr>
      <w:r>
        <w:rPr>
          <w:rFonts w:hint="eastAsia" w:ascii="仿宋" w:hAnsi="仿宋" w:eastAsia="仿宋" w:cs="仿宋"/>
          <w:bCs w:val="0"/>
          <w:color w:val="auto"/>
          <w:sz w:val="24"/>
          <w:szCs w:val="24"/>
          <w:highlight w:val="none"/>
          <w:lang w:val="en-US" w:eastAsia="zh-CN"/>
        </w:rPr>
        <w:t>2）</w:t>
      </w:r>
      <w:r>
        <w:rPr>
          <w:rFonts w:hint="eastAsia" w:ascii="仿宋" w:hAnsi="仿宋" w:eastAsia="仿宋" w:cs="仿宋"/>
          <w:bCs w:val="0"/>
          <w:color w:val="auto"/>
          <w:sz w:val="24"/>
          <w:szCs w:val="24"/>
          <w:highlight w:val="none"/>
        </w:rPr>
        <w:t>满足采购文件要求且投标报价中最低的投标报价为评标基准价其价格分为满分；其他投标人的价格分统一按照以下公式计算：投标报价得分=（评标基准价/投标报价）×价格权值×100</w:t>
      </w:r>
    </w:p>
    <w:p w14:paraId="55ED5C3D">
      <w:pPr>
        <w:spacing w:line="360" w:lineRule="auto"/>
        <w:ind w:firstLine="480" w:firstLineChars="200"/>
        <w:rPr>
          <w:rFonts w:hint="eastAsia" w:ascii="仿宋" w:hAnsi="仿宋" w:eastAsia="仿宋" w:cs="仿宋"/>
          <w:snapToGrid w:val="0"/>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以上</w:t>
      </w:r>
      <w:r>
        <w:rPr>
          <w:rFonts w:hint="eastAsia" w:ascii="仿宋" w:hAnsi="仿宋" w:eastAsia="仿宋" w:cs="仿宋"/>
          <w:color w:val="auto"/>
          <w:sz w:val="24"/>
          <w:szCs w:val="24"/>
          <w:highlight w:val="none"/>
        </w:rPr>
        <w:t>评分时分值保留两位小数，小数点后第三位四舍五入。</w:t>
      </w:r>
    </w:p>
    <w:p w14:paraId="54C1AE30">
      <w:pPr>
        <w:pStyle w:val="53"/>
        <w:spacing w:before="0" w:line="440" w:lineRule="exact"/>
        <w:ind w:firstLine="511" w:firstLineChars="212"/>
        <w:rPr>
          <w:rFonts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3.投标文件报价出现前后不一致的，按照下列规定修正：</w:t>
      </w:r>
    </w:p>
    <w:p w14:paraId="3C6767ED">
      <w:pPr>
        <w:pStyle w:val="53"/>
        <w:spacing w:before="0" w:line="440" w:lineRule="exact"/>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3.1投标文件中开标一览表(报价表)内容与投标文件中相应内容不一致的，以开标一览表(报价表)为准;</w:t>
      </w:r>
    </w:p>
    <w:p w14:paraId="08F75BBA">
      <w:pPr>
        <w:pStyle w:val="53"/>
        <w:spacing w:before="0" w:line="440" w:lineRule="exact"/>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3.2大写金额和小写金额不一致的，以大写金额为准;</w:t>
      </w:r>
    </w:p>
    <w:p w14:paraId="18422C5D">
      <w:pPr>
        <w:pStyle w:val="53"/>
        <w:spacing w:before="0" w:line="440" w:lineRule="exact"/>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3.3单价金额小数点或者百分比有明显错位的，以开标一览表的总价为准，并修改单价;</w:t>
      </w:r>
    </w:p>
    <w:p w14:paraId="3A4AC436">
      <w:pPr>
        <w:pStyle w:val="53"/>
        <w:spacing w:before="0" w:line="440" w:lineRule="exact"/>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3.4总价金额与按单价汇总金额不一致的，以单价金额计算结果为准。</w:t>
      </w:r>
    </w:p>
    <w:p w14:paraId="6FAD73F0">
      <w:pPr>
        <w:snapToGrid w:val="0"/>
        <w:spacing w:line="440" w:lineRule="exact"/>
        <w:ind w:firstLine="480" w:firstLineChars="200"/>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4.投标文件出现不是唯一的、有选择性投标报价的，投标无效。</w:t>
      </w:r>
    </w:p>
    <w:p w14:paraId="1E70FB64">
      <w:pPr>
        <w:snapToGrid w:val="0"/>
        <w:spacing w:line="440" w:lineRule="exact"/>
        <w:ind w:firstLine="480" w:firstLineChars="200"/>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5.投标报价超过招标文件中规定的预算金额或者最高限价的，投标无效。</w:t>
      </w:r>
    </w:p>
    <w:p w14:paraId="7E36D1DA">
      <w:pPr>
        <w:pStyle w:val="3"/>
        <w:spacing w:before="0" w:after="0" w:line="440" w:lineRule="exact"/>
        <w:ind w:firstLine="482" w:firstLineChars="200"/>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DFFC2A0">
      <w:pPr>
        <w:spacing w:line="440" w:lineRule="exact"/>
        <w:ind w:firstLine="482" w:firstLineChars="200"/>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（三）评标中的其他事项</w:t>
      </w:r>
    </w:p>
    <w:p w14:paraId="6D59BD32">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澄清、说明或者补正。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C5D933A">
      <w:pPr>
        <w:spacing w:line="44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2.有下列情况之一的，投标无效：</w:t>
      </w:r>
    </w:p>
    <w:p w14:paraId="5EF98C1A">
      <w:pPr>
        <w:spacing w:line="44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（1）投标人不具备招标文件中规定的资格要求的（投标人未提供有效的资格文件的，视为投标人不具备招标文件中规定的资格要求）；</w:t>
      </w:r>
    </w:p>
    <w:p w14:paraId="00040C51">
      <w:pPr>
        <w:spacing w:line="44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（2）投标文件未按照招标文件要求签署、盖章的；</w:t>
      </w:r>
    </w:p>
    <w:p w14:paraId="5A6C0B6D">
      <w:pPr>
        <w:spacing w:line="44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（3）投标文件含有采购人不能接受的附加条件的；</w:t>
      </w:r>
    </w:p>
    <w:p w14:paraId="08BA2146">
      <w:p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（4）投标有效期、服务期不能满足招标文件要求的；</w:t>
      </w:r>
    </w:p>
    <w:p w14:paraId="38525C15">
      <w:pPr>
        <w:pStyle w:val="2"/>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2"/>
          <w:sz w:val="24"/>
          <w:szCs w:val="24"/>
          <w:highlight w:val="none"/>
          <w:lang w:val="en-US" w:eastAsia="zh-CN" w:bidi="ar-SA"/>
        </w:rPr>
        <w:t>商务技术文件中出现投标报价信息的；</w:t>
      </w:r>
    </w:p>
    <w:p w14:paraId="3A4DCB6B">
      <w:pPr>
        <w:pStyle w:val="2"/>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lang w:eastAsia="zh-CN"/>
        </w:rPr>
        <w:t>明显不符合采购文件中规定的采购需求的响应方案；</w:t>
      </w:r>
    </w:p>
    <w:p w14:paraId="49AA1719">
      <w:pPr>
        <w:pStyle w:val="25"/>
        <w:ind w:left="0" w:leftChars="0" w:firstLine="0" w:firstLineChars="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（7）与采购文件有重大偏离的投标文件；</w:t>
      </w:r>
    </w:p>
    <w:p w14:paraId="5537C5D5">
      <w:pPr>
        <w:pStyle w:val="25"/>
        <w:ind w:left="0" w:leftChars="0" w:firstLine="0" w:firstLineChars="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（8）投标人技术方案不明确，存在一个或一个以上备选（替代）方案的。</w:t>
      </w:r>
    </w:p>
    <w:p w14:paraId="14F78364">
      <w:pPr>
        <w:pStyle w:val="25"/>
        <w:ind w:left="0" w:leftChars="0"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）投标文件出现不是唯一的、有选择性投标报价的；</w:t>
      </w:r>
    </w:p>
    <w:p w14:paraId="3E10A40C">
      <w:pPr>
        <w:spacing w:line="44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）投标报价超过招标文件中规定的预算金额或者最高限价的；</w:t>
      </w:r>
    </w:p>
    <w:p w14:paraId="64B4D47C">
      <w:pPr>
        <w:spacing w:line="44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）报价明显低于其他通过符合性审查投标人的报价，有可能影响产品质量或者不能诚信履约的，未能按要求提供书面说明或者提交相关证明材料，不能证明其报价合理性的；</w:t>
      </w:r>
    </w:p>
    <w:p w14:paraId="05EDBCD4">
      <w:pPr>
        <w:spacing w:line="44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）投标人对根据修正原则修正后的报价不确认的；</w:t>
      </w:r>
    </w:p>
    <w:p w14:paraId="6F1D3DE3">
      <w:pPr>
        <w:spacing w:line="44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13</w:t>
      </w:r>
      <w:r>
        <w:rPr>
          <w:rFonts w:hint="eastAsia" w:ascii="仿宋" w:hAnsi="仿宋" w:eastAsia="仿宋" w:cs="仿宋"/>
          <w:color w:val="auto"/>
          <w:sz w:val="24"/>
          <w:szCs w:val="24"/>
          <w:highlight w:val="none"/>
        </w:rPr>
        <w:t>）投标人提供虚假材料投标的；</w:t>
      </w:r>
    </w:p>
    <w:p w14:paraId="0876CBB5">
      <w:pPr>
        <w:spacing w:line="44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）投标人有恶意串通、妨碍其他投标人的竞争行为、损害采购人或者其他投标人的合法权益情形的；</w:t>
      </w:r>
    </w:p>
    <w:p w14:paraId="3D4B8F2D">
      <w:pPr>
        <w:spacing w:line="44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）投标人仅提交备份投标文件，没有在电子交易平台传输递交投标文件的，投标无效；</w:t>
      </w:r>
    </w:p>
    <w:p w14:paraId="5E4F6595">
      <w:pPr>
        <w:spacing w:line="44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）投标文件不满足招标文件的其它实质性要求的；</w:t>
      </w:r>
    </w:p>
    <w:p w14:paraId="538F1C5F">
      <w:p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）法律、法规、规章（适用本市的）及省级以上规范性文件（适用本市的）规定的其他无效情形。</w:t>
      </w:r>
    </w:p>
    <w:p w14:paraId="261F66C6">
      <w:pPr>
        <w:spacing w:line="440" w:lineRule="exact"/>
        <w:ind w:firstLine="482" w:firstLineChars="200"/>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(四）</w:t>
      </w:r>
      <w:r>
        <w:rPr>
          <w:rFonts w:hint="eastAsia" w:ascii="仿宋" w:hAnsi="仿宋" w:eastAsia="仿宋" w:cs="仿宋"/>
          <w:b/>
          <w:bCs/>
          <w:color w:val="auto"/>
          <w:sz w:val="24"/>
          <w:szCs w:val="24"/>
          <w:highlight w:val="none"/>
        </w:rPr>
        <w:t>排序与推荐。</w:t>
      </w:r>
    </w:p>
    <w:p w14:paraId="4C80326B">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采用综合评分法，即在全部满足采购文件实质性要求的前提下，以商务技术、报价综合得分由高到低顺序排列，推荐综合得分</w:t>
      </w:r>
      <w:r>
        <w:rPr>
          <w:rFonts w:hint="eastAsia" w:ascii="仿宋" w:hAnsi="仿宋" w:eastAsia="仿宋" w:cs="仿宋"/>
          <w:b/>
          <w:bCs/>
          <w:color w:val="auto"/>
          <w:sz w:val="24"/>
          <w:szCs w:val="24"/>
          <w:highlight w:val="none"/>
          <w:lang w:val="en-US" w:eastAsia="zh-CN"/>
        </w:rPr>
        <w:t>最高</w:t>
      </w:r>
      <w:r>
        <w:rPr>
          <w:rFonts w:hint="eastAsia" w:ascii="仿宋" w:hAnsi="仿宋" w:eastAsia="仿宋" w:cs="仿宋"/>
          <w:b/>
          <w:bCs/>
          <w:color w:val="auto"/>
          <w:sz w:val="24"/>
          <w:szCs w:val="24"/>
          <w:highlight w:val="none"/>
        </w:rPr>
        <w:t>的单位为成交候选人。</w:t>
      </w:r>
    </w:p>
    <w:p w14:paraId="5E84FDB2">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如综合得分相同的，按投标报价由低到高顺序排列；如综合得分和报价均相同的，抽签确定。</w:t>
      </w:r>
    </w:p>
    <w:p w14:paraId="50AB588B">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028BE7C">
      <w:pPr>
        <w:spacing w:line="440" w:lineRule="exact"/>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（五）开标内容的保密</w:t>
      </w:r>
    </w:p>
    <w:p w14:paraId="1709F5A8">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开标开始后，直到宣布成交结果止，凡属于审查、澄清、评价和比较的所有资料，都不应向投标人或与开标无关的其他人泄露。</w:t>
      </w:r>
    </w:p>
    <w:p w14:paraId="4E01797C">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在投标文件的审查、澄清、评价和比较以及确定成交企业过程中，投标人对代理机构和评审小组施加影响的任何行为，都将导致取消资格。</w:t>
      </w:r>
    </w:p>
    <w:p w14:paraId="7026FA32">
      <w:pPr>
        <w:spacing w:line="440" w:lineRule="exact"/>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（六）投标人澄清、说明或者补正</w:t>
      </w:r>
    </w:p>
    <w:p w14:paraId="1E81F7EF">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对于投标文件中含义不明确、同类问题表述不一致或者有明显文字和计算错误的内容需要投标人作出必要的澄清、说明或者补正的，评标委员会将对投标人进行询标，并要求投标人作书面澄清；给予投标人提交澄清、说明或补正的时间不少于半小时，投标人已经明确表示澄清说明或补正完毕的除外。投标人的澄清、说明或者补正不得超出投标文件的范围或者改变投标文件的实质性内容。</w:t>
      </w:r>
    </w:p>
    <w:p w14:paraId="00CB5A20">
      <w:pPr>
        <w:spacing w:line="440" w:lineRule="exact"/>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（七）修改采购文件，重新组织采购活动</w:t>
      </w:r>
    </w:p>
    <w:p w14:paraId="7E23AE1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评标委员会发现采购文件存在歧义、重大缺陷导致评标工作无法进行，或者采购文件内容违反国家有关强制性规定的，将停止评标工作，并与采购人、代理机构沟通并作书面记录。采购人、代理机构确认后，将修改采购文件，重新组织采购活动。</w:t>
      </w:r>
    </w:p>
    <w:p w14:paraId="30BB2810">
      <w:pPr>
        <w:spacing w:line="440" w:lineRule="exact"/>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（八）重新开展采购</w:t>
      </w:r>
    </w:p>
    <w:p w14:paraId="6060698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有政府采购法第七十一条、第七十二条规定的违法行为之一，影响或者可能影响中标、成交结果的，依照下列规定处理：</w:t>
      </w:r>
    </w:p>
    <w:p w14:paraId="279A2FB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1、未确定中标或者中标人的，终止本次采购活动，重新开展采购活动；</w:t>
      </w:r>
    </w:p>
    <w:p w14:paraId="5DDE1DF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2、已确定中标或者中标人但尚未签订采购合同的，中标或者成交结果无效，从合格的中标或者成交候选人中另行确定中标或者中标人；没有合格的中标或者成交候选人的，重新开展采购活动；</w:t>
      </w:r>
    </w:p>
    <w:p w14:paraId="624655D2">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3、采购合同已签订但尚未履行的，撤销合同，从合格的中标或者成交候选人中另行确定中标或者中标人；没有合格的中标或者成交候选人的，重新开展采购活动；</w:t>
      </w:r>
    </w:p>
    <w:p w14:paraId="064B932E">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4、采购合同已经履行，给采购人、投标人造成损失的，由责任人承担赔偿责任；</w:t>
      </w:r>
    </w:p>
    <w:p w14:paraId="5710B69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5、采购当事人有其他违反政府采购法或者政府采购法实施条例等法律法规规定的行为，经改正后仍然影响或者可能影响中标、成交结果或者依法被认定为中标、成交无效的，依照1-4条规定处理。</w:t>
      </w:r>
    </w:p>
    <w:p w14:paraId="7DAFB943">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6、成交选候选人放弃中标，因不可抗力提出不能履行合同或其自身原因不能履行合同的，或不按采购文件提交履约担保，或者被查实存在影响中标结果的违法行为等情形，不符合中标条件的，采购人可以按照评标委员会提出的评审名单中的排序依次确定其他单位为中标（成交）单位或重新组织招标。</w:t>
      </w:r>
    </w:p>
    <w:p w14:paraId="516893DE">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7、成交选候选人因不可抗力之外的原因放弃中标权或因成交候选人原因被取消中标资格的，给采购人造成</w:t>
      </w:r>
      <w:r>
        <w:rPr>
          <w:rFonts w:hint="eastAsia" w:ascii="仿宋" w:hAnsi="仿宋" w:eastAsia="仿宋" w:cs="仿宋"/>
          <w:color w:val="auto"/>
          <w:sz w:val="24"/>
          <w:szCs w:val="24"/>
          <w:highlight w:val="none"/>
          <w:lang w:val="en-US" w:eastAsia="zh-CN"/>
        </w:rPr>
        <w:t>损失的</w:t>
      </w:r>
      <w:r>
        <w:rPr>
          <w:rFonts w:hint="eastAsia" w:ascii="仿宋" w:hAnsi="仿宋" w:eastAsia="仿宋" w:cs="仿宋"/>
          <w:color w:val="auto"/>
          <w:sz w:val="24"/>
          <w:szCs w:val="24"/>
          <w:highlight w:val="none"/>
          <w:lang w:eastAsia="zh-CN"/>
        </w:rPr>
        <w:t>，由放弃中标权或被取消中标资格的中标（成交）候选人承担。</w:t>
      </w:r>
    </w:p>
    <w:p w14:paraId="773C1018">
      <w:pPr>
        <w:ind w:firstLine="723"/>
        <w:jc w:val="center"/>
        <w:rPr>
          <w:rFonts w:hint="eastAsia" w:ascii="仿宋" w:hAnsi="仿宋" w:eastAsia="仿宋" w:cs="仿宋"/>
          <w:b/>
          <w:color w:val="auto"/>
          <w:sz w:val="36"/>
          <w:szCs w:val="36"/>
          <w:highlight w:val="none"/>
        </w:rPr>
      </w:pPr>
    </w:p>
    <w:p w14:paraId="1C489612">
      <w:pPr>
        <w:spacing w:line="360" w:lineRule="auto"/>
        <w:ind w:firstLine="723"/>
        <w:jc w:val="center"/>
        <w:rPr>
          <w:rFonts w:hint="eastAsia" w:ascii="仿宋" w:hAnsi="仿宋" w:eastAsia="仿宋" w:cs="仿宋"/>
          <w:b/>
          <w:color w:val="auto"/>
          <w:sz w:val="36"/>
          <w:szCs w:val="36"/>
          <w:highlight w:val="none"/>
        </w:rPr>
      </w:pPr>
    </w:p>
    <w:p w14:paraId="6664C29A">
      <w:pPr>
        <w:spacing w:line="360" w:lineRule="auto"/>
        <w:ind w:firstLine="723"/>
        <w:jc w:val="center"/>
        <w:rPr>
          <w:rFonts w:hint="eastAsia" w:ascii="仿宋" w:hAnsi="仿宋" w:eastAsia="仿宋" w:cs="仿宋"/>
          <w:b/>
          <w:color w:val="auto"/>
          <w:sz w:val="36"/>
          <w:szCs w:val="36"/>
          <w:highlight w:val="none"/>
        </w:rPr>
      </w:pPr>
    </w:p>
    <w:p w14:paraId="2CC86DFE">
      <w:pPr>
        <w:pStyle w:val="3"/>
        <w:rPr>
          <w:rFonts w:hint="eastAsia" w:ascii="仿宋" w:hAnsi="仿宋" w:eastAsia="仿宋" w:cs="仿宋"/>
          <w:b/>
          <w:color w:val="auto"/>
          <w:sz w:val="36"/>
          <w:szCs w:val="36"/>
          <w:highlight w:val="none"/>
        </w:rPr>
      </w:pPr>
    </w:p>
    <w:p w14:paraId="705D4575">
      <w:pPr>
        <w:rPr>
          <w:rFonts w:hint="eastAsia" w:ascii="仿宋" w:hAnsi="仿宋" w:eastAsia="仿宋" w:cs="仿宋"/>
          <w:b/>
          <w:color w:val="auto"/>
          <w:sz w:val="36"/>
          <w:szCs w:val="36"/>
          <w:highlight w:val="none"/>
        </w:rPr>
      </w:pPr>
    </w:p>
    <w:p w14:paraId="54443719">
      <w:pPr>
        <w:pStyle w:val="3"/>
        <w:rPr>
          <w:rFonts w:hint="eastAsia" w:ascii="仿宋" w:hAnsi="仿宋" w:eastAsia="仿宋" w:cs="仿宋"/>
          <w:b/>
          <w:color w:val="auto"/>
          <w:sz w:val="36"/>
          <w:szCs w:val="36"/>
          <w:highlight w:val="none"/>
        </w:rPr>
      </w:pPr>
    </w:p>
    <w:p w14:paraId="11EFAF3D">
      <w:pPr>
        <w:rPr>
          <w:rFonts w:hint="eastAsia" w:ascii="仿宋" w:hAnsi="仿宋" w:eastAsia="仿宋" w:cs="仿宋"/>
          <w:b/>
          <w:color w:val="auto"/>
          <w:sz w:val="36"/>
          <w:szCs w:val="36"/>
          <w:highlight w:val="none"/>
        </w:rPr>
      </w:pPr>
    </w:p>
    <w:p w14:paraId="5CD49A61">
      <w:pPr>
        <w:spacing w:line="360" w:lineRule="auto"/>
        <w:ind w:firstLine="723"/>
        <w:jc w:val="center"/>
        <w:rPr>
          <w:rFonts w:ascii="仿宋" w:hAnsi="仿宋" w:eastAsia="仿宋" w:cs="仿宋"/>
          <w:b/>
          <w:bCs/>
          <w:color w:val="auto"/>
          <w:sz w:val="44"/>
          <w:szCs w:val="44"/>
          <w:highlight w:val="none"/>
        </w:rPr>
      </w:pPr>
      <w:r>
        <w:rPr>
          <w:rFonts w:hint="eastAsia" w:ascii="仿宋" w:hAnsi="仿宋" w:eastAsia="仿宋" w:cs="仿宋"/>
          <w:b/>
          <w:color w:val="auto"/>
          <w:sz w:val="36"/>
          <w:szCs w:val="36"/>
          <w:highlight w:val="none"/>
        </w:rPr>
        <w:t>第四章 采购需求</w:t>
      </w:r>
    </w:p>
    <w:p w14:paraId="010FCFDA">
      <w:pPr>
        <w:numPr>
          <w:ilvl w:val="0"/>
          <w:numId w:val="3"/>
        </w:numPr>
        <w:shd w:val="clear" w:color="auto" w:fill="auto"/>
        <w:spacing w:line="360" w:lineRule="auto"/>
        <w:ind w:firstLine="480" w:firstLineChars="200"/>
        <w:rPr>
          <w:rFonts w:hint="eastAsia" w:ascii="仿宋" w:hAnsi="仿宋" w:eastAsia="仿宋" w:cs="仿宋"/>
          <w:color w:val="auto"/>
          <w:sz w:val="24"/>
          <w:highlight w:val="none"/>
        </w:rPr>
      </w:pPr>
      <w:bookmarkStart w:id="5" w:name="_Toc325986592"/>
      <w:bookmarkStart w:id="6" w:name="_Toc236470252"/>
      <w:r>
        <w:rPr>
          <w:rFonts w:hint="eastAsia" w:ascii="仿宋" w:hAnsi="仿宋" w:eastAsia="仿宋" w:cs="仿宋"/>
          <w:color w:val="auto"/>
          <w:sz w:val="24"/>
          <w:highlight w:val="none"/>
        </w:rPr>
        <w:t>本次招标是为了确定</w:t>
      </w:r>
      <w:r>
        <w:rPr>
          <w:rFonts w:hint="eastAsia" w:ascii="仿宋" w:hAnsi="仿宋" w:eastAsia="仿宋" w:cs="仿宋"/>
          <w:color w:val="auto"/>
          <w:sz w:val="24"/>
          <w:highlight w:val="none"/>
          <w:lang w:eastAsia="zh-CN"/>
        </w:rPr>
        <w:t>浙江临昌交通新材料有限公司2025年度</w:t>
      </w:r>
      <w:r>
        <w:rPr>
          <w:rFonts w:hint="eastAsia" w:ascii="仿宋" w:hAnsi="仿宋" w:eastAsia="仿宋" w:cs="仿宋"/>
          <w:color w:val="auto"/>
          <w:sz w:val="24"/>
          <w:highlight w:val="none"/>
          <w:lang w:val="en-US" w:eastAsia="zh-CN"/>
        </w:rPr>
        <w:t>新矿粉</w:t>
      </w:r>
      <w:r>
        <w:rPr>
          <w:rFonts w:hint="eastAsia" w:ascii="仿宋" w:hAnsi="仿宋" w:eastAsia="仿宋" w:cs="仿宋"/>
          <w:color w:val="auto"/>
          <w:sz w:val="24"/>
          <w:highlight w:val="none"/>
          <w:lang w:eastAsia="zh-CN"/>
        </w:rPr>
        <w:t>采购</w:t>
      </w:r>
      <w:r>
        <w:rPr>
          <w:rFonts w:hint="eastAsia" w:ascii="仿宋" w:hAnsi="仿宋" w:eastAsia="仿宋" w:cs="仿宋"/>
          <w:color w:val="auto"/>
          <w:sz w:val="24"/>
          <w:szCs w:val="24"/>
          <w:highlight w:val="none"/>
          <w:u w:val="none"/>
          <w:lang w:eastAsia="zh-CN"/>
        </w:rPr>
        <w:t>（</w:t>
      </w:r>
      <w:r>
        <w:rPr>
          <w:rFonts w:hint="eastAsia" w:ascii="仿宋" w:hAnsi="仿宋" w:eastAsia="仿宋" w:cs="仿宋"/>
          <w:color w:val="auto"/>
          <w:sz w:val="24"/>
          <w:szCs w:val="24"/>
          <w:highlight w:val="none"/>
          <w:u w:val="none"/>
          <w:lang w:val="en-US" w:eastAsia="zh-CN"/>
        </w:rPr>
        <w:t>重新招标</w:t>
      </w:r>
      <w:r>
        <w:rPr>
          <w:rFonts w:hint="eastAsia" w:ascii="仿宋" w:hAnsi="仿宋" w:eastAsia="仿宋" w:cs="仿宋"/>
          <w:color w:val="auto"/>
          <w:sz w:val="24"/>
          <w:szCs w:val="24"/>
          <w:highlight w:val="none"/>
          <w:u w:val="none"/>
          <w:lang w:eastAsia="zh-CN"/>
        </w:rPr>
        <w:t>）</w:t>
      </w:r>
      <w:r>
        <w:rPr>
          <w:rFonts w:hint="eastAsia" w:ascii="仿宋" w:hAnsi="仿宋" w:eastAsia="仿宋" w:cs="仿宋"/>
          <w:color w:val="auto"/>
          <w:sz w:val="24"/>
          <w:highlight w:val="none"/>
        </w:rPr>
        <w:t>供应商</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成交1家单位</w:t>
      </w:r>
      <w:r>
        <w:rPr>
          <w:rFonts w:hint="eastAsia" w:ascii="仿宋" w:hAnsi="仿宋" w:eastAsia="仿宋" w:cs="仿宋"/>
          <w:color w:val="auto"/>
          <w:sz w:val="24"/>
          <w:highlight w:val="none"/>
        </w:rPr>
        <w:t>。</w:t>
      </w:r>
    </w:p>
    <w:p w14:paraId="4E3E9303">
      <w:pPr>
        <w:numPr>
          <w:ilvl w:val="0"/>
          <w:numId w:val="0"/>
        </w:numPr>
        <w:shd w:val="clear" w:color="auto" w:fill="auto"/>
        <w:spacing w:line="360" w:lineRule="auto"/>
        <w:ind w:firstLine="482" w:firstLineChars="200"/>
        <w:rPr>
          <w:rFonts w:hint="eastAsia" w:ascii="仿宋" w:hAnsi="仿宋" w:eastAsia="仿宋" w:cs="仿宋"/>
          <w:color w:val="auto"/>
          <w:sz w:val="24"/>
          <w:highlight w:val="none"/>
          <w:lang w:eastAsia="zh-CN"/>
        </w:rPr>
      </w:pPr>
      <w:r>
        <w:rPr>
          <w:rFonts w:hint="eastAsia" w:ascii="仿宋" w:hAnsi="仿宋" w:eastAsia="仿宋" w:cs="仿宋"/>
          <w:b/>
          <w:bCs/>
          <w:color w:val="auto"/>
          <w:sz w:val="24"/>
          <w:highlight w:val="none"/>
          <w:lang w:eastAsia="zh-CN"/>
        </w:rPr>
        <w:t>二</w:t>
      </w:r>
      <w:r>
        <w:rPr>
          <w:rFonts w:hint="eastAsia" w:ascii="仿宋" w:hAnsi="仿宋" w:eastAsia="仿宋" w:cs="仿宋"/>
          <w:color w:val="auto"/>
          <w:sz w:val="24"/>
          <w:highlight w:val="none"/>
        </w:rPr>
        <w:t>、供货期为合同签订之日起1年；交货期要求：供应商</w:t>
      </w:r>
      <w:r>
        <w:rPr>
          <w:rFonts w:hint="eastAsia" w:ascii="仿宋" w:hAnsi="仿宋" w:eastAsia="仿宋" w:cs="仿宋"/>
          <w:bCs/>
          <w:color w:val="auto"/>
          <w:sz w:val="24"/>
          <w:highlight w:val="none"/>
        </w:rPr>
        <w:t>根据</w:t>
      </w:r>
      <w:r>
        <w:rPr>
          <w:rFonts w:hint="eastAsia" w:ascii="仿宋" w:hAnsi="仿宋" w:eastAsia="仿宋" w:cs="仿宋"/>
          <w:bCs/>
          <w:color w:val="auto"/>
          <w:sz w:val="24"/>
          <w:highlight w:val="none"/>
          <w:lang w:eastAsia="zh-CN"/>
        </w:rPr>
        <w:t>采购人</w:t>
      </w:r>
      <w:r>
        <w:rPr>
          <w:rFonts w:hint="eastAsia" w:ascii="仿宋" w:hAnsi="仿宋" w:eastAsia="仿宋" w:cs="仿宋"/>
          <w:bCs/>
          <w:color w:val="auto"/>
          <w:sz w:val="24"/>
          <w:highlight w:val="none"/>
        </w:rPr>
        <w:t>需要，接到</w:t>
      </w:r>
      <w:r>
        <w:rPr>
          <w:rFonts w:hint="eastAsia" w:ascii="仿宋" w:hAnsi="仿宋" w:eastAsia="仿宋" w:cs="仿宋"/>
          <w:bCs/>
          <w:color w:val="auto"/>
          <w:sz w:val="24"/>
          <w:highlight w:val="none"/>
          <w:lang w:eastAsia="zh-CN"/>
        </w:rPr>
        <w:t>采购人</w:t>
      </w:r>
      <w:r>
        <w:rPr>
          <w:rFonts w:hint="eastAsia" w:ascii="仿宋" w:hAnsi="仿宋" w:eastAsia="仿宋" w:cs="仿宋"/>
          <w:bCs/>
          <w:color w:val="auto"/>
          <w:sz w:val="24"/>
          <w:highlight w:val="none"/>
        </w:rPr>
        <w:t>供货电话后24小时内保证送货至指定地点（包括零星小批量送货、以</w:t>
      </w:r>
      <w:r>
        <w:rPr>
          <w:rFonts w:hint="eastAsia" w:ascii="仿宋" w:hAnsi="仿宋" w:eastAsia="仿宋" w:cs="仿宋"/>
          <w:bCs/>
          <w:color w:val="auto"/>
          <w:sz w:val="24"/>
          <w:highlight w:val="none"/>
          <w:lang w:eastAsia="zh-CN"/>
        </w:rPr>
        <w:t>采购人</w:t>
      </w:r>
      <w:r>
        <w:rPr>
          <w:rFonts w:hint="eastAsia" w:ascii="仿宋" w:hAnsi="仿宋" w:eastAsia="仿宋" w:cs="仿宋"/>
          <w:color w:val="auto"/>
          <w:sz w:val="24"/>
          <w:highlight w:val="none"/>
          <w:lang w:eastAsia="zh-CN"/>
        </w:rPr>
        <w:t>要求为准），并须有采购人当场验收确认。</w:t>
      </w:r>
    </w:p>
    <w:p w14:paraId="751EC625">
      <w:pPr>
        <w:spacing w:line="440" w:lineRule="exact"/>
        <w:ind w:firstLine="482" w:firstLineChars="200"/>
        <w:rPr>
          <w:rFonts w:hint="default"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三</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lang w:val="en-US" w:eastAsia="zh-CN"/>
        </w:rPr>
        <w:t>采购清单及参数指标要求</w:t>
      </w:r>
    </w:p>
    <w:p w14:paraId="51D2661D">
      <w:pPr>
        <w:spacing w:line="440" w:lineRule="exact"/>
        <w:ind w:firstLine="482" w:firstLineChars="200"/>
        <w:jc w:val="center"/>
        <w:rPr>
          <w:rFonts w:hint="eastAsia" w:ascii="宋体" w:hAnsi="宋体" w:cs="宋体"/>
          <w:b/>
          <w:sz w:val="24"/>
        </w:rPr>
      </w:pPr>
      <w:r>
        <w:rPr>
          <w:rFonts w:hint="eastAsia" w:ascii="仿宋" w:hAnsi="仿宋" w:eastAsia="仿宋" w:cs="仿宋"/>
          <w:b/>
          <w:bCs/>
          <w:color w:val="auto"/>
          <w:sz w:val="24"/>
          <w:highlight w:val="none"/>
          <w:lang w:val="en-US" w:eastAsia="zh-CN"/>
        </w:rPr>
        <w:t>采购清单</w:t>
      </w:r>
    </w:p>
    <w:tbl>
      <w:tblPr>
        <w:tblStyle w:val="27"/>
        <w:tblW w:w="9057" w:type="dxa"/>
        <w:tblInd w:w="17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1725"/>
        <w:gridCol w:w="1434"/>
        <w:gridCol w:w="5110"/>
      </w:tblGrid>
      <w:tr w14:paraId="30E5D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trPr>
        <w:tc>
          <w:tcPr>
            <w:tcW w:w="788" w:type="dxa"/>
            <w:tcBorders>
              <w:top w:val="single" w:color="auto" w:sz="4" w:space="0"/>
              <w:left w:val="single" w:color="auto" w:sz="4" w:space="0"/>
              <w:bottom w:val="single" w:color="auto" w:sz="4" w:space="0"/>
              <w:right w:val="single" w:color="auto" w:sz="4" w:space="0"/>
            </w:tcBorders>
            <w:noWrap w:val="0"/>
            <w:vAlign w:val="center"/>
          </w:tcPr>
          <w:p w14:paraId="200B4223">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0" w:firstLineChars="0"/>
              <w:jc w:val="left"/>
              <w:textAlignment w:val="auto"/>
              <w:rPr>
                <w:rFonts w:hint="eastAsia" w:ascii="仿宋" w:hAnsi="仿宋" w:eastAsia="仿宋" w:cs="仿宋"/>
                <w:b w:val="0"/>
                <w:bCs/>
                <w:color w:val="auto"/>
                <w:kern w:val="2"/>
                <w:sz w:val="24"/>
                <w:szCs w:val="22"/>
                <w:highlight w:val="none"/>
              </w:rPr>
            </w:pPr>
            <w:r>
              <w:rPr>
                <w:rFonts w:hint="eastAsia" w:ascii="仿宋" w:hAnsi="仿宋" w:eastAsia="仿宋" w:cs="仿宋"/>
                <w:b w:val="0"/>
                <w:bCs/>
                <w:color w:val="auto"/>
                <w:kern w:val="2"/>
                <w:sz w:val="24"/>
                <w:szCs w:val="22"/>
                <w:highlight w:val="none"/>
              </w:rPr>
              <w:t>序号</w:t>
            </w:r>
          </w:p>
        </w:tc>
        <w:tc>
          <w:tcPr>
            <w:tcW w:w="1725" w:type="dxa"/>
            <w:tcBorders>
              <w:top w:val="single" w:color="auto" w:sz="4" w:space="0"/>
              <w:left w:val="nil"/>
              <w:bottom w:val="single" w:color="auto" w:sz="4" w:space="0"/>
              <w:right w:val="single" w:color="auto" w:sz="4" w:space="0"/>
            </w:tcBorders>
            <w:noWrap w:val="0"/>
            <w:vAlign w:val="center"/>
          </w:tcPr>
          <w:p w14:paraId="042F80C9">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b w:val="0"/>
                <w:bCs/>
                <w:color w:val="auto"/>
                <w:kern w:val="2"/>
                <w:sz w:val="24"/>
                <w:szCs w:val="22"/>
                <w:highlight w:val="none"/>
              </w:rPr>
            </w:pPr>
            <w:r>
              <w:rPr>
                <w:rFonts w:hint="eastAsia" w:ascii="仿宋" w:hAnsi="仿宋" w:eastAsia="仿宋" w:cs="仿宋"/>
                <w:b w:val="0"/>
                <w:bCs/>
                <w:color w:val="auto"/>
                <w:kern w:val="2"/>
                <w:sz w:val="24"/>
                <w:szCs w:val="22"/>
                <w:highlight w:val="none"/>
                <w:lang w:val="en-US" w:eastAsia="zh-CN"/>
              </w:rPr>
              <w:t>材料</w:t>
            </w:r>
            <w:r>
              <w:rPr>
                <w:rFonts w:hint="eastAsia" w:ascii="仿宋" w:hAnsi="仿宋" w:eastAsia="仿宋" w:cs="仿宋"/>
                <w:b w:val="0"/>
                <w:bCs/>
                <w:color w:val="auto"/>
                <w:kern w:val="2"/>
                <w:sz w:val="24"/>
                <w:szCs w:val="22"/>
                <w:highlight w:val="none"/>
              </w:rPr>
              <w:t>名称</w:t>
            </w:r>
          </w:p>
        </w:tc>
        <w:tc>
          <w:tcPr>
            <w:tcW w:w="1434" w:type="dxa"/>
            <w:tcBorders>
              <w:top w:val="single" w:color="auto" w:sz="4" w:space="0"/>
              <w:left w:val="nil"/>
              <w:bottom w:val="single" w:color="auto" w:sz="4" w:space="0"/>
              <w:right w:val="single" w:color="auto" w:sz="4" w:space="0"/>
            </w:tcBorders>
            <w:noWrap w:val="0"/>
            <w:vAlign w:val="center"/>
          </w:tcPr>
          <w:p w14:paraId="47AE0CC4">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b w:val="0"/>
                <w:bCs/>
                <w:color w:val="auto"/>
                <w:kern w:val="2"/>
                <w:sz w:val="24"/>
                <w:szCs w:val="22"/>
                <w:highlight w:val="none"/>
                <w:lang w:eastAsia="zh-CN"/>
              </w:rPr>
            </w:pPr>
            <w:r>
              <w:rPr>
                <w:rFonts w:hint="eastAsia" w:ascii="仿宋" w:hAnsi="仿宋" w:eastAsia="仿宋" w:cs="仿宋"/>
                <w:b w:val="0"/>
                <w:bCs/>
                <w:color w:val="auto"/>
                <w:kern w:val="2"/>
                <w:sz w:val="24"/>
                <w:szCs w:val="22"/>
                <w:highlight w:val="none"/>
              </w:rPr>
              <w:t>数量</w:t>
            </w:r>
            <w:r>
              <w:rPr>
                <w:rFonts w:hint="eastAsia" w:ascii="仿宋" w:hAnsi="仿宋" w:eastAsia="仿宋" w:cs="仿宋"/>
                <w:b w:val="0"/>
                <w:bCs/>
                <w:color w:val="auto"/>
                <w:kern w:val="2"/>
                <w:sz w:val="24"/>
                <w:szCs w:val="22"/>
                <w:highlight w:val="none"/>
                <w:lang w:eastAsia="zh-CN"/>
              </w:rPr>
              <w:t>（</w:t>
            </w:r>
            <w:r>
              <w:rPr>
                <w:rFonts w:hint="eastAsia" w:ascii="仿宋" w:hAnsi="仿宋" w:eastAsia="仿宋" w:cs="仿宋"/>
                <w:b w:val="0"/>
                <w:bCs/>
                <w:color w:val="auto"/>
                <w:kern w:val="2"/>
                <w:sz w:val="24"/>
                <w:szCs w:val="22"/>
                <w:highlight w:val="none"/>
                <w:lang w:val="en-US" w:eastAsia="zh-CN"/>
              </w:rPr>
              <w:t>吨</w:t>
            </w:r>
            <w:r>
              <w:rPr>
                <w:rFonts w:hint="eastAsia" w:ascii="仿宋" w:hAnsi="仿宋" w:eastAsia="仿宋" w:cs="仿宋"/>
                <w:b w:val="0"/>
                <w:bCs/>
                <w:color w:val="auto"/>
                <w:kern w:val="2"/>
                <w:sz w:val="24"/>
                <w:szCs w:val="22"/>
                <w:highlight w:val="none"/>
                <w:lang w:eastAsia="zh-CN"/>
              </w:rPr>
              <w:t>）</w:t>
            </w:r>
          </w:p>
        </w:tc>
        <w:tc>
          <w:tcPr>
            <w:tcW w:w="5110" w:type="dxa"/>
            <w:tcBorders>
              <w:top w:val="single" w:color="auto" w:sz="4" w:space="0"/>
              <w:left w:val="nil"/>
              <w:bottom w:val="single" w:color="auto" w:sz="4" w:space="0"/>
              <w:right w:val="single" w:color="auto" w:sz="4" w:space="0"/>
            </w:tcBorders>
            <w:noWrap w:val="0"/>
            <w:vAlign w:val="center"/>
          </w:tcPr>
          <w:p w14:paraId="009B5384">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b w:val="0"/>
                <w:bCs/>
                <w:color w:val="auto"/>
                <w:kern w:val="2"/>
                <w:sz w:val="24"/>
                <w:szCs w:val="22"/>
                <w:highlight w:val="none"/>
              </w:rPr>
            </w:pPr>
            <w:r>
              <w:rPr>
                <w:rFonts w:hint="eastAsia" w:ascii="仿宋" w:hAnsi="仿宋" w:eastAsia="仿宋" w:cs="仿宋"/>
                <w:b w:val="0"/>
                <w:bCs/>
                <w:color w:val="auto"/>
                <w:kern w:val="2"/>
                <w:sz w:val="24"/>
                <w:szCs w:val="22"/>
                <w:highlight w:val="none"/>
              </w:rPr>
              <w:t>备注</w:t>
            </w:r>
          </w:p>
        </w:tc>
      </w:tr>
      <w:tr w14:paraId="52D45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trPr>
        <w:tc>
          <w:tcPr>
            <w:tcW w:w="788" w:type="dxa"/>
            <w:tcBorders>
              <w:top w:val="single" w:color="auto" w:sz="4" w:space="0"/>
              <w:left w:val="single" w:color="auto" w:sz="4" w:space="0"/>
              <w:bottom w:val="single" w:color="auto" w:sz="4" w:space="0"/>
              <w:right w:val="single" w:color="auto" w:sz="4" w:space="0"/>
            </w:tcBorders>
            <w:noWrap w:val="0"/>
            <w:vAlign w:val="center"/>
          </w:tcPr>
          <w:p w14:paraId="264F51DF">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left"/>
              <w:textAlignment w:val="auto"/>
              <w:rPr>
                <w:rFonts w:hint="eastAsia" w:ascii="仿宋" w:hAnsi="仿宋" w:eastAsia="仿宋" w:cs="仿宋"/>
                <w:b w:val="0"/>
                <w:bCs/>
                <w:color w:val="auto"/>
                <w:kern w:val="2"/>
                <w:sz w:val="24"/>
                <w:szCs w:val="22"/>
                <w:highlight w:val="none"/>
              </w:rPr>
            </w:pPr>
            <w:r>
              <w:rPr>
                <w:rFonts w:hint="eastAsia" w:ascii="仿宋" w:hAnsi="仿宋" w:eastAsia="仿宋" w:cs="仿宋"/>
                <w:b w:val="0"/>
                <w:bCs/>
                <w:color w:val="auto"/>
                <w:kern w:val="2"/>
                <w:sz w:val="24"/>
                <w:szCs w:val="22"/>
                <w:highlight w:val="none"/>
              </w:rPr>
              <w:t>1</w:t>
            </w:r>
          </w:p>
        </w:tc>
        <w:tc>
          <w:tcPr>
            <w:tcW w:w="1725" w:type="dxa"/>
            <w:tcBorders>
              <w:top w:val="single" w:color="auto" w:sz="4" w:space="0"/>
              <w:left w:val="nil"/>
              <w:bottom w:val="single" w:color="auto" w:sz="4" w:space="0"/>
              <w:right w:val="single" w:color="auto" w:sz="4" w:space="0"/>
            </w:tcBorders>
            <w:noWrap w:val="0"/>
            <w:vAlign w:val="center"/>
          </w:tcPr>
          <w:p w14:paraId="66F34CD7">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b w:val="0"/>
                <w:bCs/>
                <w:color w:val="auto"/>
                <w:kern w:val="2"/>
                <w:sz w:val="24"/>
                <w:szCs w:val="22"/>
                <w:highlight w:val="none"/>
              </w:rPr>
            </w:pPr>
            <w:r>
              <w:rPr>
                <w:rFonts w:hint="eastAsia" w:ascii="仿宋" w:hAnsi="仿宋" w:eastAsia="仿宋" w:cs="仿宋"/>
                <w:b w:val="0"/>
                <w:bCs/>
                <w:color w:val="auto"/>
                <w:sz w:val="24"/>
                <w:highlight w:val="none"/>
                <w:lang w:val="en-US" w:eastAsia="zh-CN"/>
              </w:rPr>
              <w:t>新</w:t>
            </w:r>
            <w:r>
              <w:rPr>
                <w:rFonts w:hint="eastAsia" w:ascii="仿宋" w:hAnsi="仿宋" w:eastAsia="仿宋" w:cs="仿宋"/>
                <w:b w:val="0"/>
                <w:bCs/>
                <w:color w:val="auto"/>
                <w:sz w:val="24"/>
                <w:highlight w:val="none"/>
                <w:lang w:eastAsia="zh-CN"/>
              </w:rPr>
              <w:t>矿粉</w:t>
            </w:r>
          </w:p>
        </w:tc>
        <w:tc>
          <w:tcPr>
            <w:tcW w:w="1434" w:type="dxa"/>
            <w:tcBorders>
              <w:top w:val="single" w:color="auto" w:sz="4" w:space="0"/>
              <w:left w:val="nil"/>
              <w:bottom w:val="single" w:color="auto" w:sz="4" w:space="0"/>
              <w:right w:val="single" w:color="auto" w:sz="4" w:space="0"/>
            </w:tcBorders>
            <w:noWrap w:val="0"/>
            <w:vAlign w:val="center"/>
          </w:tcPr>
          <w:p w14:paraId="7E79C636">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约2800</w:t>
            </w:r>
          </w:p>
        </w:tc>
        <w:tc>
          <w:tcPr>
            <w:tcW w:w="5110" w:type="dxa"/>
            <w:tcBorders>
              <w:top w:val="single" w:color="auto" w:sz="4" w:space="0"/>
              <w:left w:val="nil"/>
              <w:bottom w:val="single" w:color="auto" w:sz="4" w:space="0"/>
              <w:right w:val="single" w:color="auto" w:sz="4" w:space="0"/>
            </w:tcBorders>
            <w:noWrap w:val="0"/>
            <w:vAlign w:val="center"/>
          </w:tcPr>
          <w:p w14:paraId="559E993B">
            <w:pPr>
              <w:keepNext w:val="0"/>
              <w:keepLines w:val="0"/>
              <w:pageBreakBefore w:val="0"/>
              <w:widowControl/>
              <w:kinsoku/>
              <w:wordWrap/>
              <w:overflowPunct/>
              <w:topLinePunct w:val="0"/>
              <w:autoSpaceDE/>
              <w:autoSpaceDN/>
              <w:bidi w:val="0"/>
              <w:adjustRightInd/>
              <w:snapToGrid w:val="0"/>
              <w:spacing w:line="440" w:lineRule="exact"/>
              <w:ind w:firstLine="0" w:firstLineChars="0"/>
              <w:textAlignment w:val="auto"/>
              <w:outlineLvl w:val="0"/>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sz w:val="24"/>
                <w:szCs w:val="22"/>
                <w:highlight w:val="none"/>
                <w:lang w:val="en-US" w:eastAsia="zh-CN"/>
              </w:rPr>
              <w:t>1.合同实施期间，数量以实际供货数量为准；2.合同执行期限内，综合单价不调整，不随数量、材料人工市场波动等的变动而调整。</w:t>
            </w:r>
          </w:p>
        </w:tc>
      </w:tr>
    </w:tbl>
    <w:p w14:paraId="2894F58F">
      <w:pPr>
        <w:spacing w:line="440" w:lineRule="exact"/>
        <w:ind w:firstLine="482" w:firstLineChars="200"/>
        <w:rPr>
          <w:rFonts w:hint="eastAsia" w:ascii="仿宋" w:hAnsi="仿宋" w:eastAsia="仿宋" w:cs="仿宋"/>
          <w:b/>
          <w:bCs/>
          <w:color w:val="auto"/>
          <w:sz w:val="24"/>
          <w:highlight w:val="none"/>
          <w:lang w:val="en-US" w:eastAsia="zh-CN"/>
        </w:rPr>
      </w:pPr>
    </w:p>
    <w:p w14:paraId="1C65F637">
      <w:pPr>
        <w:pStyle w:val="2"/>
        <w:jc w:val="center"/>
        <w:rPr>
          <w:rFonts w:hint="default"/>
          <w:lang w:val="en-US" w:eastAsia="zh-CN"/>
        </w:rPr>
      </w:pPr>
      <w:r>
        <w:rPr>
          <w:rFonts w:hint="eastAsia" w:ascii="仿宋" w:hAnsi="仿宋" w:eastAsia="仿宋" w:cs="仿宋"/>
          <w:b/>
          <w:bCs/>
          <w:color w:val="auto"/>
          <w:sz w:val="24"/>
          <w:highlight w:val="none"/>
          <w:lang w:val="en-US" w:eastAsia="zh-CN"/>
        </w:rPr>
        <w:t>参数指标要求</w:t>
      </w:r>
    </w:p>
    <w:tbl>
      <w:tblPr>
        <w:tblStyle w:val="27"/>
        <w:tblW w:w="9057" w:type="dxa"/>
        <w:tblInd w:w="17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8"/>
        <w:gridCol w:w="1678"/>
        <w:gridCol w:w="1404"/>
        <w:gridCol w:w="2496"/>
        <w:gridCol w:w="2371"/>
      </w:tblGrid>
      <w:tr w14:paraId="09EEE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trPr>
        <w:tc>
          <w:tcPr>
            <w:tcW w:w="2786" w:type="dxa"/>
            <w:gridSpan w:val="2"/>
            <w:tcBorders>
              <w:top w:val="single" w:color="auto" w:sz="4" w:space="0"/>
              <w:left w:val="single" w:color="auto" w:sz="4" w:space="0"/>
              <w:bottom w:val="single" w:color="auto" w:sz="4" w:space="0"/>
              <w:right w:val="single" w:color="auto" w:sz="4" w:space="0"/>
            </w:tcBorders>
            <w:noWrap w:val="0"/>
            <w:vAlign w:val="center"/>
          </w:tcPr>
          <w:p w14:paraId="32C5E46F">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0" w:firstLineChars="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试验项目</w:t>
            </w:r>
          </w:p>
        </w:tc>
        <w:tc>
          <w:tcPr>
            <w:tcW w:w="1404" w:type="dxa"/>
            <w:tcBorders>
              <w:top w:val="single" w:color="auto" w:sz="4" w:space="0"/>
              <w:left w:val="nil"/>
              <w:bottom w:val="single" w:color="auto" w:sz="4" w:space="0"/>
              <w:right w:val="single" w:color="auto" w:sz="4" w:space="0"/>
            </w:tcBorders>
            <w:noWrap w:val="0"/>
            <w:vAlign w:val="center"/>
          </w:tcPr>
          <w:p w14:paraId="0CC24938">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单位</w:t>
            </w:r>
          </w:p>
        </w:tc>
        <w:tc>
          <w:tcPr>
            <w:tcW w:w="2496" w:type="dxa"/>
            <w:tcBorders>
              <w:top w:val="single" w:color="auto" w:sz="4" w:space="0"/>
              <w:left w:val="nil"/>
              <w:bottom w:val="single" w:color="auto" w:sz="4" w:space="0"/>
              <w:right w:val="single" w:color="auto" w:sz="4" w:space="0"/>
            </w:tcBorders>
            <w:noWrap w:val="0"/>
            <w:vAlign w:val="center"/>
          </w:tcPr>
          <w:p w14:paraId="6D46CC7C">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0" w:firstLineChars="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技术要求</w:t>
            </w:r>
          </w:p>
        </w:tc>
        <w:tc>
          <w:tcPr>
            <w:tcW w:w="2371" w:type="dxa"/>
            <w:tcBorders>
              <w:top w:val="single" w:color="auto" w:sz="4" w:space="0"/>
              <w:left w:val="nil"/>
              <w:bottom w:val="single" w:color="auto" w:sz="4" w:space="0"/>
              <w:right w:val="single" w:color="auto" w:sz="4" w:space="0"/>
            </w:tcBorders>
            <w:noWrap w:val="0"/>
            <w:vAlign w:val="center"/>
          </w:tcPr>
          <w:p w14:paraId="3520A2F5">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b w:val="0"/>
                <w:bCs/>
                <w:color w:val="auto"/>
                <w:kern w:val="2"/>
                <w:sz w:val="24"/>
                <w:szCs w:val="22"/>
                <w:highlight w:val="none"/>
                <w:lang w:eastAsia="zh-CN"/>
              </w:rPr>
            </w:pPr>
            <w:r>
              <w:rPr>
                <w:rFonts w:hint="eastAsia" w:ascii="仿宋" w:hAnsi="仿宋" w:eastAsia="仿宋" w:cs="仿宋"/>
                <w:b w:val="0"/>
                <w:bCs/>
                <w:color w:val="auto"/>
                <w:kern w:val="2"/>
                <w:sz w:val="24"/>
                <w:szCs w:val="22"/>
                <w:highlight w:val="none"/>
                <w:lang w:val="en-US" w:eastAsia="zh-CN"/>
              </w:rPr>
              <w:t>试验方法</w:t>
            </w:r>
          </w:p>
        </w:tc>
      </w:tr>
      <w:tr w14:paraId="56169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trPr>
        <w:tc>
          <w:tcPr>
            <w:tcW w:w="2786" w:type="dxa"/>
            <w:gridSpan w:val="2"/>
            <w:tcBorders>
              <w:top w:val="single" w:color="auto" w:sz="4" w:space="0"/>
              <w:left w:val="single" w:color="auto" w:sz="4" w:space="0"/>
              <w:bottom w:val="single" w:color="auto" w:sz="4" w:space="0"/>
              <w:right w:val="single" w:color="auto" w:sz="4" w:space="0"/>
            </w:tcBorders>
            <w:noWrap w:val="0"/>
            <w:vAlign w:val="center"/>
          </w:tcPr>
          <w:p w14:paraId="35F691B1">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表观相对密度</w:t>
            </w:r>
          </w:p>
        </w:tc>
        <w:tc>
          <w:tcPr>
            <w:tcW w:w="1404" w:type="dxa"/>
            <w:tcBorders>
              <w:top w:val="single" w:color="auto" w:sz="4" w:space="0"/>
              <w:left w:val="nil"/>
              <w:bottom w:val="single" w:color="auto" w:sz="4" w:space="0"/>
              <w:right w:val="single" w:color="auto" w:sz="4" w:space="0"/>
            </w:tcBorders>
            <w:noWrap w:val="0"/>
            <w:vAlign w:val="center"/>
          </w:tcPr>
          <w:p w14:paraId="71B39377">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center"/>
              <w:textAlignment w:val="auto"/>
              <w:rPr>
                <w:rFonts w:hint="eastAsia"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w:t>
            </w:r>
          </w:p>
        </w:tc>
        <w:tc>
          <w:tcPr>
            <w:tcW w:w="2496" w:type="dxa"/>
            <w:tcBorders>
              <w:top w:val="single" w:color="auto" w:sz="4" w:space="0"/>
              <w:left w:val="nil"/>
              <w:bottom w:val="single" w:color="auto" w:sz="4" w:space="0"/>
              <w:right w:val="single" w:color="auto" w:sz="4" w:space="0"/>
            </w:tcBorders>
            <w:noWrap w:val="0"/>
            <w:vAlign w:val="center"/>
          </w:tcPr>
          <w:p w14:paraId="76981693">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≤2.60</w:t>
            </w:r>
          </w:p>
        </w:tc>
        <w:tc>
          <w:tcPr>
            <w:tcW w:w="2371" w:type="dxa"/>
            <w:tcBorders>
              <w:top w:val="single" w:color="auto" w:sz="4" w:space="0"/>
              <w:left w:val="nil"/>
              <w:bottom w:val="single" w:color="auto" w:sz="4" w:space="0"/>
              <w:right w:val="single" w:color="auto" w:sz="4" w:space="0"/>
            </w:tcBorders>
            <w:noWrap w:val="0"/>
            <w:vAlign w:val="center"/>
          </w:tcPr>
          <w:p w14:paraId="4777F6AB">
            <w:pPr>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firstLine="240" w:firstLineChars="100"/>
              <w:jc w:val="center"/>
              <w:textAlignment w:val="auto"/>
              <w:outlineLvl w:val="9"/>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T0352</w:t>
            </w:r>
          </w:p>
        </w:tc>
      </w:tr>
      <w:tr w14:paraId="7EDDA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trPr>
        <w:tc>
          <w:tcPr>
            <w:tcW w:w="2786" w:type="dxa"/>
            <w:gridSpan w:val="2"/>
            <w:tcBorders>
              <w:top w:val="single" w:color="auto" w:sz="4" w:space="0"/>
              <w:left w:val="single" w:color="auto" w:sz="4" w:space="0"/>
              <w:bottom w:val="single" w:color="auto" w:sz="4" w:space="0"/>
              <w:right w:val="single" w:color="auto" w:sz="4" w:space="0"/>
            </w:tcBorders>
            <w:noWrap w:val="0"/>
            <w:vAlign w:val="center"/>
          </w:tcPr>
          <w:p w14:paraId="67155EAB">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含水量</w:t>
            </w:r>
          </w:p>
        </w:tc>
        <w:tc>
          <w:tcPr>
            <w:tcW w:w="1404" w:type="dxa"/>
            <w:tcBorders>
              <w:top w:val="single" w:color="auto" w:sz="4" w:space="0"/>
              <w:left w:val="nil"/>
              <w:bottom w:val="single" w:color="auto" w:sz="4" w:space="0"/>
              <w:right w:val="single" w:color="auto" w:sz="4" w:space="0"/>
            </w:tcBorders>
            <w:noWrap w:val="0"/>
            <w:vAlign w:val="center"/>
          </w:tcPr>
          <w:p w14:paraId="485277ED">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center"/>
              <w:textAlignment w:val="auto"/>
              <w:rPr>
                <w:rFonts w:hint="eastAsia"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w:t>
            </w:r>
          </w:p>
        </w:tc>
        <w:tc>
          <w:tcPr>
            <w:tcW w:w="2496" w:type="dxa"/>
            <w:tcBorders>
              <w:top w:val="single" w:color="auto" w:sz="4" w:space="0"/>
              <w:left w:val="nil"/>
              <w:bottom w:val="single" w:color="auto" w:sz="4" w:space="0"/>
              <w:right w:val="single" w:color="auto" w:sz="4" w:space="0"/>
            </w:tcBorders>
            <w:noWrap w:val="0"/>
            <w:vAlign w:val="center"/>
          </w:tcPr>
          <w:p w14:paraId="73B7720D">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≤1</w:t>
            </w:r>
          </w:p>
        </w:tc>
        <w:tc>
          <w:tcPr>
            <w:tcW w:w="2371" w:type="dxa"/>
            <w:tcBorders>
              <w:top w:val="single" w:color="auto" w:sz="4" w:space="0"/>
              <w:left w:val="nil"/>
              <w:bottom w:val="single" w:color="auto" w:sz="4" w:space="0"/>
              <w:right w:val="single" w:color="auto" w:sz="4" w:space="0"/>
            </w:tcBorders>
            <w:noWrap w:val="0"/>
            <w:vAlign w:val="center"/>
          </w:tcPr>
          <w:p w14:paraId="7594E2CA">
            <w:pPr>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firstLine="240" w:firstLineChars="100"/>
              <w:jc w:val="center"/>
              <w:textAlignment w:val="auto"/>
              <w:outlineLvl w:val="9"/>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T0103</w:t>
            </w:r>
          </w:p>
        </w:tc>
      </w:tr>
      <w:tr w14:paraId="4C084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trPr>
        <w:tc>
          <w:tcPr>
            <w:tcW w:w="2786" w:type="dxa"/>
            <w:gridSpan w:val="2"/>
            <w:tcBorders>
              <w:top w:val="single" w:color="auto" w:sz="4" w:space="0"/>
              <w:left w:val="single" w:color="auto" w:sz="4" w:space="0"/>
              <w:bottom w:val="single" w:color="auto" w:sz="4" w:space="0"/>
              <w:right w:val="single" w:color="auto" w:sz="4" w:space="0"/>
            </w:tcBorders>
            <w:noWrap w:val="0"/>
            <w:vAlign w:val="center"/>
          </w:tcPr>
          <w:p w14:paraId="25E36BA9">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center"/>
              <w:textAlignment w:val="auto"/>
              <w:rPr>
                <w:rFonts w:hint="eastAsia"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外观</w:t>
            </w:r>
          </w:p>
        </w:tc>
        <w:tc>
          <w:tcPr>
            <w:tcW w:w="1404" w:type="dxa"/>
            <w:tcBorders>
              <w:top w:val="single" w:color="auto" w:sz="4" w:space="0"/>
              <w:left w:val="nil"/>
              <w:bottom w:val="single" w:color="auto" w:sz="4" w:space="0"/>
              <w:right w:val="single" w:color="auto" w:sz="4" w:space="0"/>
            </w:tcBorders>
            <w:noWrap w:val="0"/>
            <w:vAlign w:val="center"/>
          </w:tcPr>
          <w:p w14:paraId="53698D86">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center"/>
              <w:textAlignment w:val="auto"/>
              <w:rPr>
                <w:rFonts w:hint="eastAsia"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w:t>
            </w:r>
          </w:p>
        </w:tc>
        <w:tc>
          <w:tcPr>
            <w:tcW w:w="2496" w:type="dxa"/>
            <w:tcBorders>
              <w:top w:val="single" w:color="auto" w:sz="4" w:space="0"/>
              <w:left w:val="nil"/>
              <w:bottom w:val="single" w:color="auto" w:sz="4" w:space="0"/>
              <w:right w:val="single" w:color="auto" w:sz="4" w:space="0"/>
            </w:tcBorders>
            <w:noWrap w:val="0"/>
            <w:vAlign w:val="center"/>
          </w:tcPr>
          <w:p w14:paraId="593A60CB">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无团粒结块</w:t>
            </w:r>
          </w:p>
        </w:tc>
        <w:tc>
          <w:tcPr>
            <w:tcW w:w="2371" w:type="dxa"/>
            <w:tcBorders>
              <w:top w:val="single" w:color="auto" w:sz="4" w:space="0"/>
              <w:left w:val="nil"/>
              <w:bottom w:val="single" w:color="auto" w:sz="4" w:space="0"/>
              <w:right w:val="single" w:color="auto" w:sz="4" w:space="0"/>
            </w:tcBorders>
            <w:noWrap w:val="0"/>
            <w:vAlign w:val="center"/>
          </w:tcPr>
          <w:p w14:paraId="5473A52C">
            <w:pPr>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firstLine="240" w:firstLineChars="100"/>
              <w:jc w:val="center"/>
              <w:textAlignment w:val="auto"/>
              <w:outlineLvl w:val="9"/>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观察</w:t>
            </w:r>
          </w:p>
        </w:tc>
      </w:tr>
      <w:tr w14:paraId="5F806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trPr>
        <w:tc>
          <w:tcPr>
            <w:tcW w:w="2786" w:type="dxa"/>
            <w:gridSpan w:val="2"/>
            <w:tcBorders>
              <w:top w:val="single" w:color="auto" w:sz="4" w:space="0"/>
              <w:left w:val="single" w:color="auto" w:sz="4" w:space="0"/>
              <w:bottom w:val="single" w:color="auto" w:sz="4" w:space="0"/>
              <w:right w:val="single" w:color="auto" w:sz="4" w:space="0"/>
            </w:tcBorders>
            <w:noWrap w:val="0"/>
            <w:vAlign w:val="center"/>
          </w:tcPr>
          <w:p w14:paraId="7E37137E">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亲水系数</w:t>
            </w:r>
          </w:p>
        </w:tc>
        <w:tc>
          <w:tcPr>
            <w:tcW w:w="1404" w:type="dxa"/>
            <w:tcBorders>
              <w:top w:val="single" w:color="auto" w:sz="4" w:space="0"/>
              <w:left w:val="nil"/>
              <w:bottom w:val="single" w:color="auto" w:sz="4" w:space="0"/>
              <w:right w:val="single" w:color="auto" w:sz="4" w:space="0"/>
            </w:tcBorders>
            <w:noWrap w:val="0"/>
            <w:vAlign w:val="center"/>
          </w:tcPr>
          <w:p w14:paraId="7163605F">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w:t>
            </w:r>
          </w:p>
        </w:tc>
        <w:tc>
          <w:tcPr>
            <w:tcW w:w="2496" w:type="dxa"/>
            <w:tcBorders>
              <w:top w:val="single" w:color="auto" w:sz="4" w:space="0"/>
              <w:left w:val="nil"/>
              <w:bottom w:val="single" w:color="auto" w:sz="4" w:space="0"/>
              <w:right w:val="single" w:color="auto" w:sz="4" w:space="0"/>
            </w:tcBorders>
            <w:noWrap w:val="0"/>
            <w:vAlign w:val="center"/>
          </w:tcPr>
          <w:p w14:paraId="22AA1DE3">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≤0.8</w:t>
            </w:r>
          </w:p>
        </w:tc>
        <w:tc>
          <w:tcPr>
            <w:tcW w:w="2371" w:type="dxa"/>
            <w:tcBorders>
              <w:top w:val="single" w:color="auto" w:sz="4" w:space="0"/>
              <w:left w:val="nil"/>
              <w:bottom w:val="single" w:color="auto" w:sz="4" w:space="0"/>
              <w:right w:val="single" w:color="auto" w:sz="4" w:space="0"/>
            </w:tcBorders>
            <w:noWrap w:val="0"/>
            <w:vAlign w:val="center"/>
          </w:tcPr>
          <w:p w14:paraId="3FAD5C91">
            <w:pPr>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firstLine="240" w:firstLineChars="100"/>
              <w:jc w:val="center"/>
              <w:textAlignment w:val="auto"/>
              <w:outlineLvl w:val="9"/>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T0353</w:t>
            </w:r>
          </w:p>
        </w:tc>
      </w:tr>
      <w:tr w14:paraId="47211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trPr>
        <w:tc>
          <w:tcPr>
            <w:tcW w:w="2786" w:type="dxa"/>
            <w:gridSpan w:val="2"/>
            <w:tcBorders>
              <w:top w:val="single" w:color="auto" w:sz="4" w:space="0"/>
              <w:left w:val="single" w:color="auto" w:sz="4" w:space="0"/>
              <w:bottom w:val="single" w:color="auto" w:sz="4" w:space="0"/>
              <w:right w:val="single" w:color="auto" w:sz="4" w:space="0"/>
            </w:tcBorders>
            <w:noWrap w:val="0"/>
            <w:vAlign w:val="center"/>
          </w:tcPr>
          <w:p w14:paraId="4ADCCF5B">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塑性指数</w:t>
            </w:r>
          </w:p>
        </w:tc>
        <w:tc>
          <w:tcPr>
            <w:tcW w:w="1404" w:type="dxa"/>
            <w:tcBorders>
              <w:top w:val="single" w:color="auto" w:sz="4" w:space="0"/>
              <w:left w:val="nil"/>
              <w:bottom w:val="single" w:color="auto" w:sz="4" w:space="0"/>
              <w:right w:val="single" w:color="auto" w:sz="4" w:space="0"/>
            </w:tcBorders>
            <w:noWrap w:val="0"/>
            <w:vAlign w:val="center"/>
          </w:tcPr>
          <w:p w14:paraId="3EA970DC">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w:t>
            </w:r>
          </w:p>
        </w:tc>
        <w:tc>
          <w:tcPr>
            <w:tcW w:w="2496" w:type="dxa"/>
            <w:tcBorders>
              <w:top w:val="single" w:color="auto" w:sz="4" w:space="0"/>
              <w:left w:val="nil"/>
              <w:bottom w:val="single" w:color="auto" w:sz="4" w:space="0"/>
              <w:right w:val="single" w:color="auto" w:sz="4" w:space="0"/>
            </w:tcBorders>
            <w:noWrap w:val="0"/>
            <w:vAlign w:val="center"/>
          </w:tcPr>
          <w:p w14:paraId="40D07231">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≤4.0</w:t>
            </w:r>
          </w:p>
        </w:tc>
        <w:tc>
          <w:tcPr>
            <w:tcW w:w="2371" w:type="dxa"/>
            <w:tcBorders>
              <w:top w:val="single" w:color="auto" w:sz="4" w:space="0"/>
              <w:left w:val="nil"/>
              <w:bottom w:val="single" w:color="auto" w:sz="4" w:space="0"/>
              <w:right w:val="single" w:color="auto" w:sz="4" w:space="0"/>
            </w:tcBorders>
            <w:noWrap w:val="0"/>
            <w:vAlign w:val="center"/>
          </w:tcPr>
          <w:p w14:paraId="54F981E4">
            <w:pPr>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firstLine="240" w:firstLineChars="100"/>
              <w:jc w:val="center"/>
              <w:textAlignment w:val="auto"/>
              <w:outlineLvl w:val="9"/>
              <w:rPr>
                <w:rFonts w:hint="eastAsia"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T0354</w:t>
            </w:r>
          </w:p>
        </w:tc>
      </w:tr>
      <w:tr w14:paraId="5291C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trPr>
        <w:tc>
          <w:tcPr>
            <w:tcW w:w="2786" w:type="dxa"/>
            <w:gridSpan w:val="2"/>
            <w:tcBorders>
              <w:top w:val="single" w:color="auto" w:sz="4" w:space="0"/>
              <w:left w:val="single" w:color="auto" w:sz="4" w:space="0"/>
              <w:bottom w:val="single" w:color="auto" w:sz="4" w:space="0"/>
              <w:right w:val="single" w:color="auto" w:sz="4" w:space="0"/>
            </w:tcBorders>
            <w:noWrap w:val="0"/>
            <w:vAlign w:val="center"/>
          </w:tcPr>
          <w:p w14:paraId="0C81042B">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加热安定性</w:t>
            </w:r>
          </w:p>
        </w:tc>
        <w:tc>
          <w:tcPr>
            <w:tcW w:w="1404" w:type="dxa"/>
            <w:tcBorders>
              <w:top w:val="single" w:color="auto" w:sz="4" w:space="0"/>
              <w:left w:val="nil"/>
              <w:bottom w:val="single" w:color="auto" w:sz="4" w:space="0"/>
              <w:right w:val="single" w:color="auto" w:sz="4" w:space="0"/>
            </w:tcBorders>
            <w:noWrap w:val="0"/>
            <w:vAlign w:val="center"/>
          </w:tcPr>
          <w:p w14:paraId="347423C8">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w:t>
            </w:r>
          </w:p>
        </w:tc>
        <w:tc>
          <w:tcPr>
            <w:tcW w:w="2496" w:type="dxa"/>
            <w:tcBorders>
              <w:top w:val="single" w:color="auto" w:sz="4" w:space="0"/>
              <w:left w:val="nil"/>
              <w:bottom w:val="single" w:color="auto" w:sz="4" w:space="0"/>
              <w:right w:val="single" w:color="auto" w:sz="4" w:space="0"/>
            </w:tcBorders>
            <w:noWrap w:val="0"/>
            <w:vAlign w:val="center"/>
          </w:tcPr>
          <w:p w14:paraId="31B6626E">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无明显变化</w:t>
            </w:r>
          </w:p>
        </w:tc>
        <w:tc>
          <w:tcPr>
            <w:tcW w:w="2371" w:type="dxa"/>
            <w:tcBorders>
              <w:top w:val="single" w:color="auto" w:sz="4" w:space="0"/>
              <w:left w:val="nil"/>
              <w:bottom w:val="single" w:color="auto" w:sz="4" w:space="0"/>
              <w:right w:val="single" w:color="auto" w:sz="4" w:space="0"/>
            </w:tcBorders>
            <w:noWrap w:val="0"/>
            <w:vAlign w:val="center"/>
          </w:tcPr>
          <w:p w14:paraId="13CC6EF4">
            <w:pPr>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firstLine="240" w:firstLineChars="100"/>
              <w:jc w:val="center"/>
              <w:textAlignment w:val="auto"/>
              <w:outlineLvl w:val="9"/>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T0355</w:t>
            </w:r>
          </w:p>
        </w:tc>
      </w:tr>
      <w:tr w14:paraId="4AD677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trPr>
        <w:tc>
          <w:tcPr>
            <w:tcW w:w="1108" w:type="dxa"/>
            <w:vMerge w:val="restart"/>
            <w:tcBorders>
              <w:top w:val="single" w:color="auto" w:sz="4" w:space="0"/>
              <w:left w:val="single" w:color="auto" w:sz="4" w:space="0"/>
              <w:right w:val="single" w:color="auto" w:sz="4" w:space="0"/>
            </w:tcBorders>
            <w:noWrap w:val="0"/>
            <w:vAlign w:val="center"/>
          </w:tcPr>
          <w:p w14:paraId="75868218">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0" w:firstLineChars="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粒度范围</w:t>
            </w:r>
          </w:p>
        </w:tc>
        <w:tc>
          <w:tcPr>
            <w:tcW w:w="1678" w:type="dxa"/>
            <w:tcBorders>
              <w:top w:val="single" w:color="auto" w:sz="4" w:space="0"/>
              <w:left w:val="single" w:color="auto" w:sz="4" w:space="0"/>
              <w:right w:val="single" w:color="auto" w:sz="4" w:space="0"/>
            </w:tcBorders>
            <w:noWrap w:val="0"/>
            <w:vAlign w:val="center"/>
          </w:tcPr>
          <w:p w14:paraId="58EFA4D3">
            <w:pPr>
              <w:widowControl/>
              <w:numPr>
                <w:ilvl w:val="0"/>
                <w:numId w:val="0"/>
              </w:numPr>
              <w:shd w:val="clear" w:color="auto" w:fill="auto"/>
              <w:spacing w:line="360" w:lineRule="auto"/>
              <w:ind w:left="0" w:leftChars="0" w:firstLine="0" w:firstLineChars="0"/>
              <w:jc w:val="center"/>
              <w:rPr>
                <w:rFonts w:hint="eastAsia" w:ascii="仿宋" w:hAnsi="仿宋" w:eastAsia="仿宋" w:cs="仿宋"/>
                <w:b w:val="0"/>
                <w:bCs/>
                <w:color w:val="auto"/>
                <w:kern w:val="2"/>
                <w:sz w:val="24"/>
                <w:szCs w:val="22"/>
                <w:highlight w:val="none"/>
                <w:lang w:val="en-US" w:eastAsia="zh-CN"/>
              </w:rPr>
            </w:pPr>
            <w:r>
              <w:rPr>
                <w:rFonts w:hint="eastAsia" w:ascii="仿宋" w:hAnsi="仿宋" w:eastAsia="仿宋" w:cs="仿宋"/>
                <w:bCs/>
                <w:color w:val="auto"/>
                <w:sz w:val="24"/>
                <w:highlight w:val="none"/>
                <w:lang w:val="en-US" w:eastAsia="zh-CN"/>
              </w:rPr>
              <w:t>＜</w:t>
            </w:r>
            <w:r>
              <w:rPr>
                <w:rFonts w:hint="eastAsia" w:ascii="仿宋" w:hAnsi="仿宋" w:eastAsia="仿宋" w:cs="仿宋"/>
                <w:b w:val="0"/>
                <w:bCs/>
                <w:color w:val="auto"/>
                <w:kern w:val="2"/>
                <w:sz w:val="24"/>
                <w:szCs w:val="22"/>
                <w:highlight w:val="none"/>
                <w:lang w:val="en-US" w:eastAsia="zh-CN"/>
              </w:rPr>
              <w:t>0.60mm</w:t>
            </w:r>
          </w:p>
        </w:tc>
        <w:tc>
          <w:tcPr>
            <w:tcW w:w="1404" w:type="dxa"/>
            <w:tcBorders>
              <w:top w:val="single" w:color="auto" w:sz="4" w:space="0"/>
              <w:left w:val="nil"/>
              <w:bottom w:val="single" w:color="auto" w:sz="4" w:space="0"/>
              <w:right w:val="single" w:color="auto" w:sz="4" w:space="0"/>
            </w:tcBorders>
            <w:noWrap w:val="0"/>
            <w:vAlign w:val="center"/>
          </w:tcPr>
          <w:p w14:paraId="3610848B">
            <w:pPr>
              <w:widowControl/>
              <w:numPr>
                <w:ilvl w:val="0"/>
                <w:numId w:val="0"/>
              </w:numPr>
              <w:shd w:val="clear" w:color="auto" w:fill="auto"/>
              <w:spacing w:line="360" w:lineRule="auto"/>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w:t>
            </w:r>
          </w:p>
        </w:tc>
        <w:tc>
          <w:tcPr>
            <w:tcW w:w="2496" w:type="dxa"/>
            <w:tcBorders>
              <w:top w:val="single" w:color="auto" w:sz="4" w:space="0"/>
              <w:left w:val="nil"/>
              <w:bottom w:val="single" w:color="auto" w:sz="4" w:space="0"/>
              <w:right w:val="single" w:color="auto" w:sz="4" w:space="0"/>
            </w:tcBorders>
            <w:noWrap w:val="0"/>
            <w:vAlign w:val="center"/>
          </w:tcPr>
          <w:p w14:paraId="6CFD5199">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0" w:firstLineChars="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100</w:t>
            </w:r>
          </w:p>
        </w:tc>
        <w:tc>
          <w:tcPr>
            <w:tcW w:w="2371" w:type="dxa"/>
            <w:vMerge w:val="restart"/>
            <w:tcBorders>
              <w:top w:val="single" w:color="auto" w:sz="4" w:space="0"/>
              <w:left w:val="nil"/>
              <w:right w:val="single" w:color="auto" w:sz="4" w:space="0"/>
            </w:tcBorders>
            <w:noWrap w:val="0"/>
            <w:vAlign w:val="center"/>
          </w:tcPr>
          <w:p w14:paraId="520BAFC9">
            <w:pPr>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firstLine="0" w:firstLineChars="0"/>
              <w:jc w:val="center"/>
              <w:textAlignment w:val="auto"/>
              <w:outlineLvl w:val="9"/>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0351</w:t>
            </w:r>
          </w:p>
        </w:tc>
      </w:tr>
      <w:tr w14:paraId="22BE4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trPr>
        <w:tc>
          <w:tcPr>
            <w:tcW w:w="1108" w:type="dxa"/>
            <w:vMerge w:val="continue"/>
            <w:tcBorders>
              <w:left w:val="single" w:color="auto" w:sz="4" w:space="0"/>
              <w:right w:val="single" w:color="auto" w:sz="4" w:space="0"/>
            </w:tcBorders>
            <w:noWrap w:val="0"/>
            <w:vAlign w:val="center"/>
          </w:tcPr>
          <w:p w14:paraId="328FDB25">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left"/>
              <w:textAlignment w:val="auto"/>
              <w:rPr>
                <w:rFonts w:hint="eastAsia" w:ascii="仿宋" w:hAnsi="仿宋" w:eastAsia="仿宋" w:cs="仿宋"/>
                <w:b w:val="0"/>
                <w:bCs/>
                <w:color w:val="auto"/>
                <w:kern w:val="2"/>
                <w:sz w:val="24"/>
                <w:szCs w:val="22"/>
                <w:highlight w:val="none"/>
                <w:lang w:val="en-US" w:eastAsia="zh-CN"/>
              </w:rPr>
            </w:pPr>
          </w:p>
        </w:tc>
        <w:tc>
          <w:tcPr>
            <w:tcW w:w="1678" w:type="dxa"/>
            <w:tcBorders>
              <w:left w:val="single" w:color="auto" w:sz="4" w:space="0"/>
              <w:right w:val="single" w:color="auto" w:sz="4" w:space="0"/>
            </w:tcBorders>
            <w:noWrap w:val="0"/>
            <w:vAlign w:val="center"/>
          </w:tcPr>
          <w:p w14:paraId="66C5F89D">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left="0" w:leftChars="0" w:firstLine="0" w:firstLineChars="0"/>
              <w:jc w:val="center"/>
              <w:textAlignment w:val="auto"/>
              <w:rPr>
                <w:rFonts w:hint="eastAsia" w:ascii="仿宋" w:hAnsi="仿宋" w:eastAsia="仿宋" w:cs="仿宋"/>
                <w:b w:val="0"/>
                <w:bCs/>
                <w:color w:val="auto"/>
                <w:kern w:val="2"/>
                <w:sz w:val="24"/>
                <w:szCs w:val="22"/>
                <w:highlight w:val="none"/>
                <w:lang w:val="en-US" w:eastAsia="zh-CN"/>
              </w:rPr>
            </w:pPr>
            <w:r>
              <w:rPr>
                <w:rFonts w:hint="eastAsia" w:ascii="仿宋" w:hAnsi="仿宋" w:eastAsia="仿宋" w:cs="仿宋"/>
                <w:bCs/>
                <w:color w:val="auto"/>
                <w:sz w:val="24"/>
                <w:highlight w:val="none"/>
                <w:lang w:val="en-US" w:eastAsia="zh-CN"/>
              </w:rPr>
              <w:t>＜</w:t>
            </w:r>
            <w:r>
              <w:rPr>
                <w:rFonts w:hint="eastAsia" w:ascii="仿宋" w:hAnsi="仿宋" w:eastAsia="仿宋" w:cs="仿宋"/>
                <w:b w:val="0"/>
                <w:bCs/>
                <w:color w:val="auto"/>
                <w:kern w:val="2"/>
                <w:sz w:val="24"/>
                <w:szCs w:val="22"/>
                <w:highlight w:val="none"/>
                <w:lang w:val="en-US" w:eastAsia="zh-CN"/>
              </w:rPr>
              <w:t>0.30mm</w:t>
            </w:r>
          </w:p>
        </w:tc>
        <w:tc>
          <w:tcPr>
            <w:tcW w:w="1404" w:type="dxa"/>
            <w:tcBorders>
              <w:top w:val="single" w:color="auto" w:sz="4" w:space="0"/>
              <w:left w:val="nil"/>
              <w:bottom w:val="single" w:color="auto" w:sz="4" w:space="0"/>
              <w:right w:val="single" w:color="auto" w:sz="4" w:space="0"/>
            </w:tcBorders>
            <w:noWrap w:val="0"/>
            <w:vAlign w:val="center"/>
          </w:tcPr>
          <w:p w14:paraId="26BC2C3D">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0" w:firstLineChars="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Cs/>
                <w:color w:val="auto"/>
                <w:sz w:val="24"/>
                <w:highlight w:val="none"/>
                <w:lang w:val="en-US" w:eastAsia="zh-CN"/>
              </w:rPr>
              <w:t>%</w:t>
            </w:r>
          </w:p>
        </w:tc>
        <w:tc>
          <w:tcPr>
            <w:tcW w:w="2496" w:type="dxa"/>
            <w:tcBorders>
              <w:top w:val="single" w:color="auto" w:sz="4" w:space="0"/>
              <w:left w:val="nil"/>
              <w:bottom w:val="single" w:color="auto" w:sz="4" w:space="0"/>
              <w:right w:val="single" w:color="auto" w:sz="4" w:space="0"/>
            </w:tcBorders>
            <w:noWrap w:val="0"/>
            <w:vAlign w:val="center"/>
          </w:tcPr>
          <w:p w14:paraId="15104753">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0" w:firstLineChars="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95-100</w:t>
            </w:r>
          </w:p>
        </w:tc>
        <w:tc>
          <w:tcPr>
            <w:tcW w:w="2371" w:type="dxa"/>
            <w:vMerge w:val="continue"/>
            <w:tcBorders>
              <w:left w:val="nil"/>
              <w:right w:val="single" w:color="auto" w:sz="4" w:space="0"/>
            </w:tcBorders>
            <w:noWrap w:val="0"/>
            <w:vAlign w:val="center"/>
          </w:tcPr>
          <w:p w14:paraId="22BB6E65">
            <w:pPr>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firstLine="0" w:firstLineChars="0"/>
              <w:jc w:val="center"/>
              <w:textAlignment w:val="auto"/>
              <w:outlineLvl w:val="9"/>
              <w:rPr>
                <w:rFonts w:hint="eastAsia" w:ascii="仿宋" w:hAnsi="仿宋" w:eastAsia="仿宋" w:cs="仿宋"/>
                <w:b w:val="0"/>
                <w:bCs/>
                <w:color w:val="auto"/>
                <w:kern w:val="2"/>
                <w:sz w:val="24"/>
                <w:szCs w:val="22"/>
                <w:highlight w:val="none"/>
                <w:lang w:val="en-US" w:eastAsia="zh-CN"/>
              </w:rPr>
            </w:pPr>
          </w:p>
        </w:tc>
      </w:tr>
      <w:tr w14:paraId="54A91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trPr>
        <w:tc>
          <w:tcPr>
            <w:tcW w:w="1108" w:type="dxa"/>
            <w:vMerge w:val="continue"/>
            <w:tcBorders>
              <w:left w:val="single" w:color="auto" w:sz="4" w:space="0"/>
              <w:right w:val="single" w:color="auto" w:sz="4" w:space="0"/>
            </w:tcBorders>
            <w:noWrap w:val="0"/>
            <w:vAlign w:val="center"/>
          </w:tcPr>
          <w:p w14:paraId="2E5C480B">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left"/>
              <w:textAlignment w:val="auto"/>
              <w:rPr>
                <w:rFonts w:hint="eastAsia" w:ascii="仿宋" w:hAnsi="仿宋" w:eastAsia="仿宋" w:cs="仿宋"/>
                <w:b w:val="0"/>
                <w:bCs/>
                <w:color w:val="auto"/>
                <w:kern w:val="2"/>
                <w:sz w:val="24"/>
                <w:szCs w:val="22"/>
                <w:highlight w:val="none"/>
                <w:lang w:val="en-US" w:eastAsia="zh-CN"/>
              </w:rPr>
            </w:pPr>
          </w:p>
        </w:tc>
        <w:tc>
          <w:tcPr>
            <w:tcW w:w="1678" w:type="dxa"/>
            <w:tcBorders>
              <w:left w:val="single" w:color="auto" w:sz="4" w:space="0"/>
              <w:right w:val="single" w:color="auto" w:sz="4" w:space="0"/>
            </w:tcBorders>
            <w:noWrap w:val="0"/>
            <w:vAlign w:val="center"/>
          </w:tcPr>
          <w:p w14:paraId="4AE30636">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left="0" w:leftChars="0" w:firstLine="0" w:firstLineChars="0"/>
              <w:jc w:val="center"/>
              <w:textAlignment w:val="auto"/>
              <w:rPr>
                <w:rFonts w:hint="eastAsia" w:ascii="仿宋" w:hAnsi="仿宋" w:eastAsia="仿宋" w:cs="仿宋"/>
                <w:b w:val="0"/>
                <w:bCs/>
                <w:color w:val="auto"/>
                <w:kern w:val="2"/>
                <w:sz w:val="24"/>
                <w:szCs w:val="22"/>
                <w:highlight w:val="none"/>
                <w:lang w:val="en-US" w:eastAsia="zh-CN"/>
              </w:rPr>
            </w:pPr>
            <w:r>
              <w:rPr>
                <w:rFonts w:hint="eastAsia" w:ascii="仿宋" w:hAnsi="仿宋" w:eastAsia="仿宋" w:cs="仿宋"/>
                <w:bCs/>
                <w:color w:val="auto"/>
                <w:sz w:val="24"/>
                <w:highlight w:val="none"/>
                <w:lang w:val="en-US" w:eastAsia="zh-CN"/>
              </w:rPr>
              <w:t>＜</w:t>
            </w:r>
            <w:r>
              <w:rPr>
                <w:rFonts w:hint="eastAsia" w:ascii="仿宋" w:hAnsi="仿宋" w:eastAsia="仿宋" w:cs="仿宋"/>
                <w:b w:val="0"/>
                <w:bCs/>
                <w:color w:val="auto"/>
                <w:kern w:val="2"/>
                <w:sz w:val="24"/>
                <w:szCs w:val="22"/>
                <w:highlight w:val="none"/>
                <w:lang w:val="en-US" w:eastAsia="zh-CN"/>
              </w:rPr>
              <w:t>0.15mm</w:t>
            </w:r>
          </w:p>
        </w:tc>
        <w:tc>
          <w:tcPr>
            <w:tcW w:w="1404" w:type="dxa"/>
            <w:tcBorders>
              <w:top w:val="single" w:color="auto" w:sz="4" w:space="0"/>
              <w:left w:val="nil"/>
              <w:bottom w:val="single" w:color="auto" w:sz="4" w:space="0"/>
              <w:right w:val="single" w:color="auto" w:sz="4" w:space="0"/>
            </w:tcBorders>
            <w:noWrap w:val="0"/>
            <w:vAlign w:val="center"/>
          </w:tcPr>
          <w:p w14:paraId="328DEFEE">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0" w:firstLineChars="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Cs/>
                <w:color w:val="auto"/>
                <w:sz w:val="24"/>
                <w:highlight w:val="none"/>
                <w:lang w:val="en-US" w:eastAsia="zh-CN"/>
              </w:rPr>
              <w:t>%</w:t>
            </w:r>
          </w:p>
        </w:tc>
        <w:tc>
          <w:tcPr>
            <w:tcW w:w="2496" w:type="dxa"/>
            <w:tcBorders>
              <w:top w:val="single" w:color="auto" w:sz="4" w:space="0"/>
              <w:left w:val="nil"/>
              <w:bottom w:val="single" w:color="auto" w:sz="4" w:space="0"/>
              <w:right w:val="single" w:color="auto" w:sz="4" w:space="0"/>
            </w:tcBorders>
            <w:noWrap w:val="0"/>
            <w:vAlign w:val="center"/>
          </w:tcPr>
          <w:p w14:paraId="7F0BA292">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0" w:firstLineChars="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90-100</w:t>
            </w:r>
          </w:p>
        </w:tc>
        <w:tc>
          <w:tcPr>
            <w:tcW w:w="2371" w:type="dxa"/>
            <w:vMerge w:val="continue"/>
            <w:tcBorders>
              <w:left w:val="nil"/>
              <w:right w:val="single" w:color="auto" w:sz="4" w:space="0"/>
            </w:tcBorders>
            <w:noWrap w:val="0"/>
            <w:vAlign w:val="center"/>
          </w:tcPr>
          <w:p w14:paraId="5E5310E3">
            <w:pPr>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firstLine="0" w:firstLineChars="0"/>
              <w:jc w:val="center"/>
              <w:textAlignment w:val="auto"/>
              <w:outlineLvl w:val="9"/>
              <w:rPr>
                <w:rFonts w:hint="eastAsia" w:ascii="仿宋" w:hAnsi="仿宋" w:eastAsia="仿宋" w:cs="仿宋"/>
                <w:b w:val="0"/>
                <w:bCs/>
                <w:color w:val="auto"/>
                <w:kern w:val="2"/>
                <w:sz w:val="24"/>
                <w:szCs w:val="22"/>
                <w:highlight w:val="none"/>
                <w:lang w:val="en-US" w:eastAsia="zh-CN"/>
              </w:rPr>
            </w:pPr>
          </w:p>
        </w:tc>
      </w:tr>
      <w:tr w14:paraId="4E4A7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trPr>
        <w:tc>
          <w:tcPr>
            <w:tcW w:w="1108" w:type="dxa"/>
            <w:vMerge w:val="continue"/>
            <w:tcBorders>
              <w:left w:val="single" w:color="auto" w:sz="4" w:space="0"/>
              <w:bottom w:val="single" w:color="auto" w:sz="4" w:space="0"/>
              <w:right w:val="single" w:color="auto" w:sz="4" w:space="0"/>
            </w:tcBorders>
            <w:noWrap w:val="0"/>
            <w:vAlign w:val="center"/>
          </w:tcPr>
          <w:p w14:paraId="5EBE8A22">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240" w:firstLineChars="100"/>
              <w:jc w:val="left"/>
              <w:textAlignment w:val="auto"/>
              <w:rPr>
                <w:rFonts w:hint="eastAsia" w:ascii="仿宋" w:hAnsi="仿宋" w:eastAsia="仿宋" w:cs="仿宋"/>
                <w:b w:val="0"/>
                <w:bCs/>
                <w:color w:val="auto"/>
                <w:kern w:val="2"/>
                <w:sz w:val="24"/>
                <w:szCs w:val="22"/>
                <w:highlight w:val="none"/>
                <w:lang w:val="en-US" w:eastAsia="zh-CN"/>
              </w:rPr>
            </w:pPr>
          </w:p>
        </w:tc>
        <w:tc>
          <w:tcPr>
            <w:tcW w:w="1678" w:type="dxa"/>
            <w:tcBorders>
              <w:left w:val="single" w:color="auto" w:sz="4" w:space="0"/>
              <w:bottom w:val="single" w:color="auto" w:sz="4" w:space="0"/>
              <w:right w:val="single" w:color="auto" w:sz="4" w:space="0"/>
            </w:tcBorders>
            <w:noWrap w:val="0"/>
            <w:vAlign w:val="center"/>
          </w:tcPr>
          <w:p w14:paraId="7CAEE732">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left="0" w:leftChars="0" w:firstLine="0" w:firstLineChars="0"/>
              <w:jc w:val="center"/>
              <w:textAlignment w:val="auto"/>
              <w:rPr>
                <w:rFonts w:hint="eastAsia" w:ascii="仿宋" w:hAnsi="仿宋" w:eastAsia="仿宋" w:cs="仿宋"/>
                <w:b w:val="0"/>
                <w:bCs/>
                <w:color w:val="auto"/>
                <w:kern w:val="2"/>
                <w:sz w:val="24"/>
                <w:szCs w:val="22"/>
                <w:highlight w:val="none"/>
                <w:lang w:val="en-US" w:eastAsia="zh-CN"/>
              </w:rPr>
            </w:pPr>
            <w:r>
              <w:rPr>
                <w:rFonts w:hint="eastAsia" w:ascii="仿宋" w:hAnsi="仿宋" w:eastAsia="仿宋" w:cs="仿宋"/>
                <w:bCs/>
                <w:color w:val="auto"/>
                <w:sz w:val="24"/>
                <w:highlight w:val="none"/>
                <w:lang w:val="en-US" w:eastAsia="zh-CN"/>
              </w:rPr>
              <w:t>＜</w:t>
            </w:r>
            <w:r>
              <w:rPr>
                <w:rFonts w:hint="eastAsia" w:ascii="仿宋" w:hAnsi="仿宋" w:eastAsia="仿宋" w:cs="仿宋"/>
                <w:b w:val="0"/>
                <w:bCs/>
                <w:color w:val="auto"/>
                <w:kern w:val="2"/>
                <w:sz w:val="24"/>
                <w:szCs w:val="22"/>
                <w:highlight w:val="none"/>
                <w:lang w:val="en-US" w:eastAsia="zh-CN"/>
              </w:rPr>
              <w:t>0.075mm</w:t>
            </w:r>
          </w:p>
        </w:tc>
        <w:tc>
          <w:tcPr>
            <w:tcW w:w="1404" w:type="dxa"/>
            <w:tcBorders>
              <w:top w:val="single" w:color="auto" w:sz="4" w:space="0"/>
              <w:left w:val="nil"/>
              <w:bottom w:val="single" w:color="auto" w:sz="4" w:space="0"/>
              <w:right w:val="single" w:color="auto" w:sz="4" w:space="0"/>
            </w:tcBorders>
            <w:noWrap w:val="0"/>
            <w:vAlign w:val="center"/>
          </w:tcPr>
          <w:p w14:paraId="6DC8C057">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0" w:firstLineChars="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Cs/>
                <w:color w:val="auto"/>
                <w:sz w:val="24"/>
                <w:highlight w:val="none"/>
                <w:lang w:val="en-US" w:eastAsia="zh-CN"/>
              </w:rPr>
              <w:t>%</w:t>
            </w:r>
          </w:p>
        </w:tc>
        <w:tc>
          <w:tcPr>
            <w:tcW w:w="2496" w:type="dxa"/>
            <w:tcBorders>
              <w:top w:val="single" w:color="auto" w:sz="4" w:space="0"/>
              <w:left w:val="nil"/>
              <w:bottom w:val="single" w:color="auto" w:sz="4" w:space="0"/>
              <w:right w:val="single" w:color="auto" w:sz="4" w:space="0"/>
            </w:tcBorders>
            <w:noWrap w:val="0"/>
            <w:vAlign w:val="center"/>
          </w:tcPr>
          <w:p w14:paraId="4B5D4F6E">
            <w:pPr>
              <w:keepNext w:val="0"/>
              <w:keepLines w:val="0"/>
              <w:pageBreakBefore w:val="0"/>
              <w:widowControl/>
              <w:numPr>
                <w:ilvl w:val="0"/>
                <w:numId w:val="0"/>
              </w:numPr>
              <w:shd w:val="clear" w:color="auto" w:fill="auto"/>
              <w:kinsoku/>
              <w:wordWrap/>
              <w:overflowPunct/>
              <w:topLinePunct w:val="0"/>
              <w:autoSpaceDE/>
              <w:autoSpaceDN/>
              <w:bidi w:val="0"/>
              <w:adjustRightInd/>
              <w:spacing w:line="360" w:lineRule="auto"/>
              <w:ind w:firstLine="0" w:firstLineChars="0"/>
              <w:jc w:val="center"/>
              <w:textAlignment w:val="auto"/>
              <w:rPr>
                <w:rFonts w:hint="default" w:ascii="仿宋" w:hAnsi="仿宋" w:eastAsia="仿宋" w:cs="仿宋"/>
                <w:b w:val="0"/>
                <w:bCs/>
                <w:color w:val="auto"/>
                <w:kern w:val="2"/>
                <w:sz w:val="24"/>
                <w:szCs w:val="22"/>
                <w:highlight w:val="none"/>
                <w:lang w:val="en-US" w:eastAsia="zh-CN"/>
              </w:rPr>
            </w:pPr>
            <w:r>
              <w:rPr>
                <w:rFonts w:hint="eastAsia" w:ascii="仿宋" w:hAnsi="仿宋" w:eastAsia="仿宋" w:cs="仿宋"/>
                <w:b w:val="0"/>
                <w:bCs/>
                <w:color w:val="auto"/>
                <w:kern w:val="2"/>
                <w:sz w:val="24"/>
                <w:szCs w:val="22"/>
                <w:highlight w:val="none"/>
                <w:lang w:val="en-US" w:eastAsia="zh-CN"/>
              </w:rPr>
              <w:t>75-100</w:t>
            </w:r>
          </w:p>
        </w:tc>
        <w:tc>
          <w:tcPr>
            <w:tcW w:w="2371" w:type="dxa"/>
            <w:vMerge w:val="continue"/>
            <w:tcBorders>
              <w:left w:val="nil"/>
              <w:bottom w:val="single" w:color="auto" w:sz="4" w:space="0"/>
              <w:right w:val="single" w:color="auto" w:sz="4" w:space="0"/>
            </w:tcBorders>
            <w:noWrap w:val="0"/>
            <w:vAlign w:val="center"/>
          </w:tcPr>
          <w:p w14:paraId="4BFC7043">
            <w:pPr>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firstLine="0" w:firstLineChars="0"/>
              <w:jc w:val="center"/>
              <w:textAlignment w:val="auto"/>
              <w:outlineLvl w:val="9"/>
              <w:rPr>
                <w:rFonts w:hint="eastAsia" w:ascii="仿宋" w:hAnsi="仿宋" w:eastAsia="仿宋" w:cs="仿宋"/>
                <w:b w:val="0"/>
                <w:bCs/>
                <w:color w:val="auto"/>
                <w:kern w:val="2"/>
                <w:sz w:val="24"/>
                <w:szCs w:val="22"/>
                <w:highlight w:val="none"/>
                <w:lang w:val="en-US" w:eastAsia="zh-CN"/>
              </w:rPr>
            </w:pPr>
          </w:p>
        </w:tc>
      </w:tr>
    </w:tbl>
    <w:p w14:paraId="49905332">
      <w:pPr>
        <w:spacing w:line="440" w:lineRule="exact"/>
        <w:ind w:firstLine="482" w:firstLineChars="200"/>
        <w:rPr>
          <w:rFonts w:hint="default"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注：试验检测矿粉时，实测塑性指数保留1位小数进行评价。</w:t>
      </w:r>
    </w:p>
    <w:p w14:paraId="16721431">
      <w:pPr>
        <w:spacing w:line="440" w:lineRule="exact"/>
        <w:ind w:firstLine="482" w:firstLineChars="200"/>
        <w:rPr>
          <w:rFonts w:hint="eastAsia" w:ascii="仿宋" w:hAnsi="仿宋" w:eastAsia="仿宋" w:cs="仿宋"/>
          <w:b/>
          <w:bCs/>
          <w:color w:val="auto"/>
          <w:sz w:val="24"/>
          <w:highlight w:val="none"/>
          <w:lang w:val="en-US" w:eastAsia="zh-CN"/>
        </w:rPr>
      </w:pPr>
    </w:p>
    <w:p w14:paraId="7062EB7E">
      <w:pPr>
        <w:spacing w:line="440" w:lineRule="exact"/>
        <w:ind w:firstLine="482" w:firstLineChars="200"/>
        <w:rPr>
          <w:rFonts w:hint="eastAsia" w:ascii="仿宋" w:hAnsi="仿宋" w:eastAsia="仿宋" w:cs="仿宋"/>
          <w:b/>
          <w:bCs/>
          <w:color w:val="auto"/>
          <w:sz w:val="24"/>
          <w:highlight w:val="none"/>
          <w:lang w:val="en-US" w:eastAsia="zh-CN"/>
        </w:rPr>
      </w:pPr>
    </w:p>
    <w:p w14:paraId="2AB50182">
      <w:pPr>
        <w:spacing w:line="440" w:lineRule="exact"/>
        <w:ind w:firstLine="482" w:firstLineChars="200"/>
        <w:rPr>
          <w:rFonts w:hint="eastAsia" w:ascii="仿宋" w:hAnsi="仿宋" w:eastAsia="仿宋" w:cs="仿宋"/>
          <w:b/>
          <w:bCs/>
          <w:color w:val="auto"/>
          <w:sz w:val="24"/>
          <w:highlight w:val="none"/>
          <w:lang w:val="en-US" w:eastAsia="zh-CN"/>
        </w:rPr>
      </w:pPr>
    </w:p>
    <w:p w14:paraId="0CCD5E1A">
      <w:pPr>
        <w:spacing w:line="44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四、采购要求</w:t>
      </w:r>
      <w:r>
        <w:rPr>
          <w:rFonts w:hint="eastAsia" w:ascii="仿宋" w:hAnsi="仿宋" w:eastAsia="仿宋" w:cs="仿宋"/>
          <w:b/>
          <w:bCs/>
          <w:color w:val="auto"/>
          <w:sz w:val="24"/>
          <w:highlight w:val="none"/>
        </w:rPr>
        <w:t>：</w:t>
      </w:r>
    </w:p>
    <w:p w14:paraId="7FB5F231">
      <w:pPr>
        <w:pStyle w:val="14"/>
        <w:keepNext w:val="0"/>
        <w:keepLines w:val="0"/>
        <w:pageBreakBefore w:val="0"/>
        <w:widowControl/>
        <w:kinsoku/>
        <w:wordWrap/>
        <w:overflowPunct/>
        <w:topLinePunct w:val="0"/>
        <w:autoSpaceDE/>
        <w:autoSpaceDN/>
        <w:bidi w:val="0"/>
        <w:adjustRightInd w:val="0"/>
        <w:snapToGrid w:val="0"/>
        <w:spacing w:before="0" w:beforeLines="0" w:beforeAutospacing="0" w:after="0" w:afterLines="0" w:afterAutospacing="0" w:line="360" w:lineRule="auto"/>
        <w:ind w:left="0" w:firstLine="480" w:firstLineChars="200"/>
        <w:textAlignment w:val="auto"/>
        <w:outlineLvl w:val="9"/>
        <w:rPr>
          <w:rFonts w:hint="eastAsia" w:ascii="仿宋" w:hAnsi="仿宋" w:eastAsia="仿宋" w:cs="仿宋"/>
          <w:b w:val="0"/>
          <w:bCs w:val="0"/>
          <w:snapToGrid w:val="0"/>
          <w:color w:val="auto"/>
          <w:sz w:val="24"/>
          <w:szCs w:val="24"/>
          <w:highlight w:val="none"/>
          <w:lang w:val="en-US" w:eastAsia="zh-CN"/>
        </w:rPr>
      </w:pPr>
      <w:r>
        <w:rPr>
          <w:rFonts w:hint="eastAsia" w:ascii="仿宋" w:hAnsi="仿宋" w:eastAsia="仿宋" w:cs="仿宋"/>
          <w:snapToGrid w:val="0"/>
          <w:color w:val="auto"/>
          <w:sz w:val="24"/>
          <w:szCs w:val="24"/>
          <w:highlight w:val="none"/>
          <w:lang w:val="en-US" w:eastAsia="zh-CN"/>
        </w:rPr>
        <w:t>1、</w:t>
      </w:r>
      <w:r>
        <w:rPr>
          <w:rFonts w:hint="eastAsia" w:ascii="仿宋" w:hAnsi="仿宋" w:eastAsia="仿宋" w:cs="仿宋"/>
          <w:b w:val="0"/>
          <w:bCs w:val="0"/>
          <w:snapToGrid w:val="0"/>
          <w:color w:val="auto"/>
          <w:sz w:val="24"/>
          <w:szCs w:val="24"/>
          <w:highlight w:val="none"/>
          <w:lang w:val="en-US" w:eastAsia="zh-CN"/>
        </w:rPr>
        <w:t>矿粉质量要求：产品的规格、型号和质量均符合相应现行的国家标准,但不限于：《公路沥青路面施工技术规范》JTG F40-2004(如有新增规范按新规范执行）。当矿粉的质量与本采购文件的规格型号要求不符时，采购人将强制终止合同，并由成交人（供货方）赔偿由此造成的一切损失，其详细条款在合同中注明。</w:t>
      </w:r>
    </w:p>
    <w:p w14:paraId="7123E22B">
      <w:pPr>
        <w:pStyle w:val="14"/>
        <w:keepNext w:val="0"/>
        <w:keepLines w:val="0"/>
        <w:pageBreakBefore w:val="0"/>
        <w:widowControl/>
        <w:kinsoku/>
        <w:wordWrap/>
        <w:overflowPunct/>
        <w:topLinePunct w:val="0"/>
        <w:autoSpaceDE/>
        <w:autoSpaceDN/>
        <w:bidi w:val="0"/>
        <w:adjustRightInd w:val="0"/>
        <w:snapToGrid w:val="0"/>
        <w:spacing w:before="0" w:beforeLines="0" w:beforeAutospacing="0" w:after="0" w:afterLines="0" w:afterAutospacing="0" w:line="360" w:lineRule="auto"/>
        <w:ind w:left="0" w:firstLine="480" w:firstLineChars="200"/>
        <w:textAlignment w:val="auto"/>
        <w:outlineLvl w:val="9"/>
        <w:rPr>
          <w:rFonts w:hint="eastAsia" w:ascii="仿宋" w:hAnsi="仿宋" w:eastAsia="仿宋" w:cs="仿宋"/>
          <w:b w:val="0"/>
          <w:bCs w:val="0"/>
          <w:snapToGrid w:val="0"/>
          <w:color w:val="auto"/>
          <w:sz w:val="24"/>
          <w:szCs w:val="24"/>
          <w:highlight w:val="none"/>
          <w:lang w:val="en-US" w:eastAsia="zh-CN"/>
        </w:rPr>
      </w:pPr>
      <w:r>
        <w:rPr>
          <w:rFonts w:hint="eastAsia" w:ascii="仿宋" w:hAnsi="仿宋" w:eastAsia="仿宋" w:cs="仿宋"/>
          <w:b w:val="0"/>
          <w:bCs w:val="0"/>
          <w:snapToGrid w:val="0"/>
          <w:color w:val="auto"/>
          <w:sz w:val="24"/>
          <w:szCs w:val="24"/>
          <w:highlight w:val="none"/>
          <w:lang w:val="en-US" w:eastAsia="zh-CN"/>
        </w:rPr>
        <w:t>2、成交人所生产或代理的品牌（或生产厂家）与第三方引起的一切纠纷与责任由投标人承担，采购人不承担任何责任，同时由此给采购人带来的相关损失也应由成交人承担。</w:t>
      </w:r>
    </w:p>
    <w:p w14:paraId="05DE8977">
      <w:pPr>
        <w:pStyle w:val="14"/>
        <w:keepNext w:val="0"/>
        <w:keepLines w:val="0"/>
        <w:pageBreakBefore w:val="0"/>
        <w:widowControl/>
        <w:kinsoku/>
        <w:wordWrap/>
        <w:overflowPunct/>
        <w:topLinePunct w:val="0"/>
        <w:autoSpaceDE/>
        <w:autoSpaceDN/>
        <w:bidi w:val="0"/>
        <w:adjustRightInd w:val="0"/>
        <w:snapToGrid w:val="0"/>
        <w:spacing w:before="0" w:beforeLines="0" w:beforeAutospacing="0" w:after="0" w:afterLines="0" w:afterAutospacing="0" w:line="360" w:lineRule="auto"/>
        <w:ind w:left="0" w:firstLine="480" w:firstLineChars="200"/>
        <w:textAlignment w:val="auto"/>
        <w:outlineLvl w:val="9"/>
        <w:rPr>
          <w:rFonts w:hint="eastAsia" w:ascii="仿宋" w:hAnsi="仿宋" w:eastAsia="仿宋" w:cs="仿宋"/>
          <w:b w:val="0"/>
          <w:bCs w:val="0"/>
          <w:snapToGrid w:val="0"/>
          <w:color w:val="auto"/>
          <w:sz w:val="24"/>
          <w:highlight w:val="none"/>
          <w:lang w:val="en-US" w:eastAsia="zh-CN"/>
        </w:rPr>
      </w:pPr>
      <w:r>
        <w:rPr>
          <w:rFonts w:hint="eastAsia" w:ascii="仿宋" w:hAnsi="仿宋" w:eastAsia="仿宋" w:cs="仿宋"/>
          <w:snapToGrid w:val="0"/>
          <w:sz w:val="24"/>
          <w:szCs w:val="24"/>
          <w:lang w:val="en-US" w:eastAsia="zh-CN"/>
        </w:rPr>
        <w:t>3</w:t>
      </w:r>
      <w:r>
        <w:rPr>
          <w:rFonts w:hint="eastAsia" w:ascii="仿宋" w:hAnsi="仿宋" w:eastAsia="仿宋" w:cs="仿宋"/>
          <w:snapToGrid w:val="0"/>
          <w:color w:val="auto"/>
          <w:sz w:val="24"/>
          <w:szCs w:val="24"/>
          <w:highlight w:val="none"/>
          <w:lang w:val="en-US" w:eastAsia="zh-CN"/>
        </w:rPr>
        <w:t>、</w:t>
      </w:r>
      <w:r>
        <w:rPr>
          <w:rFonts w:hint="eastAsia" w:ascii="仿宋" w:hAnsi="仿宋" w:eastAsia="仿宋" w:cs="仿宋"/>
          <w:b w:val="0"/>
          <w:bCs w:val="0"/>
          <w:snapToGrid w:val="0"/>
          <w:color w:val="auto"/>
          <w:sz w:val="24"/>
          <w:highlight w:val="none"/>
          <w:lang w:val="en-US" w:eastAsia="zh-CN"/>
        </w:rPr>
        <w:t>项目实施期间，成交人应严格遵守安全文明、环境保护相关规定，预见规避一切安全风险，避免安全事故发生。因成交人原因造成的质量和安全事故，产生的一切责任和损失由成交人承担，同时给采购人所带来的损失亦由成交人承担。</w:t>
      </w:r>
    </w:p>
    <w:p w14:paraId="1E26AD92">
      <w:pPr>
        <w:shd w:val="clear" w:color="auto" w:fill="auto"/>
        <w:snapToGrid w:val="0"/>
        <w:spacing w:line="360" w:lineRule="auto"/>
        <w:ind w:firstLine="482" w:firstLineChars="200"/>
        <w:rPr>
          <w:rFonts w:hint="eastAsia" w:ascii="仿宋" w:hAnsi="仿宋" w:eastAsia="仿宋" w:cs="仿宋"/>
          <w:b/>
          <w:lang w:val="en-US" w:eastAsia="zh-CN"/>
        </w:rPr>
      </w:pPr>
      <w:r>
        <w:rPr>
          <w:rFonts w:hint="eastAsia" w:ascii="仿宋" w:hAnsi="仿宋" w:eastAsia="仿宋" w:cs="仿宋"/>
          <w:b/>
          <w:bCs/>
          <w:color w:val="auto"/>
          <w:sz w:val="24"/>
          <w:highlight w:val="none"/>
          <w:lang w:val="en-US" w:eastAsia="zh-CN"/>
        </w:rPr>
        <w:t>五</w:t>
      </w:r>
      <w:r>
        <w:rPr>
          <w:rFonts w:hint="eastAsia" w:ascii="仿宋" w:hAnsi="仿宋" w:eastAsia="仿宋" w:cs="仿宋"/>
          <w:b/>
          <w:bCs/>
          <w:color w:val="auto"/>
          <w:sz w:val="24"/>
          <w:highlight w:val="none"/>
        </w:rPr>
        <w:t>、</w:t>
      </w:r>
      <w:r>
        <w:rPr>
          <w:rFonts w:hint="eastAsia" w:ascii="仿宋" w:hAnsi="仿宋" w:eastAsia="仿宋" w:cs="仿宋"/>
          <w:b/>
          <w:sz w:val="24"/>
          <w:lang w:val="en-US" w:eastAsia="zh-CN"/>
        </w:rPr>
        <w:t>其他要求</w:t>
      </w:r>
    </w:p>
    <w:p w14:paraId="3842E96E">
      <w:pPr>
        <w:pStyle w:val="14"/>
        <w:widowControl/>
        <w:adjustRightInd w:val="0"/>
        <w:snapToGrid w:val="0"/>
        <w:spacing w:before="0" w:beforeLines="0" w:afterLines="0" w:line="360" w:lineRule="auto"/>
        <w:ind w:firstLine="480" w:firstLineChars="200"/>
        <w:outlineLvl w:val="9"/>
        <w:rPr>
          <w:rFonts w:hint="eastAsia" w:ascii="仿宋" w:hAnsi="仿宋" w:eastAsia="仿宋" w:cs="仿宋"/>
          <w:snapToGrid w:val="0"/>
          <w:sz w:val="24"/>
        </w:rPr>
      </w:pPr>
      <w:r>
        <w:rPr>
          <w:rFonts w:hint="eastAsia" w:ascii="仿宋" w:hAnsi="仿宋" w:eastAsia="仿宋" w:cs="仿宋"/>
          <w:bCs w:val="0"/>
          <w:snapToGrid w:val="0"/>
          <w:color w:val="auto"/>
          <w:sz w:val="24"/>
          <w:highlight w:val="none"/>
        </w:rPr>
        <w:t>1</w:t>
      </w:r>
      <w:r>
        <w:rPr>
          <w:rFonts w:hint="eastAsia" w:ascii="仿宋" w:hAnsi="仿宋" w:eastAsia="仿宋" w:cs="仿宋"/>
          <w:b w:val="0"/>
          <w:bCs w:val="0"/>
          <w:snapToGrid w:val="0"/>
          <w:color w:val="auto"/>
          <w:sz w:val="24"/>
          <w:highlight w:val="none"/>
        </w:rPr>
        <w:t>、</w:t>
      </w:r>
      <w:r>
        <w:rPr>
          <w:rFonts w:hint="eastAsia" w:ascii="仿宋" w:hAnsi="仿宋" w:eastAsia="仿宋" w:cs="仿宋"/>
          <w:bCs w:val="0"/>
          <w:snapToGrid w:val="0"/>
          <w:sz w:val="24"/>
        </w:rPr>
        <w:t>项目实施时间</w:t>
      </w:r>
      <w:r>
        <w:rPr>
          <w:rFonts w:hint="eastAsia" w:ascii="仿宋" w:hAnsi="仿宋" w:eastAsia="仿宋" w:cs="仿宋"/>
          <w:snapToGrid w:val="0"/>
          <w:sz w:val="24"/>
        </w:rPr>
        <w:t>：本项目供货期为合同签订之日起一年，在</w:t>
      </w:r>
      <w:r>
        <w:rPr>
          <w:rFonts w:hint="eastAsia" w:ascii="仿宋" w:hAnsi="仿宋" w:eastAsia="仿宋" w:cs="仿宋"/>
          <w:snapToGrid w:val="0"/>
          <w:sz w:val="24"/>
          <w:lang w:val="en-US" w:eastAsia="zh-CN"/>
        </w:rPr>
        <w:t>采购</w:t>
      </w:r>
      <w:r>
        <w:rPr>
          <w:rFonts w:hint="eastAsia" w:ascii="仿宋" w:hAnsi="仿宋" w:eastAsia="仿宋" w:cs="仿宋"/>
          <w:snapToGrid w:val="0"/>
          <w:sz w:val="24"/>
        </w:rPr>
        <w:t>人要求的供货时间内</w:t>
      </w:r>
      <w:r>
        <w:rPr>
          <w:rFonts w:hint="eastAsia" w:ascii="仿宋" w:hAnsi="仿宋" w:eastAsia="仿宋" w:cs="仿宋"/>
          <w:snapToGrid w:val="0"/>
          <w:sz w:val="24"/>
          <w:lang w:eastAsia="zh-CN"/>
        </w:rPr>
        <w:t>成交人</w:t>
      </w:r>
      <w:r>
        <w:rPr>
          <w:rFonts w:hint="eastAsia" w:ascii="仿宋" w:hAnsi="仿宋" w:eastAsia="仿宋" w:cs="仿宋"/>
          <w:snapToGrid w:val="0"/>
          <w:sz w:val="24"/>
        </w:rPr>
        <w:t>应及时按要求在</w:t>
      </w:r>
      <w:r>
        <w:rPr>
          <w:rFonts w:hint="eastAsia" w:ascii="仿宋" w:hAnsi="仿宋" w:eastAsia="仿宋" w:cs="仿宋"/>
          <w:snapToGrid w:val="0"/>
          <w:sz w:val="24"/>
          <w:lang w:eastAsia="zh-CN"/>
        </w:rPr>
        <w:t>采购人</w:t>
      </w:r>
      <w:r>
        <w:rPr>
          <w:rFonts w:hint="eastAsia" w:ascii="仿宋" w:hAnsi="仿宋" w:eastAsia="仿宋" w:cs="仿宋"/>
          <w:snapToGrid w:val="0"/>
          <w:sz w:val="24"/>
        </w:rPr>
        <w:t>规定时间内分批供应，实际需要数量由</w:t>
      </w:r>
      <w:r>
        <w:rPr>
          <w:rFonts w:hint="eastAsia" w:ascii="仿宋" w:hAnsi="仿宋" w:eastAsia="仿宋" w:cs="仿宋"/>
          <w:snapToGrid w:val="0"/>
          <w:sz w:val="24"/>
          <w:lang w:eastAsia="zh-CN"/>
        </w:rPr>
        <w:t>采购人</w:t>
      </w:r>
      <w:r>
        <w:rPr>
          <w:rFonts w:hint="eastAsia" w:ascii="仿宋" w:hAnsi="仿宋" w:eastAsia="仿宋" w:cs="仿宋"/>
          <w:snapToGrid w:val="0"/>
          <w:sz w:val="24"/>
        </w:rPr>
        <w:t>按需要提前24小时通知</w:t>
      </w:r>
      <w:r>
        <w:rPr>
          <w:rFonts w:hint="eastAsia" w:ascii="仿宋" w:hAnsi="仿宋" w:eastAsia="仿宋" w:cs="仿宋"/>
          <w:snapToGrid w:val="0"/>
          <w:sz w:val="24"/>
          <w:lang w:eastAsia="zh-CN"/>
        </w:rPr>
        <w:t>成交人</w:t>
      </w:r>
      <w:r>
        <w:rPr>
          <w:rFonts w:hint="eastAsia" w:ascii="仿宋" w:hAnsi="仿宋" w:eastAsia="仿宋" w:cs="仿宋"/>
          <w:snapToGrid w:val="0"/>
          <w:sz w:val="24"/>
        </w:rPr>
        <w:t>，在超出分批供货时间的</w:t>
      </w:r>
      <w:r>
        <w:rPr>
          <w:rFonts w:hint="eastAsia" w:ascii="仿宋" w:hAnsi="仿宋" w:eastAsia="仿宋" w:cs="仿宋"/>
          <w:snapToGrid w:val="0"/>
          <w:sz w:val="24"/>
          <w:lang w:eastAsia="zh-CN"/>
        </w:rPr>
        <w:t>成交人</w:t>
      </w:r>
      <w:r>
        <w:rPr>
          <w:rFonts w:hint="eastAsia" w:ascii="仿宋" w:hAnsi="仿宋" w:eastAsia="仿宋" w:cs="仿宋"/>
          <w:snapToGrid w:val="0"/>
          <w:sz w:val="24"/>
        </w:rPr>
        <w:t>未能按时供货，</w:t>
      </w:r>
      <w:r>
        <w:rPr>
          <w:rFonts w:hint="eastAsia" w:ascii="仿宋" w:hAnsi="仿宋" w:eastAsia="仿宋" w:cs="仿宋"/>
          <w:snapToGrid w:val="0"/>
          <w:sz w:val="24"/>
          <w:lang w:val="en-US" w:eastAsia="zh-CN"/>
        </w:rPr>
        <w:t>采购</w:t>
      </w:r>
      <w:r>
        <w:rPr>
          <w:rFonts w:hint="eastAsia" w:ascii="仿宋" w:hAnsi="仿宋" w:eastAsia="仿宋" w:cs="仿宋"/>
          <w:snapToGrid w:val="0"/>
          <w:sz w:val="24"/>
        </w:rPr>
        <w:t>人有权另行采购，由此给</w:t>
      </w:r>
      <w:r>
        <w:rPr>
          <w:rFonts w:hint="eastAsia" w:ascii="仿宋" w:hAnsi="仿宋" w:eastAsia="仿宋" w:cs="仿宋"/>
          <w:snapToGrid w:val="0"/>
          <w:sz w:val="24"/>
          <w:lang w:val="en-US" w:eastAsia="zh-CN"/>
        </w:rPr>
        <w:t>采购</w:t>
      </w:r>
      <w:r>
        <w:rPr>
          <w:rFonts w:hint="eastAsia" w:ascii="仿宋" w:hAnsi="仿宋" w:eastAsia="仿宋" w:cs="仿宋"/>
          <w:snapToGrid w:val="0"/>
          <w:sz w:val="24"/>
        </w:rPr>
        <w:t>人造成的损失由</w:t>
      </w:r>
      <w:r>
        <w:rPr>
          <w:rFonts w:hint="eastAsia" w:ascii="仿宋" w:hAnsi="仿宋" w:eastAsia="仿宋" w:cs="仿宋"/>
          <w:snapToGrid w:val="0"/>
          <w:sz w:val="24"/>
          <w:lang w:eastAsia="zh-CN"/>
        </w:rPr>
        <w:t>成交人</w:t>
      </w:r>
      <w:r>
        <w:rPr>
          <w:rFonts w:hint="eastAsia" w:ascii="仿宋" w:hAnsi="仿宋" w:eastAsia="仿宋" w:cs="仿宋"/>
          <w:snapToGrid w:val="0"/>
          <w:sz w:val="24"/>
        </w:rPr>
        <w:t>承担，在履约保证金中扣除；如</w:t>
      </w:r>
      <w:r>
        <w:rPr>
          <w:rFonts w:hint="eastAsia" w:ascii="仿宋" w:hAnsi="仿宋" w:eastAsia="仿宋" w:cs="仿宋"/>
          <w:snapToGrid w:val="0"/>
          <w:sz w:val="24"/>
          <w:lang w:eastAsia="zh-CN"/>
        </w:rPr>
        <w:t>成交人</w:t>
      </w:r>
      <w:r>
        <w:rPr>
          <w:rFonts w:hint="eastAsia" w:ascii="仿宋" w:hAnsi="仿宋" w:eastAsia="仿宋" w:cs="仿宋"/>
          <w:snapToGrid w:val="0"/>
          <w:sz w:val="24"/>
        </w:rPr>
        <w:t>延期供货的，延迟1天，</w:t>
      </w:r>
      <w:r>
        <w:rPr>
          <w:rFonts w:hint="eastAsia" w:ascii="仿宋" w:hAnsi="仿宋" w:eastAsia="仿宋" w:cs="仿宋"/>
          <w:snapToGrid w:val="0"/>
          <w:sz w:val="24"/>
          <w:lang w:eastAsia="zh-CN"/>
        </w:rPr>
        <w:t>成交人</w:t>
      </w:r>
      <w:r>
        <w:rPr>
          <w:rFonts w:hint="eastAsia" w:ascii="仿宋" w:hAnsi="仿宋" w:eastAsia="仿宋" w:cs="仿宋"/>
          <w:snapToGrid w:val="0"/>
          <w:sz w:val="24"/>
        </w:rPr>
        <w:t>应向</w:t>
      </w:r>
      <w:r>
        <w:rPr>
          <w:rFonts w:hint="eastAsia" w:ascii="仿宋" w:hAnsi="仿宋" w:eastAsia="仿宋" w:cs="仿宋"/>
          <w:snapToGrid w:val="0"/>
          <w:sz w:val="24"/>
          <w:lang w:val="en-US" w:eastAsia="zh-CN"/>
        </w:rPr>
        <w:t>采购</w:t>
      </w:r>
      <w:r>
        <w:rPr>
          <w:rFonts w:hint="eastAsia" w:ascii="仿宋" w:hAnsi="仿宋" w:eastAsia="仿宋" w:cs="仿宋"/>
          <w:snapToGrid w:val="0"/>
          <w:sz w:val="24"/>
        </w:rPr>
        <w:t>人支付5000元/天的违约金，累计5天以上的，按10000元/天支付违约金，累计10天以上的，</w:t>
      </w:r>
      <w:r>
        <w:rPr>
          <w:rFonts w:hint="eastAsia" w:ascii="仿宋" w:hAnsi="仿宋" w:eastAsia="仿宋" w:cs="仿宋"/>
          <w:snapToGrid w:val="0"/>
          <w:sz w:val="24"/>
          <w:lang w:val="en-US" w:eastAsia="zh-CN"/>
        </w:rPr>
        <w:t>采购</w:t>
      </w:r>
      <w:r>
        <w:rPr>
          <w:rFonts w:hint="eastAsia" w:ascii="仿宋" w:hAnsi="仿宋" w:eastAsia="仿宋" w:cs="仿宋"/>
          <w:snapToGrid w:val="0"/>
          <w:sz w:val="24"/>
        </w:rPr>
        <w:t>人有权终止合同并要求</w:t>
      </w:r>
      <w:r>
        <w:rPr>
          <w:rFonts w:hint="eastAsia" w:ascii="仿宋" w:hAnsi="仿宋" w:eastAsia="仿宋" w:cs="仿宋"/>
          <w:snapToGrid w:val="0"/>
          <w:sz w:val="24"/>
          <w:lang w:eastAsia="zh-CN"/>
        </w:rPr>
        <w:t>成交人</w:t>
      </w:r>
      <w:r>
        <w:rPr>
          <w:rFonts w:hint="eastAsia" w:ascii="仿宋" w:hAnsi="仿宋" w:eastAsia="仿宋" w:cs="仿宋"/>
          <w:snapToGrid w:val="0"/>
          <w:sz w:val="24"/>
        </w:rPr>
        <w:t>赔偿损失，履约保证金予以没收。</w:t>
      </w:r>
    </w:p>
    <w:p w14:paraId="6D15B90D">
      <w:pPr>
        <w:pStyle w:val="14"/>
        <w:widowControl/>
        <w:adjustRightInd w:val="0"/>
        <w:snapToGrid w:val="0"/>
        <w:spacing w:before="0" w:beforeLines="0" w:afterLines="0" w:line="360" w:lineRule="auto"/>
        <w:ind w:firstLine="480" w:firstLineChars="200"/>
        <w:outlineLvl w:val="9"/>
        <w:rPr>
          <w:rFonts w:hint="eastAsia" w:ascii="仿宋" w:hAnsi="仿宋" w:eastAsia="仿宋" w:cs="仿宋"/>
          <w:bCs w:val="0"/>
          <w:snapToGrid w:val="0"/>
          <w:color w:val="auto"/>
          <w:sz w:val="24"/>
          <w:highlight w:val="none"/>
          <w:lang w:val="en-US" w:eastAsia="zh-CN"/>
        </w:rPr>
      </w:pPr>
      <w:r>
        <w:rPr>
          <w:rFonts w:hint="eastAsia" w:ascii="仿宋" w:hAnsi="仿宋" w:eastAsia="仿宋" w:cs="仿宋"/>
          <w:bCs w:val="0"/>
          <w:snapToGrid w:val="0"/>
          <w:color w:val="auto"/>
          <w:sz w:val="24"/>
          <w:highlight w:val="none"/>
        </w:rPr>
        <w:t>2、</w:t>
      </w:r>
      <w:r>
        <w:rPr>
          <w:rFonts w:hint="eastAsia" w:ascii="仿宋" w:hAnsi="仿宋" w:eastAsia="仿宋" w:cs="仿宋"/>
          <w:bCs w:val="0"/>
          <w:snapToGrid w:val="0"/>
          <w:color w:val="auto"/>
          <w:sz w:val="24"/>
          <w:highlight w:val="none"/>
          <w:lang w:eastAsia="zh-CN"/>
        </w:rPr>
        <w:t>成交人</w:t>
      </w:r>
      <w:r>
        <w:rPr>
          <w:rFonts w:hint="eastAsia" w:ascii="仿宋" w:hAnsi="仿宋" w:eastAsia="仿宋" w:cs="仿宋"/>
          <w:bCs w:val="0"/>
          <w:snapToGrid w:val="0"/>
          <w:color w:val="auto"/>
          <w:sz w:val="24"/>
          <w:highlight w:val="none"/>
        </w:rPr>
        <w:t>须在合同实施期间，车辆在运输过程中不得超载、超限，且须符合其它相关运输法规，运输过程中出现的一切责任由</w:t>
      </w:r>
      <w:r>
        <w:rPr>
          <w:rFonts w:hint="eastAsia" w:ascii="仿宋" w:hAnsi="仿宋" w:eastAsia="仿宋" w:cs="仿宋"/>
          <w:bCs w:val="0"/>
          <w:snapToGrid w:val="0"/>
          <w:color w:val="auto"/>
          <w:sz w:val="24"/>
          <w:highlight w:val="none"/>
          <w:lang w:eastAsia="zh-CN"/>
        </w:rPr>
        <w:t>成交人</w:t>
      </w:r>
      <w:r>
        <w:rPr>
          <w:rFonts w:hint="eastAsia" w:ascii="仿宋" w:hAnsi="仿宋" w:eastAsia="仿宋" w:cs="仿宋"/>
          <w:bCs w:val="0"/>
          <w:snapToGrid w:val="0"/>
          <w:color w:val="auto"/>
          <w:sz w:val="24"/>
          <w:highlight w:val="none"/>
        </w:rPr>
        <w:t>自行承担，有严重违法违规情节的</w:t>
      </w:r>
      <w:r>
        <w:rPr>
          <w:rFonts w:hint="eastAsia" w:ascii="仿宋" w:hAnsi="仿宋" w:eastAsia="仿宋" w:cs="仿宋"/>
          <w:snapToGrid w:val="0"/>
          <w:sz w:val="24"/>
          <w:lang w:val="en-US" w:eastAsia="zh-CN"/>
        </w:rPr>
        <w:t>采购</w:t>
      </w:r>
      <w:r>
        <w:rPr>
          <w:rFonts w:hint="eastAsia" w:ascii="仿宋" w:hAnsi="仿宋" w:eastAsia="仿宋" w:cs="仿宋"/>
          <w:snapToGrid w:val="0"/>
          <w:sz w:val="24"/>
        </w:rPr>
        <w:t>人</w:t>
      </w:r>
      <w:r>
        <w:rPr>
          <w:rFonts w:hint="eastAsia" w:ascii="仿宋" w:hAnsi="仿宋" w:eastAsia="仿宋" w:cs="仿宋"/>
          <w:bCs w:val="0"/>
          <w:snapToGrid w:val="0"/>
          <w:color w:val="auto"/>
          <w:sz w:val="24"/>
          <w:highlight w:val="none"/>
        </w:rPr>
        <w:t>有权解除合同。</w:t>
      </w:r>
      <w:r>
        <w:rPr>
          <w:rFonts w:hint="eastAsia" w:ascii="仿宋" w:hAnsi="仿宋" w:eastAsia="仿宋" w:cs="仿宋"/>
          <w:bCs w:val="0"/>
          <w:snapToGrid w:val="0"/>
          <w:color w:val="auto"/>
          <w:sz w:val="24"/>
          <w:highlight w:val="none"/>
          <w:lang w:val="en-US" w:eastAsia="zh-CN"/>
        </w:rPr>
        <w:t>在合同实施期间，</w:t>
      </w:r>
      <w:r>
        <w:rPr>
          <w:rFonts w:hint="eastAsia" w:ascii="仿宋" w:hAnsi="仿宋" w:eastAsia="仿宋" w:cs="仿宋"/>
          <w:snapToGrid w:val="0"/>
          <w:sz w:val="24"/>
          <w:lang w:val="en-US" w:eastAsia="zh-CN"/>
        </w:rPr>
        <w:t>采购</w:t>
      </w:r>
      <w:r>
        <w:rPr>
          <w:rFonts w:hint="eastAsia" w:ascii="仿宋" w:hAnsi="仿宋" w:eastAsia="仿宋" w:cs="仿宋"/>
          <w:snapToGrid w:val="0"/>
          <w:sz w:val="24"/>
        </w:rPr>
        <w:t>人</w:t>
      </w:r>
      <w:r>
        <w:rPr>
          <w:rFonts w:hint="eastAsia" w:ascii="仿宋" w:hAnsi="仿宋" w:eastAsia="仿宋" w:cs="仿宋"/>
          <w:bCs w:val="0"/>
          <w:snapToGrid w:val="0"/>
          <w:color w:val="auto"/>
          <w:sz w:val="24"/>
          <w:highlight w:val="none"/>
          <w:lang w:val="en-US" w:eastAsia="zh-CN"/>
        </w:rPr>
        <w:t>有权自行安排运输车辆进行运输，成交人应积极配合</w:t>
      </w:r>
      <w:r>
        <w:rPr>
          <w:rFonts w:hint="eastAsia" w:ascii="仿宋" w:hAnsi="仿宋" w:eastAsia="仿宋" w:cs="仿宋"/>
          <w:snapToGrid w:val="0"/>
          <w:sz w:val="24"/>
          <w:lang w:val="en-US" w:eastAsia="zh-CN"/>
        </w:rPr>
        <w:t>采购</w:t>
      </w:r>
      <w:r>
        <w:rPr>
          <w:rFonts w:hint="eastAsia" w:ascii="仿宋" w:hAnsi="仿宋" w:eastAsia="仿宋" w:cs="仿宋"/>
          <w:snapToGrid w:val="0"/>
          <w:sz w:val="24"/>
        </w:rPr>
        <w:t>人</w:t>
      </w:r>
      <w:r>
        <w:rPr>
          <w:rFonts w:hint="eastAsia" w:ascii="仿宋" w:hAnsi="仿宋" w:eastAsia="仿宋" w:cs="仿宋"/>
          <w:bCs w:val="0"/>
          <w:snapToGrid w:val="0"/>
          <w:color w:val="auto"/>
          <w:sz w:val="24"/>
          <w:highlight w:val="none"/>
          <w:lang w:val="en-US" w:eastAsia="zh-CN"/>
        </w:rPr>
        <w:t>安排的运输车辆进行运输作业。</w:t>
      </w:r>
    </w:p>
    <w:p w14:paraId="166CB46C">
      <w:pPr>
        <w:pStyle w:val="14"/>
        <w:widowControl/>
        <w:adjustRightInd w:val="0"/>
        <w:snapToGrid w:val="0"/>
        <w:spacing w:before="0" w:beforeLines="0" w:afterLines="0" w:line="360" w:lineRule="auto"/>
        <w:ind w:firstLine="480" w:firstLineChars="200"/>
        <w:outlineLvl w:val="9"/>
        <w:rPr>
          <w:rFonts w:hint="eastAsia" w:ascii="仿宋" w:hAnsi="仿宋" w:eastAsia="仿宋" w:cs="仿宋"/>
          <w:snapToGrid w:val="0"/>
          <w:color w:val="auto"/>
          <w:kern w:val="0"/>
          <w:sz w:val="24"/>
          <w:highlight w:val="none"/>
        </w:rPr>
      </w:pPr>
      <w:r>
        <w:rPr>
          <w:rFonts w:hint="eastAsia" w:ascii="仿宋" w:hAnsi="仿宋" w:eastAsia="仿宋" w:cs="仿宋"/>
          <w:bCs w:val="0"/>
          <w:snapToGrid w:val="0"/>
          <w:color w:val="auto"/>
          <w:sz w:val="24"/>
          <w:highlight w:val="none"/>
        </w:rPr>
        <w:t>3、</w:t>
      </w:r>
      <w:r>
        <w:rPr>
          <w:rFonts w:hint="eastAsia" w:ascii="仿宋" w:hAnsi="仿宋" w:eastAsia="仿宋" w:cs="仿宋"/>
          <w:snapToGrid w:val="0"/>
          <w:sz w:val="24"/>
          <w:lang w:val="en-US" w:eastAsia="zh-CN"/>
        </w:rPr>
        <w:t>采购</w:t>
      </w:r>
      <w:r>
        <w:rPr>
          <w:rFonts w:hint="eastAsia" w:ascii="仿宋" w:hAnsi="仿宋" w:eastAsia="仿宋" w:cs="仿宋"/>
          <w:bCs w:val="0"/>
          <w:snapToGrid w:val="0"/>
          <w:color w:val="auto"/>
          <w:sz w:val="24"/>
          <w:highlight w:val="none"/>
        </w:rPr>
        <w:t>人因特殊原因或紧急情况会有出现零星小批量送货要求，投标人报价时须考虑此风险，并在投标文件中编制针对此情况的突发情况应急措施方案。</w:t>
      </w:r>
    </w:p>
    <w:p w14:paraId="6F88D2CD">
      <w:pPr>
        <w:pStyle w:val="14"/>
        <w:widowControl/>
        <w:adjustRightInd w:val="0"/>
        <w:snapToGrid w:val="0"/>
        <w:spacing w:before="0" w:beforeLines="0" w:afterLines="0" w:line="360" w:lineRule="auto"/>
        <w:ind w:firstLine="480" w:firstLineChars="200"/>
        <w:outlineLvl w:val="9"/>
        <w:rPr>
          <w:rFonts w:hint="eastAsia" w:ascii="仿宋" w:hAnsi="仿宋" w:eastAsia="仿宋" w:cs="仿宋"/>
          <w:bCs w:val="0"/>
          <w:snapToGrid w:val="0"/>
          <w:color w:val="auto"/>
          <w:sz w:val="24"/>
          <w:highlight w:val="none"/>
        </w:rPr>
      </w:pPr>
      <w:r>
        <w:rPr>
          <w:rFonts w:hint="eastAsia" w:ascii="仿宋" w:hAnsi="仿宋" w:eastAsia="仿宋" w:cs="仿宋"/>
          <w:bCs w:val="0"/>
          <w:snapToGrid w:val="0"/>
          <w:color w:val="auto"/>
          <w:sz w:val="24"/>
          <w:highlight w:val="none"/>
          <w:lang w:val="en-US" w:eastAsia="zh-CN"/>
        </w:rPr>
        <w:t>4</w:t>
      </w:r>
      <w:r>
        <w:rPr>
          <w:rFonts w:hint="eastAsia" w:ascii="仿宋" w:hAnsi="仿宋" w:eastAsia="仿宋" w:cs="仿宋"/>
          <w:bCs w:val="0"/>
          <w:snapToGrid w:val="0"/>
          <w:color w:val="auto"/>
          <w:sz w:val="24"/>
          <w:highlight w:val="none"/>
        </w:rPr>
        <w:t>、</w:t>
      </w:r>
      <w:r>
        <w:rPr>
          <w:rFonts w:hint="eastAsia" w:ascii="仿宋" w:hAnsi="仿宋" w:eastAsia="仿宋" w:cs="仿宋"/>
          <w:bCs w:val="0"/>
          <w:snapToGrid w:val="0"/>
          <w:color w:val="auto"/>
          <w:sz w:val="24"/>
          <w:highlight w:val="none"/>
          <w:lang w:eastAsia="zh-CN"/>
        </w:rPr>
        <w:t>成交人</w:t>
      </w:r>
      <w:r>
        <w:rPr>
          <w:rFonts w:hint="eastAsia" w:ascii="仿宋" w:hAnsi="仿宋" w:eastAsia="仿宋" w:cs="仿宋"/>
          <w:bCs w:val="0"/>
          <w:snapToGrid w:val="0"/>
          <w:color w:val="auto"/>
          <w:sz w:val="24"/>
          <w:highlight w:val="none"/>
        </w:rPr>
        <w:t>应将材料送达采购人指定地点（采购人的储存仓库）。</w:t>
      </w:r>
      <w:r>
        <w:rPr>
          <w:rFonts w:hint="eastAsia" w:ascii="仿宋" w:hAnsi="仿宋" w:eastAsia="仿宋" w:cs="仿宋"/>
          <w:b w:val="0"/>
          <w:bCs w:val="0"/>
          <w:snapToGrid w:val="0"/>
          <w:color w:val="auto"/>
          <w:sz w:val="24"/>
          <w:highlight w:val="none"/>
        </w:rPr>
        <w:t>材料运达到货地点后，由</w:t>
      </w:r>
      <w:r>
        <w:rPr>
          <w:rFonts w:hint="eastAsia" w:ascii="仿宋" w:hAnsi="仿宋" w:eastAsia="仿宋" w:cs="仿宋"/>
          <w:b w:val="0"/>
          <w:bCs w:val="0"/>
          <w:snapToGrid w:val="0"/>
          <w:color w:val="auto"/>
          <w:sz w:val="24"/>
          <w:highlight w:val="none"/>
          <w:lang w:val="en-US" w:eastAsia="zh-CN"/>
        </w:rPr>
        <w:t>采购</w:t>
      </w:r>
      <w:r>
        <w:rPr>
          <w:rFonts w:hint="eastAsia" w:ascii="仿宋" w:hAnsi="仿宋" w:eastAsia="仿宋" w:cs="仿宋"/>
          <w:b w:val="0"/>
          <w:bCs w:val="0"/>
          <w:snapToGrid w:val="0"/>
          <w:color w:val="auto"/>
          <w:sz w:val="24"/>
          <w:highlight w:val="none"/>
        </w:rPr>
        <w:t>人清点接货。如因运输不当造成材料质量下降或缺损等，</w:t>
      </w:r>
      <w:r>
        <w:rPr>
          <w:rFonts w:hint="eastAsia" w:ascii="仿宋" w:hAnsi="仿宋" w:eastAsia="仿宋" w:cs="仿宋"/>
          <w:b w:val="0"/>
          <w:bCs w:val="0"/>
          <w:snapToGrid w:val="0"/>
          <w:color w:val="auto"/>
          <w:sz w:val="24"/>
          <w:highlight w:val="none"/>
          <w:lang w:eastAsia="zh-CN"/>
        </w:rPr>
        <w:t>成交人</w:t>
      </w:r>
      <w:r>
        <w:rPr>
          <w:rFonts w:hint="eastAsia" w:ascii="仿宋" w:hAnsi="仿宋" w:eastAsia="仿宋" w:cs="仿宋"/>
          <w:b w:val="0"/>
          <w:bCs w:val="0"/>
          <w:snapToGrid w:val="0"/>
          <w:color w:val="auto"/>
          <w:sz w:val="24"/>
          <w:highlight w:val="none"/>
        </w:rPr>
        <w:t>承担责任。</w:t>
      </w:r>
    </w:p>
    <w:p w14:paraId="0A68ECCB">
      <w:pPr>
        <w:pStyle w:val="14"/>
        <w:widowControl/>
        <w:adjustRightInd w:val="0"/>
        <w:snapToGrid w:val="0"/>
        <w:spacing w:before="0" w:beforeLines="0" w:afterLines="0" w:line="360" w:lineRule="auto"/>
        <w:ind w:firstLine="480" w:firstLineChars="200"/>
        <w:outlineLvl w:val="9"/>
        <w:rPr>
          <w:rFonts w:hint="eastAsia" w:ascii="仿宋" w:hAnsi="仿宋" w:eastAsia="仿宋" w:cs="仿宋"/>
          <w:b w:val="0"/>
          <w:bCs w:val="0"/>
          <w:snapToGrid w:val="0"/>
          <w:sz w:val="24"/>
          <w:highlight w:val="none"/>
        </w:rPr>
      </w:pPr>
      <w:r>
        <w:rPr>
          <w:rFonts w:hint="eastAsia" w:ascii="仿宋" w:hAnsi="仿宋" w:eastAsia="仿宋" w:cs="仿宋"/>
          <w:b w:val="0"/>
          <w:bCs w:val="0"/>
          <w:snapToGrid w:val="0"/>
          <w:color w:val="auto"/>
          <w:sz w:val="24"/>
          <w:highlight w:val="none"/>
          <w:lang w:val="en-US" w:eastAsia="zh-CN"/>
        </w:rPr>
        <w:t>5</w:t>
      </w:r>
      <w:r>
        <w:rPr>
          <w:rFonts w:hint="eastAsia" w:ascii="仿宋" w:hAnsi="仿宋" w:eastAsia="仿宋" w:cs="仿宋"/>
          <w:b w:val="0"/>
          <w:bCs w:val="0"/>
          <w:snapToGrid w:val="0"/>
          <w:color w:val="auto"/>
          <w:sz w:val="24"/>
          <w:highlight w:val="none"/>
        </w:rPr>
        <w:t>、材料到达交货地点后，</w:t>
      </w:r>
      <w:r>
        <w:rPr>
          <w:rFonts w:hint="eastAsia" w:ascii="仿宋" w:hAnsi="仿宋" w:eastAsia="仿宋" w:cs="仿宋"/>
          <w:b w:val="0"/>
          <w:bCs w:val="0"/>
          <w:snapToGrid w:val="0"/>
          <w:color w:val="auto"/>
          <w:sz w:val="24"/>
          <w:highlight w:val="none"/>
          <w:lang w:eastAsia="zh-CN"/>
        </w:rPr>
        <w:t>成交人</w:t>
      </w:r>
      <w:r>
        <w:rPr>
          <w:rFonts w:hint="eastAsia" w:ascii="仿宋" w:hAnsi="仿宋" w:eastAsia="仿宋" w:cs="仿宋"/>
          <w:b w:val="0"/>
          <w:bCs w:val="0"/>
          <w:snapToGrid w:val="0"/>
          <w:color w:val="auto"/>
          <w:sz w:val="24"/>
          <w:highlight w:val="none"/>
        </w:rPr>
        <w:t>应按</w:t>
      </w:r>
      <w:r>
        <w:rPr>
          <w:rFonts w:hint="eastAsia" w:ascii="仿宋" w:hAnsi="仿宋" w:eastAsia="仿宋" w:cs="仿宋"/>
          <w:b w:val="0"/>
          <w:bCs w:val="0"/>
          <w:snapToGrid w:val="0"/>
          <w:color w:val="auto"/>
          <w:sz w:val="24"/>
          <w:highlight w:val="none"/>
          <w:lang w:val="en-US" w:eastAsia="zh-CN"/>
        </w:rPr>
        <w:t>采购</w:t>
      </w:r>
      <w:r>
        <w:rPr>
          <w:rFonts w:hint="eastAsia" w:ascii="仿宋" w:hAnsi="仿宋" w:eastAsia="仿宋" w:cs="仿宋"/>
          <w:b w:val="0"/>
          <w:bCs w:val="0"/>
          <w:snapToGrid w:val="0"/>
          <w:color w:val="auto"/>
          <w:sz w:val="24"/>
          <w:highlight w:val="none"/>
        </w:rPr>
        <w:t>人安排的时间派人到交货点进行检验。</w:t>
      </w:r>
      <w:r>
        <w:rPr>
          <w:rFonts w:hint="eastAsia" w:ascii="仿宋" w:hAnsi="仿宋" w:eastAsia="仿宋" w:cs="仿宋"/>
          <w:b w:val="0"/>
          <w:bCs w:val="0"/>
          <w:snapToGrid w:val="0"/>
          <w:sz w:val="24"/>
          <w:lang w:eastAsia="zh-CN"/>
        </w:rPr>
        <w:t>成交人</w:t>
      </w:r>
      <w:r>
        <w:rPr>
          <w:rFonts w:hint="eastAsia" w:ascii="仿宋" w:hAnsi="仿宋" w:eastAsia="仿宋" w:cs="仿宋"/>
          <w:b w:val="0"/>
          <w:bCs w:val="0"/>
          <w:snapToGrid w:val="0"/>
          <w:sz w:val="24"/>
        </w:rPr>
        <w:t>每次供货时，应向</w:t>
      </w:r>
      <w:r>
        <w:rPr>
          <w:rFonts w:hint="eastAsia" w:ascii="仿宋" w:hAnsi="仿宋" w:eastAsia="仿宋" w:cs="仿宋"/>
          <w:b w:val="0"/>
          <w:bCs w:val="0"/>
          <w:snapToGrid w:val="0"/>
          <w:color w:val="auto"/>
          <w:sz w:val="24"/>
          <w:highlight w:val="none"/>
          <w:lang w:val="en-US" w:eastAsia="zh-CN"/>
        </w:rPr>
        <w:t>采购</w:t>
      </w:r>
      <w:r>
        <w:rPr>
          <w:rFonts w:hint="eastAsia" w:ascii="仿宋" w:hAnsi="仿宋" w:eastAsia="仿宋" w:cs="仿宋"/>
          <w:b w:val="0"/>
          <w:bCs w:val="0"/>
          <w:snapToGrid w:val="0"/>
          <w:color w:val="auto"/>
          <w:sz w:val="24"/>
          <w:highlight w:val="none"/>
        </w:rPr>
        <w:t>人</w:t>
      </w:r>
      <w:r>
        <w:rPr>
          <w:rFonts w:hint="eastAsia" w:ascii="仿宋" w:hAnsi="仿宋" w:eastAsia="仿宋" w:cs="仿宋"/>
          <w:b w:val="0"/>
          <w:bCs w:val="0"/>
          <w:snapToGrid w:val="0"/>
          <w:sz w:val="24"/>
        </w:rPr>
        <w:t>提供每批</w:t>
      </w:r>
      <w:r>
        <w:rPr>
          <w:rFonts w:hint="eastAsia" w:ascii="仿宋" w:hAnsi="仿宋" w:eastAsia="仿宋" w:cs="仿宋"/>
          <w:b w:val="0"/>
          <w:bCs w:val="0"/>
          <w:snapToGrid w:val="0"/>
          <w:sz w:val="24"/>
          <w:highlight w:val="none"/>
        </w:rPr>
        <w:t>合格证书、原始出厂单及供货清单等</w:t>
      </w:r>
      <w:r>
        <w:rPr>
          <w:rFonts w:hint="eastAsia" w:ascii="仿宋" w:hAnsi="仿宋" w:eastAsia="仿宋" w:cs="仿宋"/>
          <w:b w:val="0"/>
          <w:bCs w:val="0"/>
          <w:snapToGrid w:val="0"/>
          <w:sz w:val="24"/>
          <w:highlight w:val="none"/>
          <w:lang w:val="en-US" w:eastAsia="zh-CN"/>
        </w:rPr>
        <w:t>并留取该批货物的样品</w:t>
      </w:r>
      <w:r>
        <w:rPr>
          <w:rFonts w:hint="eastAsia" w:ascii="仿宋" w:hAnsi="仿宋" w:eastAsia="仿宋" w:cs="仿宋"/>
          <w:b w:val="0"/>
          <w:bCs w:val="0"/>
          <w:snapToGrid w:val="0"/>
          <w:sz w:val="24"/>
          <w:highlight w:val="none"/>
        </w:rPr>
        <w:t>，</w:t>
      </w:r>
      <w:r>
        <w:rPr>
          <w:rFonts w:hint="eastAsia" w:ascii="仿宋" w:hAnsi="仿宋" w:eastAsia="仿宋" w:cs="仿宋"/>
          <w:b w:val="0"/>
          <w:bCs w:val="0"/>
          <w:snapToGrid w:val="0"/>
          <w:color w:val="auto"/>
          <w:sz w:val="24"/>
          <w:highlight w:val="none"/>
          <w:lang w:val="en-US" w:eastAsia="zh-CN"/>
        </w:rPr>
        <w:t>采购</w:t>
      </w:r>
      <w:r>
        <w:rPr>
          <w:rFonts w:hint="eastAsia" w:ascii="仿宋" w:hAnsi="仿宋" w:eastAsia="仿宋" w:cs="仿宋"/>
          <w:b w:val="0"/>
          <w:bCs w:val="0"/>
          <w:snapToGrid w:val="0"/>
          <w:color w:val="auto"/>
          <w:sz w:val="24"/>
          <w:highlight w:val="none"/>
        </w:rPr>
        <w:t>人</w:t>
      </w:r>
      <w:r>
        <w:rPr>
          <w:rFonts w:hint="eastAsia" w:ascii="仿宋" w:hAnsi="仿宋" w:eastAsia="仿宋" w:cs="仿宋"/>
          <w:b w:val="0"/>
          <w:bCs w:val="0"/>
          <w:snapToGrid w:val="0"/>
          <w:sz w:val="24"/>
          <w:highlight w:val="none"/>
        </w:rPr>
        <w:t>根据此资料进行接货、检验及结算，若资料不齐全的，</w:t>
      </w:r>
      <w:r>
        <w:rPr>
          <w:rFonts w:hint="eastAsia" w:ascii="仿宋" w:hAnsi="仿宋" w:eastAsia="仿宋" w:cs="仿宋"/>
          <w:b w:val="0"/>
          <w:bCs w:val="0"/>
          <w:snapToGrid w:val="0"/>
          <w:sz w:val="24"/>
          <w:highlight w:val="none"/>
          <w:lang w:eastAsia="zh-CN"/>
        </w:rPr>
        <w:t>采购人</w:t>
      </w:r>
      <w:r>
        <w:rPr>
          <w:rFonts w:hint="eastAsia" w:ascii="仿宋" w:hAnsi="仿宋" w:eastAsia="仿宋" w:cs="仿宋"/>
          <w:b w:val="0"/>
          <w:bCs w:val="0"/>
          <w:snapToGrid w:val="0"/>
          <w:sz w:val="24"/>
          <w:highlight w:val="none"/>
        </w:rPr>
        <w:t>有权拒收。若出现有短少或不符合标准的材料，</w:t>
      </w:r>
      <w:r>
        <w:rPr>
          <w:rFonts w:hint="eastAsia" w:ascii="仿宋" w:hAnsi="仿宋" w:eastAsia="仿宋" w:cs="仿宋"/>
          <w:b w:val="0"/>
          <w:bCs w:val="0"/>
          <w:snapToGrid w:val="0"/>
          <w:sz w:val="24"/>
          <w:highlight w:val="none"/>
          <w:lang w:eastAsia="zh-CN"/>
        </w:rPr>
        <w:t>成交人</w:t>
      </w:r>
      <w:r>
        <w:rPr>
          <w:rFonts w:hint="eastAsia" w:ascii="仿宋" w:hAnsi="仿宋" w:eastAsia="仿宋" w:cs="仿宋"/>
          <w:b w:val="0"/>
          <w:bCs w:val="0"/>
          <w:snapToGrid w:val="0"/>
          <w:sz w:val="24"/>
          <w:highlight w:val="none"/>
        </w:rPr>
        <w:t>应12小时内补足或更换全新同规格的</w:t>
      </w:r>
      <w:r>
        <w:rPr>
          <w:rFonts w:hint="eastAsia" w:ascii="仿宋" w:hAnsi="仿宋" w:eastAsia="仿宋" w:cs="仿宋"/>
          <w:b w:val="0"/>
          <w:bCs w:val="0"/>
          <w:snapToGrid w:val="0"/>
          <w:sz w:val="24"/>
          <w:highlight w:val="none"/>
          <w:lang w:val="en-US" w:eastAsia="zh-CN"/>
        </w:rPr>
        <w:t>矿粉</w:t>
      </w:r>
      <w:r>
        <w:rPr>
          <w:rFonts w:hint="eastAsia" w:ascii="仿宋" w:hAnsi="仿宋" w:eastAsia="仿宋" w:cs="仿宋"/>
          <w:b w:val="0"/>
          <w:bCs w:val="0"/>
          <w:snapToGrid w:val="0"/>
          <w:sz w:val="24"/>
          <w:highlight w:val="none"/>
        </w:rPr>
        <w:t>，并承担由此产生的一切费用；如果该不合格</w:t>
      </w:r>
      <w:r>
        <w:rPr>
          <w:rFonts w:hint="eastAsia" w:ascii="仿宋" w:hAnsi="仿宋" w:eastAsia="仿宋" w:cs="仿宋"/>
          <w:b w:val="0"/>
          <w:bCs w:val="0"/>
          <w:snapToGrid w:val="0"/>
          <w:sz w:val="24"/>
          <w:highlight w:val="none"/>
          <w:lang w:val="en-US" w:eastAsia="zh-CN"/>
        </w:rPr>
        <w:t>矿粉</w:t>
      </w:r>
      <w:r>
        <w:rPr>
          <w:rFonts w:hint="eastAsia" w:ascii="仿宋" w:hAnsi="仿宋" w:eastAsia="仿宋" w:cs="仿宋"/>
          <w:b w:val="0"/>
          <w:bCs w:val="0"/>
          <w:snapToGrid w:val="0"/>
          <w:sz w:val="24"/>
          <w:highlight w:val="none"/>
        </w:rPr>
        <w:t>已经被使用，由此引发的一切后果由</w:t>
      </w:r>
      <w:r>
        <w:rPr>
          <w:rFonts w:hint="eastAsia" w:ascii="仿宋" w:hAnsi="仿宋" w:eastAsia="仿宋" w:cs="仿宋"/>
          <w:b w:val="0"/>
          <w:bCs w:val="0"/>
          <w:snapToGrid w:val="0"/>
          <w:sz w:val="24"/>
          <w:highlight w:val="none"/>
          <w:lang w:eastAsia="zh-CN"/>
        </w:rPr>
        <w:t>成交人</w:t>
      </w:r>
      <w:r>
        <w:rPr>
          <w:rFonts w:hint="eastAsia" w:ascii="仿宋" w:hAnsi="仿宋" w:eastAsia="仿宋" w:cs="仿宋"/>
          <w:b w:val="0"/>
          <w:bCs w:val="0"/>
          <w:snapToGrid w:val="0"/>
          <w:sz w:val="24"/>
          <w:highlight w:val="none"/>
        </w:rPr>
        <w:t>承担。</w:t>
      </w:r>
    </w:p>
    <w:p w14:paraId="0479CA53">
      <w:pPr>
        <w:pStyle w:val="14"/>
        <w:snapToGrid w:val="0"/>
        <w:spacing w:before="0" w:beforeLines="0" w:after="0" w:afterLines="0" w:line="360" w:lineRule="auto"/>
        <w:ind w:firstLine="482" w:firstLineChars="200"/>
        <w:outlineLvl w:val="1"/>
        <w:rPr>
          <w:rFonts w:hint="eastAsia" w:ascii="仿宋" w:hAnsi="仿宋" w:eastAsia="仿宋" w:cs="仿宋"/>
          <w:b/>
          <w:bCs/>
        </w:rPr>
      </w:pPr>
      <w:r>
        <w:rPr>
          <w:rFonts w:hint="eastAsia" w:ascii="仿宋" w:hAnsi="仿宋" w:eastAsia="仿宋" w:cs="仿宋"/>
          <w:b/>
          <w:bCs/>
          <w:lang w:val="en-US" w:eastAsia="zh-CN"/>
        </w:rPr>
        <w:t>六、</w:t>
      </w:r>
      <w:r>
        <w:rPr>
          <w:rFonts w:hint="eastAsia" w:ascii="仿宋" w:hAnsi="仿宋" w:eastAsia="仿宋" w:cs="仿宋"/>
          <w:b/>
          <w:bCs/>
        </w:rPr>
        <w:t>结算及付款</w:t>
      </w:r>
    </w:p>
    <w:p w14:paraId="08EAE8C1">
      <w:pPr>
        <w:pStyle w:val="14"/>
        <w:snapToGrid w:val="0"/>
        <w:spacing w:before="0" w:beforeLines="0" w:after="0" w:afterLines="0" w:line="360" w:lineRule="auto"/>
        <w:ind w:firstLine="480" w:firstLineChars="200"/>
        <w:outlineLvl w:val="0"/>
        <w:rPr>
          <w:rFonts w:hint="eastAsia" w:ascii="仿宋" w:hAnsi="仿宋" w:eastAsia="仿宋" w:cs="仿宋"/>
          <w:bCs/>
          <w:color w:val="auto"/>
        </w:rPr>
      </w:pPr>
      <w:r>
        <w:rPr>
          <w:rFonts w:hint="eastAsia" w:ascii="仿宋" w:hAnsi="仿宋" w:eastAsia="仿宋" w:cs="仿宋"/>
          <w:bCs/>
          <w:color w:val="auto"/>
        </w:rPr>
        <w:t>付款方式：</w:t>
      </w:r>
    </w:p>
    <w:p w14:paraId="188AD2BB">
      <w:pPr>
        <w:snapToGrid w:val="0"/>
        <w:spacing w:before="0" w:beforeLines="0" w:after="0" w:afterLines="0" w:line="360" w:lineRule="auto"/>
        <w:ind w:firstLineChars="200"/>
        <w:outlineLvl w:val="0"/>
        <w:rPr>
          <w:rFonts w:hint="eastAsia" w:ascii="仿宋" w:hAnsi="仿宋" w:eastAsia="仿宋" w:cs="仿宋"/>
          <w:bCs w:val="0"/>
          <w:snapToGrid w:val="0"/>
          <w:color w:val="auto"/>
          <w:kern w:val="0"/>
          <w:sz w:val="24"/>
          <w:szCs w:val="24"/>
          <w:highlight w:val="none"/>
          <w:lang w:val="en-US" w:eastAsia="zh-CN"/>
        </w:rPr>
      </w:pPr>
      <w:r>
        <w:rPr>
          <w:rFonts w:hint="eastAsia" w:ascii="仿宋" w:hAnsi="仿宋" w:eastAsia="仿宋" w:cs="仿宋"/>
          <w:bCs w:val="0"/>
          <w:snapToGrid w:val="0"/>
          <w:color w:val="auto"/>
          <w:kern w:val="0"/>
          <w:sz w:val="24"/>
          <w:szCs w:val="24"/>
          <w:highlight w:val="none"/>
          <w:lang w:val="en-US" w:eastAsia="zh-CN"/>
        </w:rPr>
        <w:t>成交人</w:t>
      </w:r>
      <w:r>
        <w:rPr>
          <w:rFonts w:hint="eastAsia" w:ascii="仿宋" w:hAnsi="仿宋" w:eastAsia="仿宋" w:cs="仿宋"/>
          <w:bCs w:val="0"/>
          <w:snapToGrid w:val="0"/>
          <w:color w:val="auto"/>
          <w:kern w:val="0"/>
          <w:sz w:val="24"/>
          <w:szCs w:val="24"/>
          <w:highlight w:val="none"/>
        </w:rPr>
        <w:t>按</w:t>
      </w:r>
      <w:r>
        <w:rPr>
          <w:rFonts w:hint="eastAsia" w:ascii="仿宋" w:hAnsi="仿宋" w:eastAsia="仿宋" w:cs="仿宋"/>
          <w:bCs w:val="0"/>
          <w:snapToGrid w:val="0"/>
          <w:color w:val="auto"/>
          <w:kern w:val="0"/>
          <w:sz w:val="24"/>
          <w:szCs w:val="24"/>
          <w:highlight w:val="none"/>
          <w:lang w:val="en-US" w:eastAsia="zh-CN"/>
        </w:rPr>
        <w:t>采购人</w:t>
      </w:r>
      <w:r>
        <w:rPr>
          <w:rFonts w:hint="eastAsia" w:ascii="仿宋" w:hAnsi="仿宋" w:eastAsia="仿宋" w:cs="仿宋"/>
          <w:bCs w:val="0"/>
          <w:snapToGrid w:val="0"/>
          <w:color w:val="auto"/>
          <w:kern w:val="0"/>
          <w:sz w:val="24"/>
          <w:szCs w:val="24"/>
          <w:highlight w:val="none"/>
        </w:rPr>
        <w:t>出具的过磅单于每月 2</w:t>
      </w:r>
      <w:r>
        <w:rPr>
          <w:rFonts w:hint="eastAsia" w:ascii="仿宋" w:hAnsi="仿宋" w:eastAsia="仿宋" w:cs="仿宋"/>
          <w:bCs w:val="0"/>
          <w:snapToGrid w:val="0"/>
          <w:color w:val="auto"/>
          <w:kern w:val="0"/>
          <w:sz w:val="24"/>
          <w:szCs w:val="24"/>
          <w:highlight w:val="none"/>
          <w:lang w:val="en-US" w:eastAsia="zh-CN"/>
        </w:rPr>
        <w:t>0</w:t>
      </w:r>
      <w:r>
        <w:rPr>
          <w:rFonts w:hint="eastAsia" w:ascii="仿宋" w:hAnsi="仿宋" w:eastAsia="仿宋" w:cs="仿宋"/>
          <w:bCs w:val="0"/>
          <w:snapToGrid w:val="0"/>
          <w:color w:val="auto"/>
          <w:kern w:val="0"/>
          <w:sz w:val="24"/>
          <w:szCs w:val="24"/>
          <w:highlight w:val="none"/>
        </w:rPr>
        <w:t xml:space="preserve"> 日结算一次，双方签字确认的结算单和正规发票作为</w:t>
      </w:r>
      <w:r>
        <w:rPr>
          <w:rFonts w:hint="eastAsia" w:ascii="仿宋" w:hAnsi="仿宋" w:eastAsia="仿宋" w:cs="仿宋"/>
          <w:bCs w:val="0"/>
          <w:snapToGrid w:val="0"/>
          <w:color w:val="auto"/>
          <w:kern w:val="0"/>
          <w:sz w:val="24"/>
          <w:szCs w:val="24"/>
          <w:highlight w:val="none"/>
          <w:lang w:val="en-US" w:eastAsia="zh-CN"/>
        </w:rPr>
        <w:t>成交人</w:t>
      </w:r>
      <w:r>
        <w:rPr>
          <w:rFonts w:hint="eastAsia" w:ascii="仿宋" w:hAnsi="仿宋" w:eastAsia="仿宋" w:cs="仿宋"/>
          <w:bCs w:val="0"/>
          <w:snapToGrid w:val="0"/>
          <w:color w:val="auto"/>
          <w:kern w:val="0"/>
          <w:sz w:val="24"/>
          <w:szCs w:val="24"/>
          <w:highlight w:val="none"/>
        </w:rPr>
        <w:t>索款和</w:t>
      </w:r>
      <w:r>
        <w:rPr>
          <w:rFonts w:hint="eastAsia" w:ascii="仿宋" w:hAnsi="仿宋" w:eastAsia="仿宋" w:cs="仿宋"/>
          <w:bCs w:val="0"/>
          <w:snapToGrid w:val="0"/>
          <w:color w:val="auto"/>
          <w:kern w:val="0"/>
          <w:sz w:val="24"/>
          <w:szCs w:val="24"/>
          <w:highlight w:val="none"/>
          <w:lang w:val="en-US" w:eastAsia="zh-CN"/>
        </w:rPr>
        <w:t>采购人</w:t>
      </w:r>
      <w:r>
        <w:rPr>
          <w:rFonts w:hint="eastAsia" w:ascii="仿宋" w:hAnsi="仿宋" w:eastAsia="仿宋" w:cs="仿宋"/>
          <w:bCs w:val="0"/>
          <w:snapToGrid w:val="0"/>
          <w:color w:val="auto"/>
          <w:kern w:val="0"/>
          <w:sz w:val="24"/>
          <w:szCs w:val="24"/>
          <w:highlight w:val="none"/>
        </w:rPr>
        <w:t>支付的依据。</w:t>
      </w:r>
      <w:r>
        <w:rPr>
          <w:rFonts w:hint="eastAsia" w:ascii="仿宋" w:hAnsi="仿宋" w:eastAsia="仿宋" w:cs="仿宋"/>
          <w:bCs w:val="0"/>
          <w:snapToGrid w:val="0"/>
          <w:color w:val="auto"/>
          <w:kern w:val="0"/>
          <w:sz w:val="24"/>
          <w:szCs w:val="24"/>
          <w:highlight w:val="none"/>
          <w:lang w:val="en-US" w:eastAsia="zh-CN"/>
        </w:rPr>
        <w:t>采购人</w:t>
      </w:r>
      <w:r>
        <w:rPr>
          <w:rFonts w:hint="eastAsia" w:ascii="仿宋" w:hAnsi="仿宋" w:eastAsia="仿宋" w:cs="仿宋"/>
          <w:bCs w:val="0"/>
          <w:snapToGrid w:val="0"/>
          <w:color w:val="auto"/>
          <w:kern w:val="0"/>
          <w:sz w:val="24"/>
          <w:szCs w:val="24"/>
          <w:highlight w:val="none"/>
        </w:rPr>
        <w:t>在收到发票后 45 天内付给</w:t>
      </w:r>
      <w:r>
        <w:rPr>
          <w:rFonts w:hint="eastAsia" w:ascii="仿宋" w:hAnsi="仿宋" w:eastAsia="仿宋" w:cs="仿宋"/>
          <w:bCs w:val="0"/>
          <w:snapToGrid w:val="0"/>
          <w:color w:val="auto"/>
          <w:kern w:val="0"/>
          <w:sz w:val="24"/>
          <w:szCs w:val="24"/>
          <w:highlight w:val="none"/>
          <w:lang w:val="en-US" w:eastAsia="zh-CN"/>
        </w:rPr>
        <w:t>成交人</w:t>
      </w:r>
      <w:r>
        <w:rPr>
          <w:rFonts w:hint="eastAsia" w:ascii="仿宋" w:hAnsi="仿宋" w:eastAsia="仿宋" w:cs="仿宋"/>
          <w:bCs w:val="0"/>
          <w:snapToGrid w:val="0"/>
          <w:color w:val="auto"/>
          <w:kern w:val="0"/>
          <w:sz w:val="24"/>
          <w:szCs w:val="24"/>
          <w:highlight w:val="none"/>
        </w:rPr>
        <w:t>经结算确认货款的 95%，余款 5%待供货结束后 60 日内全部付清。</w:t>
      </w:r>
    </w:p>
    <w:p w14:paraId="39290030">
      <w:pPr>
        <w:snapToGrid w:val="0"/>
        <w:spacing w:before="0" w:beforeLines="0" w:after="0" w:afterLines="0" w:line="360" w:lineRule="auto"/>
        <w:ind w:firstLineChars="200"/>
        <w:outlineLvl w:val="0"/>
        <w:rPr>
          <w:rFonts w:hint="default" w:ascii="仿宋" w:hAnsi="仿宋" w:eastAsia="仿宋" w:cs="仿宋"/>
          <w:bCs w:val="0"/>
          <w:color w:val="auto"/>
          <w:sz w:val="24"/>
          <w:szCs w:val="24"/>
          <w:highlight w:val="none"/>
          <w:lang w:val="en-US" w:eastAsia="zh-CN"/>
        </w:rPr>
      </w:pPr>
      <w:r>
        <w:rPr>
          <w:rFonts w:hint="eastAsia" w:ascii="仿宋" w:hAnsi="仿宋" w:eastAsia="仿宋" w:cs="仿宋"/>
          <w:bCs w:val="0"/>
          <w:color w:val="auto"/>
          <w:sz w:val="24"/>
          <w:szCs w:val="24"/>
          <w:highlight w:val="none"/>
          <w:lang w:val="en-US" w:eastAsia="zh-CN"/>
        </w:rPr>
        <w:t>结算方式：</w:t>
      </w:r>
    </w:p>
    <w:p w14:paraId="26757CA0">
      <w:pPr>
        <w:pStyle w:val="14"/>
        <w:snapToGrid w:val="0"/>
        <w:spacing w:before="0" w:beforeLines="0" w:after="0" w:afterLines="0" w:line="360" w:lineRule="auto"/>
        <w:ind w:firstLine="480" w:firstLineChars="200"/>
        <w:outlineLvl w:val="1"/>
        <w:rPr>
          <w:rFonts w:hint="eastAsia" w:ascii="仿宋" w:hAnsi="仿宋" w:eastAsia="仿宋" w:cs="仿宋"/>
          <w:b/>
          <w:bCs/>
          <w:color w:val="auto"/>
          <w:lang w:val="en-US" w:eastAsia="zh-CN"/>
        </w:rPr>
      </w:pPr>
      <w:r>
        <w:rPr>
          <w:rFonts w:hint="eastAsia" w:ascii="仿宋" w:hAnsi="仿宋" w:eastAsia="仿宋" w:cs="仿宋"/>
          <w:bCs w:val="0"/>
          <w:color w:val="auto"/>
          <w:sz w:val="24"/>
          <w:szCs w:val="24"/>
          <w:highlight w:val="none"/>
          <w:lang w:val="en-US" w:eastAsia="zh-CN"/>
        </w:rPr>
        <w:t>合同结算单价*经采购人审核后的实际用量。</w:t>
      </w:r>
    </w:p>
    <w:p w14:paraId="542A92AA">
      <w:pPr>
        <w:pStyle w:val="14"/>
        <w:snapToGrid w:val="0"/>
        <w:spacing w:before="0" w:beforeLines="0" w:after="0" w:afterLines="0" w:line="360" w:lineRule="auto"/>
        <w:ind w:firstLine="482" w:firstLineChars="200"/>
        <w:outlineLvl w:val="1"/>
        <w:rPr>
          <w:rFonts w:hint="eastAsia" w:ascii="仿宋" w:hAnsi="仿宋" w:eastAsia="仿宋" w:cs="仿宋"/>
          <w:b/>
          <w:bCs/>
        </w:rPr>
      </w:pPr>
      <w:r>
        <w:rPr>
          <w:rFonts w:hint="eastAsia" w:ascii="仿宋" w:hAnsi="仿宋" w:eastAsia="仿宋" w:cs="仿宋"/>
          <w:b/>
          <w:bCs/>
          <w:lang w:val="en-US" w:eastAsia="zh-CN"/>
        </w:rPr>
        <w:t>七、</w:t>
      </w:r>
      <w:r>
        <w:rPr>
          <w:rFonts w:hint="eastAsia" w:ascii="仿宋" w:hAnsi="仿宋" w:eastAsia="仿宋" w:cs="仿宋"/>
          <w:b/>
          <w:bCs/>
        </w:rPr>
        <w:t>履约保证金</w:t>
      </w:r>
    </w:p>
    <w:p w14:paraId="235BC251">
      <w:pPr>
        <w:snapToGrid w:val="0"/>
        <w:spacing w:line="360" w:lineRule="auto"/>
        <w:ind w:firstLine="480" w:firstLineChars="200"/>
        <w:rPr>
          <w:rFonts w:ascii="仿宋" w:hAnsi="仿宋" w:eastAsia="仿宋" w:cs="仿宋"/>
          <w:b w:val="0"/>
          <w:bCs w:val="0"/>
          <w:color w:val="auto"/>
          <w:sz w:val="24"/>
          <w:szCs w:val="24"/>
          <w:highlight w:val="none"/>
        </w:rPr>
      </w:pPr>
      <w:r>
        <w:rPr>
          <w:rFonts w:hint="eastAsia" w:ascii="仿宋" w:hAnsi="仿宋" w:eastAsia="仿宋" w:cs="仿宋"/>
          <w:b w:val="0"/>
          <w:bCs w:val="0"/>
          <w:color w:val="auto"/>
          <w:sz w:val="24"/>
        </w:rPr>
        <w:t>1、</w:t>
      </w:r>
      <w:r>
        <w:rPr>
          <w:rFonts w:hint="eastAsia" w:ascii="仿宋" w:hAnsi="仿宋" w:eastAsia="仿宋" w:cs="仿宋"/>
          <w:b w:val="0"/>
          <w:bCs w:val="0"/>
          <w:color w:val="auto"/>
          <w:sz w:val="24"/>
          <w:highlight w:val="none"/>
          <w:lang w:val="en-US" w:eastAsia="zh-CN"/>
        </w:rPr>
        <w:t>成交人</w:t>
      </w:r>
      <w:r>
        <w:rPr>
          <w:rFonts w:hint="eastAsia" w:ascii="仿宋" w:hAnsi="仿宋" w:eastAsia="仿宋" w:cs="仿宋"/>
          <w:b w:val="0"/>
          <w:bCs w:val="0"/>
          <w:color w:val="auto"/>
          <w:sz w:val="24"/>
          <w:highlight w:val="none"/>
        </w:rPr>
        <w:t>在签订本合同时，须缴纳人民币</w:t>
      </w:r>
      <w:r>
        <w:rPr>
          <w:rFonts w:hint="eastAsia" w:ascii="仿宋" w:hAnsi="仿宋" w:eastAsia="仿宋" w:cs="仿宋"/>
          <w:b w:val="0"/>
          <w:bCs w:val="0"/>
          <w:color w:val="auto"/>
          <w:sz w:val="24"/>
          <w:highlight w:val="none"/>
          <w:lang w:val="en-US" w:eastAsia="zh-CN"/>
        </w:rPr>
        <w:t>2</w:t>
      </w:r>
      <w:r>
        <w:rPr>
          <w:rFonts w:hint="eastAsia" w:ascii="仿宋" w:hAnsi="仿宋" w:eastAsia="仿宋" w:cs="仿宋"/>
          <w:b w:val="0"/>
          <w:bCs w:val="0"/>
          <w:color w:val="auto"/>
          <w:sz w:val="24"/>
          <w:highlight w:val="none"/>
        </w:rPr>
        <w:t>万元整作为履约保证金</w:t>
      </w: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val="0"/>
          <w:color w:val="auto"/>
          <w:sz w:val="24"/>
          <w:szCs w:val="24"/>
          <w:highlight w:val="none"/>
        </w:rPr>
        <w:t xml:space="preserve">履约担保形式：转账/银行保函/保险保证/担保公司担保等形式； </w:t>
      </w:r>
    </w:p>
    <w:p w14:paraId="53AC6C18">
      <w:pPr>
        <w:snapToGrid w:val="0"/>
        <w:spacing w:line="360" w:lineRule="auto"/>
        <w:ind w:firstLine="480" w:firstLineChars="200"/>
        <w:rPr>
          <w:rFonts w:ascii="仿宋" w:hAnsi="仿宋" w:eastAsia="仿宋" w:cs="仿宋"/>
          <w:b w:val="0"/>
          <w:bCs w:val="0"/>
          <w:color w:val="auto"/>
          <w:sz w:val="24"/>
          <w:szCs w:val="24"/>
          <w:highlight w:val="none"/>
        </w:rPr>
      </w:pPr>
      <w:r>
        <w:rPr>
          <w:rFonts w:hint="eastAsia" w:ascii="仿宋" w:hAnsi="仿宋" w:eastAsia="仿宋" w:cs="仿宋"/>
          <w:b w:val="0"/>
          <w:bCs w:val="0"/>
          <w:color w:val="auto"/>
          <w:sz w:val="24"/>
          <w:highlight w:val="none"/>
        </w:rPr>
        <w:t>履约保证金采用</w:t>
      </w:r>
      <w:r>
        <w:rPr>
          <w:rFonts w:hint="eastAsia" w:ascii="仿宋" w:hAnsi="仿宋" w:eastAsia="仿宋" w:cs="仿宋"/>
          <w:b w:val="0"/>
          <w:bCs w:val="0"/>
          <w:color w:val="auto"/>
          <w:sz w:val="24"/>
          <w:highlight w:val="none"/>
          <w:lang w:val="en-US" w:eastAsia="zh-CN"/>
        </w:rPr>
        <w:t>转账形式的，</w:t>
      </w:r>
      <w:r>
        <w:rPr>
          <w:rFonts w:hint="eastAsia" w:ascii="仿宋" w:hAnsi="仿宋" w:eastAsia="仿宋" w:cs="仿宋"/>
          <w:b w:val="0"/>
          <w:bCs w:val="0"/>
          <w:color w:val="auto"/>
          <w:sz w:val="24"/>
          <w:highlight w:val="none"/>
        </w:rPr>
        <w:t>缴纳至</w:t>
      </w:r>
      <w:r>
        <w:rPr>
          <w:rFonts w:hint="eastAsia" w:ascii="仿宋" w:hAnsi="仿宋" w:eastAsia="仿宋" w:cs="仿宋"/>
          <w:b w:val="0"/>
          <w:bCs w:val="0"/>
          <w:color w:val="auto"/>
          <w:sz w:val="24"/>
          <w:highlight w:val="none"/>
          <w:lang w:val="en-US" w:eastAsia="zh-CN"/>
        </w:rPr>
        <w:t>浙江临昌交通新材料</w:t>
      </w:r>
      <w:r>
        <w:rPr>
          <w:rFonts w:hint="eastAsia" w:ascii="仿宋" w:hAnsi="仿宋" w:eastAsia="仿宋" w:cs="仿宋"/>
          <w:b w:val="0"/>
          <w:bCs w:val="0"/>
          <w:color w:val="auto"/>
          <w:sz w:val="24"/>
          <w:highlight w:val="none"/>
          <w:lang w:eastAsia="zh-CN"/>
        </w:rPr>
        <w:t>有限公司</w:t>
      </w:r>
      <w:r>
        <w:rPr>
          <w:rFonts w:hint="eastAsia" w:ascii="仿宋" w:hAnsi="仿宋" w:eastAsia="仿宋" w:cs="仿宋"/>
          <w:b w:val="0"/>
          <w:bCs w:val="0"/>
          <w:color w:val="auto"/>
          <w:sz w:val="24"/>
          <w:highlight w:val="none"/>
        </w:rPr>
        <w:t>指定帐户，在履约期内</w:t>
      </w:r>
      <w:r>
        <w:rPr>
          <w:rFonts w:hint="eastAsia" w:ascii="仿宋" w:hAnsi="仿宋" w:eastAsia="仿宋" w:cs="仿宋"/>
          <w:b w:val="0"/>
          <w:bCs w:val="0"/>
          <w:color w:val="auto"/>
          <w:sz w:val="24"/>
          <w:highlight w:val="none"/>
          <w:lang w:val="en-US" w:eastAsia="zh-CN"/>
        </w:rPr>
        <w:t>成交人</w:t>
      </w:r>
      <w:r>
        <w:rPr>
          <w:rFonts w:hint="eastAsia" w:ascii="仿宋" w:hAnsi="仿宋" w:eastAsia="仿宋" w:cs="仿宋"/>
          <w:b w:val="0"/>
          <w:bCs w:val="0"/>
          <w:color w:val="auto"/>
          <w:sz w:val="24"/>
          <w:highlight w:val="none"/>
        </w:rPr>
        <w:t>全面且无瑕疵的履行完本合同约定的所有义务后无息退还。</w:t>
      </w:r>
    </w:p>
    <w:p w14:paraId="116920F8">
      <w:pPr>
        <w:keepNext w:val="0"/>
        <w:keepLines w:val="0"/>
        <w:pageBreakBefore w:val="0"/>
        <w:shd w:val="clear" w:color="auto" w:fill="auto"/>
        <w:kinsoku/>
        <w:wordWrap/>
        <w:overflowPunct/>
        <w:topLinePunct w:val="0"/>
        <w:autoSpaceDE/>
        <w:autoSpaceDN/>
        <w:bidi w:val="0"/>
        <w:spacing w:line="360" w:lineRule="auto"/>
        <w:ind w:firstLine="480" w:firstLineChars="200"/>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szCs w:val="24"/>
          <w:highlight w:val="none"/>
        </w:rPr>
        <w:t>如采用银行保函：应由</w:t>
      </w:r>
      <w:r>
        <w:rPr>
          <w:rFonts w:hint="eastAsia" w:ascii="仿宋" w:hAnsi="仿宋" w:eastAsia="仿宋" w:cs="仿宋"/>
          <w:b w:val="0"/>
          <w:bCs w:val="0"/>
          <w:color w:val="auto"/>
          <w:sz w:val="24"/>
          <w:szCs w:val="24"/>
          <w:highlight w:val="none"/>
          <w:lang w:val="en-US" w:eastAsia="zh-CN"/>
        </w:rPr>
        <w:t>成交人</w:t>
      </w:r>
      <w:r>
        <w:rPr>
          <w:rFonts w:hint="eastAsia" w:ascii="仿宋" w:hAnsi="仿宋" w:eastAsia="仿宋" w:cs="仿宋"/>
          <w:b w:val="0"/>
          <w:bCs w:val="0"/>
          <w:color w:val="auto"/>
          <w:sz w:val="24"/>
          <w:szCs w:val="24"/>
          <w:highlight w:val="none"/>
        </w:rPr>
        <w:t>从县（区、市）级支行及以上的银行开具，并保证其有效。保函有效时间</w:t>
      </w:r>
      <w:r>
        <w:rPr>
          <w:rFonts w:hint="eastAsia" w:ascii="仿宋" w:hAnsi="仿宋" w:eastAsia="仿宋" w:cs="仿宋"/>
          <w:b w:val="0"/>
          <w:bCs w:val="0"/>
          <w:color w:val="auto"/>
          <w:sz w:val="24"/>
          <w:szCs w:val="24"/>
          <w:highlight w:val="none"/>
          <w:lang w:val="en-US" w:eastAsia="zh-CN"/>
        </w:rPr>
        <w:t>不少于12个月</w:t>
      </w:r>
      <w:r>
        <w:rPr>
          <w:rFonts w:hint="eastAsia" w:ascii="仿宋" w:hAnsi="仿宋" w:eastAsia="仿宋" w:cs="仿宋"/>
          <w:b w:val="0"/>
          <w:bCs w:val="0"/>
          <w:color w:val="auto"/>
          <w:sz w:val="24"/>
          <w:szCs w:val="24"/>
          <w:highlight w:val="none"/>
        </w:rPr>
        <w:t>。</w:t>
      </w:r>
    </w:p>
    <w:p w14:paraId="6006F0DB">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b w:val="0"/>
          <w:bCs w:val="0"/>
          <w:color w:val="auto"/>
          <w:sz w:val="24"/>
          <w:szCs w:val="24"/>
          <w:highlight w:val="none"/>
          <w:lang w:val="en-US" w:eastAsia="zh-CN"/>
        </w:rPr>
        <w:t>成交人</w:t>
      </w:r>
      <w:r>
        <w:rPr>
          <w:rFonts w:hint="eastAsia" w:ascii="仿宋" w:hAnsi="仿宋" w:eastAsia="仿宋" w:cs="仿宋"/>
          <w:color w:val="auto"/>
          <w:sz w:val="24"/>
        </w:rPr>
        <w:t>保证：按采购人要求按时交货。如因</w:t>
      </w:r>
      <w:r>
        <w:rPr>
          <w:rFonts w:hint="eastAsia" w:ascii="仿宋" w:hAnsi="仿宋" w:eastAsia="仿宋" w:cs="仿宋"/>
          <w:b w:val="0"/>
          <w:bCs w:val="0"/>
          <w:color w:val="auto"/>
          <w:sz w:val="24"/>
          <w:szCs w:val="24"/>
          <w:highlight w:val="none"/>
          <w:lang w:val="en-US" w:eastAsia="zh-CN"/>
        </w:rPr>
        <w:t>成交人</w:t>
      </w:r>
      <w:r>
        <w:rPr>
          <w:rFonts w:hint="eastAsia" w:ascii="仿宋" w:hAnsi="仿宋" w:eastAsia="仿宋" w:cs="仿宋"/>
          <w:color w:val="auto"/>
          <w:sz w:val="24"/>
        </w:rPr>
        <w:t>原因而逾期交货（分批交货的，分别以每批各自的交货日为准），延迟1天，</w:t>
      </w:r>
      <w:r>
        <w:rPr>
          <w:rFonts w:hint="eastAsia" w:ascii="仿宋" w:hAnsi="仿宋" w:eastAsia="仿宋" w:cs="仿宋"/>
          <w:b w:val="0"/>
          <w:bCs w:val="0"/>
          <w:color w:val="auto"/>
          <w:sz w:val="24"/>
          <w:szCs w:val="24"/>
          <w:highlight w:val="none"/>
          <w:lang w:val="en-US" w:eastAsia="zh-CN"/>
        </w:rPr>
        <w:t>成交人</w:t>
      </w:r>
      <w:r>
        <w:rPr>
          <w:rFonts w:hint="eastAsia" w:ascii="仿宋" w:hAnsi="仿宋" w:eastAsia="仿宋" w:cs="仿宋"/>
          <w:color w:val="auto"/>
          <w:sz w:val="24"/>
        </w:rPr>
        <w:t>应向采购人支付5000元/天的违约金，累计5天以上的，按10000元/天支付违约金，累计10天以上的，采购人有权终止合同并要求入围单位赔偿损失，履约保证金予以没收。</w:t>
      </w:r>
    </w:p>
    <w:p w14:paraId="7EF2DA98">
      <w:pPr>
        <w:spacing w:line="360" w:lineRule="auto"/>
        <w:ind w:firstLine="480" w:firstLineChars="200"/>
        <w:rPr>
          <w:rFonts w:hint="eastAsia" w:ascii="仿宋" w:hAnsi="仿宋" w:eastAsia="仿宋" w:cs="仿宋"/>
          <w:sz w:val="24"/>
        </w:rPr>
      </w:pPr>
      <w:r>
        <w:rPr>
          <w:rFonts w:hint="eastAsia" w:ascii="仿宋" w:hAnsi="仿宋" w:eastAsia="仿宋" w:cs="仿宋"/>
          <w:color w:val="auto"/>
          <w:sz w:val="24"/>
        </w:rPr>
        <w:t>自交货日（分批交货的，分别以每批各自的交货日为准</w:t>
      </w:r>
      <w:r>
        <w:rPr>
          <w:rFonts w:hint="eastAsia" w:ascii="仿宋" w:hAnsi="仿宋" w:eastAsia="仿宋" w:cs="仿宋"/>
          <w:sz w:val="24"/>
        </w:rPr>
        <w:t>）起算，一旦</w:t>
      </w:r>
      <w:r>
        <w:rPr>
          <w:rFonts w:hint="eastAsia" w:ascii="仿宋" w:hAnsi="仿宋" w:eastAsia="仿宋" w:cs="仿宋"/>
          <w:b w:val="0"/>
          <w:bCs w:val="0"/>
          <w:color w:val="auto"/>
          <w:sz w:val="24"/>
          <w:szCs w:val="24"/>
          <w:highlight w:val="none"/>
          <w:lang w:val="en-US" w:eastAsia="zh-CN"/>
        </w:rPr>
        <w:t>成交人</w:t>
      </w:r>
      <w:r>
        <w:rPr>
          <w:rFonts w:hint="eastAsia" w:ascii="仿宋" w:hAnsi="仿宋" w:eastAsia="仿宋" w:cs="仿宋"/>
          <w:sz w:val="24"/>
        </w:rPr>
        <w:t>逾期达到5天，则采购人有权利选择随时解除合同，另寻其他供应商，同时，</w:t>
      </w:r>
      <w:r>
        <w:rPr>
          <w:rFonts w:hint="eastAsia" w:ascii="仿宋" w:hAnsi="仿宋" w:eastAsia="仿宋" w:cs="仿宋"/>
          <w:b w:val="0"/>
          <w:bCs w:val="0"/>
          <w:color w:val="auto"/>
          <w:sz w:val="24"/>
          <w:szCs w:val="24"/>
          <w:highlight w:val="none"/>
          <w:lang w:val="en-US" w:eastAsia="zh-CN"/>
        </w:rPr>
        <w:t>成交人</w:t>
      </w:r>
      <w:r>
        <w:rPr>
          <w:rFonts w:hint="eastAsia" w:ascii="仿宋" w:hAnsi="仿宋" w:eastAsia="仿宋" w:cs="仿宋"/>
          <w:sz w:val="24"/>
        </w:rPr>
        <w:t>应向采购人支付3万元作为违约金。</w:t>
      </w:r>
    </w:p>
    <w:p w14:paraId="6319A260">
      <w:pPr>
        <w:spacing w:line="360" w:lineRule="auto"/>
        <w:ind w:firstLine="480" w:firstLineChars="200"/>
        <w:rPr>
          <w:rFonts w:hint="eastAsia" w:ascii="仿宋" w:hAnsi="仿宋" w:eastAsia="仿宋" w:cs="仿宋"/>
          <w:sz w:val="24"/>
        </w:rPr>
      </w:pPr>
      <w:r>
        <w:rPr>
          <w:rFonts w:hint="eastAsia" w:ascii="仿宋" w:hAnsi="仿宋" w:eastAsia="仿宋" w:cs="仿宋"/>
          <w:sz w:val="24"/>
        </w:rPr>
        <w:t>3、</w:t>
      </w:r>
      <w:r>
        <w:rPr>
          <w:rFonts w:hint="eastAsia" w:ascii="仿宋" w:hAnsi="仿宋" w:eastAsia="仿宋" w:cs="仿宋"/>
          <w:b w:val="0"/>
          <w:bCs w:val="0"/>
          <w:color w:val="auto"/>
          <w:sz w:val="24"/>
          <w:szCs w:val="24"/>
          <w:highlight w:val="none"/>
          <w:lang w:val="en-US" w:eastAsia="zh-CN"/>
        </w:rPr>
        <w:t>成交人</w:t>
      </w:r>
      <w:r>
        <w:rPr>
          <w:rFonts w:hint="eastAsia" w:ascii="仿宋" w:hAnsi="仿宋" w:eastAsia="仿宋" w:cs="仿宋"/>
          <w:sz w:val="24"/>
        </w:rPr>
        <w:t>保证：所供货物的质量等达到采购人的要求。如未达到要求，则</w:t>
      </w:r>
      <w:r>
        <w:rPr>
          <w:rFonts w:hint="eastAsia" w:ascii="仿宋" w:hAnsi="仿宋" w:eastAsia="仿宋" w:cs="仿宋"/>
          <w:b w:val="0"/>
          <w:bCs w:val="0"/>
          <w:color w:val="auto"/>
          <w:sz w:val="24"/>
          <w:szCs w:val="24"/>
          <w:highlight w:val="none"/>
          <w:lang w:val="en-US" w:eastAsia="zh-CN"/>
        </w:rPr>
        <w:t>成交人</w:t>
      </w:r>
      <w:r>
        <w:rPr>
          <w:rFonts w:hint="eastAsia" w:ascii="仿宋" w:hAnsi="仿宋" w:eastAsia="仿宋" w:cs="仿宋"/>
          <w:sz w:val="24"/>
        </w:rPr>
        <w:t>有义务按采购人要求，无条件保质保量迅速的重新供货或补足差量至指定地点，并承担本合同条款约定逾期交货的违约责任。如再次供货仍不符合要求，则采购人也有权选择随时解除合同，另寻其他供应商，同时</w:t>
      </w:r>
      <w:r>
        <w:rPr>
          <w:rFonts w:hint="eastAsia" w:ascii="仿宋" w:hAnsi="仿宋" w:eastAsia="仿宋" w:cs="仿宋"/>
          <w:b w:val="0"/>
          <w:bCs w:val="0"/>
          <w:color w:val="auto"/>
          <w:sz w:val="24"/>
          <w:szCs w:val="24"/>
          <w:highlight w:val="none"/>
          <w:lang w:val="en-US" w:eastAsia="zh-CN"/>
        </w:rPr>
        <w:t>成交人</w:t>
      </w:r>
      <w:r>
        <w:rPr>
          <w:rFonts w:hint="eastAsia" w:ascii="仿宋" w:hAnsi="仿宋" w:eastAsia="仿宋" w:cs="仿宋"/>
          <w:sz w:val="24"/>
        </w:rPr>
        <w:t>需支付3万元作为违约金。</w:t>
      </w:r>
    </w:p>
    <w:p w14:paraId="2B28100F">
      <w:pPr>
        <w:pStyle w:val="14"/>
        <w:snapToGrid w:val="0"/>
        <w:spacing w:before="0" w:beforeLines="0" w:after="0" w:afterLines="0" w:line="360" w:lineRule="auto"/>
        <w:ind w:firstLine="480" w:firstLineChars="200"/>
        <w:outlineLvl w:val="0"/>
        <w:rPr>
          <w:rFonts w:hint="eastAsia" w:ascii="仿宋" w:hAnsi="仿宋" w:eastAsia="仿宋" w:cs="仿宋"/>
          <w:b/>
          <w:szCs w:val="21"/>
        </w:rPr>
      </w:pPr>
      <w:r>
        <w:rPr>
          <w:rFonts w:hint="eastAsia" w:ascii="仿宋" w:hAnsi="仿宋" w:eastAsia="仿宋" w:cs="仿宋"/>
        </w:rPr>
        <w:t>4、本合同所约定违约金、赔偿等扣款事项如实际发生，而所约之各项违约金、赔偿金等若尚不足以抵偿、弥补</w:t>
      </w:r>
      <w:r>
        <w:rPr>
          <w:rFonts w:hint="eastAsia" w:ascii="仿宋" w:hAnsi="仿宋" w:eastAsia="仿宋" w:cs="仿宋"/>
          <w:lang w:val="en-US" w:eastAsia="zh-CN"/>
        </w:rPr>
        <w:t>采购人</w:t>
      </w:r>
      <w:r>
        <w:rPr>
          <w:rFonts w:hint="eastAsia" w:ascii="仿宋" w:hAnsi="仿宋" w:eastAsia="仿宋" w:cs="仿宋"/>
        </w:rPr>
        <w:t>损失的，</w:t>
      </w:r>
      <w:r>
        <w:rPr>
          <w:rFonts w:hint="eastAsia" w:ascii="仿宋" w:hAnsi="仿宋" w:eastAsia="仿宋" w:cs="仿宋"/>
          <w:b w:val="0"/>
          <w:bCs w:val="0"/>
          <w:color w:val="auto"/>
          <w:sz w:val="24"/>
          <w:szCs w:val="24"/>
          <w:highlight w:val="none"/>
          <w:lang w:val="en-US" w:eastAsia="zh-CN"/>
        </w:rPr>
        <w:t>成交人</w:t>
      </w:r>
      <w:r>
        <w:rPr>
          <w:rFonts w:hint="eastAsia" w:ascii="仿宋" w:hAnsi="仿宋" w:eastAsia="仿宋" w:cs="仿宋"/>
        </w:rPr>
        <w:t>有义务补足差额。各类扣款的扣除方式为：</w:t>
      </w:r>
      <w:r>
        <w:rPr>
          <w:rFonts w:hint="eastAsia" w:ascii="仿宋" w:hAnsi="仿宋" w:eastAsia="仿宋" w:cs="仿宋"/>
          <w:lang w:val="en-US" w:eastAsia="zh-CN"/>
        </w:rPr>
        <w:t>采购人</w:t>
      </w:r>
      <w:r>
        <w:rPr>
          <w:rFonts w:hint="eastAsia" w:ascii="仿宋" w:hAnsi="仿宋" w:eastAsia="仿宋" w:cs="仿宋"/>
        </w:rPr>
        <w:t>有权从履约保证金中直接扣除（如</w:t>
      </w:r>
      <w:r>
        <w:rPr>
          <w:rFonts w:hint="eastAsia" w:ascii="仿宋" w:hAnsi="仿宋" w:eastAsia="仿宋" w:cs="仿宋"/>
          <w:lang w:val="en-US" w:eastAsia="zh-CN"/>
        </w:rPr>
        <w:t>采购人</w:t>
      </w:r>
      <w:r>
        <w:rPr>
          <w:rFonts w:hint="eastAsia" w:ascii="仿宋" w:hAnsi="仿宋" w:eastAsia="仿宋" w:cs="仿宋"/>
        </w:rPr>
        <w:t>提交的履约保证金不足抵偿，则在付款时，从价款中直接将不足部分扣除）。</w:t>
      </w:r>
    </w:p>
    <w:p w14:paraId="7ED0AD0E">
      <w:pPr>
        <w:pStyle w:val="14"/>
        <w:snapToGrid w:val="0"/>
        <w:spacing w:beforeLines="0" w:afterLines="0" w:line="360" w:lineRule="auto"/>
        <w:ind w:firstLine="480" w:firstLineChars="200"/>
        <w:outlineLvl w:val="0"/>
        <w:rPr>
          <w:rFonts w:hint="eastAsia" w:ascii="仿宋" w:hAnsi="仿宋" w:eastAsia="仿宋" w:cs="仿宋"/>
          <w:lang w:val="en-US" w:eastAsia="zh-CN"/>
        </w:rPr>
      </w:pPr>
      <w:r>
        <w:rPr>
          <w:rFonts w:hint="eastAsia" w:ascii="仿宋" w:hAnsi="仿宋" w:eastAsia="仿宋" w:cs="仿宋"/>
          <w:lang w:val="en-US" w:eastAsia="zh-CN"/>
        </w:rPr>
        <w:t>八、</w:t>
      </w:r>
      <w:r>
        <w:rPr>
          <w:rFonts w:hint="eastAsia" w:ascii="仿宋" w:hAnsi="仿宋" w:eastAsia="仿宋" w:cs="仿宋"/>
          <w:b w:val="0"/>
          <w:bCs w:val="0"/>
          <w:color w:val="auto"/>
          <w:sz w:val="24"/>
          <w:szCs w:val="24"/>
          <w:highlight w:val="none"/>
          <w:lang w:val="en-US" w:eastAsia="zh-CN"/>
        </w:rPr>
        <w:t>成交人</w:t>
      </w:r>
      <w:r>
        <w:rPr>
          <w:rFonts w:hint="eastAsia" w:ascii="仿宋" w:hAnsi="仿宋" w:eastAsia="仿宋" w:cs="仿宋"/>
          <w:lang w:val="en-US" w:eastAsia="zh-CN"/>
        </w:rPr>
        <w:t>在供货期间需按采购人的要求及时拉走采购方生产沥青混凝土时产生的回粉并签订拉回粉合同，合同细节在矿粉中标后签订矿粉供应合同时双方商榷，如未及时拉走回粉影响采购人生产的，将予以处罚。</w:t>
      </w:r>
    </w:p>
    <w:bookmarkEnd w:id="5"/>
    <w:bookmarkEnd w:id="6"/>
    <w:p w14:paraId="144E2819">
      <w:pPr>
        <w:pStyle w:val="14"/>
        <w:snapToGrid w:val="0"/>
        <w:spacing w:beforeLines="0" w:afterLines="0" w:line="360" w:lineRule="auto"/>
        <w:ind w:firstLine="480"/>
        <w:outlineLvl w:val="0"/>
        <w:rPr>
          <w:rFonts w:hint="eastAsia" w:ascii="仿宋" w:hAnsi="仿宋" w:eastAsia="仿宋" w:cs="仿宋"/>
          <w:b w:val="0"/>
          <w:sz w:val="24"/>
          <w:szCs w:val="24"/>
        </w:rPr>
      </w:pPr>
      <w:r>
        <w:rPr>
          <w:rFonts w:hint="eastAsia" w:ascii="仿宋" w:hAnsi="仿宋" w:eastAsia="仿宋" w:cs="仿宋"/>
          <w:b w:val="0"/>
          <w:sz w:val="24"/>
          <w:szCs w:val="24"/>
        </w:rPr>
        <w:br w:type="page"/>
      </w:r>
    </w:p>
    <w:p w14:paraId="6280B8D0">
      <w:pPr>
        <w:snapToGrid w:val="0"/>
        <w:spacing w:line="480" w:lineRule="exact"/>
        <w:ind w:firstLine="723"/>
        <w:jc w:val="center"/>
        <w:rPr>
          <w:rFonts w:hint="eastAsia" w:ascii="仿宋" w:hAnsi="仿宋" w:eastAsia="仿宋" w:cs="仿宋"/>
          <w:b/>
          <w:color w:val="auto"/>
          <w:sz w:val="36"/>
          <w:szCs w:val="36"/>
          <w:highlight w:val="none"/>
          <w:lang w:eastAsia="zh-CN"/>
        </w:rPr>
      </w:pPr>
      <w:r>
        <w:rPr>
          <w:rFonts w:hint="eastAsia" w:ascii="仿宋" w:hAnsi="仿宋" w:eastAsia="仿宋" w:cs="仿宋"/>
          <w:b/>
          <w:color w:val="auto"/>
          <w:sz w:val="36"/>
          <w:szCs w:val="36"/>
          <w:highlight w:val="none"/>
        </w:rPr>
        <w:t>第五章  合同主要条款</w:t>
      </w:r>
      <w:r>
        <w:rPr>
          <w:rFonts w:hint="eastAsia" w:ascii="仿宋" w:hAnsi="仿宋" w:eastAsia="仿宋" w:cs="仿宋"/>
          <w:b/>
          <w:color w:val="auto"/>
          <w:sz w:val="36"/>
          <w:szCs w:val="36"/>
          <w:highlight w:val="none"/>
          <w:lang w:val="en-US" w:eastAsia="zh-CN"/>
        </w:rPr>
        <w:t xml:space="preserve">  </w:t>
      </w:r>
    </w:p>
    <w:p w14:paraId="1F7B73C3">
      <w:pPr>
        <w:pStyle w:val="14"/>
        <w:snapToGrid w:val="0"/>
        <w:spacing w:before="0" w:beforeLines="0" w:afterLines="0" w:line="480" w:lineRule="exact"/>
        <w:ind w:firstLine="60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 xml:space="preserve">              </w:t>
      </w:r>
    </w:p>
    <w:p w14:paraId="575EA3C8">
      <w:pPr>
        <w:spacing w:line="360" w:lineRule="auto"/>
        <w:ind w:firstLine="480" w:firstLineChars="200"/>
        <w:rPr>
          <w:rFonts w:hint="eastAsia" w:ascii="仿宋" w:hAnsi="仿宋" w:eastAsia="仿宋" w:cs="仿宋"/>
          <w:color w:val="auto"/>
          <w:sz w:val="24"/>
          <w:highlight w:val="none"/>
        </w:rPr>
      </w:pPr>
      <w:bookmarkStart w:id="7" w:name="_Toc468429898"/>
      <w:r>
        <w:rPr>
          <w:rFonts w:hint="eastAsia" w:ascii="仿宋" w:hAnsi="仿宋" w:eastAsia="仿宋" w:cs="仿宋"/>
          <w:bCs/>
          <w:color w:val="auto"/>
          <w:sz w:val="24"/>
          <w:highlight w:val="none"/>
        </w:rPr>
        <w:t>甲方</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采购</w:t>
      </w:r>
      <w:r>
        <w:rPr>
          <w:rFonts w:hint="eastAsia" w:ascii="仿宋" w:hAnsi="仿宋" w:eastAsia="仿宋" w:cs="仿宋"/>
          <w:color w:val="auto"/>
          <w:sz w:val="24"/>
          <w:highlight w:val="none"/>
        </w:rPr>
        <w:t>单位）：</w:t>
      </w:r>
    </w:p>
    <w:p w14:paraId="3C5104D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bCs/>
          <w:color w:val="auto"/>
          <w:sz w:val="24"/>
          <w:highlight w:val="none"/>
        </w:rPr>
        <w:t>乙方</w:t>
      </w:r>
      <w:r>
        <w:rPr>
          <w:rFonts w:hint="eastAsia" w:ascii="仿宋" w:hAnsi="仿宋" w:eastAsia="仿宋" w:cs="仿宋"/>
          <w:color w:val="auto"/>
          <w:sz w:val="24"/>
          <w:highlight w:val="none"/>
        </w:rPr>
        <w:t>（承包单位）：</w:t>
      </w:r>
    </w:p>
    <w:p w14:paraId="13BC3B03">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甲、乙双方根据</w:t>
      </w:r>
      <w:r>
        <w:rPr>
          <w:rFonts w:hint="eastAsia" w:ascii="仿宋" w:hAnsi="仿宋" w:eastAsia="仿宋" w:cs="仿宋"/>
          <w:snapToGrid w:val="0"/>
          <w:color w:val="auto"/>
          <w:kern w:val="0"/>
          <w:highlight w:val="none"/>
          <w:u w:val="single"/>
        </w:rPr>
        <w:t xml:space="preserve">     （</w:t>
      </w:r>
      <w:r>
        <w:rPr>
          <w:rFonts w:hint="eastAsia" w:ascii="仿宋" w:hAnsi="仿宋" w:eastAsia="仿宋" w:cs="仿宋"/>
          <w:snapToGrid w:val="0"/>
          <w:color w:val="auto"/>
          <w:kern w:val="0"/>
          <w:highlight w:val="none"/>
          <w:u w:val="single"/>
          <w:lang w:val="en-US" w:eastAsia="zh-CN"/>
        </w:rPr>
        <w:t>项目</w:t>
      </w:r>
      <w:r>
        <w:rPr>
          <w:rFonts w:hint="eastAsia" w:ascii="仿宋" w:hAnsi="仿宋" w:eastAsia="仿宋" w:cs="仿宋"/>
          <w:snapToGrid w:val="0"/>
          <w:color w:val="auto"/>
          <w:kern w:val="0"/>
          <w:highlight w:val="none"/>
          <w:u w:val="single"/>
        </w:rPr>
        <w:t>名称）</w:t>
      </w:r>
      <w:r>
        <w:rPr>
          <w:rFonts w:hint="eastAsia" w:ascii="仿宋" w:hAnsi="仿宋" w:eastAsia="仿宋" w:cs="仿宋"/>
          <w:snapToGrid w:val="0"/>
          <w:color w:val="auto"/>
          <w:kern w:val="0"/>
          <w:highlight w:val="none"/>
          <w:u w:val="single"/>
          <w:lang w:val="en-US" w:eastAsia="zh-CN"/>
        </w:rPr>
        <w:t xml:space="preserve"> </w:t>
      </w:r>
      <w:r>
        <w:rPr>
          <w:rFonts w:hint="eastAsia" w:ascii="仿宋" w:hAnsi="仿宋" w:eastAsia="仿宋" w:cs="仿宋"/>
          <w:snapToGrid w:val="0"/>
          <w:color w:val="auto"/>
          <w:kern w:val="0"/>
          <w:highlight w:val="none"/>
          <w:u w:val="single"/>
        </w:rPr>
        <w:t xml:space="preserve">   </w:t>
      </w:r>
      <w:r>
        <w:rPr>
          <w:rFonts w:hint="eastAsia" w:ascii="仿宋" w:hAnsi="仿宋" w:eastAsia="仿宋" w:cs="仿宋"/>
          <w:snapToGrid w:val="0"/>
          <w:color w:val="auto"/>
          <w:kern w:val="0"/>
          <w:highlight w:val="none"/>
        </w:rPr>
        <w:t>项目公开招标的结果，签署本合同。</w:t>
      </w:r>
    </w:p>
    <w:p w14:paraId="3F56A0C1">
      <w:pPr>
        <w:pStyle w:val="14"/>
        <w:adjustRightInd w:val="0"/>
        <w:snapToGrid w:val="0"/>
        <w:spacing w:before="0" w:beforeLines="0" w:after="0" w:afterLines="0" w:line="360" w:lineRule="auto"/>
        <w:ind w:firstLine="482" w:firstLineChars="200"/>
        <w:rPr>
          <w:rFonts w:hint="eastAsia" w:ascii="仿宋" w:hAnsi="仿宋" w:eastAsia="仿宋" w:cs="仿宋"/>
          <w:b/>
          <w:bCs/>
          <w:color w:val="auto"/>
          <w:highlight w:val="none"/>
          <w:lang w:val="en-US" w:eastAsia="zh-CN"/>
        </w:rPr>
      </w:pPr>
      <w:r>
        <w:rPr>
          <w:rFonts w:hint="eastAsia" w:ascii="仿宋" w:hAnsi="仿宋" w:eastAsia="仿宋" w:cs="仿宋"/>
          <w:b/>
          <w:bCs/>
          <w:snapToGrid w:val="0"/>
          <w:color w:val="auto"/>
          <w:kern w:val="0"/>
          <w:highlight w:val="none"/>
        </w:rPr>
        <w:t>一、货物内容</w:t>
      </w: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rPr>
        <w:t>合同价格</w:t>
      </w:r>
      <w:r>
        <w:rPr>
          <w:rFonts w:hint="eastAsia" w:ascii="仿宋" w:hAnsi="仿宋" w:eastAsia="仿宋" w:cs="仿宋"/>
          <w:b/>
          <w:bCs/>
          <w:color w:val="auto"/>
          <w:highlight w:val="none"/>
          <w:lang w:val="en-US" w:eastAsia="zh-CN"/>
        </w:rPr>
        <w:t>及其他</w:t>
      </w:r>
    </w:p>
    <w:tbl>
      <w:tblPr>
        <w:tblStyle w:val="26"/>
        <w:tblW w:w="9357"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85"/>
        <w:gridCol w:w="2861"/>
        <w:gridCol w:w="3911"/>
      </w:tblGrid>
      <w:tr w14:paraId="54F12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2585" w:type="dxa"/>
            <w:noWrap w:val="0"/>
            <w:vAlign w:val="center"/>
          </w:tcPr>
          <w:p w14:paraId="79E1065C">
            <w:pPr>
              <w:pStyle w:val="14"/>
              <w:snapToGrid w:val="0"/>
              <w:spacing w:before="0" w:beforeLines="0" w:after="0" w:afterLines="0"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货物名称、规格型号</w:t>
            </w:r>
          </w:p>
        </w:tc>
        <w:tc>
          <w:tcPr>
            <w:tcW w:w="2861" w:type="dxa"/>
            <w:noWrap w:val="0"/>
            <w:vAlign w:val="center"/>
          </w:tcPr>
          <w:p w14:paraId="5C6EF5C3">
            <w:pPr>
              <w:pStyle w:val="14"/>
              <w:snapToGrid w:val="0"/>
              <w:spacing w:before="0" w:beforeLines="0" w:after="0" w:afterLines="0"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结算单价（元/吨）</w:t>
            </w:r>
          </w:p>
        </w:tc>
        <w:tc>
          <w:tcPr>
            <w:tcW w:w="3911" w:type="dxa"/>
            <w:noWrap w:val="0"/>
            <w:vAlign w:val="center"/>
          </w:tcPr>
          <w:p w14:paraId="72549BDE">
            <w:pPr>
              <w:pStyle w:val="14"/>
              <w:snapToGrid w:val="0"/>
              <w:spacing w:before="0" w:beforeLines="0" w:after="0" w:afterLines="0"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备注（技术标准）</w:t>
            </w:r>
          </w:p>
        </w:tc>
      </w:tr>
      <w:tr w14:paraId="2DC6A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8" w:hRule="atLeast"/>
        </w:trPr>
        <w:tc>
          <w:tcPr>
            <w:tcW w:w="2585" w:type="dxa"/>
            <w:noWrap w:val="0"/>
            <w:vAlign w:val="center"/>
          </w:tcPr>
          <w:p w14:paraId="4C9626E8">
            <w:pPr>
              <w:snapToGrid w:val="0"/>
              <w:spacing w:line="360" w:lineRule="auto"/>
              <w:jc w:val="center"/>
              <w:rPr>
                <w:rFonts w:hint="eastAsia" w:ascii="仿宋" w:hAnsi="仿宋" w:eastAsia="仿宋" w:cs="仿宋"/>
                <w:color w:val="auto"/>
                <w:sz w:val="24"/>
                <w:highlight w:val="red"/>
                <w:lang w:val="en-US" w:eastAsia="zh-CN"/>
              </w:rPr>
            </w:pPr>
            <w:r>
              <w:rPr>
                <w:rFonts w:hint="eastAsia" w:ascii="仿宋" w:hAnsi="仿宋" w:eastAsia="仿宋" w:cs="仿宋"/>
                <w:color w:val="auto"/>
                <w:sz w:val="24"/>
                <w:highlight w:val="none"/>
                <w:lang w:val="en-US" w:eastAsia="zh-CN"/>
              </w:rPr>
              <w:t>新矿粉</w:t>
            </w:r>
          </w:p>
        </w:tc>
        <w:tc>
          <w:tcPr>
            <w:tcW w:w="2861" w:type="dxa"/>
            <w:noWrap w:val="0"/>
            <w:vAlign w:val="center"/>
          </w:tcPr>
          <w:p w14:paraId="1A177833">
            <w:pPr>
              <w:spacing w:line="360" w:lineRule="auto"/>
              <w:jc w:val="center"/>
              <w:rPr>
                <w:rFonts w:hint="eastAsia" w:ascii="仿宋" w:hAnsi="仿宋" w:eastAsia="仿宋" w:cs="仿宋"/>
                <w:color w:val="auto"/>
                <w:sz w:val="24"/>
                <w:highlight w:val="red"/>
                <w:lang w:val="en-US" w:eastAsia="zh-CN"/>
              </w:rPr>
            </w:pPr>
          </w:p>
        </w:tc>
        <w:tc>
          <w:tcPr>
            <w:tcW w:w="3911" w:type="dxa"/>
            <w:noWrap w:val="0"/>
            <w:vAlign w:val="center"/>
          </w:tcPr>
          <w:p w14:paraId="4E15F0F6">
            <w:pPr>
              <w:snapToGrid w:val="0"/>
              <w:spacing w:line="360" w:lineRule="auto"/>
              <w:jc w:val="both"/>
              <w:rPr>
                <w:rFonts w:hint="eastAsia" w:ascii="仿宋" w:hAnsi="仿宋" w:eastAsia="仿宋" w:cs="仿宋"/>
                <w:color w:val="auto"/>
                <w:szCs w:val="24"/>
                <w:highlight w:val="none"/>
                <w:lang w:val="en-US" w:eastAsia="zh-CN"/>
              </w:rPr>
            </w:pPr>
          </w:p>
        </w:tc>
      </w:tr>
      <w:tr w14:paraId="54F2B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6" w:hRule="atLeast"/>
        </w:trPr>
        <w:tc>
          <w:tcPr>
            <w:tcW w:w="2585" w:type="dxa"/>
            <w:noWrap w:val="0"/>
            <w:vAlign w:val="center"/>
          </w:tcPr>
          <w:p w14:paraId="39470D40">
            <w:pPr>
              <w:snapToGrid w:val="0"/>
              <w:spacing w:line="360" w:lineRule="auto"/>
              <w:ind w:firstLine="480" w:firstLineChars="200"/>
              <w:jc w:val="center"/>
              <w:rPr>
                <w:rFonts w:hint="eastAsia" w:ascii="仿宋" w:hAnsi="仿宋" w:eastAsia="仿宋" w:cs="仿宋"/>
                <w:color w:val="auto"/>
                <w:sz w:val="24"/>
                <w:highlight w:val="none"/>
                <w:lang w:val="en-US" w:eastAsia="zh-CN"/>
              </w:rPr>
            </w:pPr>
          </w:p>
        </w:tc>
        <w:tc>
          <w:tcPr>
            <w:tcW w:w="2861" w:type="dxa"/>
            <w:noWrap w:val="0"/>
            <w:vAlign w:val="center"/>
          </w:tcPr>
          <w:p w14:paraId="791ACF3E">
            <w:pPr>
              <w:spacing w:line="360" w:lineRule="auto"/>
              <w:rPr>
                <w:rFonts w:hint="eastAsia" w:ascii="仿宋" w:hAnsi="仿宋" w:eastAsia="仿宋" w:cs="仿宋"/>
                <w:color w:val="auto"/>
                <w:sz w:val="24"/>
                <w:highlight w:val="none"/>
                <w:lang w:val="en-US" w:eastAsia="zh-CN"/>
              </w:rPr>
            </w:pPr>
          </w:p>
        </w:tc>
        <w:tc>
          <w:tcPr>
            <w:tcW w:w="3911" w:type="dxa"/>
            <w:noWrap w:val="0"/>
            <w:vAlign w:val="center"/>
          </w:tcPr>
          <w:p w14:paraId="7A736C44">
            <w:pPr>
              <w:pStyle w:val="67"/>
              <w:spacing w:line="360" w:lineRule="auto"/>
              <w:jc w:val="center"/>
              <w:rPr>
                <w:rFonts w:hint="eastAsia" w:ascii="仿宋" w:hAnsi="仿宋" w:eastAsia="仿宋" w:cs="仿宋"/>
                <w:color w:val="auto"/>
                <w:szCs w:val="24"/>
                <w:highlight w:val="none"/>
              </w:rPr>
            </w:pPr>
          </w:p>
        </w:tc>
      </w:tr>
      <w:tr w14:paraId="5A489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3" w:hRule="atLeast"/>
        </w:trPr>
        <w:tc>
          <w:tcPr>
            <w:tcW w:w="2585" w:type="dxa"/>
            <w:noWrap w:val="0"/>
            <w:vAlign w:val="center"/>
          </w:tcPr>
          <w:p w14:paraId="3BD37778">
            <w:pPr>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小计</w:t>
            </w:r>
          </w:p>
        </w:tc>
        <w:tc>
          <w:tcPr>
            <w:tcW w:w="2861" w:type="dxa"/>
            <w:noWrap w:val="0"/>
            <w:vAlign w:val="center"/>
          </w:tcPr>
          <w:p w14:paraId="143C5F7B">
            <w:pPr>
              <w:spacing w:line="360" w:lineRule="auto"/>
              <w:rPr>
                <w:rFonts w:hint="eastAsia" w:ascii="仿宋" w:hAnsi="仿宋" w:eastAsia="仿宋" w:cs="仿宋"/>
                <w:color w:val="auto"/>
                <w:sz w:val="24"/>
                <w:highlight w:val="none"/>
              </w:rPr>
            </w:pPr>
          </w:p>
        </w:tc>
        <w:tc>
          <w:tcPr>
            <w:tcW w:w="3911" w:type="dxa"/>
            <w:noWrap w:val="0"/>
            <w:vAlign w:val="center"/>
          </w:tcPr>
          <w:p w14:paraId="7A7AF0DF">
            <w:pPr>
              <w:pStyle w:val="67"/>
              <w:spacing w:line="360" w:lineRule="auto"/>
              <w:jc w:val="center"/>
              <w:rPr>
                <w:rFonts w:hint="eastAsia" w:ascii="仿宋" w:hAnsi="仿宋" w:eastAsia="仿宋" w:cs="仿宋"/>
                <w:color w:val="auto"/>
                <w:szCs w:val="24"/>
                <w:highlight w:val="none"/>
              </w:rPr>
            </w:pPr>
          </w:p>
        </w:tc>
      </w:tr>
    </w:tbl>
    <w:p w14:paraId="07A0D9FE">
      <w:pPr>
        <w:snapToGrid w:val="0"/>
        <w:spacing w:line="360" w:lineRule="auto"/>
        <w:ind w:firstLine="480" w:firstLineChars="200"/>
        <w:rPr>
          <w:rFonts w:hint="eastAsia" w:ascii="仿宋" w:hAnsi="仿宋" w:eastAsia="仿宋" w:cs="仿宋"/>
          <w:b/>
          <w:bCs/>
          <w:kern w:val="2"/>
          <w:sz w:val="24"/>
          <w:szCs w:val="24"/>
          <w:lang w:val="zh-CN" w:eastAsia="zh-CN" w:bidi="ar-SA"/>
        </w:rPr>
      </w:pPr>
      <w:r>
        <w:rPr>
          <w:rFonts w:hint="eastAsia" w:ascii="仿宋" w:hAnsi="仿宋" w:eastAsia="仿宋" w:cs="仿宋"/>
          <w:color w:val="auto"/>
          <w:sz w:val="24"/>
          <w:highlight w:val="none"/>
        </w:rPr>
        <w:t>注：1、</w:t>
      </w:r>
      <w:r>
        <w:rPr>
          <w:rFonts w:hint="eastAsia" w:ascii="仿宋" w:hAnsi="仿宋" w:eastAsia="仿宋" w:cs="仿宋"/>
          <w:b/>
          <w:bCs/>
          <w:kern w:val="2"/>
          <w:sz w:val="24"/>
          <w:szCs w:val="24"/>
          <w:lang w:val="en-US" w:eastAsia="zh-CN" w:bidi="ar-SA"/>
        </w:rPr>
        <w:t>以上综合单价应为货到甲方指定地点的交货价格，包括但不限于矿粉原料、加工、税金、货运至指定地点[含运输、装卸、保险、包装费、货车加固费等）、零星送货、人工、验收、技术服务（含技术培训等）、资料费、质检、检测、验收、管理、售后服务、规费、安全文明、环境保护、风险（市场人工、材料价格波动等风险）、利润、</w:t>
      </w:r>
      <w:r>
        <w:rPr>
          <w:rFonts w:hint="eastAsia" w:ascii="仿宋" w:hAnsi="仿宋" w:eastAsia="仿宋" w:cs="仿宋"/>
          <w:b/>
          <w:bCs/>
          <w:kern w:val="2"/>
          <w:sz w:val="24"/>
          <w:szCs w:val="24"/>
          <w:lang w:val="zh-CN" w:eastAsia="zh-CN" w:bidi="ar-SA"/>
        </w:rPr>
        <w:t>代理服务费、标书制作、不可预知费用开销及相应的风险金等为完成本次项目所涉及的一切费用。属于完成本次项目所必需的但</w:t>
      </w:r>
      <w:r>
        <w:rPr>
          <w:rFonts w:hint="eastAsia" w:ascii="仿宋" w:hAnsi="仿宋" w:eastAsia="仿宋" w:cs="仿宋"/>
          <w:b/>
          <w:bCs/>
          <w:kern w:val="2"/>
          <w:sz w:val="24"/>
          <w:szCs w:val="24"/>
          <w:lang w:val="en-US" w:eastAsia="zh-CN" w:bidi="ar-SA"/>
        </w:rPr>
        <w:t>乙方</w:t>
      </w:r>
      <w:r>
        <w:rPr>
          <w:rFonts w:hint="eastAsia" w:ascii="仿宋" w:hAnsi="仿宋" w:eastAsia="仿宋" w:cs="仿宋"/>
          <w:b/>
          <w:bCs/>
          <w:kern w:val="2"/>
          <w:sz w:val="24"/>
          <w:szCs w:val="24"/>
          <w:lang w:val="zh-CN" w:eastAsia="zh-CN" w:bidi="ar-SA"/>
        </w:rPr>
        <w:t>未列入的费用将被视为</w:t>
      </w:r>
      <w:r>
        <w:rPr>
          <w:rFonts w:hint="eastAsia" w:ascii="仿宋" w:hAnsi="仿宋" w:eastAsia="仿宋" w:cs="仿宋"/>
          <w:b/>
          <w:bCs/>
          <w:kern w:val="2"/>
          <w:sz w:val="24"/>
          <w:szCs w:val="24"/>
          <w:lang w:val="en-US" w:eastAsia="zh-CN" w:bidi="ar-SA"/>
        </w:rPr>
        <w:t>乙方</w:t>
      </w:r>
      <w:r>
        <w:rPr>
          <w:rFonts w:hint="eastAsia" w:ascii="仿宋" w:hAnsi="仿宋" w:eastAsia="仿宋" w:cs="仿宋"/>
          <w:b/>
          <w:bCs/>
          <w:kern w:val="2"/>
          <w:sz w:val="24"/>
          <w:szCs w:val="24"/>
          <w:lang w:val="zh-CN" w:eastAsia="zh-CN" w:bidi="ar-SA"/>
        </w:rPr>
        <w:t>优惠，</w:t>
      </w:r>
      <w:r>
        <w:rPr>
          <w:rFonts w:hint="eastAsia" w:ascii="仿宋" w:hAnsi="仿宋" w:eastAsia="仿宋" w:cs="仿宋"/>
          <w:b/>
          <w:bCs/>
          <w:kern w:val="2"/>
          <w:sz w:val="24"/>
          <w:szCs w:val="24"/>
          <w:lang w:val="en-US" w:eastAsia="zh-CN" w:bidi="ar-SA"/>
        </w:rPr>
        <w:t>甲方</w:t>
      </w:r>
      <w:r>
        <w:rPr>
          <w:rFonts w:hint="eastAsia" w:ascii="仿宋" w:hAnsi="仿宋" w:eastAsia="仿宋" w:cs="仿宋"/>
          <w:b/>
          <w:bCs/>
          <w:kern w:val="2"/>
          <w:sz w:val="24"/>
          <w:szCs w:val="24"/>
          <w:lang w:val="zh-CN" w:eastAsia="zh-CN" w:bidi="ar-SA"/>
        </w:rPr>
        <w:t>均不予支付。</w:t>
      </w:r>
    </w:p>
    <w:p w14:paraId="563ABB56">
      <w:pPr>
        <w:snapToGrid w:val="0"/>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szCs w:val="24"/>
          <w:highlight w:val="none"/>
          <w:u w:val="none"/>
          <w:lang w:val="en-US" w:eastAsia="zh-CN"/>
        </w:rPr>
        <w:t>2、合同执行期限内，合同结算单价不调整，</w:t>
      </w:r>
      <w:r>
        <w:rPr>
          <w:rFonts w:hint="eastAsia" w:ascii="仿宋" w:hAnsi="仿宋" w:eastAsia="仿宋" w:cs="仿宋"/>
          <w:b w:val="0"/>
          <w:bCs w:val="0"/>
          <w:color w:val="auto"/>
          <w:sz w:val="24"/>
          <w:szCs w:val="24"/>
          <w:highlight w:val="none"/>
          <w:u w:val="none"/>
        </w:rPr>
        <w:t>不随</w:t>
      </w:r>
      <w:r>
        <w:rPr>
          <w:rFonts w:hint="eastAsia" w:ascii="仿宋" w:hAnsi="仿宋" w:eastAsia="仿宋" w:cs="仿宋"/>
          <w:b w:val="0"/>
          <w:bCs w:val="0"/>
          <w:color w:val="auto"/>
          <w:sz w:val="24"/>
          <w:highlight w:val="none"/>
        </w:rPr>
        <w:t>数量、材料人工市场波动等的变动而调</w:t>
      </w:r>
      <w:r>
        <w:rPr>
          <w:rFonts w:hint="eastAsia" w:ascii="仿宋" w:hAnsi="仿宋" w:eastAsia="仿宋" w:cs="仿宋"/>
          <w:b w:val="0"/>
          <w:bCs w:val="0"/>
          <w:color w:val="auto"/>
          <w:sz w:val="24"/>
          <w:highlight w:val="none"/>
          <w:lang w:val="en-US" w:eastAsia="zh-CN"/>
        </w:rPr>
        <w:t>整。</w:t>
      </w:r>
      <w:r>
        <w:rPr>
          <w:rFonts w:hint="eastAsia" w:ascii="仿宋" w:hAnsi="仿宋" w:eastAsia="仿宋" w:cs="仿宋"/>
          <w:b w:val="0"/>
          <w:bCs w:val="0"/>
          <w:color w:val="auto"/>
          <w:sz w:val="24"/>
          <w:highlight w:val="none"/>
        </w:rPr>
        <w:t>合同实施期间，数量以实际供货数量为准。</w:t>
      </w:r>
      <w:r>
        <w:rPr>
          <w:rFonts w:hint="eastAsia" w:ascii="仿宋" w:hAnsi="仿宋" w:eastAsia="仿宋" w:cs="仿宋"/>
          <w:b w:val="0"/>
          <w:bCs w:val="0"/>
          <w:color w:val="auto"/>
          <w:sz w:val="24"/>
          <w:highlight w:val="none"/>
          <w:lang w:val="en-US" w:eastAsia="zh-CN"/>
        </w:rPr>
        <w:t>本次合同结算单价已考虑以下内容和费用：</w:t>
      </w:r>
    </w:p>
    <w:p w14:paraId="5C77DAA3">
      <w:pPr>
        <w:snapToGrid w:val="0"/>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①承诺接到甲方供货电话后12小时内保证送货至指定地点（包括零星小批量送货）；</w:t>
      </w:r>
    </w:p>
    <w:p w14:paraId="5F82F2D5">
      <w:pPr>
        <w:snapToGrid w:val="0"/>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②原料、人工、电力和劳动力等涨价风险；</w:t>
      </w:r>
    </w:p>
    <w:p w14:paraId="3E7B5790">
      <w:pPr>
        <w:snapToGrid w:val="0"/>
        <w:spacing w:line="360" w:lineRule="auto"/>
        <w:ind w:firstLine="482" w:firstLineChars="200"/>
        <w:rPr>
          <w:rFonts w:hint="eastAsia" w:ascii="仿宋" w:hAnsi="仿宋" w:eastAsia="仿宋" w:cs="仿宋"/>
          <w:sz w:val="24"/>
        </w:rPr>
      </w:pPr>
      <w:r>
        <w:rPr>
          <w:rFonts w:hint="eastAsia" w:ascii="仿宋" w:hAnsi="仿宋" w:eastAsia="仿宋" w:cs="仿宋"/>
          <w:b/>
          <w:bCs/>
          <w:color w:val="auto"/>
          <w:sz w:val="24"/>
          <w:highlight w:val="none"/>
          <w:lang w:val="en-US" w:eastAsia="zh-CN"/>
        </w:rPr>
        <w:t>二、</w:t>
      </w:r>
      <w:r>
        <w:rPr>
          <w:rFonts w:hint="eastAsia" w:ascii="仿宋" w:hAnsi="仿宋" w:eastAsia="仿宋" w:cs="仿宋"/>
          <w:b/>
          <w:bCs/>
          <w:color w:val="auto"/>
          <w:sz w:val="24"/>
          <w:highlight w:val="none"/>
        </w:rPr>
        <w:t>合同期限：</w:t>
      </w:r>
      <w:r>
        <w:rPr>
          <w:rFonts w:hint="eastAsia" w:ascii="仿宋" w:hAnsi="仿宋" w:eastAsia="仿宋" w:cs="仿宋"/>
          <w:sz w:val="24"/>
        </w:rPr>
        <w:t>合同签订之日起一年</w:t>
      </w:r>
      <w:r>
        <w:rPr>
          <w:rFonts w:hint="eastAsia" w:ascii="仿宋" w:hAnsi="仿宋" w:eastAsia="仿宋" w:cs="仿宋"/>
          <w:color w:val="auto"/>
          <w:sz w:val="24"/>
          <w:highlight w:val="none"/>
          <w:lang w:val="en-US" w:eastAsia="zh-CN"/>
        </w:rPr>
        <w:t>，即从</w:t>
      </w:r>
      <w:r>
        <w:rPr>
          <w:rFonts w:hint="eastAsia" w:ascii="仿宋" w:hAnsi="仿宋" w:eastAsia="仿宋" w:cs="仿宋"/>
          <w:color w:val="auto"/>
          <w:sz w:val="24"/>
          <w:highlight w:val="none"/>
          <w:lang w:eastAsia="zh-CN"/>
        </w:rPr>
        <w:t>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r>
        <w:rPr>
          <w:rFonts w:hint="eastAsia" w:ascii="仿宋" w:hAnsi="仿宋" w:eastAsia="仿宋" w:cs="仿宋"/>
          <w:color w:val="auto"/>
          <w:sz w:val="24"/>
          <w:highlight w:val="none"/>
          <w:u w:val="single"/>
        </w:rPr>
        <w:t>至</w:t>
      </w:r>
      <w:r>
        <w:rPr>
          <w:rFonts w:hint="eastAsia" w:ascii="仿宋" w:hAnsi="仿宋" w:eastAsia="仿宋" w:cs="仿宋"/>
          <w:color w:val="auto"/>
          <w:sz w:val="24"/>
          <w:highlight w:val="none"/>
        </w:rPr>
        <w:t>20</w:t>
      </w:r>
      <w:r>
        <w:rPr>
          <w:rFonts w:hint="eastAsia" w:ascii="仿宋" w:hAnsi="仿宋" w:eastAsia="仿宋" w:cs="仿宋"/>
          <w:color w:val="auto"/>
          <w:sz w:val="24"/>
          <w:highlight w:val="none"/>
          <w:u w:val="single"/>
          <w:lang w:val="en-US" w:eastAsia="zh-CN"/>
        </w:rPr>
        <w:t xml:space="preserve">2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日止</w:t>
      </w:r>
      <w:r>
        <w:rPr>
          <w:rFonts w:hint="eastAsia" w:ascii="仿宋" w:hAnsi="仿宋" w:eastAsia="仿宋" w:cs="仿宋"/>
          <w:color w:val="auto"/>
          <w:sz w:val="24"/>
          <w:highlight w:val="none"/>
          <w:lang w:eastAsia="zh-CN"/>
        </w:rPr>
        <w:t>；</w:t>
      </w:r>
      <w:r>
        <w:rPr>
          <w:rFonts w:hint="eastAsia" w:ascii="仿宋" w:hAnsi="仿宋" w:eastAsia="仿宋" w:cs="仿宋"/>
          <w:sz w:val="24"/>
        </w:rPr>
        <w:t>在</w:t>
      </w:r>
      <w:r>
        <w:rPr>
          <w:rFonts w:hint="eastAsia" w:ascii="仿宋" w:hAnsi="仿宋" w:eastAsia="仿宋" w:cs="仿宋"/>
          <w:sz w:val="24"/>
          <w:lang w:val="en-US" w:eastAsia="zh-CN"/>
        </w:rPr>
        <w:t>甲方</w:t>
      </w:r>
      <w:r>
        <w:rPr>
          <w:rFonts w:hint="eastAsia" w:ascii="仿宋" w:hAnsi="仿宋" w:eastAsia="仿宋" w:cs="仿宋"/>
          <w:sz w:val="24"/>
        </w:rPr>
        <w:t>要求的供货时间内</w:t>
      </w:r>
      <w:r>
        <w:rPr>
          <w:rFonts w:hint="eastAsia" w:ascii="仿宋" w:hAnsi="仿宋" w:eastAsia="仿宋" w:cs="仿宋"/>
          <w:sz w:val="24"/>
          <w:lang w:val="en-US" w:eastAsia="zh-CN"/>
        </w:rPr>
        <w:t>乙方</w:t>
      </w:r>
      <w:r>
        <w:rPr>
          <w:rFonts w:hint="eastAsia" w:ascii="仿宋" w:hAnsi="仿宋" w:eastAsia="仿宋" w:cs="仿宋"/>
          <w:sz w:val="24"/>
        </w:rPr>
        <w:t>应及时按要求在</w:t>
      </w:r>
      <w:r>
        <w:rPr>
          <w:rFonts w:hint="eastAsia" w:ascii="仿宋" w:hAnsi="仿宋" w:eastAsia="仿宋" w:cs="仿宋"/>
          <w:sz w:val="24"/>
          <w:lang w:val="en-US" w:eastAsia="zh-CN"/>
        </w:rPr>
        <w:t>甲方</w:t>
      </w:r>
      <w:r>
        <w:rPr>
          <w:rFonts w:hint="eastAsia" w:ascii="仿宋" w:hAnsi="仿宋" w:eastAsia="仿宋" w:cs="仿宋"/>
          <w:sz w:val="24"/>
        </w:rPr>
        <w:t>规定时间内分批供应，实际需要数量由</w:t>
      </w:r>
      <w:r>
        <w:rPr>
          <w:rFonts w:hint="eastAsia" w:ascii="仿宋" w:hAnsi="仿宋" w:eastAsia="仿宋" w:cs="仿宋"/>
          <w:sz w:val="24"/>
          <w:lang w:val="en-US" w:eastAsia="zh-CN"/>
        </w:rPr>
        <w:t>甲方</w:t>
      </w:r>
      <w:r>
        <w:rPr>
          <w:rFonts w:hint="eastAsia" w:ascii="仿宋" w:hAnsi="仿宋" w:eastAsia="仿宋" w:cs="仿宋"/>
          <w:sz w:val="24"/>
        </w:rPr>
        <w:t>按需要提前</w:t>
      </w:r>
      <w:r>
        <w:rPr>
          <w:rFonts w:hint="eastAsia" w:ascii="仿宋" w:hAnsi="仿宋" w:eastAsia="仿宋" w:cs="仿宋"/>
          <w:sz w:val="24"/>
          <w:lang w:val="en-US" w:eastAsia="zh-CN"/>
        </w:rPr>
        <w:t>12</w:t>
      </w:r>
      <w:r>
        <w:rPr>
          <w:rFonts w:hint="eastAsia" w:ascii="仿宋" w:hAnsi="仿宋" w:eastAsia="仿宋" w:cs="仿宋"/>
          <w:sz w:val="24"/>
        </w:rPr>
        <w:t>小时通知</w:t>
      </w:r>
      <w:r>
        <w:rPr>
          <w:rFonts w:hint="eastAsia" w:ascii="仿宋" w:hAnsi="仿宋" w:eastAsia="仿宋" w:cs="仿宋"/>
          <w:sz w:val="24"/>
          <w:lang w:val="en-US" w:eastAsia="zh-CN"/>
        </w:rPr>
        <w:t>乙方</w:t>
      </w:r>
      <w:r>
        <w:rPr>
          <w:rFonts w:hint="eastAsia" w:ascii="仿宋" w:hAnsi="仿宋" w:eastAsia="仿宋" w:cs="仿宋"/>
          <w:sz w:val="24"/>
        </w:rPr>
        <w:t>，在超出分批供货时间的</w:t>
      </w:r>
      <w:r>
        <w:rPr>
          <w:rFonts w:hint="eastAsia" w:ascii="仿宋" w:hAnsi="仿宋" w:eastAsia="仿宋" w:cs="仿宋"/>
          <w:sz w:val="24"/>
          <w:lang w:val="en-US" w:eastAsia="zh-CN"/>
        </w:rPr>
        <w:t>乙方</w:t>
      </w:r>
      <w:r>
        <w:rPr>
          <w:rFonts w:hint="eastAsia" w:ascii="仿宋" w:hAnsi="仿宋" w:eastAsia="仿宋" w:cs="仿宋"/>
          <w:sz w:val="24"/>
        </w:rPr>
        <w:t>未能按时供货，</w:t>
      </w:r>
      <w:r>
        <w:rPr>
          <w:rFonts w:hint="eastAsia" w:ascii="仿宋" w:hAnsi="仿宋" w:eastAsia="仿宋" w:cs="仿宋"/>
          <w:sz w:val="24"/>
          <w:lang w:val="en-US" w:eastAsia="zh-CN"/>
        </w:rPr>
        <w:t>甲方</w:t>
      </w:r>
      <w:r>
        <w:rPr>
          <w:rFonts w:hint="eastAsia" w:ascii="仿宋" w:hAnsi="仿宋" w:eastAsia="仿宋" w:cs="仿宋"/>
          <w:sz w:val="24"/>
        </w:rPr>
        <w:t>有权另行采购，由此给</w:t>
      </w:r>
      <w:r>
        <w:rPr>
          <w:rFonts w:hint="eastAsia" w:ascii="仿宋" w:hAnsi="仿宋" w:eastAsia="仿宋" w:cs="仿宋"/>
          <w:sz w:val="24"/>
          <w:lang w:val="en-US" w:eastAsia="zh-CN"/>
        </w:rPr>
        <w:t>甲方</w:t>
      </w:r>
      <w:r>
        <w:rPr>
          <w:rFonts w:hint="eastAsia" w:ascii="仿宋" w:hAnsi="仿宋" w:eastAsia="仿宋" w:cs="仿宋"/>
          <w:sz w:val="24"/>
        </w:rPr>
        <w:t>造成的损失由</w:t>
      </w:r>
      <w:r>
        <w:rPr>
          <w:rFonts w:hint="eastAsia" w:ascii="仿宋" w:hAnsi="仿宋" w:eastAsia="仿宋" w:cs="仿宋"/>
          <w:sz w:val="24"/>
          <w:lang w:val="en-US" w:eastAsia="zh-CN"/>
        </w:rPr>
        <w:t>乙方</w:t>
      </w:r>
      <w:r>
        <w:rPr>
          <w:rFonts w:hint="eastAsia" w:ascii="仿宋" w:hAnsi="仿宋" w:eastAsia="仿宋" w:cs="仿宋"/>
          <w:sz w:val="24"/>
        </w:rPr>
        <w:t>承担，</w:t>
      </w:r>
      <w:r>
        <w:rPr>
          <w:rFonts w:hint="eastAsia" w:ascii="仿宋" w:hAnsi="仿宋" w:eastAsia="仿宋" w:cs="仿宋"/>
          <w:sz w:val="24"/>
          <w:lang w:val="en-US" w:eastAsia="zh-CN"/>
        </w:rPr>
        <w:t>并</w:t>
      </w:r>
      <w:r>
        <w:rPr>
          <w:rFonts w:hint="eastAsia" w:ascii="仿宋" w:hAnsi="仿宋" w:eastAsia="仿宋" w:cs="仿宋"/>
          <w:sz w:val="24"/>
        </w:rPr>
        <w:t>在履约保证金中扣除；如</w:t>
      </w:r>
      <w:r>
        <w:rPr>
          <w:rFonts w:hint="eastAsia" w:ascii="仿宋" w:hAnsi="仿宋" w:eastAsia="仿宋" w:cs="仿宋"/>
          <w:sz w:val="24"/>
          <w:lang w:val="en-US" w:eastAsia="zh-CN"/>
        </w:rPr>
        <w:t>乙方</w:t>
      </w:r>
      <w:r>
        <w:rPr>
          <w:rFonts w:hint="eastAsia" w:ascii="仿宋" w:hAnsi="仿宋" w:eastAsia="仿宋" w:cs="仿宋"/>
          <w:sz w:val="24"/>
        </w:rPr>
        <w:t>延期供货的，延迟1天，</w:t>
      </w:r>
      <w:r>
        <w:rPr>
          <w:rFonts w:hint="eastAsia" w:ascii="仿宋" w:hAnsi="仿宋" w:eastAsia="仿宋" w:cs="仿宋"/>
          <w:sz w:val="24"/>
          <w:lang w:val="en-US" w:eastAsia="zh-CN"/>
        </w:rPr>
        <w:t>乙方</w:t>
      </w:r>
      <w:r>
        <w:rPr>
          <w:rFonts w:hint="eastAsia" w:ascii="仿宋" w:hAnsi="仿宋" w:eastAsia="仿宋" w:cs="仿宋"/>
          <w:sz w:val="24"/>
        </w:rPr>
        <w:t>应向</w:t>
      </w:r>
      <w:r>
        <w:rPr>
          <w:rFonts w:hint="eastAsia" w:ascii="仿宋" w:hAnsi="仿宋" w:eastAsia="仿宋" w:cs="仿宋"/>
          <w:sz w:val="24"/>
          <w:lang w:val="en-US" w:eastAsia="zh-CN"/>
        </w:rPr>
        <w:t>甲方</w:t>
      </w:r>
      <w:r>
        <w:rPr>
          <w:rFonts w:hint="eastAsia" w:ascii="仿宋" w:hAnsi="仿宋" w:eastAsia="仿宋" w:cs="仿宋"/>
          <w:sz w:val="24"/>
        </w:rPr>
        <w:t>支付5000元/天的违约金，累计5天以上的，按10000元/天支付违约金，累计10天以上的，</w:t>
      </w:r>
      <w:r>
        <w:rPr>
          <w:rFonts w:hint="eastAsia" w:ascii="仿宋" w:hAnsi="仿宋" w:eastAsia="仿宋" w:cs="仿宋"/>
          <w:sz w:val="24"/>
          <w:lang w:val="en-US" w:eastAsia="zh-CN"/>
        </w:rPr>
        <w:t>甲方</w:t>
      </w:r>
      <w:r>
        <w:rPr>
          <w:rFonts w:hint="eastAsia" w:ascii="仿宋" w:hAnsi="仿宋" w:eastAsia="仿宋" w:cs="仿宋"/>
          <w:sz w:val="24"/>
        </w:rPr>
        <w:t>有权终止合同并要求</w:t>
      </w:r>
      <w:r>
        <w:rPr>
          <w:rFonts w:hint="eastAsia" w:ascii="仿宋" w:hAnsi="仿宋" w:eastAsia="仿宋" w:cs="仿宋"/>
          <w:sz w:val="24"/>
          <w:lang w:val="en-US" w:eastAsia="zh-CN"/>
        </w:rPr>
        <w:t>乙方</w:t>
      </w:r>
      <w:r>
        <w:rPr>
          <w:rFonts w:hint="eastAsia" w:ascii="仿宋" w:hAnsi="仿宋" w:eastAsia="仿宋" w:cs="仿宋"/>
          <w:sz w:val="24"/>
        </w:rPr>
        <w:t>赔偿损失，履约保证金予以没收。</w:t>
      </w:r>
    </w:p>
    <w:p w14:paraId="53B0F92E">
      <w:pPr>
        <w:pStyle w:val="14"/>
        <w:numPr>
          <w:ilvl w:val="0"/>
          <w:numId w:val="0"/>
        </w:numPr>
        <w:adjustRightInd w:val="0"/>
        <w:snapToGrid w:val="0"/>
        <w:spacing w:before="0" w:beforeLines="0" w:after="0" w:afterLines="0" w:line="360" w:lineRule="auto"/>
        <w:ind w:leftChars="0"/>
        <w:rPr>
          <w:rFonts w:hint="eastAsia" w:ascii="仿宋" w:hAnsi="仿宋" w:eastAsia="仿宋" w:cs="仿宋"/>
          <w:highlight w:val="none"/>
          <w:lang w:val="en-US" w:eastAsia="zh-CN"/>
        </w:rPr>
      </w:pPr>
      <w:r>
        <w:rPr>
          <w:rFonts w:hint="eastAsia" w:ascii="仿宋" w:hAnsi="仿宋" w:eastAsia="仿宋" w:cs="仿宋"/>
          <w:b/>
          <w:bCs/>
          <w:kern w:val="2"/>
          <w:sz w:val="24"/>
          <w:szCs w:val="24"/>
          <w:lang w:val="en-US" w:eastAsia="zh-CN" w:bidi="ar-SA"/>
        </w:rPr>
        <w:t xml:space="preserve"> </w:t>
      </w:r>
      <w:r>
        <w:rPr>
          <w:rFonts w:hint="eastAsia" w:ascii="仿宋" w:hAnsi="仿宋" w:eastAsia="仿宋" w:cs="仿宋"/>
          <w:b/>
          <w:bCs/>
          <w:kern w:val="2"/>
          <w:sz w:val="24"/>
          <w:szCs w:val="24"/>
          <w:highlight w:val="none"/>
          <w:lang w:val="en-US" w:eastAsia="zh-CN" w:bidi="ar-SA"/>
        </w:rPr>
        <w:t xml:space="preserve">   三、质量标准</w:t>
      </w:r>
    </w:p>
    <w:p w14:paraId="27542A2A">
      <w:pPr>
        <w:keepNext w:val="0"/>
        <w:keepLines w:val="0"/>
        <w:pageBreakBefore w:val="0"/>
        <w:widowControl w:val="0"/>
        <w:kinsoku/>
        <w:wordWrap/>
        <w:overflowPunct/>
        <w:topLinePunct w:val="0"/>
        <w:autoSpaceDE/>
        <w:autoSpaceDN/>
        <w:bidi w:val="0"/>
        <w:spacing w:line="360" w:lineRule="auto"/>
        <w:ind w:firstLine="420" w:firstLineChars="200"/>
        <w:textAlignment w:val="auto"/>
        <w:rPr>
          <w:rFonts w:hint="eastAsia" w:ascii="仿宋" w:hAnsi="仿宋" w:eastAsia="仿宋" w:cs="仿宋"/>
          <w:snapToGrid w:val="0"/>
          <w:color w:val="auto"/>
          <w:kern w:val="0"/>
          <w:sz w:val="24"/>
          <w:highlight w:val="none"/>
          <w:lang w:val="en-US" w:eastAsia="zh-CN"/>
        </w:rPr>
      </w:pPr>
      <w:r>
        <w:rPr>
          <w:rFonts w:hint="eastAsia" w:ascii="仿宋" w:hAnsi="仿宋" w:eastAsia="仿宋" w:cs="仿宋"/>
          <w:highlight w:val="none"/>
          <w:lang w:val="en-US" w:eastAsia="zh-CN"/>
        </w:rPr>
        <w:t xml:space="preserve"> </w:t>
      </w:r>
      <w:r>
        <w:rPr>
          <w:rFonts w:hint="eastAsia" w:ascii="仿宋" w:hAnsi="仿宋" w:eastAsia="仿宋" w:cs="仿宋"/>
          <w:snapToGrid w:val="0"/>
          <w:color w:val="auto"/>
          <w:kern w:val="0"/>
          <w:sz w:val="24"/>
          <w:highlight w:val="none"/>
          <w:lang w:val="en-US" w:eastAsia="zh-CN"/>
        </w:rPr>
        <w:t>1、新矿粉的质量，技术要求首先应满足甲方采购文件的要求，如在采购文件中无相关说明，则按国家有关部门颁发的最新国家或专业（部）标准执行。没有国家或专业（部）标准的，按企业标准执行。</w:t>
      </w:r>
    </w:p>
    <w:p w14:paraId="1EFDFD7E">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snapToGrid w:val="0"/>
          <w:color w:val="auto"/>
          <w:kern w:val="0"/>
          <w:sz w:val="24"/>
          <w:highlight w:val="none"/>
          <w:lang w:val="en-US" w:eastAsia="zh-CN"/>
        </w:rPr>
      </w:pPr>
      <w:r>
        <w:rPr>
          <w:rFonts w:hint="eastAsia" w:ascii="仿宋" w:hAnsi="仿宋" w:eastAsia="仿宋" w:cs="仿宋"/>
          <w:snapToGrid w:val="0"/>
          <w:color w:val="auto"/>
          <w:kern w:val="0"/>
          <w:sz w:val="24"/>
          <w:highlight w:val="none"/>
          <w:lang w:val="en-US" w:eastAsia="zh-CN"/>
        </w:rPr>
        <w:t xml:space="preserve"> 2、乙方应对新矿粉的生产、运输等各个环节进行严格的质量管理和质量控制。</w:t>
      </w:r>
    </w:p>
    <w:p w14:paraId="4A81A350">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snapToGrid w:val="0"/>
          <w:color w:val="auto"/>
          <w:kern w:val="0"/>
          <w:sz w:val="24"/>
          <w:highlight w:val="none"/>
          <w:lang w:val="en-US" w:eastAsia="zh-CN"/>
        </w:rPr>
      </w:pPr>
      <w:r>
        <w:rPr>
          <w:rFonts w:hint="eastAsia" w:ascii="仿宋" w:hAnsi="仿宋" w:eastAsia="仿宋" w:cs="仿宋"/>
          <w:snapToGrid w:val="0"/>
          <w:color w:val="auto"/>
          <w:kern w:val="0"/>
          <w:sz w:val="24"/>
          <w:highlight w:val="none"/>
          <w:lang w:val="en-US" w:eastAsia="zh-CN"/>
        </w:rPr>
        <w:t xml:space="preserve"> 3、新矿粉生产用的石材，提供岩性分析报告。</w:t>
      </w:r>
    </w:p>
    <w:p w14:paraId="53BC1C82">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snapToGrid w:val="0"/>
          <w:color w:val="auto"/>
          <w:kern w:val="0"/>
          <w:sz w:val="24"/>
          <w:highlight w:val="none"/>
          <w:lang w:val="en-US" w:eastAsia="zh-CN"/>
        </w:rPr>
      </w:pPr>
      <w:r>
        <w:rPr>
          <w:rFonts w:hint="eastAsia" w:ascii="仿宋" w:hAnsi="仿宋" w:eastAsia="仿宋" w:cs="仿宋"/>
          <w:snapToGrid w:val="0"/>
          <w:color w:val="auto"/>
          <w:kern w:val="0"/>
          <w:sz w:val="24"/>
          <w:highlight w:val="none"/>
          <w:lang w:val="en-US" w:eastAsia="zh-CN"/>
        </w:rPr>
        <w:t xml:space="preserve"> 4、新矿粉质量需符合JTG F40-2004《公路沥青路面施工技术规范》要求，符合高速公路、一级公路沥青混合料用矿粉质量要求。</w:t>
      </w:r>
    </w:p>
    <w:p w14:paraId="2DB79276">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snapToGrid w:val="0"/>
          <w:color w:val="auto"/>
          <w:kern w:val="0"/>
          <w:sz w:val="24"/>
          <w:highlight w:val="none"/>
          <w:lang w:val="en-US" w:eastAsia="zh-CN"/>
        </w:rPr>
      </w:pPr>
      <w:r>
        <w:rPr>
          <w:rFonts w:hint="eastAsia" w:ascii="仿宋" w:hAnsi="仿宋" w:eastAsia="仿宋" w:cs="仿宋"/>
          <w:snapToGrid w:val="0"/>
          <w:color w:val="auto"/>
          <w:kern w:val="0"/>
          <w:sz w:val="24"/>
          <w:highlight w:val="none"/>
          <w:lang w:val="en-US" w:eastAsia="zh-CN"/>
        </w:rPr>
        <w:t xml:space="preserve"> 5、甲方对新矿粉有特殊需求时，如添加消石灰等辅材，乙方予以配合通过合理措施交货。</w:t>
      </w:r>
    </w:p>
    <w:p w14:paraId="442C3E5E">
      <w:pPr>
        <w:pStyle w:val="14"/>
        <w:adjustRightInd w:val="0"/>
        <w:snapToGrid w:val="0"/>
        <w:spacing w:before="0" w:beforeLines="0" w:after="0" w:afterLines="0" w:line="360" w:lineRule="auto"/>
        <w:ind w:firstLine="482" w:firstLineChars="200"/>
        <w:rPr>
          <w:rFonts w:hint="eastAsia" w:ascii="仿宋" w:hAnsi="仿宋" w:eastAsia="仿宋" w:cs="仿宋"/>
          <w:kern w:val="2"/>
          <w:sz w:val="24"/>
          <w:szCs w:val="24"/>
          <w:lang w:val="en-US" w:eastAsia="zh-CN" w:bidi="ar-SA"/>
        </w:rPr>
      </w:pPr>
      <w:r>
        <w:rPr>
          <w:rFonts w:hint="eastAsia" w:ascii="仿宋" w:hAnsi="仿宋" w:eastAsia="仿宋" w:cs="仿宋"/>
          <w:b/>
          <w:bCs/>
          <w:kern w:val="2"/>
          <w:sz w:val="24"/>
          <w:szCs w:val="24"/>
          <w:lang w:val="en-US" w:eastAsia="zh-CN" w:bidi="ar-SA"/>
        </w:rPr>
        <w:t>四、技术要求</w:t>
      </w:r>
    </w:p>
    <w:p w14:paraId="619D944A">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1、乙方应按</w:t>
      </w:r>
      <w:r>
        <w:rPr>
          <w:rFonts w:hint="eastAsia" w:ascii="仿宋" w:hAnsi="仿宋" w:eastAsia="仿宋" w:cs="仿宋"/>
          <w:snapToGrid w:val="0"/>
          <w:color w:val="auto"/>
          <w:kern w:val="0"/>
          <w:highlight w:val="none"/>
          <w:lang w:eastAsia="zh-CN"/>
        </w:rPr>
        <w:t>采购文件</w:t>
      </w:r>
      <w:r>
        <w:rPr>
          <w:rFonts w:hint="eastAsia" w:ascii="仿宋" w:hAnsi="仿宋" w:eastAsia="仿宋" w:cs="仿宋"/>
          <w:snapToGrid w:val="0"/>
          <w:color w:val="auto"/>
          <w:kern w:val="0"/>
          <w:highlight w:val="none"/>
        </w:rPr>
        <w:t>规定的时间向甲方提供使用货物的有关技术资料。</w:t>
      </w:r>
    </w:p>
    <w:p w14:paraId="0A2EF93F">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2、没有甲方事先书面同意，乙方不得将由甲方提供的有关合同或任何合同条文、规格、计划或资料提供给与履行本合同无关的任何其他人。即使向履行本合同有关的人员提供，也应注意保密并限于履行合同的必需范围。</w:t>
      </w:r>
    </w:p>
    <w:p w14:paraId="31C92A33">
      <w:pPr>
        <w:pStyle w:val="14"/>
        <w:adjustRightInd w:val="0"/>
        <w:snapToGrid w:val="0"/>
        <w:spacing w:before="0" w:beforeLines="0" w:after="0" w:afterLines="0" w:line="360" w:lineRule="auto"/>
        <w:ind w:firstLine="482" w:firstLineChars="200"/>
        <w:rPr>
          <w:rFonts w:hint="eastAsia" w:ascii="仿宋" w:hAnsi="仿宋" w:eastAsia="仿宋" w:cs="仿宋"/>
          <w:b/>
          <w:bCs/>
          <w:snapToGrid w:val="0"/>
          <w:color w:val="auto"/>
          <w:kern w:val="0"/>
          <w:highlight w:val="none"/>
        </w:rPr>
      </w:pPr>
      <w:r>
        <w:rPr>
          <w:rFonts w:hint="eastAsia" w:ascii="仿宋" w:hAnsi="仿宋" w:eastAsia="仿宋" w:cs="仿宋"/>
          <w:b/>
          <w:bCs/>
          <w:snapToGrid w:val="0"/>
          <w:color w:val="auto"/>
          <w:kern w:val="0"/>
          <w:highlight w:val="none"/>
          <w:lang w:val="en-US" w:eastAsia="zh-CN"/>
        </w:rPr>
        <w:t>四</w:t>
      </w:r>
      <w:r>
        <w:rPr>
          <w:rFonts w:hint="eastAsia" w:ascii="仿宋" w:hAnsi="仿宋" w:eastAsia="仿宋" w:cs="仿宋"/>
          <w:b/>
          <w:bCs/>
          <w:snapToGrid w:val="0"/>
          <w:color w:val="auto"/>
          <w:kern w:val="0"/>
          <w:highlight w:val="none"/>
        </w:rPr>
        <w:t>、知识产权</w:t>
      </w:r>
    </w:p>
    <w:p w14:paraId="3011E349">
      <w:pPr>
        <w:pStyle w:val="14"/>
        <w:adjustRightInd w:val="0"/>
        <w:snapToGrid w:val="0"/>
        <w:spacing w:before="0" w:beforeLines="0" w:after="0" w:afterLines="0" w:line="360" w:lineRule="auto"/>
        <w:ind w:firstLine="480" w:firstLineChars="200"/>
        <w:rPr>
          <w:rFonts w:hint="eastAsia" w:ascii="仿宋" w:hAnsi="仿宋" w:eastAsia="仿宋" w:cs="仿宋"/>
          <w:bCs/>
          <w:snapToGrid w:val="0"/>
          <w:color w:val="auto"/>
          <w:kern w:val="0"/>
          <w:highlight w:val="none"/>
        </w:rPr>
      </w:pPr>
      <w:r>
        <w:rPr>
          <w:rFonts w:hint="eastAsia" w:ascii="仿宋" w:hAnsi="仿宋" w:eastAsia="仿宋" w:cs="仿宋"/>
          <w:snapToGrid w:val="0"/>
          <w:color w:val="auto"/>
          <w:kern w:val="0"/>
          <w:highlight w:val="none"/>
        </w:rPr>
        <w:t>乙方应保证所提供的货物或其任何一部分均不会侵犯任何第三方的知识产权</w:t>
      </w:r>
      <w:r>
        <w:rPr>
          <w:rFonts w:hint="eastAsia" w:ascii="仿宋" w:hAnsi="仿宋" w:eastAsia="仿宋" w:cs="仿宋"/>
          <w:bCs/>
          <w:snapToGrid w:val="0"/>
          <w:color w:val="auto"/>
          <w:kern w:val="0"/>
          <w:highlight w:val="none"/>
        </w:rPr>
        <w:t>。</w:t>
      </w:r>
    </w:p>
    <w:p w14:paraId="26DA3D9F">
      <w:pPr>
        <w:pStyle w:val="14"/>
        <w:adjustRightInd w:val="0"/>
        <w:snapToGrid w:val="0"/>
        <w:spacing w:before="0" w:beforeLines="0" w:after="0" w:afterLines="0" w:line="360" w:lineRule="auto"/>
        <w:ind w:firstLine="482" w:firstLineChars="200"/>
        <w:rPr>
          <w:rFonts w:hint="eastAsia" w:ascii="仿宋" w:hAnsi="仿宋" w:eastAsia="仿宋" w:cs="仿宋"/>
          <w:b/>
          <w:bCs/>
          <w:snapToGrid w:val="0"/>
          <w:color w:val="auto"/>
          <w:kern w:val="0"/>
          <w:highlight w:val="none"/>
          <w:u w:val="single"/>
        </w:rPr>
      </w:pPr>
      <w:r>
        <w:rPr>
          <w:rFonts w:hint="eastAsia" w:ascii="仿宋" w:hAnsi="仿宋" w:eastAsia="仿宋" w:cs="仿宋"/>
          <w:b/>
          <w:bCs/>
          <w:snapToGrid w:val="0"/>
          <w:color w:val="auto"/>
          <w:kern w:val="0"/>
          <w:highlight w:val="none"/>
          <w:lang w:val="en-US" w:eastAsia="zh-CN"/>
        </w:rPr>
        <w:t>五</w:t>
      </w:r>
      <w:r>
        <w:rPr>
          <w:rFonts w:hint="eastAsia" w:ascii="仿宋" w:hAnsi="仿宋" w:eastAsia="仿宋" w:cs="仿宋"/>
          <w:b/>
          <w:bCs/>
          <w:snapToGrid w:val="0"/>
          <w:color w:val="auto"/>
          <w:kern w:val="0"/>
          <w:highlight w:val="none"/>
        </w:rPr>
        <w:t>、产权担保</w:t>
      </w:r>
    </w:p>
    <w:p w14:paraId="622B1821">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u w:val="single"/>
        </w:rPr>
      </w:pPr>
      <w:r>
        <w:rPr>
          <w:rFonts w:hint="eastAsia" w:ascii="仿宋" w:hAnsi="仿宋" w:eastAsia="仿宋" w:cs="仿宋"/>
          <w:snapToGrid w:val="0"/>
          <w:color w:val="auto"/>
          <w:kern w:val="0"/>
          <w:highlight w:val="none"/>
        </w:rPr>
        <w:t>乙方保证所交付的货物的所有权完全属于乙方且无任何抵押、查封等产权瑕疵。</w:t>
      </w:r>
    </w:p>
    <w:p w14:paraId="23F534C5">
      <w:pPr>
        <w:pStyle w:val="14"/>
        <w:adjustRightInd w:val="0"/>
        <w:snapToGrid w:val="0"/>
        <w:spacing w:before="0" w:beforeLines="0" w:after="0" w:afterLines="0" w:line="360" w:lineRule="auto"/>
        <w:ind w:firstLine="482" w:firstLineChars="200"/>
        <w:rPr>
          <w:rFonts w:hint="eastAsia" w:ascii="仿宋" w:hAnsi="仿宋" w:eastAsia="仿宋" w:cs="仿宋"/>
          <w:b/>
          <w:bCs/>
          <w:snapToGrid w:val="0"/>
          <w:color w:val="auto"/>
          <w:kern w:val="0"/>
          <w:highlight w:val="none"/>
        </w:rPr>
      </w:pPr>
      <w:r>
        <w:rPr>
          <w:rFonts w:hint="eastAsia" w:ascii="仿宋" w:hAnsi="仿宋" w:eastAsia="仿宋" w:cs="仿宋"/>
          <w:b/>
          <w:bCs/>
          <w:snapToGrid w:val="0"/>
          <w:color w:val="auto"/>
          <w:kern w:val="0"/>
          <w:highlight w:val="none"/>
          <w:lang w:val="en-US" w:eastAsia="zh-CN"/>
        </w:rPr>
        <w:t>六</w:t>
      </w:r>
      <w:r>
        <w:rPr>
          <w:rFonts w:hint="eastAsia" w:ascii="仿宋" w:hAnsi="仿宋" w:eastAsia="仿宋" w:cs="仿宋"/>
          <w:b/>
          <w:bCs/>
          <w:snapToGrid w:val="0"/>
          <w:color w:val="auto"/>
          <w:kern w:val="0"/>
          <w:highlight w:val="none"/>
        </w:rPr>
        <w:t>、转包或分包</w:t>
      </w:r>
    </w:p>
    <w:p w14:paraId="5A988F6C">
      <w:pPr>
        <w:adjustRightInd w:val="0"/>
        <w:snapToGrid w:val="0"/>
        <w:spacing w:line="360" w:lineRule="auto"/>
        <w:ind w:firstLine="480" w:firstLineChars="200"/>
        <w:rPr>
          <w:rFonts w:hint="eastAsia" w:ascii="仿宋" w:hAnsi="仿宋" w:eastAsia="仿宋" w:cs="仿宋"/>
          <w:snapToGrid w:val="0"/>
          <w:color w:val="auto"/>
          <w:kern w:val="0"/>
          <w:sz w:val="24"/>
          <w:highlight w:val="none"/>
        </w:rPr>
      </w:pPr>
      <w:r>
        <w:rPr>
          <w:rFonts w:hint="eastAsia" w:ascii="仿宋" w:hAnsi="仿宋" w:eastAsia="仿宋" w:cs="仿宋"/>
          <w:snapToGrid w:val="0"/>
          <w:color w:val="auto"/>
          <w:kern w:val="0"/>
          <w:sz w:val="24"/>
          <w:highlight w:val="none"/>
        </w:rPr>
        <w:t>本合同范围的货物，应由乙方直接供应，不得转让他人供应，否则，甲方有权解除合同，没收履约保证金并追究乙方的违约责任。</w:t>
      </w:r>
    </w:p>
    <w:p w14:paraId="52F95D4C">
      <w:pPr>
        <w:pStyle w:val="14"/>
        <w:adjustRightInd w:val="0"/>
        <w:snapToGrid w:val="0"/>
        <w:spacing w:before="0" w:beforeLines="0" w:after="0" w:afterLines="0" w:line="360" w:lineRule="auto"/>
        <w:ind w:firstLine="482" w:firstLineChars="200"/>
        <w:rPr>
          <w:rFonts w:hint="eastAsia" w:ascii="仿宋" w:hAnsi="仿宋" w:eastAsia="仿宋" w:cs="仿宋"/>
          <w:b/>
          <w:bCs/>
          <w:snapToGrid w:val="0"/>
          <w:color w:val="auto"/>
          <w:kern w:val="0"/>
          <w:highlight w:val="none"/>
        </w:rPr>
      </w:pPr>
      <w:r>
        <w:rPr>
          <w:rFonts w:hint="eastAsia" w:ascii="仿宋" w:hAnsi="仿宋" w:eastAsia="仿宋" w:cs="仿宋"/>
          <w:b/>
          <w:bCs/>
          <w:snapToGrid w:val="0"/>
          <w:color w:val="auto"/>
          <w:kern w:val="0"/>
          <w:highlight w:val="none"/>
          <w:lang w:val="en-US" w:eastAsia="zh-CN"/>
        </w:rPr>
        <w:t>七</w:t>
      </w:r>
      <w:r>
        <w:rPr>
          <w:rFonts w:hint="eastAsia" w:ascii="仿宋" w:hAnsi="仿宋" w:eastAsia="仿宋" w:cs="仿宋"/>
          <w:b/>
          <w:bCs/>
          <w:snapToGrid w:val="0"/>
          <w:color w:val="auto"/>
          <w:kern w:val="0"/>
          <w:highlight w:val="none"/>
        </w:rPr>
        <w:t>、交货期、交货方式及交货地点</w:t>
      </w:r>
    </w:p>
    <w:p w14:paraId="1B1B71D6">
      <w:pPr>
        <w:pStyle w:val="14"/>
        <w:adjustRightInd w:val="0"/>
        <w:snapToGrid w:val="0"/>
        <w:spacing w:before="0" w:beforeLines="0" w:after="0" w:afterLines="0" w:line="360" w:lineRule="auto"/>
        <w:ind w:firstLine="480" w:firstLineChars="200"/>
        <w:rPr>
          <w:rFonts w:hint="eastAsia" w:ascii="仿宋" w:hAnsi="仿宋" w:eastAsia="仿宋" w:cs="仿宋"/>
          <w:bCs/>
          <w:snapToGrid w:val="0"/>
          <w:color w:val="auto"/>
          <w:kern w:val="0"/>
          <w:highlight w:val="none"/>
          <w:lang w:val="en-US" w:eastAsia="zh-CN"/>
        </w:rPr>
      </w:pPr>
      <w:r>
        <w:rPr>
          <w:rFonts w:hint="eastAsia" w:ascii="仿宋" w:hAnsi="仿宋" w:eastAsia="仿宋" w:cs="仿宋"/>
          <w:bCs/>
          <w:snapToGrid w:val="0"/>
          <w:color w:val="auto"/>
          <w:kern w:val="0"/>
          <w:highlight w:val="none"/>
        </w:rPr>
        <w:t>1、交货期：</w:t>
      </w:r>
      <w:r>
        <w:rPr>
          <w:rFonts w:hint="eastAsia" w:ascii="仿宋" w:hAnsi="仿宋" w:eastAsia="仿宋" w:cs="仿宋"/>
          <w:b/>
          <w:bCs/>
          <w:snapToGrid w:val="0"/>
          <w:color w:val="auto"/>
          <w:kern w:val="0"/>
          <w:highlight w:val="none"/>
          <w:lang w:val="en-US"/>
        </w:rPr>
        <w:t>根据</w:t>
      </w:r>
      <w:r>
        <w:rPr>
          <w:rFonts w:hint="eastAsia" w:ascii="仿宋" w:hAnsi="仿宋" w:eastAsia="仿宋" w:cs="仿宋"/>
          <w:b/>
          <w:bCs/>
          <w:snapToGrid w:val="0"/>
          <w:color w:val="auto"/>
          <w:kern w:val="0"/>
          <w:highlight w:val="none"/>
          <w:lang w:val="en-US" w:eastAsia="zh-CN"/>
        </w:rPr>
        <w:t>甲方实际</w:t>
      </w:r>
      <w:r>
        <w:rPr>
          <w:rFonts w:hint="eastAsia" w:ascii="仿宋" w:hAnsi="仿宋" w:eastAsia="仿宋" w:cs="仿宋"/>
          <w:b/>
          <w:bCs/>
          <w:snapToGrid w:val="0"/>
          <w:color w:val="auto"/>
          <w:kern w:val="0"/>
          <w:highlight w:val="none"/>
          <w:lang w:val="en-US"/>
        </w:rPr>
        <w:t>需要，</w:t>
      </w:r>
      <w:r>
        <w:rPr>
          <w:rFonts w:hint="eastAsia" w:ascii="仿宋" w:hAnsi="仿宋" w:eastAsia="仿宋" w:cs="仿宋"/>
          <w:b/>
          <w:bCs/>
          <w:snapToGrid w:val="0"/>
          <w:color w:val="auto"/>
          <w:kern w:val="0"/>
          <w:highlight w:val="none"/>
          <w:lang w:val="en-US" w:eastAsia="zh-CN"/>
        </w:rPr>
        <w:t>保证在</w:t>
      </w:r>
      <w:r>
        <w:rPr>
          <w:rFonts w:hint="eastAsia" w:ascii="仿宋" w:hAnsi="仿宋" w:eastAsia="仿宋" w:cs="仿宋"/>
          <w:b/>
          <w:bCs/>
          <w:snapToGrid w:val="0"/>
          <w:color w:val="auto"/>
          <w:kern w:val="0"/>
          <w:highlight w:val="none"/>
          <w:lang w:val="en-US"/>
        </w:rPr>
        <w:t>接到</w:t>
      </w:r>
      <w:r>
        <w:rPr>
          <w:rFonts w:hint="eastAsia" w:ascii="仿宋" w:hAnsi="仿宋" w:eastAsia="仿宋" w:cs="仿宋"/>
          <w:b/>
          <w:bCs/>
          <w:snapToGrid w:val="0"/>
          <w:color w:val="auto"/>
          <w:kern w:val="0"/>
          <w:highlight w:val="none"/>
          <w:lang w:val="en-US" w:eastAsia="zh-CN"/>
        </w:rPr>
        <w:t>甲方</w:t>
      </w:r>
      <w:r>
        <w:rPr>
          <w:rFonts w:hint="eastAsia" w:ascii="仿宋" w:hAnsi="仿宋" w:eastAsia="仿宋" w:cs="仿宋"/>
          <w:b/>
          <w:bCs/>
          <w:snapToGrid w:val="0"/>
          <w:color w:val="auto"/>
          <w:kern w:val="0"/>
          <w:highlight w:val="none"/>
          <w:lang w:val="en-US"/>
        </w:rPr>
        <w:t>供货电话后</w:t>
      </w:r>
      <w:r>
        <w:rPr>
          <w:rFonts w:hint="eastAsia" w:ascii="仿宋" w:hAnsi="仿宋" w:eastAsia="仿宋" w:cs="仿宋"/>
          <w:b/>
          <w:bCs/>
          <w:snapToGrid w:val="0"/>
          <w:color w:val="auto"/>
          <w:kern w:val="0"/>
          <w:highlight w:val="none"/>
          <w:lang w:val="en-US" w:eastAsia="zh-CN"/>
        </w:rPr>
        <w:t>12</w:t>
      </w:r>
      <w:r>
        <w:rPr>
          <w:rFonts w:hint="eastAsia" w:ascii="仿宋" w:hAnsi="仿宋" w:eastAsia="仿宋" w:cs="仿宋"/>
          <w:b/>
          <w:bCs/>
          <w:snapToGrid w:val="0"/>
          <w:color w:val="auto"/>
          <w:kern w:val="0"/>
          <w:highlight w:val="none"/>
          <w:lang w:val="en-US"/>
        </w:rPr>
        <w:t>小时内</w:t>
      </w:r>
      <w:r>
        <w:rPr>
          <w:rFonts w:hint="eastAsia" w:ascii="仿宋" w:hAnsi="仿宋" w:eastAsia="仿宋" w:cs="仿宋"/>
          <w:b/>
          <w:bCs/>
          <w:snapToGrid w:val="0"/>
          <w:color w:val="auto"/>
          <w:kern w:val="0"/>
          <w:highlight w:val="none"/>
          <w:lang w:val="en-US" w:eastAsia="zh-CN"/>
        </w:rPr>
        <w:t>分批次将货物送至甲方指定地点</w:t>
      </w:r>
      <w:r>
        <w:rPr>
          <w:rFonts w:hint="eastAsia" w:ascii="仿宋" w:hAnsi="仿宋" w:eastAsia="仿宋" w:cs="仿宋"/>
          <w:b/>
          <w:bCs/>
          <w:snapToGrid w:val="0"/>
          <w:color w:val="auto"/>
          <w:kern w:val="0"/>
          <w:highlight w:val="none"/>
          <w:lang w:val="en-US"/>
        </w:rPr>
        <w:t>（包括零星小批量送货）</w:t>
      </w:r>
      <w:r>
        <w:rPr>
          <w:rFonts w:hint="eastAsia" w:ascii="仿宋" w:hAnsi="仿宋" w:eastAsia="仿宋" w:cs="仿宋"/>
          <w:bCs/>
          <w:snapToGrid w:val="0"/>
          <w:color w:val="auto"/>
          <w:kern w:val="0"/>
          <w:highlight w:val="none"/>
          <w:lang w:val="en-US"/>
        </w:rPr>
        <w:t>。</w:t>
      </w:r>
    </w:p>
    <w:p w14:paraId="4DAE3AEE">
      <w:pPr>
        <w:pStyle w:val="14"/>
        <w:adjustRightInd w:val="0"/>
        <w:snapToGrid w:val="0"/>
        <w:spacing w:before="0" w:beforeLines="0" w:after="0" w:afterLines="0" w:line="360" w:lineRule="auto"/>
        <w:ind w:firstLine="480" w:firstLineChars="200"/>
        <w:rPr>
          <w:rFonts w:hint="eastAsia" w:ascii="仿宋" w:hAnsi="仿宋" w:eastAsia="仿宋" w:cs="仿宋"/>
          <w:bCs/>
          <w:snapToGrid w:val="0"/>
          <w:color w:val="auto"/>
          <w:kern w:val="0"/>
          <w:highlight w:val="none"/>
          <w:lang w:eastAsia="zh-CN"/>
        </w:rPr>
      </w:pPr>
      <w:r>
        <w:rPr>
          <w:rFonts w:hint="eastAsia" w:ascii="仿宋" w:hAnsi="仿宋" w:eastAsia="仿宋" w:cs="仿宋"/>
          <w:bCs/>
          <w:snapToGrid w:val="0"/>
          <w:color w:val="auto"/>
          <w:kern w:val="0"/>
          <w:highlight w:val="none"/>
        </w:rPr>
        <w:t>2、交货方式：</w:t>
      </w:r>
      <w:r>
        <w:rPr>
          <w:rFonts w:hint="eastAsia" w:ascii="仿宋" w:hAnsi="仿宋" w:eastAsia="仿宋" w:cs="仿宋"/>
          <w:bCs/>
          <w:snapToGrid w:val="0"/>
          <w:color w:val="auto"/>
          <w:kern w:val="0"/>
          <w:highlight w:val="none"/>
          <w:lang w:val="en-US" w:eastAsia="zh-CN"/>
        </w:rPr>
        <w:t>乙方每次供货时，</w:t>
      </w:r>
      <w:r>
        <w:rPr>
          <w:rFonts w:hint="eastAsia" w:ascii="仿宋" w:hAnsi="仿宋" w:eastAsia="仿宋" w:cs="仿宋"/>
          <w:bCs/>
          <w:snapToGrid w:val="0"/>
          <w:color w:val="auto"/>
          <w:kern w:val="0"/>
          <w:highlight w:val="none"/>
          <w:lang w:eastAsia="zh-CN"/>
        </w:rPr>
        <w:t>提供</w:t>
      </w:r>
      <w:r>
        <w:rPr>
          <w:rFonts w:hint="eastAsia" w:ascii="仿宋" w:hAnsi="仿宋" w:eastAsia="仿宋" w:cs="仿宋"/>
          <w:b/>
          <w:bCs/>
          <w:color w:val="auto"/>
          <w:highlight w:val="none"/>
        </w:rPr>
        <w:t>每批</w:t>
      </w:r>
      <w:r>
        <w:rPr>
          <w:rFonts w:hint="eastAsia" w:ascii="仿宋" w:hAnsi="仿宋" w:eastAsia="仿宋" w:cs="仿宋"/>
          <w:b/>
          <w:bCs/>
          <w:color w:val="auto"/>
          <w:highlight w:val="none"/>
          <w:lang w:val="en-US" w:eastAsia="zh-CN"/>
        </w:rPr>
        <w:t>矿粉</w:t>
      </w:r>
      <w:r>
        <w:rPr>
          <w:rFonts w:hint="eastAsia" w:ascii="仿宋" w:hAnsi="仿宋" w:eastAsia="仿宋" w:cs="仿宋"/>
          <w:b/>
          <w:bCs/>
          <w:color w:val="auto"/>
          <w:highlight w:val="none"/>
        </w:rPr>
        <w:t>供货清单</w:t>
      </w: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rPr>
        <w:t>合格证书、原始出厂单</w:t>
      </w:r>
      <w:r>
        <w:rPr>
          <w:rFonts w:hint="eastAsia" w:ascii="仿宋" w:hAnsi="仿宋" w:eastAsia="仿宋" w:cs="仿宋"/>
          <w:b/>
          <w:bCs/>
          <w:color w:val="auto"/>
          <w:highlight w:val="none"/>
          <w:lang w:eastAsia="zh-CN"/>
        </w:rPr>
        <w:t>等</w:t>
      </w:r>
      <w:r>
        <w:rPr>
          <w:rFonts w:hint="eastAsia" w:ascii="仿宋" w:hAnsi="仿宋" w:eastAsia="仿宋" w:cs="仿宋"/>
          <w:bCs/>
          <w:snapToGrid w:val="0"/>
          <w:color w:val="auto"/>
          <w:kern w:val="0"/>
          <w:highlight w:val="none"/>
          <w:lang w:eastAsia="zh-CN"/>
        </w:rPr>
        <w:t>，</w:t>
      </w:r>
      <w:r>
        <w:rPr>
          <w:rFonts w:hint="eastAsia" w:ascii="仿宋" w:hAnsi="仿宋" w:eastAsia="仿宋" w:cs="仿宋"/>
          <w:bCs/>
          <w:color w:val="auto"/>
          <w:highlight w:val="none"/>
        </w:rPr>
        <w:t>并</w:t>
      </w:r>
      <w:r>
        <w:rPr>
          <w:rFonts w:hint="eastAsia" w:ascii="仿宋" w:hAnsi="仿宋" w:eastAsia="仿宋" w:cs="仿宋"/>
          <w:bCs/>
          <w:color w:val="auto"/>
          <w:highlight w:val="none"/>
          <w:lang w:eastAsia="zh-CN"/>
        </w:rPr>
        <w:t>经</w:t>
      </w:r>
      <w:r>
        <w:rPr>
          <w:rFonts w:hint="eastAsia" w:ascii="仿宋" w:hAnsi="仿宋" w:eastAsia="仿宋" w:cs="仿宋"/>
          <w:bCs/>
          <w:color w:val="auto"/>
          <w:highlight w:val="none"/>
          <w:lang w:val="en-US" w:eastAsia="zh-CN"/>
        </w:rPr>
        <w:t>甲方</w:t>
      </w:r>
      <w:r>
        <w:rPr>
          <w:rFonts w:hint="eastAsia" w:ascii="仿宋" w:hAnsi="仿宋" w:eastAsia="仿宋" w:cs="仿宋"/>
          <w:bCs/>
          <w:color w:val="auto"/>
          <w:highlight w:val="none"/>
        </w:rPr>
        <w:t>当场验收</w:t>
      </w:r>
      <w:r>
        <w:rPr>
          <w:rFonts w:hint="eastAsia" w:ascii="仿宋" w:hAnsi="仿宋" w:eastAsia="仿宋" w:cs="仿宋"/>
          <w:bCs/>
          <w:color w:val="auto"/>
          <w:highlight w:val="none"/>
          <w:lang w:eastAsia="zh-CN"/>
        </w:rPr>
        <w:t>并签字</w:t>
      </w:r>
      <w:r>
        <w:rPr>
          <w:rFonts w:hint="eastAsia" w:ascii="仿宋" w:hAnsi="仿宋" w:eastAsia="仿宋" w:cs="仿宋"/>
          <w:bCs/>
          <w:color w:val="auto"/>
          <w:highlight w:val="none"/>
        </w:rPr>
        <w:t>确认</w:t>
      </w:r>
      <w:r>
        <w:rPr>
          <w:rFonts w:hint="eastAsia" w:ascii="仿宋" w:hAnsi="仿宋" w:eastAsia="仿宋" w:cs="仿宋"/>
          <w:bCs/>
          <w:color w:val="auto"/>
          <w:highlight w:val="none"/>
          <w:lang w:eastAsia="zh-CN"/>
        </w:rPr>
        <w:t>。</w:t>
      </w:r>
      <w:r>
        <w:rPr>
          <w:rFonts w:hint="eastAsia" w:ascii="仿宋" w:hAnsi="仿宋" w:eastAsia="仿宋" w:cs="仿宋"/>
          <w:bCs/>
          <w:color w:val="auto"/>
          <w:highlight w:val="none"/>
          <w:lang w:val="en-US" w:eastAsia="zh-CN"/>
        </w:rPr>
        <w:t>甲方根据此资料进行接货、检验及结算，若资料不齐全的，甲方有权拒收。</w:t>
      </w:r>
      <w:r>
        <w:rPr>
          <w:rFonts w:hint="eastAsia" w:ascii="仿宋" w:hAnsi="仿宋" w:eastAsia="仿宋" w:cs="仿宋"/>
          <w:bCs/>
          <w:snapToGrid w:val="0"/>
          <w:color w:val="auto"/>
          <w:kern w:val="0"/>
          <w:highlight w:val="none"/>
        </w:rPr>
        <w:t>若出现有短少或不符合标准的材料，</w:t>
      </w:r>
      <w:r>
        <w:rPr>
          <w:rFonts w:hint="eastAsia" w:ascii="仿宋" w:hAnsi="仿宋" w:eastAsia="仿宋" w:cs="仿宋"/>
          <w:bCs/>
          <w:snapToGrid w:val="0"/>
          <w:color w:val="auto"/>
          <w:kern w:val="0"/>
          <w:highlight w:val="none"/>
          <w:lang w:val="en-US" w:eastAsia="zh-CN"/>
        </w:rPr>
        <w:t>乙方</w:t>
      </w:r>
      <w:r>
        <w:rPr>
          <w:rFonts w:hint="eastAsia" w:ascii="仿宋" w:hAnsi="仿宋" w:eastAsia="仿宋" w:cs="仿宋"/>
          <w:bCs/>
          <w:snapToGrid w:val="0"/>
          <w:color w:val="auto"/>
          <w:kern w:val="0"/>
          <w:highlight w:val="none"/>
        </w:rPr>
        <w:t>应12小时内补足或更换全新同规格的</w:t>
      </w:r>
      <w:r>
        <w:rPr>
          <w:rFonts w:hint="eastAsia" w:ascii="仿宋" w:hAnsi="仿宋" w:eastAsia="仿宋" w:cs="仿宋"/>
          <w:bCs/>
          <w:snapToGrid w:val="0"/>
          <w:color w:val="auto"/>
          <w:kern w:val="0"/>
          <w:highlight w:val="none"/>
          <w:lang w:val="en-US" w:eastAsia="zh-CN"/>
        </w:rPr>
        <w:t>矿粉</w:t>
      </w:r>
      <w:r>
        <w:rPr>
          <w:rFonts w:hint="eastAsia" w:ascii="仿宋" w:hAnsi="仿宋" w:eastAsia="仿宋" w:cs="仿宋"/>
          <w:bCs/>
          <w:snapToGrid w:val="0"/>
          <w:color w:val="auto"/>
          <w:kern w:val="0"/>
          <w:highlight w:val="none"/>
        </w:rPr>
        <w:t>，并承担由此产生的一切费用；如果该不合格</w:t>
      </w:r>
      <w:r>
        <w:rPr>
          <w:rFonts w:hint="eastAsia" w:ascii="仿宋" w:hAnsi="仿宋" w:eastAsia="仿宋" w:cs="仿宋"/>
          <w:bCs/>
          <w:snapToGrid w:val="0"/>
          <w:color w:val="auto"/>
          <w:kern w:val="0"/>
          <w:highlight w:val="none"/>
          <w:lang w:val="en-US" w:eastAsia="zh-CN"/>
        </w:rPr>
        <w:t>矿粉</w:t>
      </w:r>
      <w:r>
        <w:rPr>
          <w:rFonts w:hint="eastAsia" w:ascii="仿宋" w:hAnsi="仿宋" w:eastAsia="仿宋" w:cs="仿宋"/>
          <w:bCs/>
          <w:snapToGrid w:val="0"/>
          <w:color w:val="auto"/>
          <w:kern w:val="0"/>
          <w:highlight w:val="none"/>
        </w:rPr>
        <w:t>已经被使用，由此引发的一切后果由</w:t>
      </w:r>
      <w:r>
        <w:rPr>
          <w:rFonts w:hint="eastAsia" w:ascii="仿宋" w:hAnsi="仿宋" w:eastAsia="仿宋" w:cs="仿宋"/>
          <w:bCs/>
          <w:snapToGrid w:val="0"/>
          <w:color w:val="auto"/>
          <w:kern w:val="0"/>
          <w:highlight w:val="none"/>
          <w:lang w:val="en-US" w:eastAsia="zh-CN"/>
        </w:rPr>
        <w:t>乙方</w:t>
      </w:r>
      <w:r>
        <w:rPr>
          <w:rFonts w:hint="eastAsia" w:ascii="仿宋" w:hAnsi="仿宋" w:eastAsia="仿宋" w:cs="仿宋"/>
          <w:bCs/>
          <w:snapToGrid w:val="0"/>
          <w:color w:val="auto"/>
          <w:kern w:val="0"/>
          <w:highlight w:val="none"/>
        </w:rPr>
        <w:t>承担。</w:t>
      </w:r>
    </w:p>
    <w:p w14:paraId="17646C8D">
      <w:pPr>
        <w:pStyle w:val="14"/>
        <w:adjustRightInd w:val="0"/>
        <w:snapToGrid w:val="0"/>
        <w:spacing w:before="0" w:beforeLines="0" w:after="0" w:afterLines="0" w:line="360" w:lineRule="auto"/>
        <w:ind w:firstLine="480" w:firstLineChars="200"/>
        <w:rPr>
          <w:rFonts w:hint="eastAsia" w:ascii="仿宋" w:hAnsi="仿宋" w:eastAsia="仿宋" w:cs="仿宋"/>
          <w:bCs/>
          <w:snapToGrid w:val="0"/>
          <w:color w:val="auto"/>
          <w:kern w:val="0"/>
          <w:highlight w:val="none"/>
          <w:lang w:eastAsia="zh-CN"/>
        </w:rPr>
      </w:pPr>
      <w:r>
        <w:rPr>
          <w:rFonts w:hint="eastAsia" w:ascii="仿宋" w:hAnsi="仿宋" w:eastAsia="仿宋" w:cs="仿宋"/>
          <w:bCs/>
          <w:color w:val="auto"/>
          <w:highlight w:val="none"/>
          <w:lang w:eastAsia="zh-CN"/>
        </w:rPr>
        <w:t>因</w:t>
      </w:r>
      <w:r>
        <w:rPr>
          <w:rFonts w:hint="eastAsia" w:ascii="仿宋" w:hAnsi="仿宋" w:eastAsia="仿宋" w:cs="仿宋"/>
          <w:bCs/>
          <w:snapToGrid w:val="0"/>
          <w:color w:val="auto"/>
          <w:kern w:val="0"/>
          <w:highlight w:val="none"/>
          <w:lang w:eastAsia="zh-CN"/>
        </w:rPr>
        <w:t>甲方场地有限，产品数量非一次性提供。合同实施期间，乙方必须按甲方需求分期分批分次供货。乙方必须自行处理好供货期间涉及的一切问题、手续及费用。</w:t>
      </w:r>
    </w:p>
    <w:p w14:paraId="7E785035">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bCs/>
          <w:snapToGrid w:val="0"/>
          <w:color w:val="auto"/>
          <w:kern w:val="0"/>
          <w:highlight w:val="none"/>
        </w:rPr>
        <w:t>3、交货地点：甲方指定地点</w:t>
      </w:r>
    </w:p>
    <w:p w14:paraId="061F9AAE">
      <w:pPr>
        <w:pStyle w:val="14"/>
        <w:keepNext w:val="0"/>
        <w:keepLines w:val="0"/>
        <w:pageBreakBefore w:val="0"/>
        <w:widowControl w:val="0"/>
        <w:kinsoku/>
        <w:wordWrap/>
        <w:overflowPunct/>
        <w:topLinePunct w:val="0"/>
        <w:autoSpaceDE/>
        <w:autoSpaceDN/>
        <w:bidi w:val="0"/>
        <w:adjustRightInd/>
        <w:snapToGrid w:val="0"/>
        <w:spacing w:before="0" w:beforeLines="0" w:beforeAutospacing="0" w:after="0" w:afterLines="0" w:afterAutospacing="0" w:line="360" w:lineRule="auto"/>
        <w:ind w:left="0" w:firstLine="482" w:firstLineChars="200"/>
        <w:textAlignment w:val="auto"/>
        <w:outlineLvl w:val="0"/>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4、项目实施期间，乙方应严格遵守安全文明、环境保护相关规定，预见规避一切安全风险，避免安全事故发生。因乙方原因造成的质量和安全事故，产生的一切责任和损失由承包人承担，同时给甲方所带来的损失亦由乙方承担。</w:t>
      </w:r>
    </w:p>
    <w:p w14:paraId="718150D5">
      <w:pPr>
        <w:snapToGrid w:val="0"/>
        <w:spacing w:line="360" w:lineRule="auto"/>
        <w:ind w:firstLine="480" w:firstLineChars="200"/>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5</w:t>
      </w:r>
      <w:r>
        <w:rPr>
          <w:rFonts w:hint="eastAsia" w:ascii="仿宋" w:hAnsi="仿宋" w:eastAsia="仿宋" w:cs="仿宋"/>
          <w:bCs/>
          <w:color w:val="auto"/>
          <w:sz w:val="24"/>
          <w:highlight w:val="none"/>
        </w:rPr>
        <w:t>、</w:t>
      </w:r>
      <w:r>
        <w:rPr>
          <w:rFonts w:hint="eastAsia" w:ascii="仿宋" w:hAnsi="仿宋" w:eastAsia="仿宋" w:cs="仿宋"/>
          <w:bCs/>
          <w:color w:val="auto"/>
          <w:sz w:val="24"/>
          <w:highlight w:val="none"/>
          <w:lang w:val="en-US" w:eastAsia="zh-CN"/>
        </w:rPr>
        <w:t>乙方</w:t>
      </w:r>
      <w:r>
        <w:rPr>
          <w:rFonts w:hint="eastAsia" w:ascii="仿宋" w:hAnsi="仿宋" w:eastAsia="仿宋" w:cs="仿宋"/>
          <w:bCs/>
          <w:color w:val="auto"/>
          <w:sz w:val="24"/>
          <w:highlight w:val="none"/>
        </w:rPr>
        <w:t>须在合同实施期间，车辆在运输过程中不得超载、超限，且须符合其它相关运输法规，运输过程中出现的一切责任由</w:t>
      </w:r>
      <w:r>
        <w:rPr>
          <w:rFonts w:hint="eastAsia" w:ascii="仿宋" w:hAnsi="仿宋" w:eastAsia="仿宋" w:cs="仿宋"/>
          <w:bCs/>
          <w:color w:val="auto"/>
          <w:sz w:val="24"/>
          <w:highlight w:val="none"/>
          <w:lang w:val="en-US" w:eastAsia="zh-CN"/>
        </w:rPr>
        <w:t>乙方</w:t>
      </w:r>
      <w:r>
        <w:rPr>
          <w:rFonts w:hint="eastAsia" w:ascii="仿宋" w:hAnsi="仿宋" w:eastAsia="仿宋" w:cs="仿宋"/>
          <w:bCs/>
          <w:color w:val="auto"/>
          <w:sz w:val="24"/>
          <w:highlight w:val="none"/>
        </w:rPr>
        <w:t>自行承担，有严重违法违规情节的</w:t>
      </w:r>
      <w:r>
        <w:rPr>
          <w:rFonts w:hint="eastAsia" w:ascii="仿宋" w:hAnsi="仿宋" w:eastAsia="仿宋" w:cs="仿宋"/>
          <w:bCs/>
          <w:color w:val="auto"/>
          <w:sz w:val="24"/>
          <w:highlight w:val="none"/>
          <w:lang w:val="en-US" w:eastAsia="zh-CN"/>
        </w:rPr>
        <w:t>甲方</w:t>
      </w:r>
      <w:r>
        <w:rPr>
          <w:rFonts w:hint="eastAsia" w:ascii="仿宋" w:hAnsi="仿宋" w:eastAsia="仿宋" w:cs="仿宋"/>
          <w:bCs/>
          <w:color w:val="auto"/>
          <w:sz w:val="24"/>
          <w:highlight w:val="none"/>
        </w:rPr>
        <w:t>有权解除合同。</w:t>
      </w:r>
      <w:r>
        <w:rPr>
          <w:rFonts w:hint="eastAsia" w:ascii="仿宋" w:hAnsi="仿宋" w:eastAsia="仿宋" w:cs="仿宋"/>
          <w:bCs/>
          <w:color w:val="auto"/>
          <w:sz w:val="24"/>
          <w:highlight w:val="none"/>
          <w:lang w:val="en-US" w:eastAsia="zh-CN"/>
        </w:rPr>
        <w:t>在合同实施期间，乙方若无法按时供货，</w:t>
      </w:r>
      <w:r>
        <w:rPr>
          <w:rFonts w:hint="eastAsia" w:ascii="仿宋" w:hAnsi="仿宋" w:eastAsia="仿宋" w:cs="仿宋"/>
          <w:sz w:val="24"/>
          <w:highlight w:val="none"/>
          <w:lang w:val="en-US" w:eastAsia="zh-CN"/>
        </w:rPr>
        <w:t>甲方</w:t>
      </w:r>
      <w:r>
        <w:rPr>
          <w:rFonts w:hint="eastAsia" w:ascii="仿宋" w:hAnsi="仿宋" w:eastAsia="仿宋" w:cs="仿宋"/>
          <w:bCs/>
          <w:color w:val="auto"/>
          <w:sz w:val="24"/>
          <w:highlight w:val="none"/>
          <w:lang w:val="en-US" w:eastAsia="zh-CN"/>
        </w:rPr>
        <w:t>有权自行安排运输车辆进行运输，乙方应积极配合</w:t>
      </w:r>
      <w:r>
        <w:rPr>
          <w:rFonts w:hint="eastAsia" w:ascii="仿宋" w:hAnsi="仿宋" w:eastAsia="仿宋" w:cs="仿宋"/>
          <w:sz w:val="24"/>
          <w:highlight w:val="none"/>
          <w:lang w:val="en-US" w:eastAsia="zh-CN"/>
        </w:rPr>
        <w:t>甲方</w:t>
      </w:r>
      <w:r>
        <w:rPr>
          <w:rFonts w:hint="eastAsia" w:ascii="仿宋" w:hAnsi="仿宋" w:eastAsia="仿宋" w:cs="仿宋"/>
          <w:bCs/>
          <w:color w:val="auto"/>
          <w:sz w:val="24"/>
          <w:highlight w:val="none"/>
          <w:lang w:val="en-US" w:eastAsia="zh-CN"/>
        </w:rPr>
        <w:t>安排的运输车辆进行运输作业，且运输费用从中标综合单价中进行扣除。</w:t>
      </w:r>
    </w:p>
    <w:p w14:paraId="022AC4FE">
      <w:pPr>
        <w:snapToGrid w:val="0"/>
        <w:spacing w:line="360" w:lineRule="auto"/>
        <w:ind w:firstLine="240" w:firstLineChars="100"/>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6、鉴于甲方矿粉储存能力，在生产高峰期间会偶尔出现供货车辆压车的情况，乙方应无条件支持。</w:t>
      </w:r>
    </w:p>
    <w:p w14:paraId="7C3D0EBF">
      <w:pPr>
        <w:snapToGrid w:val="0"/>
        <w:spacing w:line="360" w:lineRule="auto"/>
        <w:ind w:firstLine="480" w:firstLineChars="200"/>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7、生产期间甲方有可能会临时改变生产计划，对矿粉用量有增加，乙方在接到甲方紧急需求计划时应及时安排调度，在5小时内送到甲方指定地点。</w:t>
      </w:r>
    </w:p>
    <w:p w14:paraId="367FA5D5">
      <w:pPr>
        <w:pStyle w:val="14"/>
        <w:adjustRightInd w:val="0"/>
        <w:snapToGrid w:val="0"/>
        <w:spacing w:before="0" w:beforeLines="0" w:after="0" w:afterLines="0" w:line="360" w:lineRule="auto"/>
        <w:ind w:firstLine="482" w:firstLineChars="200"/>
        <w:rPr>
          <w:rFonts w:hint="eastAsia" w:ascii="仿宋" w:hAnsi="仿宋" w:eastAsia="仿宋" w:cs="仿宋"/>
          <w:b/>
          <w:bCs/>
          <w:snapToGrid w:val="0"/>
          <w:color w:val="auto"/>
          <w:kern w:val="0"/>
          <w:highlight w:val="none"/>
        </w:rPr>
      </w:pPr>
      <w:r>
        <w:rPr>
          <w:rFonts w:hint="eastAsia" w:ascii="仿宋" w:hAnsi="仿宋" w:eastAsia="仿宋" w:cs="仿宋"/>
          <w:b/>
          <w:bCs/>
          <w:snapToGrid w:val="0"/>
          <w:color w:val="auto"/>
          <w:kern w:val="0"/>
          <w:highlight w:val="none"/>
        </w:rPr>
        <w:t>七、</w:t>
      </w:r>
      <w:r>
        <w:rPr>
          <w:rFonts w:hint="eastAsia" w:ascii="仿宋" w:hAnsi="仿宋" w:eastAsia="仿宋" w:cs="仿宋"/>
          <w:b/>
          <w:bCs/>
          <w:snapToGrid w:val="0"/>
          <w:color w:val="auto"/>
          <w:kern w:val="0"/>
          <w:highlight w:val="none"/>
          <w:lang w:eastAsia="zh-CN"/>
        </w:rPr>
        <w:t>履约保证证、结算和</w:t>
      </w:r>
      <w:r>
        <w:rPr>
          <w:rFonts w:hint="eastAsia" w:ascii="仿宋" w:hAnsi="仿宋" w:eastAsia="仿宋" w:cs="仿宋"/>
          <w:b/>
          <w:bCs/>
          <w:snapToGrid w:val="0"/>
          <w:color w:val="auto"/>
          <w:kern w:val="0"/>
          <w:highlight w:val="none"/>
        </w:rPr>
        <w:t>货款支付</w:t>
      </w:r>
    </w:p>
    <w:p w14:paraId="30B0E766">
      <w:pPr>
        <w:snapToGrid w:val="0"/>
        <w:spacing w:line="360" w:lineRule="auto"/>
        <w:ind w:firstLine="482" w:firstLineChars="200"/>
        <w:rPr>
          <w:rFonts w:ascii="仿宋" w:hAnsi="仿宋" w:eastAsia="仿宋" w:cs="仿宋"/>
          <w:b/>
          <w:bCs w:val="0"/>
          <w:color w:val="auto"/>
          <w:sz w:val="24"/>
          <w:szCs w:val="24"/>
          <w:highlight w:val="none"/>
        </w:rPr>
      </w:pPr>
      <w:r>
        <w:rPr>
          <w:rFonts w:hint="eastAsia" w:ascii="仿宋" w:hAnsi="仿宋" w:eastAsia="仿宋" w:cs="仿宋"/>
          <w:b/>
          <w:bCs w:val="0"/>
          <w:color w:val="auto"/>
          <w:sz w:val="24"/>
          <w:highlight w:val="none"/>
        </w:rPr>
        <w:t>1、</w:t>
      </w:r>
      <w:r>
        <w:rPr>
          <w:rFonts w:hint="eastAsia" w:ascii="仿宋" w:hAnsi="仿宋" w:eastAsia="仿宋" w:cs="仿宋"/>
          <w:b/>
          <w:bCs w:val="0"/>
          <w:color w:val="auto"/>
          <w:sz w:val="24"/>
          <w:highlight w:val="none"/>
          <w:lang w:eastAsia="zh-CN"/>
        </w:rPr>
        <w:t>乙方</w:t>
      </w:r>
      <w:r>
        <w:rPr>
          <w:rFonts w:hint="eastAsia" w:ascii="仿宋" w:hAnsi="仿宋" w:eastAsia="仿宋" w:cs="仿宋"/>
          <w:b/>
          <w:bCs w:val="0"/>
          <w:color w:val="auto"/>
          <w:sz w:val="24"/>
          <w:highlight w:val="none"/>
        </w:rPr>
        <w:t>在签订本合同时，须缴纳人民币</w:t>
      </w:r>
      <w:r>
        <w:rPr>
          <w:rFonts w:hint="eastAsia" w:ascii="仿宋" w:hAnsi="仿宋" w:eastAsia="仿宋" w:cs="仿宋"/>
          <w:b/>
          <w:bCs w:val="0"/>
          <w:color w:val="auto"/>
          <w:sz w:val="24"/>
          <w:highlight w:val="none"/>
          <w:lang w:val="en-US" w:eastAsia="zh-CN"/>
        </w:rPr>
        <w:t>2</w:t>
      </w:r>
      <w:r>
        <w:rPr>
          <w:rFonts w:hint="eastAsia" w:ascii="仿宋" w:hAnsi="仿宋" w:eastAsia="仿宋" w:cs="仿宋"/>
          <w:b/>
          <w:bCs w:val="0"/>
          <w:color w:val="auto"/>
          <w:sz w:val="24"/>
          <w:highlight w:val="none"/>
        </w:rPr>
        <w:t>万元整作为履约保证金</w:t>
      </w:r>
      <w:r>
        <w:rPr>
          <w:rFonts w:hint="eastAsia" w:ascii="仿宋" w:hAnsi="仿宋" w:eastAsia="仿宋" w:cs="仿宋"/>
          <w:b/>
          <w:bCs w:val="0"/>
          <w:color w:val="auto"/>
          <w:sz w:val="24"/>
          <w:highlight w:val="none"/>
          <w:lang w:eastAsia="zh-CN"/>
        </w:rPr>
        <w:t>。</w:t>
      </w:r>
      <w:r>
        <w:rPr>
          <w:rFonts w:hint="eastAsia" w:ascii="仿宋" w:hAnsi="仿宋" w:eastAsia="仿宋" w:cs="仿宋"/>
          <w:b/>
          <w:bCs w:val="0"/>
          <w:color w:val="auto"/>
          <w:sz w:val="24"/>
          <w:szCs w:val="24"/>
          <w:highlight w:val="none"/>
        </w:rPr>
        <w:t xml:space="preserve">履约担保形式：转账/银行保函/保险保证/担保公司担保等形式； </w:t>
      </w:r>
    </w:p>
    <w:p w14:paraId="3F193F6E">
      <w:pPr>
        <w:snapToGrid w:val="0"/>
        <w:spacing w:line="360" w:lineRule="auto"/>
        <w:ind w:firstLine="482" w:firstLineChars="200"/>
        <w:rPr>
          <w:rFonts w:ascii="仿宋" w:hAnsi="仿宋" w:eastAsia="仿宋" w:cs="仿宋"/>
          <w:b/>
          <w:bCs w:val="0"/>
          <w:color w:val="auto"/>
          <w:sz w:val="24"/>
          <w:szCs w:val="24"/>
          <w:highlight w:val="none"/>
        </w:rPr>
      </w:pPr>
      <w:r>
        <w:rPr>
          <w:rFonts w:hint="eastAsia" w:ascii="仿宋" w:hAnsi="仿宋" w:eastAsia="仿宋" w:cs="仿宋"/>
          <w:b/>
          <w:bCs w:val="0"/>
          <w:color w:val="auto"/>
          <w:sz w:val="24"/>
          <w:highlight w:val="none"/>
        </w:rPr>
        <w:t>履约保证金采用</w:t>
      </w:r>
      <w:r>
        <w:rPr>
          <w:rFonts w:hint="eastAsia" w:ascii="仿宋" w:hAnsi="仿宋" w:eastAsia="仿宋" w:cs="仿宋"/>
          <w:b/>
          <w:bCs w:val="0"/>
          <w:color w:val="auto"/>
          <w:sz w:val="24"/>
          <w:highlight w:val="none"/>
          <w:lang w:val="en-US" w:eastAsia="zh-CN"/>
        </w:rPr>
        <w:t>转账形式的，</w:t>
      </w:r>
      <w:r>
        <w:rPr>
          <w:rFonts w:hint="eastAsia" w:ascii="仿宋" w:hAnsi="仿宋" w:eastAsia="仿宋" w:cs="仿宋"/>
          <w:b/>
          <w:bCs w:val="0"/>
          <w:color w:val="auto"/>
          <w:sz w:val="24"/>
          <w:highlight w:val="none"/>
        </w:rPr>
        <w:t>缴纳至</w:t>
      </w:r>
      <w:r>
        <w:rPr>
          <w:rFonts w:hint="eastAsia" w:ascii="仿宋" w:hAnsi="仿宋" w:eastAsia="仿宋" w:cs="仿宋"/>
          <w:b/>
          <w:bCs w:val="0"/>
          <w:color w:val="auto"/>
          <w:sz w:val="24"/>
          <w:highlight w:val="none"/>
          <w:lang w:val="en-US" w:eastAsia="zh-CN"/>
        </w:rPr>
        <w:t>浙江临昌交通新材料</w:t>
      </w:r>
      <w:r>
        <w:rPr>
          <w:rFonts w:hint="eastAsia" w:ascii="仿宋" w:hAnsi="仿宋" w:eastAsia="仿宋" w:cs="仿宋"/>
          <w:b/>
          <w:bCs w:val="0"/>
          <w:color w:val="auto"/>
          <w:sz w:val="24"/>
          <w:highlight w:val="none"/>
          <w:lang w:eastAsia="zh-CN"/>
        </w:rPr>
        <w:t>有限公司</w:t>
      </w:r>
      <w:r>
        <w:rPr>
          <w:rFonts w:hint="eastAsia" w:ascii="仿宋" w:hAnsi="仿宋" w:eastAsia="仿宋" w:cs="仿宋"/>
          <w:b/>
          <w:bCs w:val="0"/>
          <w:color w:val="auto"/>
          <w:sz w:val="24"/>
          <w:highlight w:val="none"/>
        </w:rPr>
        <w:t>指定帐户，在履约期内</w:t>
      </w:r>
      <w:r>
        <w:rPr>
          <w:rFonts w:hint="eastAsia" w:ascii="仿宋" w:hAnsi="仿宋" w:eastAsia="仿宋" w:cs="仿宋"/>
          <w:b/>
          <w:bCs w:val="0"/>
          <w:color w:val="auto"/>
          <w:sz w:val="24"/>
          <w:highlight w:val="none"/>
          <w:lang w:eastAsia="zh-CN"/>
        </w:rPr>
        <w:t>乙方</w:t>
      </w:r>
      <w:r>
        <w:rPr>
          <w:rFonts w:hint="eastAsia" w:ascii="仿宋" w:hAnsi="仿宋" w:eastAsia="仿宋" w:cs="仿宋"/>
          <w:b/>
          <w:bCs w:val="0"/>
          <w:color w:val="auto"/>
          <w:sz w:val="24"/>
          <w:highlight w:val="none"/>
        </w:rPr>
        <w:t>全面且无瑕疵的履行完本合同约定的所有义务后无息退还。</w:t>
      </w:r>
    </w:p>
    <w:p w14:paraId="5B41ADF4">
      <w:pPr>
        <w:keepNext w:val="0"/>
        <w:keepLines w:val="0"/>
        <w:pageBreakBefore w:val="0"/>
        <w:shd w:val="clear" w:color="auto" w:fill="auto"/>
        <w:kinsoku/>
        <w:wordWrap/>
        <w:overflowPunct/>
        <w:topLinePunct w:val="0"/>
        <w:autoSpaceDE/>
        <w:autoSpaceDN/>
        <w:bidi w:val="0"/>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szCs w:val="24"/>
          <w:highlight w:val="none"/>
        </w:rPr>
        <w:t>如采用银行保函：应由</w:t>
      </w:r>
      <w:r>
        <w:rPr>
          <w:rFonts w:hint="eastAsia" w:ascii="仿宋" w:hAnsi="仿宋" w:eastAsia="仿宋" w:cs="仿宋"/>
          <w:b/>
          <w:bCs/>
          <w:color w:val="auto"/>
          <w:sz w:val="24"/>
          <w:szCs w:val="24"/>
          <w:highlight w:val="none"/>
          <w:lang w:val="en-US" w:eastAsia="zh-CN"/>
        </w:rPr>
        <w:t>乙方</w:t>
      </w:r>
      <w:r>
        <w:rPr>
          <w:rFonts w:hint="eastAsia" w:ascii="仿宋" w:hAnsi="仿宋" w:eastAsia="仿宋" w:cs="仿宋"/>
          <w:b/>
          <w:bCs/>
          <w:color w:val="auto"/>
          <w:sz w:val="24"/>
          <w:szCs w:val="24"/>
          <w:highlight w:val="none"/>
        </w:rPr>
        <w:t>从县（区、市）级支行及以上的银行开具，并保证其有效。保函有效时间</w:t>
      </w:r>
      <w:r>
        <w:rPr>
          <w:rFonts w:hint="eastAsia" w:ascii="仿宋" w:hAnsi="仿宋" w:eastAsia="仿宋" w:cs="仿宋"/>
          <w:b/>
          <w:bCs/>
          <w:color w:val="auto"/>
          <w:sz w:val="24"/>
          <w:szCs w:val="24"/>
          <w:highlight w:val="none"/>
          <w:lang w:val="en-US" w:eastAsia="zh-CN"/>
        </w:rPr>
        <w:t>不少于12个月</w:t>
      </w:r>
      <w:r>
        <w:rPr>
          <w:rFonts w:hint="eastAsia" w:ascii="仿宋" w:hAnsi="仿宋" w:eastAsia="仿宋" w:cs="仿宋"/>
          <w:b/>
          <w:bCs/>
          <w:color w:val="auto"/>
          <w:sz w:val="24"/>
          <w:szCs w:val="24"/>
          <w:highlight w:val="none"/>
        </w:rPr>
        <w:t>。</w:t>
      </w:r>
    </w:p>
    <w:p w14:paraId="531E4579">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snapToGrid w:val="0"/>
          <w:color w:val="auto"/>
          <w:kern w:val="0"/>
          <w:sz w:val="24"/>
          <w:highlight w:val="none"/>
          <w:lang w:val="en-US" w:eastAsia="zh-CN"/>
        </w:rPr>
      </w:pPr>
      <w:r>
        <w:rPr>
          <w:rFonts w:hint="eastAsia" w:ascii="仿宋" w:hAnsi="仿宋" w:eastAsia="仿宋" w:cs="仿宋"/>
          <w:snapToGrid w:val="0"/>
          <w:color w:val="auto"/>
          <w:kern w:val="0"/>
          <w:sz w:val="24"/>
          <w:highlight w:val="none"/>
          <w:lang w:val="en-US" w:eastAsia="zh-CN"/>
        </w:rPr>
        <w:t>乙方未能按规定提交履约担保的，视为放弃成交资格，其投标保证金将被没收，给甲方造成损失的，乙方还应当对损失部分予以赔偿。</w:t>
      </w:r>
    </w:p>
    <w:p w14:paraId="4FB31D35">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snapToGrid w:val="0"/>
          <w:color w:val="auto"/>
          <w:kern w:val="0"/>
          <w:sz w:val="24"/>
          <w:highlight w:val="none"/>
          <w:lang w:val="en-US" w:eastAsia="zh-CN"/>
        </w:rPr>
      </w:pPr>
      <w:r>
        <w:rPr>
          <w:rFonts w:hint="eastAsia" w:ascii="仿宋" w:hAnsi="仿宋" w:eastAsia="仿宋" w:cs="仿宋"/>
          <w:snapToGrid w:val="0"/>
          <w:color w:val="auto"/>
          <w:kern w:val="0"/>
          <w:sz w:val="24"/>
          <w:highlight w:val="none"/>
          <w:lang w:val="en-US" w:eastAsia="zh-CN"/>
        </w:rPr>
        <w:t>签订合同后，如乙方不按合同约定履约的，则没收其全部履约保证金，履约保证金不足以赔偿损失的，按实际损失赔偿。</w:t>
      </w:r>
    </w:p>
    <w:p w14:paraId="7FCB7B8D">
      <w:pPr>
        <w:adjustRightInd w:val="0"/>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snapToGrid w:val="0"/>
          <w:color w:val="auto"/>
          <w:kern w:val="0"/>
          <w:sz w:val="24"/>
          <w:highlight w:val="none"/>
          <w:lang w:val="en-US" w:eastAsia="zh-CN"/>
        </w:rPr>
        <w:t>2、</w:t>
      </w:r>
      <w:r>
        <w:rPr>
          <w:rFonts w:hint="eastAsia" w:ascii="仿宋" w:hAnsi="仿宋" w:eastAsia="仿宋" w:cs="仿宋"/>
          <w:snapToGrid w:val="0"/>
          <w:color w:val="auto"/>
          <w:kern w:val="0"/>
          <w:sz w:val="24"/>
          <w:highlight w:val="none"/>
        </w:rPr>
        <w:t>结算：</w:t>
      </w:r>
      <w:r>
        <w:rPr>
          <w:rFonts w:hint="eastAsia" w:ascii="仿宋" w:hAnsi="仿宋" w:eastAsia="仿宋" w:cs="仿宋"/>
          <w:b/>
          <w:color w:val="auto"/>
          <w:spacing w:val="-4"/>
          <w:sz w:val="24"/>
          <w:highlight w:val="none"/>
          <w:lang w:val="en-US" w:eastAsia="zh-CN"/>
        </w:rPr>
        <w:t>结算单价</w:t>
      </w:r>
      <w:r>
        <w:rPr>
          <w:rFonts w:hint="eastAsia" w:ascii="仿宋" w:hAnsi="仿宋" w:eastAsia="仿宋" w:cs="仿宋"/>
          <w:bCs/>
          <w:color w:val="auto"/>
          <w:sz w:val="24"/>
          <w:highlight w:val="none"/>
        </w:rPr>
        <w:t>*实际供货数量；</w:t>
      </w:r>
    </w:p>
    <w:p w14:paraId="692C1B93">
      <w:pPr>
        <w:snapToGrid w:val="0"/>
        <w:spacing w:line="360" w:lineRule="auto"/>
        <w:ind w:firstLine="480" w:firstLineChars="200"/>
        <w:rPr>
          <w:rFonts w:hint="eastAsia" w:ascii="仿宋" w:hAnsi="仿宋" w:eastAsia="仿宋" w:cs="仿宋"/>
          <w:snapToGrid w:val="0"/>
          <w:color w:val="auto"/>
          <w:kern w:val="0"/>
          <w:sz w:val="24"/>
          <w:highlight w:val="none"/>
        </w:rPr>
      </w:pPr>
      <w:r>
        <w:rPr>
          <w:rFonts w:hint="eastAsia" w:ascii="仿宋" w:hAnsi="仿宋" w:eastAsia="仿宋" w:cs="仿宋"/>
          <w:snapToGrid w:val="0"/>
          <w:color w:val="auto"/>
          <w:kern w:val="0"/>
          <w:sz w:val="24"/>
          <w:highlight w:val="none"/>
          <w:lang w:val="en-US" w:eastAsia="zh-CN"/>
        </w:rPr>
        <w:t>3、</w:t>
      </w:r>
      <w:r>
        <w:rPr>
          <w:rFonts w:hint="eastAsia" w:ascii="仿宋" w:hAnsi="仿宋" w:eastAsia="仿宋" w:cs="仿宋"/>
          <w:snapToGrid w:val="0"/>
          <w:color w:val="auto"/>
          <w:kern w:val="0"/>
          <w:sz w:val="24"/>
          <w:highlight w:val="none"/>
        </w:rPr>
        <w:t>付款：</w:t>
      </w:r>
      <w:r>
        <w:rPr>
          <w:rFonts w:hint="eastAsia" w:ascii="仿宋" w:hAnsi="仿宋" w:eastAsia="仿宋" w:cs="仿宋"/>
          <w:b/>
          <w:bCs w:val="0"/>
          <w:color w:val="auto"/>
          <w:sz w:val="24"/>
          <w:highlight w:val="none"/>
          <w:u w:val="none"/>
        </w:rPr>
        <w:t>乙方按甲方出具的过磅单于每月 2</w:t>
      </w:r>
      <w:r>
        <w:rPr>
          <w:rFonts w:hint="eastAsia" w:ascii="仿宋" w:hAnsi="仿宋" w:eastAsia="仿宋" w:cs="仿宋"/>
          <w:b/>
          <w:bCs w:val="0"/>
          <w:color w:val="auto"/>
          <w:sz w:val="24"/>
          <w:highlight w:val="none"/>
          <w:u w:val="none"/>
          <w:lang w:val="en-US" w:eastAsia="zh-CN"/>
        </w:rPr>
        <w:t>0</w:t>
      </w:r>
      <w:r>
        <w:rPr>
          <w:rFonts w:hint="eastAsia" w:ascii="仿宋" w:hAnsi="仿宋" w:eastAsia="仿宋" w:cs="仿宋"/>
          <w:b/>
          <w:bCs w:val="0"/>
          <w:color w:val="auto"/>
          <w:sz w:val="24"/>
          <w:highlight w:val="none"/>
          <w:u w:val="none"/>
        </w:rPr>
        <w:t xml:space="preserve"> 日结算一次，双方签字确认的结算单和正规发票作为供方索款和甲方支付的依据。甲方在收到发票后 45 天内付给乙方经结算确认货款的 95%，余款 5%待供货结束后 </w:t>
      </w:r>
      <w:r>
        <w:rPr>
          <w:rFonts w:hint="eastAsia" w:ascii="仿宋" w:hAnsi="仿宋" w:eastAsia="仿宋" w:cs="仿宋"/>
          <w:b/>
          <w:bCs w:val="0"/>
          <w:color w:val="auto"/>
          <w:sz w:val="24"/>
          <w:highlight w:val="none"/>
          <w:u w:val="none"/>
          <w:lang w:val="en-US" w:eastAsia="zh-CN"/>
        </w:rPr>
        <w:t>60</w:t>
      </w:r>
      <w:r>
        <w:rPr>
          <w:rFonts w:hint="eastAsia" w:ascii="仿宋" w:hAnsi="仿宋" w:eastAsia="仿宋" w:cs="仿宋"/>
          <w:b/>
          <w:bCs w:val="0"/>
          <w:color w:val="auto"/>
          <w:sz w:val="24"/>
          <w:highlight w:val="none"/>
          <w:u w:val="none"/>
        </w:rPr>
        <w:t xml:space="preserve"> 日内全部付清</w:t>
      </w:r>
      <w:r>
        <w:rPr>
          <w:rFonts w:hint="eastAsia" w:ascii="仿宋" w:hAnsi="仿宋" w:eastAsia="仿宋" w:cs="仿宋"/>
          <w:b/>
          <w:bCs w:val="0"/>
          <w:color w:val="auto"/>
          <w:sz w:val="24"/>
          <w:highlight w:val="none"/>
          <w:u w:val="none"/>
          <w:lang w:eastAsia="zh-CN"/>
        </w:rPr>
        <w:t>。</w:t>
      </w:r>
    </w:p>
    <w:p w14:paraId="53145F64">
      <w:pPr>
        <w:adjustRightInd w:val="0"/>
        <w:snapToGrid w:val="0"/>
        <w:spacing w:line="360" w:lineRule="auto"/>
        <w:ind w:firstLine="482" w:firstLineChars="200"/>
        <w:rPr>
          <w:rFonts w:hint="eastAsia" w:ascii="仿宋" w:hAnsi="仿宋" w:eastAsia="仿宋" w:cs="仿宋"/>
          <w:b/>
          <w:bCs/>
          <w:snapToGrid w:val="0"/>
          <w:color w:val="auto"/>
          <w:kern w:val="0"/>
          <w:sz w:val="24"/>
          <w:highlight w:val="none"/>
        </w:rPr>
      </w:pPr>
      <w:r>
        <w:rPr>
          <w:rFonts w:hint="eastAsia" w:ascii="仿宋" w:hAnsi="仿宋" w:eastAsia="仿宋" w:cs="仿宋"/>
          <w:b/>
          <w:bCs/>
          <w:snapToGrid w:val="0"/>
          <w:color w:val="auto"/>
          <w:kern w:val="0"/>
          <w:sz w:val="24"/>
          <w:highlight w:val="none"/>
        </w:rPr>
        <w:t>八、税费</w:t>
      </w:r>
    </w:p>
    <w:p w14:paraId="583EEF37">
      <w:pPr>
        <w:adjustRightInd w:val="0"/>
        <w:snapToGrid w:val="0"/>
        <w:spacing w:line="360" w:lineRule="auto"/>
        <w:ind w:firstLine="480" w:firstLineChars="200"/>
        <w:rPr>
          <w:rFonts w:hint="eastAsia" w:ascii="仿宋" w:hAnsi="仿宋" w:eastAsia="仿宋" w:cs="仿宋"/>
          <w:snapToGrid w:val="0"/>
          <w:color w:val="auto"/>
          <w:kern w:val="0"/>
          <w:sz w:val="24"/>
          <w:highlight w:val="none"/>
        </w:rPr>
      </w:pPr>
      <w:r>
        <w:rPr>
          <w:rFonts w:hint="eastAsia" w:ascii="仿宋" w:hAnsi="仿宋" w:eastAsia="仿宋" w:cs="仿宋"/>
          <w:snapToGrid w:val="0"/>
          <w:color w:val="auto"/>
          <w:kern w:val="0"/>
          <w:sz w:val="24"/>
          <w:highlight w:val="none"/>
        </w:rPr>
        <w:t>本合同执行中相关的一切税费</w:t>
      </w:r>
      <w:r>
        <w:rPr>
          <w:rFonts w:hint="eastAsia" w:ascii="仿宋" w:hAnsi="仿宋" w:eastAsia="仿宋" w:cs="仿宋"/>
          <w:snapToGrid w:val="0"/>
          <w:color w:val="auto"/>
          <w:kern w:val="0"/>
          <w:sz w:val="24"/>
          <w:highlight w:val="none"/>
          <w:lang w:eastAsia="zh-CN"/>
        </w:rPr>
        <w:t>（</w:t>
      </w:r>
      <w:r>
        <w:rPr>
          <w:rFonts w:hint="eastAsia" w:ascii="仿宋" w:hAnsi="仿宋" w:eastAsia="仿宋" w:cs="仿宋"/>
          <w:snapToGrid w:val="0"/>
          <w:color w:val="auto"/>
          <w:kern w:val="0"/>
          <w:sz w:val="24"/>
          <w:highlight w:val="none"/>
          <w:lang w:val="en-US" w:eastAsia="zh-CN"/>
        </w:rPr>
        <w:t>13%</w:t>
      </w:r>
      <w:r>
        <w:rPr>
          <w:rFonts w:hint="eastAsia" w:ascii="仿宋" w:hAnsi="仿宋" w:eastAsia="仿宋" w:cs="仿宋"/>
          <w:snapToGrid w:val="0"/>
          <w:color w:val="auto"/>
          <w:kern w:val="0"/>
          <w:sz w:val="24"/>
          <w:highlight w:val="none"/>
          <w:lang w:eastAsia="zh-CN"/>
        </w:rPr>
        <w:t>）</w:t>
      </w:r>
      <w:r>
        <w:rPr>
          <w:rFonts w:hint="eastAsia" w:ascii="仿宋" w:hAnsi="仿宋" w:eastAsia="仿宋" w:cs="仿宋"/>
          <w:snapToGrid w:val="0"/>
          <w:color w:val="auto"/>
          <w:kern w:val="0"/>
          <w:sz w:val="24"/>
          <w:highlight w:val="none"/>
        </w:rPr>
        <w:t>均由乙方负担。</w:t>
      </w:r>
    </w:p>
    <w:p w14:paraId="75A0333C">
      <w:pPr>
        <w:pStyle w:val="14"/>
        <w:adjustRightInd w:val="0"/>
        <w:snapToGrid w:val="0"/>
        <w:spacing w:before="0" w:beforeLines="0" w:after="0" w:afterLines="0" w:line="360" w:lineRule="auto"/>
        <w:ind w:firstLine="482" w:firstLineChars="200"/>
        <w:rPr>
          <w:rFonts w:hint="eastAsia" w:ascii="仿宋" w:hAnsi="仿宋" w:eastAsia="仿宋" w:cs="仿宋"/>
          <w:b/>
          <w:bCs/>
          <w:snapToGrid w:val="0"/>
          <w:color w:val="auto"/>
          <w:kern w:val="0"/>
          <w:highlight w:val="none"/>
        </w:rPr>
      </w:pPr>
      <w:r>
        <w:rPr>
          <w:rFonts w:hint="eastAsia" w:ascii="仿宋" w:hAnsi="仿宋" w:eastAsia="仿宋" w:cs="仿宋"/>
          <w:b/>
          <w:bCs/>
          <w:snapToGrid w:val="0"/>
          <w:color w:val="auto"/>
          <w:kern w:val="0"/>
          <w:highlight w:val="none"/>
        </w:rPr>
        <w:t>九、质量保证</w:t>
      </w:r>
      <w:r>
        <w:rPr>
          <w:rFonts w:hint="eastAsia" w:ascii="仿宋" w:hAnsi="仿宋" w:eastAsia="仿宋" w:cs="仿宋"/>
          <w:b/>
          <w:bCs/>
          <w:snapToGrid w:val="0"/>
          <w:color w:val="auto"/>
          <w:kern w:val="0"/>
          <w:highlight w:val="none"/>
          <w:lang w:eastAsia="zh-CN"/>
        </w:rPr>
        <w:t>和售后服务</w:t>
      </w:r>
    </w:p>
    <w:p w14:paraId="095F7EEE">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1、乙方保证本合同中所供应的产品是最新生产的，产品出厂标准保证达到国家技术规格和质量标准的出厂原装合格产品。如发生所供产品与合同不符，甲方（使用方）有权拒收或退货，由此产生的一切责任和后果由乙方承担。</w:t>
      </w:r>
    </w:p>
    <w:p w14:paraId="4FE509AB">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2、送货同时附本批产品检测报告和产品合格证书</w:t>
      </w:r>
      <w:r>
        <w:rPr>
          <w:rFonts w:hint="eastAsia" w:ascii="仿宋" w:hAnsi="仿宋" w:eastAsia="仿宋" w:cs="仿宋"/>
          <w:snapToGrid w:val="0"/>
          <w:color w:val="auto"/>
          <w:kern w:val="0"/>
          <w:highlight w:val="none"/>
          <w:lang w:eastAsia="zh-CN"/>
        </w:rPr>
        <w:t>、原始出厂单</w:t>
      </w:r>
      <w:r>
        <w:rPr>
          <w:rFonts w:hint="eastAsia" w:ascii="仿宋" w:hAnsi="仿宋" w:eastAsia="仿宋" w:cs="仿宋"/>
          <w:snapToGrid w:val="0"/>
          <w:color w:val="auto"/>
          <w:kern w:val="0"/>
          <w:highlight w:val="none"/>
        </w:rPr>
        <w:t>等质量保证资料。</w:t>
      </w:r>
    </w:p>
    <w:p w14:paraId="7A6F6F00">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lang w:eastAsia="zh-CN"/>
        </w:rPr>
        <w:t>3</w:t>
      </w:r>
      <w:r>
        <w:rPr>
          <w:rFonts w:hint="eastAsia" w:ascii="仿宋" w:hAnsi="仿宋" w:eastAsia="仿宋" w:cs="仿宋"/>
          <w:snapToGrid w:val="0"/>
          <w:color w:val="auto"/>
          <w:kern w:val="0"/>
          <w:highlight w:val="none"/>
        </w:rPr>
        <w:t>、乙方提供的货物因货物本身的质量问题，乙方应负责免费更换。对达不到技术要求者，根据实际情况，经双方协商可按以下办法处理：</w:t>
      </w:r>
    </w:p>
    <w:p w14:paraId="30DAC27B">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⑴更换：由乙方承担所发生的全部费用。</w:t>
      </w:r>
    </w:p>
    <w:p w14:paraId="16FC699F">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⑵贬值处理：由甲乙双方合议定价。</w:t>
      </w:r>
    </w:p>
    <w:p w14:paraId="24865786">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⑶退货处理：乙方应退还甲方支付的合同款，同时应承担该货物的直接费用（运输、保险、检验、货款利息及银行手续费等）。</w:t>
      </w:r>
    </w:p>
    <w:p w14:paraId="01798649">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lang w:eastAsia="zh-CN"/>
        </w:rPr>
      </w:pPr>
      <w:r>
        <w:rPr>
          <w:rFonts w:hint="eastAsia" w:ascii="仿宋" w:hAnsi="仿宋" w:eastAsia="仿宋" w:cs="仿宋"/>
          <w:snapToGrid w:val="0"/>
          <w:color w:val="auto"/>
          <w:kern w:val="0"/>
          <w:highlight w:val="none"/>
          <w:lang w:eastAsia="zh-CN"/>
        </w:rPr>
        <w:t>4</w:t>
      </w:r>
      <w:r>
        <w:rPr>
          <w:rFonts w:hint="eastAsia" w:ascii="仿宋" w:hAnsi="仿宋" w:eastAsia="仿宋" w:cs="仿宋"/>
          <w:snapToGrid w:val="0"/>
          <w:color w:val="auto"/>
          <w:kern w:val="0"/>
          <w:highlight w:val="none"/>
        </w:rPr>
        <w:t>、乙方应对货物出现的质量及安全问题负责处理解决并承担一切费用。如发现供货不及时，或者出现质量、安全等问题的，甲方可以随时中止合同。如因中止合同对甲方造成损失的，由乙方赔偿损失。</w:t>
      </w:r>
    </w:p>
    <w:p w14:paraId="1E736169">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甲方将对乙方到货的材料质量进行不定期抽查，如果材料质量抽查不合格，乙方承担相关费用，并赔偿甲方损失。</w:t>
      </w:r>
    </w:p>
    <w:p w14:paraId="081C2E91">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lang w:eastAsia="zh-CN"/>
        </w:rPr>
      </w:pPr>
      <w:r>
        <w:rPr>
          <w:rFonts w:hint="eastAsia" w:ascii="仿宋" w:hAnsi="仿宋" w:eastAsia="仿宋" w:cs="仿宋"/>
          <w:snapToGrid w:val="0"/>
          <w:color w:val="auto"/>
          <w:kern w:val="0"/>
          <w:highlight w:val="none"/>
          <w:lang w:eastAsia="zh-CN"/>
        </w:rPr>
        <w:t>5</w:t>
      </w:r>
      <w:r>
        <w:rPr>
          <w:rFonts w:hint="eastAsia" w:ascii="仿宋" w:hAnsi="仿宋" w:eastAsia="仿宋" w:cs="仿宋"/>
          <w:snapToGrid w:val="0"/>
          <w:color w:val="auto"/>
          <w:kern w:val="0"/>
          <w:highlight w:val="none"/>
        </w:rPr>
        <w:t>、提供24小时技术支持热线，30分钟内电话响应。产品缺陷问题于</w:t>
      </w:r>
      <w:r>
        <w:rPr>
          <w:rFonts w:hint="eastAsia" w:ascii="仿宋" w:hAnsi="仿宋" w:eastAsia="仿宋" w:cs="仿宋"/>
          <w:snapToGrid w:val="0"/>
          <w:color w:val="auto"/>
          <w:kern w:val="0"/>
          <w:highlight w:val="none"/>
          <w:lang w:eastAsia="zh-CN"/>
        </w:rPr>
        <w:t>12小时</w:t>
      </w:r>
      <w:r>
        <w:rPr>
          <w:rFonts w:hint="eastAsia" w:ascii="仿宋" w:hAnsi="仿宋" w:eastAsia="仿宋" w:cs="仿宋"/>
          <w:snapToGrid w:val="0"/>
          <w:color w:val="auto"/>
          <w:kern w:val="0"/>
          <w:highlight w:val="none"/>
        </w:rPr>
        <w:t>内更换货到位，以保证</w:t>
      </w:r>
      <w:r>
        <w:rPr>
          <w:rFonts w:hint="eastAsia" w:ascii="仿宋" w:hAnsi="仿宋" w:eastAsia="仿宋" w:cs="仿宋"/>
          <w:snapToGrid w:val="0"/>
          <w:color w:val="auto"/>
          <w:kern w:val="0"/>
          <w:highlight w:val="none"/>
          <w:lang w:eastAsia="zh-CN"/>
        </w:rPr>
        <w:t>甲方</w:t>
      </w:r>
      <w:r>
        <w:rPr>
          <w:rFonts w:hint="eastAsia" w:ascii="仿宋" w:hAnsi="仿宋" w:eastAsia="仿宋" w:cs="仿宋"/>
          <w:snapToGrid w:val="0"/>
          <w:color w:val="auto"/>
          <w:kern w:val="0"/>
          <w:highlight w:val="none"/>
        </w:rPr>
        <w:t>的正常使用。</w:t>
      </w:r>
    </w:p>
    <w:p w14:paraId="70F3B48F">
      <w:pPr>
        <w:pStyle w:val="14"/>
        <w:adjustRightInd w:val="0"/>
        <w:snapToGrid w:val="0"/>
        <w:spacing w:before="0" w:beforeLines="0" w:after="0" w:afterLines="0" w:line="360" w:lineRule="auto"/>
        <w:ind w:firstLine="482" w:firstLineChars="200"/>
        <w:rPr>
          <w:rFonts w:hint="eastAsia" w:ascii="仿宋" w:hAnsi="仿宋" w:eastAsia="仿宋" w:cs="仿宋"/>
          <w:b/>
          <w:bCs/>
          <w:snapToGrid w:val="0"/>
          <w:color w:val="auto"/>
          <w:kern w:val="0"/>
          <w:highlight w:val="none"/>
        </w:rPr>
      </w:pPr>
      <w:r>
        <w:rPr>
          <w:rFonts w:hint="eastAsia" w:ascii="仿宋" w:hAnsi="仿宋" w:eastAsia="仿宋" w:cs="仿宋"/>
          <w:b/>
          <w:bCs/>
          <w:snapToGrid w:val="0"/>
          <w:color w:val="auto"/>
          <w:kern w:val="0"/>
          <w:highlight w:val="none"/>
        </w:rPr>
        <w:t>十、交付和验收</w:t>
      </w:r>
    </w:p>
    <w:p w14:paraId="37E4EF92">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1、乙方将货物送抵甲方指定地点，并负责卸货。甲方将</w:t>
      </w:r>
      <w:r>
        <w:rPr>
          <w:rFonts w:hint="eastAsia" w:ascii="仿宋" w:hAnsi="仿宋" w:eastAsia="仿宋" w:cs="仿宋"/>
          <w:snapToGrid w:val="0"/>
          <w:color w:val="auto"/>
          <w:kern w:val="0"/>
          <w:highlight w:val="none"/>
          <w:lang w:eastAsia="zh-CN"/>
        </w:rPr>
        <w:t>派</w:t>
      </w:r>
      <w:r>
        <w:rPr>
          <w:rFonts w:hint="eastAsia" w:ascii="仿宋" w:hAnsi="仿宋" w:eastAsia="仿宋" w:cs="仿宋"/>
          <w:snapToGrid w:val="0"/>
          <w:color w:val="auto"/>
          <w:kern w:val="0"/>
          <w:highlight w:val="none"/>
        </w:rPr>
        <w:t>代表对乙方提交的货物依据</w:t>
      </w:r>
      <w:r>
        <w:rPr>
          <w:rFonts w:hint="eastAsia" w:ascii="仿宋" w:hAnsi="仿宋" w:eastAsia="仿宋" w:cs="仿宋"/>
          <w:snapToGrid w:val="0"/>
          <w:color w:val="auto"/>
          <w:kern w:val="0"/>
          <w:highlight w:val="none"/>
          <w:lang w:eastAsia="zh-CN"/>
        </w:rPr>
        <w:t>采购文件</w:t>
      </w:r>
      <w:r>
        <w:rPr>
          <w:rFonts w:hint="eastAsia" w:ascii="仿宋" w:hAnsi="仿宋" w:eastAsia="仿宋" w:cs="仿宋"/>
          <w:snapToGrid w:val="0"/>
          <w:color w:val="auto"/>
          <w:kern w:val="0"/>
          <w:highlight w:val="none"/>
        </w:rPr>
        <w:t>上的技术规格要求和国家有关质量标准进行现场验收</w:t>
      </w:r>
      <w:r>
        <w:rPr>
          <w:rFonts w:hint="eastAsia" w:ascii="仿宋" w:hAnsi="仿宋" w:eastAsia="仿宋" w:cs="仿宋"/>
          <w:snapToGrid w:val="0"/>
          <w:color w:val="auto"/>
          <w:kern w:val="0"/>
          <w:highlight w:val="none"/>
          <w:lang w:eastAsia="zh-CN"/>
        </w:rPr>
        <w:t>确认</w:t>
      </w:r>
      <w:r>
        <w:rPr>
          <w:rFonts w:hint="eastAsia" w:ascii="仿宋" w:hAnsi="仿宋" w:eastAsia="仿宋" w:cs="仿宋"/>
          <w:snapToGrid w:val="0"/>
          <w:color w:val="auto"/>
          <w:kern w:val="0"/>
          <w:highlight w:val="none"/>
        </w:rPr>
        <w:t>，包括货物品种、规格、数量及保证书和检测报告</w:t>
      </w:r>
      <w:r>
        <w:rPr>
          <w:rFonts w:hint="eastAsia" w:ascii="仿宋" w:hAnsi="仿宋" w:eastAsia="仿宋" w:cs="仿宋"/>
          <w:snapToGrid w:val="0"/>
          <w:color w:val="auto"/>
          <w:kern w:val="0"/>
          <w:highlight w:val="none"/>
          <w:lang w:eastAsia="zh-CN"/>
        </w:rPr>
        <w:t>、合格证书、原始出厂单</w:t>
      </w:r>
      <w:r>
        <w:rPr>
          <w:rFonts w:hint="eastAsia" w:ascii="仿宋" w:hAnsi="仿宋" w:eastAsia="仿宋" w:cs="仿宋"/>
          <w:snapToGrid w:val="0"/>
          <w:color w:val="auto"/>
          <w:kern w:val="0"/>
          <w:highlight w:val="none"/>
        </w:rPr>
        <w:t>等。货到指定地点后，甲方代表</w:t>
      </w:r>
      <w:r>
        <w:rPr>
          <w:rFonts w:hint="eastAsia" w:ascii="仿宋" w:hAnsi="仿宋" w:eastAsia="仿宋" w:cs="仿宋"/>
          <w:snapToGrid w:val="0"/>
          <w:color w:val="auto"/>
          <w:kern w:val="0"/>
          <w:highlight w:val="none"/>
          <w:lang w:eastAsia="zh-CN"/>
        </w:rPr>
        <w:t>当场</w:t>
      </w:r>
      <w:r>
        <w:rPr>
          <w:rFonts w:hint="eastAsia" w:ascii="仿宋" w:hAnsi="仿宋" w:eastAsia="仿宋" w:cs="仿宋"/>
          <w:snapToGrid w:val="0"/>
          <w:color w:val="auto"/>
          <w:kern w:val="0"/>
          <w:highlight w:val="none"/>
        </w:rPr>
        <w:t>验收。</w:t>
      </w:r>
    </w:p>
    <w:p w14:paraId="71E13D57">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经验收无问题后，甲方代表在乙方送货单上签字确认。送货单一式</w:t>
      </w:r>
      <w:r>
        <w:rPr>
          <w:rFonts w:hint="eastAsia" w:ascii="仿宋" w:hAnsi="仿宋" w:eastAsia="仿宋" w:cs="仿宋"/>
          <w:snapToGrid w:val="0"/>
          <w:color w:val="auto"/>
          <w:kern w:val="0"/>
          <w:highlight w:val="none"/>
          <w:lang w:eastAsia="zh-CN"/>
        </w:rPr>
        <w:t>二</w:t>
      </w:r>
      <w:r>
        <w:rPr>
          <w:rFonts w:hint="eastAsia" w:ascii="仿宋" w:hAnsi="仿宋" w:eastAsia="仿宋" w:cs="仿宋"/>
          <w:snapToGrid w:val="0"/>
          <w:color w:val="auto"/>
          <w:kern w:val="0"/>
          <w:highlight w:val="none"/>
        </w:rPr>
        <w:t>份，乙方、甲方表各执一份，作为甲乙双方结算凭证。</w:t>
      </w:r>
    </w:p>
    <w:p w14:paraId="3D596A75">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2、乙方交货前应对产品作出全面检查和对</w:t>
      </w:r>
      <w:r>
        <w:rPr>
          <w:rFonts w:hint="eastAsia" w:ascii="仿宋" w:hAnsi="仿宋" w:eastAsia="仿宋" w:cs="仿宋"/>
          <w:snapToGrid w:val="0"/>
          <w:color w:val="auto"/>
          <w:kern w:val="0"/>
          <w:highlight w:val="none"/>
          <w:lang w:eastAsia="zh-CN"/>
        </w:rPr>
        <w:t>送货要求文件</w:t>
      </w:r>
      <w:r>
        <w:rPr>
          <w:rFonts w:hint="eastAsia" w:ascii="仿宋" w:hAnsi="仿宋" w:eastAsia="仿宋" w:cs="仿宋"/>
          <w:snapToGrid w:val="0"/>
          <w:color w:val="auto"/>
          <w:kern w:val="0"/>
          <w:highlight w:val="none"/>
        </w:rPr>
        <w:t>进行整理（如出厂合格证、检测结果</w:t>
      </w:r>
      <w:r>
        <w:rPr>
          <w:rFonts w:hint="eastAsia" w:ascii="仿宋" w:hAnsi="仿宋" w:eastAsia="仿宋" w:cs="仿宋"/>
          <w:snapToGrid w:val="0"/>
          <w:color w:val="auto"/>
          <w:kern w:val="0"/>
          <w:highlight w:val="none"/>
          <w:lang w:eastAsia="zh-CN"/>
        </w:rPr>
        <w:t>、原始出厂单</w:t>
      </w:r>
      <w:r>
        <w:rPr>
          <w:rFonts w:hint="eastAsia" w:ascii="仿宋" w:hAnsi="仿宋" w:eastAsia="仿宋" w:cs="仿宋"/>
          <w:snapToGrid w:val="0"/>
          <w:color w:val="auto"/>
          <w:kern w:val="0"/>
          <w:highlight w:val="none"/>
        </w:rPr>
        <w:t>等资料），并列出清单，作为甲方收货验收和使用的技术条件依据，检验的结果应随货物交甲方。</w:t>
      </w:r>
    </w:p>
    <w:p w14:paraId="042D99D9">
      <w:pPr>
        <w:pStyle w:val="14"/>
        <w:adjustRightInd w:val="0"/>
        <w:snapToGrid w:val="0"/>
        <w:spacing w:before="0" w:beforeLines="0" w:after="0" w:afterLines="0" w:line="360" w:lineRule="auto"/>
        <w:ind w:firstLine="482" w:firstLineChars="200"/>
        <w:rPr>
          <w:rFonts w:hint="eastAsia" w:ascii="仿宋" w:hAnsi="仿宋" w:eastAsia="仿宋" w:cs="仿宋"/>
          <w:b/>
          <w:bCs/>
          <w:snapToGrid w:val="0"/>
          <w:color w:val="auto"/>
          <w:kern w:val="0"/>
          <w:highlight w:val="none"/>
        </w:rPr>
      </w:pPr>
      <w:r>
        <w:rPr>
          <w:rFonts w:hint="eastAsia" w:ascii="仿宋" w:hAnsi="仿宋" w:eastAsia="仿宋" w:cs="仿宋"/>
          <w:b/>
          <w:bCs/>
          <w:snapToGrid w:val="0"/>
          <w:color w:val="auto"/>
          <w:kern w:val="0"/>
          <w:highlight w:val="none"/>
        </w:rPr>
        <w:t>十</w:t>
      </w:r>
      <w:r>
        <w:rPr>
          <w:rFonts w:hint="eastAsia" w:ascii="仿宋" w:hAnsi="仿宋" w:eastAsia="仿宋" w:cs="仿宋"/>
          <w:b/>
          <w:bCs/>
          <w:snapToGrid w:val="0"/>
          <w:color w:val="auto"/>
          <w:kern w:val="0"/>
          <w:highlight w:val="none"/>
          <w:lang w:eastAsia="zh-CN"/>
        </w:rPr>
        <w:t>一</w:t>
      </w:r>
      <w:r>
        <w:rPr>
          <w:rFonts w:hint="eastAsia" w:ascii="仿宋" w:hAnsi="仿宋" w:eastAsia="仿宋" w:cs="仿宋"/>
          <w:b/>
          <w:bCs/>
          <w:snapToGrid w:val="0"/>
          <w:color w:val="auto"/>
          <w:kern w:val="0"/>
          <w:highlight w:val="none"/>
        </w:rPr>
        <w:t>、货物包装</w:t>
      </w:r>
    </w:p>
    <w:p w14:paraId="43A8E16B">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乙方应在货物发运前对其进行满足运输距离、防潮、防震和防破损装卸等要求包装，以保证货物安全运达甲方指定地点。</w:t>
      </w:r>
    </w:p>
    <w:p w14:paraId="14E78963">
      <w:pPr>
        <w:pStyle w:val="14"/>
        <w:adjustRightInd w:val="0"/>
        <w:snapToGrid w:val="0"/>
        <w:spacing w:before="0" w:beforeLines="0" w:after="0" w:afterLines="0" w:line="360" w:lineRule="auto"/>
        <w:ind w:firstLine="482" w:firstLineChars="200"/>
        <w:rPr>
          <w:rFonts w:hint="eastAsia" w:ascii="仿宋" w:hAnsi="仿宋" w:eastAsia="仿宋" w:cs="仿宋"/>
          <w:b/>
          <w:bCs/>
          <w:snapToGrid w:val="0"/>
          <w:color w:val="auto"/>
          <w:kern w:val="0"/>
          <w:highlight w:val="none"/>
        </w:rPr>
      </w:pPr>
      <w:r>
        <w:rPr>
          <w:rFonts w:hint="eastAsia" w:ascii="仿宋" w:hAnsi="仿宋" w:eastAsia="仿宋" w:cs="仿宋"/>
          <w:b/>
          <w:bCs/>
          <w:snapToGrid w:val="0"/>
          <w:color w:val="auto"/>
          <w:kern w:val="0"/>
          <w:highlight w:val="none"/>
        </w:rPr>
        <w:t>十</w:t>
      </w:r>
      <w:r>
        <w:rPr>
          <w:rFonts w:hint="eastAsia" w:ascii="仿宋" w:hAnsi="仿宋" w:eastAsia="仿宋" w:cs="仿宋"/>
          <w:b/>
          <w:bCs/>
          <w:snapToGrid w:val="0"/>
          <w:color w:val="auto"/>
          <w:kern w:val="0"/>
          <w:highlight w:val="none"/>
          <w:lang w:eastAsia="zh-CN"/>
        </w:rPr>
        <w:t>二</w:t>
      </w:r>
      <w:r>
        <w:rPr>
          <w:rFonts w:hint="eastAsia" w:ascii="仿宋" w:hAnsi="仿宋" w:eastAsia="仿宋" w:cs="仿宋"/>
          <w:b/>
          <w:bCs/>
          <w:snapToGrid w:val="0"/>
          <w:color w:val="auto"/>
          <w:kern w:val="0"/>
          <w:highlight w:val="none"/>
        </w:rPr>
        <w:t>、违约责任</w:t>
      </w:r>
    </w:p>
    <w:p w14:paraId="49D08848">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lang w:eastAsia="zh-CN"/>
        </w:rPr>
      </w:pPr>
      <w:r>
        <w:rPr>
          <w:rFonts w:hint="eastAsia" w:ascii="仿宋" w:hAnsi="仿宋" w:eastAsia="仿宋" w:cs="仿宋"/>
          <w:snapToGrid w:val="0"/>
          <w:color w:val="auto"/>
          <w:kern w:val="0"/>
          <w:highlight w:val="none"/>
        </w:rPr>
        <w:t>1、乙方逾期交付货物的，每延误1天，按500</w:t>
      </w:r>
      <w:r>
        <w:rPr>
          <w:rFonts w:hint="eastAsia" w:ascii="仿宋" w:hAnsi="仿宋" w:eastAsia="仿宋" w:cs="仿宋"/>
          <w:snapToGrid w:val="0"/>
          <w:color w:val="auto"/>
          <w:kern w:val="0"/>
          <w:highlight w:val="none"/>
          <w:lang w:eastAsia="zh-CN"/>
        </w:rPr>
        <w:t>0</w:t>
      </w:r>
      <w:r>
        <w:rPr>
          <w:rFonts w:hint="eastAsia" w:ascii="仿宋" w:hAnsi="仿宋" w:eastAsia="仿宋" w:cs="仿宋"/>
          <w:snapToGrid w:val="0"/>
          <w:color w:val="auto"/>
          <w:kern w:val="0"/>
          <w:highlight w:val="none"/>
        </w:rPr>
        <w:t>元/天向</w:t>
      </w:r>
      <w:r>
        <w:rPr>
          <w:rFonts w:hint="eastAsia" w:ascii="仿宋" w:hAnsi="仿宋" w:eastAsia="仿宋" w:cs="仿宋"/>
          <w:snapToGrid w:val="0"/>
          <w:color w:val="auto"/>
          <w:kern w:val="0"/>
          <w:highlight w:val="none"/>
          <w:lang w:eastAsia="zh-CN"/>
        </w:rPr>
        <w:t>甲方</w:t>
      </w:r>
      <w:r>
        <w:rPr>
          <w:rFonts w:hint="eastAsia" w:ascii="仿宋" w:hAnsi="仿宋" w:eastAsia="仿宋" w:cs="仿宋"/>
          <w:snapToGrid w:val="0"/>
          <w:color w:val="auto"/>
          <w:kern w:val="0"/>
          <w:highlight w:val="none"/>
        </w:rPr>
        <w:t>支付违约金</w:t>
      </w:r>
      <w:r>
        <w:rPr>
          <w:rFonts w:hint="eastAsia" w:ascii="仿宋" w:hAnsi="仿宋" w:eastAsia="仿宋" w:cs="仿宋"/>
          <w:snapToGrid w:val="0"/>
          <w:color w:val="auto"/>
          <w:kern w:val="0"/>
          <w:highlight w:val="none"/>
          <w:lang w:eastAsia="zh-CN"/>
        </w:rPr>
        <w:t>，累计5天以上的，</w:t>
      </w:r>
      <w:r>
        <w:rPr>
          <w:rFonts w:hint="eastAsia" w:ascii="仿宋" w:hAnsi="仿宋" w:eastAsia="仿宋" w:cs="仿宋"/>
          <w:snapToGrid w:val="0"/>
          <w:color w:val="auto"/>
          <w:kern w:val="0"/>
          <w:highlight w:val="none"/>
        </w:rPr>
        <w:t>按10</w:t>
      </w:r>
      <w:r>
        <w:rPr>
          <w:rFonts w:hint="eastAsia" w:ascii="仿宋" w:hAnsi="仿宋" w:eastAsia="仿宋" w:cs="仿宋"/>
          <w:snapToGrid w:val="0"/>
          <w:color w:val="auto"/>
          <w:kern w:val="0"/>
          <w:highlight w:val="none"/>
          <w:lang w:eastAsia="zh-CN"/>
        </w:rPr>
        <w:t>0</w:t>
      </w:r>
      <w:r>
        <w:rPr>
          <w:rFonts w:hint="eastAsia" w:ascii="仿宋" w:hAnsi="仿宋" w:eastAsia="仿宋" w:cs="仿宋"/>
          <w:snapToGrid w:val="0"/>
          <w:color w:val="auto"/>
          <w:kern w:val="0"/>
          <w:highlight w:val="none"/>
        </w:rPr>
        <w:t>00元/天向</w:t>
      </w:r>
      <w:r>
        <w:rPr>
          <w:rFonts w:hint="eastAsia" w:ascii="仿宋" w:hAnsi="仿宋" w:eastAsia="仿宋" w:cs="仿宋"/>
          <w:snapToGrid w:val="0"/>
          <w:color w:val="auto"/>
          <w:kern w:val="0"/>
          <w:highlight w:val="none"/>
          <w:lang w:eastAsia="zh-CN"/>
        </w:rPr>
        <w:t>甲方</w:t>
      </w:r>
      <w:r>
        <w:rPr>
          <w:rFonts w:hint="eastAsia" w:ascii="仿宋" w:hAnsi="仿宋" w:eastAsia="仿宋" w:cs="仿宋"/>
          <w:snapToGrid w:val="0"/>
          <w:color w:val="auto"/>
          <w:kern w:val="0"/>
          <w:highlight w:val="none"/>
        </w:rPr>
        <w:t>支付违约金，由甲方从</w:t>
      </w:r>
      <w:r>
        <w:rPr>
          <w:rFonts w:hint="eastAsia" w:ascii="仿宋" w:hAnsi="仿宋" w:eastAsia="仿宋" w:cs="仿宋"/>
          <w:snapToGrid w:val="0"/>
          <w:color w:val="auto"/>
          <w:kern w:val="0"/>
          <w:highlight w:val="none"/>
          <w:lang w:eastAsia="zh-CN"/>
        </w:rPr>
        <w:t>货款中</w:t>
      </w:r>
      <w:r>
        <w:rPr>
          <w:rFonts w:hint="eastAsia" w:ascii="仿宋" w:hAnsi="仿宋" w:eastAsia="仿宋" w:cs="仿宋"/>
          <w:snapToGrid w:val="0"/>
          <w:color w:val="auto"/>
          <w:kern w:val="0"/>
          <w:highlight w:val="none"/>
        </w:rPr>
        <w:t>扣除</w:t>
      </w:r>
      <w:r>
        <w:rPr>
          <w:rFonts w:hint="eastAsia" w:ascii="仿宋" w:hAnsi="仿宋" w:eastAsia="仿宋" w:cs="仿宋"/>
          <w:snapToGrid w:val="0"/>
          <w:color w:val="auto"/>
          <w:kern w:val="0"/>
          <w:highlight w:val="none"/>
          <w:lang w:eastAsia="zh-CN"/>
        </w:rPr>
        <w:t>；累计</w:t>
      </w:r>
      <w:r>
        <w:rPr>
          <w:rFonts w:hint="eastAsia" w:ascii="仿宋" w:hAnsi="仿宋" w:eastAsia="仿宋" w:cs="仿宋"/>
          <w:snapToGrid w:val="0"/>
          <w:color w:val="auto"/>
          <w:kern w:val="0"/>
          <w:highlight w:val="none"/>
        </w:rPr>
        <w:t>10天</w:t>
      </w:r>
      <w:r>
        <w:rPr>
          <w:rFonts w:hint="eastAsia" w:ascii="仿宋" w:hAnsi="仿宋" w:eastAsia="仿宋" w:cs="仿宋"/>
          <w:snapToGrid w:val="0"/>
          <w:color w:val="auto"/>
          <w:kern w:val="0"/>
          <w:highlight w:val="none"/>
          <w:lang w:eastAsia="zh-CN"/>
        </w:rPr>
        <w:t>以上</w:t>
      </w:r>
      <w:r>
        <w:rPr>
          <w:rFonts w:hint="eastAsia" w:ascii="仿宋" w:hAnsi="仿宋" w:eastAsia="仿宋" w:cs="仿宋"/>
          <w:snapToGrid w:val="0"/>
          <w:color w:val="auto"/>
          <w:kern w:val="0"/>
          <w:highlight w:val="none"/>
        </w:rPr>
        <w:t>的，</w:t>
      </w:r>
      <w:r>
        <w:rPr>
          <w:rFonts w:hint="eastAsia" w:ascii="仿宋" w:hAnsi="仿宋" w:eastAsia="仿宋" w:cs="仿宋"/>
          <w:snapToGrid w:val="0"/>
          <w:color w:val="auto"/>
          <w:kern w:val="0"/>
          <w:highlight w:val="none"/>
          <w:lang w:eastAsia="zh-CN"/>
        </w:rPr>
        <w:t>甲方</w:t>
      </w:r>
      <w:r>
        <w:rPr>
          <w:rFonts w:hint="eastAsia" w:ascii="仿宋" w:hAnsi="仿宋" w:eastAsia="仿宋" w:cs="仿宋"/>
          <w:snapToGrid w:val="0"/>
          <w:color w:val="auto"/>
          <w:kern w:val="0"/>
          <w:highlight w:val="none"/>
        </w:rPr>
        <w:t>可解除本合同</w:t>
      </w:r>
      <w:r>
        <w:rPr>
          <w:rFonts w:hint="eastAsia" w:ascii="仿宋" w:hAnsi="仿宋" w:eastAsia="仿宋" w:cs="仿宋"/>
          <w:snapToGrid w:val="0"/>
          <w:color w:val="auto"/>
          <w:kern w:val="0"/>
          <w:highlight w:val="none"/>
          <w:lang w:eastAsia="zh-CN"/>
        </w:rPr>
        <w:t>，</w:t>
      </w:r>
      <w:r>
        <w:rPr>
          <w:rFonts w:hint="eastAsia" w:ascii="仿宋" w:hAnsi="仿宋" w:eastAsia="仿宋" w:cs="仿宋"/>
          <w:snapToGrid w:val="0"/>
          <w:color w:val="auto"/>
          <w:kern w:val="0"/>
          <w:highlight w:val="none"/>
        </w:rPr>
        <w:t>履约保证金予以没收。乙方因其他违约行为导致甲方解除合同的，</w:t>
      </w:r>
      <w:r>
        <w:rPr>
          <w:rFonts w:hint="eastAsia" w:ascii="仿宋" w:hAnsi="仿宋" w:eastAsia="仿宋" w:cs="仿宋"/>
          <w:snapToGrid w:val="0"/>
          <w:color w:val="auto"/>
          <w:kern w:val="0"/>
          <w:highlight w:val="none"/>
          <w:lang w:eastAsia="zh-CN"/>
        </w:rPr>
        <w:t>甲方有权没收全部履约保证金，</w:t>
      </w:r>
      <w:r>
        <w:rPr>
          <w:rFonts w:hint="eastAsia" w:ascii="仿宋" w:hAnsi="仿宋" w:eastAsia="仿宋" w:cs="仿宋"/>
          <w:snapToGrid w:val="0"/>
          <w:color w:val="auto"/>
          <w:kern w:val="0"/>
          <w:highlight w:val="none"/>
        </w:rPr>
        <w:t>如造成甲方损失超过</w:t>
      </w:r>
      <w:r>
        <w:rPr>
          <w:rFonts w:hint="eastAsia" w:ascii="仿宋" w:hAnsi="仿宋" w:eastAsia="仿宋" w:cs="仿宋"/>
          <w:snapToGrid w:val="0"/>
          <w:color w:val="auto"/>
          <w:kern w:val="0"/>
          <w:highlight w:val="none"/>
          <w:lang w:eastAsia="zh-CN"/>
        </w:rPr>
        <w:t>履约保证</w:t>
      </w:r>
      <w:r>
        <w:rPr>
          <w:rFonts w:hint="eastAsia" w:ascii="仿宋" w:hAnsi="仿宋" w:eastAsia="仿宋" w:cs="仿宋"/>
          <w:snapToGrid w:val="0"/>
          <w:color w:val="auto"/>
          <w:kern w:val="0"/>
          <w:highlight w:val="none"/>
        </w:rPr>
        <w:t>金</w:t>
      </w:r>
      <w:r>
        <w:rPr>
          <w:rFonts w:hint="eastAsia" w:ascii="仿宋" w:hAnsi="仿宋" w:eastAsia="仿宋" w:cs="仿宋"/>
          <w:snapToGrid w:val="0"/>
          <w:color w:val="auto"/>
          <w:kern w:val="0"/>
          <w:highlight w:val="none"/>
          <w:lang w:eastAsia="zh-CN"/>
        </w:rPr>
        <w:t>金额</w:t>
      </w:r>
      <w:r>
        <w:rPr>
          <w:rFonts w:hint="eastAsia" w:ascii="仿宋" w:hAnsi="仿宋" w:eastAsia="仿宋" w:cs="仿宋"/>
          <w:snapToGrid w:val="0"/>
          <w:color w:val="auto"/>
          <w:kern w:val="0"/>
          <w:highlight w:val="none"/>
        </w:rPr>
        <w:t>的，超出部分由乙方继续承担赔偿责任</w:t>
      </w:r>
      <w:r>
        <w:rPr>
          <w:rFonts w:hint="eastAsia" w:ascii="仿宋" w:hAnsi="仿宋" w:eastAsia="仿宋" w:cs="仿宋"/>
          <w:snapToGrid w:val="0"/>
          <w:color w:val="auto"/>
          <w:kern w:val="0"/>
          <w:highlight w:val="none"/>
          <w:lang w:eastAsia="zh-CN"/>
        </w:rPr>
        <w:t>。</w:t>
      </w:r>
    </w:p>
    <w:p w14:paraId="03CDC2BE">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2、乙方所交的货物品</w:t>
      </w:r>
      <w:r>
        <w:rPr>
          <w:rFonts w:hint="eastAsia" w:ascii="仿宋" w:hAnsi="仿宋" w:eastAsia="仿宋" w:cs="仿宋"/>
          <w:snapToGrid w:val="0"/>
          <w:color w:val="auto"/>
          <w:kern w:val="0"/>
          <w:highlight w:val="none"/>
          <w:lang w:eastAsia="zh-CN"/>
        </w:rPr>
        <w:t>牌</w:t>
      </w:r>
      <w:r>
        <w:rPr>
          <w:rFonts w:hint="eastAsia" w:ascii="仿宋" w:hAnsi="仿宋" w:eastAsia="仿宋" w:cs="仿宋"/>
          <w:snapToGrid w:val="0"/>
          <w:color w:val="auto"/>
          <w:kern w:val="0"/>
          <w:highlight w:val="none"/>
        </w:rPr>
        <w:t>、型号、规格、技术参数、质量不符合合同规定及</w:t>
      </w:r>
      <w:r>
        <w:rPr>
          <w:rFonts w:hint="eastAsia" w:ascii="仿宋" w:hAnsi="仿宋" w:eastAsia="仿宋" w:cs="仿宋"/>
          <w:snapToGrid w:val="0"/>
          <w:color w:val="auto"/>
          <w:kern w:val="0"/>
          <w:highlight w:val="none"/>
          <w:lang w:eastAsia="zh-CN"/>
        </w:rPr>
        <w:t>采购文件</w:t>
      </w:r>
      <w:r>
        <w:rPr>
          <w:rFonts w:hint="eastAsia" w:ascii="仿宋" w:hAnsi="仿宋" w:eastAsia="仿宋" w:cs="仿宋"/>
          <w:snapToGrid w:val="0"/>
          <w:color w:val="auto"/>
          <w:kern w:val="0"/>
          <w:highlight w:val="none"/>
        </w:rPr>
        <w:t>规定标准的，甲方有权拒收该货物，乙方愿意更换货物但逾期交货的，按乙方逾期交货处理。乙方拒绝更换货物的，甲方可单方面解除合同</w:t>
      </w:r>
      <w:r>
        <w:rPr>
          <w:rFonts w:hint="eastAsia" w:ascii="仿宋" w:hAnsi="仿宋" w:eastAsia="仿宋" w:cs="仿宋"/>
          <w:snapToGrid w:val="0"/>
          <w:color w:val="auto"/>
          <w:kern w:val="0"/>
          <w:highlight w:val="none"/>
          <w:lang w:eastAsia="zh-CN"/>
        </w:rPr>
        <w:t>，并没收全部履约保证金</w:t>
      </w:r>
      <w:r>
        <w:rPr>
          <w:rFonts w:hint="eastAsia" w:ascii="仿宋" w:hAnsi="仿宋" w:eastAsia="仿宋" w:cs="仿宋"/>
          <w:snapToGrid w:val="0"/>
          <w:color w:val="auto"/>
          <w:kern w:val="0"/>
          <w:highlight w:val="none"/>
        </w:rPr>
        <w:t>。</w:t>
      </w:r>
    </w:p>
    <w:p w14:paraId="42C49FEF">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3</w:t>
      </w:r>
      <w:r>
        <w:rPr>
          <w:rFonts w:hint="eastAsia" w:ascii="仿宋" w:hAnsi="仿宋" w:eastAsia="仿宋" w:cs="仿宋"/>
          <w:snapToGrid w:val="0"/>
          <w:color w:val="auto"/>
          <w:kern w:val="0"/>
          <w:highlight w:val="none"/>
          <w:lang w:eastAsia="zh-CN"/>
        </w:rPr>
        <w:t>、</w:t>
      </w:r>
      <w:r>
        <w:rPr>
          <w:rFonts w:hint="eastAsia" w:ascii="仿宋" w:hAnsi="仿宋" w:eastAsia="仿宋" w:cs="仿宋"/>
          <w:snapToGrid w:val="0"/>
          <w:color w:val="auto"/>
          <w:kern w:val="0"/>
          <w:highlight w:val="none"/>
        </w:rPr>
        <w:t>在产品发现质量问题由乙方实行包换、包退，直至产品符合质量要求。乙方应承担调换、运货的一切费用和甲方的直接经济损失，经一次整改后，乙方再次发生质量问题则甲方有权中止合同并重新进行招标。</w:t>
      </w:r>
    </w:p>
    <w:p w14:paraId="4266355B">
      <w:pPr>
        <w:pStyle w:val="14"/>
        <w:adjustRightInd w:val="0"/>
        <w:snapToGrid w:val="0"/>
        <w:spacing w:before="0" w:beforeLines="0" w:after="0" w:afterLines="0" w:line="360" w:lineRule="auto"/>
        <w:ind w:firstLine="482" w:firstLineChars="200"/>
        <w:rPr>
          <w:rFonts w:hint="eastAsia" w:ascii="仿宋" w:hAnsi="仿宋" w:eastAsia="仿宋" w:cs="仿宋"/>
          <w:b/>
          <w:bCs/>
          <w:snapToGrid w:val="0"/>
          <w:color w:val="auto"/>
          <w:kern w:val="0"/>
          <w:highlight w:val="none"/>
        </w:rPr>
      </w:pPr>
      <w:r>
        <w:rPr>
          <w:rFonts w:hint="eastAsia" w:ascii="仿宋" w:hAnsi="仿宋" w:eastAsia="仿宋" w:cs="仿宋"/>
          <w:b/>
          <w:bCs/>
          <w:snapToGrid w:val="0"/>
          <w:color w:val="auto"/>
          <w:kern w:val="0"/>
          <w:highlight w:val="none"/>
        </w:rPr>
        <w:t>十</w:t>
      </w:r>
      <w:r>
        <w:rPr>
          <w:rFonts w:hint="eastAsia" w:ascii="仿宋" w:hAnsi="仿宋" w:eastAsia="仿宋" w:cs="仿宋"/>
          <w:b/>
          <w:bCs/>
          <w:snapToGrid w:val="0"/>
          <w:color w:val="auto"/>
          <w:kern w:val="0"/>
          <w:highlight w:val="none"/>
          <w:lang w:eastAsia="zh-CN"/>
        </w:rPr>
        <w:t>三</w:t>
      </w:r>
      <w:r>
        <w:rPr>
          <w:rFonts w:hint="eastAsia" w:ascii="仿宋" w:hAnsi="仿宋" w:eastAsia="仿宋" w:cs="仿宋"/>
          <w:b/>
          <w:bCs/>
          <w:snapToGrid w:val="0"/>
          <w:color w:val="auto"/>
          <w:kern w:val="0"/>
          <w:highlight w:val="none"/>
        </w:rPr>
        <w:t>、不可抗力事件处理</w:t>
      </w:r>
    </w:p>
    <w:p w14:paraId="249A92EA">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1、在合同有效期内，任何一方因不可抗力事件导致不能履行合同，则合同履行期可延长，其延长期与不可抗力影响期相同。</w:t>
      </w:r>
    </w:p>
    <w:p w14:paraId="67743F60">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2、不可抗力事件发生后，应立即通知对方，并寄送有关权威机构出具的证明。</w:t>
      </w:r>
    </w:p>
    <w:p w14:paraId="51FA752F">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3、不可抗力事件延续120天以上，双方应通过友好协商，确定是否继续履行合同。</w:t>
      </w:r>
    </w:p>
    <w:p w14:paraId="33087E74">
      <w:pPr>
        <w:pStyle w:val="14"/>
        <w:adjustRightInd w:val="0"/>
        <w:snapToGrid w:val="0"/>
        <w:spacing w:before="0" w:beforeLines="0" w:after="0" w:afterLines="0" w:line="360" w:lineRule="auto"/>
        <w:ind w:firstLine="482" w:firstLineChars="200"/>
        <w:rPr>
          <w:rFonts w:hint="eastAsia" w:ascii="仿宋" w:hAnsi="仿宋" w:eastAsia="仿宋" w:cs="仿宋"/>
          <w:b/>
          <w:bCs/>
          <w:snapToGrid w:val="0"/>
          <w:color w:val="auto"/>
          <w:kern w:val="0"/>
          <w:highlight w:val="none"/>
        </w:rPr>
      </w:pPr>
      <w:r>
        <w:rPr>
          <w:rFonts w:hint="eastAsia" w:ascii="仿宋" w:hAnsi="仿宋" w:eastAsia="仿宋" w:cs="仿宋"/>
          <w:b/>
          <w:bCs/>
          <w:snapToGrid w:val="0"/>
          <w:color w:val="auto"/>
          <w:kern w:val="0"/>
          <w:highlight w:val="none"/>
        </w:rPr>
        <w:t>十五、诉讼</w:t>
      </w:r>
    </w:p>
    <w:p w14:paraId="73F5766A">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双方在执行合同中所发生的一切争议，应通过协商解决。如协商不成，可向甲方所在地法院起诉。</w:t>
      </w:r>
    </w:p>
    <w:p w14:paraId="5F48D2F3">
      <w:pPr>
        <w:pStyle w:val="14"/>
        <w:adjustRightInd w:val="0"/>
        <w:snapToGrid w:val="0"/>
        <w:spacing w:before="0" w:beforeLines="0" w:after="0" w:afterLines="0" w:line="360" w:lineRule="auto"/>
        <w:ind w:firstLine="482" w:firstLineChars="200"/>
        <w:rPr>
          <w:rFonts w:hint="eastAsia" w:ascii="仿宋" w:hAnsi="仿宋" w:eastAsia="仿宋" w:cs="仿宋"/>
          <w:b/>
          <w:bCs/>
          <w:snapToGrid w:val="0"/>
          <w:color w:val="auto"/>
          <w:kern w:val="0"/>
          <w:highlight w:val="none"/>
        </w:rPr>
      </w:pPr>
      <w:r>
        <w:rPr>
          <w:rFonts w:hint="eastAsia" w:ascii="仿宋" w:hAnsi="仿宋" w:eastAsia="仿宋" w:cs="仿宋"/>
          <w:b/>
          <w:bCs/>
          <w:snapToGrid w:val="0"/>
          <w:color w:val="auto"/>
          <w:kern w:val="0"/>
          <w:highlight w:val="none"/>
        </w:rPr>
        <w:t>十六、合同生效及其它</w:t>
      </w:r>
    </w:p>
    <w:p w14:paraId="629EEC5D">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1、合同经甲、乙双方签字并加盖单位公章后生效。</w:t>
      </w:r>
    </w:p>
    <w:p w14:paraId="0E038814">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2、合同执行中涉及资金和</w:t>
      </w:r>
      <w:r>
        <w:rPr>
          <w:rFonts w:hint="eastAsia" w:ascii="仿宋" w:hAnsi="仿宋" w:eastAsia="仿宋" w:cs="仿宋"/>
          <w:snapToGrid w:val="0"/>
          <w:color w:val="auto"/>
          <w:kern w:val="0"/>
          <w:highlight w:val="none"/>
          <w:lang w:eastAsia="zh-CN"/>
        </w:rPr>
        <w:t>招标</w:t>
      </w:r>
      <w:r>
        <w:rPr>
          <w:rFonts w:hint="eastAsia" w:ascii="仿宋" w:hAnsi="仿宋" w:eastAsia="仿宋" w:cs="仿宋"/>
          <w:snapToGrid w:val="0"/>
          <w:color w:val="auto"/>
          <w:kern w:val="0"/>
          <w:highlight w:val="none"/>
        </w:rPr>
        <w:t>内容修改或补充的，经</w:t>
      </w:r>
      <w:r>
        <w:rPr>
          <w:rFonts w:hint="eastAsia" w:ascii="仿宋" w:hAnsi="仿宋" w:eastAsia="仿宋" w:cs="仿宋"/>
          <w:snapToGrid w:val="0"/>
          <w:color w:val="auto"/>
          <w:kern w:val="0"/>
          <w:highlight w:val="none"/>
          <w:lang w:eastAsia="zh-CN"/>
        </w:rPr>
        <w:t>报</w:t>
      </w:r>
      <w:r>
        <w:rPr>
          <w:rFonts w:hint="eastAsia" w:ascii="仿宋" w:hAnsi="仿宋" w:eastAsia="仿宋" w:cs="仿宋"/>
          <w:snapToGrid w:val="0"/>
          <w:color w:val="auto"/>
          <w:kern w:val="0"/>
          <w:highlight w:val="none"/>
        </w:rPr>
        <w:t>有关监督管理部门备案后，并签书面补充协议，方可作为主合同不可分割的一部分。</w:t>
      </w:r>
    </w:p>
    <w:p w14:paraId="0442FCBA">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3、</w:t>
      </w:r>
      <w:r>
        <w:rPr>
          <w:rFonts w:hint="eastAsia" w:ascii="仿宋" w:hAnsi="仿宋" w:eastAsia="仿宋" w:cs="仿宋"/>
          <w:snapToGrid w:val="0"/>
          <w:color w:val="auto"/>
          <w:kern w:val="0"/>
          <w:highlight w:val="none"/>
          <w:lang w:eastAsia="zh-CN"/>
        </w:rPr>
        <w:t>采购文件</w:t>
      </w:r>
      <w:r>
        <w:rPr>
          <w:rFonts w:hint="eastAsia" w:ascii="仿宋" w:hAnsi="仿宋" w:eastAsia="仿宋" w:cs="仿宋"/>
          <w:snapToGrid w:val="0"/>
          <w:color w:val="auto"/>
          <w:kern w:val="0"/>
          <w:highlight w:val="none"/>
        </w:rPr>
        <w:t>、投标文件与本合同具有同等法律效力。</w:t>
      </w:r>
    </w:p>
    <w:p w14:paraId="411C358A">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4、本合同未尽事宜，遵照《</w:t>
      </w:r>
      <w:r>
        <w:rPr>
          <w:rFonts w:hint="eastAsia" w:ascii="仿宋" w:hAnsi="仿宋" w:eastAsia="仿宋" w:cs="仿宋"/>
          <w:snapToGrid w:val="0"/>
          <w:color w:val="auto"/>
          <w:kern w:val="0"/>
          <w:highlight w:val="none"/>
          <w:lang w:val="en-US" w:eastAsia="zh-CN"/>
        </w:rPr>
        <w:t>民法典</w:t>
      </w:r>
      <w:r>
        <w:rPr>
          <w:rFonts w:hint="eastAsia" w:ascii="仿宋" w:hAnsi="仿宋" w:eastAsia="仿宋" w:cs="仿宋"/>
          <w:snapToGrid w:val="0"/>
          <w:color w:val="auto"/>
          <w:kern w:val="0"/>
          <w:highlight w:val="none"/>
        </w:rPr>
        <w:t>》有关条文执行。</w:t>
      </w:r>
    </w:p>
    <w:p w14:paraId="1C6C8418">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rPr>
        <w:t>5、本合同</w:t>
      </w:r>
      <w:r>
        <w:rPr>
          <w:rFonts w:hint="eastAsia" w:ascii="仿宋" w:hAnsi="仿宋" w:eastAsia="仿宋" w:cs="仿宋"/>
          <w:snapToGrid w:val="0"/>
          <w:color w:val="auto"/>
          <w:kern w:val="0"/>
          <w:highlight w:val="none"/>
          <w:lang w:val="en-US" w:eastAsia="zh-CN"/>
        </w:rPr>
        <w:t>到期后，甲方依据乙方合同执行情况，可以选择解除合同或者合同延续至   年  月   日</w:t>
      </w:r>
      <w:r>
        <w:rPr>
          <w:rFonts w:hint="eastAsia" w:ascii="仿宋" w:hAnsi="仿宋" w:eastAsia="仿宋" w:cs="仿宋"/>
          <w:snapToGrid w:val="0"/>
          <w:color w:val="auto"/>
          <w:kern w:val="0"/>
          <w:highlight w:val="none"/>
        </w:rPr>
        <w:t>。</w:t>
      </w:r>
    </w:p>
    <w:p w14:paraId="0230ADFE">
      <w:pPr>
        <w:pStyle w:val="14"/>
        <w:adjustRightInd w:val="0"/>
        <w:snapToGrid w:val="0"/>
        <w:spacing w:before="0" w:beforeLines="0" w:after="0" w:afterLines="0" w:line="360" w:lineRule="auto"/>
        <w:ind w:firstLine="480" w:firstLineChars="200"/>
        <w:rPr>
          <w:rFonts w:hint="eastAsia" w:ascii="仿宋" w:hAnsi="仿宋" w:eastAsia="仿宋" w:cs="仿宋"/>
          <w:snapToGrid w:val="0"/>
          <w:color w:val="auto"/>
          <w:kern w:val="0"/>
          <w:highlight w:val="none"/>
        </w:rPr>
      </w:pPr>
      <w:r>
        <w:rPr>
          <w:rFonts w:hint="eastAsia" w:ascii="仿宋" w:hAnsi="仿宋" w:eastAsia="仿宋" w:cs="仿宋"/>
          <w:snapToGrid w:val="0"/>
          <w:color w:val="auto"/>
          <w:kern w:val="0"/>
          <w:highlight w:val="none"/>
          <w:lang w:val="en-US" w:eastAsia="zh-CN"/>
        </w:rPr>
        <w:t>6</w:t>
      </w:r>
      <w:r>
        <w:rPr>
          <w:rFonts w:hint="eastAsia" w:ascii="仿宋" w:hAnsi="仿宋" w:eastAsia="仿宋" w:cs="仿宋"/>
          <w:snapToGrid w:val="0"/>
          <w:color w:val="auto"/>
          <w:kern w:val="0"/>
          <w:highlight w:val="none"/>
        </w:rPr>
        <w:t>、本合同一式四份，具有同等法律效力，甲、乙两方各执二份。</w:t>
      </w:r>
    </w:p>
    <w:p w14:paraId="591E55E8">
      <w:pPr>
        <w:autoSpaceDE w:val="0"/>
        <w:autoSpaceDN w:val="0"/>
        <w:adjustRightInd w:val="0"/>
        <w:spacing w:line="360" w:lineRule="auto"/>
        <w:ind w:firstLine="482" w:firstLineChars="20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注：</w:t>
      </w:r>
      <w:r>
        <w:rPr>
          <w:rFonts w:hint="eastAsia" w:ascii="仿宋" w:hAnsi="仿宋" w:eastAsia="仿宋" w:cs="仿宋"/>
          <w:b/>
          <w:bCs/>
          <w:color w:val="auto"/>
          <w:kern w:val="0"/>
          <w:sz w:val="24"/>
          <w:highlight w:val="none"/>
          <w:lang w:eastAsia="zh-CN"/>
        </w:rPr>
        <w:t>采购人</w:t>
      </w:r>
      <w:r>
        <w:rPr>
          <w:rFonts w:hint="eastAsia" w:ascii="仿宋" w:hAnsi="仿宋" w:eastAsia="仿宋" w:cs="仿宋"/>
          <w:b/>
          <w:bCs/>
          <w:color w:val="auto"/>
          <w:kern w:val="0"/>
          <w:sz w:val="24"/>
          <w:highlight w:val="none"/>
        </w:rPr>
        <w:t>保留在招标后完善、修改合同的权利。</w:t>
      </w:r>
    </w:p>
    <w:p w14:paraId="328AC126">
      <w:pPr>
        <w:adjustRightInd w:val="0"/>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甲方（盖章）：                             乙方（盖章）：        </w:t>
      </w:r>
    </w:p>
    <w:p w14:paraId="3DC0CFF8">
      <w:pPr>
        <w:adjustRightInd w:val="0"/>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法定代表人：                              法定代表人：                   </w:t>
      </w:r>
    </w:p>
    <w:p w14:paraId="1D55E88A">
      <w:pPr>
        <w:adjustRightInd w:val="0"/>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或受委托人（签字）：                       或受委托人（签字）：         </w:t>
      </w:r>
    </w:p>
    <w:p w14:paraId="18778930">
      <w:pPr>
        <w:adjustRightInd w:val="0"/>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联系人：                                  联系人：</w:t>
      </w:r>
    </w:p>
    <w:p w14:paraId="0148CFB0">
      <w:pPr>
        <w:adjustRightInd w:val="0"/>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地址：                                    地址： </w:t>
      </w:r>
    </w:p>
    <w:p w14:paraId="4F48F370">
      <w:pPr>
        <w:adjustRightInd w:val="0"/>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电话：                                    电话：</w:t>
      </w:r>
    </w:p>
    <w:p w14:paraId="717D3C9C">
      <w:pPr>
        <w:adjustRightInd w:val="0"/>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开户银行：                                开户银行： </w:t>
      </w:r>
    </w:p>
    <w:p w14:paraId="40D324CE">
      <w:pPr>
        <w:adjustRightInd w:val="0"/>
        <w:snapToGrid w:val="0"/>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 xml:space="preserve">账号：                         </w:t>
      </w:r>
    </w:p>
    <w:bookmarkEnd w:id="7"/>
    <w:p w14:paraId="0D81265D">
      <w:pPr>
        <w:widowControl/>
        <w:snapToGrid w:val="0"/>
        <w:spacing w:line="360" w:lineRule="auto"/>
        <w:ind w:firstLine="723"/>
        <w:jc w:val="center"/>
        <w:outlineLvl w:val="0"/>
        <w:rPr>
          <w:rFonts w:hint="eastAsia" w:ascii="仿宋" w:hAnsi="仿宋" w:eastAsia="仿宋" w:cs="仿宋"/>
          <w:b/>
          <w:color w:val="auto"/>
          <w:sz w:val="36"/>
          <w:szCs w:val="36"/>
          <w:highlight w:val="none"/>
        </w:rPr>
      </w:pPr>
      <w:bookmarkStart w:id="8" w:name="_Toc109240587"/>
      <w:r>
        <w:rPr>
          <w:rFonts w:hint="eastAsia" w:ascii="仿宋" w:hAnsi="仿宋" w:eastAsia="仿宋" w:cs="仿宋"/>
          <w:color w:val="auto"/>
          <w:sz w:val="24"/>
          <w:highlight w:val="none"/>
        </w:rPr>
        <w:t xml:space="preserve">    </w:t>
      </w:r>
    </w:p>
    <w:p w14:paraId="54EF24EC">
      <w:pPr>
        <w:widowControl/>
        <w:snapToGrid w:val="0"/>
        <w:spacing w:line="440" w:lineRule="exact"/>
        <w:ind w:firstLine="723"/>
        <w:jc w:val="center"/>
        <w:outlineLvl w:val="0"/>
        <w:rPr>
          <w:rFonts w:hint="eastAsia" w:ascii="仿宋" w:hAnsi="仿宋" w:eastAsia="仿宋" w:cs="仿宋"/>
          <w:b/>
          <w:color w:val="auto"/>
          <w:sz w:val="36"/>
          <w:szCs w:val="36"/>
          <w:highlight w:val="none"/>
        </w:rPr>
      </w:pPr>
    </w:p>
    <w:p w14:paraId="4E32B81E">
      <w:pPr>
        <w:widowControl/>
        <w:snapToGrid w:val="0"/>
        <w:spacing w:line="440" w:lineRule="exact"/>
        <w:ind w:firstLine="723"/>
        <w:jc w:val="center"/>
        <w:outlineLvl w:val="0"/>
        <w:rPr>
          <w:rFonts w:hint="eastAsia" w:ascii="仿宋" w:hAnsi="仿宋" w:eastAsia="仿宋" w:cs="仿宋"/>
          <w:b/>
          <w:color w:val="auto"/>
          <w:sz w:val="36"/>
          <w:szCs w:val="36"/>
          <w:highlight w:val="none"/>
        </w:rPr>
      </w:pPr>
    </w:p>
    <w:p w14:paraId="3EE89A61">
      <w:pPr>
        <w:widowControl/>
        <w:snapToGrid w:val="0"/>
        <w:spacing w:line="440" w:lineRule="exact"/>
        <w:ind w:firstLine="723"/>
        <w:jc w:val="center"/>
        <w:outlineLvl w:val="0"/>
        <w:rPr>
          <w:rFonts w:hint="eastAsia" w:ascii="仿宋" w:hAnsi="仿宋" w:eastAsia="仿宋" w:cs="仿宋"/>
          <w:b/>
          <w:color w:val="auto"/>
          <w:sz w:val="36"/>
          <w:szCs w:val="36"/>
          <w:highlight w:val="none"/>
        </w:rPr>
      </w:pPr>
    </w:p>
    <w:p w14:paraId="06A31E10">
      <w:pPr>
        <w:widowControl/>
        <w:snapToGrid w:val="0"/>
        <w:spacing w:line="440" w:lineRule="exact"/>
        <w:ind w:firstLine="723"/>
        <w:jc w:val="center"/>
        <w:outlineLvl w:val="0"/>
        <w:rPr>
          <w:rFonts w:hint="eastAsia" w:ascii="仿宋" w:hAnsi="仿宋" w:eastAsia="仿宋" w:cs="仿宋"/>
          <w:b/>
          <w:color w:val="auto"/>
          <w:sz w:val="36"/>
          <w:szCs w:val="36"/>
          <w:highlight w:val="none"/>
        </w:rPr>
      </w:pPr>
    </w:p>
    <w:p w14:paraId="53B3DAD5">
      <w:pPr>
        <w:widowControl/>
        <w:snapToGrid w:val="0"/>
        <w:spacing w:line="440" w:lineRule="exact"/>
        <w:ind w:firstLine="723"/>
        <w:jc w:val="center"/>
        <w:outlineLvl w:val="0"/>
        <w:rPr>
          <w:rFonts w:hint="eastAsia" w:ascii="仿宋" w:hAnsi="仿宋" w:eastAsia="仿宋" w:cs="仿宋"/>
          <w:b/>
          <w:color w:val="auto"/>
          <w:sz w:val="36"/>
          <w:szCs w:val="36"/>
          <w:highlight w:val="none"/>
        </w:rPr>
      </w:pPr>
    </w:p>
    <w:p w14:paraId="07DC7738">
      <w:pPr>
        <w:widowControl/>
        <w:snapToGrid w:val="0"/>
        <w:spacing w:line="440" w:lineRule="exact"/>
        <w:ind w:firstLine="723"/>
        <w:jc w:val="center"/>
        <w:outlineLvl w:val="0"/>
        <w:rPr>
          <w:rFonts w:hint="eastAsia" w:ascii="仿宋" w:hAnsi="仿宋" w:eastAsia="仿宋" w:cs="仿宋"/>
          <w:b/>
          <w:color w:val="auto"/>
          <w:sz w:val="36"/>
          <w:szCs w:val="36"/>
          <w:highlight w:val="none"/>
        </w:rPr>
      </w:pPr>
    </w:p>
    <w:p w14:paraId="1B0B432A">
      <w:pPr>
        <w:widowControl/>
        <w:snapToGrid w:val="0"/>
        <w:spacing w:line="440" w:lineRule="exact"/>
        <w:ind w:firstLine="723"/>
        <w:jc w:val="center"/>
        <w:outlineLvl w:val="0"/>
        <w:rPr>
          <w:rFonts w:hint="eastAsia" w:ascii="仿宋" w:hAnsi="仿宋" w:eastAsia="仿宋" w:cs="仿宋"/>
          <w:b/>
          <w:color w:val="auto"/>
          <w:sz w:val="36"/>
          <w:szCs w:val="36"/>
          <w:highlight w:val="none"/>
        </w:rPr>
      </w:pPr>
    </w:p>
    <w:p w14:paraId="03FC9FDE">
      <w:pPr>
        <w:widowControl/>
        <w:snapToGrid w:val="0"/>
        <w:spacing w:line="440" w:lineRule="exact"/>
        <w:ind w:firstLine="723"/>
        <w:jc w:val="center"/>
        <w:outlineLvl w:val="0"/>
        <w:rPr>
          <w:rFonts w:hint="eastAsia" w:ascii="仿宋" w:hAnsi="仿宋" w:eastAsia="仿宋" w:cs="仿宋"/>
          <w:b/>
          <w:color w:val="auto"/>
          <w:sz w:val="36"/>
          <w:szCs w:val="36"/>
          <w:highlight w:val="none"/>
        </w:rPr>
      </w:pPr>
    </w:p>
    <w:p w14:paraId="2DAC5D40">
      <w:pPr>
        <w:widowControl/>
        <w:snapToGrid w:val="0"/>
        <w:spacing w:line="440" w:lineRule="exact"/>
        <w:ind w:firstLine="723"/>
        <w:jc w:val="center"/>
        <w:outlineLvl w:val="0"/>
        <w:rPr>
          <w:rFonts w:hint="eastAsia" w:ascii="仿宋" w:hAnsi="仿宋" w:eastAsia="仿宋" w:cs="仿宋"/>
          <w:b/>
          <w:color w:val="auto"/>
          <w:sz w:val="36"/>
          <w:szCs w:val="36"/>
          <w:highlight w:val="none"/>
        </w:rPr>
      </w:pPr>
    </w:p>
    <w:p w14:paraId="7C3D4D7A">
      <w:pPr>
        <w:widowControl/>
        <w:snapToGrid w:val="0"/>
        <w:spacing w:line="440" w:lineRule="exact"/>
        <w:ind w:firstLine="723"/>
        <w:jc w:val="center"/>
        <w:outlineLvl w:val="0"/>
        <w:rPr>
          <w:rFonts w:hint="eastAsia" w:ascii="仿宋" w:hAnsi="仿宋" w:eastAsia="仿宋" w:cs="仿宋"/>
          <w:b/>
          <w:color w:val="auto"/>
          <w:sz w:val="36"/>
          <w:szCs w:val="36"/>
          <w:highlight w:val="none"/>
        </w:rPr>
      </w:pPr>
    </w:p>
    <w:p w14:paraId="6763D379">
      <w:pPr>
        <w:widowControl/>
        <w:snapToGrid w:val="0"/>
        <w:spacing w:line="440" w:lineRule="exact"/>
        <w:ind w:firstLine="723"/>
        <w:jc w:val="center"/>
        <w:outlineLvl w:val="0"/>
        <w:rPr>
          <w:rFonts w:hint="eastAsia" w:ascii="仿宋" w:hAnsi="仿宋" w:eastAsia="仿宋" w:cs="仿宋"/>
          <w:b/>
          <w:color w:val="auto"/>
          <w:sz w:val="36"/>
          <w:szCs w:val="36"/>
          <w:highlight w:val="none"/>
        </w:rPr>
      </w:pPr>
    </w:p>
    <w:p w14:paraId="52D42DDD">
      <w:pPr>
        <w:widowControl/>
        <w:snapToGrid w:val="0"/>
        <w:spacing w:line="440" w:lineRule="exact"/>
        <w:ind w:firstLine="723"/>
        <w:jc w:val="center"/>
        <w:outlineLvl w:val="0"/>
        <w:rPr>
          <w:rFonts w:hint="eastAsia" w:ascii="仿宋" w:hAnsi="仿宋" w:eastAsia="仿宋" w:cs="仿宋"/>
          <w:b/>
          <w:color w:val="auto"/>
          <w:sz w:val="36"/>
          <w:szCs w:val="36"/>
          <w:highlight w:val="none"/>
        </w:rPr>
      </w:pPr>
    </w:p>
    <w:p w14:paraId="4A870BCB">
      <w:pPr>
        <w:widowControl/>
        <w:snapToGrid w:val="0"/>
        <w:spacing w:line="440" w:lineRule="exact"/>
        <w:ind w:firstLine="723"/>
        <w:jc w:val="center"/>
        <w:outlineLvl w:val="0"/>
        <w:rPr>
          <w:rFonts w:hint="eastAsia" w:ascii="仿宋" w:hAnsi="仿宋" w:eastAsia="仿宋" w:cs="仿宋"/>
          <w:b/>
          <w:color w:val="auto"/>
          <w:sz w:val="36"/>
          <w:szCs w:val="36"/>
          <w:highlight w:val="none"/>
        </w:rPr>
      </w:pPr>
    </w:p>
    <w:p w14:paraId="71295B84">
      <w:pPr>
        <w:widowControl/>
        <w:snapToGrid w:val="0"/>
        <w:spacing w:line="440" w:lineRule="exact"/>
        <w:ind w:firstLine="723"/>
        <w:jc w:val="center"/>
        <w:outlineLvl w:val="0"/>
        <w:rPr>
          <w:rFonts w:hint="eastAsia" w:ascii="仿宋" w:hAnsi="仿宋" w:eastAsia="仿宋" w:cs="仿宋"/>
          <w:b/>
          <w:color w:val="auto"/>
          <w:sz w:val="36"/>
          <w:szCs w:val="36"/>
          <w:highlight w:val="none"/>
        </w:rPr>
      </w:pPr>
    </w:p>
    <w:p w14:paraId="194D9631">
      <w:pPr>
        <w:widowControl/>
        <w:snapToGrid w:val="0"/>
        <w:spacing w:line="440" w:lineRule="exact"/>
        <w:ind w:firstLine="723"/>
        <w:jc w:val="center"/>
        <w:outlineLvl w:val="0"/>
        <w:rPr>
          <w:rFonts w:hint="eastAsia" w:ascii="仿宋" w:hAnsi="仿宋" w:eastAsia="仿宋" w:cs="仿宋"/>
          <w:b/>
          <w:color w:val="auto"/>
          <w:sz w:val="36"/>
          <w:szCs w:val="36"/>
          <w:highlight w:val="none"/>
        </w:rPr>
      </w:pPr>
    </w:p>
    <w:p w14:paraId="6D0FB478">
      <w:pPr>
        <w:widowControl/>
        <w:snapToGrid w:val="0"/>
        <w:spacing w:line="440" w:lineRule="exact"/>
        <w:ind w:firstLine="723"/>
        <w:jc w:val="center"/>
        <w:outlineLvl w:val="0"/>
        <w:rPr>
          <w:rFonts w:hint="eastAsia" w:ascii="仿宋" w:hAnsi="仿宋" w:eastAsia="仿宋" w:cs="仿宋"/>
          <w:b/>
          <w:color w:val="auto"/>
          <w:sz w:val="36"/>
          <w:szCs w:val="36"/>
          <w:highlight w:val="none"/>
        </w:rPr>
      </w:pPr>
    </w:p>
    <w:p w14:paraId="23F702B4">
      <w:pPr>
        <w:widowControl/>
        <w:snapToGrid w:val="0"/>
        <w:spacing w:line="440" w:lineRule="exact"/>
        <w:ind w:firstLine="723"/>
        <w:jc w:val="center"/>
        <w:outlineLvl w:val="0"/>
        <w:rPr>
          <w:rFonts w:hint="eastAsia" w:ascii="仿宋" w:hAnsi="仿宋" w:eastAsia="仿宋" w:cs="仿宋"/>
          <w:b/>
          <w:color w:val="auto"/>
          <w:sz w:val="36"/>
          <w:szCs w:val="36"/>
          <w:highlight w:val="none"/>
        </w:rPr>
      </w:pPr>
    </w:p>
    <w:p w14:paraId="329C1FA2">
      <w:pPr>
        <w:widowControl/>
        <w:snapToGrid w:val="0"/>
        <w:spacing w:line="440" w:lineRule="exact"/>
        <w:ind w:firstLine="723"/>
        <w:jc w:val="center"/>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第六章 投标文件格式附件</w:t>
      </w:r>
      <w:bookmarkEnd w:id="8"/>
    </w:p>
    <w:p w14:paraId="13D71126">
      <w:pPr>
        <w:widowControl/>
        <w:snapToGrid w:val="0"/>
        <w:spacing w:line="500" w:lineRule="exact"/>
        <w:ind w:firstLine="560"/>
        <w:rPr>
          <w:rFonts w:ascii="仿宋" w:hAnsi="仿宋" w:eastAsia="仿宋" w:cs="仿宋"/>
          <w:b/>
          <w:color w:val="auto"/>
          <w:kern w:val="0"/>
          <w:sz w:val="28"/>
          <w:highlight w:val="none"/>
        </w:rPr>
      </w:pPr>
    </w:p>
    <w:p w14:paraId="76604BAA">
      <w:pPr>
        <w:widowControl/>
        <w:snapToGrid w:val="0"/>
        <w:spacing w:line="500" w:lineRule="exact"/>
        <w:ind w:firstLine="562"/>
        <w:rPr>
          <w:rFonts w:ascii="仿宋" w:hAnsi="仿宋" w:eastAsia="仿宋" w:cs="仿宋"/>
          <w:b/>
          <w:color w:val="auto"/>
          <w:kern w:val="0"/>
          <w:sz w:val="28"/>
          <w:highlight w:val="none"/>
        </w:rPr>
      </w:pPr>
      <w:r>
        <w:rPr>
          <w:rFonts w:hint="eastAsia" w:ascii="仿宋" w:hAnsi="仿宋" w:eastAsia="仿宋" w:cs="仿宋"/>
          <w:b/>
          <w:color w:val="auto"/>
          <w:kern w:val="0"/>
          <w:sz w:val="28"/>
          <w:highlight w:val="none"/>
        </w:rPr>
        <w:t>投标人提交投标文件须知：</w:t>
      </w:r>
    </w:p>
    <w:p w14:paraId="402622B8">
      <w:pPr>
        <w:widowControl/>
        <w:snapToGrid w:val="0"/>
        <w:spacing w:line="500" w:lineRule="exact"/>
        <w:ind w:left="-2" w:leftChars="-1"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（一）投标人应严格按照以下要求填写和提交下述规定的全部格式文件以及其他有关资料，混乱的编排导致投标文件被误读或评标委员会查找不到有效文件是投标人的风险。</w:t>
      </w:r>
    </w:p>
    <w:p w14:paraId="2672B30B">
      <w:pPr>
        <w:widowControl/>
        <w:snapToGrid w:val="0"/>
        <w:spacing w:line="500" w:lineRule="exact"/>
        <w:ind w:left="2"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（二）所附表格中要求回答的全部问题、信息都必须正面回答。</w:t>
      </w:r>
    </w:p>
    <w:p w14:paraId="436FCAAB">
      <w:pPr>
        <w:widowControl/>
        <w:snapToGrid w:val="0"/>
        <w:spacing w:line="500" w:lineRule="exact"/>
        <w:ind w:left="2" w:leftChars="1"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（三）本声明书和投标响应函的签字人应保证全部声明和问题的回答是真实的和准确的。</w:t>
      </w:r>
    </w:p>
    <w:p w14:paraId="7236EF8D">
      <w:pPr>
        <w:widowControl/>
        <w:snapToGrid w:val="0"/>
        <w:spacing w:line="500" w:lineRule="exact"/>
        <w:ind w:left="1"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（四）评标委员会将应用投标人提交的资料作出自己的判断。</w:t>
      </w:r>
    </w:p>
    <w:p w14:paraId="5766D752">
      <w:pPr>
        <w:widowControl/>
        <w:snapToGrid w:val="0"/>
        <w:spacing w:line="50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（五）投标人提交的材料将在一定期限内被保密保存，但不退还。</w:t>
      </w:r>
    </w:p>
    <w:p w14:paraId="0D121E0A">
      <w:pPr>
        <w:widowControl/>
        <w:snapToGrid w:val="0"/>
        <w:spacing w:line="50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六）电子投标文件，需按“乐采云”平台项目采购-电子招投标操作指南及本采购文件要求递交。电子投标文件均由资格文件、商务及资信技术文件、报价文件组成。投标人务必按时自行解密，规定时间内解密失败者作无效响应处理。全部文件应按投标人须知中规定的语言提交。投标文件组成漏项或未按规定的格式编制，内容不全或内容字迹模糊辨认不清的情况，将被评标委员会认定为投标无效。</w:t>
      </w:r>
    </w:p>
    <w:p w14:paraId="39605EC5">
      <w:pPr>
        <w:snapToGrid w:val="0"/>
        <w:spacing w:before="156"/>
        <w:ind w:firstLine="720"/>
        <w:jc w:val="center"/>
        <w:rPr>
          <w:rFonts w:ascii="仿宋" w:hAnsi="仿宋" w:eastAsia="仿宋" w:cs="仿宋"/>
          <w:b/>
          <w:color w:val="auto"/>
          <w:sz w:val="36"/>
          <w:szCs w:val="36"/>
          <w:highlight w:val="none"/>
        </w:rPr>
      </w:pPr>
    </w:p>
    <w:p w14:paraId="0ECC922E">
      <w:pPr>
        <w:snapToGrid w:val="0"/>
        <w:spacing w:before="156"/>
        <w:ind w:firstLine="720"/>
        <w:jc w:val="center"/>
        <w:rPr>
          <w:rFonts w:ascii="仿宋" w:hAnsi="仿宋" w:eastAsia="仿宋" w:cs="仿宋"/>
          <w:b/>
          <w:color w:val="auto"/>
          <w:sz w:val="36"/>
          <w:szCs w:val="36"/>
          <w:highlight w:val="none"/>
        </w:rPr>
      </w:pPr>
    </w:p>
    <w:p w14:paraId="649AB250">
      <w:pPr>
        <w:spacing w:line="440" w:lineRule="exact"/>
        <w:ind w:firstLine="723" w:firstLineChars="200"/>
        <w:jc w:val="center"/>
        <w:outlineLvl w:val="1"/>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588F7FA1">
      <w:pPr>
        <w:snapToGrid w:val="0"/>
        <w:spacing w:line="440" w:lineRule="exact"/>
        <w:ind w:firstLine="630" w:firstLineChars="196"/>
        <w:jc w:val="center"/>
        <w:rPr>
          <w:rFonts w:hint="eastAsia" w:ascii="仿宋" w:hAnsi="仿宋" w:eastAsia="仿宋" w:cs="仿宋"/>
          <w:b/>
          <w:color w:val="auto"/>
          <w:kern w:val="0"/>
          <w:sz w:val="32"/>
          <w:szCs w:val="32"/>
          <w:highlight w:val="none"/>
          <w:lang w:eastAsia="zh-CN"/>
        </w:rPr>
      </w:pPr>
      <w:r>
        <w:rPr>
          <w:rFonts w:hint="eastAsia" w:ascii="仿宋" w:hAnsi="仿宋" w:eastAsia="仿宋" w:cs="仿宋"/>
          <w:b/>
          <w:color w:val="auto"/>
          <w:kern w:val="0"/>
          <w:sz w:val="32"/>
          <w:szCs w:val="32"/>
          <w:highlight w:val="none"/>
        </w:rPr>
        <w:t>一、承诺函</w:t>
      </w:r>
    </w:p>
    <w:p w14:paraId="0D26809A">
      <w:pPr>
        <w:snapToGrid w:val="0"/>
        <w:spacing w:line="4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r>
        <w:rPr>
          <w:rFonts w:hint="eastAsia" w:ascii="仿宋" w:hAnsi="仿宋" w:eastAsia="仿宋" w:cs="仿宋"/>
          <w:color w:val="auto"/>
          <w:sz w:val="24"/>
          <w:highlight w:val="none"/>
        </w:rPr>
        <w:t>：</w:t>
      </w:r>
    </w:p>
    <w:p w14:paraId="62370A9C">
      <w:pPr>
        <w:snapToGrid w:val="0"/>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u w:val="single"/>
        </w:rPr>
        <w:t xml:space="preserve"> （项目编号） </w:t>
      </w:r>
      <w:r>
        <w:rPr>
          <w:rFonts w:hint="eastAsia" w:ascii="仿宋" w:hAnsi="仿宋" w:eastAsia="仿宋" w:cs="仿宋"/>
          <w:color w:val="auto"/>
          <w:sz w:val="24"/>
          <w:highlight w:val="none"/>
        </w:rPr>
        <w:t>】采购活动，郑重承诺：</w:t>
      </w:r>
    </w:p>
    <w:p w14:paraId="5AC27A12">
      <w:pPr>
        <w:snapToGrid w:val="0"/>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19A5DC5A">
      <w:pPr>
        <w:snapToGrid w:val="0"/>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76D343FE">
      <w:pPr>
        <w:snapToGrid w:val="0"/>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304F2266">
      <w:pPr>
        <w:snapToGrid w:val="0"/>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6A10DE41">
      <w:pPr>
        <w:snapToGrid w:val="0"/>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3BDF2263">
      <w:pPr>
        <w:snapToGrid w:val="0"/>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5、参加采购活动前三年内，在经营活动中没有重大违法记录；</w:t>
      </w:r>
    </w:p>
    <w:p w14:paraId="5C7A8CBC">
      <w:pPr>
        <w:snapToGrid w:val="0"/>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2415667C">
      <w:pPr>
        <w:snapToGrid w:val="0"/>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4C24FB5A">
      <w:pPr>
        <w:snapToGrid w:val="0"/>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5A893422">
      <w:pPr>
        <w:snapToGrid w:val="0"/>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1、单位负责人为同一人或者存在直接控股、管理关系的不同供应商参加同一合同项下的采购活动的；</w:t>
      </w:r>
    </w:p>
    <w:p w14:paraId="7B865C91">
      <w:pPr>
        <w:snapToGrid w:val="0"/>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36B01D51">
      <w:pPr>
        <w:snapToGrid w:val="0"/>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（四）其他承诺：</w:t>
      </w:r>
    </w:p>
    <w:p w14:paraId="5FBB4AE5">
      <w:pPr>
        <w:snapToGrid w:val="0"/>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投标文件中所列举的报价及相关资料和公司基本情况资料是真实的、合法的，无虚假、伪造的内容。若投标文件中存在虚假、伪造的内容，同意作无效投标处理，若中标之后被查实弄虚作假，同意取消中标资格。</w:t>
      </w:r>
    </w:p>
    <w:p w14:paraId="3397ECBD">
      <w:pPr>
        <w:snapToGrid w:val="0"/>
        <w:spacing w:line="460" w:lineRule="exact"/>
        <w:ind w:firstLine="480" w:firstLineChars="200"/>
        <w:rPr>
          <w:rFonts w:hint="eastAsia" w:ascii="仿宋" w:hAnsi="仿宋" w:eastAsia="仿宋" w:cs="仿宋"/>
          <w:color w:val="auto"/>
          <w:sz w:val="24"/>
          <w:highlight w:val="none"/>
        </w:rPr>
      </w:pPr>
    </w:p>
    <w:p w14:paraId="055EA590">
      <w:pPr>
        <w:snapToGrid w:val="0"/>
        <w:spacing w:line="460" w:lineRule="exact"/>
        <w:ind w:firstLine="480" w:firstLineChars="200"/>
        <w:rPr>
          <w:rFonts w:hint="eastAsia" w:ascii="仿宋" w:hAnsi="仿宋" w:eastAsia="仿宋" w:cs="仿宋"/>
          <w:color w:val="auto"/>
          <w:sz w:val="24"/>
          <w:highlight w:val="none"/>
        </w:rPr>
      </w:pPr>
    </w:p>
    <w:p w14:paraId="0D7FF56F">
      <w:pPr>
        <w:snapToGrid w:val="0"/>
        <w:spacing w:line="460" w:lineRule="exact"/>
        <w:ind w:firstLine="480" w:firstLineChars="200"/>
        <w:rPr>
          <w:rFonts w:hint="eastAsia" w:ascii="仿宋" w:hAnsi="仿宋" w:eastAsia="仿宋" w:cs="仿宋"/>
          <w:color w:val="auto"/>
          <w:sz w:val="24"/>
          <w:highlight w:val="none"/>
        </w:rPr>
      </w:pPr>
    </w:p>
    <w:p w14:paraId="74980B68">
      <w:pPr>
        <w:snapToGrid w:val="0"/>
        <w:spacing w:line="46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w:t>
      </w:r>
      <w:r>
        <w:rPr>
          <w:rFonts w:hint="eastAsia" w:ascii="仿宋" w:hAnsi="仿宋" w:eastAsia="仿宋" w:cs="仿宋"/>
          <w:color w:val="auto"/>
          <w:kern w:val="0"/>
          <w:sz w:val="24"/>
          <w:highlight w:val="none"/>
          <w:lang w:val="en-US" w:eastAsia="zh-CN"/>
        </w:rPr>
        <w:t>全称</w:t>
      </w:r>
      <w:r>
        <w:rPr>
          <w:rFonts w:hint="eastAsia" w:ascii="仿宋" w:hAnsi="仿宋" w:eastAsia="仿宋" w:cs="仿宋"/>
          <w:color w:val="auto"/>
          <w:kern w:val="0"/>
          <w:sz w:val="24"/>
          <w:highlight w:val="none"/>
          <w:lang w:val="zh-CN"/>
        </w:rPr>
        <w:t>(电子签名)：</w:t>
      </w:r>
    </w:p>
    <w:p w14:paraId="313A1D3B">
      <w:pPr>
        <w:snapToGrid w:val="0"/>
        <w:spacing w:line="460" w:lineRule="exac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43CC4870">
      <w:pPr>
        <w:rPr>
          <w:rFonts w:hint="eastAsia" w:ascii="仿宋" w:hAnsi="仿宋" w:eastAsia="仿宋" w:cs="仿宋"/>
          <w:color w:val="auto"/>
          <w:kern w:val="0"/>
          <w:highlight w:val="none"/>
        </w:rPr>
      </w:pPr>
    </w:p>
    <w:p w14:paraId="5D73D8F6">
      <w:pPr>
        <w:spacing w:line="440" w:lineRule="exact"/>
        <w:ind w:firstLine="602"/>
        <w:jc w:val="center"/>
        <w:outlineLvl w:val="1"/>
        <w:rPr>
          <w:rFonts w:hint="eastAsia" w:ascii="仿宋" w:hAnsi="仿宋" w:eastAsia="仿宋" w:cs="仿宋"/>
          <w:b/>
          <w:color w:val="auto"/>
          <w:kern w:val="0"/>
          <w:sz w:val="30"/>
          <w:szCs w:val="30"/>
          <w:highlight w:val="none"/>
        </w:rPr>
      </w:pPr>
    </w:p>
    <w:p w14:paraId="6F297769">
      <w:pPr>
        <w:spacing w:line="440" w:lineRule="exact"/>
        <w:ind w:firstLine="602"/>
        <w:jc w:val="center"/>
        <w:outlineLvl w:val="1"/>
        <w:rPr>
          <w:rFonts w:hint="eastAsia" w:ascii="仿宋" w:hAnsi="仿宋" w:eastAsia="仿宋" w:cs="仿宋"/>
          <w:b/>
          <w:color w:val="auto"/>
          <w:kern w:val="0"/>
          <w:sz w:val="30"/>
          <w:szCs w:val="30"/>
          <w:highlight w:val="none"/>
          <w:lang w:val="en-US" w:eastAsia="zh-CN"/>
        </w:rPr>
      </w:pPr>
    </w:p>
    <w:p w14:paraId="5F385B04">
      <w:pPr>
        <w:spacing w:line="440" w:lineRule="exact"/>
        <w:ind w:firstLine="602"/>
        <w:jc w:val="center"/>
        <w:outlineLvl w:val="1"/>
        <w:rPr>
          <w:rFonts w:ascii="仿宋" w:hAnsi="仿宋" w:eastAsia="仿宋" w:cs="仿宋"/>
          <w:b/>
          <w:color w:val="auto"/>
          <w:sz w:val="32"/>
          <w:szCs w:val="32"/>
          <w:highlight w:val="none"/>
        </w:rPr>
      </w:pPr>
      <w:r>
        <w:rPr>
          <w:rFonts w:hint="eastAsia" w:ascii="仿宋" w:hAnsi="仿宋" w:eastAsia="仿宋" w:cs="仿宋"/>
          <w:b/>
          <w:color w:val="auto"/>
          <w:kern w:val="0"/>
          <w:sz w:val="30"/>
          <w:szCs w:val="30"/>
          <w:highlight w:val="none"/>
          <w:lang w:val="en-US" w:eastAsia="zh-CN"/>
        </w:rPr>
        <w:t>二</w:t>
      </w:r>
      <w:r>
        <w:rPr>
          <w:rFonts w:hint="eastAsia" w:ascii="仿宋" w:hAnsi="仿宋" w:eastAsia="仿宋" w:cs="仿宋"/>
          <w:b/>
          <w:color w:val="auto"/>
          <w:kern w:val="0"/>
          <w:sz w:val="30"/>
          <w:szCs w:val="30"/>
          <w:highlight w:val="none"/>
        </w:rPr>
        <w:t>、营业执照</w:t>
      </w:r>
    </w:p>
    <w:p w14:paraId="7FA63EEE">
      <w:pPr>
        <w:snapToGrid w:val="0"/>
        <w:spacing w:before="156" w:after="50" w:line="46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执照(或事业法人登记证或其他工商等登记证明材料)复印件、税务登记证（或其它缴纳证明材料）复印件、社保登记证（或其它缴纳证明材料）复印件；实施“五证合一、一照一码”登记制度改革的，只需提供改革后取得的营业执照复印件；</w:t>
      </w:r>
    </w:p>
    <w:p w14:paraId="7FBB3F82">
      <w:pPr>
        <w:snapToGrid w:val="0"/>
        <w:spacing w:before="156" w:after="50" w:line="460" w:lineRule="exact"/>
        <w:ind w:firstLine="560"/>
        <w:jc w:val="center"/>
        <w:rPr>
          <w:rFonts w:ascii="仿宋" w:hAnsi="仿宋" w:eastAsia="仿宋" w:cs="仿宋"/>
          <w:b/>
          <w:bCs/>
          <w:color w:val="auto"/>
          <w:sz w:val="28"/>
          <w:szCs w:val="28"/>
          <w:highlight w:val="none"/>
        </w:rPr>
      </w:pPr>
    </w:p>
    <w:p w14:paraId="3A9F86B5">
      <w:pPr>
        <w:pStyle w:val="51"/>
        <w:snapToGrid w:val="0"/>
        <w:spacing w:before="156" w:line="360" w:lineRule="auto"/>
        <w:rPr>
          <w:rFonts w:ascii="仿宋" w:hAnsi="仿宋" w:eastAsia="仿宋" w:cs="仿宋"/>
          <w:color w:val="auto"/>
          <w:szCs w:val="24"/>
          <w:highlight w:val="none"/>
        </w:rPr>
      </w:pPr>
    </w:p>
    <w:p w14:paraId="68FBA4A4">
      <w:pPr>
        <w:pStyle w:val="51"/>
        <w:snapToGrid w:val="0"/>
        <w:spacing w:before="156" w:line="360" w:lineRule="auto"/>
        <w:rPr>
          <w:rFonts w:ascii="仿宋" w:hAnsi="仿宋" w:eastAsia="仿宋" w:cs="仿宋"/>
          <w:color w:val="auto"/>
          <w:szCs w:val="24"/>
          <w:highlight w:val="none"/>
        </w:rPr>
      </w:pPr>
    </w:p>
    <w:p w14:paraId="04413131">
      <w:pPr>
        <w:pStyle w:val="51"/>
        <w:snapToGrid w:val="0"/>
        <w:spacing w:before="156" w:line="360" w:lineRule="auto"/>
        <w:rPr>
          <w:rFonts w:ascii="仿宋" w:hAnsi="仿宋" w:eastAsia="仿宋" w:cs="仿宋"/>
          <w:color w:val="auto"/>
          <w:szCs w:val="24"/>
          <w:highlight w:val="none"/>
        </w:rPr>
      </w:pPr>
    </w:p>
    <w:p w14:paraId="7D14185D">
      <w:pPr>
        <w:pStyle w:val="51"/>
        <w:snapToGrid w:val="0"/>
        <w:spacing w:before="156" w:line="360" w:lineRule="auto"/>
        <w:rPr>
          <w:rFonts w:ascii="仿宋" w:hAnsi="仿宋" w:eastAsia="仿宋" w:cs="仿宋"/>
          <w:color w:val="auto"/>
          <w:szCs w:val="24"/>
          <w:highlight w:val="none"/>
        </w:rPr>
      </w:pPr>
      <w:r>
        <w:rPr>
          <w:rFonts w:hint="eastAsia" w:ascii="仿宋" w:hAnsi="仿宋" w:eastAsia="仿宋" w:cs="仿宋"/>
          <w:color w:val="auto"/>
          <w:szCs w:val="24"/>
          <w:highlight w:val="none"/>
        </w:rPr>
        <w:t>投标人全称（</w:t>
      </w:r>
      <w:r>
        <w:rPr>
          <w:rFonts w:hint="eastAsia" w:ascii="仿宋" w:hAnsi="仿宋" w:eastAsia="仿宋" w:cs="仿宋"/>
          <w:color w:val="auto"/>
          <w:kern w:val="0"/>
          <w:highlight w:val="none"/>
          <w:lang w:val="zh-CN"/>
        </w:rPr>
        <w:t>电子签章</w:t>
      </w:r>
      <w:r>
        <w:rPr>
          <w:rFonts w:hint="eastAsia" w:ascii="仿宋" w:hAnsi="仿宋" w:eastAsia="仿宋" w:cs="仿宋"/>
          <w:color w:val="auto"/>
          <w:szCs w:val="24"/>
          <w:highlight w:val="none"/>
        </w:rPr>
        <w:t>）：</w:t>
      </w:r>
      <w:r>
        <w:rPr>
          <w:rFonts w:hint="eastAsia" w:ascii="仿宋" w:hAnsi="仿宋" w:eastAsia="仿宋" w:cs="仿宋"/>
          <w:color w:val="auto"/>
          <w:szCs w:val="24"/>
          <w:highlight w:val="none"/>
          <w:u w:val="single"/>
        </w:rPr>
        <w:t xml:space="preserve">                      </w:t>
      </w:r>
    </w:p>
    <w:p w14:paraId="47EBCF4A">
      <w:pPr>
        <w:snapToGrid w:val="0"/>
        <w:spacing w:before="156" w:after="50" w:line="460" w:lineRule="exact"/>
        <w:rPr>
          <w:rFonts w:ascii="仿宋" w:hAnsi="仿宋" w:eastAsia="仿宋" w:cs="仿宋"/>
          <w:color w:val="auto"/>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年     月     日</w:t>
      </w:r>
    </w:p>
    <w:p w14:paraId="728B1508">
      <w:pPr>
        <w:spacing w:before="156"/>
        <w:rPr>
          <w:rFonts w:ascii="仿宋" w:hAnsi="仿宋" w:eastAsia="仿宋" w:cs="仿宋"/>
          <w:color w:val="auto"/>
          <w:highlight w:val="none"/>
        </w:rPr>
      </w:pPr>
    </w:p>
    <w:p w14:paraId="64B60DBA">
      <w:pPr>
        <w:widowControl/>
        <w:ind w:firstLine="643"/>
        <w:jc w:val="left"/>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41AF9244">
      <w:pPr>
        <w:snapToGrid w:val="0"/>
        <w:spacing w:before="156" w:after="50" w:line="460" w:lineRule="exact"/>
        <w:ind w:firstLine="643"/>
        <w:jc w:val="center"/>
        <w:outlineLvl w:val="1"/>
        <w:rPr>
          <w:rFonts w:hint="eastAsia" w:ascii="仿宋" w:hAnsi="仿宋" w:eastAsia="仿宋" w:cs="仿宋"/>
          <w:b/>
          <w:color w:val="auto"/>
          <w:sz w:val="32"/>
          <w:szCs w:val="32"/>
          <w:highlight w:val="none"/>
        </w:rPr>
      </w:pPr>
    </w:p>
    <w:p w14:paraId="434FDF3A">
      <w:pPr>
        <w:snapToGrid w:val="0"/>
        <w:spacing w:line="460" w:lineRule="exact"/>
        <w:jc w:val="center"/>
        <w:rPr>
          <w:rFonts w:hint="eastAsia" w:ascii="仿宋" w:hAnsi="仿宋" w:eastAsia="仿宋" w:cs="仿宋"/>
          <w:b/>
          <w:color w:val="auto"/>
          <w:sz w:val="32"/>
          <w:szCs w:val="32"/>
          <w:highlight w:val="none"/>
          <w:lang w:val="en-US" w:eastAsia="zh-CN"/>
        </w:rPr>
      </w:pPr>
      <w:r>
        <w:rPr>
          <w:rFonts w:hint="eastAsia" w:ascii="仿宋" w:hAnsi="仿宋" w:eastAsia="仿宋" w:cs="仿宋"/>
          <w:b/>
          <w:color w:val="auto"/>
          <w:sz w:val="32"/>
          <w:szCs w:val="32"/>
          <w:highlight w:val="none"/>
          <w:lang w:val="en-US" w:eastAsia="zh-CN"/>
        </w:rPr>
        <w:t>三、授权委托书</w:t>
      </w:r>
    </w:p>
    <w:p w14:paraId="34C2B2E8">
      <w:pPr>
        <w:adjustRightInd w:val="0"/>
        <w:snapToGrid w:val="0"/>
        <w:spacing w:line="360" w:lineRule="auto"/>
        <w:rPr>
          <w:rFonts w:hint="eastAsia" w:ascii="仿宋" w:hAnsi="仿宋" w:eastAsia="仿宋" w:cs="仿宋"/>
          <w:color w:val="auto"/>
          <w:sz w:val="24"/>
          <w:highlight w:val="none"/>
          <w:u w:val="single"/>
        </w:rPr>
      </w:pPr>
    </w:p>
    <w:p w14:paraId="0B978BB6">
      <w:pPr>
        <w:adjustRightInd w:val="0"/>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u w:val="single"/>
        </w:rPr>
        <w:t>（采购人）、（采购代理机构）</w:t>
      </w:r>
      <w:r>
        <w:rPr>
          <w:rFonts w:hint="eastAsia" w:ascii="仿宋" w:hAnsi="仿宋" w:eastAsia="仿宋" w:cs="仿宋"/>
          <w:color w:val="auto"/>
          <w:kern w:val="0"/>
          <w:sz w:val="24"/>
          <w:highlight w:val="none"/>
          <w:lang w:val="zh-CN"/>
        </w:rPr>
        <w:t>：</w:t>
      </w:r>
    </w:p>
    <w:p w14:paraId="67B939A1">
      <w:pPr>
        <w:adjustRightInd w:val="0"/>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兹委派我公司</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先生/女士(身份证号码：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rPr>
        <w:t>号码</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，其在本公司的职务是：</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)，代表我公司全权处理</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项目(编号：</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 xml:space="preserve"> )采购</w:t>
      </w:r>
      <w:r>
        <w:rPr>
          <w:rFonts w:hint="eastAsia" w:ascii="仿宋" w:hAnsi="仿宋" w:eastAsia="仿宋" w:cs="仿宋"/>
          <w:color w:val="auto"/>
          <w:kern w:val="0"/>
          <w:sz w:val="24"/>
          <w:highlight w:val="none"/>
        </w:rPr>
        <w:t>投标</w:t>
      </w:r>
      <w:r>
        <w:rPr>
          <w:rFonts w:hint="eastAsia" w:ascii="仿宋" w:hAnsi="仿宋" w:eastAsia="仿宋" w:cs="仿宋"/>
          <w:color w:val="auto"/>
          <w:kern w:val="0"/>
          <w:sz w:val="24"/>
          <w:highlight w:val="none"/>
          <w:lang w:val="zh-CN"/>
        </w:rPr>
        <w:t>的一切事项，若中标则全权代表本公司签订相关合同，并负责处理合同履行等事宜，其法律后果由我方承担。</w:t>
      </w:r>
    </w:p>
    <w:p w14:paraId="4A38138A">
      <w:pPr>
        <w:adjustRightInd w:val="0"/>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本委托书有效期：自   年 月  日起至    年  月  日止。</w:t>
      </w:r>
    </w:p>
    <w:p w14:paraId="689B2444">
      <w:pPr>
        <w:adjustRightInd w:val="0"/>
        <w:snapToGrid w:val="0"/>
        <w:spacing w:line="360" w:lineRule="auto"/>
        <w:ind w:firstLine="48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特此告知。</w:t>
      </w:r>
    </w:p>
    <w:p w14:paraId="7828496C">
      <w:pPr>
        <w:spacing w:line="500" w:lineRule="exact"/>
        <w:rPr>
          <w:rFonts w:hint="eastAsia" w:ascii="仿宋" w:hAnsi="仿宋" w:eastAsia="仿宋" w:cs="仿宋"/>
          <w:color w:val="auto"/>
          <w:sz w:val="24"/>
          <w:highlight w:val="none"/>
        </w:rPr>
      </w:pPr>
    </w:p>
    <w:p w14:paraId="2FBB23D9">
      <w:pPr>
        <w:adjustRightInd w:val="0"/>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投标</w:t>
      </w:r>
      <w:r>
        <w:rPr>
          <w:rFonts w:hint="eastAsia" w:ascii="仿宋" w:hAnsi="仿宋" w:eastAsia="仿宋" w:cs="仿宋"/>
          <w:color w:val="auto"/>
          <w:sz w:val="24"/>
          <w:highlight w:val="none"/>
        </w:rPr>
        <w:t>人</w:t>
      </w:r>
      <w:r>
        <w:rPr>
          <w:rFonts w:hint="eastAsia" w:ascii="仿宋" w:hAnsi="仿宋" w:eastAsia="仿宋" w:cs="仿宋"/>
          <w:color w:val="auto"/>
          <w:kern w:val="0"/>
          <w:sz w:val="24"/>
          <w:highlight w:val="none"/>
          <w:lang w:val="zh-CN"/>
        </w:rPr>
        <w:t>名称(电子签名)：</w:t>
      </w:r>
    </w:p>
    <w:p w14:paraId="48309175">
      <w:pPr>
        <w:adjustRightInd w:val="0"/>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法定代表人(签字或盖章)：</w:t>
      </w:r>
    </w:p>
    <w:p w14:paraId="5F38A9BE">
      <w:pPr>
        <w:wordWrap w:val="0"/>
        <w:adjustRightInd w:val="0"/>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签发日期：  年  月   日</w:t>
      </w:r>
    </w:p>
    <w:p w14:paraId="29D60780">
      <w:pPr>
        <w:adjustRightInd w:val="0"/>
        <w:snapToGrid w:val="0"/>
        <w:spacing w:line="500" w:lineRule="exac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附身份证扫描件</w:t>
      </w:r>
    </w:p>
    <w:p w14:paraId="705A1BC1">
      <w:pPr>
        <w:snapToGrid w:val="0"/>
        <w:spacing w:line="460" w:lineRule="exact"/>
        <w:jc w:val="center"/>
        <w:rPr>
          <w:rFonts w:hint="eastAsia" w:ascii="仿宋" w:hAnsi="仿宋" w:eastAsia="仿宋" w:cs="仿宋"/>
          <w:b/>
          <w:color w:val="auto"/>
          <w:kern w:val="0"/>
          <w:sz w:val="32"/>
          <w:szCs w:val="32"/>
          <w:highlight w:val="none"/>
        </w:rPr>
      </w:pPr>
    </w:p>
    <w:p w14:paraId="2434C02B">
      <w:pPr>
        <w:adjustRightInd w:val="0"/>
        <w:snapToGrid w:val="0"/>
        <w:spacing w:line="500" w:lineRule="exact"/>
        <w:rPr>
          <w:rFonts w:ascii="仿宋" w:hAnsi="仿宋" w:eastAsia="仿宋" w:cs="仿宋"/>
          <w:b/>
          <w:color w:val="auto"/>
          <w:sz w:val="32"/>
          <w:szCs w:val="32"/>
          <w:highlight w:val="none"/>
        </w:rPr>
      </w:pPr>
      <w:r>
        <w:rPr>
          <w:rFonts w:hint="eastAsia" w:ascii="仿宋" w:hAnsi="仿宋" w:eastAsia="仿宋" w:cs="仿宋"/>
          <w:b/>
          <w:bCs/>
          <w:color w:val="auto"/>
          <w:sz w:val="24"/>
          <w:szCs w:val="24"/>
          <w:highlight w:val="none"/>
          <w:u w:val="single"/>
        </w:rPr>
        <w:t>▲投标文件中法定代表人授权委托书所载内容与本项目内容有异的，投标无效。</w:t>
      </w:r>
      <w:r>
        <w:rPr>
          <w:rFonts w:hint="eastAsia" w:ascii="仿宋" w:hAnsi="仿宋" w:eastAsia="仿宋" w:cs="仿宋"/>
          <w:color w:val="auto"/>
          <w:sz w:val="24"/>
          <w:szCs w:val="24"/>
          <w:highlight w:val="none"/>
          <w:u w:val="single"/>
        </w:rPr>
        <w:br w:type="page"/>
      </w:r>
    </w:p>
    <w:p w14:paraId="52E1E0CD">
      <w:pPr>
        <w:snapToGrid w:val="0"/>
        <w:spacing w:before="156" w:after="50" w:line="460" w:lineRule="exact"/>
        <w:ind w:firstLine="643"/>
        <w:jc w:val="center"/>
        <w:outlineLvl w:val="1"/>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lang w:val="en-US" w:eastAsia="zh-CN"/>
        </w:rPr>
        <w:t>四</w:t>
      </w:r>
      <w:r>
        <w:rPr>
          <w:rFonts w:hint="eastAsia" w:ascii="仿宋" w:hAnsi="仿宋" w:eastAsia="仿宋" w:cs="仿宋"/>
          <w:b/>
          <w:color w:val="auto"/>
          <w:sz w:val="32"/>
          <w:szCs w:val="32"/>
          <w:highlight w:val="none"/>
        </w:rPr>
        <w:t>、符合参与项目采购活动的资格条件并且没有税收缴纳、社会保障等方面的失信记录的承诺函</w:t>
      </w:r>
    </w:p>
    <w:p w14:paraId="45C843D4">
      <w:pPr>
        <w:snapToGrid w:val="0"/>
        <w:spacing w:before="156" w:line="360" w:lineRule="auto"/>
        <w:rPr>
          <w:rFonts w:ascii="仿宋" w:hAnsi="仿宋" w:eastAsia="仿宋" w:cs="仿宋"/>
          <w:color w:val="auto"/>
          <w:sz w:val="24"/>
          <w:szCs w:val="24"/>
          <w:highlight w:val="none"/>
        </w:rPr>
      </w:pPr>
    </w:p>
    <w:p w14:paraId="002C9C1A">
      <w:pPr>
        <w:snapToGrid w:val="0"/>
        <w:spacing w:before="156"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采购人名称：</w:t>
      </w:r>
    </w:p>
    <w:p w14:paraId="225A3238">
      <w:pPr>
        <w:snapToGrid w:val="0"/>
        <w:spacing w:before="156" w:line="360" w:lineRule="auto"/>
        <w:ind w:firstLine="482"/>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我方郑重承诺，我方符合参与</w:t>
      </w:r>
      <w:r>
        <w:rPr>
          <w:rFonts w:hint="eastAsia" w:ascii="仿宋" w:hAnsi="仿宋" w:eastAsia="仿宋" w:cs="仿宋"/>
          <w:color w:val="auto"/>
          <w:sz w:val="24"/>
          <w:highlight w:val="none"/>
          <w:u w:val="single"/>
        </w:rPr>
        <w:t xml:space="preserve">                 项目名称</w:t>
      </w:r>
      <w:r>
        <w:rPr>
          <w:rFonts w:hint="eastAsia" w:ascii="仿宋" w:hAnsi="仿宋" w:eastAsia="仿宋" w:cs="仿宋"/>
          <w:color w:val="auto"/>
          <w:sz w:val="24"/>
          <w:szCs w:val="24"/>
          <w:highlight w:val="none"/>
          <w:u w:val="single"/>
        </w:rPr>
        <w:t>（项目编号：              ）</w:t>
      </w:r>
      <w:r>
        <w:rPr>
          <w:rFonts w:hint="eastAsia" w:ascii="仿宋" w:hAnsi="仿宋" w:eastAsia="仿宋" w:cs="仿宋"/>
          <w:color w:val="auto"/>
          <w:sz w:val="24"/>
          <w:szCs w:val="24"/>
          <w:highlight w:val="none"/>
        </w:rPr>
        <w:t>采购活动的资格条件并且没有税收缴纳、社会保障等方面的失信记录。</w:t>
      </w:r>
    </w:p>
    <w:p w14:paraId="17E7601E">
      <w:pPr>
        <w:pStyle w:val="51"/>
        <w:snapToGrid w:val="0"/>
        <w:spacing w:before="156" w:line="360" w:lineRule="auto"/>
        <w:rPr>
          <w:rFonts w:ascii="仿宋" w:hAnsi="仿宋" w:eastAsia="仿宋" w:cs="仿宋"/>
          <w:color w:val="auto"/>
          <w:szCs w:val="24"/>
          <w:highlight w:val="none"/>
        </w:rPr>
      </w:pPr>
    </w:p>
    <w:p w14:paraId="58ABC966">
      <w:pPr>
        <w:pStyle w:val="51"/>
        <w:snapToGrid w:val="0"/>
        <w:spacing w:before="156" w:line="360" w:lineRule="auto"/>
        <w:rPr>
          <w:rFonts w:ascii="仿宋" w:hAnsi="仿宋" w:eastAsia="仿宋" w:cs="仿宋"/>
          <w:color w:val="auto"/>
          <w:szCs w:val="24"/>
          <w:highlight w:val="none"/>
        </w:rPr>
      </w:pPr>
    </w:p>
    <w:p w14:paraId="3FEB98D0">
      <w:pPr>
        <w:pStyle w:val="51"/>
        <w:snapToGrid w:val="0"/>
        <w:spacing w:before="156" w:line="360" w:lineRule="auto"/>
        <w:rPr>
          <w:rFonts w:ascii="仿宋" w:hAnsi="仿宋" w:eastAsia="仿宋" w:cs="仿宋"/>
          <w:color w:val="auto"/>
          <w:szCs w:val="24"/>
          <w:highlight w:val="none"/>
        </w:rPr>
      </w:pPr>
    </w:p>
    <w:p w14:paraId="34616541">
      <w:pPr>
        <w:pStyle w:val="51"/>
        <w:snapToGrid w:val="0"/>
        <w:spacing w:before="156" w:line="360" w:lineRule="auto"/>
        <w:rPr>
          <w:rFonts w:ascii="仿宋" w:hAnsi="仿宋" w:eastAsia="仿宋" w:cs="仿宋"/>
          <w:color w:val="auto"/>
          <w:szCs w:val="24"/>
          <w:highlight w:val="none"/>
        </w:rPr>
      </w:pPr>
      <w:r>
        <w:rPr>
          <w:rFonts w:hint="eastAsia" w:ascii="仿宋" w:hAnsi="仿宋" w:eastAsia="仿宋" w:cs="仿宋"/>
          <w:color w:val="auto"/>
          <w:szCs w:val="24"/>
          <w:highlight w:val="none"/>
        </w:rPr>
        <w:t>投标人全称（</w:t>
      </w:r>
      <w:r>
        <w:rPr>
          <w:rFonts w:hint="eastAsia" w:ascii="仿宋" w:hAnsi="仿宋" w:eastAsia="仿宋" w:cs="仿宋"/>
          <w:color w:val="auto"/>
          <w:kern w:val="0"/>
          <w:highlight w:val="none"/>
          <w:lang w:val="zh-CN"/>
        </w:rPr>
        <w:t>电子签章</w:t>
      </w:r>
      <w:r>
        <w:rPr>
          <w:rFonts w:hint="eastAsia" w:ascii="仿宋" w:hAnsi="仿宋" w:eastAsia="仿宋" w:cs="仿宋"/>
          <w:color w:val="auto"/>
          <w:szCs w:val="24"/>
          <w:highlight w:val="none"/>
        </w:rPr>
        <w:t>）：</w:t>
      </w:r>
      <w:r>
        <w:rPr>
          <w:rFonts w:hint="eastAsia" w:ascii="仿宋" w:hAnsi="仿宋" w:eastAsia="仿宋" w:cs="仿宋"/>
          <w:color w:val="auto"/>
          <w:szCs w:val="24"/>
          <w:highlight w:val="none"/>
          <w:u w:val="single"/>
        </w:rPr>
        <w:t xml:space="preserve">                      </w:t>
      </w:r>
    </w:p>
    <w:p w14:paraId="5DD330E3">
      <w:pPr>
        <w:snapToGrid w:val="0"/>
        <w:spacing w:before="156" w:line="480" w:lineRule="exact"/>
        <w:ind w:right="6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法定代表人或授权代表（签名或签章）：</w:t>
      </w:r>
      <w:r>
        <w:rPr>
          <w:rFonts w:hint="eastAsia" w:ascii="仿宋" w:hAnsi="仿宋" w:eastAsia="仿宋" w:cs="仿宋"/>
          <w:color w:val="auto"/>
          <w:sz w:val="24"/>
          <w:szCs w:val="24"/>
          <w:highlight w:val="none"/>
          <w:u w:val="single"/>
        </w:rPr>
        <w:t xml:space="preserve">            </w:t>
      </w:r>
    </w:p>
    <w:p w14:paraId="50106236">
      <w:pPr>
        <w:snapToGrid w:val="0"/>
        <w:spacing w:before="156" w:after="50" w:line="460" w:lineRule="exact"/>
        <w:rPr>
          <w:rFonts w:ascii="仿宋" w:hAnsi="仿宋" w:eastAsia="仿宋" w:cs="仿宋"/>
          <w:b/>
          <w:color w:val="auto"/>
          <w:sz w:val="32"/>
          <w:szCs w:val="32"/>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年     月     日</w:t>
      </w:r>
    </w:p>
    <w:p w14:paraId="3EB8EAEA">
      <w:pPr>
        <w:spacing w:before="156" w:line="360" w:lineRule="auto"/>
        <w:ind w:firstLine="640"/>
        <w:jc w:val="center"/>
        <w:rPr>
          <w:rFonts w:ascii="仿宋" w:hAnsi="仿宋" w:eastAsia="仿宋" w:cs="仿宋"/>
          <w:b/>
          <w:color w:val="auto"/>
          <w:sz w:val="32"/>
          <w:szCs w:val="32"/>
          <w:highlight w:val="none"/>
        </w:rPr>
      </w:pPr>
    </w:p>
    <w:p w14:paraId="35768A5D">
      <w:pPr>
        <w:spacing w:before="156"/>
        <w:ind w:firstLine="640"/>
        <w:rPr>
          <w:rFonts w:ascii="仿宋" w:hAnsi="仿宋" w:eastAsia="仿宋" w:cs="仿宋"/>
          <w:b/>
          <w:color w:val="auto"/>
          <w:sz w:val="32"/>
          <w:szCs w:val="32"/>
          <w:highlight w:val="none"/>
        </w:rPr>
      </w:pPr>
    </w:p>
    <w:p w14:paraId="03784322">
      <w:pPr>
        <w:snapToGrid w:val="0"/>
        <w:spacing w:before="156" w:line="360" w:lineRule="auto"/>
        <w:ind w:firstLine="482" w:firstLineChars="200"/>
        <w:rPr>
          <w:rFonts w:ascii="仿宋" w:hAnsi="仿宋" w:eastAsia="仿宋" w:cs="仿宋"/>
          <w:color w:val="auto"/>
          <w:szCs w:val="24"/>
          <w:highlight w:val="none"/>
        </w:rPr>
      </w:pPr>
      <w:r>
        <w:rPr>
          <w:rFonts w:hint="eastAsia" w:ascii="仿宋" w:hAnsi="仿宋" w:eastAsia="仿宋" w:cs="仿宋"/>
          <w:b/>
          <w:bCs/>
          <w:color w:val="auto"/>
          <w:sz w:val="24"/>
          <w:highlight w:val="none"/>
        </w:rPr>
        <w:t>▲</w:t>
      </w:r>
      <w:r>
        <w:rPr>
          <w:rFonts w:hint="eastAsia" w:ascii="仿宋" w:hAnsi="仿宋" w:eastAsia="仿宋" w:cs="仿宋"/>
          <w:color w:val="auto"/>
          <w:sz w:val="24"/>
          <w:szCs w:val="24"/>
          <w:highlight w:val="none"/>
          <w:lang w:val="zh-CN"/>
        </w:rPr>
        <w:t>投标人若有</w:t>
      </w:r>
      <w:r>
        <w:rPr>
          <w:rFonts w:hint="eastAsia" w:ascii="仿宋" w:hAnsi="仿宋" w:eastAsia="仿宋" w:cs="仿宋"/>
          <w:color w:val="auto"/>
          <w:sz w:val="24"/>
          <w:szCs w:val="24"/>
          <w:highlight w:val="none"/>
        </w:rPr>
        <w:t>税收缴纳、社会保障等方面的失信记录等情况，且不属于截止投标时间近三年以来，在经营活动中有重大违法记录及被列入政府采购严重违法失信行为记录名单的，可不出具该承诺函，但须详细说明失信记录的情况，否则按无效标处理。</w:t>
      </w:r>
    </w:p>
    <w:p w14:paraId="0D9DF261">
      <w:pPr>
        <w:pStyle w:val="51"/>
        <w:snapToGrid w:val="0"/>
        <w:spacing w:before="156" w:line="360" w:lineRule="auto"/>
        <w:ind w:firstLine="640"/>
        <w:rPr>
          <w:rFonts w:ascii="仿宋" w:hAnsi="仿宋" w:eastAsia="仿宋" w:cs="仿宋"/>
          <w:b/>
          <w:color w:val="auto"/>
          <w:sz w:val="32"/>
          <w:szCs w:val="32"/>
          <w:highlight w:val="none"/>
        </w:rPr>
      </w:pPr>
    </w:p>
    <w:p w14:paraId="2B87C2BA">
      <w:pPr>
        <w:spacing w:before="156"/>
        <w:ind w:firstLine="640"/>
        <w:jc w:val="center"/>
        <w:rPr>
          <w:rFonts w:ascii="仿宋" w:hAnsi="仿宋" w:eastAsia="仿宋" w:cs="仿宋"/>
          <w:b/>
          <w:color w:val="auto"/>
          <w:sz w:val="32"/>
          <w:szCs w:val="32"/>
          <w:highlight w:val="none"/>
        </w:rPr>
      </w:pPr>
    </w:p>
    <w:p w14:paraId="37F72BC5">
      <w:pPr>
        <w:spacing w:before="156"/>
        <w:ind w:firstLine="640"/>
        <w:jc w:val="center"/>
        <w:rPr>
          <w:rFonts w:ascii="仿宋" w:hAnsi="仿宋" w:eastAsia="仿宋" w:cs="仿宋"/>
          <w:b/>
          <w:color w:val="auto"/>
          <w:sz w:val="32"/>
          <w:szCs w:val="32"/>
          <w:highlight w:val="none"/>
        </w:rPr>
      </w:pPr>
    </w:p>
    <w:p w14:paraId="0CC3778E">
      <w:pPr>
        <w:spacing w:before="156"/>
        <w:ind w:firstLine="640"/>
        <w:jc w:val="center"/>
        <w:rPr>
          <w:rFonts w:ascii="仿宋" w:hAnsi="仿宋" w:eastAsia="仿宋" w:cs="仿宋"/>
          <w:b/>
          <w:color w:val="auto"/>
          <w:sz w:val="32"/>
          <w:szCs w:val="32"/>
          <w:highlight w:val="none"/>
        </w:rPr>
      </w:pPr>
    </w:p>
    <w:p w14:paraId="2929F03D">
      <w:pPr>
        <w:numPr>
          <w:ilvl w:val="0"/>
          <w:numId w:val="0"/>
        </w:numPr>
        <w:snapToGrid w:val="0"/>
        <w:spacing w:before="156" w:after="50" w:line="460" w:lineRule="exact"/>
        <w:jc w:val="both"/>
        <w:outlineLvl w:val="1"/>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lang w:val="en-US" w:eastAsia="zh-CN"/>
        </w:rPr>
        <w:t>五、</w:t>
      </w:r>
      <w:r>
        <w:rPr>
          <w:rFonts w:hint="eastAsia" w:ascii="仿宋" w:hAnsi="仿宋" w:eastAsia="仿宋" w:cs="仿宋"/>
          <w:b/>
          <w:color w:val="auto"/>
          <w:sz w:val="32"/>
          <w:szCs w:val="32"/>
          <w:highlight w:val="none"/>
        </w:rPr>
        <w:t>参加项目采购活动前三年内，在经营活动中没有重大违法记录的声明</w:t>
      </w:r>
    </w:p>
    <w:p w14:paraId="7E9F835F">
      <w:pPr>
        <w:snapToGrid w:val="0"/>
        <w:spacing w:before="156" w:line="500" w:lineRule="exact"/>
        <w:rPr>
          <w:rFonts w:ascii="仿宋" w:hAnsi="仿宋" w:eastAsia="仿宋" w:cs="仿宋"/>
          <w:color w:val="auto"/>
          <w:sz w:val="24"/>
          <w:highlight w:val="none"/>
        </w:rPr>
      </w:pPr>
    </w:p>
    <w:p w14:paraId="1CCBD774">
      <w:pPr>
        <w:snapToGrid w:val="0"/>
        <w:spacing w:before="156" w:line="480" w:lineRule="exact"/>
        <w:rPr>
          <w:rFonts w:ascii="仿宋" w:hAnsi="仿宋" w:eastAsia="仿宋" w:cs="仿宋"/>
          <w:color w:val="auto"/>
          <w:sz w:val="24"/>
          <w:highlight w:val="none"/>
        </w:rPr>
      </w:pPr>
      <w:r>
        <w:rPr>
          <w:rFonts w:hint="eastAsia" w:ascii="仿宋" w:hAnsi="仿宋" w:eastAsia="仿宋" w:cs="仿宋"/>
          <w:color w:val="auto"/>
          <w:sz w:val="24"/>
          <w:highlight w:val="none"/>
        </w:rPr>
        <w:t>采购人名称：</w:t>
      </w:r>
    </w:p>
    <w:p w14:paraId="69E5C5AD">
      <w:pPr>
        <w:spacing w:before="156" w:line="480" w:lineRule="exact"/>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我公司</w:t>
      </w:r>
      <w:r>
        <w:rPr>
          <w:rFonts w:hint="eastAsia" w:ascii="仿宋" w:hAnsi="仿宋" w:eastAsia="仿宋" w:cs="仿宋"/>
          <w:color w:val="auto"/>
          <w:sz w:val="24"/>
          <w:highlight w:val="none"/>
        </w:rPr>
        <w:t>声明截止投标时间近三年以来，在</w:t>
      </w:r>
      <w:r>
        <w:rPr>
          <w:rFonts w:hint="eastAsia" w:ascii="仿宋" w:hAnsi="仿宋" w:eastAsia="仿宋" w:cs="仿宋"/>
          <w:color w:val="auto"/>
          <w:kern w:val="0"/>
          <w:sz w:val="24"/>
          <w:highlight w:val="none"/>
        </w:rPr>
        <w:t>经营活动中</w:t>
      </w:r>
      <w:r>
        <w:rPr>
          <w:rFonts w:hint="eastAsia" w:ascii="仿宋" w:hAnsi="仿宋" w:eastAsia="仿宋" w:cs="仿宋"/>
          <w:color w:val="auto"/>
          <w:sz w:val="24"/>
          <w:highlight w:val="none"/>
        </w:rPr>
        <w:t>没有重大违法记录；也没有列入严重违法失信行为记录名单。</w:t>
      </w:r>
    </w:p>
    <w:p w14:paraId="241DC261">
      <w:pPr>
        <w:spacing w:before="156" w:line="48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以上事项如有虚假或隐瞒，我方愿意承担一切后果，并不再寻求任何旨在减轻或免除法律责任的辩解。 </w:t>
      </w:r>
    </w:p>
    <w:p w14:paraId="2A7AB02A">
      <w:pPr>
        <w:pStyle w:val="51"/>
        <w:snapToGrid w:val="0"/>
        <w:spacing w:before="156" w:line="480" w:lineRule="exact"/>
        <w:rPr>
          <w:rFonts w:ascii="仿宋" w:hAnsi="仿宋" w:eastAsia="仿宋" w:cs="仿宋"/>
          <w:color w:val="auto"/>
          <w:kern w:val="0"/>
          <w:highlight w:val="none"/>
          <w:lang w:val="zh-CN"/>
        </w:rPr>
      </w:pPr>
    </w:p>
    <w:p w14:paraId="7AEC8596">
      <w:pPr>
        <w:pStyle w:val="51"/>
        <w:snapToGrid w:val="0"/>
        <w:spacing w:before="156" w:line="480" w:lineRule="exact"/>
        <w:rPr>
          <w:rFonts w:ascii="仿宋" w:hAnsi="仿宋" w:eastAsia="仿宋" w:cs="仿宋"/>
          <w:color w:val="auto"/>
          <w:szCs w:val="24"/>
          <w:highlight w:val="none"/>
        </w:rPr>
      </w:pPr>
    </w:p>
    <w:p w14:paraId="4B6EB025">
      <w:pPr>
        <w:pStyle w:val="51"/>
        <w:snapToGrid w:val="0"/>
        <w:spacing w:before="156" w:line="480" w:lineRule="exact"/>
        <w:rPr>
          <w:rFonts w:ascii="仿宋" w:hAnsi="仿宋" w:eastAsia="仿宋" w:cs="仿宋"/>
          <w:color w:val="auto"/>
          <w:szCs w:val="24"/>
          <w:highlight w:val="none"/>
        </w:rPr>
      </w:pPr>
    </w:p>
    <w:p w14:paraId="3178DD68">
      <w:pPr>
        <w:pStyle w:val="51"/>
        <w:snapToGrid w:val="0"/>
        <w:spacing w:before="156" w:line="480" w:lineRule="exact"/>
        <w:rPr>
          <w:rFonts w:ascii="仿宋" w:hAnsi="仿宋" w:eastAsia="仿宋" w:cs="仿宋"/>
          <w:color w:val="auto"/>
          <w:szCs w:val="24"/>
          <w:highlight w:val="none"/>
        </w:rPr>
      </w:pPr>
      <w:r>
        <w:rPr>
          <w:rFonts w:hint="eastAsia" w:ascii="仿宋" w:hAnsi="仿宋" w:eastAsia="仿宋" w:cs="仿宋"/>
          <w:color w:val="auto"/>
          <w:szCs w:val="24"/>
          <w:highlight w:val="none"/>
        </w:rPr>
        <w:t>投标人全称（电子签章）：</w:t>
      </w:r>
      <w:r>
        <w:rPr>
          <w:rFonts w:hint="eastAsia" w:ascii="仿宋" w:hAnsi="仿宋" w:eastAsia="仿宋" w:cs="仿宋"/>
          <w:color w:val="auto"/>
          <w:szCs w:val="24"/>
          <w:highlight w:val="none"/>
          <w:u w:val="single"/>
        </w:rPr>
        <w:t xml:space="preserve">                         </w:t>
      </w:r>
    </w:p>
    <w:p w14:paraId="18BAFCFD">
      <w:pPr>
        <w:snapToGrid w:val="0"/>
        <w:spacing w:before="156" w:line="480" w:lineRule="exact"/>
        <w:ind w:right="6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法定代表人或授权代表（签名或签章）：</w:t>
      </w:r>
      <w:r>
        <w:rPr>
          <w:rFonts w:hint="eastAsia" w:ascii="仿宋" w:hAnsi="仿宋" w:eastAsia="仿宋" w:cs="仿宋"/>
          <w:color w:val="auto"/>
          <w:sz w:val="24"/>
          <w:szCs w:val="24"/>
          <w:highlight w:val="none"/>
          <w:u w:val="single"/>
        </w:rPr>
        <w:t xml:space="preserve">             </w:t>
      </w:r>
    </w:p>
    <w:p w14:paraId="1D065C59">
      <w:pPr>
        <w:snapToGrid w:val="0"/>
        <w:spacing w:before="156" w:after="50" w:line="480" w:lineRule="exact"/>
        <w:rPr>
          <w:rFonts w:ascii="仿宋" w:hAnsi="仿宋" w:eastAsia="仿宋" w:cs="仿宋"/>
          <w:b/>
          <w:color w:val="auto"/>
          <w:sz w:val="32"/>
          <w:szCs w:val="32"/>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年    月    日</w:t>
      </w:r>
    </w:p>
    <w:p w14:paraId="7522971B">
      <w:pPr>
        <w:snapToGrid w:val="0"/>
        <w:spacing w:before="156" w:after="50" w:line="480" w:lineRule="exact"/>
        <w:ind w:firstLine="640"/>
        <w:rPr>
          <w:rFonts w:ascii="仿宋" w:hAnsi="仿宋" w:eastAsia="仿宋" w:cs="仿宋"/>
          <w:b/>
          <w:color w:val="auto"/>
          <w:sz w:val="32"/>
          <w:szCs w:val="32"/>
          <w:highlight w:val="none"/>
        </w:rPr>
        <w:sectPr>
          <w:footerReference r:id="rId6" w:type="default"/>
          <w:pgSz w:w="11906" w:h="16838"/>
          <w:pgMar w:top="1417" w:right="1417" w:bottom="1417" w:left="1417" w:header="454" w:footer="794" w:gutter="0"/>
          <w:pgNumType w:fmt="decimal"/>
          <w:cols w:space="0" w:num="1"/>
          <w:docGrid w:type="lines" w:linePitch="312" w:charSpace="0"/>
        </w:sectPr>
      </w:pPr>
    </w:p>
    <w:p w14:paraId="56F53861">
      <w:pPr>
        <w:snapToGrid w:val="0"/>
        <w:spacing w:before="156" w:after="50" w:line="460" w:lineRule="exact"/>
        <w:ind w:firstLine="643"/>
        <w:jc w:val="center"/>
        <w:outlineLvl w:val="1"/>
        <w:rPr>
          <w:rFonts w:ascii="仿宋" w:hAnsi="仿宋" w:eastAsia="仿宋" w:cs="仿宋"/>
          <w:b/>
          <w:color w:val="auto"/>
          <w:sz w:val="32"/>
          <w:szCs w:val="32"/>
          <w:highlight w:val="none"/>
        </w:rPr>
      </w:pPr>
      <w:bookmarkStart w:id="9" w:name="_Toc523846892"/>
      <w:bookmarkStart w:id="10" w:name="_Toc484964457"/>
      <w:bookmarkStart w:id="11" w:name="_Toc527968403"/>
      <w:bookmarkStart w:id="12" w:name="_Toc523846745"/>
      <w:r>
        <w:rPr>
          <w:rFonts w:hint="eastAsia" w:ascii="仿宋" w:hAnsi="仿宋" w:eastAsia="仿宋" w:cs="仿宋"/>
          <w:b/>
          <w:color w:val="auto"/>
          <w:sz w:val="32"/>
          <w:szCs w:val="32"/>
          <w:highlight w:val="none"/>
          <w:lang w:val="en-US" w:eastAsia="zh-CN"/>
        </w:rPr>
        <w:t>六</w:t>
      </w:r>
      <w:r>
        <w:rPr>
          <w:rFonts w:hint="eastAsia" w:ascii="仿宋" w:hAnsi="仿宋" w:eastAsia="仿宋" w:cs="仿宋"/>
          <w:b/>
          <w:color w:val="auto"/>
          <w:sz w:val="32"/>
          <w:szCs w:val="32"/>
          <w:highlight w:val="none"/>
        </w:rPr>
        <w:t>、投标诚信承诺书</w:t>
      </w:r>
      <w:bookmarkEnd w:id="9"/>
      <w:bookmarkEnd w:id="10"/>
      <w:bookmarkEnd w:id="11"/>
      <w:bookmarkEnd w:id="12"/>
    </w:p>
    <w:p w14:paraId="2409F109">
      <w:pPr>
        <w:spacing w:before="156" w:line="480" w:lineRule="exact"/>
        <w:ind w:firstLine="120" w:firstLineChars="5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rPr>
        <w:t xml:space="preserve"> 采购人名称：</w:t>
      </w:r>
    </w:p>
    <w:p w14:paraId="4C243690">
      <w:pPr>
        <w:spacing w:line="48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我方在参加贵单位组织的</w:t>
      </w:r>
      <w:r>
        <w:rPr>
          <w:rFonts w:hint="eastAsia" w:ascii="仿宋" w:hAnsi="仿宋" w:eastAsia="仿宋" w:cs="仿宋"/>
          <w:color w:val="auto"/>
          <w:sz w:val="24"/>
          <w:szCs w:val="24"/>
          <w:highlight w:val="none"/>
          <w:u w:val="single"/>
        </w:rPr>
        <w:t xml:space="preserve">        项目名称   </w:t>
      </w:r>
      <w:r>
        <w:rPr>
          <w:rFonts w:hint="eastAsia" w:ascii="仿宋" w:hAnsi="仿宋" w:eastAsia="仿宋" w:cs="仿宋"/>
          <w:color w:val="auto"/>
          <w:sz w:val="24"/>
          <w:szCs w:val="24"/>
          <w:highlight w:val="none"/>
        </w:rPr>
        <w:t>的招投标活动中，郑重承诺如下：</w:t>
      </w:r>
    </w:p>
    <w:p w14:paraId="1CFA8B26">
      <w:pPr>
        <w:spacing w:line="48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1、我方本次提供的所有投标有关资料都是真实、准确、完整的；</w:t>
      </w:r>
    </w:p>
    <w:p w14:paraId="38EAB45C">
      <w:pPr>
        <w:spacing w:line="48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2、我方保证不参与串标、围标；</w:t>
      </w:r>
    </w:p>
    <w:p w14:paraId="1CCABE4D">
      <w:pPr>
        <w:spacing w:line="48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3、我方未处于被各级行政主管部门做出停止市场行为处罚的期限内，我方参加本项目招标活动前3年内在经营活动中没有重大违法记录；</w:t>
      </w:r>
    </w:p>
    <w:p w14:paraId="1DE5068D">
      <w:pPr>
        <w:spacing w:line="48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4、我方不是本工程前期准备提供咨询服务的单位；</w:t>
      </w:r>
    </w:p>
    <w:p w14:paraId="2606E3B6">
      <w:pPr>
        <w:spacing w:line="48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5、我方不存在其他法律法规规定的失信行为；</w:t>
      </w:r>
    </w:p>
    <w:p w14:paraId="75A6C9DA">
      <w:pPr>
        <w:spacing w:line="480" w:lineRule="exact"/>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6、若我方中标，将严格按照规定及时与招标人签订合同,并严格按照采购文件要求及投标文件承诺等内容组织实施。决不将中标项目转（让）包给他人或者违规分包给他人；</w:t>
      </w:r>
    </w:p>
    <w:p w14:paraId="1B99E7FD">
      <w:pPr>
        <w:spacing w:line="480" w:lineRule="exact"/>
        <w:ind w:firstLine="482" w:firstLineChars="200"/>
        <w:rPr>
          <w:rFonts w:ascii="仿宋" w:hAnsi="仿宋" w:eastAsia="仿宋" w:cs="仿宋"/>
          <w:color w:val="auto"/>
          <w:sz w:val="24"/>
          <w:szCs w:val="24"/>
          <w:highlight w:val="none"/>
        </w:rPr>
      </w:pPr>
      <w:r>
        <w:rPr>
          <w:rFonts w:hint="eastAsia" w:ascii="仿宋" w:hAnsi="仿宋" w:eastAsia="仿宋" w:cs="仿宋"/>
          <w:b/>
          <w:color w:val="auto"/>
          <w:sz w:val="24"/>
          <w:szCs w:val="24"/>
          <w:highlight w:val="none"/>
        </w:rPr>
        <w:t>7、特别声明：我方若违反上述承诺，隐瞒、提供虚假资料、参与串标围标、无故不签订合同等行为或不按采购文件要求组织实施，被发现或被他人举报查实，无条件接受招标人、监管部门作出的取消投标资格、中标资格、承包合同或不良行为记录等处罚，并自愿停止参与公共资源交易招投标活动六个月。对造成的损失，任何法律和经济责任完全由我方负责。</w:t>
      </w:r>
    </w:p>
    <w:p w14:paraId="444C70FC">
      <w:pPr>
        <w:pStyle w:val="51"/>
        <w:snapToGrid w:val="0"/>
        <w:spacing w:before="156" w:line="480" w:lineRule="exact"/>
        <w:rPr>
          <w:rFonts w:ascii="仿宋" w:hAnsi="仿宋" w:eastAsia="仿宋" w:cs="仿宋"/>
          <w:color w:val="auto"/>
          <w:szCs w:val="24"/>
          <w:highlight w:val="none"/>
        </w:rPr>
      </w:pPr>
      <w:r>
        <w:rPr>
          <w:rFonts w:hint="eastAsia" w:ascii="仿宋" w:hAnsi="仿宋" w:eastAsia="仿宋" w:cs="仿宋"/>
          <w:color w:val="auto"/>
          <w:szCs w:val="24"/>
          <w:highlight w:val="none"/>
        </w:rPr>
        <w:t>特此承诺。</w:t>
      </w:r>
    </w:p>
    <w:p w14:paraId="0C7F9365">
      <w:pPr>
        <w:pStyle w:val="51"/>
        <w:snapToGrid w:val="0"/>
        <w:spacing w:before="156" w:line="480" w:lineRule="exact"/>
        <w:rPr>
          <w:rFonts w:ascii="仿宋" w:hAnsi="仿宋" w:eastAsia="仿宋" w:cs="仿宋"/>
          <w:color w:val="auto"/>
          <w:szCs w:val="24"/>
          <w:highlight w:val="none"/>
        </w:rPr>
      </w:pPr>
    </w:p>
    <w:p w14:paraId="38885720">
      <w:pPr>
        <w:pStyle w:val="51"/>
        <w:snapToGrid w:val="0"/>
        <w:spacing w:before="156" w:line="480" w:lineRule="exact"/>
        <w:rPr>
          <w:rFonts w:ascii="仿宋" w:hAnsi="仿宋" w:eastAsia="仿宋" w:cs="仿宋"/>
          <w:color w:val="auto"/>
          <w:szCs w:val="24"/>
          <w:highlight w:val="none"/>
        </w:rPr>
      </w:pPr>
      <w:r>
        <w:rPr>
          <w:rFonts w:hint="eastAsia" w:ascii="仿宋" w:hAnsi="仿宋" w:eastAsia="仿宋" w:cs="仿宋"/>
          <w:color w:val="auto"/>
          <w:szCs w:val="24"/>
          <w:highlight w:val="none"/>
        </w:rPr>
        <w:t>投标人全称（电子签章）：</w:t>
      </w:r>
      <w:r>
        <w:rPr>
          <w:rFonts w:hint="eastAsia" w:ascii="仿宋" w:hAnsi="仿宋" w:eastAsia="仿宋" w:cs="仿宋"/>
          <w:color w:val="auto"/>
          <w:szCs w:val="24"/>
          <w:highlight w:val="none"/>
          <w:u w:val="single"/>
        </w:rPr>
        <w:t xml:space="preserve">                         </w:t>
      </w:r>
    </w:p>
    <w:p w14:paraId="2C1ED661">
      <w:pPr>
        <w:snapToGrid w:val="0"/>
        <w:spacing w:before="156" w:line="480" w:lineRule="exact"/>
        <w:ind w:right="6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法定代表人或授权代表（签名或签章）：</w:t>
      </w:r>
      <w:r>
        <w:rPr>
          <w:rFonts w:hint="eastAsia" w:ascii="仿宋" w:hAnsi="仿宋" w:eastAsia="仿宋" w:cs="仿宋"/>
          <w:color w:val="auto"/>
          <w:sz w:val="24"/>
          <w:szCs w:val="24"/>
          <w:highlight w:val="none"/>
          <w:u w:val="single"/>
        </w:rPr>
        <w:t xml:space="preserve">             </w:t>
      </w:r>
    </w:p>
    <w:p w14:paraId="62CA9127">
      <w:pPr>
        <w:snapToGrid w:val="0"/>
        <w:spacing w:before="156" w:after="50" w:line="480" w:lineRule="exact"/>
        <w:rPr>
          <w:rFonts w:ascii="仿宋" w:hAnsi="仿宋" w:eastAsia="仿宋" w:cs="仿宋"/>
          <w:b/>
          <w:color w:val="auto"/>
          <w:sz w:val="32"/>
          <w:szCs w:val="32"/>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年    月    日</w:t>
      </w:r>
    </w:p>
    <w:p w14:paraId="37FA9E52">
      <w:pPr>
        <w:spacing w:before="156" w:line="480" w:lineRule="exact"/>
        <w:ind w:firstLine="480" w:firstLineChars="200"/>
        <w:jc w:val="left"/>
        <w:rPr>
          <w:rFonts w:ascii="仿宋" w:hAnsi="仿宋" w:eastAsia="仿宋" w:cs="仿宋"/>
          <w:color w:val="auto"/>
          <w:sz w:val="24"/>
          <w:szCs w:val="24"/>
          <w:highlight w:val="none"/>
        </w:rPr>
      </w:pPr>
    </w:p>
    <w:p w14:paraId="77D7E293">
      <w:pPr>
        <w:spacing w:before="156" w:line="480" w:lineRule="exact"/>
        <w:ind w:firstLine="480" w:firstLineChars="200"/>
        <w:jc w:val="left"/>
        <w:rPr>
          <w:rFonts w:ascii="仿宋" w:hAnsi="仿宋" w:eastAsia="仿宋" w:cs="仿宋"/>
          <w:color w:val="auto"/>
          <w:sz w:val="24"/>
          <w:szCs w:val="24"/>
          <w:highlight w:val="none"/>
        </w:rPr>
      </w:pPr>
    </w:p>
    <w:p w14:paraId="7A477CF4">
      <w:pPr>
        <w:spacing w:line="360" w:lineRule="auto"/>
        <w:ind w:firstLine="720"/>
        <w:jc w:val="center"/>
        <w:rPr>
          <w:rFonts w:ascii="仿宋" w:hAnsi="仿宋" w:eastAsia="仿宋" w:cs="仿宋"/>
          <w:b/>
          <w:bCs/>
          <w:color w:val="auto"/>
          <w:sz w:val="36"/>
          <w:szCs w:val="20"/>
          <w:highlight w:val="none"/>
        </w:rPr>
      </w:pPr>
    </w:p>
    <w:p w14:paraId="1594D200">
      <w:pPr>
        <w:spacing w:line="360" w:lineRule="auto"/>
        <w:ind w:firstLine="720"/>
        <w:jc w:val="center"/>
        <w:rPr>
          <w:rFonts w:ascii="仿宋" w:hAnsi="仿宋" w:eastAsia="仿宋" w:cs="仿宋"/>
          <w:b/>
          <w:bCs/>
          <w:color w:val="auto"/>
          <w:sz w:val="36"/>
          <w:szCs w:val="20"/>
          <w:highlight w:val="none"/>
        </w:rPr>
      </w:pPr>
    </w:p>
    <w:p w14:paraId="29D3F3D0">
      <w:pPr>
        <w:spacing w:line="360" w:lineRule="auto"/>
        <w:ind w:firstLine="723"/>
        <w:jc w:val="center"/>
        <w:rPr>
          <w:rFonts w:ascii="仿宋" w:hAnsi="仿宋" w:eastAsia="仿宋" w:cs="仿宋"/>
          <w:b/>
          <w:bCs/>
          <w:color w:val="auto"/>
          <w:sz w:val="36"/>
          <w:szCs w:val="20"/>
          <w:highlight w:val="none"/>
        </w:rPr>
      </w:pPr>
      <w:r>
        <w:rPr>
          <w:rFonts w:hint="eastAsia" w:ascii="仿宋" w:hAnsi="仿宋" w:eastAsia="仿宋" w:cs="仿宋"/>
          <w:b/>
          <w:bCs/>
          <w:color w:val="auto"/>
          <w:sz w:val="36"/>
          <w:szCs w:val="20"/>
          <w:highlight w:val="none"/>
          <w:lang w:val="en-US" w:eastAsia="zh-CN"/>
        </w:rPr>
        <w:t>七</w:t>
      </w:r>
      <w:r>
        <w:rPr>
          <w:rFonts w:hint="eastAsia" w:ascii="仿宋" w:hAnsi="仿宋" w:eastAsia="仿宋" w:cs="仿宋"/>
          <w:b/>
          <w:bCs/>
          <w:color w:val="auto"/>
          <w:sz w:val="36"/>
          <w:szCs w:val="20"/>
          <w:highlight w:val="none"/>
        </w:rPr>
        <w:t>、评分索引表</w:t>
      </w:r>
    </w:p>
    <w:p w14:paraId="594F6CB1">
      <w:pPr>
        <w:ind w:firstLine="480"/>
        <w:rPr>
          <w:rFonts w:ascii="仿宋" w:hAnsi="仿宋" w:eastAsia="仿宋" w:cs="仿宋"/>
          <w:b/>
          <w:bCs/>
          <w:color w:val="auto"/>
          <w:highlight w:val="none"/>
        </w:rPr>
      </w:pPr>
    </w:p>
    <w:tbl>
      <w:tblPr>
        <w:tblStyle w:val="26"/>
        <w:tblW w:w="9072" w:type="dxa"/>
        <w:tblInd w:w="10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10"/>
        <w:gridCol w:w="3113"/>
        <w:gridCol w:w="2850"/>
        <w:gridCol w:w="1550"/>
        <w:gridCol w:w="849"/>
      </w:tblGrid>
      <w:tr w14:paraId="024785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trPr>
        <w:tc>
          <w:tcPr>
            <w:tcW w:w="710" w:type="dxa"/>
            <w:vAlign w:val="center"/>
          </w:tcPr>
          <w:p w14:paraId="0EECBD3E">
            <w:pPr>
              <w:pStyle w:val="43"/>
              <w:widowControl/>
              <w:ind w:firstLine="0"/>
              <w:jc w:val="both"/>
              <w:rPr>
                <w:rFonts w:ascii="仿宋" w:hAnsi="仿宋" w:eastAsia="仿宋" w:cs="仿宋"/>
                <w:b/>
                <w:bCs/>
                <w:color w:val="auto"/>
                <w:highlight w:val="none"/>
              </w:rPr>
            </w:pPr>
            <w:r>
              <w:rPr>
                <w:rFonts w:hint="eastAsia" w:ascii="仿宋" w:hAnsi="仿宋" w:eastAsia="仿宋" w:cs="仿宋"/>
                <w:b/>
                <w:bCs/>
                <w:color w:val="auto"/>
                <w:highlight w:val="none"/>
              </w:rPr>
              <w:t>序号</w:t>
            </w:r>
          </w:p>
        </w:tc>
        <w:tc>
          <w:tcPr>
            <w:tcW w:w="5963" w:type="dxa"/>
            <w:gridSpan w:val="2"/>
            <w:vAlign w:val="center"/>
          </w:tcPr>
          <w:p w14:paraId="09348CD8">
            <w:pPr>
              <w:pStyle w:val="43"/>
              <w:widowControl/>
              <w:ind w:firstLine="442"/>
              <w:jc w:val="center"/>
              <w:rPr>
                <w:rFonts w:ascii="仿宋" w:hAnsi="仿宋" w:eastAsia="仿宋" w:cs="仿宋"/>
                <w:b/>
                <w:bCs/>
                <w:color w:val="auto"/>
                <w:highlight w:val="none"/>
              </w:rPr>
            </w:pPr>
            <w:r>
              <w:rPr>
                <w:rFonts w:hint="eastAsia" w:ascii="仿宋" w:hAnsi="仿宋" w:eastAsia="仿宋" w:cs="仿宋"/>
                <w:b/>
                <w:bCs/>
                <w:color w:val="auto"/>
                <w:highlight w:val="none"/>
              </w:rPr>
              <w:t>资料名称</w:t>
            </w:r>
          </w:p>
        </w:tc>
        <w:tc>
          <w:tcPr>
            <w:tcW w:w="1550" w:type="dxa"/>
            <w:vAlign w:val="center"/>
          </w:tcPr>
          <w:p w14:paraId="004DEC6B">
            <w:pPr>
              <w:pStyle w:val="43"/>
              <w:widowControl/>
              <w:ind w:firstLine="0"/>
              <w:jc w:val="center"/>
              <w:rPr>
                <w:rFonts w:ascii="仿宋" w:hAnsi="仿宋" w:eastAsia="仿宋" w:cs="仿宋"/>
                <w:b/>
                <w:bCs/>
                <w:color w:val="auto"/>
                <w:highlight w:val="none"/>
              </w:rPr>
            </w:pPr>
            <w:r>
              <w:rPr>
                <w:rFonts w:hint="eastAsia" w:ascii="仿宋" w:hAnsi="仿宋" w:eastAsia="仿宋" w:cs="仿宋"/>
                <w:b/>
                <w:bCs/>
                <w:color w:val="auto"/>
                <w:highlight w:val="none"/>
              </w:rPr>
              <w:t>投标文件</w:t>
            </w:r>
          </w:p>
          <w:p w14:paraId="7978F27E">
            <w:pPr>
              <w:pStyle w:val="43"/>
              <w:widowControl/>
              <w:ind w:firstLine="0"/>
              <w:jc w:val="center"/>
              <w:rPr>
                <w:rFonts w:ascii="仿宋" w:hAnsi="仿宋" w:eastAsia="仿宋" w:cs="仿宋"/>
                <w:b/>
                <w:bCs/>
                <w:color w:val="auto"/>
                <w:highlight w:val="none"/>
              </w:rPr>
            </w:pPr>
            <w:r>
              <w:rPr>
                <w:rFonts w:hint="eastAsia" w:ascii="仿宋" w:hAnsi="仿宋" w:eastAsia="仿宋" w:cs="仿宋"/>
                <w:b/>
                <w:bCs/>
                <w:color w:val="auto"/>
                <w:highlight w:val="none"/>
              </w:rPr>
              <w:t>中对应页码</w:t>
            </w:r>
          </w:p>
        </w:tc>
        <w:tc>
          <w:tcPr>
            <w:tcW w:w="849" w:type="dxa"/>
            <w:vAlign w:val="center"/>
          </w:tcPr>
          <w:p w14:paraId="66EE5DD2">
            <w:pPr>
              <w:pStyle w:val="43"/>
              <w:widowControl/>
              <w:ind w:firstLine="0"/>
              <w:jc w:val="center"/>
              <w:rPr>
                <w:rFonts w:ascii="仿宋" w:hAnsi="仿宋" w:eastAsia="仿宋" w:cs="仿宋"/>
                <w:b/>
                <w:bCs/>
                <w:color w:val="auto"/>
                <w:highlight w:val="none"/>
              </w:rPr>
            </w:pPr>
            <w:r>
              <w:rPr>
                <w:rFonts w:hint="eastAsia" w:ascii="仿宋" w:hAnsi="仿宋" w:eastAsia="仿宋" w:cs="仿宋"/>
                <w:b/>
                <w:bCs/>
                <w:color w:val="auto"/>
                <w:highlight w:val="none"/>
              </w:rPr>
              <w:t>备注</w:t>
            </w:r>
          </w:p>
        </w:tc>
      </w:tr>
      <w:tr w14:paraId="44A54B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trPr>
        <w:tc>
          <w:tcPr>
            <w:tcW w:w="710" w:type="dxa"/>
          </w:tcPr>
          <w:p w14:paraId="67875163">
            <w:pPr>
              <w:pStyle w:val="43"/>
              <w:spacing w:before="69" w:line="440" w:lineRule="exact"/>
              <w:ind w:left="0" w:firstLine="0"/>
              <w:jc w:val="center"/>
              <w:rPr>
                <w:rFonts w:ascii="仿宋" w:hAnsi="仿宋" w:eastAsia="仿宋" w:cs="仿宋"/>
                <w:color w:val="auto"/>
                <w:highlight w:val="none"/>
              </w:rPr>
            </w:pPr>
            <w:r>
              <w:rPr>
                <w:rFonts w:hint="eastAsia" w:ascii="仿宋" w:hAnsi="仿宋" w:eastAsia="仿宋" w:cs="仿宋"/>
                <w:color w:val="auto"/>
                <w:highlight w:val="none"/>
              </w:rPr>
              <w:t>一</w:t>
            </w:r>
          </w:p>
        </w:tc>
        <w:tc>
          <w:tcPr>
            <w:tcW w:w="5963" w:type="dxa"/>
            <w:gridSpan w:val="2"/>
          </w:tcPr>
          <w:p w14:paraId="75888A5D">
            <w:pPr>
              <w:pStyle w:val="43"/>
              <w:spacing w:before="69" w:line="440" w:lineRule="exact"/>
              <w:ind w:left="2202" w:firstLine="442"/>
              <w:rPr>
                <w:rFonts w:ascii="仿宋" w:hAnsi="仿宋" w:eastAsia="仿宋" w:cs="仿宋"/>
                <w:color w:val="auto"/>
                <w:highlight w:val="none"/>
              </w:rPr>
            </w:pPr>
            <w:r>
              <w:rPr>
                <w:rFonts w:hint="eastAsia" w:ascii="仿宋" w:hAnsi="仿宋" w:eastAsia="仿宋" w:cs="仿宋"/>
                <w:color w:val="auto"/>
                <w:highlight w:val="none"/>
              </w:rPr>
              <w:t>评审打分资料</w:t>
            </w:r>
          </w:p>
        </w:tc>
        <w:tc>
          <w:tcPr>
            <w:tcW w:w="1550" w:type="dxa"/>
          </w:tcPr>
          <w:p w14:paraId="661FC62D">
            <w:pPr>
              <w:pStyle w:val="43"/>
              <w:spacing w:line="440" w:lineRule="exact"/>
              <w:ind w:firstLine="442"/>
              <w:rPr>
                <w:rFonts w:ascii="仿宋" w:hAnsi="仿宋" w:eastAsia="仿宋" w:cs="仿宋"/>
                <w:color w:val="auto"/>
                <w:highlight w:val="none"/>
              </w:rPr>
            </w:pPr>
          </w:p>
        </w:tc>
        <w:tc>
          <w:tcPr>
            <w:tcW w:w="849" w:type="dxa"/>
          </w:tcPr>
          <w:p w14:paraId="6AB59C32">
            <w:pPr>
              <w:pStyle w:val="43"/>
              <w:spacing w:line="440" w:lineRule="exact"/>
              <w:ind w:firstLine="442"/>
              <w:rPr>
                <w:rFonts w:ascii="仿宋" w:hAnsi="仿宋" w:eastAsia="仿宋" w:cs="仿宋"/>
                <w:color w:val="auto"/>
                <w:highlight w:val="none"/>
              </w:rPr>
            </w:pPr>
          </w:p>
        </w:tc>
      </w:tr>
      <w:tr w14:paraId="179BDF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trPr>
        <w:tc>
          <w:tcPr>
            <w:tcW w:w="710" w:type="dxa"/>
          </w:tcPr>
          <w:p w14:paraId="1C3B882D">
            <w:pPr>
              <w:pStyle w:val="43"/>
              <w:spacing w:before="70" w:line="440" w:lineRule="exact"/>
              <w:ind w:left="0" w:firstLine="0"/>
              <w:jc w:val="center"/>
              <w:rPr>
                <w:rFonts w:ascii="仿宋" w:hAnsi="仿宋" w:eastAsia="仿宋" w:cs="仿宋"/>
                <w:color w:val="auto"/>
                <w:highlight w:val="none"/>
              </w:rPr>
            </w:pPr>
            <w:r>
              <w:rPr>
                <w:rFonts w:hint="eastAsia" w:ascii="仿宋" w:hAnsi="仿宋" w:eastAsia="仿宋" w:cs="仿宋"/>
                <w:color w:val="auto"/>
                <w:highlight w:val="none"/>
              </w:rPr>
              <w:t>1</w:t>
            </w:r>
          </w:p>
        </w:tc>
        <w:tc>
          <w:tcPr>
            <w:tcW w:w="3113" w:type="dxa"/>
          </w:tcPr>
          <w:p w14:paraId="2F520AD2">
            <w:pPr>
              <w:pStyle w:val="43"/>
              <w:spacing w:before="70" w:line="440" w:lineRule="exact"/>
              <w:ind w:right="853" w:firstLine="442"/>
              <w:jc w:val="right"/>
              <w:rPr>
                <w:rFonts w:ascii="仿宋" w:hAnsi="仿宋" w:eastAsia="仿宋" w:cs="仿宋"/>
                <w:color w:val="auto"/>
                <w:highlight w:val="none"/>
              </w:rPr>
            </w:pPr>
            <w:r>
              <w:rPr>
                <w:rFonts w:hint="eastAsia" w:ascii="仿宋" w:hAnsi="仿宋" w:eastAsia="仿宋" w:cs="仿宋"/>
                <w:color w:val="auto"/>
                <w:highlight w:val="none"/>
              </w:rPr>
              <w:t>招标文件要求</w:t>
            </w:r>
          </w:p>
        </w:tc>
        <w:tc>
          <w:tcPr>
            <w:tcW w:w="2850" w:type="dxa"/>
          </w:tcPr>
          <w:p w14:paraId="6139B67C">
            <w:pPr>
              <w:pStyle w:val="43"/>
              <w:spacing w:before="70" w:line="440" w:lineRule="exact"/>
              <w:ind w:right="381" w:firstLine="442"/>
              <w:jc w:val="right"/>
              <w:rPr>
                <w:rFonts w:ascii="仿宋" w:hAnsi="仿宋" w:eastAsia="仿宋" w:cs="仿宋"/>
                <w:color w:val="auto"/>
                <w:highlight w:val="none"/>
              </w:rPr>
            </w:pPr>
            <w:r>
              <w:rPr>
                <w:rFonts w:hint="eastAsia" w:ascii="仿宋" w:hAnsi="仿宋" w:eastAsia="仿宋" w:cs="仿宋"/>
                <w:color w:val="auto"/>
                <w:highlight w:val="none"/>
              </w:rPr>
              <w:t>投标人自评分数</w:t>
            </w:r>
          </w:p>
        </w:tc>
        <w:tc>
          <w:tcPr>
            <w:tcW w:w="1550" w:type="dxa"/>
          </w:tcPr>
          <w:p w14:paraId="24B8F9FC">
            <w:pPr>
              <w:pStyle w:val="43"/>
              <w:spacing w:line="440" w:lineRule="exact"/>
              <w:ind w:firstLine="442"/>
              <w:rPr>
                <w:rFonts w:ascii="仿宋" w:hAnsi="仿宋" w:eastAsia="仿宋" w:cs="仿宋"/>
                <w:color w:val="auto"/>
                <w:highlight w:val="none"/>
              </w:rPr>
            </w:pPr>
          </w:p>
        </w:tc>
        <w:tc>
          <w:tcPr>
            <w:tcW w:w="849" w:type="dxa"/>
          </w:tcPr>
          <w:p w14:paraId="3A825E13">
            <w:pPr>
              <w:pStyle w:val="43"/>
              <w:spacing w:line="440" w:lineRule="exact"/>
              <w:ind w:firstLine="442"/>
              <w:rPr>
                <w:rFonts w:ascii="仿宋" w:hAnsi="仿宋" w:eastAsia="仿宋" w:cs="仿宋"/>
                <w:color w:val="auto"/>
                <w:highlight w:val="none"/>
              </w:rPr>
            </w:pPr>
          </w:p>
        </w:tc>
      </w:tr>
      <w:tr w14:paraId="47A0D2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trPr>
        <w:tc>
          <w:tcPr>
            <w:tcW w:w="710" w:type="dxa"/>
          </w:tcPr>
          <w:p w14:paraId="729B5055">
            <w:pPr>
              <w:pStyle w:val="43"/>
              <w:spacing w:before="70" w:line="440" w:lineRule="exact"/>
              <w:ind w:left="0" w:firstLine="0"/>
              <w:jc w:val="center"/>
              <w:rPr>
                <w:rFonts w:ascii="仿宋" w:hAnsi="仿宋" w:eastAsia="仿宋" w:cs="仿宋"/>
                <w:color w:val="auto"/>
                <w:highlight w:val="none"/>
              </w:rPr>
            </w:pPr>
            <w:r>
              <w:rPr>
                <w:rFonts w:hint="eastAsia" w:ascii="仿宋" w:hAnsi="仿宋" w:eastAsia="仿宋" w:cs="仿宋"/>
                <w:color w:val="auto"/>
                <w:highlight w:val="none"/>
              </w:rPr>
              <w:t>2</w:t>
            </w:r>
          </w:p>
        </w:tc>
        <w:tc>
          <w:tcPr>
            <w:tcW w:w="3113" w:type="dxa"/>
          </w:tcPr>
          <w:p w14:paraId="76591EF7">
            <w:pPr>
              <w:pStyle w:val="43"/>
              <w:spacing w:line="440" w:lineRule="exact"/>
              <w:ind w:firstLine="442"/>
              <w:rPr>
                <w:rFonts w:ascii="仿宋" w:hAnsi="仿宋" w:eastAsia="仿宋" w:cs="仿宋"/>
                <w:color w:val="auto"/>
                <w:highlight w:val="none"/>
              </w:rPr>
            </w:pPr>
          </w:p>
        </w:tc>
        <w:tc>
          <w:tcPr>
            <w:tcW w:w="2850" w:type="dxa"/>
          </w:tcPr>
          <w:p w14:paraId="23664689">
            <w:pPr>
              <w:pStyle w:val="43"/>
              <w:spacing w:line="440" w:lineRule="exact"/>
              <w:ind w:firstLine="442"/>
              <w:rPr>
                <w:rFonts w:ascii="仿宋" w:hAnsi="仿宋" w:eastAsia="仿宋" w:cs="仿宋"/>
                <w:color w:val="auto"/>
                <w:highlight w:val="none"/>
              </w:rPr>
            </w:pPr>
          </w:p>
        </w:tc>
        <w:tc>
          <w:tcPr>
            <w:tcW w:w="1550" w:type="dxa"/>
          </w:tcPr>
          <w:p w14:paraId="3346A220">
            <w:pPr>
              <w:pStyle w:val="43"/>
              <w:spacing w:line="440" w:lineRule="exact"/>
              <w:ind w:firstLine="442"/>
              <w:rPr>
                <w:rFonts w:ascii="仿宋" w:hAnsi="仿宋" w:eastAsia="仿宋" w:cs="仿宋"/>
                <w:color w:val="auto"/>
                <w:highlight w:val="none"/>
              </w:rPr>
            </w:pPr>
          </w:p>
        </w:tc>
        <w:tc>
          <w:tcPr>
            <w:tcW w:w="849" w:type="dxa"/>
          </w:tcPr>
          <w:p w14:paraId="4014DFBA">
            <w:pPr>
              <w:pStyle w:val="43"/>
              <w:spacing w:line="440" w:lineRule="exact"/>
              <w:ind w:firstLine="442"/>
              <w:rPr>
                <w:rFonts w:ascii="仿宋" w:hAnsi="仿宋" w:eastAsia="仿宋" w:cs="仿宋"/>
                <w:color w:val="auto"/>
                <w:highlight w:val="none"/>
              </w:rPr>
            </w:pPr>
          </w:p>
        </w:tc>
      </w:tr>
      <w:tr w14:paraId="42BBD3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trPr>
        <w:tc>
          <w:tcPr>
            <w:tcW w:w="710" w:type="dxa"/>
          </w:tcPr>
          <w:p w14:paraId="1854494B">
            <w:pPr>
              <w:pStyle w:val="43"/>
              <w:spacing w:before="68" w:line="440" w:lineRule="exact"/>
              <w:ind w:left="0" w:firstLine="0"/>
              <w:jc w:val="center"/>
              <w:rPr>
                <w:rFonts w:ascii="仿宋" w:hAnsi="仿宋" w:eastAsia="仿宋" w:cs="仿宋"/>
                <w:color w:val="auto"/>
                <w:highlight w:val="none"/>
              </w:rPr>
            </w:pPr>
            <w:r>
              <w:rPr>
                <w:rFonts w:hint="eastAsia" w:ascii="仿宋" w:hAnsi="仿宋" w:eastAsia="仿宋" w:cs="仿宋"/>
                <w:color w:val="auto"/>
                <w:highlight w:val="none"/>
              </w:rPr>
              <w:t>3</w:t>
            </w:r>
          </w:p>
        </w:tc>
        <w:tc>
          <w:tcPr>
            <w:tcW w:w="3113" w:type="dxa"/>
          </w:tcPr>
          <w:p w14:paraId="26EA4053">
            <w:pPr>
              <w:pStyle w:val="43"/>
              <w:spacing w:line="440" w:lineRule="exact"/>
              <w:ind w:firstLine="442"/>
              <w:rPr>
                <w:rFonts w:ascii="仿宋" w:hAnsi="仿宋" w:eastAsia="仿宋" w:cs="仿宋"/>
                <w:color w:val="auto"/>
                <w:highlight w:val="none"/>
              </w:rPr>
            </w:pPr>
          </w:p>
        </w:tc>
        <w:tc>
          <w:tcPr>
            <w:tcW w:w="2850" w:type="dxa"/>
          </w:tcPr>
          <w:p w14:paraId="658CEB7D">
            <w:pPr>
              <w:pStyle w:val="43"/>
              <w:spacing w:line="440" w:lineRule="exact"/>
              <w:ind w:firstLine="442"/>
              <w:rPr>
                <w:rFonts w:ascii="仿宋" w:hAnsi="仿宋" w:eastAsia="仿宋" w:cs="仿宋"/>
                <w:color w:val="auto"/>
                <w:highlight w:val="none"/>
              </w:rPr>
            </w:pPr>
          </w:p>
        </w:tc>
        <w:tc>
          <w:tcPr>
            <w:tcW w:w="1550" w:type="dxa"/>
          </w:tcPr>
          <w:p w14:paraId="69ADF3F8">
            <w:pPr>
              <w:pStyle w:val="43"/>
              <w:spacing w:line="440" w:lineRule="exact"/>
              <w:ind w:firstLine="442"/>
              <w:rPr>
                <w:rFonts w:ascii="仿宋" w:hAnsi="仿宋" w:eastAsia="仿宋" w:cs="仿宋"/>
                <w:color w:val="auto"/>
                <w:highlight w:val="none"/>
              </w:rPr>
            </w:pPr>
          </w:p>
        </w:tc>
        <w:tc>
          <w:tcPr>
            <w:tcW w:w="849" w:type="dxa"/>
          </w:tcPr>
          <w:p w14:paraId="311E8CE4">
            <w:pPr>
              <w:pStyle w:val="43"/>
              <w:spacing w:line="440" w:lineRule="exact"/>
              <w:ind w:firstLine="442"/>
              <w:rPr>
                <w:rFonts w:ascii="仿宋" w:hAnsi="仿宋" w:eastAsia="仿宋" w:cs="仿宋"/>
                <w:color w:val="auto"/>
                <w:highlight w:val="none"/>
              </w:rPr>
            </w:pPr>
          </w:p>
        </w:tc>
      </w:tr>
      <w:tr w14:paraId="383208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trPr>
        <w:tc>
          <w:tcPr>
            <w:tcW w:w="710" w:type="dxa"/>
          </w:tcPr>
          <w:p w14:paraId="478C3A2B">
            <w:pPr>
              <w:pStyle w:val="43"/>
              <w:spacing w:before="69" w:line="440" w:lineRule="exact"/>
              <w:ind w:left="0" w:firstLine="0"/>
              <w:jc w:val="center"/>
              <w:rPr>
                <w:rFonts w:ascii="仿宋" w:hAnsi="仿宋" w:eastAsia="仿宋" w:cs="仿宋"/>
                <w:color w:val="auto"/>
                <w:highlight w:val="none"/>
              </w:rPr>
            </w:pPr>
            <w:r>
              <w:rPr>
                <w:rFonts w:hint="eastAsia" w:ascii="仿宋" w:hAnsi="仿宋" w:eastAsia="仿宋" w:cs="仿宋"/>
                <w:color w:val="auto"/>
                <w:highlight w:val="none"/>
              </w:rPr>
              <w:t>4</w:t>
            </w:r>
          </w:p>
        </w:tc>
        <w:tc>
          <w:tcPr>
            <w:tcW w:w="3113" w:type="dxa"/>
          </w:tcPr>
          <w:p w14:paraId="703BC0FD">
            <w:pPr>
              <w:pStyle w:val="43"/>
              <w:spacing w:line="440" w:lineRule="exact"/>
              <w:ind w:firstLine="442"/>
              <w:rPr>
                <w:rFonts w:ascii="仿宋" w:hAnsi="仿宋" w:eastAsia="仿宋" w:cs="仿宋"/>
                <w:color w:val="auto"/>
                <w:highlight w:val="none"/>
              </w:rPr>
            </w:pPr>
          </w:p>
        </w:tc>
        <w:tc>
          <w:tcPr>
            <w:tcW w:w="2850" w:type="dxa"/>
          </w:tcPr>
          <w:p w14:paraId="684DF32F">
            <w:pPr>
              <w:pStyle w:val="43"/>
              <w:spacing w:line="440" w:lineRule="exact"/>
              <w:ind w:firstLine="442"/>
              <w:rPr>
                <w:rFonts w:ascii="仿宋" w:hAnsi="仿宋" w:eastAsia="仿宋" w:cs="仿宋"/>
                <w:color w:val="auto"/>
                <w:highlight w:val="none"/>
              </w:rPr>
            </w:pPr>
          </w:p>
        </w:tc>
        <w:tc>
          <w:tcPr>
            <w:tcW w:w="1550" w:type="dxa"/>
          </w:tcPr>
          <w:p w14:paraId="506522F1">
            <w:pPr>
              <w:pStyle w:val="43"/>
              <w:spacing w:line="440" w:lineRule="exact"/>
              <w:ind w:firstLine="442"/>
              <w:rPr>
                <w:rFonts w:ascii="仿宋" w:hAnsi="仿宋" w:eastAsia="仿宋" w:cs="仿宋"/>
                <w:color w:val="auto"/>
                <w:highlight w:val="none"/>
              </w:rPr>
            </w:pPr>
          </w:p>
        </w:tc>
        <w:tc>
          <w:tcPr>
            <w:tcW w:w="849" w:type="dxa"/>
          </w:tcPr>
          <w:p w14:paraId="70D6DE33">
            <w:pPr>
              <w:pStyle w:val="43"/>
              <w:spacing w:line="440" w:lineRule="exact"/>
              <w:ind w:firstLine="442"/>
              <w:rPr>
                <w:rFonts w:ascii="仿宋" w:hAnsi="仿宋" w:eastAsia="仿宋" w:cs="仿宋"/>
                <w:color w:val="auto"/>
                <w:highlight w:val="none"/>
              </w:rPr>
            </w:pPr>
          </w:p>
        </w:tc>
      </w:tr>
      <w:tr w14:paraId="02EAF4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trPr>
        <w:tc>
          <w:tcPr>
            <w:tcW w:w="710" w:type="dxa"/>
          </w:tcPr>
          <w:p w14:paraId="6EAC7453">
            <w:pPr>
              <w:pStyle w:val="43"/>
              <w:spacing w:before="70" w:line="440" w:lineRule="exact"/>
              <w:ind w:left="0" w:firstLine="0"/>
              <w:jc w:val="center"/>
              <w:rPr>
                <w:rFonts w:ascii="仿宋" w:hAnsi="仿宋" w:eastAsia="仿宋" w:cs="仿宋"/>
                <w:color w:val="auto"/>
                <w:highlight w:val="none"/>
              </w:rPr>
            </w:pPr>
            <w:r>
              <w:rPr>
                <w:rFonts w:hint="eastAsia" w:ascii="仿宋" w:hAnsi="仿宋" w:eastAsia="仿宋" w:cs="仿宋"/>
                <w:color w:val="auto"/>
                <w:highlight w:val="none"/>
              </w:rPr>
              <w:t>…</w:t>
            </w:r>
          </w:p>
        </w:tc>
        <w:tc>
          <w:tcPr>
            <w:tcW w:w="3113" w:type="dxa"/>
          </w:tcPr>
          <w:p w14:paraId="52E01E77">
            <w:pPr>
              <w:pStyle w:val="43"/>
              <w:spacing w:line="440" w:lineRule="exact"/>
              <w:ind w:firstLine="442"/>
              <w:rPr>
                <w:rFonts w:ascii="仿宋" w:hAnsi="仿宋" w:eastAsia="仿宋" w:cs="仿宋"/>
                <w:color w:val="auto"/>
                <w:highlight w:val="none"/>
              </w:rPr>
            </w:pPr>
          </w:p>
        </w:tc>
        <w:tc>
          <w:tcPr>
            <w:tcW w:w="2850" w:type="dxa"/>
          </w:tcPr>
          <w:p w14:paraId="5973717B">
            <w:pPr>
              <w:pStyle w:val="43"/>
              <w:spacing w:line="440" w:lineRule="exact"/>
              <w:ind w:firstLine="442"/>
              <w:rPr>
                <w:rFonts w:ascii="仿宋" w:hAnsi="仿宋" w:eastAsia="仿宋" w:cs="仿宋"/>
                <w:color w:val="auto"/>
                <w:highlight w:val="none"/>
              </w:rPr>
            </w:pPr>
          </w:p>
        </w:tc>
        <w:tc>
          <w:tcPr>
            <w:tcW w:w="1550" w:type="dxa"/>
          </w:tcPr>
          <w:p w14:paraId="0460ACEF">
            <w:pPr>
              <w:pStyle w:val="43"/>
              <w:spacing w:line="440" w:lineRule="exact"/>
              <w:ind w:firstLine="442"/>
              <w:rPr>
                <w:rFonts w:ascii="仿宋" w:hAnsi="仿宋" w:eastAsia="仿宋" w:cs="仿宋"/>
                <w:color w:val="auto"/>
                <w:highlight w:val="none"/>
              </w:rPr>
            </w:pPr>
          </w:p>
        </w:tc>
        <w:tc>
          <w:tcPr>
            <w:tcW w:w="849" w:type="dxa"/>
          </w:tcPr>
          <w:p w14:paraId="1D539529">
            <w:pPr>
              <w:pStyle w:val="43"/>
              <w:spacing w:line="440" w:lineRule="exact"/>
              <w:ind w:firstLine="442"/>
              <w:rPr>
                <w:rFonts w:ascii="仿宋" w:hAnsi="仿宋" w:eastAsia="仿宋" w:cs="仿宋"/>
                <w:color w:val="auto"/>
                <w:highlight w:val="none"/>
              </w:rPr>
            </w:pPr>
          </w:p>
        </w:tc>
      </w:tr>
    </w:tbl>
    <w:p w14:paraId="6BFD6458">
      <w:pPr>
        <w:ind w:firstLine="480"/>
        <w:rPr>
          <w:rFonts w:ascii="仿宋" w:hAnsi="仿宋" w:eastAsia="仿宋" w:cs="仿宋"/>
          <w:b/>
          <w:bCs/>
          <w:color w:val="auto"/>
          <w:highlight w:val="none"/>
        </w:rPr>
      </w:pPr>
    </w:p>
    <w:p w14:paraId="180D3E28">
      <w:pPr>
        <w:spacing w:line="480" w:lineRule="exact"/>
        <w:rPr>
          <w:rFonts w:ascii="仿宋" w:hAnsi="仿宋" w:eastAsia="仿宋" w:cs="仿宋"/>
          <w:color w:val="auto"/>
          <w:highlight w:val="none"/>
          <w:u w:val="single"/>
        </w:rPr>
      </w:pPr>
      <w:r>
        <w:rPr>
          <w:rFonts w:hint="eastAsia" w:ascii="仿宋" w:hAnsi="仿宋" w:eastAsia="仿宋" w:cs="仿宋"/>
          <w:color w:val="auto"/>
          <w:highlight w:val="none"/>
        </w:rPr>
        <w:t>投标人</w:t>
      </w:r>
      <w:r>
        <w:rPr>
          <w:rFonts w:hint="eastAsia" w:ascii="仿宋" w:hAnsi="仿宋" w:eastAsia="仿宋" w:cs="仿宋"/>
          <w:color w:val="auto"/>
          <w:highlight w:val="none"/>
          <w:lang w:val="en-US" w:eastAsia="zh-CN"/>
        </w:rPr>
        <w:t>全称</w:t>
      </w:r>
      <w:r>
        <w:rPr>
          <w:rFonts w:hint="eastAsia" w:ascii="仿宋" w:hAnsi="仿宋" w:eastAsia="仿宋" w:cs="仿宋"/>
          <w:color w:val="auto"/>
          <w:highlight w:val="none"/>
        </w:rPr>
        <w:t>：</w:t>
      </w:r>
      <w:r>
        <w:rPr>
          <w:rFonts w:hint="eastAsia" w:ascii="仿宋" w:hAnsi="仿宋" w:eastAsia="仿宋" w:cs="仿宋"/>
          <w:color w:val="auto"/>
          <w:highlight w:val="none"/>
          <w:u w:val="single"/>
        </w:rPr>
        <w:t>（电子签章）</w:t>
      </w:r>
    </w:p>
    <w:p w14:paraId="1993DF84">
      <w:pPr>
        <w:spacing w:line="480" w:lineRule="exact"/>
        <w:rPr>
          <w:rFonts w:ascii="仿宋" w:hAnsi="仿宋" w:eastAsia="仿宋" w:cs="仿宋"/>
          <w:color w:val="auto"/>
          <w:highlight w:val="none"/>
        </w:rPr>
      </w:pPr>
      <w:r>
        <w:rPr>
          <w:rFonts w:hint="eastAsia" w:ascii="仿宋" w:hAnsi="仿宋" w:eastAsia="仿宋" w:cs="仿宋"/>
          <w:color w:val="auto"/>
          <w:highlight w:val="none"/>
        </w:rPr>
        <w:t>法定代表人或其委托代</w:t>
      </w:r>
      <w:r>
        <w:rPr>
          <w:rFonts w:hint="eastAsia" w:ascii="仿宋" w:hAnsi="仿宋" w:eastAsia="仿宋" w:cs="仿宋"/>
          <w:color w:val="auto"/>
          <w:highlight w:val="none"/>
          <w:u w:val="single"/>
        </w:rPr>
        <w:t>理人：（签名或签章）</w:t>
      </w:r>
    </w:p>
    <w:p w14:paraId="65ED8CD6">
      <w:pPr>
        <w:spacing w:line="480" w:lineRule="exact"/>
        <w:rPr>
          <w:rFonts w:ascii="仿宋" w:hAnsi="仿宋" w:eastAsia="仿宋" w:cs="仿宋"/>
          <w:color w:val="auto"/>
          <w:highlight w:val="none"/>
        </w:rPr>
      </w:pPr>
      <w:r>
        <w:rPr>
          <w:rFonts w:hint="eastAsia" w:ascii="仿宋" w:hAnsi="仿宋" w:eastAsia="仿宋" w:cs="仿宋"/>
          <w:color w:val="auto"/>
          <w:highlight w:val="none"/>
        </w:rPr>
        <w:t>日期：</w:t>
      </w:r>
      <w:r>
        <w:rPr>
          <w:rFonts w:hint="eastAsia" w:ascii="仿宋" w:hAnsi="仿宋" w:eastAsia="仿宋" w:cs="仿宋"/>
          <w:color w:val="auto"/>
          <w:highlight w:val="none"/>
          <w:u w:val="single"/>
        </w:rPr>
        <w:t xml:space="preserve">   年   月    日</w:t>
      </w:r>
    </w:p>
    <w:p w14:paraId="647D69AF">
      <w:pPr>
        <w:ind w:firstLine="480"/>
        <w:rPr>
          <w:rFonts w:ascii="仿宋" w:hAnsi="仿宋" w:eastAsia="仿宋" w:cs="仿宋"/>
          <w:b/>
          <w:bCs/>
          <w:color w:val="auto"/>
          <w:highlight w:val="none"/>
        </w:rPr>
      </w:pPr>
    </w:p>
    <w:p w14:paraId="5175F0F8">
      <w:pPr>
        <w:spacing w:before="156"/>
        <w:ind w:firstLine="640"/>
        <w:jc w:val="center"/>
        <w:outlineLvl w:val="1"/>
        <w:rPr>
          <w:rFonts w:ascii="仿宋" w:hAnsi="仿宋" w:eastAsia="仿宋" w:cs="仿宋"/>
          <w:b/>
          <w:color w:val="auto"/>
          <w:sz w:val="32"/>
          <w:szCs w:val="32"/>
          <w:highlight w:val="none"/>
        </w:rPr>
      </w:pPr>
    </w:p>
    <w:p w14:paraId="4D0482BA">
      <w:pPr>
        <w:pStyle w:val="3"/>
        <w:ind w:firstLine="640"/>
        <w:rPr>
          <w:rFonts w:ascii="仿宋" w:hAnsi="仿宋" w:eastAsia="仿宋" w:cs="仿宋"/>
          <w:color w:val="auto"/>
          <w:sz w:val="32"/>
          <w:szCs w:val="32"/>
          <w:highlight w:val="none"/>
        </w:rPr>
      </w:pPr>
    </w:p>
    <w:p w14:paraId="2420AA6F">
      <w:pPr>
        <w:ind w:firstLine="640"/>
        <w:rPr>
          <w:rFonts w:ascii="仿宋" w:hAnsi="仿宋" w:eastAsia="仿宋" w:cs="仿宋"/>
          <w:b/>
          <w:color w:val="auto"/>
          <w:sz w:val="32"/>
          <w:szCs w:val="32"/>
          <w:highlight w:val="none"/>
        </w:rPr>
      </w:pPr>
    </w:p>
    <w:p w14:paraId="6B116C29">
      <w:pPr>
        <w:pStyle w:val="3"/>
        <w:ind w:firstLine="640"/>
        <w:rPr>
          <w:rFonts w:ascii="仿宋" w:hAnsi="仿宋" w:eastAsia="仿宋" w:cs="仿宋"/>
          <w:color w:val="auto"/>
          <w:sz w:val="32"/>
          <w:szCs w:val="32"/>
          <w:highlight w:val="none"/>
        </w:rPr>
      </w:pPr>
    </w:p>
    <w:p w14:paraId="4DA5B085">
      <w:pPr>
        <w:ind w:firstLine="640"/>
        <w:rPr>
          <w:rFonts w:ascii="仿宋" w:hAnsi="仿宋" w:eastAsia="仿宋" w:cs="仿宋"/>
          <w:b/>
          <w:color w:val="auto"/>
          <w:sz w:val="32"/>
          <w:szCs w:val="32"/>
          <w:highlight w:val="none"/>
        </w:rPr>
      </w:pPr>
    </w:p>
    <w:p w14:paraId="2C028084">
      <w:pPr>
        <w:spacing w:before="156"/>
        <w:ind w:firstLine="640"/>
        <w:jc w:val="center"/>
        <w:outlineLvl w:val="1"/>
        <w:rPr>
          <w:rFonts w:ascii="仿宋" w:hAnsi="仿宋" w:eastAsia="仿宋" w:cs="仿宋"/>
          <w:b/>
          <w:color w:val="auto"/>
          <w:sz w:val="32"/>
          <w:szCs w:val="32"/>
          <w:highlight w:val="none"/>
        </w:rPr>
      </w:pPr>
    </w:p>
    <w:p w14:paraId="2651DCC9">
      <w:pPr>
        <w:spacing w:before="156"/>
        <w:ind w:firstLine="643"/>
        <w:jc w:val="center"/>
        <w:outlineLvl w:val="1"/>
        <w:rPr>
          <w:rFonts w:ascii="仿宋" w:hAnsi="仿宋" w:eastAsia="仿宋" w:cs="仿宋"/>
          <w:color w:val="auto"/>
          <w:sz w:val="24"/>
          <w:szCs w:val="24"/>
          <w:highlight w:val="none"/>
        </w:rPr>
      </w:pPr>
      <w:r>
        <w:rPr>
          <w:rFonts w:hint="eastAsia" w:ascii="仿宋" w:hAnsi="仿宋" w:eastAsia="仿宋" w:cs="仿宋"/>
          <w:b/>
          <w:color w:val="auto"/>
          <w:sz w:val="32"/>
          <w:szCs w:val="32"/>
          <w:highlight w:val="none"/>
          <w:lang w:val="en-US" w:eastAsia="zh-CN"/>
        </w:rPr>
        <w:t>八</w:t>
      </w:r>
      <w:r>
        <w:rPr>
          <w:rFonts w:hint="eastAsia" w:ascii="仿宋" w:hAnsi="仿宋" w:eastAsia="仿宋" w:cs="仿宋"/>
          <w:b/>
          <w:color w:val="auto"/>
          <w:sz w:val="32"/>
          <w:szCs w:val="32"/>
          <w:highlight w:val="none"/>
        </w:rPr>
        <w:t>、声 明 书</w:t>
      </w:r>
    </w:p>
    <w:p w14:paraId="48F9A9DD">
      <w:pPr>
        <w:pStyle w:val="14"/>
        <w:spacing w:beforeLines="0" w:afterLines="0" w:line="360" w:lineRule="auto"/>
        <w:rPr>
          <w:rFonts w:ascii="仿宋" w:hAnsi="仿宋" w:eastAsia="仿宋" w:cs="仿宋"/>
          <w:color w:val="auto"/>
          <w:highlight w:val="none"/>
          <w:u w:val="single"/>
        </w:rPr>
      </w:pPr>
      <w:r>
        <w:rPr>
          <w:rFonts w:hint="eastAsia" w:ascii="仿宋" w:hAnsi="仿宋" w:eastAsia="仿宋" w:cs="仿宋"/>
          <w:color w:val="auto"/>
          <w:highlight w:val="none"/>
          <w:u w:val="single"/>
        </w:rPr>
        <w:t xml:space="preserve"> 采购人名称：</w:t>
      </w:r>
    </w:p>
    <w:p w14:paraId="51B8CAC3">
      <w:pPr>
        <w:snapToGrid w:val="0"/>
        <w:spacing w:before="156"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（投标人名称）                         </w:t>
      </w:r>
      <w:r>
        <w:rPr>
          <w:rFonts w:hint="eastAsia" w:ascii="仿宋" w:hAnsi="仿宋" w:eastAsia="仿宋" w:cs="仿宋"/>
          <w:color w:val="auto"/>
          <w:sz w:val="24"/>
          <w:szCs w:val="24"/>
          <w:highlight w:val="none"/>
        </w:rPr>
        <w:t>系中华人民共和国合法企业，经营地址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6C4A8FC8">
      <w:pPr>
        <w:snapToGrid w:val="0"/>
        <w:spacing w:before="156"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我</w:t>
      </w:r>
      <w:r>
        <w:rPr>
          <w:rFonts w:hint="eastAsia" w:ascii="仿宋" w:hAnsi="仿宋" w:eastAsia="仿宋" w:cs="仿宋"/>
          <w:color w:val="auto"/>
          <w:sz w:val="24"/>
          <w:szCs w:val="24"/>
          <w:highlight w:val="none"/>
          <w:u w:val="single"/>
        </w:rPr>
        <w:t xml:space="preserve">（姓名）    </w:t>
      </w:r>
      <w:r>
        <w:rPr>
          <w:rFonts w:hint="eastAsia" w:ascii="仿宋" w:hAnsi="仿宋" w:eastAsia="仿宋" w:cs="仿宋"/>
          <w:color w:val="auto"/>
          <w:sz w:val="24"/>
          <w:szCs w:val="24"/>
          <w:highlight w:val="none"/>
        </w:rPr>
        <w:t>系</w:t>
      </w:r>
      <w:r>
        <w:rPr>
          <w:rFonts w:hint="eastAsia" w:ascii="仿宋" w:hAnsi="仿宋" w:eastAsia="仿宋" w:cs="仿宋"/>
          <w:color w:val="auto"/>
          <w:sz w:val="24"/>
          <w:szCs w:val="24"/>
          <w:highlight w:val="none"/>
          <w:u w:val="single"/>
        </w:rPr>
        <w:t xml:space="preserve">（投标人名称）                </w:t>
      </w:r>
      <w:r>
        <w:rPr>
          <w:rFonts w:hint="eastAsia" w:ascii="仿宋" w:hAnsi="仿宋" w:eastAsia="仿宋" w:cs="仿宋"/>
          <w:color w:val="auto"/>
          <w:sz w:val="24"/>
          <w:szCs w:val="24"/>
          <w:highlight w:val="none"/>
        </w:rPr>
        <w:t>的法定代表人，我方愿意参加贵方组织的</w:t>
      </w:r>
      <w:r>
        <w:rPr>
          <w:rFonts w:hint="eastAsia" w:ascii="仿宋" w:hAnsi="仿宋" w:eastAsia="仿宋" w:cs="仿宋"/>
          <w:color w:val="auto"/>
          <w:sz w:val="24"/>
          <w:szCs w:val="24"/>
          <w:highlight w:val="none"/>
          <w:u w:val="single"/>
        </w:rPr>
        <w:t xml:space="preserve"> 项目名称          （项目编号：          ）</w:t>
      </w:r>
      <w:r>
        <w:rPr>
          <w:rFonts w:hint="eastAsia" w:ascii="仿宋" w:hAnsi="仿宋" w:eastAsia="仿宋" w:cs="仿宋"/>
          <w:color w:val="auto"/>
          <w:sz w:val="24"/>
          <w:szCs w:val="24"/>
          <w:highlight w:val="none"/>
        </w:rPr>
        <w:t>的投标，为此，我方就本次投标有关事项郑重声明如下：</w:t>
      </w:r>
    </w:p>
    <w:p w14:paraId="625524EF">
      <w:pPr>
        <w:snapToGrid w:val="0"/>
        <w:spacing w:before="156"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1.我方已详细审查全部采购文件，同意此次采购文件</w:t>
      </w:r>
      <w:r>
        <w:rPr>
          <w:rFonts w:hint="eastAsia" w:ascii="仿宋" w:hAnsi="仿宋" w:eastAsia="仿宋" w:cs="仿宋"/>
          <w:color w:val="auto"/>
          <w:sz w:val="24"/>
          <w:highlight w:val="none"/>
        </w:rPr>
        <w:t>（包括答疑文件、补充文件等全部招标资料和相关附件）中</w:t>
      </w:r>
      <w:r>
        <w:rPr>
          <w:rFonts w:hint="eastAsia" w:ascii="仿宋" w:hAnsi="仿宋" w:eastAsia="仿宋" w:cs="仿宋"/>
          <w:color w:val="auto"/>
          <w:sz w:val="24"/>
          <w:szCs w:val="24"/>
          <w:highlight w:val="none"/>
        </w:rPr>
        <w:t>的各项规定和要求。</w:t>
      </w:r>
    </w:p>
    <w:p w14:paraId="5086AEE5">
      <w:pPr>
        <w:snapToGrid w:val="0"/>
        <w:spacing w:before="156"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2.我方向贵方提交的所有投标文件、资料都是准确的、真实的、合法的。</w:t>
      </w:r>
    </w:p>
    <w:p w14:paraId="52109ABE">
      <w:pPr>
        <w:snapToGrid w:val="0"/>
        <w:spacing w:before="156"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3.若中标，我方将按采购文件规定履行合同责任和义务。</w:t>
      </w:r>
    </w:p>
    <w:p w14:paraId="00A89159">
      <w:pPr>
        <w:snapToGrid w:val="0"/>
        <w:spacing w:before="156"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4.投标书自开标日起有效期为</w:t>
      </w:r>
      <w:r>
        <w:rPr>
          <w:rFonts w:hint="eastAsia" w:ascii="仿宋" w:hAnsi="仿宋" w:eastAsia="仿宋" w:cs="仿宋"/>
          <w:color w:val="auto"/>
          <w:sz w:val="24"/>
          <w:szCs w:val="24"/>
          <w:highlight w:val="none"/>
          <w:u w:val="single"/>
        </w:rPr>
        <w:t>90</w:t>
      </w:r>
      <w:r>
        <w:rPr>
          <w:rFonts w:hint="eastAsia" w:ascii="仿宋" w:hAnsi="仿宋" w:eastAsia="仿宋" w:cs="仿宋"/>
          <w:color w:val="auto"/>
          <w:sz w:val="24"/>
          <w:szCs w:val="24"/>
          <w:highlight w:val="none"/>
        </w:rPr>
        <w:t>日。</w:t>
      </w:r>
    </w:p>
    <w:p w14:paraId="63A17618">
      <w:pPr>
        <w:snapToGrid w:val="0"/>
        <w:spacing w:before="156"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5.以上事项如有虚假或隐瞒，我方愿意承担一切后果，并不再寻求任何旨在减轻或免除法律责任的辩解。</w:t>
      </w:r>
    </w:p>
    <w:p w14:paraId="4A49E228">
      <w:pPr>
        <w:snapToGrid w:val="0"/>
        <w:spacing w:before="156" w:line="360" w:lineRule="auto"/>
        <w:ind w:firstLine="480" w:firstLineChars="200"/>
        <w:rPr>
          <w:rFonts w:ascii="仿宋" w:hAnsi="仿宋" w:eastAsia="仿宋" w:cs="仿宋"/>
          <w:color w:val="auto"/>
          <w:sz w:val="24"/>
          <w:szCs w:val="24"/>
          <w:highlight w:val="none"/>
        </w:rPr>
      </w:pPr>
    </w:p>
    <w:p w14:paraId="6F7EAA93">
      <w:pPr>
        <w:snapToGrid w:val="0"/>
        <w:spacing w:before="156" w:line="360" w:lineRule="auto"/>
        <w:ind w:firstLine="480" w:firstLineChars="200"/>
        <w:rPr>
          <w:rFonts w:ascii="仿宋" w:hAnsi="仿宋" w:eastAsia="仿宋" w:cs="仿宋"/>
          <w:color w:val="auto"/>
          <w:sz w:val="24"/>
          <w:szCs w:val="24"/>
          <w:highlight w:val="none"/>
        </w:rPr>
      </w:pPr>
    </w:p>
    <w:p w14:paraId="203D5D68">
      <w:pPr>
        <w:pStyle w:val="51"/>
        <w:snapToGrid w:val="0"/>
        <w:spacing w:before="156" w:line="360" w:lineRule="auto"/>
        <w:rPr>
          <w:rFonts w:ascii="仿宋" w:hAnsi="仿宋" w:eastAsia="仿宋" w:cs="仿宋"/>
          <w:color w:val="auto"/>
          <w:szCs w:val="24"/>
          <w:highlight w:val="none"/>
        </w:rPr>
      </w:pPr>
      <w:r>
        <w:rPr>
          <w:rFonts w:hint="eastAsia" w:ascii="仿宋" w:hAnsi="仿宋" w:eastAsia="仿宋" w:cs="仿宋"/>
          <w:color w:val="auto"/>
          <w:szCs w:val="24"/>
          <w:highlight w:val="none"/>
        </w:rPr>
        <w:t>投标人全称（电子签章）：</w:t>
      </w:r>
      <w:r>
        <w:rPr>
          <w:rFonts w:hint="eastAsia" w:ascii="仿宋" w:hAnsi="仿宋" w:eastAsia="仿宋" w:cs="仿宋"/>
          <w:color w:val="auto"/>
          <w:szCs w:val="24"/>
          <w:highlight w:val="none"/>
          <w:u w:val="single"/>
        </w:rPr>
        <w:t xml:space="preserve">                         </w:t>
      </w:r>
    </w:p>
    <w:p w14:paraId="08A3E1B9">
      <w:pPr>
        <w:snapToGrid w:val="0"/>
        <w:spacing w:before="156" w:line="360" w:lineRule="auto"/>
        <w:ind w:right="6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法定代表人或授权代表（签名或签章）：</w:t>
      </w:r>
      <w:r>
        <w:rPr>
          <w:rFonts w:hint="eastAsia" w:ascii="仿宋" w:hAnsi="仿宋" w:eastAsia="仿宋" w:cs="仿宋"/>
          <w:color w:val="auto"/>
          <w:sz w:val="24"/>
          <w:szCs w:val="24"/>
          <w:highlight w:val="none"/>
          <w:u w:val="single"/>
        </w:rPr>
        <w:t xml:space="preserve">             </w:t>
      </w:r>
    </w:p>
    <w:p w14:paraId="163E51ED">
      <w:pPr>
        <w:snapToGrid w:val="0"/>
        <w:spacing w:before="156" w:line="360" w:lineRule="auto"/>
        <w:ind w:right="600"/>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年    月    日</w:t>
      </w:r>
    </w:p>
    <w:p w14:paraId="7E042853">
      <w:pPr>
        <w:pStyle w:val="12"/>
        <w:tabs>
          <w:tab w:val="left" w:pos="939"/>
        </w:tabs>
        <w:snapToGrid w:val="0"/>
        <w:spacing w:before="156" w:line="460" w:lineRule="exact"/>
        <w:ind w:left="888" w:leftChars="150" w:hanging="573" w:hangingChars="191"/>
        <w:rPr>
          <w:rFonts w:ascii="仿宋" w:hAnsi="仿宋" w:eastAsia="仿宋" w:cs="仿宋"/>
          <w:color w:val="auto"/>
          <w:sz w:val="30"/>
          <w:szCs w:val="30"/>
          <w:highlight w:val="none"/>
        </w:rPr>
      </w:pPr>
    </w:p>
    <w:p w14:paraId="4778E0A7">
      <w:pPr>
        <w:snapToGrid w:val="0"/>
        <w:spacing w:before="156" w:after="50" w:line="460" w:lineRule="exact"/>
        <w:ind w:firstLine="640"/>
        <w:jc w:val="center"/>
        <w:rPr>
          <w:rFonts w:ascii="仿宋" w:hAnsi="仿宋" w:eastAsia="仿宋" w:cs="仿宋"/>
          <w:b/>
          <w:color w:val="auto"/>
          <w:sz w:val="32"/>
          <w:highlight w:val="none"/>
        </w:rPr>
      </w:pPr>
    </w:p>
    <w:p w14:paraId="1BBE3D14">
      <w:pPr>
        <w:spacing w:before="156" w:line="360" w:lineRule="auto"/>
        <w:ind w:firstLine="640"/>
        <w:jc w:val="center"/>
        <w:outlineLvl w:val="1"/>
        <w:rPr>
          <w:rFonts w:ascii="仿宋" w:hAnsi="仿宋" w:eastAsia="仿宋" w:cs="仿宋"/>
          <w:b/>
          <w:color w:val="auto"/>
          <w:sz w:val="32"/>
          <w:highlight w:val="none"/>
        </w:rPr>
      </w:pPr>
    </w:p>
    <w:p w14:paraId="7E52CBBE">
      <w:pPr>
        <w:spacing w:before="156" w:line="360" w:lineRule="auto"/>
        <w:ind w:firstLine="640"/>
        <w:jc w:val="center"/>
        <w:outlineLvl w:val="1"/>
        <w:rPr>
          <w:rFonts w:ascii="仿宋" w:hAnsi="仿宋" w:eastAsia="仿宋" w:cs="仿宋"/>
          <w:b/>
          <w:color w:val="auto"/>
          <w:sz w:val="32"/>
          <w:highlight w:val="none"/>
        </w:rPr>
      </w:pPr>
    </w:p>
    <w:p w14:paraId="38141E57">
      <w:pPr>
        <w:spacing w:before="156" w:line="360" w:lineRule="auto"/>
        <w:ind w:firstLine="643"/>
        <w:jc w:val="center"/>
        <w:outlineLvl w:val="1"/>
        <w:rPr>
          <w:rFonts w:ascii="仿宋" w:hAnsi="仿宋" w:eastAsia="仿宋" w:cs="仿宋"/>
          <w:b/>
          <w:color w:val="auto"/>
          <w:sz w:val="32"/>
          <w:highlight w:val="none"/>
        </w:rPr>
      </w:pPr>
      <w:r>
        <w:rPr>
          <w:rFonts w:hint="eastAsia" w:ascii="仿宋" w:hAnsi="仿宋" w:eastAsia="仿宋" w:cs="仿宋"/>
          <w:b/>
          <w:color w:val="auto"/>
          <w:sz w:val="32"/>
          <w:highlight w:val="none"/>
          <w:lang w:val="en-US" w:eastAsia="zh-CN"/>
        </w:rPr>
        <w:t>九</w:t>
      </w:r>
      <w:r>
        <w:rPr>
          <w:rFonts w:hint="eastAsia" w:ascii="仿宋" w:hAnsi="仿宋" w:eastAsia="仿宋" w:cs="仿宋"/>
          <w:b/>
          <w:color w:val="auto"/>
          <w:sz w:val="32"/>
          <w:highlight w:val="none"/>
        </w:rPr>
        <w:t>、技术规格偏离表</w:t>
      </w:r>
    </w:p>
    <w:p w14:paraId="71DA0719">
      <w:pPr>
        <w:spacing w:before="156" w:line="360" w:lineRule="auto"/>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项目名称： </w:t>
      </w:r>
    </w:p>
    <w:p w14:paraId="6CE25C3A">
      <w:pPr>
        <w:spacing w:before="156" w:line="360" w:lineRule="auto"/>
        <w:jc w:val="left"/>
        <w:rPr>
          <w:rFonts w:ascii="仿宋" w:hAnsi="仿宋" w:eastAsia="仿宋" w:cs="仿宋"/>
          <w:b/>
          <w:color w:val="auto"/>
          <w:sz w:val="30"/>
          <w:szCs w:val="30"/>
          <w:highlight w:val="none"/>
        </w:rPr>
      </w:pPr>
      <w:r>
        <w:rPr>
          <w:rFonts w:hint="eastAsia" w:ascii="仿宋" w:hAnsi="仿宋" w:eastAsia="仿宋" w:cs="仿宋"/>
          <w:color w:val="auto"/>
          <w:sz w:val="24"/>
          <w:szCs w:val="24"/>
          <w:highlight w:val="none"/>
        </w:rPr>
        <w:t xml:space="preserve">项目编号： </w:t>
      </w: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w:t>
      </w:r>
    </w:p>
    <w:tbl>
      <w:tblPr>
        <w:tblStyle w:val="26"/>
        <w:tblW w:w="9315" w:type="dxa"/>
        <w:tblInd w:w="-13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275"/>
        <w:gridCol w:w="1770"/>
        <w:gridCol w:w="1800"/>
        <w:gridCol w:w="2675"/>
        <w:gridCol w:w="1060"/>
      </w:tblGrid>
      <w:tr w14:paraId="5FF9D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96" w:hRule="atLeast"/>
        </w:trPr>
        <w:tc>
          <w:tcPr>
            <w:tcW w:w="735" w:type="dxa"/>
            <w:tcBorders>
              <w:top w:val="single" w:color="auto" w:sz="4" w:space="0"/>
              <w:left w:val="single" w:color="auto" w:sz="4" w:space="0"/>
              <w:bottom w:val="single" w:color="auto" w:sz="4" w:space="0"/>
              <w:right w:val="single" w:color="auto" w:sz="4" w:space="0"/>
            </w:tcBorders>
            <w:vAlign w:val="center"/>
          </w:tcPr>
          <w:p w14:paraId="499FB2AA">
            <w:pPr>
              <w:spacing w:before="156"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275" w:type="dxa"/>
            <w:tcBorders>
              <w:top w:val="single" w:color="auto" w:sz="4" w:space="0"/>
              <w:left w:val="single" w:color="auto" w:sz="4" w:space="0"/>
              <w:bottom w:val="single" w:color="auto" w:sz="4" w:space="0"/>
              <w:right w:val="single" w:color="auto" w:sz="4" w:space="0"/>
            </w:tcBorders>
            <w:vAlign w:val="center"/>
          </w:tcPr>
          <w:p w14:paraId="7580EDD9">
            <w:pPr>
              <w:spacing w:before="156"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需求名称</w:t>
            </w:r>
          </w:p>
        </w:tc>
        <w:tc>
          <w:tcPr>
            <w:tcW w:w="1770" w:type="dxa"/>
            <w:tcBorders>
              <w:top w:val="single" w:color="auto" w:sz="4" w:space="0"/>
              <w:left w:val="single" w:color="auto" w:sz="4" w:space="0"/>
              <w:bottom w:val="single" w:color="auto" w:sz="4" w:space="0"/>
              <w:right w:val="single" w:color="auto" w:sz="4" w:space="0"/>
            </w:tcBorders>
            <w:vAlign w:val="center"/>
          </w:tcPr>
          <w:p w14:paraId="6670AE37">
            <w:pPr>
              <w:spacing w:before="156"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采购要求</w:t>
            </w:r>
          </w:p>
        </w:tc>
        <w:tc>
          <w:tcPr>
            <w:tcW w:w="1800" w:type="dxa"/>
            <w:tcBorders>
              <w:top w:val="single" w:color="auto" w:sz="4" w:space="0"/>
              <w:left w:val="single" w:color="auto" w:sz="4" w:space="0"/>
              <w:bottom w:val="single" w:color="auto" w:sz="4" w:space="0"/>
              <w:right w:val="single" w:color="auto" w:sz="4" w:space="0"/>
            </w:tcBorders>
            <w:vAlign w:val="center"/>
          </w:tcPr>
          <w:p w14:paraId="754AF5B0">
            <w:pPr>
              <w:spacing w:before="156"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投标响应情况</w:t>
            </w:r>
          </w:p>
        </w:tc>
        <w:tc>
          <w:tcPr>
            <w:tcW w:w="2675" w:type="dxa"/>
            <w:tcBorders>
              <w:top w:val="single" w:color="auto" w:sz="4" w:space="0"/>
              <w:left w:val="single" w:color="auto" w:sz="4" w:space="0"/>
              <w:bottom w:val="single" w:color="auto" w:sz="4" w:space="0"/>
              <w:right w:val="single" w:color="auto" w:sz="4" w:space="0"/>
            </w:tcBorders>
            <w:vAlign w:val="center"/>
          </w:tcPr>
          <w:p w14:paraId="14E37687">
            <w:pPr>
              <w:spacing w:before="156" w:line="36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偏离情况</w:t>
            </w:r>
          </w:p>
          <w:p w14:paraId="2D1172A5">
            <w:pPr>
              <w:spacing w:before="156" w:line="320" w:lineRule="exact"/>
              <w:jc w:val="center"/>
              <w:rPr>
                <w:rFonts w:ascii="仿宋" w:hAnsi="仿宋" w:eastAsia="仿宋" w:cs="仿宋"/>
                <w:color w:val="auto"/>
                <w:highlight w:val="none"/>
              </w:rPr>
            </w:pPr>
            <w:r>
              <w:rPr>
                <w:rFonts w:hint="eastAsia" w:ascii="仿宋" w:hAnsi="仿宋" w:eastAsia="仿宋" w:cs="仿宋"/>
                <w:bCs/>
                <w:color w:val="auto"/>
                <w:szCs w:val="21"/>
                <w:highlight w:val="none"/>
              </w:rPr>
              <w:t>（未响应、负偏离、正偏离）</w:t>
            </w:r>
          </w:p>
        </w:tc>
        <w:tc>
          <w:tcPr>
            <w:tcW w:w="1060" w:type="dxa"/>
            <w:tcBorders>
              <w:top w:val="single" w:color="auto" w:sz="4" w:space="0"/>
              <w:left w:val="single" w:color="auto" w:sz="4" w:space="0"/>
              <w:bottom w:val="single" w:color="auto" w:sz="4" w:space="0"/>
              <w:right w:val="single" w:color="auto" w:sz="4" w:space="0"/>
            </w:tcBorders>
            <w:vAlign w:val="center"/>
          </w:tcPr>
          <w:p w14:paraId="7FD08BA0">
            <w:pPr>
              <w:spacing w:before="156"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说明</w:t>
            </w:r>
          </w:p>
        </w:tc>
      </w:tr>
      <w:tr w14:paraId="71E43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trPr>
        <w:tc>
          <w:tcPr>
            <w:tcW w:w="735" w:type="dxa"/>
            <w:tcBorders>
              <w:top w:val="single" w:color="auto" w:sz="4" w:space="0"/>
              <w:left w:val="single" w:color="auto" w:sz="4" w:space="0"/>
              <w:bottom w:val="single" w:color="auto" w:sz="4" w:space="0"/>
              <w:right w:val="single" w:color="auto" w:sz="4" w:space="0"/>
            </w:tcBorders>
          </w:tcPr>
          <w:p w14:paraId="567E6265">
            <w:pPr>
              <w:spacing w:before="156" w:line="360" w:lineRule="auto"/>
              <w:ind w:firstLine="480" w:firstLineChars="200"/>
              <w:rPr>
                <w:rFonts w:ascii="仿宋" w:hAnsi="仿宋" w:eastAsia="仿宋" w:cs="仿宋"/>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tcPr>
          <w:p w14:paraId="21BCE74D">
            <w:pPr>
              <w:spacing w:before="156" w:line="360" w:lineRule="auto"/>
              <w:ind w:firstLine="480" w:firstLineChars="200"/>
              <w:rPr>
                <w:rFonts w:ascii="仿宋" w:hAnsi="仿宋" w:eastAsia="仿宋" w:cs="仿宋"/>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tcPr>
          <w:p w14:paraId="5021104F">
            <w:pPr>
              <w:spacing w:before="156" w:line="360" w:lineRule="auto"/>
              <w:ind w:firstLine="480" w:firstLineChars="200"/>
              <w:rPr>
                <w:rFonts w:ascii="仿宋" w:hAnsi="仿宋" w:eastAsia="仿宋" w:cs="仿宋"/>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tcPr>
          <w:p w14:paraId="624E77B6">
            <w:pPr>
              <w:spacing w:before="156" w:line="360" w:lineRule="auto"/>
              <w:ind w:firstLine="480" w:firstLineChars="200"/>
              <w:rPr>
                <w:rFonts w:ascii="仿宋" w:hAnsi="仿宋" w:eastAsia="仿宋" w:cs="仿宋"/>
                <w:color w:val="auto"/>
                <w:sz w:val="24"/>
                <w:highlight w:val="none"/>
              </w:rPr>
            </w:pPr>
          </w:p>
        </w:tc>
        <w:tc>
          <w:tcPr>
            <w:tcW w:w="2675" w:type="dxa"/>
            <w:tcBorders>
              <w:top w:val="single" w:color="auto" w:sz="4" w:space="0"/>
              <w:left w:val="single" w:color="auto" w:sz="4" w:space="0"/>
              <w:bottom w:val="single" w:color="auto" w:sz="4" w:space="0"/>
              <w:right w:val="single" w:color="auto" w:sz="4" w:space="0"/>
            </w:tcBorders>
          </w:tcPr>
          <w:p w14:paraId="168DCCD9">
            <w:pPr>
              <w:spacing w:before="156" w:line="360" w:lineRule="auto"/>
              <w:ind w:firstLine="480" w:firstLineChars="200"/>
              <w:rPr>
                <w:rFonts w:ascii="仿宋" w:hAnsi="仿宋" w:eastAsia="仿宋" w:cs="仿宋"/>
                <w:color w:val="auto"/>
                <w:sz w:val="24"/>
                <w:highlight w:val="none"/>
              </w:rPr>
            </w:pPr>
          </w:p>
        </w:tc>
        <w:tc>
          <w:tcPr>
            <w:tcW w:w="1060" w:type="dxa"/>
            <w:tcBorders>
              <w:top w:val="single" w:color="auto" w:sz="4" w:space="0"/>
              <w:left w:val="single" w:color="auto" w:sz="4" w:space="0"/>
              <w:bottom w:val="single" w:color="auto" w:sz="4" w:space="0"/>
              <w:right w:val="single" w:color="auto" w:sz="4" w:space="0"/>
            </w:tcBorders>
          </w:tcPr>
          <w:p w14:paraId="4836F398">
            <w:pPr>
              <w:spacing w:before="156" w:line="360" w:lineRule="auto"/>
              <w:ind w:firstLine="480" w:firstLineChars="200"/>
              <w:rPr>
                <w:rFonts w:ascii="仿宋" w:hAnsi="仿宋" w:eastAsia="仿宋" w:cs="仿宋"/>
                <w:color w:val="auto"/>
                <w:sz w:val="24"/>
                <w:highlight w:val="none"/>
              </w:rPr>
            </w:pPr>
          </w:p>
        </w:tc>
      </w:tr>
      <w:tr w14:paraId="0CDC1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trPr>
        <w:tc>
          <w:tcPr>
            <w:tcW w:w="735" w:type="dxa"/>
            <w:tcBorders>
              <w:top w:val="single" w:color="auto" w:sz="4" w:space="0"/>
              <w:left w:val="single" w:color="auto" w:sz="4" w:space="0"/>
              <w:bottom w:val="single" w:color="auto" w:sz="4" w:space="0"/>
              <w:right w:val="single" w:color="auto" w:sz="4" w:space="0"/>
            </w:tcBorders>
          </w:tcPr>
          <w:p w14:paraId="13D092D2">
            <w:pPr>
              <w:spacing w:before="156" w:line="360" w:lineRule="auto"/>
              <w:ind w:firstLine="480" w:firstLineChars="200"/>
              <w:rPr>
                <w:rFonts w:ascii="仿宋" w:hAnsi="仿宋" w:eastAsia="仿宋" w:cs="仿宋"/>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tcPr>
          <w:p w14:paraId="049DAE79">
            <w:pPr>
              <w:spacing w:before="156" w:line="360" w:lineRule="auto"/>
              <w:ind w:firstLine="480" w:firstLineChars="200"/>
              <w:rPr>
                <w:rFonts w:ascii="仿宋" w:hAnsi="仿宋" w:eastAsia="仿宋" w:cs="仿宋"/>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tcPr>
          <w:p w14:paraId="453F5147">
            <w:pPr>
              <w:spacing w:before="156" w:line="360" w:lineRule="auto"/>
              <w:ind w:firstLine="480" w:firstLineChars="200"/>
              <w:rPr>
                <w:rFonts w:ascii="仿宋" w:hAnsi="仿宋" w:eastAsia="仿宋" w:cs="仿宋"/>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tcPr>
          <w:p w14:paraId="3CC559CF">
            <w:pPr>
              <w:spacing w:before="156" w:line="360" w:lineRule="auto"/>
              <w:ind w:firstLine="480" w:firstLineChars="200"/>
              <w:rPr>
                <w:rFonts w:ascii="仿宋" w:hAnsi="仿宋" w:eastAsia="仿宋" w:cs="仿宋"/>
                <w:color w:val="auto"/>
                <w:sz w:val="24"/>
                <w:highlight w:val="none"/>
              </w:rPr>
            </w:pPr>
          </w:p>
        </w:tc>
        <w:tc>
          <w:tcPr>
            <w:tcW w:w="2675" w:type="dxa"/>
            <w:tcBorders>
              <w:top w:val="single" w:color="auto" w:sz="4" w:space="0"/>
              <w:left w:val="single" w:color="auto" w:sz="4" w:space="0"/>
              <w:bottom w:val="single" w:color="auto" w:sz="4" w:space="0"/>
              <w:right w:val="single" w:color="auto" w:sz="4" w:space="0"/>
            </w:tcBorders>
          </w:tcPr>
          <w:p w14:paraId="1EEB2048">
            <w:pPr>
              <w:spacing w:before="156" w:line="360" w:lineRule="auto"/>
              <w:ind w:firstLine="480" w:firstLineChars="200"/>
              <w:rPr>
                <w:rFonts w:ascii="仿宋" w:hAnsi="仿宋" w:eastAsia="仿宋" w:cs="仿宋"/>
                <w:color w:val="auto"/>
                <w:sz w:val="24"/>
                <w:highlight w:val="none"/>
              </w:rPr>
            </w:pPr>
          </w:p>
        </w:tc>
        <w:tc>
          <w:tcPr>
            <w:tcW w:w="1060" w:type="dxa"/>
            <w:tcBorders>
              <w:top w:val="single" w:color="auto" w:sz="4" w:space="0"/>
              <w:left w:val="single" w:color="auto" w:sz="4" w:space="0"/>
              <w:bottom w:val="single" w:color="auto" w:sz="4" w:space="0"/>
              <w:right w:val="single" w:color="auto" w:sz="4" w:space="0"/>
            </w:tcBorders>
          </w:tcPr>
          <w:p w14:paraId="4DEC67E4">
            <w:pPr>
              <w:spacing w:before="156" w:line="360" w:lineRule="auto"/>
              <w:ind w:firstLine="480" w:firstLineChars="200"/>
              <w:rPr>
                <w:rFonts w:ascii="仿宋" w:hAnsi="仿宋" w:eastAsia="仿宋" w:cs="仿宋"/>
                <w:color w:val="auto"/>
                <w:sz w:val="24"/>
                <w:highlight w:val="none"/>
              </w:rPr>
            </w:pPr>
          </w:p>
        </w:tc>
      </w:tr>
      <w:tr w14:paraId="019E7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trPr>
        <w:tc>
          <w:tcPr>
            <w:tcW w:w="735" w:type="dxa"/>
            <w:tcBorders>
              <w:top w:val="single" w:color="auto" w:sz="4" w:space="0"/>
              <w:left w:val="single" w:color="auto" w:sz="4" w:space="0"/>
              <w:bottom w:val="single" w:color="auto" w:sz="4" w:space="0"/>
              <w:right w:val="single" w:color="auto" w:sz="4" w:space="0"/>
            </w:tcBorders>
          </w:tcPr>
          <w:p w14:paraId="770EA43D">
            <w:pPr>
              <w:spacing w:before="156" w:line="360" w:lineRule="auto"/>
              <w:ind w:firstLine="480" w:firstLineChars="200"/>
              <w:rPr>
                <w:rFonts w:ascii="仿宋" w:hAnsi="仿宋" w:eastAsia="仿宋" w:cs="仿宋"/>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tcPr>
          <w:p w14:paraId="16C606F9">
            <w:pPr>
              <w:spacing w:before="156" w:line="360" w:lineRule="auto"/>
              <w:ind w:firstLine="480" w:firstLineChars="200"/>
              <w:rPr>
                <w:rFonts w:ascii="仿宋" w:hAnsi="仿宋" w:eastAsia="仿宋" w:cs="仿宋"/>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tcPr>
          <w:p w14:paraId="5B6DD16B">
            <w:pPr>
              <w:spacing w:before="156" w:line="360" w:lineRule="auto"/>
              <w:ind w:firstLine="480" w:firstLineChars="200"/>
              <w:rPr>
                <w:rFonts w:ascii="仿宋" w:hAnsi="仿宋" w:eastAsia="仿宋" w:cs="仿宋"/>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tcPr>
          <w:p w14:paraId="2CC64432">
            <w:pPr>
              <w:spacing w:before="156" w:line="360" w:lineRule="auto"/>
              <w:ind w:firstLine="480" w:firstLineChars="200"/>
              <w:rPr>
                <w:rFonts w:ascii="仿宋" w:hAnsi="仿宋" w:eastAsia="仿宋" w:cs="仿宋"/>
                <w:color w:val="auto"/>
                <w:sz w:val="24"/>
                <w:highlight w:val="none"/>
              </w:rPr>
            </w:pPr>
          </w:p>
        </w:tc>
        <w:tc>
          <w:tcPr>
            <w:tcW w:w="2675" w:type="dxa"/>
            <w:tcBorders>
              <w:top w:val="single" w:color="auto" w:sz="4" w:space="0"/>
              <w:left w:val="single" w:color="auto" w:sz="4" w:space="0"/>
              <w:bottom w:val="single" w:color="auto" w:sz="4" w:space="0"/>
              <w:right w:val="single" w:color="auto" w:sz="4" w:space="0"/>
            </w:tcBorders>
          </w:tcPr>
          <w:p w14:paraId="0A8F013A">
            <w:pPr>
              <w:spacing w:before="156" w:line="360" w:lineRule="auto"/>
              <w:ind w:firstLine="480" w:firstLineChars="200"/>
              <w:rPr>
                <w:rFonts w:ascii="仿宋" w:hAnsi="仿宋" w:eastAsia="仿宋" w:cs="仿宋"/>
                <w:color w:val="auto"/>
                <w:sz w:val="24"/>
                <w:highlight w:val="none"/>
              </w:rPr>
            </w:pPr>
          </w:p>
        </w:tc>
        <w:tc>
          <w:tcPr>
            <w:tcW w:w="1060" w:type="dxa"/>
            <w:tcBorders>
              <w:top w:val="single" w:color="auto" w:sz="4" w:space="0"/>
              <w:left w:val="single" w:color="auto" w:sz="4" w:space="0"/>
              <w:bottom w:val="single" w:color="auto" w:sz="4" w:space="0"/>
              <w:right w:val="single" w:color="auto" w:sz="4" w:space="0"/>
            </w:tcBorders>
          </w:tcPr>
          <w:p w14:paraId="721E161B">
            <w:pPr>
              <w:spacing w:before="156" w:line="360" w:lineRule="auto"/>
              <w:ind w:firstLine="480" w:firstLineChars="200"/>
              <w:rPr>
                <w:rFonts w:ascii="仿宋" w:hAnsi="仿宋" w:eastAsia="仿宋" w:cs="仿宋"/>
                <w:color w:val="auto"/>
                <w:sz w:val="24"/>
                <w:highlight w:val="none"/>
              </w:rPr>
            </w:pPr>
          </w:p>
        </w:tc>
      </w:tr>
      <w:tr w14:paraId="44AA7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trPr>
        <w:tc>
          <w:tcPr>
            <w:tcW w:w="735" w:type="dxa"/>
            <w:tcBorders>
              <w:top w:val="single" w:color="auto" w:sz="4" w:space="0"/>
              <w:left w:val="single" w:color="auto" w:sz="4" w:space="0"/>
              <w:bottom w:val="single" w:color="auto" w:sz="4" w:space="0"/>
              <w:right w:val="single" w:color="auto" w:sz="4" w:space="0"/>
            </w:tcBorders>
          </w:tcPr>
          <w:p w14:paraId="2CFB81A8">
            <w:pPr>
              <w:spacing w:before="156" w:line="360" w:lineRule="auto"/>
              <w:ind w:firstLine="480" w:firstLineChars="200"/>
              <w:rPr>
                <w:rFonts w:ascii="仿宋" w:hAnsi="仿宋" w:eastAsia="仿宋" w:cs="仿宋"/>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tcPr>
          <w:p w14:paraId="3A824B42">
            <w:pPr>
              <w:spacing w:before="156" w:line="360" w:lineRule="auto"/>
              <w:ind w:firstLine="480" w:firstLineChars="200"/>
              <w:rPr>
                <w:rFonts w:ascii="仿宋" w:hAnsi="仿宋" w:eastAsia="仿宋" w:cs="仿宋"/>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tcPr>
          <w:p w14:paraId="7C1C69DE">
            <w:pPr>
              <w:spacing w:before="156" w:line="360" w:lineRule="auto"/>
              <w:ind w:firstLine="480" w:firstLineChars="200"/>
              <w:rPr>
                <w:rFonts w:ascii="仿宋" w:hAnsi="仿宋" w:eastAsia="仿宋" w:cs="仿宋"/>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tcPr>
          <w:p w14:paraId="29DEBA20">
            <w:pPr>
              <w:spacing w:before="156" w:line="360" w:lineRule="auto"/>
              <w:ind w:firstLine="480" w:firstLineChars="200"/>
              <w:rPr>
                <w:rFonts w:ascii="仿宋" w:hAnsi="仿宋" w:eastAsia="仿宋" w:cs="仿宋"/>
                <w:color w:val="auto"/>
                <w:sz w:val="24"/>
                <w:highlight w:val="none"/>
              </w:rPr>
            </w:pPr>
          </w:p>
        </w:tc>
        <w:tc>
          <w:tcPr>
            <w:tcW w:w="2675" w:type="dxa"/>
            <w:tcBorders>
              <w:top w:val="single" w:color="auto" w:sz="4" w:space="0"/>
              <w:left w:val="single" w:color="auto" w:sz="4" w:space="0"/>
              <w:bottom w:val="single" w:color="auto" w:sz="4" w:space="0"/>
              <w:right w:val="single" w:color="auto" w:sz="4" w:space="0"/>
            </w:tcBorders>
          </w:tcPr>
          <w:p w14:paraId="362378E3">
            <w:pPr>
              <w:spacing w:before="156" w:line="360" w:lineRule="auto"/>
              <w:ind w:firstLine="480" w:firstLineChars="200"/>
              <w:rPr>
                <w:rFonts w:ascii="仿宋" w:hAnsi="仿宋" w:eastAsia="仿宋" w:cs="仿宋"/>
                <w:color w:val="auto"/>
                <w:sz w:val="24"/>
                <w:highlight w:val="none"/>
              </w:rPr>
            </w:pPr>
          </w:p>
        </w:tc>
        <w:tc>
          <w:tcPr>
            <w:tcW w:w="1060" w:type="dxa"/>
            <w:tcBorders>
              <w:top w:val="single" w:color="auto" w:sz="4" w:space="0"/>
              <w:left w:val="single" w:color="auto" w:sz="4" w:space="0"/>
              <w:bottom w:val="single" w:color="auto" w:sz="4" w:space="0"/>
              <w:right w:val="single" w:color="auto" w:sz="4" w:space="0"/>
            </w:tcBorders>
          </w:tcPr>
          <w:p w14:paraId="1FF42467">
            <w:pPr>
              <w:spacing w:before="156" w:line="360" w:lineRule="auto"/>
              <w:ind w:firstLine="480" w:firstLineChars="200"/>
              <w:rPr>
                <w:rFonts w:ascii="仿宋" w:hAnsi="仿宋" w:eastAsia="仿宋" w:cs="仿宋"/>
                <w:color w:val="auto"/>
                <w:sz w:val="24"/>
                <w:highlight w:val="none"/>
              </w:rPr>
            </w:pPr>
          </w:p>
        </w:tc>
      </w:tr>
    </w:tbl>
    <w:p w14:paraId="3B14AB2B">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注：对每个需求的响应必须遵循如下规则：</w:t>
      </w:r>
    </w:p>
    <w:p w14:paraId="23EDCDD8">
      <w:pPr>
        <w:numPr>
          <w:ilvl w:val="0"/>
          <w:numId w:val="4"/>
        </w:num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偏离表中仅填写与招标文件要求有差异的条款，每一项在同一行一一对应，解释投标方案与用户需求之间的偏差；偏离表中仅填写条款内容但没有在同一行标明响应的，可能被认为是“未响应”，投标单位须承担此不利后果。</w:t>
      </w:r>
    </w:p>
    <w:p w14:paraId="7F471978">
      <w:pPr>
        <w:numPr>
          <w:ilvl w:val="0"/>
          <w:numId w:val="4"/>
        </w:num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投标人没有填写在偏离表中的其它所有技术或商务(不包含报价)条款都默认为完全响应招标要求。</w:t>
      </w:r>
    </w:p>
    <w:p w14:paraId="60333CB6">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偏离情况用“未响应”、“负偏离”、“正偏离”三种之一来表明该数量、功能或性能指标参数需求是否被满足。“未响应”表示投标产品无对应功能；“负偏离”表示投标产品有对应功能但性能指标参数劣于招标要求；“正偏离”表示投标产品有对应功能且性能指标参数优于招标要求，并说明对本项目应用有何实质性益处。</w:t>
      </w:r>
      <w:r>
        <w:rPr>
          <w:rFonts w:hint="eastAsia" w:ascii="仿宋" w:hAnsi="仿宋" w:eastAsia="仿宋" w:cs="仿宋"/>
          <w:b/>
          <w:bCs/>
          <w:color w:val="auto"/>
          <w:sz w:val="24"/>
          <w:highlight w:val="none"/>
        </w:rPr>
        <w:t>有未响应的作无效标处理。</w:t>
      </w:r>
    </w:p>
    <w:p w14:paraId="6EAFFE3F">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4.用数量来表示的需求，如与采购文件要求有差异，必须用确切的数字、单位进行偏离情况说明。</w:t>
      </w:r>
    </w:p>
    <w:p w14:paraId="169802AD">
      <w:pPr>
        <w:pStyle w:val="51"/>
        <w:snapToGrid w:val="0"/>
        <w:spacing w:beforeLines="0" w:line="440" w:lineRule="exact"/>
        <w:rPr>
          <w:rFonts w:ascii="仿宋" w:hAnsi="仿宋" w:eastAsia="仿宋" w:cs="仿宋"/>
          <w:color w:val="auto"/>
          <w:szCs w:val="24"/>
          <w:highlight w:val="none"/>
        </w:rPr>
      </w:pPr>
    </w:p>
    <w:p w14:paraId="6151C755">
      <w:pPr>
        <w:pStyle w:val="51"/>
        <w:snapToGrid w:val="0"/>
        <w:spacing w:beforeLines="0" w:line="440" w:lineRule="exact"/>
        <w:rPr>
          <w:rFonts w:ascii="仿宋" w:hAnsi="仿宋" w:eastAsia="仿宋" w:cs="仿宋"/>
          <w:color w:val="auto"/>
          <w:szCs w:val="24"/>
          <w:highlight w:val="none"/>
        </w:rPr>
      </w:pPr>
      <w:r>
        <w:rPr>
          <w:rFonts w:hint="eastAsia" w:ascii="仿宋" w:hAnsi="仿宋" w:eastAsia="仿宋" w:cs="仿宋"/>
          <w:color w:val="auto"/>
          <w:szCs w:val="24"/>
          <w:highlight w:val="none"/>
        </w:rPr>
        <w:t>投标人全称（电子签章）：</w:t>
      </w:r>
      <w:r>
        <w:rPr>
          <w:rFonts w:hint="eastAsia" w:ascii="仿宋" w:hAnsi="仿宋" w:eastAsia="仿宋" w:cs="仿宋"/>
          <w:color w:val="auto"/>
          <w:szCs w:val="24"/>
          <w:highlight w:val="none"/>
          <w:u w:val="single"/>
        </w:rPr>
        <w:t xml:space="preserve">                               </w:t>
      </w:r>
    </w:p>
    <w:p w14:paraId="475578B1">
      <w:pPr>
        <w:snapToGrid w:val="0"/>
        <w:spacing w:line="440" w:lineRule="exact"/>
        <w:ind w:right="600"/>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法定代表人或授权代表（签名或签章）：</w:t>
      </w:r>
      <w:r>
        <w:rPr>
          <w:rFonts w:hint="eastAsia" w:ascii="仿宋" w:hAnsi="仿宋" w:eastAsia="仿宋" w:cs="仿宋"/>
          <w:color w:val="auto"/>
          <w:sz w:val="24"/>
          <w:szCs w:val="24"/>
          <w:highlight w:val="none"/>
          <w:u w:val="single"/>
        </w:rPr>
        <w:t xml:space="preserve">                   </w:t>
      </w:r>
    </w:p>
    <w:p w14:paraId="724CA438">
      <w:pPr>
        <w:spacing w:line="440" w:lineRule="exact"/>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年    月    日</w:t>
      </w:r>
    </w:p>
    <w:p w14:paraId="06A7CE71">
      <w:pPr>
        <w:spacing w:before="156" w:line="360" w:lineRule="auto"/>
        <w:ind w:firstLine="643"/>
        <w:jc w:val="center"/>
        <w:outlineLvl w:val="1"/>
        <w:rPr>
          <w:rFonts w:ascii="仿宋" w:hAnsi="仿宋" w:eastAsia="仿宋" w:cs="仿宋"/>
          <w:b/>
          <w:color w:val="auto"/>
          <w:sz w:val="32"/>
          <w:szCs w:val="32"/>
          <w:highlight w:val="none"/>
        </w:rPr>
      </w:pPr>
      <w:r>
        <w:rPr>
          <w:rFonts w:hint="eastAsia" w:ascii="仿宋" w:hAnsi="仿宋" w:eastAsia="仿宋" w:cs="仿宋"/>
          <w:b/>
          <w:color w:val="auto"/>
          <w:sz w:val="32"/>
          <w:highlight w:val="none"/>
        </w:rPr>
        <w:br w:type="page"/>
      </w:r>
      <w:r>
        <w:rPr>
          <w:rFonts w:hint="eastAsia" w:ascii="仿宋" w:hAnsi="仿宋" w:eastAsia="仿宋" w:cs="仿宋"/>
          <w:b/>
          <w:color w:val="auto"/>
          <w:sz w:val="32"/>
          <w:highlight w:val="none"/>
        </w:rPr>
        <w:t>十、投标人情况介绍</w:t>
      </w:r>
    </w:p>
    <w:tbl>
      <w:tblPr>
        <w:tblStyle w:val="26"/>
        <w:tblW w:w="85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2"/>
        <w:gridCol w:w="2118"/>
        <w:gridCol w:w="1980"/>
        <w:gridCol w:w="720"/>
        <w:gridCol w:w="720"/>
        <w:gridCol w:w="801"/>
      </w:tblGrid>
      <w:tr w14:paraId="52D06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2202" w:type="dxa"/>
            <w:vAlign w:val="center"/>
          </w:tcPr>
          <w:p w14:paraId="6DE6DB25">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投标人名称</w:t>
            </w:r>
          </w:p>
        </w:tc>
        <w:tc>
          <w:tcPr>
            <w:tcW w:w="6339" w:type="dxa"/>
            <w:gridSpan w:val="5"/>
            <w:vAlign w:val="center"/>
          </w:tcPr>
          <w:p w14:paraId="29708740">
            <w:pPr>
              <w:spacing w:before="156"/>
              <w:jc w:val="center"/>
              <w:rPr>
                <w:rFonts w:ascii="仿宋" w:hAnsi="仿宋" w:eastAsia="仿宋" w:cs="仿宋"/>
                <w:color w:val="auto"/>
                <w:sz w:val="24"/>
                <w:highlight w:val="none"/>
              </w:rPr>
            </w:pPr>
          </w:p>
        </w:tc>
      </w:tr>
      <w:tr w14:paraId="539E4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404C6AC1">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地址</w:t>
            </w:r>
          </w:p>
        </w:tc>
        <w:tc>
          <w:tcPr>
            <w:tcW w:w="6339" w:type="dxa"/>
            <w:gridSpan w:val="5"/>
            <w:vAlign w:val="center"/>
          </w:tcPr>
          <w:p w14:paraId="734F5B69">
            <w:pPr>
              <w:spacing w:before="156"/>
              <w:jc w:val="center"/>
              <w:rPr>
                <w:rFonts w:ascii="仿宋" w:hAnsi="仿宋" w:eastAsia="仿宋" w:cs="仿宋"/>
                <w:color w:val="auto"/>
                <w:sz w:val="24"/>
                <w:highlight w:val="none"/>
              </w:rPr>
            </w:pPr>
          </w:p>
        </w:tc>
      </w:tr>
      <w:tr w14:paraId="7BE0E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4" w:hRule="atLeast"/>
          <w:jc w:val="center"/>
        </w:trPr>
        <w:tc>
          <w:tcPr>
            <w:tcW w:w="2202" w:type="dxa"/>
            <w:vAlign w:val="center"/>
          </w:tcPr>
          <w:p w14:paraId="08B4240C">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经营范围</w:t>
            </w:r>
          </w:p>
        </w:tc>
        <w:tc>
          <w:tcPr>
            <w:tcW w:w="2118" w:type="dxa"/>
            <w:vAlign w:val="center"/>
          </w:tcPr>
          <w:p w14:paraId="2E7FB70D">
            <w:pPr>
              <w:spacing w:before="156"/>
              <w:jc w:val="center"/>
              <w:rPr>
                <w:rFonts w:ascii="仿宋" w:hAnsi="仿宋" w:eastAsia="仿宋" w:cs="仿宋"/>
                <w:color w:val="auto"/>
                <w:sz w:val="24"/>
                <w:highlight w:val="none"/>
              </w:rPr>
            </w:pPr>
          </w:p>
        </w:tc>
        <w:tc>
          <w:tcPr>
            <w:tcW w:w="1980" w:type="dxa"/>
            <w:vAlign w:val="center"/>
          </w:tcPr>
          <w:p w14:paraId="519C15F7">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企业类型</w:t>
            </w:r>
          </w:p>
        </w:tc>
        <w:tc>
          <w:tcPr>
            <w:tcW w:w="2241" w:type="dxa"/>
            <w:gridSpan w:val="3"/>
            <w:vAlign w:val="center"/>
          </w:tcPr>
          <w:p w14:paraId="29CC1C48">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（大型、中型、小型、微型）</w:t>
            </w:r>
          </w:p>
        </w:tc>
      </w:tr>
      <w:tr w14:paraId="35D11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22E410DE">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成立时间</w:t>
            </w:r>
          </w:p>
        </w:tc>
        <w:tc>
          <w:tcPr>
            <w:tcW w:w="2118" w:type="dxa"/>
            <w:vAlign w:val="center"/>
          </w:tcPr>
          <w:p w14:paraId="387B6BE9">
            <w:pPr>
              <w:spacing w:before="156"/>
              <w:jc w:val="center"/>
              <w:rPr>
                <w:rFonts w:ascii="仿宋" w:hAnsi="仿宋" w:eastAsia="仿宋" w:cs="仿宋"/>
                <w:color w:val="auto"/>
                <w:sz w:val="24"/>
                <w:highlight w:val="none"/>
              </w:rPr>
            </w:pPr>
          </w:p>
        </w:tc>
        <w:tc>
          <w:tcPr>
            <w:tcW w:w="1980" w:type="dxa"/>
            <w:vAlign w:val="center"/>
          </w:tcPr>
          <w:p w14:paraId="3299F50D">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经济性质</w:t>
            </w:r>
          </w:p>
        </w:tc>
        <w:tc>
          <w:tcPr>
            <w:tcW w:w="2241" w:type="dxa"/>
            <w:gridSpan w:val="3"/>
            <w:vAlign w:val="center"/>
          </w:tcPr>
          <w:p w14:paraId="41C83A58">
            <w:pPr>
              <w:spacing w:before="156"/>
              <w:jc w:val="center"/>
              <w:rPr>
                <w:rFonts w:ascii="仿宋" w:hAnsi="仿宋" w:eastAsia="仿宋" w:cs="仿宋"/>
                <w:color w:val="auto"/>
                <w:sz w:val="24"/>
                <w:highlight w:val="none"/>
              </w:rPr>
            </w:pPr>
          </w:p>
        </w:tc>
      </w:tr>
      <w:tr w14:paraId="3BE5E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24A54CB5">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法定代表人</w:t>
            </w:r>
          </w:p>
        </w:tc>
        <w:tc>
          <w:tcPr>
            <w:tcW w:w="2118" w:type="dxa"/>
            <w:vAlign w:val="center"/>
          </w:tcPr>
          <w:p w14:paraId="216A4095">
            <w:pPr>
              <w:spacing w:before="156"/>
              <w:jc w:val="center"/>
              <w:rPr>
                <w:rFonts w:ascii="仿宋" w:hAnsi="仿宋" w:eastAsia="仿宋" w:cs="仿宋"/>
                <w:color w:val="auto"/>
                <w:sz w:val="24"/>
                <w:highlight w:val="none"/>
              </w:rPr>
            </w:pPr>
          </w:p>
        </w:tc>
        <w:tc>
          <w:tcPr>
            <w:tcW w:w="1980" w:type="dxa"/>
            <w:vAlign w:val="center"/>
          </w:tcPr>
          <w:p w14:paraId="2A295BDF">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联系电话</w:t>
            </w:r>
          </w:p>
        </w:tc>
        <w:tc>
          <w:tcPr>
            <w:tcW w:w="2241" w:type="dxa"/>
            <w:gridSpan w:val="3"/>
            <w:vAlign w:val="center"/>
          </w:tcPr>
          <w:p w14:paraId="7E3A0336">
            <w:pPr>
              <w:spacing w:before="156"/>
              <w:jc w:val="center"/>
              <w:rPr>
                <w:rFonts w:ascii="仿宋" w:hAnsi="仿宋" w:eastAsia="仿宋" w:cs="仿宋"/>
                <w:color w:val="auto"/>
                <w:sz w:val="24"/>
                <w:highlight w:val="none"/>
              </w:rPr>
            </w:pPr>
          </w:p>
        </w:tc>
      </w:tr>
      <w:tr w14:paraId="77299D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Merge w:val="restart"/>
            <w:vAlign w:val="center"/>
          </w:tcPr>
          <w:p w14:paraId="164D606C">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注册资本</w:t>
            </w:r>
          </w:p>
        </w:tc>
        <w:tc>
          <w:tcPr>
            <w:tcW w:w="2118" w:type="dxa"/>
            <w:vMerge w:val="restart"/>
            <w:vAlign w:val="center"/>
          </w:tcPr>
          <w:p w14:paraId="54375A07">
            <w:pPr>
              <w:spacing w:before="156"/>
              <w:jc w:val="center"/>
              <w:rPr>
                <w:rFonts w:ascii="仿宋" w:hAnsi="仿宋" w:eastAsia="仿宋" w:cs="仿宋"/>
                <w:color w:val="auto"/>
                <w:sz w:val="24"/>
                <w:highlight w:val="none"/>
              </w:rPr>
            </w:pPr>
          </w:p>
        </w:tc>
        <w:tc>
          <w:tcPr>
            <w:tcW w:w="1980" w:type="dxa"/>
            <w:vMerge w:val="restart"/>
            <w:vAlign w:val="center"/>
          </w:tcPr>
          <w:p w14:paraId="5247B1C8">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技术人员数</w:t>
            </w:r>
          </w:p>
        </w:tc>
        <w:tc>
          <w:tcPr>
            <w:tcW w:w="720" w:type="dxa"/>
            <w:vAlign w:val="center"/>
          </w:tcPr>
          <w:p w14:paraId="467D05E5">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高级</w:t>
            </w:r>
          </w:p>
        </w:tc>
        <w:tc>
          <w:tcPr>
            <w:tcW w:w="720" w:type="dxa"/>
            <w:vAlign w:val="center"/>
          </w:tcPr>
          <w:p w14:paraId="6D95E822">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中级</w:t>
            </w:r>
          </w:p>
        </w:tc>
        <w:tc>
          <w:tcPr>
            <w:tcW w:w="801" w:type="dxa"/>
            <w:vAlign w:val="center"/>
          </w:tcPr>
          <w:p w14:paraId="7FA4DF0B">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初级</w:t>
            </w:r>
          </w:p>
        </w:tc>
      </w:tr>
      <w:tr w14:paraId="02787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Merge w:val="continue"/>
            <w:vAlign w:val="center"/>
          </w:tcPr>
          <w:p w14:paraId="3AF02D33">
            <w:pPr>
              <w:spacing w:before="156"/>
              <w:jc w:val="center"/>
              <w:rPr>
                <w:rFonts w:ascii="仿宋" w:hAnsi="仿宋" w:eastAsia="仿宋" w:cs="仿宋"/>
                <w:color w:val="auto"/>
                <w:sz w:val="24"/>
                <w:highlight w:val="none"/>
              </w:rPr>
            </w:pPr>
          </w:p>
        </w:tc>
        <w:tc>
          <w:tcPr>
            <w:tcW w:w="2118" w:type="dxa"/>
            <w:vMerge w:val="continue"/>
            <w:vAlign w:val="center"/>
          </w:tcPr>
          <w:p w14:paraId="195B4DCD">
            <w:pPr>
              <w:spacing w:before="156"/>
              <w:jc w:val="center"/>
              <w:rPr>
                <w:rFonts w:ascii="仿宋" w:hAnsi="仿宋" w:eastAsia="仿宋" w:cs="仿宋"/>
                <w:color w:val="auto"/>
                <w:sz w:val="24"/>
                <w:highlight w:val="none"/>
              </w:rPr>
            </w:pPr>
          </w:p>
        </w:tc>
        <w:tc>
          <w:tcPr>
            <w:tcW w:w="1980" w:type="dxa"/>
            <w:vMerge w:val="continue"/>
            <w:vAlign w:val="center"/>
          </w:tcPr>
          <w:p w14:paraId="4585C463">
            <w:pPr>
              <w:spacing w:before="156"/>
              <w:jc w:val="center"/>
              <w:rPr>
                <w:rFonts w:ascii="仿宋" w:hAnsi="仿宋" w:eastAsia="仿宋" w:cs="仿宋"/>
                <w:color w:val="auto"/>
                <w:sz w:val="24"/>
                <w:highlight w:val="none"/>
              </w:rPr>
            </w:pPr>
          </w:p>
        </w:tc>
        <w:tc>
          <w:tcPr>
            <w:tcW w:w="720" w:type="dxa"/>
            <w:vAlign w:val="center"/>
          </w:tcPr>
          <w:p w14:paraId="3905ECEC">
            <w:pPr>
              <w:spacing w:before="156"/>
              <w:jc w:val="center"/>
              <w:rPr>
                <w:rFonts w:ascii="仿宋" w:hAnsi="仿宋" w:eastAsia="仿宋" w:cs="仿宋"/>
                <w:color w:val="auto"/>
                <w:sz w:val="24"/>
                <w:highlight w:val="none"/>
              </w:rPr>
            </w:pPr>
          </w:p>
        </w:tc>
        <w:tc>
          <w:tcPr>
            <w:tcW w:w="720" w:type="dxa"/>
            <w:vAlign w:val="center"/>
          </w:tcPr>
          <w:p w14:paraId="2E12B68A">
            <w:pPr>
              <w:spacing w:before="156"/>
              <w:jc w:val="center"/>
              <w:rPr>
                <w:rFonts w:ascii="仿宋" w:hAnsi="仿宋" w:eastAsia="仿宋" w:cs="仿宋"/>
                <w:color w:val="auto"/>
                <w:sz w:val="24"/>
                <w:highlight w:val="none"/>
              </w:rPr>
            </w:pPr>
          </w:p>
        </w:tc>
        <w:tc>
          <w:tcPr>
            <w:tcW w:w="801" w:type="dxa"/>
            <w:vAlign w:val="center"/>
          </w:tcPr>
          <w:p w14:paraId="1FA01977">
            <w:pPr>
              <w:spacing w:before="156"/>
              <w:jc w:val="center"/>
              <w:rPr>
                <w:rFonts w:ascii="仿宋" w:hAnsi="仿宋" w:eastAsia="仿宋" w:cs="仿宋"/>
                <w:color w:val="auto"/>
                <w:sz w:val="24"/>
                <w:highlight w:val="none"/>
              </w:rPr>
            </w:pPr>
          </w:p>
        </w:tc>
      </w:tr>
      <w:tr w14:paraId="4CE43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071BE8EF">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资产总额</w:t>
            </w:r>
          </w:p>
        </w:tc>
        <w:tc>
          <w:tcPr>
            <w:tcW w:w="2118" w:type="dxa"/>
            <w:vAlign w:val="center"/>
          </w:tcPr>
          <w:p w14:paraId="1CE761FB">
            <w:pPr>
              <w:spacing w:before="156"/>
              <w:jc w:val="center"/>
              <w:rPr>
                <w:rFonts w:ascii="仿宋" w:hAnsi="仿宋" w:eastAsia="仿宋" w:cs="仿宋"/>
                <w:color w:val="auto"/>
                <w:sz w:val="24"/>
                <w:highlight w:val="none"/>
              </w:rPr>
            </w:pPr>
          </w:p>
        </w:tc>
        <w:tc>
          <w:tcPr>
            <w:tcW w:w="1980" w:type="dxa"/>
            <w:vAlign w:val="center"/>
          </w:tcPr>
          <w:p w14:paraId="7B59B2AD">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所有者权益</w:t>
            </w:r>
          </w:p>
        </w:tc>
        <w:tc>
          <w:tcPr>
            <w:tcW w:w="2241" w:type="dxa"/>
            <w:gridSpan w:val="3"/>
            <w:vAlign w:val="center"/>
          </w:tcPr>
          <w:p w14:paraId="5D3B95EB">
            <w:pPr>
              <w:spacing w:before="156"/>
              <w:jc w:val="center"/>
              <w:rPr>
                <w:rFonts w:ascii="仿宋" w:hAnsi="仿宋" w:eastAsia="仿宋" w:cs="仿宋"/>
                <w:color w:val="auto"/>
                <w:sz w:val="24"/>
                <w:highlight w:val="none"/>
              </w:rPr>
            </w:pPr>
          </w:p>
        </w:tc>
      </w:tr>
      <w:tr w14:paraId="758F7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0763CEEB">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工商登记号</w:t>
            </w:r>
          </w:p>
        </w:tc>
        <w:tc>
          <w:tcPr>
            <w:tcW w:w="2118" w:type="dxa"/>
            <w:vAlign w:val="center"/>
          </w:tcPr>
          <w:p w14:paraId="1AFD1F55">
            <w:pPr>
              <w:spacing w:before="156"/>
              <w:jc w:val="center"/>
              <w:rPr>
                <w:rFonts w:ascii="仿宋" w:hAnsi="仿宋" w:eastAsia="仿宋" w:cs="仿宋"/>
                <w:color w:val="auto"/>
                <w:sz w:val="24"/>
                <w:highlight w:val="none"/>
              </w:rPr>
            </w:pPr>
          </w:p>
        </w:tc>
        <w:tc>
          <w:tcPr>
            <w:tcW w:w="1980" w:type="dxa"/>
            <w:vAlign w:val="center"/>
          </w:tcPr>
          <w:p w14:paraId="3972B3D5">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税务登记号</w:t>
            </w:r>
          </w:p>
        </w:tc>
        <w:tc>
          <w:tcPr>
            <w:tcW w:w="2241" w:type="dxa"/>
            <w:gridSpan w:val="3"/>
            <w:vAlign w:val="center"/>
          </w:tcPr>
          <w:p w14:paraId="73E99611">
            <w:pPr>
              <w:spacing w:before="156"/>
              <w:jc w:val="center"/>
              <w:rPr>
                <w:rFonts w:ascii="仿宋" w:hAnsi="仿宋" w:eastAsia="仿宋" w:cs="仿宋"/>
                <w:color w:val="auto"/>
                <w:sz w:val="24"/>
                <w:highlight w:val="none"/>
              </w:rPr>
            </w:pPr>
          </w:p>
        </w:tc>
      </w:tr>
      <w:tr w14:paraId="6F87A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1FBCE267">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是否依法纳税</w:t>
            </w:r>
          </w:p>
        </w:tc>
        <w:tc>
          <w:tcPr>
            <w:tcW w:w="2118" w:type="dxa"/>
            <w:vAlign w:val="center"/>
          </w:tcPr>
          <w:p w14:paraId="377742A8">
            <w:pPr>
              <w:spacing w:before="156"/>
              <w:jc w:val="center"/>
              <w:rPr>
                <w:rFonts w:ascii="仿宋" w:hAnsi="仿宋" w:eastAsia="仿宋" w:cs="仿宋"/>
                <w:color w:val="auto"/>
                <w:sz w:val="24"/>
                <w:highlight w:val="none"/>
              </w:rPr>
            </w:pPr>
          </w:p>
        </w:tc>
        <w:tc>
          <w:tcPr>
            <w:tcW w:w="1980" w:type="dxa"/>
            <w:vAlign w:val="center"/>
          </w:tcPr>
          <w:p w14:paraId="1938F508">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是否参加社保</w:t>
            </w:r>
          </w:p>
        </w:tc>
        <w:tc>
          <w:tcPr>
            <w:tcW w:w="2241" w:type="dxa"/>
            <w:gridSpan w:val="3"/>
            <w:vAlign w:val="center"/>
          </w:tcPr>
          <w:p w14:paraId="453D988E">
            <w:pPr>
              <w:spacing w:before="156"/>
              <w:jc w:val="center"/>
              <w:rPr>
                <w:rFonts w:ascii="仿宋" w:hAnsi="仿宋" w:eastAsia="仿宋" w:cs="仿宋"/>
                <w:color w:val="auto"/>
                <w:sz w:val="24"/>
                <w:highlight w:val="none"/>
              </w:rPr>
            </w:pPr>
          </w:p>
        </w:tc>
      </w:tr>
      <w:tr w14:paraId="01024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2202" w:type="dxa"/>
            <w:vAlign w:val="center"/>
          </w:tcPr>
          <w:p w14:paraId="1EC46754">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服务机构情况</w:t>
            </w:r>
          </w:p>
        </w:tc>
        <w:tc>
          <w:tcPr>
            <w:tcW w:w="6339" w:type="dxa"/>
            <w:gridSpan w:val="5"/>
            <w:vAlign w:val="center"/>
          </w:tcPr>
          <w:p w14:paraId="4D798C21">
            <w:pPr>
              <w:spacing w:before="156" w:line="360" w:lineRule="auto"/>
              <w:ind w:firstLine="60" w:firstLineChars="25"/>
              <w:rPr>
                <w:rFonts w:ascii="仿宋" w:hAnsi="仿宋" w:eastAsia="仿宋" w:cs="仿宋"/>
                <w:color w:val="auto"/>
                <w:sz w:val="24"/>
                <w:highlight w:val="none"/>
              </w:rPr>
            </w:pPr>
            <w:r>
              <w:rPr>
                <w:rFonts w:hint="eastAsia" w:ascii="仿宋" w:hAnsi="仿宋" w:eastAsia="仿宋" w:cs="仿宋"/>
                <w:color w:val="auto"/>
                <w:sz w:val="24"/>
                <w:highlight w:val="none"/>
              </w:rPr>
              <w:t>名称：</w:t>
            </w:r>
          </w:p>
          <w:p w14:paraId="515FBF6B">
            <w:pPr>
              <w:spacing w:before="156" w:line="360" w:lineRule="auto"/>
              <w:ind w:firstLine="60" w:firstLineChars="25"/>
              <w:rPr>
                <w:rFonts w:ascii="仿宋" w:hAnsi="仿宋" w:eastAsia="仿宋" w:cs="仿宋"/>
                <w:color w:val="auto"/>
                <w:sz w:val="24"/>
                <w:highlight w:val="none"/>
              </w:rPr>
            </w:pPr>
            <w:r>
              <w:rPr>
                <w:rFonts w:hint="eastAsia" w:ascii="仿宋" w:hAnsi="仿宋" w:eastAsia="仿宋" w:cs="仿宋"/>
                <w:color w:val="auto"/>
                <w:sz w:val="24"/>
                <w:highlight w:val="none"/>
              </w:rPr>
              <w:t>地址：</w:t>
            </w:r>
          </w:p>
          <w:p w14:paraId="7C1FCA64">
            <w:pPr>
              <w:spacing w:before="156" w:line="360" w:lineRule="auto"/>
              <w:ind w:firstLine="60" w:firstLineChars="25"/>
              <w:rPr>
                <w:rFonts w:ascii="仿宋" w:hAnsi="仿宋" w:eastAsia="仿宋" w:cs="仿宋"/>
                <w:color w:val="auto"/>
                <w:sz w:val="24"/>
                <w:highlight w:val="none"/>
              </w:rPr>
            </w:pPr>
            <w:r>
              <w:rPr>
                <w:rFonts w:hint="eastAsia" w:ascii="仿宋" w:hAnsi="仿宋" w:eastAsia="仿宋" w:cs="仿宋"/>
                <w:color w:val="auto"/>
                <w:sz w:val="24"/>
                <w:highlight w:val="none"/>
              </w:rPr>
              <w:t>人员状况：</w:t>
            </w:r>
          </w:p>
          <w:p w14:paraId="24C9F8D6">
            <w:pPr>
              <w:spacing w:before="156" w:line="360" w:lineRule="auto"/>
              <w:ind w:firstLine="60" w:firstLineChars="25"/>
              <w:rPr>
                <w:rFonts w:ascii="仿宋" w:hAnsi="仿宋" w:eastAsia="仿宋" w:cs="仿宋"/>
                <w:color w:val="auto"/>
                <w:sz w:val="24"/>
                <w:highlight w:val="none"/>
              </w:rPr>
            </w:pPr>
            <w:r>
              <w:rPr>
                <w:rFonts w:hint="eastAsia" w:ascii="仿宋" w:hAnsi="仿宋" w:eastAsia="仿宋" w:cs="仿宋"/>
                <w:color w:val="auto"/>
                <w:sz w:val="24"/>
                <w:highlight w:val="none"/>
              </w:rPr>
              <w:t>联系方式：</w:t>
            </w:r>
          </w:p>
          <w:p w14:paraId="7F9A90F4">
            <w:pPr>
              <w:spacing w:before="156" w:line="360" w:lineRule="auto"/>
              <w:ind w:firstLine="60" w:firstLineChars="25"/>
              <w:rPr>
                <w:rFonts w:ascii="仿宋" w:hAnsi="仿宋" w:eastAsia="仿宋" w:cs="仿宋"/>
                <w:color w:val="auto"/>
                <w:sz w:val="24"/>
                <w:highlight w:val="none"/>
              </w:rPr>
            </w:pPr>
            <w:r>
              <w:rPr>
                <w:rFonts w:hint="eastAsia" w:ascii="仿宋" w:hAnsi="仿宋" w:eastAsia="仿宋" w:cs="仿宋"/>
                <w:color w:val="auto"/>
                <w:sz w:val="24"/>
                <w:highlight w:val="none"/>
              </w:rPr>
              <w:t>（可另附纸说明）</w:t>
            </w:r>
          </w:p>
        </w:tc>
      </w:tr>
      <w:tr w14:paraId="5E7A5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2202" w:type="dxa"/>
            <w:vAlign w:val="center"/>
          </w:tcPr>
          <w:p w14:paraId="01E546A3">
            <w:pPr>
              <w:spacing w:before="156"/>
              <w:jc w:val="center"/>
              <w:rPr>
                <w:rFonts w:ascii="仿宋" w:hAnsi="仿宋" w:eastAsia="仿宋" w:cs="仿宋"/>
                <w:color w:val="auto"/>
                <w:sz w:val="24"/>
                <w:highlight w:val="none"/>
              </w:rPr>
            </w:pPr>
            <w:r>
              <w:rPr>
                <w:rFonts w:hint="eastAsia" w:ascii="仿宋" w:hAnsi="仿宋" w:eastAsia="仿宋" w:cs="仿宋"/>
                <w:color w:val="auto"/>
                <w:sz w:val="24"/>
                <w:highlight w:val="none"/>
              </w:rPr>
              <w:t>其他情况</w:t>
            </w:r>
          </w:p>
        </w:tc>
        <w:tc>
          <w:tcPr>
            <w:tcW w:w="6339" w:type="dxa"/>
            <w:gridSpan w:val="5"/>
            <w:vAlign w:val="center"/>
          </w:tcPr>
          <w:p w14:paraId="0AD15F03">
            <w:pPr>
              <w:spacing w:before="156" w:line="360" w:lineRule="auto"/>
              <w:ind w:firstLine="60" w:firstLineChars="25"/>
              <w:rPr>
                <w:rFonts w:ascii="仿宋" w:hAnsi="仿宋" w:eastAsia="仿宋" w:cs="仿宋"/>
                <w:color w:val="auto"/>
                <w:sz w:val="24"/>
                <w:highlight w:val="none"/>
              </w:rPr>
            </w:pPr>
            <w:r>
              <w:rPr>
                <w:rFonts w:hint="eastAsia" w:ascii="仿宋" w:hAnsi="仿宋" w:eastAsia="仿宋" w:cs="仿宋"/>
                <w:color w:val="auto"/>
                <w:sz w:val="24"/>
                <w:highlight w:val="none"/>
              </w:rPr>
              <w:t>如技术力量等（可另附纸说明）</w:t>
            </w:r>
          </w:p>
        </w:tc>
      </w:tr>
    </w:tbl>
    <w:p w14:paraId="1A699074">
      <w:pPr>
        <w:snapToGrid w:val="0"/>
        <w:spacing w:before="156" w:line="360" w:lineRule="auto"/>
        <w:rPr>
          <w:rFonts w:ascii="仿宋" w:hAnsi="仿宋" w:eastAsia="仿宋" w:cs="仿宋"/>
          <w:color w:val="auto"/>
          <w:sz w:val="24"/>
          <w:szCs w:val="24"/>
          <w:highlight w:val="none"/>
          <w:u w:val="single"/>
        </w:rPr>
      </w:pPr>
    </w:p>
    <w:p w14:paraId="72C0494C">
      <w:pPr>
        <w:pStyle w:val="51"/>
        <w:snapToGrid w:val="0"/>
        <w:spacing w:before="156" w:line="360" w:lineRule="auto"/>
        <w:rPr>
          <w:rFonts w:ascii="仿宋" w:hAnsi="仿宋" w:eastAsia="仿宋" w:cs="仿宋"/>
          <w:color w:val="auto"/>
          <w:szCs w:val="24"/>
          <w:highlight w:val="none"/>
        </w:rPr>
      </w:pPr>
      <w:r>
        <w:rPr>
          <w:rFonts w:hint="eastAsia" w:ascii="仿宋" w:hAnsi="仿宋" w:eastAsia="仿宋" w:cs="仿宋"/>
          <w:color w:val="auto"/>
          <w:szCs w:val="24"/>
          <w:highlight w:val="none"/>
        </w:rPr>
        <w:t>投标人全称（电子签章）：</w:t>
      </w:r>
      <w:r>
        <w:rPr>
          <w:rFonts w:hint="eastAsia" w:ascii="仿宋" w:hAnsi="仿宋" w:eastAsia="仿宋" w:cs="仿宋"/>
          <w:color w:val="auto"/>
          <w:szCs w:val="24"/>
          <w:highlight w:val="none"/>
          <w:u w:val="single"/>
        </w:rPr>
        <w:t xml:space="preserve">                               </w:t>
      </w:r>
    </w:p>
    <w:p w14:paraId="478BF707">
      <w:pPr>
        <w:snapToGrid w:val="0"/>
        <w:spacing w:before="156" w:line="360" w:lineRule="auto"/>
        <w:ind w:right="6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法定代表人或授权代表（签名或签章）：</w:t>
      </w:r>
      <w:r>
        <w:rPr>
          <w:rFonts w:hint="eastAsia" w:ascii="仿宋" w:hAnsi="仿宋" w:eastAsia="仿宋" w:cs="仿宋"/>
          <w:color w:val="auto"/>
          <w:sz w:val="24"/>
          <w:szCs w:val="24"/>
          <w:highlight w:val="none"/>
          <w:u w:val="single"/>
        </w:rPr>
        <w:t xml:space="preserve">                   </w:t>
      </w:r>
    </w:p>
    <w:p w14:paraId="39BE864C">
      <w:pPr>
        <w:snapToGrid w:val="0"/>
        <w:spacing w:before="156" w:line="360" w:lineRule="auto"/>
        <w:ind w:right="600"/>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年    月    日</w:t>
      </w:r>
    </w:p>
    <w:p w14:paraId="564B969C">
      <w:pPr>
        <w:snapToGrid w:val="0"/>
        <w:spacing w:before="156" w:after="50"/>
        <w:ind w:firstLine="640"/>
        <w:jc w:val="center"/>
        <w:rPr>
          <w:rFonts w:ascii="仿宋" w:hAnsi="仿宋" w:eastAsia="仿宋" w:cs="仿宋"/>
          <w:b/>
          <w:color w:val="auto"/>
          <w:sz w:val="32"/>
          <w:szCs w:val="32"/>
          <w:highlight w:val="none"/>
        </w:rPr>
      </w:pPr>
    </w:p>
    <w:p w14:paraId="656EBF77">
      <w:pPr>
        <w:pStyle w:val="20"/>
        <w:snapToGrid w:val="0"/>
        <w:spacing w:before="156" w:line="360" w:lineRule="auto"/>
        <w:ind w:left="643" w:hanging="643"/>
        <w:jc w:val="center"/>
        <w:outlineLvl w:val="1"/>
        <w:rPr>
          <w:rFonts w:ascii="仿宋" w:hAnsi="仿宋" w:eastAsia="仿宋" w:cs="仿宋"/>
          <w:b/>
          <w:color w:val="auto"/>
          <w:sz w:val="32"/>
          <w:szCs w:val="32"/>
          <w:highlight w:val="none"/>
        </w:rPr>
      </w:pPr>
    </w:p>
    <w:p w14:paraId="6B3FE4E8">
      <w:pPr>
        <w:pStyle w:val="20"/>
        <w:snapToGrid w:val="0"/>
        <w:spacing w:before="156" w:line="360" w:lineRule="auto"/>
        <w:ind w:left="643" w:hanging="643"/>
        <w:jc w:val="center"/>
        <w:outlineLvl w:val="1"/>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十</w:t>
      </w:r>
      <w:r>
        <w:rPr>
          <w:rFonts w:hint="eastAsia" w:ascii="仿宋" w:hAnsi="仿宋" w:eastAsia="仿宋" w:cs="仿宋"/>
          <w:b/>
          <w:color w:val="auto"/>
          <w:sz w:val="32"/>
          <w:szCs w:val="32"/>
          <w:highlight w:val="none"/>
          <w:lang w:val="en-US" w:eastAsia="zh-CN"/>
        </w:rPr>
        <w:t>一</w:t>
      </w:r>
      <w:r>
        <w:rPr>
          <w:rFonts w:hint="eastAsia" w:ascii="仿宋" w:hAnsi="仿宋" w:eastAsia="仿宋" w:cs="仿宋"/>
          <w:b/>
          <w:color w:val="auto"/>
          <w:sz w:val="32"/>
          <w:szCs w:val="32"/>
          <w:highlight w:val="none"/>
        </w:rPr>
        <w:t>、投标人同类项目实施业绩一览表</w:t>
      </w:r>
    </w:p>
    <w:p w14:paraId="53F30517">
      <w:pPr>
        <w:spacing w:before="156" w:line="360" w:lineRule="auto"/>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项目名称： </w:t>
      </w:r>
    </w:p>
    <w:p w14:paraId="14EF3D39">
      <w:pPr>
        <w:pStyle w:val="20"/>
        <w:snapToGrid w:val="0"/>
        <w:spacing w:before="156" w:line="360" w:lineRule="auto"/>
        <w:ind w:left="480" w:hanging="480"/>
        <w:jc w:val="left"/>
        <w:rPr>
          <w:rFonts w:ascii="仿宋" w:hAnsi="仿宋" w:eastAsia="仿宋" w:cs="仿宋"/>
          <w:b/>
          <w:color w:val="auto"/>
          <w:sz w:val="32"/>
          <w:szCs w:val="32"/>
          <w:highlight w:val="none"/>
        </w:rPr>
      </w:pPr>
      <w:r>
        <w:rPr>
          <w:rFonts w:hint="eastAsia" w:ascii="仿宋" w:hAnsi="仿宋" w:eastAsia="仿宋" w:cs="仿宋"/>
          <w:color w:val="auto"/>
          <w:sz w:val="24"/>
          <w:highlight w:val="none"/>
        </w:rPr>
        <w:t xml:space="preserve">项目编号： </w:t>
      </w:r>
    </w:p>
    <w:tbl>
      <w:tblPr>
        <w:tblStyle w:val="26"/>
        <w:tblW w:w="9377" w:type="dxa"/>
        <w:tblInd w:w="-7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68"/>
        <w:gridCol w:w="1199"/>
        <w:gridCol w:w="1740"/>
        <w:gridCol w:w="1410"/>
        <w:gridCol w:w="1485"/>
        <w:gridCol w:w="1430"/>
        <w:gridCol w:w="745"/>
      </w:tblGrid>
      <w:tr w14:paraId="268DBE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570" w:hRule="atLeast"/>
        </w:trPr>
        <w:tc>
          <w:tcPr>
            <w:tcW w:w="1368" w:type="dxa"/>
            <w:tcBorders>
              <w:top w:val="single" w:color="auto" w:sz="4" w:space="0"/>
              <w:left w:val="single" w:color="auto" w:sz="4" w:space="0"/>
              <w:bottom w:val="single" w:color="auto" w:sz="4" w:space="0"/>
              <w:right w:val="single" w:color="auto" w:sz="4" w:space="0"/>
            </w:tcBorders>
            <w:vAlign w:val="center"/>
          </w:tcPr>
          <w:p w14:paraId="6A24EFA3">
            <w:pPr>
              <w:snapToGrid w:val="0"/>
              <w:spacing w:before="156" w:line="32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采购单位名称</w:t>
            </w:r>
          </w:p>
        </w:tc>
        <w:tc>
          <w:tcPr>
            <w:tcW w:w="1199" w:type="dxa"/>
            <w:tcBorders>
              <w:top w:val="single" w:color="auto" w:sz="4" w:space="0"/>
              <w:left w:val="single" w:color="auto" w:sz="4" w:space="0"/>
              <w:bottom w:val="single" w:color="auto" w:sz="4" w:space="0"/>
              <w:right w:val="single" w:color="auto" w:sz="4" w:space="0"/>
            </w:tcBorders>
            <w:vAlign w:val="center"/>
          </w:tcPr>
          <w:p w14:paraId="2F7E4B22">
            <w:pPr>
              <w:snapToGrid w:val="0"/>
              <w:spacing w:before="156" w:line="32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1740" w:type="dxa"/>
            <w:tcBorders>
              <w:top w:val="single" w:color="auto" w:sz="4" w:space="0"/>
              <w:left w:val="single" w:color="auto" w:sz="4" w:space="0"/>
              <w:right w:val="single" w:color="auto" w:sz="4" w:space="0"/>
            </w:tcBorders>
            <w:vAlign w:val="center"/>
          </w:tcPr>
          <w:p w14:paraId="7AC93193">
            <w:pPr>
              <w:snapToGrid w:val="0"/>
              <w:spacing w:before="156" w:line="32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项目简要描述</w:t>
            </w:r>
          </w:p>
        </w:tc>
        <w:tc>
          <w:tcPr>
            <w:tcW w:w="1410" w:type="dxa"/>
            <w:tcBorders>
              <w:top w:val="single" w:color="auto" w:sz="4" w:space="0"/>
              <w:left w:val="single" w:color="auto" w:sz="4" w:space="0"/>
              <w:bottom w:val="single" w:color="auto" w:sz="4" w:space="0"/>
              <w:right w:val="single" w:color="auto" w:sz="4" w:space="0"/>
            </w:tcBorders>
            <w:vAlign w:val="center"/>
          </w:tcPr>
          <w:p w14:paraId="624D98D0">
            <w:pPr>
              <w:snapToGrid w:val="0"/>
              <w:spacing w:before="156" w:line="32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合同金额</w:t>
            </w:r>
          </w:p>
          <w:p w14:paraId="65D332E7">
            <w:pPr>
              <w:snapToGrid w:val="0"/>
              <w:spacing w:before="156" w:line="32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（万元）</w:t>
            </w:r>
          </w:p>
        </w:tc>
        <w:tc>
          <w:tcPr>
            <w:tcW w:w="1485" w:type="dxa"/>
            <w:tcBorders>
              <w:top w:val="single" w:color="auto" w:sz="4" w:space="0"/>
              <w:left w:val="single" w:color="auto" w:sz="4" w:space="0"/>
              <w:right w:val="single" w:color="auto" w:sz="4" w:space="0"/>
            </w:tcBorders>
            <w:vAlign w:val="center"/>
          </w:tcPr>
          <w:p w14:paraId="5A362937">
            <w:pPr>
              <w:snapToGrid w:val="0"/>
              <w:spacing w:before="156" w:line="32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实施时间</w:t>
            </w:r>
          </w:p>
        </w:tc>
        <w:tc>
          <w:tcPr>
            <w:tcW w:w="1430" w:type="dxa"/>
            <w:tcBorders>
              <w:top w:val="single" w:color="auto" w:sz="4" w:space="0"/>
              <w:left w:val="single" w:color="auto" w:sz="4" w:space="0"/>
              <w:bottom w:val="single" w:color="auto" w:sz="4" w:space="0"/>
              <w:right w:val="single" w:color="auto" w:sz="4" w:space="0"/>
            </w:tcBorders>
            <w:vAlign w:val="center"/>
          </w:tcPr>
          <w:p w14:paraId="53EFD82F">
            <w:pPr>
              <w:snapToGrid w:val="0"/>
              <w:spacing w:before="156" w:line="32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项目地址、采购单位联系人及联系电话</w:t>
            </w:r>
          </w:p>
        </w:tc>
        <w:tc>
          <w:tcPr>
            <w:tcW w:w="745" w:type="dxa"/>
            <w:tcBorders>
              <w:top w:val="single" w:color="auto" w:sz="4" w:space="0"/>
              <w:left w:val="single" w:color="auto" w:sz="4" w:space="0"/>
              <w:bottom w:val="single" w:color="auto" w:sz="4" w:space="0"/>
              <w:right w:val="single" w:color="auto" w:sz="4" w:space="0"/>
            </w:tcBorders>
            <w:vAlign w:val="center"/>
          </w:tcPr>
          <w:p w14:paraId="240C106E">
            <w:pPr>
              <w:snapToGrid w:val="0"/>
              <w:spacing w:before="156" w:line="32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页码</w:t>
            </w:r>
          </w:p>
        </w:tc>
      </w:tr>
      <w:tr w14:paraId="41588A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68" w:type="dxa"/>
            <w:tcBorders>
              <w:top w:val="single" w:color="auto" w:sz="4" w:space="0"/>
              <w:left w:val="single" w:color="auto" w:sz="4" w:space="0"/>
              <w:bottom w:val="single" w:color="auto" w:sz="4" w:space="0"/>
              <w:right w:val="single" w:color="auto" w:sz="4" w:space="0"/>
            </w:tcBorders>
            <w:vAlign w:val="center"/>
          </w:tcPr>
          <w:p w14:paraId="1DF27971">
            <w:pPr>
              <w:snapToGrid w:val="0"/>
              <w:spacing w:before="156" w:after="156" w:afterLines="50" w:line="360" w:lineRule="auto"/>
              <w:jc w:val="center"/>
              <w:rPr>
                <w:rFonts w:ascii="仿宋" w:hAnsi="仿宋" w:eastAsia="仿宋" w:cs="仿宋"/>
                <w:color w:val="auto"/>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65BFD8F9">
            <w:pPr>
              <w:snapToGrid w:val="0"/>
              <w:spacing w:before="156" w:after="156" w:afterLines="50" w:line="360" w:lineRule="auto"/>
              <w:jc w:val="center"/>
              <w:rPr>
                <w:rFonts w:ascii="仿宋" w:hAnsi="仿宋" w:eastAsia="仿宋" w:cs="仿宋"/>
                <w:color w:val="auto"/>
                <w:sz w:val="24"/>
                <w:szCs w:val="24"/>
                <w:highlight w:val="none"/>
              </w:rPr>
            </w:pPr>
          </w:p>
        </w:tc>
        <w:tc>
          <w:tcPr>
            <w:tcW w:w="1740" w:type="dxa"/>
            <w:tcBorders>
              <w:top w:val="single" w:color="auto" w:sz="4" w:space="0"/>
              <w:left w:val="single" w:color="auto" w:sz="4" w:space="0"/>
              <w:bottom w:val="single" w:color="auto" w:sz="4" w:space="0"/>
              <w:right w:val="single" w:color="auto" w:sz="4" w:space="0"/>
            </w:tcBorders>
            <w:vAlign w:val="center"/>
          </w:tcPr>
          <w:p w14:paraId="3FBC83EB">
            <w:pPr>
              <w:snapToGrid w:val="0"/>
              <w:spacing w:before="156" w:after="156" w:afterLines="50" w:line="360" w:lineRule="auto"/>
              <w:jc w:val="center"/>
              <w:rPr>
                <w:rFonts w:ascii="仿宋" w:hAnsi="仿宋" w:eastAsia="仿宋" w:cs="仿宋"/>
                <w:color w:val="auto"/>
                <w:sz w:val="24"/>
                <w:szCs w:val="24"/>
                <w:highlight w:val="none"/>
              </w:rPr>
            </w:pPr>
          </w:p>
        </w:tc>
        <w:tc>
          <w:tcPr>
            <w:tcW w:w="1410" w:type="dxa"/>
            <w:tcBorders>
              <w:top w:val="single" w:color="auto" w:sz="4" w:space="0"/>
              <w:left w:val="single" w:color="auto" w:sz="4" w:space="0"/>
              <w:bottom w:val="single" w:color="auto" w:sz="4" w:space="0"/>
              <w:right w:val="single" w:color="auto" w:sz="4" w:space="0"/>
            </w:tcBorders>
            <w:vAlign w:val="center"/>
          </w:tcPr>
          <w:p w14:paraId="431F17C0">
            <w:pPr>
              <w:snapToGrid w:val="0"/>
              <w:spacing w:before="156" w:after="156" w:afterLines="50" w:line="360" w:lineRule="auto"/>
              <w:jc w:val="center"/>
              <w:rPr>
                <w:rFonts w:ascii="仿宋" w:hAnsi="仿宋" w:eastAsia="仿宋" w:cs="仿宋"/>
                <w:color w:val="auto"/>
                <w:sz w:val="24"/>
                <w:szCs w:val="24"/>
                <w:highlight w:val="none"/>
              </w:rPr>
            </w:pPr>
          </w:p>
        </w:tc>
        <w:tc>
          <w:tcPr>
            <w:tcW w:w="1485" w:type="dxa"/>
            <w:tcBorders>
              <w:top w:val="single" w:color="auto" w:sz="4" w:space="0"/>
              <w:left w:val="single" w:color="auto" w:sz="4" w:space="0"/>
              <w:bottom w:val="single" w:color="auto" w:sz="4" w:space="0"/>
              <w:right w:val="single" w:color="auto" w:sz="4" w:space="0"/>
            </w:tcBorders>
            <w:vAlign w:val="center"/>
          </w:tcPr>
          <w:p w14:paraId="0B338732">
            <w:pPr>
              <w:snapToGrid w:val="0"/>
              <w:spacing w:before="156" w:after="156" w:afterLines="50" w:line="360" w:lineRule="auto"/>
              <w:jc w:val="center"/>
              <w:rPr>
                <w:rFonts w:ascii="仿宋" w:hAnsi="仿宋" w:eastAsia="仿宋" w:cs="仿宋"/>
                <w:color w:val="auto"/>
                <w:sz w:val="24"/>
                <w:szCs w:val="24"/>
                <w:highlight w:val="none"/>
              </w:rPr>
            </w:pPr>
          </w:p>
        </w:tc>
        <w:tc>
          <w:tcPr>
            <w:tcW w:w="1430" w:type="dxa"/>
            <w:tcBorders>
              <w:top w:val="single" w:color="auto" w:sz="4" w:space="0"/>
              <w:left w:val="single" w:color="auto" w:sz="4" w:space="0"/>
              <w:bottom w:val="single" w:color="auto" w:sz="4" w:space="0"/>
              <w:right w:val="single" w:color="auto" w:sz="4" w:space="0"/>
            </w:tcBorders>
            <w:vAlign w:val="center"/>
          </w:tcPr>
          <w:p w14:paraId="11F61EAC">
            <w:pPr>
              <w:snapToGrid w:val="0"/>
              <w:spacing w:before="156" w:after="156" w:afterLines="50" w:line="360" w:lineRule="auto"/>
              <w:jc w:val="center"/>
              <w:rPr>
                <w:rFonts w:ascii="仿宋" w:hAnsi="仿宋" w:eastAsia="仿宋" w:cs="仿宋"/>
                <w:color w:val="auto"/>
                <w:sz w:val="24"/>
                <w:szCs w:val="24"/>
                <w:highlight w:val="none"/>
              </w:rPr>
            </w:pPr>
          </w:p>
        </w:tc>
        <w:tc>
          <w:tcPr>
            <w:tcW w:w="745" w:type="dxa"/>
            <w:tcBorders>
              <w:top w:val="single" w:color="auto" w:sz="4" w:space="0"/>
              <w:left w:val="single" w:color="auto" w:sz="4" w:space="0"/>
              <w:bottom w:val="single" w:color="auto" w:sz="4" w:space="0"/>
              <w:right w:val="single" w:color="auto" w:sz="4" w:space="0"/>
            </w:tcBorders>
            <w:vAlign w:val="center"/>
          </w:tcPr>
          <w:p w14:paraId="55425297">
            <w:pPr>
              <w:snapToGrid w:val="0"/>
              <w:spacing w:before="156" w:after="156" w:afterLines="50" w:line="360" w:lineRule="auto"/>
              <w:jc w:val="center"/>
              <w:rPr>
                <w:rFonts w:ascii="仿宋" w:hAnsi="仿宋" w:eastAsia="仿宋" w:cs="仿宋"/>
                <w:color w:val="auto"/>
                <w:sz w:val="24"/>
                <w:szCs w:val="24"/>
                <w:highlight w:val="none"/>
              </w:rPr>
            </w:pPr>
          </w:p>
        </w:tc>
      </w:tr>
      <w:tr w14:paraId="0D0BC5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1368" w:type="dxa"/>
            <w:tcBorders>
              <w:top w:val="single" w:color="auto" w:sz="4" w:space="0"/>
              <w:left w:val="single" w:color="auto" w:sz="4" w:space="0"/>
              <w:bottom w:val="single" w:color="auto" w:sz="4" w:space="0"/>
              <w:right w:val="single" w:color="auto" w:sz="4" w:space="0"/>
            </w:tcBorders>
            <w:vAlign w:val="center"/>
          </w:tcPr>
          <w:p w14:paraId="401FA2F7">
            <w:pPr>
              <w:snapToGrid w:val="0"/>
              <w:spacing w:before="156" w:after="156" w:afterLines="50" w:line="360" w:lineRule="auto"/>
              <w:jc w:val="center"/>
              <w:rPr>
                <w:rFonts w:ascii="仿宋" w:hAnsi="仿宋" w:eastAsia="仿宋" w:cs="仿宋"/>
                <w:color w:val="auto"/>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334050ED">
            <w:pPr>
              <w:snapToGrid w:val="0"/>
              <w:spacing w:before="156" w:after="156" w:afterLines="50" w:line="360" w:lineRule="auto"/>
              <w:jc w:val="center"/>
              <w:rPr>
                <w:rFonts w:ascii="仿宋" w:hAnsi="仿宋" w:eastAsia="仿宋" w:cs="仿宋"/>
                <w:color w:val="auto"/>
                <w:sz w:val="24"/>
                <w:szCs w:val="24"/>
                <w:highlight w:val="none"/>
              </w:rPr>
            </w:pPr>
          </w:p>
        </w:tc>
        <w:tc>
          <w:tcPr>
            <w:tcW w:w="1740" w:type="dxa"/>
            <w:tcBorders>
              <w:top w:val="single" w:color="auto" w:sz="4" w:space="0"/>
              <w:left w:val="single" w:color="auto" w:sz="4" w:space="0"/>
              <w:bottom w:val="single" w:color="auto" w:sz="4" w:space="0"/>
              <w:right w:val="single" w:color="auto" w:sz="4" w:space="0"/>
            </w:tcBorders>
            <w:vAlign w:val="center"/>
          </w:tcPr>
          <w:p w14:paraId="5A4D7889">
            <w:pPr>
              <w:snapToGrid w:val="0"/>
              <w:spacing w:before="156" w:after="156" w:afterLines="50" w:line="360" w:lineRule="auto"/>
              <w:jc w:val="center"/>
              <w:rPr>
                <w:rFonts w:ascii="仿宋" w:hAnsi="仿宋" w:eastAsia="仿宋" w:cs="仿宋"/>
                <w:color w:val="auto"/>
                <w:sz w:val="24"/>
                <w:szCs w:val="24"/>
                <w:highlight w:val="none"/>
              </w:rPr>
            </w:pPr>
          </w:p>
        </w:tc>
        <w:tc>
          <w:tcPr>
            <w:tcW w:w="1410" w:type="dxa"/>
            <w:tcBorders>
              <w:top w:val="single" w:color="auto" w:sz="4" w:space="0"/>
              <w:left w:val="single" w:color="auto" w:sz="4" w:space="0"/>
              <w:bottom w:val="single" w:color="auto" w:sz="4" w:space="0"/>
              <w:right w:val="single" w:color="auto" w:sz="4" w:space="0"/>
            </w:tcBorders>
            <w:vAlign w:val="center"/>
          </w:tcPr>
          <w:p w14:paraId="4EB5E48F">
            <w:pPr>
              <w:snapToGrid w:val="0"/>
              <w:spacing w:before="156" w:after="156" w:afterLines="50" w:line="360" w:lineRule="auto"/>
              <w:jc w:val="center"/>
              <w:rPr>
                <w:rFonts w:ascii="仿宋" w:hAnsi="仿宋" w:eastAsia="仿宋" w:cs="仿宋"/>
                <w:color w:val="auto"/>
                <w:sz w:val="24"/>
                <w:szCs w:val="24"/>
                <w:highlight w:val="none"/>
              </w:rPr>
            </w:pPr>
          </w:p>
        </w:tc>
        <w:tc>
          <w:tcPr>
            <w:tcW w:w="1485" w:type="dxa"/>
            <w:tcBorders>
              <w:top w:val="single" w:color="auto" w:sz="4" w:space="0"/>
              <w:left w:val="single" w:color="auto" w:sz="4" w:space="0"/>
              <w:bottom w:val="single" w:color="auto" w:sz="4" w:space="0"/>
              <w:right w:val="single" w:color="auto" w:sz="4" w:space="0"/>
            </w:tcBorders>
            <w:vAlign w:val="center"/>
          </w:tcPr>
          <w:p w14:paraId="0F0A70BE">
            <w:pPr>
              <w:snapToGrid w:val="0"/>
              <w:spacing w:before="156" w:after="156" w:afterLines="50" w:line="360" w:lineRule="auto"/>
              <w:jc w:val="center"/>
              <w:rPr>
                <w:rFonts w:ascii="仿宋" w:hAnsi="仿宋" w:eastAsia="仿宋" w:cs="仿宋"/>
                <w:color w:val="auto"/>
                <w:sz w:val="24"/>
                <w:szCs w:val="24"/>
                <w:highlight w:val="none"/>
              </w:rPr>
            </w:pPr>
          </w:p>
        </w:tc>
        <w:tc>
          <w:tcPr>
            <w:tcW w:w="1430" w:type="dxa"/>
            <w:tcBorders>
              <w:top w:val="single" w:color="auto" w:sz="4" w:space="0"/>
              <w:left w:val="single" w:color="auto" w:sz="4" w:space="0"/>
              <w:bottom w:val="single" w:color="auto" w:sz="4" w:space="0"/>
              <w:right w:val="single" w:color="auto" w:sz="4" w:space="0"/>
            </w:tcBorders>
            <w:vAlign w:val="center"/>
          </w:tcPr>
          <w:p w14:paraId="563BE3A5">
            <w:pPr>
              <w:snapToGrid w:val="0"/>
              <w:spacing w:before="156" w:after="156" w:afterLines="50" w:line="360" w:lineRule="auto"/>
              <w:jc w:val="center"/>
              <w:rPr>
                <w:rFonts w:ascii="仿宋" w:hAnsi="仿宋" w:eastAsia="仿宋" w:cs="仿宋"/>
                <w:color w:val="auto"/>
                <w:sz w:val="24"/>
                <w:szCs w:val="24"/>
                <w:highlight w:val="none"/>
              </w:rPr>
            </w:pPr>
          </w:p>
        </w:tc>
        <w:tc>
          <w:tcPr>
            <w:tcW w:w="745" w:type="dxa"/>
            <w:tcBorders>
              <w:top w:val="single" w:color="auto" w:sz="4" w:space="0"/>
              <w:left w:val="single" w:color="auto" w:sz="4" w:space="0"/>
              <w:bottom w:val="single" w:color="auto" w:sz="4" w:space="0"/>
              <w:right w:val="single" w:color="auto" w:sz="4" w:space="0"/>
            </w:tcBorders>
            <w:vAlign w:val="center"/>
          </w:tcPr>
          <w:p w14:paraId="150D88F6">
            <w:pPr>
              <w:snapToGrid w:val="0"/>
              <w:spacing w:before="156" w:after="156" w:afterLines="50" w:line="360" w:lineRule="auto"/>
              <w:jc w:val="center"/>
              <w:rPr>
                <w:rFonts w:ascii="仿宋" w:hAnsi="仿宋" w:eastAsia="仿宋" w:cs="仿宋"/>
                <w:color w:val="auto"/>
                <w:sz w:val="24"/>
                <w:szCs w:val="24"/>
                <w:highlight w:val="none"/>
              </w:rPr>
            </w:pPr>
          </w:p>
        </w:tc>
      </w:tr>
      <w:tr w14:paraId="4D7B62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68" w:type="dxa"/>
            <w:tcBorders>
              <w:top w:val="single" w:color="auto" w:sz="4" w:space="0"/>
              <w:left w:val="single" w:color="auto" w:sz="4" w:space="0"/>
              <w:bottom w:val="single" w:color="auto" w:sz="4" w:space="0"/>
              <w:right w:val="single" w:color="auto" w:sz="4" w:space="0"/>
            </w:tcBorders>
            <w:vAlign w:val="center"/>
          </w:tcPr>
          <w:p w14:paraId="75D636F5">
            <w:pPr>
              <w:snapToGrid w:val="0"/>
              <w:spacing w:before="156" w:after="156" w:afterLines="50" w:line="360" w:lineRule="auto"/>
              <w:jc w:val="center"/>
              <w:rPr>
                <w:rFonts w:ascii="仿宋" w:hAnsi="仿宋" w:eastAsia="仿宋" w:cs="仿宋"/>
                <w:color w:val="auto"/>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37113B10">
            <w:pPr>
              <w:snapToGrid w:val="0"/>
              <w:spacing w:before="156" w:after="156" w:afterLines="50" w:line="360" w:lineRule="auto"/>
              <w:jc w:val="center"/>
              <w:rPr>
                <w:rFonts w:ascii="仿宋" w:hAnsi="仿宋" w:eastAsia="仿宋" w:cs="仿宋"/>
                <w:color w:val="auto"/>
                <w:sz w:val="24"/>
                <w:szCs w:val="24"/>
                <w:highlight w:val="none"/>
              </w:rPr>
            </w:pPr>
          </w:p>
        </w:tc>
        <w:tc>
          <w:tcPr>
            <w:tcW w:w="1740" w:type="dxa"/>
            <w:tcBorders>
              <w:top w:val="single" w:color="auto" w:sz="4" w:space="0"/>
              <w:left w:val="single" w:color="auto" w:sz="4" w:space="0"/>
              <w:bottom w:val="single" w:color="auto" w:sz="4" w:space="0"/>
              <w:right w:val="single" w:color="auto" w:sz="4" w:space="0"/>
            </w:tcBorders>
            <w:vAlign w:val="center"/>
          </w:tcPr>
          <w:p w14:paraId="5976F9E1">
            <w:pPr>
              <w:snapToGrid w:val="0"/>
              <w:spacing w:before="156" w:after="156" w:afterLines="50" w:line="360" w:lineRule="auto"/>
              <w:jc w:val="center"/>
              <w:rPr>
                <w:rFonts w:ascii="仿宋" w:hAnsi="仿宋" w:eastAsia="仿宋" w:cs="仿宋"/>
                <w:color w:val="auto"/>
                <w:sz w:val="24"/>
                <w:szCs w:val="24"/>
                <w:highlight w:val="none"/>
              </w:rPr>
            </w:pPr>
          </w:p>
        </w:tc>
        <w:tc>
          <w:tcPr>
            <w:tcW w:w="1410" w:type="dxa"/>
            <w:tcBorders>
              <w:top w:val="single" w:color="auto" w:sz="4" w:space="0"/>
              <w:left w:val="single" w:color="auto" w:sz="4" w:space="0"/>
              <w:bottom w:val="single" w:color="auto" w:sz="4" w:space="0"/>
              <w:right w:val="single" w:color="auto" w:sz="4" w:space="0"/>
            </w:tcBorders>
            <w:vAlign w:val="center"/>
          </w:tcPr>
          <w:p w14:paraId="55F9A7A8">
            <w:pPr>
              <w:snapToGrid w:val="0"/>
              <w:spacing w:before="156" w:after="156" w:afterLines="50" w:line="360" w:lineRule="auto"/>
              <w:jc w:val="center"/>
              <w:rPr>
                <w:rFonts w:ascii="仿宋" w:hAnsi="仿宋" w:eastAsia="仿宋" w:cs="仿宋"/>
                <w:color w:val="auto"/>
                <w:sz w:val="24"/>
                <w:szCs w:val="24"/>
                <w:highlight w:val="none"/>
              </w:rPr>
            </w:pPr>
          </w:p>
        </w:tc>
        <w:tc>
          <w:tcPr>
            <w:tcW w:w="1485" w:type="dxa"/>
            <w:tcBorders>
              <w:top w:val="single" w:color="auto" w:sz="4" w:space="0"/>
              <w:left w:val="single" w:color="auto" w:sz="4" w:space="0"/>
              <w:bottom w:val="single" w:color="auto" w:sz="4" w:space="0"/>
              <w:right w:val="single" w:color="auto" w:sz="4" w:space="0"/>
            </w:tcBorders>
            <w:vAlign w:val="center"/>
          </w:tcPr>
          <w:p w14:paraId="2BEDE7DD">
            <w:pPr>
              <w:snapToGrid w:val="0"/>
              <w:spacing w:before="156" w:after="156" w:afterLines="50" w:line="360" w:lineRule="auto"/>
              <w:jc w:val="center"/>
              <w:rPr>
                <w:rFonts w:ascii="仿宋" w:hAnsi="仿宋" w:eastAsia="仿宋" w:cs="仿宋"/>
                <w:color w:val="auto"/>
                <w:sz w:val="24"/>
                <w:szCs w:val="24"/>
                <w:highlight w:val="none"/>
              </w:rPr>
            </w:pPr>
          </w:p>
        </w:tc>
        <w:tc>
          <w:tcPr>
            <w:tcW w:w="1430" w:type="dxa"/>
            <w:tcBorders>
              <w:top w:val="single" w:color="auto" w:sz="4" w:space="0"/>
              <w:left w:val="single" w:color="auto" w:sz="4" w:space="0"/>
              <w:bottom w:val="single" w:color="auto" w:sz="4" w:space="0"/>
              <w:right w:val="single" w:color="auto" w:sz="4" w:space="0"/>
            </w:tcBorders>
            <w:vAlign w:val="center"/>
          </w:tcPr>
          <w:p w14:paraId="42730096">
            <w:pPr>
              <w:snapToGrid w:val="0"/>
              <w:spacing w:before="156" w:after="156" w:afterLines="50" w:line="360" w:lineRule="auto"/>
              <w:jc w:val="center"/>
              <w:rPr>
                <w:rFonts w:ascii="仿宋" w:hAnsi="仿宋" w:eastAsia="仿宋" w:cs="仿宋"/>
                <w:color w:val="auto"/>
                <w:sz w:val="24"/>
                <w:szCs w:val="24"/>
                <w:highlight w:val="none"/>
              </w:rPr>
            </w:pPr>
          </w:p>
        </w:tc>
        <w:tc>
          <w:tcPr>
            <w:tcW w:w="745" w:type="dxa"/>
            <w:tcBorders>
              <w:top w:val="single" w:color="auto" w:sz="4" w:space="0"/>
              <w:left w:val="single" w:color="auto" w:sz="4" w:space="0"/>
              <w:bottom w:val="single" w:color="auto" w:sz="4" w:space="0"/>
              <w:right w:val="single" w:color="auto" w:sz="4" w:space="0"/>
            </w:tcBorders>
            <w:vAlign w:val="center"/>
          </w:tcPr>
          <w:p w14:paraId="1A4F9585">
            <w:pPr>
              <w:snapToGrid w:val="0"/>
              <w:spacing w:before="156" w:after="156" w:afterLines="50" w:line="360" w:lineRule="auto"/>
              <w:jc w:val="center"/>
              <w:rPr>
                <w:rFonts w:ascii="仿宋" w:hAnsi="仿宋" w:eastAsia="仿宋" w:cs="仿宋"/>
                <w:color w:val="auto"/>
                <w:sz w:val="24"/>
                <w:szCs w:val="24"/>
                <w:highlight w:val="none"/>
              </w:rPr>
            </w:pPr>
          </w:p>
        </w:tc>
      </w:tr>
      <w:tr w14:paraId="142DA6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68" w:type="dxa"/>
            <w:tcBorders>
              <w:top w:val="single" w:color="auto" w:sz="4" w:space="0"/>
              <w:left w:val="single" w:color="auto" w:sz="4" w:space="0"/>
              <w:bottom w:val="single" w:color="auto" w:sz="4" w:space="0"/>
              <w:right w:val="single" w:color="auto" w:sz="4" w:space="0"/>
            </w:tcBorders>
            <w:vAlign w:val="center"/>
          </w:tcPr>
          <w:p w14:paraId="6D839A42">
            <w:pPr>
              <w:snapToGrid w:val="0"/>
              <w:spacing w:before="156" w:after="156" w:afterLines="50" w:line="360" w:lineRule="auto"/>
              <w:jc w:val="center"/>
              <w:rPr>
                <w:rFonts w:ascii="仿宋" w:hAnsi="仿宋" w:eastAsia="仿宋" w:cs="仿宋"/>
                <w:color w:val="auto"/>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39866B63">
            <w:pPr>
              <w:snapToGrid w:val="0"/>
              <w:spacing w:before="156" w:after="156" w:afterLines="50" w:line="360" w:lineRule="auto"/>
              <w:jc w:val="center"/>
              <w:rPr>
                <w:rFonts w:ascii="仿宋" w:hAnsi="仿宋" w:eastAsia="仿宋" w:cs="仿宋"/>
                <w:color w:val="auto"/>
                <w:sz w:val="24"/>
                <w:szCs w:val="24"/>
                <w:highlight w:val="none"/>
              </w:rPr>
            </w:pPr>
          </w:p>
        </w:tc>
        <w:tc>
          <w:tcPr>
            <w:tcW w:w="1740" w:type="dxa"/>
            <w:tcBorders>
              <w:top w:val="single" w:color="auto" w:sz="4" w:space="0"/>
              <w:left w:val="single" w:color="auto" w:sz="4" w:space="0"/>
              <w:bottom w:val="single" w:color="auto" w:sz="4" w:space="0"/>
              <w:right w:val="single" w:color="auto" w:sz="4" w:space="0"/>
            </w:tcBorders>
            <w:vAlign w:val="center"/>
          </w:tcPr>
          <w:p w14:paraId="376D03E5">
            <w:pPr>
              <w:snapToGrid w:val="0"/>
              <w:spacing w:before="156" w:after="156" w:afterLines="50" w:line="360" w:lineRule="auto"/>
              <w:jc w:val="center"/>
              <w:rPr>
                <w:rFonts w:ascii="仿宋" w:hAnsi="仿宋" w:eastAsia="仿宋" w:cs="仿宋"/>
                <w:color w:val="auto"/>
                <w:sz w:val="24"/>
                <w:szCs w:val="24"/>
                <w:highlight w:val="none"/>
              </w:rPr>
            </w:pPr>
          </w:p>
        </w:tc>
        <w:tc>
          <w:tcPr>
            <w:tcW w:w="1410" w:type="dxa"/>
            <w:tcBorders>
              <w:top w:val="single" w:color="auto" w:sz="4" w:space="0"/>
              <w:left w:val="single" w:color="auto" w:sz="4" w:space="0"/>
              <w:bottom w:val="single" w:color="auto" w:sz="4" w:space="0"/>
              <w:right w:val="single" w:color="auto" w:sz="4" w:space="0"/>
            </w:tcBorders>
            <w:vAlign w:val="center"/>
          </w:tcPr>
          <w:p w14:paraId="5960DD64">
            <w:pPr>
              <w:snapToGrid w:val="0"/>
              <w:spacing w:before="156" w:after="156" w:afterLines="50" w:line="360" w:lineRule="auto"/>
              <w:jc w:val="center"/>
              <w:rPr>
                <w:rFonts w:ascii="仿宋" w:hAnsi="仿宋" w:eastAsia="仿宋" w:cs="仿宋"/>
                <w:color w:val="auto"/>
                <w:sz w:val="24"/>
                <w:szCs w:val="24"/>
                <w:highlight w:val="none"/>
              </w:rPr>
            </w:pPr>
          </w:p>
        </w:tc>
        <w:tc>
          <w:tcPr>
            <w:tcW w:w="1485" w:type="dxa"/>
            <w:tcBorders>
              <w:top w:val="single" w:color="auto" w:sz="4" w:space="0"/>
              <w:left w:val="single" w:color="auto" w:sz="4" w:space="0"/>
              <w:bottom w:val="single" w:color="auto" w:sz="4" w:space="0"/>
              <w:right w:val="single" w:color="auto" w:sz="4" w:space="0"/>
            </w:tcBorders>
            <w:vAlign w:val="center"/>
          </w:tcPr>
          <w:p w14:paraId="7B8A75FE">
            <w:pPr>
              <w:snapToGrid w:val="0"/>
              <w:spacing w:before="156" w:after="156" w:afterLines="50" w:line="360" w:lineRule="auto"/>
              <w:jc w:val="center"/>
              <w:rPr>
                <w:rFonts w:ascii="仿宋" w:hAnsi="仿宋" w:eastAsia="仿宋" w:cs="仿宋"/>
                <w:color w:val="auto"/>
                <w:sz w:val="24"/>
                <w:szCs w:val="24"/>
                <w:highlight w:val="none"/>
              </w:rPr>
            </w:pPr>
          </w:p>
        </w:tc>
        <w:tc>
          <w:tcPr>
            <w:tcW w:w="1430" w:type="dxa"/>
            <w:tcBorders>
              <w:top w:val="single" w:color="auto" w:sz="4" w:space="0"/>
              <w:left w:val="single" w:color="auto" w:sz="4" w:space="0"/>
              <w:bottom w:val="single" w:color="auto" w:sz="4" w:space="0"/>
              <w:right w:val="single" w:color="auto" w:sz="4" w:space="0"/>
            </w:tcBorders>
            <w:vAlign w:val="center"/>
          </w:tcPr>
          <w:p w14:paraId="43993213">
            <w:pPr>
              <w:snapToGrid w:val="0"/>
              <w:spacing w:before="156" w:after="156" w:afterLines="50" w:line="360" w:lineRule="auto"/>
              <w:jc w:val="center"/>
              <w:rPr>
                <w:rFonts w:ascii="仿宋" w:hAnsi="仿宋" w:eastAsia="仿宋" w:cs="仿宋"/>
                <w:color w:val="auto"/>
                <w:sz w:val="24"/>
                <w:szCs w:val="24"/>
                <w:highlight w:val="none"/>
              </w:rPr>
            </w:pPr>
          </w:p>
        </w:tc>
        <w:tc>
          <w:tcPr>
            <w:tcW w:w="745" w:type="dxa"/>
            <w:tcBorders>
              <w:top w:val="single" w:color="auto" w:sz="4" w:space="0"/>
              <w:left w:val="single" w:color="auto" w:sz="4" w:space="0"/>
              <w:bottom w:val="single" w:color="auto" w:sz="4" w:space="0"/>
              <w:right w:val="single" w:color="auto" w:sz="4" w:space="0"/>
            </w:tcBorders>
            <w:vAlign w:val="center"/>
          </w:tcPr>
          <w:p w14:paraId="041A7DFA">
            <w:pPr>
              <w:snapToGrid w:val="0"/>
              <w:spacing w:before="156" w:after="156" w:afterLines="50" w:line="360" w:lineRule="auto"/>
              <w:jc w:val="center"/>
              <w:rPr>
                <w:rFonts w:ascii="仿宋" w:hAnsi="仿宋" w:eastAsia="仿宋" w:cs="仿宋"/>
                <w:color w:val="auto"/>
                <w:sz w:val="24"/>
                <w:szCs w:val="24"/>
                <w:highlight w:val="none"/>
              </w:rPr>
            </w:pPr>
          </w:p>
        </w:tc>
      </w:tr>
      <w:tr w14:paraId="1107CE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68" w:type="dxa"/>
            <w:tcBorders>
              <w:top w:val="single" w:color="auto" w:sz="4" w:space="0"/>
              <w:left w:val="single" w:color="auto" w:sz="4" w:space="0"/>
              <w:bottom w:val="single" w:color="auto" w:sz="4" w:space="0"/>
              <w:right w:val="single" w:color="auto" w:sz="4" w:space="0"/>
            </w:tcBorders>
            <w:vAlign w:val="center"/>
          </w:tcPr>
          <w:p w14:paraId="0CE1787B">
            <w:pPr>
              <w:snapToGrid w:val="0"/>
              <w:spacing w:before="156" w:after="156" w:afterLines="50" w:line="360" w:lineRule="auto"/>
              <w:jc w:val="center"/>
              <w:rPr>
                <w:rFonts w:ascii="仿宋" w:hAnsi="仿宋" w:eastAsia="仿宋" w:cs="仿宋"/>
                <w:color w:val="auto"/>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7336B2E8">
            <w:pPr>
              <w:snapToGrid w:val="0"/>
              <w:spacing w:before="156" w:after="156" w:afterLines="50" w:line="360" w:lineRule="auto"/>
              <w:jc w:val="center"/>
              <w:rPr>
                <w:rFonts w:ascii="仿宋" w:hAnsi="仿宋" w:eastAsia="仿宋" w:cs="仿宋"/>
                <w:color w:val="auto"/>
                <w:sz w:val="24"/>
                <w:szCs w:val="24"/>
                <w:highlight w:val="none"/>
              </w:rPr>
            </w:pPr>
          </w:p>
        </w:tc>
        <w:tc>
          <w:tcPr>
            <w:tcW w:w="1740" w:type="dxa"/>
            <w:tcBorders>
              <w:top w:val="single" w:color="auto" w:sz="4" w:space="0"/>
              <w:left w:val="single" w:color="auto" w:sz="4" w:space="0"/>
              <w:bottom w:val="single" w:color="auto" w:sz="4" w:space="0"/>
              <w:right w:val="single" w:color="auto" w:sz="4" w:space="0"/>
            </w:tcBorders>
            <w:vAlign w:val="center"/>
          </w:tcPr>
          <w:p w14:paraId="0CB368E9">
            <w:pPr>
              <w:snapToGrid w:val="0"/>
              <w:spacing w:before="156" w:after="156" w:afterLines="50" w:line="360" w:lineRule="auto"/>
              <w:jc w:val="center"/>
              <w:rPr>
                <w:rFonts w:ascii="仿宋" w:hAnsi="仿宋" w:eastAsia="仿宋" w:cs="仿宋"/>
                <w:color w:val="auto"/>
                <w:sz w:val="24"/>
                <w:szCs w:val="24"/>
                <w:highlight w:val="none"/>
              </w:rPr>
            </w:pPr>
          </w:p>
        </w:tc>
        <w:tc>
          <w:tcPr>
            <w:tcW w:w="1410" w:type="dxa"/>
            <w:tcBorders>
              <w:top w:val="single" w:color="auto" w:sz="4" w:space="0"/>
              <w:left w:val="single" w:color="auto" w:sz="4" w:space="0"/>
              <w:bottom w:val="single" w:color="auto" w:sz="4" w:space="0"/>
              <w:right w:val="single" w:color="auto" w:sz="4" w:space="0"/>
            </w:tcBorders>
            <w:vAlign w:val="center"/>
          </w:tcPr>
          <w:p w14:paraId="188701E1">
            <w:pPr>
              <w:snapToGrid w:val="0"/>
              <w:spacing w:before="156" w:after="156" w:afterLines="50" w:line="360" w:lineRule="auto"/>
              <w:jc w:val="center"/>
              <w:rPr>
                <w:rFonts w:ascii="仿宋" w:hAnsi="仿宋" w:eastAsia="仿宋" w:cs="仿宋"/>
                <w:color w:val="auto"/>
                <w:sz w:val="24"/>
                <w:szCs w:val="24"/>
                <w:highlight w:val="none"/>
              </w:rPr>
            </w:pPr>
          </w:p>
        </w:tc>
        <w:tc>
          <w:tcPr>
            <w:tcW w:w="1485" w:type="dxa"/>
            <w:tcBorders>
              <w:top w:val="single" w:color="auto" w:sz="4" w:space="0"/>
              <w:left w:val="single" w:color="auto" w:sz="4" w:space="0"/>
              <w:bottom w:val="single" w:color="auto" w:sz="4" w:space="0"/>
              <w:right w:val="single" w:color="auto" w:sz="4" w:space="0"/>
            </w:tcBorders>
            <w:vAlign w:val="center"/>
          </w:tcPr>
          <w:p w14:paraId="549D3348">
            <w:pPr>
              <w:snapToGrid w:val="0"/>
              <w:spacing w:before="156" w:after="156" w:afterLines="50" w:line="360" w:lineRule="auto"/>
              <w:jc w:val="center"/>
              <w:rPr>
                <w:rFonts w:ascii="仿宋" w:hAnsi="仿宋" w:eastAsia="仿宋" w:cs="仿宋"/>
                <w:color w:val="auto"/>
                <w:sz w:val="24"/>
                <w:szCs w:val="24"/>
                <w:highlight w:val="none"/>
              </w:rPr>
            </w:pPr>
          </w:p>
        </w:tc>
        <w:tc>
          <w:tcPr>
            <w:tcW w:w="1430" w:type="dxa"/>
            <w:tcBorders>
              <w:top w:val="single" w:color="auto" w:sz="4" w:space="0"/>
              <w:left w:val="single" w:color="auto" w:sz="4" w:space="0"/>
              <w:bottom w:val="single" w:color="auto" w:sz="4" w:space="0"/>
              <w:right w:val="single" w:color="auto" w:sz="4" w:space="0"/>
            </w:tcBorders>
            <w:vAlign w:val="center"/>
          </w:tcPr>
          <w:p w14:paraId="2D8270E5">
            <w:pPr>
              <w:snapToGrid w:val="0"/>
              <w:spacing w:before="156" w:after="156" w:afterLines="50" w:line="360" w:lineRule="auto"/>
              <w:jc w:val="center"/>
              <w:rPr>
                <w:rFonts w:ascii="仿宋" w:hAnsi="仿宋" w:eastAsia="仿宋" w:cs="仿宋"/>
                <w:color w:val="auto"/>
                <w:sz w:val="24"/>
                <w:szCs w:val="24"/>
                <w:highlight w:val="none"/>
              </w:rPr>
            </w:pPr>
          </w:p>
        </w:tc>
        <w:tc>
          <w:tcPr>
            <w:tcW w:w="745" w:type="dxa"/>
            <w:tcBorders>
              <w:top w:val="single" w:color="auto" w:sz="4" w:space="0"/>
              <w:left w:val="single" w:color="auto" w:sz="4" w:space="0"/>
              <w:bottom w:val="single" w:color="auto" w:sz="4" w:space="0"/>
              <w:right w:val="single" w:color="auto" w:sz="4" w:space="0"/>
            </w:tcBorders>
            <w:vAlign w:val="center"/>
          </w:tcPr>
          <w:p w14:paraId="2D4AC90C">
            <w:pPr>
              <w:snapToGrid w:val="0"/>
              <w:spacing w:before="156" w:after="156" w:afterLines="50" w:line="360" w:lineRule="auto"/>
              <w:jc w:val="center"/>
              <w:rPr>
                <w:rFonts w:ascii="仿宋" w:hAnsi="仿宋" w:eastAsia="仿宋" w:cs="仿宋"/>
                <w:color w:val="auto"/>
                <w:sz w:val="24"/>
                <w:szCs w:val="24"/>
                <w:highlight w:val="none"/>
              </w:rPr>
            </w:pPr>
          </w:p>
        </w:tc>
      </w:tr>
      <w:tr w14:paraId="4B3B89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68" w:type="dxa"/>
            <w:tcBorders>
              <w:top w:val="single" w:color="auto" w:sz="4" w:space="0"/>
              <w:left w:val="single" w:color="auto" w:sz="4" w:space="0"/>
              <w:bottom w:val="single" w:color="auto" w:sz="4" w:space="0"/>
              <w:right w:val="single" w:color="auto" w:sz="4" w:space="0"/>
            </w:tcBorders>
            <w:vAlign w:val="center"/>
          </w:tcPr>
          <w:p w14:paraId="43C04F9E">
            <w:pPr>
              <w:snapToGrid w:val="0"/>
              <w:spacing w:before="156" w:after="156" w:afterLines="50" w:line="360" w:lineRule="auto"/>
              <w:jc w:val="center"/>
              <w:rPr>
                <w:rFonts w:ascii="仿宋" w:hAnsi="仿宋" w:eastAsia="仿宋" w:cs="仿宋"/>
                <w:color w:val="auto"/>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76CA13CF">
            <w:pPr>
              <w:snapToGrid w:val="0"/>
              <w:spacing w:before="156" w:after="156" w:afterLines="50" w:line="360" w:lineRule="auto"/>
              <w:jc w:val="center"/>
              <w:rPr>
                <w:rFonts w:ascii="仿宋" w:hAnsi="仿宋" w:eastAsia="仿宋" w:cs="仿宋"/>
                <w:color w:val="auto"/>
                <w:sz w:val="24"/>
                <w:szCs w:val="24"/>
                <w:highlight w:val="none"/>
              </w:rPr>
            </w:pPr>
          </w:p>
        </w:tc>
        <w:tc>
          <w:tcPr>
            <w:tcW w:w="1740" w:type="dxa"/>
            <w:tcBorders>
              <w:top w:val="single" w:color="auto" w:sz="4" w:space="0"/>
              <w:left w:val="single" w:color="auto" w:sz="4" w:space="0"/>
              <w:bottom w:val="single" w:color="auto" w:sz="4" w:space="0"/>
              <w:right w:val="single" w:color="auto" w:sz="4" w:space="0"/>
            </w:tcBorders>
            <w:vAlign w:val="center"/>
          </w:tcPr>
          <w:p w14:paraId="79A0CCFE">
            <w:pPr>
              <w:snapToGrid w:val="0"/>
              <w:spacing w:before="156" w:after="156" w:afterLines="50" w:line="360" w:lineRule="auto"/>
              <w:jc w:val="center"/>
              <w:rPr>
                <w:rFonts w:ascii="仿宋" w:hAnsi="仿宋" w:eastAsia="仿宋" w:cs="仿宋"/>
                <w:color w:val="auto"/>
                <w:sz w:val="24"/>
                <w:szCs w:val="24"/>
                <w:highlight w:val="none"/>
              </w:rPr>
            </w:pPr>
          </w:p>
        </w:tc>
        <w:tc>
          <w:tcPr>
            <w:tcW w:w="1410" w:type="dxa"/>
            <w:tcBorders>
              <w:top w:val="single" w:color="auto" w:sz="4" w:space="0"/>
              <w:left w:val="single" w:color="auto" w:sz="4" w:space="0"/>
              <w:bottom w:val="single" w:color="auto" w:sz="4" w:space="0"/>
              <w:right w:val="single" w:color="auto" w:sz="4" w:space="0"/>
            </w:tcBorders>
            <w:vAlign w:val="center"/>
          </w:tcPr>
          <w:p w14:paraId="4729C21F">
            <w:pPr>
              <w:snapToGrid w:val="0"/>
              <w:spacing w:before="156" w:after="156" w:afterLines="50" w:line="360" w:lineRule="auto"/>
              <w:jc w:val="center"/>
              <w:rPr>
                <w:rFonts w:ascii="仿宋" w:hAnsi="仿宋" w:eastAsia="仿宋" w:cs="仿宋"/>
                <w:color w:val="auto"/>
                <w:sz w:val="24"/>
                <w:szCs w:val="24"/>
                <w:highlight w:val="none"/>
              </w:rPr>
            </w:pPr>
          </w:p>
        </w:tc>
        <w:tc>
          <w:tcPr>
            <w:tcW w:w="1485" w:type="dxa"/>
            <w:tcBorders>
              <w:top w:val="single" w:color="auto" w:sz="4" w:space="0"/>
              <w:left w:val="single" w:color="auto" w:sz="4" w:space="0"/>
              <w:bottom w:val="single" w:color="auto" w:sz="4" w:space="0"/>
              <w:right w:val="single" w:color="auto" w:sz="4" w:space="0"/>
            </w:tcBorders>
            <w:vAlign w:val="center"/>
          </w:tcPr>
          <w:p w14:paraId="1DBC0078">
            <w:pPr>
              <w:snapToGrid w:val="0"/>
              <w:spacing w:before="156" w:after="156" w:afterLines="50" w:line="360" w:lineRule="auto"/>
              <w:jc w:val="center"/>
              <w:rPr>
                <w:rFonts w:ascii="仿宋" w:hAnsi="仿宋" w:eastAsia="仿宋" w:cs="仿宋"/>
                <w:color w:val="auto"/>
                <w:sz w:val="24"/>
                <w:szCs w:val="24"/>
                <w:highlight w:val="none"/>
              </w:rPr>
            </w:pPr>
          </w:p>
        </w:tc>
        <w:tc>
          <w:tcPr>
            <w:tcW w:w="1430" w:type="dxa"/>
            <w:tcBorders>
              <w:top w:val="single" w:color="auto" w:sz="4" w:space="0"/>
              <w:left w:val="single" w:color="auto" w:sz="4" w:space="0"/>
              <w:bottom w:val="single" w:color="auto" w:sz="4" w:space="0"/>
              <w:right w:val="single" w:color="auto" w:sz="4" w:space="0"/>
            </w:tcBorders>
            <w:vAlign w:val="center"/>
          </w:tcPr>
          <w:p w14:paraId="33FA73A4">
            <w:pPr>
              <w:snapToGrid w:val="0"/>
              <w:spacing w:before="156" w:after="156" w:afterLines="50" w:line="360" w:lineRule="auto"/>
              <w:jc w:val="center"/>
              <w:rPr>
                <w:rFonts w:ascii="仿宋" w:hAnsi="仿宋" w:eastAsia="仿宋" w:cs="仿宋"/>
                <w:color w:val="auto"/>
                <w:sz w:val="24"/>
                <w:szCs w:val="24"/>
                <w:highlight w:val="none"/>
              </w:rPr>
            </w:pPr>
          </w:p>
        </w:tc>
        <w:tc>
          <w:tcPr>
            <w:tcW w:w="745" w:type="dxa"/>
            <w:tcBorders>
              <w:top w:val="single" w:color="auto" w:sz="4" w:space="0"/>
              <w:left w:val="single" w:color="auto" w:sz="4" w:space="0"/>
              <w:bottom w:val="single" w:color="auto" w:sz="4" w:space="0"/>
              <w:right w:val="single" w:color="auto" w:sz="4" w:space="0"/>
            </w:tcBorders>
            <w:vAlign w:val="center"/>
          </w:tcPr>
          <w:p w14:paraId="7AE861FC">
            <w:pPr>
              <w:snapToGrid w:val="0"/>
              <w:spacing w:before="156" w:after="156" w:afterLines="50" w:line="360" w:lineRule="auto"/>
              <w:jc w:val="center"/>
              <w:rPr>
                <w:rFonts w:ascii="仿宋" w:hAnsi="仿宋" w:eastAsia="仿宋" w:cs="仿宋"/>
                <w:color w:val="auto"/>
                <w:sz w:val="24"/>
                <w:szCs w:val="24"/>
                <w:highlight w:val="none"/>
              </w:rPr>
            </w:pPr>
          </w:p>
        </w:tc>
      </w:tr>
      <w:tr w14:paraId="28C1E9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68" w:type="dxa"/>
            <w:tcBorders>
              <w:top w:val="single" w:color="auto" w:sz="4" w:space="0"/>
              <w:left w:val="single" w:color="auto" w:sz="4" w:space="0"/>
              <w:bottom w:val="single" w:color="auto" w:sz="4" w:space="0"/>
              <w:right w:val="single" w:color="auto" w:sz="4" w:space="0"/>
            </w:tcBorders>
            <w:vAlign w:val="center"/>
          </w:tcPr>
          <w:p w14:paraId="40A3F8BE">
            <w:pPr>
              <w:snapToGrid w:val="0"/>
              <w:spacing w:before="156" w:after="156" w:afterLines="50" w:line="360" w:lineRule="auto"/>
              <w:jc w:val="center"/>
              <w:rPr>
                <w:rFonts w:ascii="仿宋" w:hAnsi="仿宋" w:eastAsia="仿宋" w:cs="仿宋"/>
                <w:color w:val="auto"/>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3E0ADBE8">
            <w:pPr>
              <w:snapToGrid w:val="0"/>
              <w:spacing w:before="156" w:after="156" w:afterLines="50" w:line="360" w:lineRule="auto"/>
              <w:jc w:val="center"/>
              <w:rPr>
                <w:rFonts w:ascii="仿宋" w:hAnsi="仿宋" w:eastAsia="仿宋" w:cs="仿宋"/>
                <w:color w:val="auto"/>
                <w:sz w:val="24"/>
                <w:szCs w:val="24"/>
                <w:highlight w:val="none"/>
              </w:rPr>
            </w:pPr>
          </w:p>
        </w:tc>
        <w:tc>
          <w:tcPr>
            <w:tcW w:w="1740" w:type="dxa"/>
            <w:tcBorders>
              <w:top w:val="single" w:color="auto" w:sz="4" w:space="0"/>
              <w:left w:val="single" w:color="auto" w:sz="4" w:space="0"/>
              <w:bottom w:val="single" w:color="auto" w:sz="4" w:space="0"/>
              <w:right w:val="single" w:color="auto" w:sz="4" w:space="0"/>
            </w:tcBorders>
            <w:vAlign w:val="center"/>
          </w:tcPr>
          <w:p w14:paraId="7F331E59">
            <w:pPr>
              <w:snapToGrid w:val="0"/>
              <w:spacing w:before="156" w:after="156" w:afterLines="50" w:line="360" w:lineRule="auto"/>
              <w:jc w:val="center"/>
              <w:rPr>
                <w:rFonts w:ascii="仿宋" w:hAnsi="仿宋" w:eastAsia="仿宋" w:cs="仿宋"/>
                <w:color w:val="auto"/>
                <w:sz w:val="24"/>
                <w:szCs w:val="24"/>
                <w:highlight w:val="none"/>
              </w:rPr>
            </w:pPr>
          </w:p>
        </w:tc>
        <w:tc>
          <w:tcPr>
            <w:tcW w:w="1410" w:type="dxa"/>
            <w:tcBorders>
              <w:top w:val="single" w:color="auto" w:sz="4" w:space="0"/>
              <w:left w:val="single" w:color="auto" w:sz="4" w:space="0"/>
              <w:bottom w:val="single" w:color="auto" w:sz="4" w:space="0"/>
              <w:right w:val="single" w:color="auto" w:sz="4" w:space="0"/>
            </w:tcBorders>
            <w:vAlign w:val="center"/>
          </w:tcPr>
          <w:p w14:paraId="1A1F1F04">
            <w:pPr>
              <w:snapToGrid w:val="0"/>
              <w:spacing w:before="156" w:after="156" w:afterLines="50" w:line="360" w:lineRule="auto"/>
              <w:jc w:val="center"/>
              <w:rPr>
                <w:rFonts w:ascii="仿宋" w:hAnsi="仿宋" w:eastAsia="仿宋" w:cs="仿宋"/>
                <w:color w:val="auto"/>
                <w:sz w:val="24"/>
                <w:szCs w:val="24"/>
                <w:highlight w:val="none"/>
              </w:rPr>
            </w:pPr>
          </w:p>
        </w:tc>
        <w:tc>
          <w:tcPr>
            <w:tcW w:w="1485" w:type="dxa"/>
            <w:tcBorders>
              <w:top w:val="single" w:color="auto" w:sz="4" w:space="0"/>
              <w:left w:val="single" w:color="auto" w:sz="4" w:space="0"/>
              <w:bottom w:val="single" w:color="auto" w:sz="4" w:space="0"/>
              <w:right w:val="single" w:color="auto" w:sz="4" w:space="0"/>
            </w:tcBorders>
            <w:vAlign w:val="center"/>
          </w:tcPr>
          <w:p w14:paraId="5D600031">
            <w:pPr>
              <w:snapToGrid w:val="0"/>
              <w:spacing w:before="156" w:after="156" w:afterLines="50" w:line="360" w:lineRule="auto"/>
              <w:jc w:val="center"/>
              <w:rPr>
                <w:rFonts w:ascii="仿宋" w:hAnsi="仿宋" w:eastAsia="仿宋" w:cs="仿宋"/>
                <w:color w:val="auto"/>
                <w:sz w:val="24"/>
                <w:szCs w:val="24"/>
                <w:highlight w:val="none"/>
              </w:rPr>
            </w:pPr>
          </w:p>
        </w:tc>
        <w:tc>
          <w:tcPr>
            <w:tcW w:w="1430" w:type="dxa"/>
            <w:tcBorders>
              <w:top w:val="single" w:color="auto" w:sz="4" w:space="0"/>
              <w:left w:val="single" w:color="auto" w:sz="4" w:space="0"/>
              <w:bottom w:val="single" w:color="auto" w:sz="4" w:space="0"/>
              <w:right w:val="single" w:color="auto" w:sz="4" w:space="0"/>
            </w:tcBorders>
            <w:vAlign w:val="center"/>
          </w:tcPr>
          <w:p w14:paraId="386E47DD">
            <w:pPr>
              <w:snapToGrid w:val="0"/>
              <w:spacing w:before="156" w:after="156" w:afterLines="50" w:line="360" w:lineRule="auto"/>
              <w:jc w:val="center"/>
              <w:rPr>
                <w:rFonts w:ascii="仿宋" w:hAnsi="仿宋" w:eastAsia="仿宋" w:cs="仿宋"/>
                <w:color w:val="auto"/>
                <w:sz w:val="24"/>
                <w:szCs w:val="24"/>
                <w:highlight w:val="none"/>
              </w:rPr>
            </w:pPr>
          </w:p>
        </w:tc>
        <w:tc>
          <w:tcPr>
            <w:tcW w:w="745" w:type="dxa"/>
            <w:tcBorders>
              <w:top w:val="single" w:color="auto" w:sz="4" w:space="0"/>
              <w:left w:val="single" w:color="auto" w:sz="4" w:space="0"/>
              <w:bottom w:val="single" w:color="auto" w:sz="4" w:space="0"/>
              <w:right w:val="single" w:color="auto" w:sz="4" w:space="0"/>
            </w:tcBorders>
            <w:vAlign w:val="center"/>
          </w:tcPr>
          <w:p w14:paraId="27DA2237">
            <w:pPr>
              <w:snapToGrid w:val="0"/>
              <w:spacing w:before="156" w:after="156" w:afterLines="50" w:line="360" w:lineRule="auto"/>
              <w:jc w:val="center"/>
              <w:rPr>
                <w:rFonts w:ascii="仿宋" w:hAnsi="仿宋" w:eastAsia="仿宋" w:cs="仿宋"/>
                <w:color w:val="auto"/>
                <w:sz w:val="24"/>
                <w:szCs w:val="24"/>
                <w:highlight w:val="none"/>
              </w:rPr>
            </w:pPr>
          </w:p>
        </w:tc>
      </w:tr>
    </w:tbl>
    <w:p w14:paraId="75AAFF4B">
      <w:pPr>
        <w:pStyle w:val="9"/>
        <w:snapToGrid w:val="0"/>
        <w:spacing w:line="360" w:lineRule="auto"/>
        <w:rPr>
          <w:rFonts w:ascii="仿宋" w:hAnsi="仿宋" w:eastAsia="仿宋" w:cs="仿宋"/>
          <w:color w:val="auto"/>
          <w:sz w:val="28"/>
          <w:szCs w:val="28"/>
          <w:highlight w:val="none"/>
        </w:rPr>
      </w:pPr>
      <w:r>
        <w:rPr>
          <w:rFonts w:hint="eastAsia" w:ascii="仿宋" w:hAnsi="仿宋" w:eastAsia="仿宋" w:cs="仿宋"/>
          <w:b/>
          <w:color w:val="auto"/>
          <w:sz w:val="24"/>
          <w:highlight w:val="none"/>
        </w:rPr>
        <w:t>注：投标人可按上述的格式自行编制，须随表提交相应的证明材料。</w:t>
      </w:r>
    </w:p>
    <w:p w14:paraId="39C88519">
      <w:pPr>
        <w:spacing w:before="156"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66145161">
      <w:pPr>
        <w:pStyle w:val="51"/>
        <w:snapToGrid w:val="0"/>
        <w:spacing w:before="156" w:line="360" w:lineRule="auto"/>
        <w:rPr>
          <w:rFonts w:ascii="仿宋" w:hAnsi="仿宋" w:eastAsia="仿宋" w:cs="仿宋"/>
          <w:color w:val="auto"/>
          <w:szCs w:val="24"/>
          <w:highlight w:val="none"/>
        </w:rPr>
      </w:pPr>
      <w:r>
        <w:rPr>
          <w:rFonts w:hint="eastAsia" w:ascii="仿宋" w:hAnsi="仿宋" w:eastAsia="仿宋" w:cs="仿宋"/>
          <w:color w:val="auto"/>
          <w:szCs w:val="24"/>
          <w:highlight w:val="none"/>
        </w:rPr>
        <w:t>投标人全称（电子签章）：</w:t>
      </w:r>
      <w:r>
        <w:rPr>
          <w:rFonts w:hint="eastAsia" w:ascii="仿宋" w:hAnsi="仿宋" w:eastAsia="仿宋" w:cs="仿宋"/>
          <w:color w:val="auto"/>
          <w:szCs w:val="24"/>
          <w:highlight w:val="none"/>
          <w:u w:val="single"/>
        </w:rPr>
        <w:t xml:space="preserve">                         </w:t>
      </w:r>
    </w:p>
    <w:p w14:paraId="139ED1AC">
      <w:pPr>
        <w:snapToGrid w:val="0"/>
        <w:spacing w:before="156" w:line="360" w:lineRule="auto"/>
        <w:ind w:right="6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法定代表人或授权代表（签名或签章）：</w:t>
      </w:r>
      <w:r>
        <w:rPr>
          <w:rFonts w:hint="eastAsia" w:ascii="仿宋" w:hAnsi="仿宋" w:eastAsia="仿宋" w:cs="仿宋"/>
          <w:color w:val="auto"/>
          <w:sz w:val="24"/>
          <w:szCs w:val="24"/>
          <w:highlight w:val="none"/>
          <w:u w:val="single"/>
        </w:rPr>
        <w:t xml:space="preserve">             </w:t>
      </w:r>
    </w:p>
    <w:p w14:paraId="33E233EB">
      <w:pPr>
        <w:snapToGrid w:val="0"/>
        <w:spacing w:before="156" w:line="360" w:lineRule="auto"/>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年    月    日</w:t>
      </w:r>
    </w:p>
    <w:p w14:paraId="06AE1DB8">
      <w:pPr>
        <w:spacing w:before="156"/>
        <w:rPr>
          <w:rFonts w:ascii="仿宋" w:hAnsi="仿宋" w:eastAsia="仿宋" w:cs="仿宋"/>
          <w:color w:val="auto"/>
          <w:highlight w:val="none"/>
        </w:rPr>
      </w:pPr>
    </w:p>
    <w:p w14:paraId="044FC258">
      <w:pPr>
        <w:pStyle w:val="11"/>
        <w:ind w:firstLine="345"/>
        <w:rPr>
          <w:rFonts w:ascii="仿宋" w:hAnsi="仿宋" w:eastAsia="仿宋" w:cs="仿宋"/>
          <w:color w:val="auto"/>
          <w:highlight w:val="none"/>
        </w:rPr>
      </w:pPr>
    </w:p>
    <w:p w14:paraId="1ADB17C7">
      <w:pPr>
        <w:rPr>
          <w:color w:val="auto"/>
          <w:highlight w:val="none"/>
        </w:rPr>
      </w:pPr>
    </w:p>
    <w:p w14:paraId="18F947E2">
      <w:pPr>
        <w:snapToGrid w:val="0"/>
        <w:spacing w:line="400" w:lineRule="exact"/>
        <w:ind w:firstLine="643"/>
        <w:jc w:val="center"/>
        <w:rPr>
          <w:rFonts w:ascii="仿宋" w:hAnsi="仿宋" w:eastAsia="仿宋" w:cs="仿宋"/>
          <w:b/>
          <w:color w:val="auto"/>
          <w:sz w:val="32"/>
          <w:highlight w:val="none"/>
        </w:rPr>
      </w:pPr>
      <w:r>
        <w:rPr>
          <w:rFonts w:hint="eastAsia" w:ascii="仿宋" w:hAnsi="仿宋" w:eastAsia="仿宋" w:cs="仿宋"/>
          <w:b/>
          <w:color w:val="auto"/>
          <w:sz w:val="32"/>
          <w:szCs w:val="32"/>
          <w:highlight w:val="none"/>
        </w:rPr>
        <w:t>十</w:t>
      </w:r>
      <w:r>
        <w:rPr>
          <w:rFonts w:hint="eastAsia" w:ascii="仿宋" w:hAnsi="仿宋" w:eastAsia="仿宋" w:cs="仿宋"/>
          <w:b/>
          <w:color w:val="auto"/>
          <w:sz w:val="32"/>
          <w:szCs w:val="32"/>
          <w:highlight w:val="none"/>
          <w:lang w:val="en-US" w:eastAsia="zh-CN"/>
        </w:rPr>
        <w:t>二</w:t>
      </w:r>
      <w:r>
        <w:rPr>
          <w:rFonts w:hint="eastAsia" w:ascii="仿宋" w:hAnsi="仿宋" w:eastAsia="仿宋" w:cs="仿宋"/>
          <w:b/>
          <w:color w:val="auto"/>
          <w:sz w:val="32"/>
          <w:szCs w:val="32"/>
          <w:highlight w:val="none"/>
        </w:rPr>
        <w:t>、报价</w:t>
      </w:r>
      <w:r>
        <w:rPr>
          <w:rFonts w:hint="eastAsia" w:ascii="仿宋" w:hAnsi="仿宋" w:eastAsia="仿宋" w:cs="仿宋"/>
          <w:b/>
          <w:color w:val="auto"/>
          <w:sz w:val="32"/>
          <w:highlight w:val="none"/>
        </w:rPr>
        <w:t>一览表</w:t>
      </w:r>
    </w:p>
    <w:p w14:paraId="688A5514">
      <w:pPr>
        <w:spacing w:line="400" w:lineRule="exact"/>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3F1C4EEE">
      <w:pPr>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tbl>
      <w:tblPr>
        <w:tblStyle w:val="26"/>
        <w:tblW w:w="906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14"/>
        <w:gridCol w:w="2057"/>
        <w:gridCol w:w="4468"/>
        <w:gridCol w:w="1830"/>
      </w:tblGrid>
      <w:tr w14:paraId="1FE825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3" w:hRule="atLeast"/>
          <w:jc w:val="center"/>
        </w:trPr>
        <w:tc>
          <w:tcPr>
            <w:tcW w:w="714" w:type="dxa"/>
            <w:noWrap w:val="0"/>
            <w:vAlign w:val="center"/>
          </w:tcPr>
          <w:p w14:paraId="79B77CE2">
            <w:pPr>
              <w:widowControl/>
              <w:spacing w:line="440" w:lineRule="exact"/>
              <w:ind w:firstLine="0" w:firstLineChars="0"/>
              <w:jc w:val="left"/>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val="en-US" w:eastAsia="zh-CN"/>
              </w:rPr>
              <w:t>标项</w:t>
            </w:r>
          </w:p>
        </w:tc>
        <w:tc>
          <w:tcPr>
            <w:tcW w:w="2057" w:type="dxa"/>
            <w:noWrap w:val="0"/>
            <w:vAlign w:val="center"/>
          </w:tcPr>
          <w:p w14:paraId="30D17A31">
            <w:pPr>
              <w:widowControl/>
              <w:spacing w:line="440" w:lineRule="exact"/>
              <w:ind w:firstLine="0" w:firstLineChars="0"/>
              <w:jc w:val="center"/>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货物名称</w:t>
            </w:r>
          </w:p>
        </w:tc>
        <w:tc>
          <w:tcPr>
            <w:tcW w:w="4468" w:type="dxa"/>
            <w:noWrap w:val="0"/>
            <w:vAlign w:val="center"/>
          </w:tcPr>
          <w:p w14:paraId="16DD372E">
            <w:pPr>
              <w:widowControl/>
              <w:spacing w:line="440" w:lineRule="exact"/>
              <w:ind w:firstLine="0" w:firstLineChars="0"/>
              <w:jc w:val="center"/>
              <w:rPr>
                <w:rFonts w:hint="default" w:ascii="仿宋" w:hAnsi="仿宋" w:eastAsia="仿宋" w:cs="仿宋"/>
                <w:b w:val="0"/>
                <w:bCs w:val="0"/>
                <w:color w:val="auto"/>
                <w:kern w:val="2"/>
                <w:sz w:val="24"/>
                <w:szCs w:val="24"/>
                <w:highlight w:val="none"/>
                <w:lang w:val="en-US" w:eastAsia="zh-CN"/>
              </w:rPr>
            </w:pPr>
            <w:r>
              <w:rPr>
                <w:rFonts w:hint="eastAsia" w:ascii="仿宋" w:hAnsi="仿宋" w:eastAsia="仿宋" w:cs="仿宋"/>
                <w:b w:val="0"/>
                <w:bCs w:val="0"/>
                <w:color w:val="auto"/>
                <w:kern w:val="2"/>
                <w:sz w:val="24"/>
                <w:szCs w:val="24"/>
                <w:highlight w:val="none"/>
                <w:lang w:val="en-US" w:eastAsia="zh-CN"/>
              </w:rPr>
              <w:t>投标报价</w:t>
            </w:r>
          </w:p>
        </w:tc>
        <w:tc>
          <w:tcPr>
            <w:tcW w:w="1830" w:type="dxa"/>
            <w:noWrap w:val="0"/>
            <w:vAlign w:val="center"/>
          </w:tcPr>
          <w:p w14:paraId="5E9C4A78">
            <w:pPr>
              <w:widowControl/>
              <w:spacing w:line="440" w:lineRule="exact"/>
              <w:ind w:firstLine="470" w:firstLineChars="196"/>
              <w:jc w:val="left"/>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kern w:val="2"/>
                <w:sz w:val="24"/>
                <w:szCs w:val="24"/>
                <w:highlight w:val="none"/>
              </w:rPr>
              <w:t>备注</w:t>
            </w:r>
          </w:p>
        </w:tc>
      </w:tr>
      <w:tr w14:paraId="3CA4A1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19" w:hRule="atLeast"/>
          <w:jc w:val="center"/>
        </w:trPr>
        <w:tc>
          <w:tcPr>
            <w:tcW w:w="714" w:type="dxa"/>
            <w:noWrap w:val="0"/>
            <w:vAlign w:val="center"/>
          </w:tcPr>
          <w:p w14:paraId="3ED33952">
            <w:pPr>
              <w:widowControl/>
              <w:snapToGrid/>
              <w:spacing w:line="440" w:lineRule="exact"/>
              <w:ind w:firstLine="0" w:firstLineChars="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1</w:t>
            </w:r>
          </w:p>
        </w:tc>
        <w:tc>
          <w:tcPr>
            <w:tcW w:w="2057" w:type="dxa"/>
            <w:noWrap w:val="0"/>
            <w:vAlign w:val="center"/>
          </w:tcPr>
          <w:p w14:paraId="59263E3A">
            <w:pPr>
              <w:widowControl/>
              <w:spacing w:line="240" w:lineRule="auto"/>
              <w:jc w:val="both"/>
              <w:rPr>
                <w:rFonts w:hint="eastAsia" w:ascii="仿宋" w:hAnsi="仿宋" w:eastAsia="仿宋" w:cs="仿宋"/>
                <w:color w:val="auto"/>
                <w:sz w:val="24"/>
                <w:szCs w:val="24"/>
                <w:highlight w:val="none"/>
                <w:lang w:val="en-US" w:eastAsia="zh-CN"/>
              </w:rPr>
            </w:pPr>
          </w:p>
          <w:p w14:paraId="4E27F37F">
            <w:pPr>
              <w:widowControl/>
              <w:spacing w:line="240" w:lineRule="auto"/>
              <w:jc w:val="both"/>
              <w:rPr>
                <w:rFonts w:hint="eastAsia" w:ascii="仿宋" w:hAnsi="仿宋" w:eastAsia="仿宋" w:cs="仿宋"/>
                <w:color w:val="auto"/>
                <w:kern w:val="2"/>
                <w:sz w:val="24"/>
                <w:szCs w:val="24"/>
                <w:highlight w:val="none"/>
                <w:lang w:val="en-US" w:eastAsia="zh-CN" w:bidi="ar-SA"/>
              </w:rPr>
            </w:pPr>
          </w:p>
        </w:tc>
        <w:tc>
          <w:tcPr>
            <w:tcW w:w="4468" w:type="dxa"/>
            <w:tcBorders>
              <w:bottom w:val="single" w:color="auto" w:sz="4" w:space="0"/>
            </w:tcBorders>
            <w:noWrap w:val="0"/>
            <w:vAlign w:val="center"/>
          </w:tcPr>
          <w:p w14:paraId="645BB232">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ascii="仿宋" w:hAnsi="仿宋" w:eastAsia="仿宋" w:cs="仿宋"/>
                <w:color w:val="FF0000"/>
                <w:kern w:val="0"/>
                <w:sz w:val="24"/>
                <w:highlight w:val="none"/>
                <w:lang w:val="en-US" w:eastAsia="zh-CN"/>
              </w:rPr>
            </w:pPr>
          </w:p>
          <w:p w14:paraId="5B0BB483">
            <w:pPr>
              <w:widowControl/>
              <w:spacing w:line="240" w:lineRule="auto"/>
              <w:rPr>
                <w:rFonts w:hint="eastAsia" w:ascii="仿宋" w:hAnsi="仿宋" w:eastAsia="仿宋" w:cs="仿宋"/>
                <w:color w:val="FF0000"/>
                <w:kern w:val="2"/>
                <w:sz w:val="24"/>
                <w:szCs w:val="24"/>
                <w:highlight w:val="none"/>
                <w:lang w:val="en-US" w:eastAsia="zh-CN" w:bidi="ar-SA"/>
              </w:rPr>
            </w:pPr>
          </w:p>
        </w:tc>
        <w:tc>
          <w:tcPr>
            <w:tcW w:w="1830" w:type="dxa"/>
            <w:noWrap w:val="0"/>
            <w:vAlign w:val="center"/>
          </w:tcPr>
          <w:p w14:paraId="09BDC2ED">
            <w:pPr>
              <w:keepNext w:val="0"/>
              <w:keepLines w:val="0"/>
              <w:pageBreakBefore w:val="0"/>
              <w:widowControl/>
              <w:kinsoku/>
              <w:wordWrap/>
              <w:overflowPunct/>
              <w:topLinePunct w:val="0"/>
              <w:autoSpaceDE/>
              <w:autoSpaceDN/>
              <w:bidi w:val="0"/>
              <w:adjustRightInd/>
              <w:snapToGrid/>
              <w:spacing w:line="440" w:lineRule="exact"/>
              <w:ind w:firstLine="0" w:firstLineChars="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kern w:val="2"/>
                <w:sz w:val="24"/>
                <w:szCs w:val="24"/>
                <w:highlight w:val="none"/>
                <w:lang w:val="en-US" w:eastAsia="zh-CN"/>
              </w:rPr>
              <w:t>（含13%增值税）</w:t>
            </w:r>
          </w:p>
        </w:tc>
      </w:tr>
      <w:tr w14:paraId="627F35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3" w:hRule="atLeast"/>
          <w:jc w:val="center"/>
        </w:trPr>
        <w:tc>
          <w:tcPr>
            <w:tcW w:w="9069" w:type="dxa"/>
            <w:gridSpan w:val="4"/>
            <w:noWrap w:val="0"/>
            <w:vAlign w:val="center"/>
          </w:tcPr>
          <w:p w14:paraId="143C8840">
            <w:pPr>
              <w:widowControl/>
              <w:spacing w:line="440" w:lineRule="exact"/>
              <w:ind w:firstLine="470" w:firstLineChars="19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注：本项目的投标价格应为货到采购人指定地点的交货价格，包括但不限于产品</w:t>
            </w:r>
            <w:r>
              <w:rPr>
                <w:rFonts w:hint="eastAsia" w:ascii="仿宋" w:hAnsi="仿宋" w:eastAsia="仿宋" w:cs="仿宋"/>
                <w:color w:val="auto"/>
                <w:sz w:val="24"/>
                <w:szCs w:val="24"/>
                <w:highlight w:val="none"/>
                <w:lang w:val="en-US" w:eastAsia="zh-CN"/>
              </w:rPr>
              <w:t>货物</w:t>
            </w:r>
            <w:r>
              <w:rPr>
                <w:rFonts w:hint="eastAsia" w:ascii="仿宋" w:hAnsi="仿宋" w:eastAsia="仿宋" w:cs="仿宋"/>
                <w:color w:val="auto"/>
                <w:sz w:val="24"/>
                <w:szCs w:val="24"/>
                <w:highlight w:val="none"/>
              </w:rPr>
              <w:t>、税金、货运至指定地点[含运输、装卸、保险、包装费、货车加固费等）、人工、验收、技术服务（含技术培训等）、资料费、质检、验收、管理、招标代理费、售后服务、规费、安全文明、环境保护、风险（市场人工、材料价格波动等风险）、利润、不可预见费等完成本次项目涉及的一切费用。属于完成本次项目所必需的但投标人未列入报价的费用将被视为投标人优惠，采购人均不予支付。</w:t>
            </w:r>
          </w:p>
        </w:tc>
      </w:tr>
    </w:tbl>
    <w:p w14:paraId="335890DA">
      <w:pPr>
        <w:pStyle w:val="51"/>
        <w:snapToGrid w:val="0"/>
        <w:spacing w:beforeLines="0" w:line="360" w:lineRule="exact"/>
        <w:ind w:firstLine="482" w:firstLineChars="200"/>
        <w:rPr>
          <w:rFonts w:ascii="仿宋" w:hAnsi="仿宋" w:eastAsia="仿宋" w:cs="仿宋"/>
          <w:b/>
          <w:bCs/>
          <w:color w:val="auto"/>
          <w:highlight w:val="none"/>
          <w:lang w:val="zh-CN"/>
        </w:rPr>
      </w:pPr>
      <w:r>
        <w:rPr>
          <w:rFonts w:hint="eastAsia" w:ascii="仿宋" w:hAnsi="仿宋" w:eastAsia="仿宋" w:cs="仿宋"/>
          <w:b/>
          <w:bCs/>
          <w:color w:val="auto"/>
          <w:highlight w:val="none"/>
        </w:rPr>
        <w:t>注：</w:t>
      </w:r>
      <w:r>
        <w:rPr>
          <w:rFonts w:hint="eastAsia" w:ascii="仿宋" w:hAnsi="仿宋" w:eastAsia="仿宋" w:cs="仿宋"/>
          <w:b/>
          <w:bCs/>
          <w:color w:val="auto"/>
          <w:highlight w:val="none"/>
          <w:lang w:val="zh-CN"/>
        </w:rPr>
        <w:t>“报价一览表”为多页的，每页均需由投标人法定代表人或授权代表签名或签章并加盖投标人电子签章。</w:t>
      </w:r>
    </w:p>
    <w:p w14:paraId="0E4BD691">
      <w:pPr>
        <w:pStyle w:val="51"/>
        <w:snapToGrid w:val="0"/>
        <w:spacing w:beforeLines="0" w:line="300" w:lineRule="exact"/>
        <w:ind w:firstLine="480" w:firstLineChars="200"/>
        <w:rPr>
          <w:rFonts w:ascii="仿宋" w:hAnsi="仿宋" w:eastAsia="仿宋" w:cs="仿宋"/>
          <w:color w:val="auto"/>
          <w:szCs w:val="24"/>
          <w:highlight w:val="none"/>
        </w:rPr>
      </w:pPr>
    </w:p>
    <w:p w14:paraId="65C7218E">
      <w:pPr>
        <w:pStyle w:val="51"/>
        <w:snapToGrid w:val="0"/>
        <w:spacing w:beforeLines="0" w:line="300" w:lineRule="exact"/>
        <w:ind w:firstLine="480" w:firstLineChars="200"/>
        <w:rPr>
          <w:rFonts w:ascii="仿宋" w:hAnsi="仿宋" w:eastAsia="仿宋" w:cs="仿宋"/>
          <w:color w:val="auto"/>
          <w:szCs w:val="24"/>
          <w:highlight w:val="none"/>
        </w:rPr>
      </w:pPr>
    </w:p>
    <w:p w14:paraId="629F0CAD">
      <w:pPr>
        <w:pStyle w:val="51"/>
        <w:snapToGrid w:val="0"/>
        <w:spacing w:beforeLines="0" w:line="300" w:lineRule="exact"/>
        <w:rPr>
          <w:rFonts w:ascii="仿宋" w:hAnsi="仿宋" w:eastAsia="仿宋" w:cs="仿宋"/>
          <w:color w:val="auto"/>
          <w:szCs w:val="24"/>
          <w:highlight w:val="none"/>
        </w:rPr>
      </w:pPr>
    </w:p>
    <w:p w14:paraId="10EB9645">
      <w:pPr>
        <w:pStyle w:val="51"/>
        <w:snapToGrid w:val="0"/>
        <w:spacing w:beforeLines="0" w:line="400" w:lineRule="exact"/>
        <w:ind w:firstLine="480" w:firstLineChars="200"/>
        <w:rPr>
          <w:rFonts w:ascii="仿宋" w:hAnsi="仿宋" w:eastAsia="仿宋" w:cs="仿宋"/>
          <w:color w:val="auto"/>
          <w:szCs w:val="24"/>
          <w:highlight w:val="none"/>
        </w:rPr>
      </w:pPr>
      <w:r>
        <w:rPr>
          <w:rFonts w:hint="eastAsia" w:ascii="仿宋" w:hAnsi="仿宋" w:eastAsia="仿宋" w:cs="仿宋"/>
          <w:color w:val="auto"/>
          <w:szCs w:val="24"/>
          <w:highlight w:val="none"/>
        </w:rPr>
        <w:t>投标人全称（电子签章）：</w:t>
      </w:r>
      <w:r>
        <w:rPr>
          <w:rFonts w:hint="eastAsia" w:ascii="仿宋" w:hAnsi="仿宋" w:eastAsia="仿宋" w:cs="仿宋"/>
          <w:color w:val="auto"/>
          <w:szCs w:val="24"/>
          <w:highlight w:val="none"/>
          <w:u w:val="single"/>
        </w:rPr>
        <w:t xml:space="preserve">                         </w:t>
      </w:r>
    </w:p>
    <w:p w14:paraId="7A508F9E">
      <w:pPr>
        <w:snapToGrid w:val="0"/>
        <w:spacing w:line="400" w:lineRule="exact"/>
        <w:ind w:right="600"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法定代表人或授权代表（签名或签章）：</w:t>
      </w:r>
      <w:r>
        <w:rPr>
          <w:rFonts w:hint="eastAsia" w:ascii="仿宋" w:hAnsi="仿宋" w:eastAsia="仿宋" w:cs="仿宋"/>
          <w:color w:val="auto"/>
          <w:sz w:val="24"/>
          <w:szCs w:val="24"/>
          <w:highlight w:val="none"/>
          <w:u w:val="single"/>
        </w:rPr>
        <w:t xml:space="preserve">             </w:t>
      </w:r>
    </w:p>
    <w:p w14:paraId="0FDA7A59">
      <w:pPr>
        <w:snapToGrid w:val="0"/>
        <w:spacing w:line="400" w:lineRule="exact"/>
        <w:ind w:firstLine="480" w:firstLineChars="200"/>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年    月    日</w:t>
      </w:r>
    </w:p>
    <w:p w14:paraId="1B1CECA5">
      <w:pPr>
        <w:snapToGrid w:val="0"/>
        <w:spacing w:line="400" w:lineRule="exact"/>
        <w:ind w:firstLine="480" w:firstLineChars="200"/>
        <w:rPr>
          <w:rFonts w:ascii="仿宋" w:hAnsi="仿宋" w:eastAsia="仿宋" w:cs="仿宋"/>
          <w:color w:val="auto"/>
          <w:sz w:val="24"/>
          <w:szCs w:val="24"/>
          <w:highlight w:val="none"/>
          <w:u w:val="single"/>
        </w:rPr>
      </w:pPr>
    </w:p>
    <w:p w14:paraId="1BFC1735">
      <w:pPr>
        <w:snapToGrid w:val="0"/>
        <w:spacing w:line="400" w:lineRule="exact"/>
        <w:ind w:firstLine="643"/>
        <w:jc w:val="center"/>
        <w:rPr>
          <w:rFonts w:hint="eastAsia" w:ascii="仿宋" w:hAnsi="仿宋" w:eastAsia="仿宋" w:cs="仿宋"/>
          <w:b/>
          <w:color w:val="auto"/>
          <w:sz w:val="32"/>
          <w:szCs w:val="32"/>
          <w:highlight w:val="none"/>
        </w:rPr>
      </w:pPr>
    </w:p>
    <w:p w14:paraId="0702AF63">
      <w:pPr>
        <w:snapToGrid w:val="0"/>
        <w:spacing w:line="400" w:lineRule="exact"/>
        <w:ind w:firstLine="643"/>
        <w:jc w:val="center"/>
        <w:rPr>
          <w:rFonts w:hint="eastAsia" w:ascii="仿宋" w:hAnsi="仿宋" w:eastAsia="仿宋" w:cs="仿宋"/>
          <w:b/>
          <w:color w:val="auto"/>
          <w:sz w:val="32"/>
          <w:szCs w:val="32"/>
          <w:highlight w:val="none"/>
        </w:rPr>
      </w:pPr>
    </w:p>
    <w:p w14:paraId="6EC7312D">
      <w:pPr>
        <w:snapToGrid w:val="0"/>
        <w:spacing w:line="400" w:lineRule="exact"/>
        <w:ind w:firstLine="643"/>
        <w:jc w:val="center"/>
        <w:rPr>
          <w:rFonts w:hint="eastAsia" w:ascii="仿宋" w:hAnsi="仿宋" w:eastAsia="仿宋" w:cs="仿宋"/>
          <w:b/>
          <w:color w:val="auto"/>
          <w:sz w:val="32"/>
          <w:szCs w:val="32"/>
          <w:highlight w:val="none"/>
        </w:rPr>
      </w:pPr>
    </w:p>
    <w:p w14:paraId="7D0F7622">
      <w:pPr>
        <w:snapToGrid w:val="0"/>
        <w:spacing w:line="400" w:lineRule="exact"/>
        <w:ind w:firstLine="643"/>
        <w:jc w:val="center"/>
        <w:rPr>
          <w:rFonts w:hint="eastAsia" w:ascii="仿宋" w:hAnsi="仿宋" w:eastAsia="仿宋" w:cs="仿宋"/>
          <w:b/>
          <w:color w:val="auto"/>
          <w:sz w:val="32"/>
          <w:szCs w:val="32"/>
          <w:highlight w:val="none"/>
        </w:rPr>
      </w:pPr>
    </w:p>
    <w:p w14:paraId="08542D94">
      <w:pPr>
        <w:snapToGrid w:val="0"/>
        <w:spacing w:line="400" w:lineRule="exact"/>
        <w:ind w:firstLine="643"/>
        <w:jc w:val="center"/>
        <w:rPr>
          <w:rFonts w:hint="eastAsia" w:ascii="仿宋" w:hAnsi="仿宋" w:eastAsia="仿宋" w:cs="仿宋"/>
          <w:b/>
          <w:color w:val="auto"/>
          <w:sz w:val="32"/>
          <w:szCs w:val="32"/>
          <w:highlight w:val="none"/>
        </w:rPr>
      </w:pPr>
    </w:p>
    <w:p w14:paraId="23EE7F0A">
      <w:pPr>
        <w:snapToGrid w:val="0"/>
        <w:spacing w:line="400" w:lineRule="exact"/>
        <w:ind w:firstLine="643"/>
        <w:jc w:val="center"/>
        <w:rPr>
          <w:rFonts w:hint="eastAsia" w:ascii="仿宋" w:hAnsi="仿宋" w:eastAsia="仿宋" w:cs="仿宋"/>
          <w:b/>
          <w:color w:val="auto"/>
          <w:sz w:val="32"/>
          <w:szCs w:val="32"/>
          <w:highlight w:val="none"/>
        </w:rPr>
      </w:pPr>
    </w:p>
    <w:p w14:paraId="05F55D9E">
      <w:pPr>
        <w:snapToGrid w:val="0"/>
        <w:spacing w:line="400" w:lineRule="exact"/>
        <w:ind w:firstLine="643"/>
        <w:jc w:val="center"/>
        <w:rPr>
          <w:rFonts w:hint="eastAsia" w:ascii="仿宋" w:hAnsi="仿宋" w:eastAsia="仿宋" w:cs="仿宋"/>
          <w:b/>
          <w:color w:val="auto"/>
          <w:sz w:val="32"/>
          <w:szCs w:val="32"/>
          <w:highlight w:val="none"/>
        </w:rPr>
      </w:pPr>
    </w:p>
    <w:p w14:paraId="207DBCA9">
      <w:pPr>
        <w:snapToGrid w:val="0"/>
        <w:spacing w:line="400" w:lineRule="exact"/>
        <w:ind w:firstLine="643"/>
        <w:jc w:val="center"/>
        <w:rPr>
          <w:rFonts w:hint="eastAsia" w:ascii="仿宋" w:hAnsi="仿宋" w:eastAsia="仿宋" w:cs="仿宋"/>
          <w:b/>
          <w:color w:val="auto"/>
          <w:sz w:val="32"/>
          <w:szCs w:val="32"/>
          <w:highlight w:val="none"/>
        </w:rPr>
      </w:pPr>
    </w:p>
    <w:p w14:paraId="1A2EC7AB">
      <w:pPr>
        <w:snapToGrid w:val="0"/>
        <w:spacing w:line="400" w:lineRule="exact"/>
        <w:ind w:firstLine="643"/>
        <w:jc w:val="center"/>
        <w:rPr>
          <w:rFonts w:hint="eastAsia" w:ascii="仿宋" w:hAnsi="仿宋" w:eastAsia="仿宋" w:cs="仿宋"/>
          <w:b/>
          <w:color w:val="auto"/>
          <w:sz w:val="32"/>
          <w:szCs w:val="32"/>
          <w:highlight w:val="none"/>
        </w:rPr>
      </w:pPr>
    </w:p>
    <w:p w14:paraId="2E09E923">
      <w:pPr>
        <w:snapToGrid w:val="0"/>
        <w:spacing w:line="400" w:lineRule="exact"/>
        <w:ind w:firstLine="643"/>
        <w:jc w:val="center"/>
        <w:rPr>
          <w:rFonts w:hint="eastAsia" w:ascii="仿宋" w:hAnsi="仿宋" w:eastAsia="仿宋" w:cs="仿宋"/>
          <w:b/>
          <w:color w:val="auto"/>
          <w:sz w:val="32"/>
          <w:szCs w:val="32"/>
          <w:highlight w:val="none"/>
        </w:rPr>
      </w:pPr>
    </w:p>
    <w:p w14:paraId="1B289C71">
      <w:pPr>
        <w:pStyle w:val="2"/>
        <w:rPr>
          <w:rFonts w:hint="eastAsia"/>
        </w:rPr>
      </w:pPr>
    </w:p>
    <w:p w14:paraId="3FE231F6">
      <w:pPr>
        <w:adjustRightInd/>
        <w:snapToGrid w:val="0"/>
        <w:spacing w:line="400" w:lineRule="exact"/>
        <w:ind w:firstLine="643"/>
        <w:jc w:val="center"/>
        <w:outlineLvl w:val="9"/>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val="en-US" w:eastAsia="zh-CN"/>
        </w:rPr>
        <w:t>十三</w:t>
      </w:r>
      <w:r>
        <w:rPr>
          <w:rFonts w:hint="eastAsia" w:ascii="仿宋" w:hAnsi="仿宋" w:eastAsia="仿宋" w:cs="仿宋"/>
          <w:b/>
          <w:color w:val="auto"/>
          <w:sz w:val="32"/>
          <w:szCs w:val="32"/>
          <w:highlight w:val="none"/>
        </w:rPr>
        <w:t>、缴纳采购代理服务费承诺书</w:t>
      </w:r>
    </w:p>
    <w:p w14:paraId="77B83143">
      <w:pPr>
        <w:adjustRightInd w:val="0"/>
        <w:spacing w:line="360" w:lineRule="auto"/>
        <w:rPr>
          <w:rFonts w:hint="eastAsia" w:ascii="宋体" w:hAnsi="宋体" w:eastAsia="宋体" w:cs="宋体"/>
          <w:b/>
          <w:color w:val="auto"/>
          <w:highlight w:val="none"/>
        </w:rPr>
      </w:pPr>
    </w:p>
    <w:p w14:paraId="05B93EE6">
      <w:pPr>
        <w:pStyle w:val="14"/>
        <w:adjustRightInd w:val="0"/>
        <w:spacing w:line="360" w:lineRule="auto"/>
        <w:rPr>
          <w:rFonts w:hint="eastAsia" w:ascii="仿宋" w:hAnsi="仿宋" w:eastAsia="仿宋" w:cs="仿宋"/>
          <w:color w:val="auto"/>
          <w:kern w:val="0"/>
          <w:szCs w:val="22"/>
          <w:highlight w:val="none"/>
          <w:lang w:val="zh-CN"/>
        </w:rPr>
      </w:pPr>
      <w:r>
        <w:rPr>
          <w:rFonts w:hint="eastAsia" w:ascii="仿宋" w:hAnsi="仿宋" w:eastAsia="仿宋" w:cs="仿宋"/>
          <w:color w:val="auto"/>
          <w:kern w:val="0"/>
          <w:szCs w:val="22"/>
          <w:highlight w:val="none"/>
          <w:lang w:val="en-US" w:eastAsia="zh-CN"/>
        </w:rPr>
        <w:t>建经投资咨询有限公司</w:t>
      </w:r>
      <w:r>
        <w:rPr>
          <w:rFonts w:hint="eastAsia" w:ascii="仿宋" w:hAnsi="仿宋" w:eastAsia="仿宋" w:cs="仿宋"/>
          <w:color w:val="auto"/>
          <w:kern w:val="0"/>
          <w:szCs w:val="22"/>
          <w:highlight w:val="none"/>
          <w:lang w:val="zh-CN"/>
        </w:rPr>
        <w:t>：</w:t>
      </w:r>
    </w:p>
    <w:p w14:paraId="0C93D961">
      <w:pPr>
        <w:pStyle w:val="14"/>
        <w:adjustRightInd w:val="0"/>
        <w:spacing w:line="360" w:lineRule="auto"/>
        <w:ind w:firstLine="480" w:firstLineChars="200"/>
        <w:rPr>
          <w:rFonts w:hint="eastAsia" w:ascii="仿宋" w:hAnsi="仿宋" w:eastAsia="仿宋" w:cs="仿宋"/>
          <w:color w:val="auto"/>
          <w:kern w:val="0"/>
          <w:szCs w:val="22"/>
          <w:highlight w:val="none"/>
          <w:lang w:val="zh-CN"/>
        </w:rPr>
      </w:pPr>
      <w:r>
        <w:rPr>
          <w:rFonts w:hint="eastAsia" w:ascii="仿宋" w:hAnsi="仿宋" w:eastAsia="仿宋" w:cs="仿宋"/>
          <w:color w:val="auto"/>
          <w:kern w:val="0"/>
          <w:szCs w:val="22"/>
          <w:highlight w:val="none"/>
          <w:lang w:val="zh-CN"/>
        </w:rPr>
        <w:t>我单位在</w:t>
      </w:r>
      <w:r>
        <w:rPr>
          <w:rFonts w:hint="eastAsia" w:ascii="仿宋" w:hAnsi="仿宋" w:eastAsia="仿宋" w:cs="仿宋"/>
          <w:color w:val="auto"/>
          <w:kern w:val="0"/>
          <w:szCs w:val="22"/>
          <w:highlight w:val="none"/>
        </w:rPr>
        <w:t>贵</w:t>
      </w:r>
      <w:r>
        <w:rPr>
          <w:rFonts w:hint="eastAsia" w:ascii="仿宋" w:hAnsi="仿宋" w:eastAsia="仿宋" w:cs="仿宋"/>
          <w:color w:val="auto"/>
          <w:kern w:val="0"/>
          <w:szCs w:val="22"/>
          <w:highlight w:val="none"/>
          <w:lang w:val="zh-CN"/>
        </w:rPr>
        <w:t>公司组织的浙江临昌交通新材料有限公司2025年度新矿粉采购</w:t>
      </w:r>
      <w:r>
        <w:rPr>
          <w:rFonts w:hint="eastAsia" w:ascii="仿宋" w:hAnsi="仿宋" w:eastAsia="仿宋" w:cs="仿宋"/>
          <w:color w:val="auto"/>
          <w:sz w:val="24"/>
          <w:szCs w:val="24"/>
          <w:highlight w:val="none"/>
          <w:u w:val="none"/>
          <w:lang w:eastAsia="zh-CN"/>
        </w:rPr>
        <w:t>（</w:t>
      </w:r>
      <w:r>
        <w:rPr>
          <w:rFonts w:hint="eastAsia" w:ascii="仿宋" w:hAnsi="仿宋" w:eastAsia="仿宋" w:cs="仿宋"/>
          <w:color w:val="auto"/>
          <w:sz w:val="24"/>
          <w:szCs w:val="24"/>
          <w:highlight w:val="none"/>
          <w:u w:val="none"/>
          <w:lang w:val="en-US" w:eastAsia="zh-CN"/>
        </w:rPr>
        <w:t>重新招标</w:t>
      </w:r>
      <w:r>
        <w:rPr>
          <w:rFonts w:hint="eastAsia" w:ascii="仿宋" w:hAnsi="仿宋" w:eastAsia="仿宋" w:cs="仿宋"/>
          <w:color w:val="auto"/>
          <w:sz w:val="24"/>
          <w:szCs w:val="24"/>
          <w:highlight w:val="none"/>
          <w:u w:val="none"/>
          <w:lang w:eastAsia="zh-CN"/>
        </w:rPr>
        <w:t>）</w:t>
      </w:r>
      <w:r>
        <w:rPr>
          <w:rFonts w:hint="eastAsia" w:ascii="仿宋" w:hAnsi="仿宋" w:eastAsia="仿宋" w:cs="仿宋"/>
          <w:color w:val="auto"/>
          <w:kern w:val="0"/>
          <w:szCs w:val="22"/>
          <w:highlight w:val="none"/>
          <w:lang w:val="zh-CN"/>
        </w:rPr>
        <w:t>（项目名称）（项目编号：</w:t>
      </w:r>
      <w:r>
        <w:rPr>
          <w:rFonts w:hint="eastAsia" w:ascii="仿宋" w:hAnsi="仿宋" w:eastAsia="仿宋" w:cs="仿宋"/>
          <w:color w:val="auto"/>
          <w:highlight w:val="none"/>
          <w:lang w:val="en-US" w:eastAsia="zh-CN"/>
        </w:rPr>
        <w:t>JJZC2025-07-02</w:t>
      </w:r>
      <w:r>
        <w:rPr>
          <w:rFonts w:hint="eastAsia" w:ascii="仿宋" w:hAnsi="仿宋" w:eastAsia="仿宋" w:cs="仿宋"/>
          <w:color w:val="auto"/>
          <w:kern w:val="0"/>
          <w:szCs w:val="22"/>
          <w:highlight w:val="none"/>
          <w:lang w:val="zh-CN"/>
        </w:rPr>
        <w:t>）的招标中若获中标，我单位保证按招标文件投标须知前附表的规定，向你公司即</w:t>
      </w:r>
      <w:r>
        <w:rPr>
          <w:rFonts w:hint="eastAsia" w:ascii="仿宋" w:hAnsi="仿宋" w:eastAsia="仿宋" w:cs="仿宋"/>
          <w:color w:val="auto"/>
          <w:kern w:val="0"/>
          <w:szCs w:val="22"/>
          <w:highlight w:val="none"/>
          <w:lang w:val="en-US" w:eastAsia="zh-CN"/>
        </w:rPr>
        <w:t>建经投资咨询有限公司</w:t>
      </w:r>
      <w:r>
        <w:rPr>
          <w:rFonts w:hint="eastAsia" w:ascii="仿宋" w:hAnsi="仿宋" w:eastAsia="仿宋" w:cs="仿宋"/>
          <w:color w:val="auto"/>
          <w:kern w:val="0"/>
          <w:szCs w:val="22"/>
          <w:highlight w:val="none"/>
          <w:lang w:val="zh-CN"/>
        </w:rPr>
        <w:t>支付采购代理服务费。如我单位未按上述承诺支付采购代理服务费，你公司有权取消我单位中标资格，由此产生的一切法律后果和责任由我单位承担。我单位声明放弃对此提出任何异议和追索的权利。</w:t>
      </w:r>
    </w:p>
    <w:p w14:paraId="2CB7482E">
      <w:pPr>
        <w:pStyle w:val="14"/>
        <w:adjustRightInd w:val="0"/>
        <w:spacing w:line="360" w:lineRule="auto"/>
        <w:ind w:firstLine="480" w:firstLineChars="200"/>
        <w:rPr>
          <w:rFonts w:hint="eastAsia" w:ascii="仿宋" w:hAnsi="仿宋" w:eastAsia="仿宋" w:cs="仿宋"/>
          <w:color w:val="auto"/>
          <w:kern w:val="0"/>
          <w:szCs w:val="22"/>
          <w:highlight w:val="none"/>
          <w:lang w:val="zh-CN"/>
        </w:rPr>
      </w:pPr>
      <w:r>
        <w:rPr>
          <w:rFonts w:hint="eastAsia" w:ascii="仿宋" w:hAnsi="仿宋" w:eastAsia="仿宋" w:cs="仿宋"/>
          <w:color w:val="auto"/>
          <w:kern w:val="0"/>
          <w:szCs w:val="22"/>
          <w:highlight w:val="none"/>
          <w:lang w:val="zh-CN"/>
        </w:rPr>
        <w:t>特此承诺。</w:t>
      </w:r>
    </w:p>
    <w:p w14:paraId="01000098">
      <w:pPr>
        <w:pStyle w:val="14"/>
        <w:adjustRightInd w:val="0"/>
        <w:spacing w:line="360" w:lineRule="auto"/>
        <w:rPr>
          <w:rFonts w:hint="eastAsia" w:ascii="仿宋" w:hAnsi="仿宋" w:eastAsia="仿宋" w:cs="仿宋"/>
          <w:color w:val="auto"/>
          <w:kern w:val="0"/>
          <w:szCs w:val="22"/>
          <w:highlight w:val="none"/>
          <w:lang w:val="zh-CN"/>
        </w:rPr>
      </w:pPr>
    </w:p>
    <w:p w14:paraId="32F7BB8A">
      <w:pPr>
        <w:pStyle w:val="14"/>
        <w:adjustRightInd w:val="0"/>
        <w:spacing w:line="360" w:lineRule="auto"/>
        <w:rPr>
          <w:rFonts w:hint="eastAsia" w:ascii="仿宋" w:hAnsi="仿宋" w:eastAsia="仿宋" w:cs="仿宋"/>
          <w:color w:val="auto"/>
          <w:kern w:val="0"/>
          <w:szCs w:val="22"/>
          <w:highlight w:val="none"/>
          <w:lang w:val="zh-CN"/>
        </w:rPr>
      </w:pPr>
    </w:p>
    <w:p w14:paraId="60EAF237">
      <w:pPr>
        <w:pStyle w:val="14"/>
        <w:adjustRightInd w:val="0"/>
        <w:spacing w:line="360" w:lineRule="auto"/>
        <w:rPr>
          <w:rFonts w:hint="eastAsia" w:ascii="仿宋" w:hAnsi="仿宋" w:eastAsia="仿宋" w:cs="仿宋"/>
          <w:color w:val="auto"/>
          <w:kern w:val="0"/>
          <w:szCs w:val="22"/>
          <w:highlight w:val="none"/>
          <w:lang w:val="zh-CN"/>
        </w:rPr>
      </w:pPr>
    </w:p>
    <w:p w14:paraId="69BC7CF0">
      <w:pPr>
        <w:pStyle w:val="14"/>
        <w:adjustRightInd w:val="0"/>
        <w:spacing w:line="360" w:lineRule="auto"/>
        <w:ind w:firstLine="480" w:firstLineChars="200"/>
        <w:rPr>
          <w:rFonts w:hint="eastAsia" w:ascii="仿宋" w:hAnsi="仿宋" w:eastAsia="仿宋" w:cs="仿宋"/>
          <w:color w:val="auto"/>
          <w:kern w:val="0"/>
          <w:szCs w:val="22"/>
          <w:highlight w:val="none"/>
        </w:rPr>
      </w:pPr>
      <w:r>
        <w:rPr>
          <w:rFonts w:hint="eastAsia" w:ascii="仿宋" w:hAnsi="仿宋" w:eastAsia="仿宋" w:cs="仿宋"/>
          <w:color w:val="auto"/>
          <w:kern w:val="0"/>
          <w:szCs w:val="22"/>
          <w:highlight w:val="none"/>
          <w:lang w:val="zh-CN"/>
        </w:rPr>
        <w:t>投标人全称（盖章）：</w:t>
      </w:r>
      <w:r>
        <w:rPr>
          <w:rFonts w:hint="eastAsia" w:ascii="仿宋" w:hAnsi="仿宋" w:eastAsia="仿宋" w:cs="仿宋"/>
          <w:color w:val="auto"/>
          <w:kern w:val="0"/>
          <w:szCs w:val="22"/>
          <w:highlight w:val="none"/>
        </w:rPr>
        <w:t xml:space="preserve">                       </w:t>
      </w:r>
    </w:p>
    <w:p w14:paraId="22AA4170">
      <w:pPr>
        <w:pStyle w:val="14"/>
        <w:adjustRightInd w:val="0"/>
        <w:spacing w:line="360" w:lineRule="auto"/>
        <w:ind w:firstLine="480" w:firstLineChars="200"/>
        <w:rPr>
          <w:rFonts w:hint="eastAsia" w:ascii="仿宋" w:hAnsi="仿宋" w:eastAsia="仿宋" w:cs="仿宋"/>
          <w:color w:val="auto"/>
          <w:kern w:val="0"/>
          <w:szCs w:val="22"/>
          <w:highlight w:val="none"/>
          <w:lang w:val="zh-CN"/>
        </w:rPr>
      </w:pPr>
    </w:p>
    <w:p w14:paraId="72C5C726">
      <w:pPr>
        <w:pStyle w:val="14"/>
        <w:adjustRightInd w:val="0"/>
        <w:spacing w:line="360" w:lineRule="auto"/>
        <w:ind w:firstLine="480" w:firstLineChars="200"/>
        <w:rPr>
          <w:rFonts w:hint="eastAsia" w:ascii="仿宋" w:hAnsi="仿宋" w:eastAsia="仿宋" w:cs="仿宋"/>
          <w:color w:val="auto"/>
          <w:kern w:val="0"/>
          <w:szCs w:val="22"/>
          <w:highlight w:val="none"/>
          <w:lang w:val="zh-CN"/>
        </w:rPr>
      </w:pPr>
      <w:r>
        <w:rPr>
          <w:rFonts w:hint="eastAsia" w:ascii="仿宋" w:hAnsi="仿宋" w:eastAsia="仿宋" w:cs="仿宋"/>
          <w:color w:val="auto"/>
          <w:kern w:val="0"/>
          <w:szCs w:val="22"/>
          <w:highlight w:val="none"/>
          <w:lang w:val="zh-CN"/>
        </w:rPr>
        <w:t xml:space="preserve">日 </w:t>
      </w:r>
      <w:r>
        <w:rPr>
          <w:rFonts w:hint="eastAsia" w:ascii="仿宋" w:hAnsi="仿宋" w:eastAsia="仿宋" w:cs="仿宋"/>
          <w:color w:val="auto"/>
          <w:kern w:val="0"/>
          <w:szCs w:val="22"/>
          <w:highlight w:val="none"/>
        </w:rPr>
        <w:t xml:space="preserve">  </w:t>
      </w:r>
      <w:r>
        <w:rPr>
          <w:rFonts w:hint="eastAsia" w:ascii="仿宋" w:hAnsi="仿宋" w:eastAsia="仿宋" w:cs="仿宋"/>
          <w:color w:val="auto"/>
          <w:kern w:val="0"/>
          <w:szCs w:val="22"/>
          <w:highlight w:val="none"/>
          <w:lang w:val="zh-CN"/>
        </w:rPr>
        <w:t>期：</w:t>
      </w:r>
      <w:r>
        <w:rPr>
          <w:rFonts w:hint="eastAsia" w:ascii="仿宋" w:hAnsi="仿宋" w:eastAsia="仿宋" w:cs="仿宋"/>
          <w:color w:val="auto"/>
          <w:kern w:val="0"/>
          <w:szCs w:val="22"/>
          <w:highlight w:val="none"/>
        </w:rPr>
        <w:t xml:space="preserve">       </w:t>
      </w:r>
      <w:r>
        <w:rPr>
          <w:rFonts w:hint="eastAsia" w:ascii="仿宋" w:hAnsi="仿宋" w:eastAsia="仿宋" w:cs="仿宋"/>
          <w:color w:val="auto"/>
          <w:kern w:val="0"/>
          <w:szCs w:val="22"/>
          <w:highlight w:val="none"/>
          <w:lang w:val="zh-CN"/>
        </w:rPr>
        <w:t>年</w:t>
      </w:r>
      <w:r>
        <w:rPr>
          <w:rFonts w:hint="eastAsia" w:ascii="仿宋" w:hAnsi="仿宋" w:eastAsia="仿宋" w:cs="仿宋"/>
          <w:color w:val="auto"/>
          <w:kern w:val="0"/>
          <w:szCs w:val="22"/>
          <w:highlight w:val="none"/>
        </w:rPr>
        <w:t xml:space="preserve">   </w:t>
      </w:r>
      <w:r>
        <w:rPr>
          <w:rFonts w:hint="eastAsia" w:ascii="仿宋" w:hAnsi="仿宋" w:eastAsia="仿宋" w:cs="仿宋"/>
          <w:color w:val="auto"/>
          <w:kern w:val="0"/>
          <w:szCs w:val="22"/>
          <w:highlight w:val="none"/>
          <w:lang w:val="zh-CN"/>
        </w:rPr>
        <w:t xml:space="preserve"> 月 </w:t>
      </w:r>
      <w:r>
        <w:rPr>
          <w:rFonts w:hint="eastAsia" w:ascii="仿宋" w:hAnsi="仿宋" w:eastAsia="仿宋" w:cs="仿宋"/>
          <w:color w:val="auto"/>
          <w:kern w:val="0"/>
          <w:szCs w:val="22"/>
          <w:highlight w:val="none"/>
        </w:rPr>
        <w:t xml:space="preserve">   </w:t>
      </w:r>
      <w:r>
        <w:rPr>
          <w:rFonts w:hint="eastAsia" w:ascii="仿宋" w:hAnsi="仿宋" w:eastAsia="仿宋" w:cs="仿宋"/>
          <w:color w:val="auto"/>
          <w:kern w:val="0"/>
          <w:szCs w:val="22"/>
          <w:highlight w:val="none"/>
          <w:lang w:val="zh-CN"/>
        </w:rPr>
        <w:t>日</w:t>
      </w:r>
    </w:p>
    <w:p w14:paraId="4D2EAE62">
      <w:pPr>
        <w:adjustRightInd w:val="0"/>
        <w:spacing w:line="360" w:lineRule="auto"/>
        <w:rPr>
          <w:rFonts w:hint="eastAsia" w:ascii="宋体" w:hAnsi="宋体" w:eastAsia="宋体" w:cs="宋体"/>
          <w:b/>
          <w:color w:val="auto"/>
          <w:highlight w:val="none"/>
        </w:rPr>
      </w:pPr>
    </w:p>
    <w:p w14:paraId="3ED8BDBC">
      <w:pPr>
        <w:adjustRightInd w:val="0"/>
        <w:spacing w:line="360" w:lineRule="auto"/>
        <w:rPr>
          <w:rFonts w:hint="eastAsia" w:ascii="宋体" w:hAnsi="宋体" w:eastAsia="宋体" w:cs="宋体"/>
          <w:b/>
          <w:color w:val="auto"/>
          <w:highlight w:val="none"/>
        </w:rPr>
      </w:pPr>
    </w:p>
    <w:p w14:paraId="7AE3D8D1">
      <w:pPr>
        <w:pStyle w:val="64"/>
        <w:keepNext w:val="0"/>
        <w:pageBreakBefore w:val="0"/>
        <w:tabs>
          <w:tab w:val="clear" w:pos="720"/>
        </w:tabs>
        <w:snapToGrid w:val="0"/>
        <w:spacing w:line="500" w:lineRule="exact"/>
        <w:jc w:val="both"/>
        <w:outlineLvl w:val="9"/>
        <w:rPr>
          <w:rFonts w:hint="eastAsia" w:ascii="仿宋" w:hAnsi="仿宋" w:eastAsia="仿宋" w:cs="仿宋"/>
          <w:color w:val="auto"/>
          <w:kern w:val="2"/>
          <w:sz w:val="28"/>
          <w:szCs w:val="28"/>
          <w:highlight w:val="none"/>
        </w:rPr>
      </w:pPr>
    </w:p>
    <w:p w14:paraId="03585F2D">
      <w:pPr>
        <w:pStyle w:val="64"/>
        <w:keepNext w:val="0"/>
        <w:pageBreakBefore w:val="0"/>
        <w:tabs>
          <w:tab w:val="clear" w:pos="720"/>
        </w:tabs>
        <w:snapToGrid w:val="0"/>
        <w:spacing w:line="500" w:lineRule="exact"/>
        <w:jc w:val="both"/>
        <w:outlineLvl w:val="9"/>
        <w:rPr>
          <w:rFonts w:hint="eastAsia" w:ascii="仿宋" w:hAnsi="仿宋" w:eastAsia="仿宋" w:cs="仿宋"/>
          <w:color w:val="auto"/>
          <w:kern w:val="2"/>
          <w:sz w:val="28"/>
          <w:szCs w:val="28"/>
          <w:highlight w:val="none"/>
        </w:rPr>
      </w:pPr>
    </w:p>
    <w:p w14:paraId="18BEF179">
      <w:pPr>
        <w:pStyle w:val="64"/>
        <w:keepNext w:val="0"/>
        <w:pageBreakBefore w:val="0"/>
        <w:tabs>
          <w:tab w:val="clear" w:pos="720"/>
        </w:tabs>
        <w:snapToGrid w:val="0"/>
        <w:spacing w:line="500" w:lineRule="exact"/>
        <w:jc w:val="both"/>
        <w:outlineLvl w:val="9"/>
        <w:rPr>
          <w:rFonts w:hint="eastAsia" w:ascii="仿宋" w:hAnsi="仿宋" w:eastAsia="仿宋" w:cs="仿宋"/>
          <w:color w:val="auto"/>
          <w:kern w:val="2"/>
          <w:sz w:val="28"/>
          <w:szCs w:val="28"/>
          <w:highlight w:val="none"/>
        </w:rPr>
      </w:pPr>
    </w:p>
    <w:p w14:paraId="5AABA0EE">
      <w:pPr>
        <w:pStyle w:val="64"/>
        <w:keepNext w:val="0"/>
        <w:pageBreakBefore w:val="0"/>
        <w:tabs>
          <w:tab w:val="clear" w:pos="720"/>
        </w:tabs>
        <w:snapToGrid w:val="0"/>
        <w:spacing w:line="500" w:lineRule="exact"/>
        <w:jc w:val="both"/>
        <w:outlineLvl w:val="9"/>
        <w:rPr>
          <w:rFonts w:hint="eastAsia" w:ascii="仿宋" w:hAnsi="仿宋" w:eastAsia="仿宋" w:cs="仿宋"/>
          <w:color w:val="auto"/>
          <w:kern w:val="2"/>
          <w:sz w:val="28"/>
          <w:szCs w:val="28"/>
          <w:highlight w:val="none"/>
        </w:rPr>
      </w:pPr>
    </w:p>
    <w:p w14:paraId="45F983BF">
      <w:pPr>
        <w:pStyle w:val="64"/>
        <w:keepNext w:val="0"/>
        <w:pageBreakBefore w:val="0"/>
        <w:tabs>
          <w:tab w:val="clear" w:pos="720"/>
        </w:tabs>
        <w:snapToGrid w:val="0"/>
        <w:spacing w:line="500" w:lineRule="exact"/>
        <w:jc w:val="both"/>
        <w:outlineLvl w:val="9"/>
        <w:rPr>
          <w:rFonts w:hint="eastAsia" w:ascii="仿宋" w:hAnsi="仿宋" w:eastAsia="仿宋" w:cs="仿宋"/>
          <w:color w:val="auto"/>
          <w:kern w:val="2"/>
          <w:sz w:val="28"/>
          <w:szCs w:val="28"/>
          <w:highlight w:val="none"/>
        </w:rPr>
      </w:pPr>
    </w:p>
    <w:p w14:paraId="40B09CEB">
      <w:pPr>
        <w:pStyle w:val="64"/>
        <w:keepNext w:val="0"/>
        <w:pageBreakBefore w:val="0"/>
        <w:tabs>
          <w:tab w:val="clear" w:pos="720"/>
        </w:tabs>
        <w:snapToGrid w:val="0"/>
        <w:spacing w:line="500" w:lineRule="exact"/>
        <w:jc w:val="both"/>
        <w:outlineLvl w:val="9"/>
        <w:rPr>
          <w:rFonts w:hint="eastAsia" w:ascii="仿宋" w:hAnsi="仿宋" w:eastAsia="仿宋" w:cs="仿宋"/>
          <w:color w:val="auto"/>
          <w:kern w:val="2"/>
          <w:sz w:val="28"/>
          <w:szCs w:val="28"/>
          <w:highlight w:val="none"/>
        </w:rPr>
      </w:pPr>
    </w:p>
    <w:p w14:paraId="6B4F72E3">
      <w:pPr>
        <w:pStyle w:val="64"/>
        <w:keepNext w:val="0"/>
        <w:pageBreakBefore w:val="0"/>
        <w:tabs>
          <w:tab w:val="clear" w:pos="720"/>
        </w:tabs>
        <w:snapToGrid w:val="0"/>
        <w:spacing w:line="500" w:lineRule="exact"/>
        <w:jc w:val="both"/>
        <w:outlineLvl w:val="9"/>
        <w:rPr>
          <w:rFonts w:hint="eastAsia" w:ascii="仿宋" w:hAnsi="仿宋" w:eastAsia="仿宋" w:cs="仿宋"/>
          <w:color w:val="auto"/>
          <w:kern w:val="2"/>
          <w:sz w:val="28"/>
          <w:szCs w:val="28"/>
          <w:highlight w:val="none"/>
        </w:rPr>
      </w:pPr>
    </w:p>
    <w:p w14:paraId="4A435C63">
      <w:pPr>
        <w:pStyle w:val="64"/>
        <w:keepNext w:val="0"/>
        <w:pageBreakBefore w:val="0"/>
        <w:tabs>
          <w:tab w:val="clear" w:pos="720"/>
        </w:tabs>
        <w:snapToGrid w:val="0"/>
        <w:spacing w:line="500" w:lineRule="exact"/>
        <w:jc w:val="both"/>
        <w:outlineLvl w:val="9"/>
        <w:rPr>
          <w:rFonts w:hint="eastAsia" w:ascii="仿宋" w:hAnsi="仿宋" w:eastAsia="仿宋" w:cs="仿宋"/>
          <w:color w:val="auto"/>
          <w:kern w:val="2"/>
          <w:sz w:val="28"/>
          <w:szCs w:val="28"/>
          <w:highlight w:val="none"/>
        </w:rPr>
      </w:pPr>
    </w:p>
    <w:p w14:paraId="3D123879">
      <w:pPr>
        <w:pStyle w:val="64"/>
        <w:keepNext w:val="0"/>
        <w:pageBreakBefore w:val="0"/>
        <w:tabs>
          <w:tab w:val="clear" w:pos="720"/>
        </w:tabs>
        <w:snapToGrid w:val="0"/>
        <w:spacing w:line="500" w:lineRule="exact"/>
        <w:jc w:val="both"/>
        <w:outlineLvl w:val="9"/>
        <w:rPr>
          <w:rFonts w:hint="eastAsia" w:ascii="仿宋" w:hAnsi="仿宋" w:eastAsia="仿宋" w:cs="仿宋"/>
          <w:color w:val="auto"/>
          <w:kern w:val="2"/>
          <w:sz w:val="28"/>
          <w:szCs w:val="28"/>
          <w:highlight w:val="none"/>
        </w:rPr>
      </w:pPr>
    </w:p>
    <w:p w14:paraId="0EFD5EAC">
      <w:pPr>
        <w:pStyle w:val="64"/>
        <w:keepNext w:val="0"/>
        <w:pageBreakBefore w:val="0"/>
        <w:tabs>
          <w:tab w:val="clear" w:pos="720"/>
        </w:tabs>
        <w:snapToGrid w:val="0"/>
        <w:spacing w:line="500" w:lineRule="exact"/>
        <w:jc w:val="both"/>
        <w:outlineLvl w:val="9"/>
        <w:rPr>
          <w:rFonts w:hint="default" w:ascii="仿宋" w:hAnsi="仿宋" w:eastAsia="仿宋" w:cs="仿宋"/>
          <w:color w:val="auto"/>
          <w:kern w:val="2"/>
          <w:sz w:val="28"/>
          <w:szCs w:val="28"/>
          <w:highlight w:val="none"/>
          <w:lang w:val="en-US" w:eastAsia="zh-CN"/>
        </w:rPr>
      </w:pPr>
      <w:r>
        <w:rPr>
          <w:rFonts w:hint="eastAsia" w:ascii="仿宋" w:hAnsi="仿宋" w:eastAsia="仿宋" w:cs="仿宋"/>
          <w:color w:val="auto"/>
          <w:kern w:val="2"/>
          <w:sz w:val="28"/>
          <w:szCs w:val="28"/>
          <w:highlight w:val="none"/>
        </w:rPr>
        <w:t>附件</w:t>
      </w:r>
      <w:r>
        <w:rPr>
          <w:rFonts w:hint="eastAsia" w:ascii="仿宋" w:hAnsi="仿宋" w:eastAsia="仿宋" w:cs="仿宋"/>
          <w:color w:val="auto"/>
          <w:kern w:val="2"/>
          <w:sz w:val="28"/>
          <w:szCs w:val="28"/>
          <w:highlight w:val="none"/>
          <w:lang w:val="en-US" w:eastAsia="zh-CN"/>
        </w:rPr>
        <w:t>1：采购活动现场确认声明书</w:t>
      </w:r>
    </w:p>
    <w:p w14:paraId="1EEE512E">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500" w:lineRule="exact"/>
        <w:ind w:firstLine="0" w:firstLineChars="0"/>
        <w:jc w:val="center"/>
        <w:textAlignment w:val="auto"/>
        <w:outlineLvl w:val="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采购活动现场确认声明书</w:t>
      </w:r>
    </w:p>
    <w:p w14:paraId="2192E77E">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500" w:lineRule="exact"/>
        <w:ind w:firstLine="0" w:firstLineChars="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val="en-US" w:eastAsia="zh-CN"/>
        </w:rPr>
        <w:t>建经投资咨询有限公司</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295CCDA1">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500" w:lineRule="exact"/>
        <w:ind w:left="0" w:firstLine="480" w:firstLineChars="20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（授权代表姓名），经由</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（单位）</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（法定代表人姓名）合法授权参加</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）采购活动，经与本单位法人代表（负责人）联系确认，现就有关公平竞争事项郑重声明如下：</w:t>
      </w:r>
    </w:p>
    <w:p w14:paraId="7F21521C">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500" w:lineRule="exact"/>
        <w:ind w:left="0" w:firstLine="480" w:firstLineChars="20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一、本单位与采购人之间 □不存在利害关系 □存在下列利害关系：</w:t>
      </w:r>
    </w:p>
    <w:p w14:paraId="3232F8F7">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500" w:lineRule="exact"/>
        <w:ind w:left="0" w:firstLine="480" w:firstLineChars="20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A．投资关系 B．行政隶属关系 C．业务指导关系</w:t>
      </w:r>
    </w:p>
    <w:p w14:paraId="0BB97284">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500" w:lineRule="exact"/>
        <w:ind w:left="0" w:firstLine="480" w:firstLineChars="20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D．其他可能影响采购公正的利害关系（如有，请如实说明）。</w:t>
      </w:r>
    </w:p>
    <w:p w14:paraId="17F1F2E3">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500" w:lineRule="exact"/>
        <w:ind w:left="0" w:firstLine="480" w:firstLineChars="20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二、现己清楚知道参加本项目采购活动的其他所有供应商名称，本单位</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□与其他所有供应商之间均不存在利害关系</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（供应商名称）之间存在下列利害关系：</w:t>
      </w:r>
    </w:p>
    <w:p w14:paraId="10D98E55">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500" w:lineRule="exact"/>
        <w:ind w:left="0" w:firstLine="480" w:firstLineChars="20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A．法定代表人或负责人或实际控制人是同一人</w:t>
      </w:r>
    </w:p>
    <w:p w14:paraId="013E4B92">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500" w:lineRule="exact"/>
        <w:ind w:left="0" w:firstLine="480" w:firstLineChars="20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B．法定代表人或负责人或实际控制人是夫妻关系</w:t>
      </w:r>
    </w:p>
    <w:p w14:paraId="5848A5FB">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500" w:lineRule="exact"/>
        <w:ind w:left="0" w:firstLine="480" w:firstLineChars="20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C．法定代表人或负责人或实际控制人是直系血亲关系</w:t>
      </w:r>
    </w:p>
    <w:p w14:paraId="22355CF1">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500" w:lineRule="exact"/>
        <w:ind w:left="0" w:firstLine="480" w:firstLineChars="20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D．法定代表人或负责人或实际控制人存在三代以内旁系血亲关系</w:t>
      </w:r>
    </w:p>
    <w:p w14:paraId="02441EE9">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500" w:lineRule="exact"/>
        <w:ind w:left="0" w:firstLine="480" w:firstLineChars="20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E．法定代表人或负责人或实际控制人存在近姻亲关系</w:t>
      </w:r>
    </w:p>
    <w:p w14:paraId="55AAEDDC">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500" w:lineRule="exact"/>
        <w:ind w:left="0" w:firstLine="480" w:firstLineChars="20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F．法定代表人或负责人或实际控制人存在股份控制或实际控制关系</w:t>
      </w:r>
    </w:p>
    <w:p w14:paraId="1C3CE919">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500" w:lineRule="exact"/>
        <w:ind w:left="0" w:firstLine="480" w:firstLineChars="20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G．存在共同直接或间接投资设立子公司、联营企业和合营企业情况</w:t>
      </w:r>
    </w:p>
    <w:p w14:paraId="5C46BC7C">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500" w:lineRule="exact"/>
        <w:ind w:left="0" w:firstLine="480" w:firstLineChars="20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H．存在分级代理或代销关系、同一生产制造商关系、管理关系、重要业务（占主营业务收入50％以上）或重要财务往来关系（如融资）等其他实质性控制关系</w:t>
      </w:r>
    </w:p>
    <w:p w14:paraId="5EC3169C">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500" w:lineRule="exact"/>
        <w:ind w:left="0" w:firstLine="480" w:firstLineChars="20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I．其他利害关系情况</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73D18633">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500" w:lineRule="exact"/>
        <w:ind w:left="0" w:firstLine="480" w:firstLineChars="20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三、现己清楚知道并严格遵守采购法律法规和现场纪律。</w:t>
      </w:r>
    </w:p>
    <w:p w14:paraId="5F585199">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500" w:lineRule="exact"/>
        <w:ind w:left="0" w:firstLine="480" w:firstLineChars="20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四、我发现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供应商之间存在或可能存在上述第二条第</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项利害关系。</w:t>
      </w:r>
    </w:p>
    <w:p w14:paraId="7065386A">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500" w:lineRule="exact"/>
        <w:ind w:left="0" w:firstLine="480" w:firstLineChars="200"/>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五、经检查确认所有投标人投标文件 □不存在密封包装问题 □存在密封包装问题（具体指出）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4BF2BC3D">
      <w:pPr>
        <w:pStyle w:val="14"/>
        <w:keepNext w:val="0"/>
        <w:keepLines w:val="0"/>
        <w:pageBreakBefore w:val="0"/>
        <w:widowControl w:val="0"/>
        <w:kinsoku/>
        <w:wordWrap w:val="0"/>
        <w:overflowPunct/>
        <w:topLinePunct w:val="0"/>
        <w:autoSpaceDE/>
        <w:autoSpaceDN/>
        <w:bidi w:val="0"/>
        <w:adjustRightInd/>
        <w:snapToGrid w:val="0"/>
        <w:spacing w:before="0" w:beforeLines="0" w:after="0" w:afterLines="0" w:line="500" w:lineRule="exact"/>
        <w:ind w:firstLine="0" w:firstLineChars="0"/>
        <w:jc w:val="right"/>
        <w:textAlignment w:val="auto"/>
        <w:outlineLvl w:val="1"/>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 xml:space="preserve">代表签名）：       </w:t>
      </w:r>
      <w:r>
        <w:rPr>
          <w:rFonts w:hint="eastAsia" w:ascii="仿宋" w:hAnsi="仿宋" w:eastAsia="仿宋" w:cs="仿宋"/>
          <w:color w:val="auto"/>
          <w:sz w:val="24"/>
          <w:szCs w:val="24"/>
          <w:highlight w:val="none"/>
          <w:lang w:val="en-US" w:eastAsia="zh-CN"/>
        </w:rPr>
        <w:t xml:space="preserve">   </w:t>
      </w:r>
    </w:p>
    <w:p w14:paraId="777B0E08">
      <w:pPr>
        <w:spacing w:before="156" w:line="360" w:lineRule="auto"/>
        <w:ind w:firstLine="6681" w:firstLineChars="2784"/>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 月 日</w:t>
      </w:r>
    </w:p>
    <w:p w14:paraId="0B4BE312">
      <w:pPr>
        <w:pStyle w:val="64"/>
        <w:keepNext w:val="0"/>
        <w:pageBreakBefore w:val="0"/>
        <w:tabs>
          <w:tab w:val="clear" w:pos="720"/>
        </w:tabs>
        <w:snapToGrid w:val="0"/>
        <w:spacing w:line="500" w:lineRule="exact"/>
        <w:jc w:val="both"/>
        <w:outlineLvl w:val="9"/>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附件</w:t>
      </w:r>
      <w:r>
        <w:rPr>
          <w:rFonts w:hint="eastAsia" w:ascii="仿宋" w:hAnsi="仿宋" w:eastAsia="仿宋" w:cs="仿宋"/>
          <w:color w:val="auto"/>
          <w:kern w:val="2"/>
          <w:sz w:val="28"/>
          <w:szCs w:val="28"/>
          <w:highlight w:val="none"/>
          <w:lang w:val="en-US" w:eastAsia="zh-CN"/>
        </w:rPr>
        <w:t>2</w:t>
      </w:r>
      <w:r>
        <w:rPr>
          <w:rFonts w:hint="eastAsia" w:ascii="仿宋" w:hAnsi="仿宋" w:eastAsia="仿宋" w:cs="仿宋"/>
          <w:color w:val="auto"/>
          <w:kern w:val="2"/>
          <w:sz w:val="28"/>
          <w:szCs w:val="28"/>
          <w:highlight w:val="none"/>
        </w:rPr>
        <w:t>：质疑函范本及制作说明</w:t>
      </w:r>
    </w:p>
    <w:p w14:paraId="03CA8604">
      <w:pPr>
        <w:pStyle w:val="64"/>
        <w:keepNext w:val="0"/>
        <w:pageBreakBefore w:val="0"/>
        <w:tabs>
          <w:tab w:val="clear" w:pos="720"/>
        </w:tabs>
        <w:snapToGrid w:val="0"/>
        <w:spacing w:line="500" w:lineRule="exact"/>
        <w:outlineLvl w:val="9"/>
        <w:rPr>
          <w:rFonts w:hint="eastAsia" w:ascii="仿宋" w:hAnsi="仿宋" w:eastAsia="仿宋" w:cs="仿宋"/>
          <w:color w:val="auto"/>
          <w:kern w:val="2"/>
          <w:sz w:val="32"/>
          <w:szCs w:val="32"/>
          <w:highlight w:val="none"/>
        </w:rPr>
      </w:pPr>
    </w:p>
    <w:p w14:paraId="3F8D6FBC">
      <w:pPr>
        <w:pStyle w:val="64"/>
        <w:keepNext w:val="0"/>
        <w:pageBreakBefore w:val="0"/>
        <w:tabs>
          <w:tab w:val="clear" w:pos="720"/>
        </w:tabs>
        <w:snapToGrid w:val="0"/>
        <w:spacing w:line="500" w:lineRule="exact"/>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质疑函范本</w:t>
      </w:r>
    </w:p>
    <w:p w14:paraId="74F4E93D">
      <w:pPr>
        <w:snapToGrid w:val="0"/>
        <w:spacing w:line="50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4D7F3A14">
      <w:pPr>
        <w:snapToGrid w:val="0"/>
        <w:spacing w:line="5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2901AF6D">
      <w:pPr>
        <w:snapToGrid w:val="0"/>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33D41003">
      <w:pPr>
        <w:snapToGrid w:val="0"/>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7419E775">
      <w:pPr>
        <w:snapToGrid w:val="0"/>
        <w:spacing w:line="5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6F23F0C1">
      <w:pPr>
        <w:snapToGrid w:val="0"/>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57D0993A">
      <w:pPr>
        <w:snapToGrid w:val="0"/>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0AA01C85">
      <w:pPr>
        <w:snapToGrid w:val="0"/>
        <w:spacing w:line="50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7B2CF8A4">
      <w:pPr>
        <w:snapToGrid w:val="0"/>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234D8520">
      <w:pPr>
        <w:snapToGrid w:val="0"/>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14086299">
      <w:pPr>
        <w:snapToGrid w:val="0"/>
        <w:spacing w:line="5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2B6EE025">
      <w:pPr>
        <w:snapToGrid w:val="0"/>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2A1FC173">
      <w:pPr>
        <w:snapToGrid w:val="0"/>
        <w:spacing w:line="50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4A7EC77F">
      <w:pPr>
        <w:snapToGrid w:val="0"/>
        <w:spacing w:line="5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7738DF62">
      <w:pPr>
        <w:snapToGrid w:val="0"/>
        <w:spacing w:line="5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330F1910">
      <w:pPr>
        <w:snapToGrid w:val="0"/>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72E7DAB6">
      <w:pPr>
        <w:snapToGrid w:val="0"/>
        <w:spacing w:line="5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3A36B046">
      <w:pPr>
        <w:snapToGrid w:val="0"/>
        <w:spacing w:line="5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2B572861">
      <w:pPr>
        <w:snapToGrid w:val="0"/>
        <w:spacing w:line="5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1AC700A1">
      <w:pPr>
        <w:snapToGrid w:val="0"/>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1160560B">
      <w:pPr>
        <w:snapToGrid w:val="0"/>
        <w:spacing w:line="50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36154643">
      <w:pPr>
        <w:snapToGrid w:val="0"/>
        <w:spacing w:line="5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0FDDC659">
      <w:pPr>
        <w:spacing w:line="500" w:lineRule="exact"/>
        <w:rPr>
          <w:rFonts w:hint="eastAsia" w:ascii="仿宋" w:hAnsi="仿宋" w:eastAsia="仿宋" w:cs="仿宋"/>
          <w:color w:val="auto"/>
          <w:sz w:val="24"/>
          <w:highlight w:val="none"/>
        </w:rPr>
      </w:pPr>
    </w:p>
    <w:p w14:paraId="3B8CB151">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16E53B11">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76637C66">
      <w:pPr>
        <w:pStyle w:val="63"/>
        <w:spacing w:line="500" w:lineRule="exact"/>
        <w:jc w:val="both"/>
        <w:rPr>
          <w:rFonts w:hint="eastAsia" w:ascii="仿宋" w:hAnsi="仿宋" w:eastAsia="仿宋" w:cs="仿宋"/>
          <w:b/>
          <w:bCs/>
          <w:color w:val="auto"/>
          <w:highlight w:val="none"/>
        </w:rPr>
      </w:pPr>
      <w:r>
        <w:rPr>
          <w:rFonts w:hint="eastAsia" w:ascii="仿宋" w:hAnsi="仿宋" w:eastAsia="仿宋" w:cs="仿宋"/>
          <w:b/>
          <w:bCs/>
          <w:color w:val="auto"/>
          <w:highlight w:val="none"/>
        </w:rPr>
        <w:t>质疑函制作说明：</w:t>
      </w:r>
    </w:p>
    <w:p w14:paraId="4AFE0C86">
      <w:pPr>
        <w:pStyle w:val="63"/>
        <w:spacing w:line="500" w:lineRule="exact"/>
        <w:ind w:firstLine="480" w:firstLineChars="200"/>
        <w:jc w:val="both"/>
        <w:rPr>
          <w:rFonts w:hint="eastAsia" w:ascii="仿宋" w:hAnsi="仿宋" w:eastAsia="仿宋" w:cs="仿宋"/>
          <w:color w:val="auto"/>
          <w:highlight w:val="none"/>
        </w:rPr>
      </w:pPr>
      <w:r>
        <w:rPr>
          <w:rFonts w:hint="eastAsia" w:ascii="仿宋" w:hAnsi="仿宋" w:eastAsia="仿宋" w:cs="仿宋"/>
          <w:color w:val="auto"/>
          <w:highlight w:val="none"/>
        </w:rPr>
        <w:t>1.供应商提出质疑时，应提交质疑函和必要的证明材料。</w:t>
      </w:r>
    </w:p>
    <w:p w14:paraId="62BA8FC4">
      <w:pPr>
        <w:pStyle w:val="63"/>
        <w:spacing w:line="500" w:lineRule="exact"/>
        <w:ind w:firstLine="480" w:firstLineChars="200"/>
        <w:jc w:val="both"/>
        <w:rPr>
          <w:rFonts w:hint="eastAsia" w:ascii="仿宋" w:hAnsi="仿宋" w:eastAsia="仿宋" w:cs="仿宋"/>
          <w:color w:val="auto"/>
          <w:highlight w:val="none"/>
        </w:rPr>
      </w:pPr>
      <w:r>
        <w:rPr>
          <w:rFonts w:hint="eastAsia" w:ascii="仿宋" w:hAnsi="仿宋" w:eastAsia="仿宋" w:cs="仿宋"/>
          <w:color w:val="auto"/>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56A74E02">
      <w:pPr>
        <w:pStyle w:val="63"/>
        <w:spacing w:line="500" w:lineRule="exact"/>
        <w:ind w:firstLine="480" w:firstLineChars="200"/>
        <w:jc w:val="both"/>
        <w:rPr>
          <w:rFonts w:hint="eastAsia" w:ascii="仿宋" w:hAnsi="仿宋" w:eastAsia="仿宋" w:cs="仿宋"/>
          <w:color w:val="auto"/>
          <w:highlight w:val="none"/>
        </w:rPr>
      </w:pPr>
      <w:r>
        <w:rPr>
          <w:rFonts w:hint="eastAsia" w:ascii="仿宋" w:hAnsi="仿宋" w:eastAsia="仿宋" w:cs="仿宋"/>
          <w:color w:val="auto"/>
          <w:highlight w:val="none"/>
        </w:rPr>
        <w:t>3.质疑供应商若对项目的某一分包进行质疑，质疑函中应列明具体分包号。</w:t>
      </w:r>
    </w:p>
    <w:p w14:paraId="5BBBFF0A">
      <w:pPr>
        <w:pStyle w:val="63"/>
        <w:spacing w:line="500" w:lineRule="exact"/>
        <w:ind w:firstLine="480" w:firstLineChars="200"/>
        <w:jc w:val="both"/>
        <w:rPr>
          <w:rFonts w:hint="eastAsia" w:ascii="仿宋" w:hAnsi="仿宋" w:eastAsia="仿宋" w:cs="仿宋"/>
          <w:color w:val="auto"/>
          <w:highlight w:val="none"/>
        </w:rPr>
      </w:pPr>
      <w:r>
        <w:rPr>
          <w:rFonts w:hint="eastAsia" w:ascii="仿宋" w:hAnsi="仿宋" w:eastAsia="仿宋" w:cs="仿宋"/>
          <w:color w:val="auto"/>
          <w:highlight w:val="none"/>
        </w:rPr>
        <w:t>4.质疑函的质疑事项应具体、明确，并有必要的事实依据和法律依据。</w:t>
      </w:r>
    </w:p>
    <w:p w14:paraId="711AF69C">
      <w:pPr>
        <w:pStyle w:val="63"/>
        <w:spacing w:line="500" w:lineRule="exact"/>
        <w:ind w:firstLine="480" w:firstLineChars="200"/>
        <w:jc w:val="both"/>
        <w:rPr>
          <w:rFonts w:hint="eastAsia" w:ascii="仿宋" w:hAnsi="仿宋" w:eastAsia="仿宋" w:cs="仿宋"/>
          <w:color w:val="auto"/>
          <w:highlight w:val="none"/>
        </w:rPr>
      </w:pPr>
      <w:r>
        <w:rPr>
          <w:rFonts w:hint="eastAsia" w:ascii="仿宋" w:hAnsi="仿宋" w:eastAsia="仿宋" w:cs="仿宋"/>
          <w:color w:val="auto"/>
          <w:highlight w:val="none"/>
        </w:rPr>
        <w:t>5.质疑函的质疑请求应与质疑事项相关。</w:t>
      </w:r>
    </w:p>
    <w:p w14:paraId="4DF9558A">
      <w:pPr>
        <w:pStyle w:val="63"/>
        <w:spacing w:line="500" w:lineRule="exact"/>
        <w:ind w:firstLine="480" w:firstLineChars="200"/>
        <w:jc w:val="both"/>
        <w:rPr>
          <w:rFonts w:hint="eastAsia" w:ascii="仿宋" w:hAnsi="仿宋" w:eastAsia="仿宋" w:cs="仿宋"/>
          <w:color w:val="auto"/>
          <w:highlight w:val="none"/>
        </w:rPr>
      </w:pPr>
      <w:r>
        <w:rPr>
          <w:rFonts w:hint="eastAsia" w:ascii="仿宋" w:hAnsi="仿宋" w:eastAsia="仿宋" w:cs="仿宋"/>
          <w:color w:val="auto"/>
          <w:highlight w:val="none"/>
        </w:rPr>
        <w:t>6.质疑供应商为自然人的，质疑函应由本人签字；质疑供应商为法人或者其他组织的，质疑函应由法定代表人、主要负责人，或者其授权代表签字或者盖章，并加盖公章。</w:t>
      </w:r>
    </w:p>
    <w:p w14:paraId="1C59EC15">
      <w:pPr>
        <w:pStyle w:val="63"/>
        <w:spacing w:line="500" w:lineRule="exact"/>
        <w:ind w:firstLine="480" w:firstLineChars="200"/>
        <w:jc w:val="both"/>
        <w:rPr>
          <w:rFonts w:hint="eastAsia" w:ascii="仿宋" w:hAnsi="仿宋" w:eastAsia="仿宋" w:cs="仿宋"/>
          <w:color w:val="auto"/>
          <w:highlight w:val="none"/>
        </w:rPr>
      </w:pPr>
    </w:p>
    <w:p w14:paraId="5C0F3901">
      <w:pPr>
        <w:pStyle w:val="63"/>
        <w:spacing w:line="500" w:lineRule="exact"/>
        <w:ind w:firstLine="480" w:firstLineChars="200"/>
        <w:jc w:val="both"/>
        <w:rPr>
          <w:rFonts w:hint="eastAsia" w:ascii="仿宋" w:hAnsi="仿宋" w:eastAsia="仿宋" w:cs="仿宋"/>
          <w:color w:val="auto"/>
          <w:highlight w:val="none"/>
        </w:rPr>
      </w:pPr>
    </w:p>
    <w:p w14:paraId="3E3355FB">
      <w:pPr>
        <w:pStyle w:val="63"/>
        <w:spacing w:line="500" w:lineRule="exact"/>
        <w:ind w:firstLine="480" w:firstLineChars="200"/>
        <w:jc w:val="both"/>
        <w:rPr>
          <w:rFonts w:hint="eastAsia" w:ascii="仿宋" w:hAnsi="仿宋" w:eastAsia="仿宋" w:cs="仿宋"/>
          <w:color w:val="auto"/>
          <w:highlight w:val="none"/>
        </w:rPr>
      </w:pPr>
    </w:p>
    <w:p w14:paraId="08F8B9A1">
      <w:pPr>
        <w:pStyle w:val="63"/>
        <w:spacing w:line="500" w:lineRule="exact"/>
        <w:ind w:firstLine="480" w:firstLineChars="200"/>
        <w:jc w:val="both"/>
        <w:rPr>
          <w:rFonts w:hint="eastAsia" w:ascii="仿宋" w:hAnsi="仿宋" w:eastAsia="仿宋" w:cs="仿宋"/>
          <w:color w:val="auto"/>
          <w:highlight w:val="none"/>
        </w:rPr>
      </w:pPr>
    </w:p>
    <w:p w14:paraId="205A77F7">
      <w:pPr>
        <w:pStyle w:val="63"/>
        <w:spacing w:line="500" w:lineRule="exact"/>
        <w:ind w:firstLine="480" w:firstLineChars="200"/>
        <w:jc w:val="both"/>
        <w:rPr>
          <w:rFonts w:hint="eastAsia" w:ascii="仿宋" w:hAnsi="仿宋" w:eastAsia="仿宋" w:cs="仿宋"/>
          <w:color w:val="auto"/>
          <w:highlight w:val="none"/>
        </w:rPr>
      </w:pPr>
    </w:p>
    <w:p w14:paraId="1473B743">
      <w:pPr>
        <w:pStyle w:val="63"/>
        <w:spacing w:line="500" w:lineRule="exact"/>
        <w:ind w:firstLine="480" w:firstLineChars="200"/>
        <w:jc w:val="both"/>
        <w:rPr>
          <w:rFonts w:hint="eastAsia" w:ascii="仿宋" w:hAnsi="仿宋" w:eastAsia="仿宋" w:cs="仿宋"/>
          <w:color w:val="auto"/>
          <w:highlight w:val="none"/>
        </w:rPr>
      </w:pPr>
    </w:p>
    <w:p w14:paraId="3C406228">
      <w:pPr>
        <w:pStyle w:val="63"/>
        <w:spacing w:line="500" w:lineRule="exact"/>
        <w:ind w:firstLine="480" w:firstLineChars="200"/>
        <w:jc w:val="both"/>
        <w:rPr>
          <w:rFonts w:hint="eastAsia" w:ascii="仿宋" w:hAnsi="仿宋" w:eastAsia="仿宋" w:cs="仿宋"/>
          <w:color w:val="auto"/>
          <w:highlight w:val="none"/>
        </w:rPr>
      </w:pPr>
    </w:p>
    <w:p w14:paraId="6EEE0FF4">
      <w:pPr>
        <w:pStyle w:val="63"/>
        <w:spacing w:line="500" w:lineRule="exact"/>
        <w:ind w:firstLine="480" w:firstLineChars="200"/>
        <w:jc w:val="both"/>
        <w:rPr>
          <w:rFonts w:hint="eastAsia" w:ascii="仿宋" w:hAnsi="仿宋" w:eastAsia="仿宋" w:cs="仿宋"/>
          <w:color w:val="auto"/>
          <w:highlight w:val="none"/>
        </w:rPr>
      </w:pPr>
    </w:p>
    <w:p w14:paraId="7A261436">
      <w:pPr>
        <w:pStyle w:val="63"/>
        <w:spacing w:line="500" w:lineRule="exact"/>
        <w:ind w:firstLine="480" w:firstLineChars="200"/>
        <w:jc w:val="both"/>
        <w:rPr>
          <w:rFonts w:hint="eastAsia" w:ascii="仿宋" w:hAnsi="仿宋" w:eastAsia="仿宋" w:cs="仿宋"/>
          <w:color w:val="auto"/>
          <w:highlight w:val="none"/>
        </w:rPr>
      </w:pPr>
    </w:p>
    <w:p w14:paraId="37905EF6">
      <w:pPr>
        <w:pStyle w:val="63"/>
        <w:spacing w:line="500" w:lineRule="exact"/>
        <w:ind w:firstLine="480" w:firstLineChars="200"/>
        <w:jc w:val="both"/>
        <w:rPr>
          <w:rFonts w:hint="eastAsia" w:ascii="仿宋" w:hAnsi="仿宋" w:eastAsia="仿宋" w:cs="仿宋"/>
          <w:color w:val="auto"/>
          <w:highlight w:val="none"/>
        </w:rPr>
      </w:pPr>
    </w:p>
    <w:p w14:paraId="44BE4531">
      <w:pPr>
        <w:pStyle w:val="63"/>
        <w:spacing w:line="500" w:lineRule="exact"/>
        <w:ind w:firstLine="480" w:firstLineChars="200"/>
        <w:jc w:val="both"/>
        <w:rPr>
          <w:rFonts w:hint="eastAsia" w:ascii="仿宋" w:hAnsi="仿宋" w:eastAsia="仿宋" w:cs="仿宋"/>
          <w:color w:val="auto"/>
          <w:highlight w:val="none"/>
        </w:rPr>
      </w:pPr>
    </w:p>
    <w:p w14:paraId="3E084837">
      <w:pPr>
        <w:pStyle w:val="63"/>
        <w:spacing w:line="500" w:lineRule="exact"/>
        <w:ind w:firstLine="480" w:firstLineChars="200"/>
        <w:jc w:val="both"/>
        <w:rPr>
          <w:rFonts w:hint="eastAsia" w:ascii="仿宋" w:hAnsi="仿宋" w:eastAsia="仿宋" w:cs="仿宋"/>
          <w:color w:val="auto"/>
          <w:highlight w:val="none"/>
        </w:rPr>
      </w:pPr>
    </w:p>
    <w:p w14:paraId="5B12F74C">
      <w:pPr>
        <w:pStyle w:val="63"/>
        <w:spacing w:line="500" w:lineRule="exact"/>
        <w:ind w:firstLine="480" w:firstLineChars="200"/>
        <w:jc w:val="both"/>
        <w:rPr>
          <w:rFonts w:hint="eastAsia" w:ascii="仿宋" w:hAnsi="仿宋" w:eastAsia="仿宋" w:cs="仿宋"/>
          <w:color w:val="auto"/>
          <w:highlight w:val="none"/>
        </w:rPr>
      </w:pPr>
    </w:p>
    <w:p w14:paraId="200534D8">
      <w:pPr>
        <w:pStyle w:val="63"/>
        <w:spacing w:line="500" w:lineRule="exact"/>
        <w:ind w:firstLine="480" w:firstLineChars="200"/>
        <w:jc w:val="both"/>
        <w:rPr>
          <w:rFonts w:hint="eastAsia" w:ascii="仿宋" w:hAnsi="仿宋" w:eastAsia="仿宋" w:cs="仿宋"/>
          <w:color w:val="auto"/>
          <w:highlight w:val="none"/>
        </w:rPr>
      </w:pPr>
    </w:p>
    <w:p w14:paraId="7B87FEA5">
      <w:pPr>
        <w:pStyle w:val="63"/>
        <w:spacing w:line="500" w:lineRule="exact"/>
        <w:ind w:firstLine="480" w:firstLineChars="200"/>
        <w:jc w:val="both"/>
        <w:rPr>
          <w:rFonts w:hint="eastAsia" w:ascii="仿宋" w:hAnsi="仿宋" w:eastAsia="仿宋" w:cs="仿宋"/>
          <w:color w:val="auto"/>
          <w:highlight w:val="none"/>
        </w:rPr>
      </w:pPr>
    </w:p>
    <w:p w14:paraId="3558536E">
      <w:pPr>
        <w:pStyle w:val="63"/>
        <w:spacing w:line="500" w:lineRule="exact"/>
        <w:ind w:firstLine="480" w:firstLineChars="200"/>
        <w:jc w:val="both"/>
        <w:rPr>
          <w:rFonts w:hint="eastAsia" w:ascii="仿宋" w:hAnsi="仿宋" w:eastAsia="仿宋" w:cs="仿宋"/>
          <w:color w:val="auto"/>
          <w:highlight w:val="none"/>
        </w:rPr>
      </w:pPr>
    </w:p>
    <w:p w14:paraId="17AA44F9">
      <w:pPr>
        <w:pStyle w:val="64"/>
        <w:keepNext w:val="0"/>
        <w:pageBreakBefore w:val="0"/>
        <w:tabs>
          <w:tab w:val="clear" w:pos="720"/>
        </w:tabs>
        <w:snapToGrid w:val="0"/>
        <w:spacing w:line="500" w:lineRule="exact"/>
        <w:jc w:val="both"/>
        <w:outlineLvl w:val="9"/>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br w:type="page"/>
      </w:r>
    </w:p>
    <w:p w14:paraId="57D35821">
      <w:pPr>
        <w:pStyle w:val="64"/>
        <w:keepNext w:val="0"/>
        <w:pageBreakBefore w:val="0"/>
        <w:tabs>
          <w:tab w:val="clear" w:pos="720"/>
        </w:tabs>
        <w:snapToGrid w:val="0"/>
        <w:spacing w:line="500" w:lineRule="exact"/>
        <w:jc w:val="both"/>
        <w:outlineLvl w:val="9"/>
        <w:rPr>
          <w:rFonts w:hint="eastAsia" w:ascii="仿宋" w:hAnsi="仿宋" w:eastAsia="仿宋" w:cs="仿宋"/>
          <w:color w:val="auto"/>
          <w:kern w:val="2"/>
          <w:sz w:val="28"/>
          <w:szCs w:val="28"/>
          <w:highlight w:val="none"/>
        </w:rPr>
      </w:pPr>
      <w:r>
        <w:rPr>
          <w:rFonts w:hint="eastAsia" w:ascii="仿宋" w:hAnsi="仿宋" w:eastAsia="仿宋" w:cs="仿宋"/>
          <w:color w:val="auto"/>
          <w:kern w:val="2"/>
          <w:sz w:val="28"/>
          <w:szCs w:val="28"/>
          <w:highlight w:val="none"/>
        </w:rPr>
        <w:t>附件</w:t>
      </w:r>
      <w:r>
        <w:rPr>
          <w:rFonts w:hint="eastAsia" w:ascii="仿宋" w:hAnsi="仿宋" w:eastAsia="仿宋" w:cs="仿宋"/>
          <w:color w:val="auto"/>
          <w:kern w:val="2"/>
          <w:sz w:val="28"/>
          <w:szCs w:val="28"/>
          <w:highlight w:val="none"/>
          <w:lang w:val="en-US" w:eastAsia="zh-CN"/>
        </w:rPr>
        <w:t>3</w:t>
      </w:r>
      <w:r>
        <w:rPr>
          <w:rFonts w:hint="eastAsia" w:ascii="仿宋" w:hAnsi="仿宋" w:eastAsia="仿宋" w:cs="仿宋"/>
          <w:color w:val="auto"/>
          <w:kern w:val="2"/>
          <w:sz w:val="28"/>
          <w:szCs w:val="28"/>
          <w:highlight w:val="none"/>
        </w:rPr>
        <w:t>：投诉书范本及制作说明</w:t>
      </w:r>
    </w:p>
    <w:p w14:paraId="1355E03E">
      <w:pPr>
        <w:pStyle w:val="64"/>
        <w:keepNext w:val="0"/>
        <w:pageBreakBefore w:val="0"/>
        <w:tabs>
          <w:tab w:val="clear" w:pos="720"/>
        </w:tabs>
        <w:snapToGrid w:val="0"/>
        <w:spacing w:line="500" w:lineRule="exact"/>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投诉书范本</w:t>
      </w:r>
    </w:p>
    <w:p w14:paraId="7B3845C5">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6BC07EF4">
      <w:pPr>
        <w:spacing w:line="5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20B82CD2">
      <w:pPr>
        <w:spacing w:line="5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19D24E60">
      <w:pPr>
        <w:tabs>
          <w:tab w:val="left" w:pos="6510"/>
        </w:tabs>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p>
    <w:p w14:paraId="434C4419">
      <w:pPr>
        <w:tabs>
          <w:tab w:val="left" w:pos="6510"/>
        </w:tabs>
        <w:spacing w:line="5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31BFF1CA">
      <w:pPr>
        <w:spacing w:line="5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116820A">
      <w:pPr>
        <w:spacing w:line="5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49249F40">
      <w:pPr>
        <w:spacing w:line="5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p>
    <w:p w14:paraId="6D1EAAEE">
      <w:pPr>
        <w:spacing w:line="5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34F9DFA1">
      <w:pPr>
        <w:spacing w:line="5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073A7BEC">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6921DCF2">
      <w:pPr>
        <w:spacing w:line="5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17587B23">
      <w:pPr>
        <w:spacing w:line="5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p>
    <w:p w14:paraId="135B8B02">
      <w:pPr>
        <w:spacing w:line="5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13FF87F2">
      <w:pPr>
        <w:spacing w:line="5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B5EE961">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081D5E45">
      <w:pPr>
        <w:spacing w:line="5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1DA66AEC">
      <w:pPr>
        <w:spacing w:line="5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6F7CE312">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3A4EE5ED">
      <w:pPr>
        <w:spacing w:line="5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192476C7">
      <w:pPr>
        <w:spacing w:line="5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6B3A2A0C">
      <w:pPr>
        <w:spacing w:line="5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316701B7">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54803505">
      <w:pPr>
        <w:spacing w:line="5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4047D4C4">
      <w:pPr>
        <w:spacing w:line="5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069DB7C9">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44B92DDE">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1105B39C">
      <w:pPr>
        <w:spacing w:line="5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662A1DE8">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5817F1B8">
      <w:pPr>
        <w:spacing w:line="5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271BC31D">
      <w:pPr>
        <w:spacing w:line="5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076FC901">
      <w:pPr>
        <w:spacing w:line="5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5B0CF98D">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3050DF1E">
      <w:pPr>
        <w:spacing w:line="5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75789D8F">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31726E35">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418771DB">
      <w:pPr>
        <w:spacing w:line="5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7D4234EB">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6D3D5C0D">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651E9485">
      <w:pPr>
        <w:spacing w:line="500" w:lineRule="exact"/>
        <w:rPr>
          <w:rFonts w:hint="eastAsia" w:ascii="仿宋" w:hAnsi="仿宋" w:eastAsia="仿宋" w:cs="仿宋"/>
          <w:b/>
          <w:color w:val="auto"/>
          <w:sz w:val="24"/>
          <w:highlight w:val="none"/>
        </w:rPr>
      </w:pPr>
    </w:p>
    <w:p w14:paraId="39E77D2E">
      <w:pPr>
        <w:pStyle w:val="63"/>
        <w:spacing w:line="500" w:lineRule="exact"/>
        <w:jc w:val="both"/>
        <w:rPr>
          <w:rFonts w:hint="eastAsia" w:ascii="仿宋" w:hAnsi="仿宋" w:eastAsia="仿宋" w:cs="仿宋"/>
          <w:b/>
          <w:bCs/>
          <w:color w:val="auto"/>
          <w:highlight w:val="none"/>
        </w:rPr>
      </w:pPr>
      <w:r>
        <w:rPr>
          <w:rFonts w:hint="eastAsia" w:ascii="仿宋" w:hAnsi="仿宋" w:eastAsia="仿宋" w:cs="仿宋"/>
          <w:b/>
          <w:bCs/>
          <w:color w:val="auto"/>
          <w:highlight w:val="none"/>
        </w:rPr>
        <w:t>投诉书制作说明：</w:t>
      </w:r>
    </w:p>
    <w:p w14:paraId="3B0FC499">
      <w:pPr>
        <w:pStyle w:val="63"/>
        <w:spacing w:line="500" w:lineRule="exact"/>
        <w:ind w:firstLine="480" w:firstLineChars="200"/>
        <w:jc w:val="both"/>
        <w:rPr>
          <w:rFonts w:hint="eastAsia" w:ascii="仿宋" w:hAnsi="仿宋" w:eastAsia="仿宋" w:cs="仿宋"/>
          <w:color w:val="auto"/>
          <w:highlight w:val="none"/>
        </w:rPr>
      </w:pPr>
      <w:r>
        <w:rPr>
          <w:rFonts w:hint="eastAsia" w:ascii="仿宋" w:hAnsi="仿宋" w:eastAsia="仿宋" w:cs="仿宋"/>
          <w:color w:val="auto"/>
          <w:highlight w:val="none"/>
        </w:rPr>
        <w:t>1.投诉人提起投诉时，应当提交投诉书和必要的证明材料，并按照被投诉人和与投诉事项有关的供应商数量提供投诉书副本。</w:t>
      </w:r>
    </w:p>
    <w:p w14:paraId="4AEA7D15">
      <w:pPr>
        <w:pStyle w:val="63"/>
        <w:spacing w:line="500" w:lineRule="exact"/>
        <w:ind w:firstLine="480" w:firstLineChars="200"/>
        <w:jc w:val="both"/>
        <w:rPr>
          <w:rFonts w:hint="eastAsia" w:ascii="仿宋" w:hAnsi="仿宋" w:eastAsia="仿宋" w:cs="仿宋"/>
          <w:color w:val="auto"/>
          <w:highlight w:val="none"/>
        </w:rPr>
      </w:pPr>
      <w:r>
        <w:rPr>
          <w:rFonts w:hint="eastAsia" w:ascii="仿宋" w:hAnsi="仿宋" w:eastAsia="仿宋" w:cs="仿宋"/>
          <w:color w:val="auto"/>
          <w:highlight w:val="none"/>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14:paraId="43CE1670">
      <w:pPr>
        <w:pStyle w:val="63"/>
        <w:spacing w:line="500" w:lineRule="exact"/>
        <w:ind w:firstLine="480" w:firstLineChars="200"/>
        <w:jc w:val="both"/>
        <w:rPr>
          <w:rFonts w:hint="eastAsia" w:ascii="仿宋" w:hAnsi="仿宋" w:eastAsia="仿宋" w:cs="仿宋"/>
          <w:color w:val="auto"/>
          <w:highlight w:val="none"/>
        </w:rPr>
      </w:pPr>
      <w:r>
        <w:rPr>
          <w:rFonts w:hint="eastAsia" w:ascii="仿宋" w:hAnsi="仿宋" w:eastAsia="仿宋" w:cs="仿宋"/>
          <w:color w:val="auto"/>
          <w:highlight w:val="none"/>
        </w:rPr>
        <w:t>3.投诉人若对项目的某一分包进行投诉，投诉书应列明具体分包号。</w:t>
      </w:r>
    </w:p>
    <w:p w14:paraId="62ED60CF">
      <w:pPr>
        <w:pStyle w:val="63"/>
        <w:spacing w:line="500" w:lineRule="exact"/>
        <w:ind w:firstLine="480" w:firstLineChars="200"/>
        <w:jc w:val="both"/>
        <w:rPr>
          <w:rFonts w:hint="eastAsia" w:ascii="仿宋" w:hAnsi="仿宋" w:eastAsia="仿宋" w:cs="仿宋"/>
          <w:color w:val="auto"/>
          <w:highlight w:val="none"/>
        </w:rPr>
      </w:pPr>
      <w:r>
        <w:rPr>
          <w:rFonts w:hint="eastAsia" w:ascii="仿宋" w:hAnsi="仿宋" w:eastAsia="仿宋" w:cs="仿宋"/>
          <w:color w:val="auto"/>
          <w:highlight w:val="none"/>
        </w:rPr>
        <w:t>4.投诉书应简要列明质疑事项，质疑函、质疑答复等作为附件材料提供。</w:t>
      </w:r>
    </w:p>
    <w:p w14:paraId="4B548D91">
      <w:pPr>
        <w:pStyle w:val="63"/>
        <w:spacing w:line="500" w:lineRule="exact"/>
        <w:ind w:firstLine="480" w:firstLineChars="200"/>
        <w:jc w:val="both"/>
        <w:rPr>
          <w:rFonts w:hint="eastAsia" w:ascii="仿宋" w:hAnsi="仿宋" w:eastAsia="仿宋" w:cs="仿宋"/>
          <w:color w:val="auto"/>
          <w:highlight w:val="none"/>
        </w:rPr>
      </w:pPr>
      <w:r>
        <w:rPr>
          <w:rFonts w:hint="eastAsia" w:ascii="仿宋" w:hAnsi="仿宋" w:eastAsia="仿宋" w:cs="仿宋"/>
          <w:color w:val="auto"/>
          <w:highlight w:val="none"/>
        </w:rPr>
        <w:t>5.投诉书的投诉事项应具体、明确，并有必要的事实依据和法律依据。</w:t>
      </w:r>
    </w:p>
    <w:p w14:paraId="06163681">
      <w:pPr>
        <w:pStyle w:val="63"/>
        <w:spacing w:line="500" w:lineRule="exact"/>
        <w:ind w:firstLine="480" w:firstLineChars="200"/>
        <w:jc w:val="both"/>
        <w:rPr>
          <w:rFonts w:hint="eastAsia" w:ascii="仿宋" w:hAnsi="仿宋" w:eastAsia="仿宋" w:cs="仿宋"/>
          <w:color w:val="auto"/>
          <w:highlight w:val="none"/>
        </w:rPr>
      </w:pPr>
      <w:r>
        <w:rPr>
          <w:rFonts w:hint="eastAsia" w:ascii="仿宋" w:hAnsi="仿宋" w:eastAsia="仿宋" w:cs="仿宋"/>
          <w:color w:val="auto"/>
          <w:highlight w:val="none"/>
        </w:rPr>
        <w:t>6.投诉书的投诉请求应与投诉事项相关。</w:t>
      </w:r>
    </w:p>
    <w:p w14:paraId="01FF8F65">
      <w:pPr>
        <w:pStyle w:val="63"/>
        <w:spacing w:line="500" w:lineRule="exact"/>
        <w:ind w:firstLine="480" w:firstLineChars="200"/>
        <w:jc w:val="both"/>
        <w:rPr>
          <w:rFonts w:hint="eastAsia" w:ascii="仿宋" w:hAnsi="仿宋" w:eastAsia="仿宋" w:cs="仿宋"/>
          <w:color w:val="auto"/>
          <w:highlight w:val="none"/>
        </w:rPr>
      </w:pPr>
      <w:r>
        <w:rPr>
          <w:rFonts w:hint="eastAsia" w:ascii="仿宋" w:hAnsi="仿宋" w:eastAsia="仿宋" w:cs="仿宋"/>
          <w:color w:val="auto"/>
          <w:highlight w:val="none"/>
        </w:rPr>
        <w:t>7.投诉人为自然人的，投诉书应当由本人签字；投诉人为法人或者其他组织的，投诉书应当由法定代表人、主要负责人，或者其授权代表签字或者盖章，并加盖公章。</w:t>
      </w:r>
    </w:p>
    <w:p w14:paraId="086531E2">
      <w:pPr>
        <w:spacing w:before="156" w:line="360" w:lineRule="auto"/>
        <w:ind w:firstLine="602"/>
        <w:rPr>
          <w:rFonts w:ascii="仿宋" w:hAnsi="仿宋" w:eastAsia="仿宋" w:cs="仿宋"/>
          <w:b/>
          <w:color w:val="auto"/>
          <w:sz w:val="32"/>
          <w:highlight w:val="none"/>
        </w:rPr>
      </w:pPr>
      <w:r>
        <w:rPr>
          <w:rFonts w:hint="eastAsia" w:ascii="仿宋" w:hAnsi="仿宋" w:eastAsia="仿宋" w:cs="仿宋"/>
          <w:b/>
          <w:color w:val="auto"/>
          <w:sz w:val="30"/>
          <w:szCs w:val="30"/>
          <w:highlight w:val="none"/>
        </w:rPr>
        <w:t>投标文件封面</w:t>
      </w:r>
      <w:r>
        <w:rPr>
          <w:rFonts w:hint="eastAsia" w:ascii="仿宋" w:hAnsi="仿宋" w:eastAsia="仿宋" w:cs="仿宋"/>
          <w:b/>
          <w:color w:val="auto"/>
          <w:sz w:val="32"/>
          <w:highlight w:val="none"/>
        </w:rPr>
        <w:t>（格式供参考）</w:t>
      </w:r>
    </w:p>
    <w:p w14:paraId="70FB401E">
      <w:pPr>
        <w:spacing w:before="156" w:line="360" w:lineRule="auto"/>
        <w:ind w:firstLine="6644" w:firstLineChars="2206"/>
        <w:rPr>
          <w:rFonts w:ascii="仿宋" w:hAnsi="仿宋" w:eastAsia="仿宋" w:cs="仿宋"/>
          <w:b/>
          <w:color w:val="auto"/>
          <w:sz w:val="30"/>
          <w:szCs w:val="30"/>
          <w:highlight w:val="none"/>
        </w:rPr>
      </w:pPr>
    </w:p>
    <w:p w14:paraId="700955A5">
      <w:pPr>
        <w:spacing w:before="156" w:line="360" w:lineRule="auto"/>
        <w:ind w:firstLine="1044"/>
        <w:jc w:val="center"/>
        <w:rPr>
          <w:rFonts w:ascii="仿宋" w:hAnsi="仿宋" w:eastAsia="仿宋" w:cs="仿宋"/>
          <w:b/>
          <w:color w:val="auto"/>
          <w:sz w:val="52"/>
          <w:szCs w:val="52"/>
          <w:highlight w:val="none"/>
        </w:rPr>
      </w:pPr>
      <w:r>
        <w:rPr>
          <w:rFonts w:hint="eastAsia" w:ascii="仿宋" w:hAnsi="仿宋" w:eastAsia="仿宋" w:cs="仿宋"/>
          <w:b/>
          <w:color w:val="auto"/>
          <w:sz w:val="52"/>
          <w:szCs w:val="52"/>
          <w:highlight w:val="none"/>
        </w:rPr>
        <w:t>资格文件</w:t>
      </w:r>
    </w:p>
    <w:p w14:paraId="545A9D06">
      <w:pPr>
        <w:spacing w:before="156" w:line="360" w:lineRule="auto"/>
        <w:ind w:firstLine="602"/>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 xml:space="preserve"> </w:t>
      </w:r>
    </w:p>
    <w:p w14:paraId="410744FD">
      <w:pPr>
        <w:spacing w:before="156" w:line="360" w:lineRule="auto"/>
        <w:ind w:firstLine="602"/>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项目名称：</w:t>
      </w:r>
      <w:r>
        <w:rPr>
          <w:rFonts w:hint="eastAsia" w:ascii="仿宋" w:hAnsi="仿宋" w:eastAsia="仿宋" w:cs="仿宋"/>
          <w:b/>
          <w:color w:val="auto"/>
          <w:sz w:val="30"/>
          <w:szCs w:val="30"/>
          <w:highlight w:val="none"/>
          <w:u w:val="single"/>
        </w:rPr>
        <w:t xml:space="preserve">                                     </w:t>
      </w:r>
    </w:p>
    <w:p w14:paraId="78620BCC">
      <w:pPr>
        <w:spacing w:before="156" w:line="360" w:lineRule="auto"/>
        <w:ind w:firstLine="602"/>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项目编号：</w:t>
      </w:r>
      <w:r>
        <w:rPr>
          <w:rFonts w:hint="eastAsia" w:ascii="仿宋" w:hAnsi="仿宋" w:eastAsia="仿宋" w:cs="仿宋"/>
          <w:b/>
          <w:color w:val="auto"/>
          <w:sz w:val="30"/>
          <w:szCs w:val="30"/>
          <w:highlight w:val="none"/>
          <w:u w:val="single"/>
        </w:rPr>
        <w:t xml:space="preserve">                                     </w:t>
      </w:r>
    </w:p>
    <w:p w14:paraId="50926690">
      <w:pPr>
        <w:spacing w:before="156" w:line="360" w:lineRule="auto"/>
        <w:ind w:firstLine="602"/>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投标人名称（电子签章）：</w:t>
      </w:r>
      <w:r>
        <w:rPr>
          <w:rFonts w:hint="eastAsia" w:ascii="仿宋" w:hAnsi="仿宋" w:eastAsia="仿宋" w:cs="仿宋"/>
          <w:b/>
          <w:color w:val="auto"/>
          <w:sz w:val="30"/>
          <w:szCs w:val="30"/>
          <w:highlight w:val="none"/>
          <w:u w:val="single"/>
        </w:rPr>
        <w:t xml:space="preserve">                       </w:t>
      </w:r>
    </w:p>
    <w:p w14:paraId="186B5321">
      <w:pPr>
        <w:spacing w:before="156" w:line="360" w:lineRule="auto"/>
        <w:ind w:firstLine="602"/>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法定代表人或授权代表（签名或签章）：</w:t>
      </w:r>
      <w:r>
        <w:rPr>
          <w:rFonts w:hint="eastAsia" w:ascii="仿宋" w:hAnsi="仿宋" w:eastAsia="仿宋" w:cs="仿宋"/>
          <w:b/>
          <w:color w:val="auto"/>
          <w:sz w:val="30"/>
          <w:szCs w:val="30"/>
          <w:highlight w:val="none"/>
          <w:u w:val="single"/>
        </w:rPr>
        <w:t xml:space="preserve">           </w:t>
      </w:r>
    </w:p>
    <w:p w14:paraId="56F90388">
      <w:pPr>
        <w:spacing w:before="156" w:line="360" w:lineRule="auto"/>
        <w:ind w:firstLine="6644" w:firstLineChars="2206"/>
        <w:rPr>
          <w:rFonts w:ascii="仿宋" w:hAnsi="仿宋" w:eastAsia="仿宋" w:cs="仿宋"/>
          <w:b/>
          <w:color w:val="auto"/>
          <w:sz w:val="30"/>
          <w:szCs w:val="30"/>
          <w:highlight w:val="none"/>
        </w:rPr>
      </w:pPr>
    </w:p>
    <w:p w14:paraId="031B1839">
      <w:pPr>
        <w:pStyle w:val="6"/>
        <w:ind w:firstLine="480"/>
        <w:rPr>
          <w:rFonts w:ascii="仿宋" w:hAnsi="仿宋" w:eastAsia="仿宋" w:cs="仿宋"/>
          <w:color w:val="auto"/>
          <w:highlight w:val="none"/>
        </w:rPr>
      </w:pPr>
    </w:p>
    <w:p w14:paraId="47F4CE12">
      <w:pPr>
        <w:pStyle w:val="3"/>
        <w:ind w:firstLine="880"/>
        <w:rPr>
          <w:rFonts w:ascii="仿宋" w:hAnsi="仿宋" w:eastAsia="仿宋" w:cs="仿宋"/>
          <w:color w:val="auto"/>
          <w:highlight w:val="none"/>
        </w:rPr>
      </w:pPr>
    </w:p>
    <w:p w14:paraId="68E4F869">
      <w:pPr>
        <w:rPr>
          <w:rFonts w:ascii="仿宋" w:hAnsi="仿宋" w:eastAsia="仿宋" w:cs="仿宋"/>
          <w:color w:val="auto"/>
          <w:highlight w:val="none"/>
        </w:rPr>
      </w:pPr>
    </w:p>
    <w:p w14:paraId="30A5CD09">
      <w:pPr>
        <w:pStyle w:val="11"/>
        <w:ind w:firstLine="345"/>
        <w:rPr>
          <w:rFonts w:ascii="仿宋" w:hAnsi="仿宋" w:eastAsia="仿宋" w:cs="仿宋"/>
          <w:color w:val="auto"/>
          <w:highlight w:val="none"/>
        </w:rPr>
      </w:pPr>
    </w:p>
    <w:p w14:paraId="27B5D1E2">
      <w:pPr>
        <w:rPr>
          <w:rFonts w:ascii="仿宋" w:hAnsi="仿宋" w:eastAsia="仿宋" w:cs="仿宋"/>
          <w:color w:val="auto"/>
          <w:highlight w:val="none"/>
        </w:rPr>
      </w:pPr>
    </w:p>
    <w:p w14:paraId="4C89EC74">
      <w:pPr>
        <w:pStyle w:val="11"/>
        <w:ind w:firstLine="345"/>
        <w:rPr>
          <w:rFonts w:ascii="仿宋" w:hAnsi="仿宋" w:eastAsia="仿宋" w:cs="仿宋"/>
          <w:color w:val="auto"/>
          <w:highlight w:val="none"/>
        </w:rPr>
      </w:pPr>
    </w:p>
    <w:p w14:paraId="76CF098F">
      <w:pPr>
        <w:rPr>
          <w:rFonts w:ascii="仿宋" w:hAnsi="仿宋" w:eastAsia="仿宋" w:cs="仿宋"/>
          <w:color w:val="auto"/>
          <w:highlight w:val="none"/>
        </w:rPr>
      </w:pPr>
    </w:p>
    <w:p w14:paraId="6A5FDB2D">
      <w:pPr>
        <w:pStyle w:val="11"/>
        <w:ind w:firstLine="345"/>
        <w:rPr>
          <w:rFonts w:ascii="仿宋" w:hAnsi="仿宋" w:eastAsia="仿宋" w:cs="仿宋"/>
          <w:color w:val="auto"/>
          <w:highlight w:val="none"/>
        </w:rPr>
      </w:pPr>
    </w:p>
    <w:p w14:paraId="57D62BE2">
      <w:pPr>
        <w:rPr>
          <w:rFonts w:ascii="仿宋" w:hAnsi="仿宋" w:eastAsia="仿宋" w:cs="仿宋"/>
          <w:color w:val="auto"/>
          <w:highlight w:val="none"/>
        </w:rPr>
      </w:pPr>
    </w:p>
    <w:p w14:paraId="71808F06">
      <w:pPr>
        <w:pStyle w:val="11"/>
        <w:ind w:firstLine="345"/>
        <w:rPr>
          <w:rFonts w:ascii="仿宋" w:hAnsi="仿宋" w:eastAsia="仿宋" w:cs="仿宋"/>
          <w:color w:val="auto"/>
          <w:highlight w:val="none"/>
        </w:rPr>
      </w:pPr>
    </w:p>
    <w:p w14:paraId="6AA6F249">
      <w:pPr>
        <w:rPr>
          <w:rFonts w:ascii="仿宋" w:hAnsi="仿宋" w:eastAsia="仿宋" w:cs="仿宋"/>
          <w:color w:val="auto"/>
          <w:highlight w:val="none"/>
        </w:rPr>
      </w:pPr>
    </w:p>
    <w:p w14:paraId="2F985EC3">
      <w:pPr>
        <w:pStyle w:val="11"/>
        <w:ind w:firstLine="345"/>
        <w:rPr>
          <w:rFonts w:ascii="仿宋" w:hAnsi="仿宋" w:eastAsia="仿宋" w:cs="仿宋"/>
          <w:color w:val="auto"/>
          <w:highlight w:val="none"/>
        </w:rPr>
      </w:pPr>
    </w:p>
    <w:p w14:paraId="10624CB7">
      <w:pPr>
        <w:rPr>
          <w:rFonts w:ascii="仿宋" w:hAnsi="仿宋" w:eastAsia="仿宋" w:cs="仿宋"/>
          <w:color w:val="auto"/>
          <w:highlight w:val="none"/>
        </w:rPr>
      </w:pPr>
    </w:p>
    <w:p w14:paraId="2C735860">
      <w:pPr>
        <w:pStyle w:val="11"/>
        <w:ind w:firstLine="345"/>
        <w:rPr>
          <w:rFonts w:ascii="仿宋" w:hAnsi="仿宋" w:eastAsia="仿宋" w:cs="仿宋"/>
          <w:color w:val="auto"/>
          <w:highlight w:val="none"/>
        </w:rPr>
      </w:pPr>
    </w:p>
    <w:p w14:paraId="26EA7AB9">
      <w:pPr>
        <w:rPr>
          <w:rFonts w:ascii="仿宋" w:hAnsi="仿宋" w:eastAsia="仿宋" w:cs="仿宋"/>
          <w:color w:val="auto"/>
          <w:highlight w:val="none"/>
        </w:rPr>
      </w:pPr>
    </w:p>
    <w:p w14:paraId="1DE30454">
      <w:pPr>
        <w:pStyle w:val="11"/>
        <w:ind w:firstLine="345"/>
        <w:rPr>
          <w:rFonts w:ascii="仿宋" w:hAnsi="仿宋" w:eastAsia="仿宋" w:cs="仿宋"/>
          <w:color w:val="auto"/>
          <w:highlight w:val="none"/>
        </w:rPr>
      </w:pPr>
    </w:p>
    <w:p w14:paraId="2A2BEBDC">
      <w:pPr>
        <w:rPr>
          <w:rFonts w:ascii="仿宋" w:hAnsi="仿宋" w:eastAsia="仿宋" w:cs="仿宋"/>
          <w:color w:val="auto"/>
          <w:highlight w:val="none"/>
        </w:rPr>
      </w:pPr>
    </w:p>
    <w:p w14:paraId="69212B40">
      <w:pPr>
        <w:pStyle w:val="11"/>
        <w:ind w:firstLine="345"/>
        <w:rPr>
          <w:rFonts w:ascii="仿宋" w:hAnsi="仿宋" w:eastAsia="仿宋" w:cs="仿宋"/>
          <w:color w:val="auto"/>
          <w:highlight w:val="none"/>
        </w:rPr>
      </w:pPr>
    </w:p>
    <w:p w14:paraId="39C620B6">
      <w:pPr>
        <w:spacing w:before="156" w:line="360" w:lineRule="auto"/>
        <w:ind w:firstLine="1044"/>
        <w:jc w:val="center"/>
        <w:rPr>
          <w:rFonts w:ascii="仿宋" w:hAnsi="仿宋" w:eastAsia="仿宋" w:cs="仿宋"/>
          <w:b/>
          <w:color w:val="auto"/>
          <w:sz w:val="52"/>
          <w:szCs w:val="52"/>
          <w:highlight w:val="none"/>
        </w:rPr>
      </w:pPr>
      <w:r>
        <w:rPr>
          <w:rFonts w:hint="eastAsia" w:ascii="仿宋" w:hAnsi="仿宋" w:eastAsia="仿宋" w:cs="仿宋"/>
          <w:b/>
          <w:color w:val="auto"/>
          <w:sz w:val="52"/>
          <w:szCs w:val="52"/>
          <w:highlight w:val="none"/>
        </w:rPr>
        <w:t>商务及资信技术文件</w:t>
      </w:r>
    </w:p>
    <w:p w14:paraId="0730D0B3">
      <w:pPr>
        <w:spacing w:before="156" w:line="360" w:lineRule="auto"/>
        <w:ind w:firstLine="600"/>
        <w:rPr>
          <w:rFonts w:ascii="仿宋" w:hAnsi="仿宋" w:eastAsia="仿宋" w:cs="仿宋"/>
          <w:b/>
          <w:color w:val="auto"/>
          <w:sz w:val="30"/>
          <w:szCs w:val="30"/>
          <w:highlight w:val="none"/>
        </w:rPr>
      </w:pPr>
    </w:p>
    <w:p w14:paraId="32B376A8">
      <w:pPr>
        <w:spacing w:before="156" w:line="360" w:lineRule="auto"/>
        <w:ind w:firstLine="602"/>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项目名称：</w:t>
      </w:r>
      <w:r>
        <w:rPr>
          <w:rFonts w:hint="eastAsia" w:ascii="仿宋" w:hAnsi="仿宋" w:eastAsia="仿宋" w:cs="仿宋"/>
          <w:b/>
          <w:color w:val="auto"/>
          <w:sz w:val="30"/>
          <w:szCs w:val="30"/>
          <w:highlight w:val="none"/>
          <w:u w:val="single"/>
        </w:rPr>
        <w:t xml:space="preserve">                                     </w:t>
      </w:r>
    </w:p>
    <w:p w14:paraId="275B06E9">
      <w:pPr>
        <w:spacing w:before="156" w:line="360" w:lineRule="auto"/>
        <w:ind w:firstLine="602"/>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项目编号：</w:t>
      </w:r>
      <w:r>
        <w:rPr>
          <w:rFonts w:hint="eastAsia" w:ascii="仿宋" w:hAnsi="仿宋" w:eastAsia="仿宋" w:cs="仿宋"/>
          <w:b/>
          <w:color w:val="auto"/>
          <w:sz w:val="30"/>
          <w:szCs w:val="30"/>
          <w:highlight w:val="none"/>
          <w:u w:val="single"/>
        </w:rPr>
        <w:t xml:space="preserve">                                     </w:t>
      </w:r>
    </w:p>
    <w:p w14:paraId="6510DEED">
      <w:pPr>
        <w:spacing w:before="156" w:line="360" w:lineRule="auto"/>
        <w:ind w:firstLine="602"/>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投标人名称（电子签章）：</w:t>
      </w:r>
      <w:r>
        <w:rPr>
          <w:rFonts w:hint="eastAsia" w:ascii="仿宋" w:hAnsi="仿宋" w:eastAsia="仿宋" w:cs="仿宋"/>
          <w:b/>
          <w:color w:val="auto"/>
          <w:sz w:val="30"/>
          <w:szCs w:val="30"/>
          <w:highlight w:val="none"/>
          <w:u w:val="single"/>
        </w:rPr>
        <w:t xml:space="preserve">                       </w:t>
      </w:r>
    </w:p>
    <w:p w14:paraId="070834E1">
      <w:pPr>
        <w:spacing w:before="156" w:line="360" w:lineRule="auto"/>
        <w:ind w:firstLine="602"/>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法定代表人或授权代表（签名或签章）：</w:t>
      </w:r>
      <w:r>
        <w:rPr>
          <w:rFonts w:hint="eastAsia" w:ascii="仿宋" w:hAnsi="仿宋" w:eastAsia="仿宋" w:cs="仿宋"/>
          <w:b/>
          <w:color w:val="auto"/>
          <w:sz w:val="30"/>
          <w:szCs w:val="30"/>
          <w:highlight w:val="none"/>
          <w:u w:val="single"/>
        </w:rPr>
        <w:t xml:space="preserve">           </w:t>
      </w:r>
    </w:p>
    <w:p w14:paraId="28A2BAEC">
      <w:pPr>
        <w:snapToGrid w:val="0"/>
        <w:spacing w:before="156" w:line="360" w:lineRule="auto"/>
        <w:rPr>
          <w:rFonts w:ascii="仿宋" w:hAnsi="仿宋" w:eastAsia="仿宋" w:cs="仿宋"/>
          <w:color w:val="auto"/>
          <w:sz w:val="24"/>
          <w:szCs w:val="24"/>
          <w:highlight w:val="none"/>
          <w:u w:val="single"/>
        </w:rPr>
      </w:pPr>
    </w:p>
    <w:p w14:paraId="320709EA">
      <w:pPr>
        <w:spacing w:before="156" w:line="360" w:lineRule="auto"/>
        <w:ind w:firstLine="1040"/>
        <w:jc w:val="center"/>
        <w:rPr>
          <w:rFonts w:ascii="仿宋" w:hAnsi="仿宋" w:eastAsia="仿宋" w:cs="仿宋"/>
          <w:b/>
          <w:color w:val="auto"/>
          <w:sz w:val="52"/>
          <w:szCs w:val="52"/>
          <w:highlight w:val="none"/>
        </w:rPr>
      </w:pPr>
    </w:p>
    <w:p w14:paraId="613BA9E6">
      <w:pPr>
        <w:spacing w:before="156" w:line="360" w:lineRule="auto"/>
        <w:ind w:firstLine="1040"/>
        <w:jc w:val="center"/>
        <w:rPr>
          <w:rFonts w:ascii="仿宋" w:hAnsi="仿宋" w:eastAsia="仿宋" w:cs="仿宋"/>
          <w:b/>
          <w:color w:val="auto"/>
          <w:sz w:val="52"/>
          <w:szCs w:val="52"/>
          <w:highlight w:val="none"/>
        </w:rPr>
      </w:pPr>
    </w:p>
    <w:p w14:paraId="60AB1B7F">
      <w:pPr>
        <w:spacing w:before="156" w:line="360" w:lineRule="auto"/>
        <w:ind w:firstLine="1040"/>
        <w:jc w:val="center"/>
        <w:rPr>
          <w:rFonts w:ascii="仿宋" w:hAnsi="仿宋" w:eastAsia="仿宋" w:cs="仿宋"/>
          <w:b/>
          <w:color w:val="auto"/>
          <w:sz w:val="52"/>
          <w:szCs w:val="52"/>
          <w:highlight w:val="none"/>
        </w:rPr>
      </w:pPr>
    </w:p>
    <w:p w14:paraId="058AE6BA">
      <w:pPr>
        <w:spacing w:before="156" w:line="360" w:lineRule="auto"/>
        <w:ind w:firstLine="1040"/>
        <w:jc w:val="center"/>
        <w:rPr>
          <w:rFonts w:ascii="仿宋" w:hAnsi="仿宋" w:eastAsia="仿宋" w:cs="仿宋"/>
          <w:b/>
          <w:color w:val="auto"/>
          <w:sz w:val="52"/>
          <w:szCs w:val="52"/>
          <w:highlight w:val="none"/>
        </w:rPr>
      </w:pPr>
    </w:p>
    <w:p w14:paraId="1320DB28">
      <w:pPr>
        <w:spacing w:before="156" w:line="360" w:lineRule="auto"/>
        <w:ind w:firstLine="1040"/>
        <w:jc w:val="center"/>
        <w:rPr>
          <w:rFonts w:ascii="仿宋" w:hAnsi="仿宋" w:eastAsia="仿宋" w:cs="仿宋"/>
          <w:b/>
          <w:color w:val="auto"/>
          <w:sz w:val="52"/>
          <w:szCs w:val="52"/>
          <w:highlight w:val="none"/>
        </w:rPr>
      </w:pPr>
    </w:p>
    <w:p w14:paraId="6F1F7089">
      <w:pPr>
        <w:spacing w:before="156" w:line="360" w:lineRule="auto"/>
        <w:ind w:firstLine="1040"/>
        <w:jc w:val="center"/>
        <w:rPr>
          <w:rFonts w:ascii="仿宋" w:hAnsi="仿宋" w:eastAsia="仿宋" w:cs="仿宋"/>
          <w:b/>
          <w:color w:val="auto"/>
          <w:sz w:val="52"/>
          <w:szCs w:val="52"/>
          <w:highlight w:val="none"/>
        </w:rPr>
      </w:pPr>
    </w:p>
    <w:p w14:paraId="51286DD6">
      <w:pPr>
        <w:spacing w:before="156" w:line="360" w:lineRule="auto"/>
        <w:ind w:firstLine="1040"/>
        <w:jc w:val="center"/>
        <w:rPr>
          <w:rFonts w:ascii="仿宋" w:hAnsi="仿宋" w:eastAsia="仿宋" w:cs="仿宋"/>
          <w:b/>
          <w:color w:val="auto"/>
          <w:sz w:val="52"/>
          <w:szCs w:val="52"/>
          <w:highlight w:val="none"/>
        </w:rPr>
      </w:pPr>
    </w:p>
    <w:p w14:paraId="4B10CDB2">
      <w:pPr>
        <w:spacing w:before="156" w:line="360" w:lineRule="auto"/>
        <w:ind w:firstLine="1040"/>
        <w:jc w:val="center"/>
        <w:rPr>
          <w:rFonts w:ascii="仿宋" w:hAnsi="仿宋" w:eastAsia="仿宋" w:cs="仿宋"/>
          <w:b/>
          <w:color w:val="auto"/>
          <w:sz w:val="52"/>
          <w:szCs w:val="52"/>
          <w:highlight w:val="none"/>
        </w:rPr>
      </w:pPr>
    </w:p>
    <w:p w14:paraId="7C67845B">
      <w:pPr>
        <w:spacing w:before="156" w:line="360" w:lineRule="auto"/>
        <w:ind w:firstLine="1044"/>
        <w:jc w:val="center"/>
        <w:rPr>
          <w:rFonts w:ascii="仿宋" w:hAnsi="仿宋" w:eastAsia="仿宋" w:cs="仿宋"/>
          <w:b/>
          <w:color w:val="auto"/>
          <w:sz w:val="52"/>
          <w:szCs w:val="52"/>
          <w:highlight w:val="none"/>
        </w:rPr>
      </w:pPr>
      <w:r>
        <w:rPr>
          <w:rFonts w:hint="eastAsia" w:ascii="仿宋" w:hAnsi="仿宋" w:eastAsia="仿宋" w:cs="仿宋"/>
          <w:b/>
          <w:color w:val="auto"/>
          <w:sz w:val="52"/>
          <w:szCs w:val="52"/>
          <w:highlight w:val="none"/>
        </w:rPr>
        <w:t>报价文件</w:t>
      </w:r>
    </w:p>
    <w:p w14:paraId="43C7EFAB">
      <w:pPr>
        <w:spacing w:before="156" w:line="360" w:lineRule="auto"/>
        <w:ind w:firstLine="1040"/>
        <w:jc w:val="center"/>
        <w:rPr>
          <w:rFonts w:ascii="仿宋" w:hAnsi="仿宋" w:eastAsia="仿宋" w:cs="仿宋"/>
          <w:b/>
          <w:color w:val="auto"/>
          <w:sz w:val="52"/>
          <w:szCs w:val="52"/>
          <w:highlight w:val="none"/>
        </w:rPr>
      </w:pPr>
    </w:p>
    <w:p w14:paraId="15BCF143">
      <w:pPr>
        <w:spacing w:before="156" w:line="360" w:lineRule="auto"/>
        <w:ind w:firstLine="602"/>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项目名称：</w:t>
      </w:r>
      <w:r>
        <w:rPr>
          <w:rFonts w:hint="eastAsia" w:ascii="仿宋" w:hAnsi="仿宋" w:eastAsia="仿宋" w:cs="仿宋"/>
          <w:b/>
          <w:color w:val="auto"/>
          <w:sz w:val="30"/>
          <w:szCs w:val="30"/>
          <w:highlight w:val="none"/>
          <w:u w:val="single"/>
        </w:rPr>
        <w:t xml:space="preserve">                                     </w:t>
      </w:r>
    </w:p>
    <w:p w14:paraId="7D82D3C5">
      <w:pPr>
        <w:spacing w:before="156" w:line="360" w:lineRule="auto"/>
        <w:ind w:firstLine="602"/>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项目编号：</w:t>
      </w:r>
      <w:r>
        <w:rPr>
          <w:rFonts w:hint="eastAsia" w:ascii="仿宋" w:hAnsi="仿宋" w:eastAsia="仿宋" w:cs="仿宋"/>
          <w:b/>
          <w:color w:val="auto"/>
          <w:sz w:val="30"/>
          <w:szCs w:val="30"/>
          <w:highlight w:val="none"/>
          <w:u w:val="single"/>
        </w:rPr>
        <w:t xml:space="preserve">                                     </w:t>
      </w:r>
    </w:p>
    <w:p w14:paraId="64ADB925">
      <w:pPr>
        <w:spacing w:before="156" w:line="360" w:lineRule="auto"/>
        <w:ind w:firstLine="602"/>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投标人名称（电子签章）：</w:t>
      </w:r>
      <w:r>
        <w:rPr>
          <w:rFonts w:hint="eastAsia" w:ascii="仿宋" w:hAnsi="仿宋" w:eastAsia="仿宋" w:cs="仿宋"/>
          <w:b/>
          <w:color w:val="auto"/>
          <w:sz w:val="30"/>
          <w:szCs w:val="30"/>
          <w:highlight w:val="none"/>
          <w:u w:val="single"/>
        </w:rPr>
        <w:t xml:space="preserve">                       </w:t>
      </w:r>
    </w:p>
    <w:p w14:paraId="1B194427">
      <w:pPr>
        <w:spacing w:before="156" w:line="360" w:lineRule="auto"/>
        <w:ind w:firstLine="602"/>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法定代表人或授权代表（签名或签章）：</w:t>
      </w:r>
      <w:r>
        <w:rPr>
          <w:rFonts w:hint="eastAsia" w:ascii="仿宋" w:hAnsi="仿宋" w:eastAsia="仿宋" w:cs="仿宋"/>
          <w:b/>
          <w:color w:val="auto"/>
          <w:sz w:val="30"/>
          <w:szCs w:val="30"/>
          <w:highlight w:val="none"/>
          <w:u w:val="single"/>
        </w:rPr>
        <w:t xml:space="preserve">           </w:t>
      </w:r>
    </w:p>
    <w:p w14:paraId="7C82E4E1">
      <w:pPr>
        <w:spacing w:before="156"/>
        <w:rPr>
          <w:rFonts w:ascii="仿宋" w:hAnsi="仿宋" w:eastAsia="仿宋" w:cs="仿宋"/>
          <w:color w:val="auto"/>
          <w:highlight w:val="none"/>
        </w:rPr>
      </w:pPr>
    </w:p>
    <w:p w14:paraId="0F09135B">
      <w:pPr>
        <w:pStyle w:val="4"/>
        <w:ind w:firstLine="640"/>
        <w:rPr>
          <w:rFonts w:ascii="仿宋" w:hAnsi="仿宋" w:eastAsia="仿宋" w:cs="仿宋"/>
          <w:color w:val="auto"/>
          <w:highlight w:val="none"/>
        </w:rPr>
      </w:pPr>
    </w:p>
    <w:p w14:paraId="0E02112C">
      <w:pPr>
        <w:spacing w:before="156"/>
        <w:rPr>
          <w:rFonts w:ascii="仿宋" w:hAnsi="仿宋" w:eastAsia="仿宋" w:cs="仿宋"/>
          <w:color w:val="auto"/>
          <w:highlight w:val="none"/>
        </w:rPr>
      </w:pPr>
    </w:p>
    <w:p w14:paraId="2FC59B6C">
      <w:pPr>
        <w:pStyle w:val="4"/>
        <w:ind w:firstLine="640"/>
        <w:rPr>
          <w:rFonts w:ascii="仿宋" w:hAnsi="仿宋" w:eastAsia="仿宋" w:cs="仿宋"/>
          <w:color w:val="auto"/>
          <w:highlight w:val="none"/>
        </w:rPr>
      </w:pPr>
    </w:p>
    <w:p w14:paraId="7DE12115">
      <w:pPr>
        <w:spacing w:before="156"/>
        <w:rPr>
          <w:rFonts w:ascii="仿宋" w:hAnsi="仿宋" w:eastAsia="仿宋" w:cs="仿宋"/>
          <w:color w:val="auto"/>
          <w:highlight w:val="none"/>
        </w:rPr>
      </w:pPr>
    </w:p>
    <w:p w14:paraId="2BEDDB82">
      <w:pPr>
        <w:pStyle w:val="4"/>
        <w:ind w:firstLine="640"/>
        <w:rPr>
          <w:rFonts w:ascii="仿宋" w:hAnsi="仿宋" w:eastAsia="仿宋" w:cs="仿宋"/>
          <w:color w:val="auto"/>
          <w:highlight w:val="none"/>
        </w:rPr>
      </w:pPr>
    </w:p>
    <w:p w14:paraId="68F49EF9">
      <w:pPr>
        <w:spacing w:before="156"/>
        <w:rPr>
          <w:rFonts w:ascii="仿宋" w:hAnsi="仿宋" w:eastAsia="仿宋" w:cs="仿宋"/>
          <w:color w:val="auto"/>
          <w:highlight w:val="none"/>
        </w:rPr>
      </w:pPr>
    </w:p>
    <w:p w14:paraId="4CADD002">
      <w:pPr>
        <w:pStyle w:val="4"/>
        <w:ind w:firstLine="640"/>
        <w:rPr>
          <w:rFonts w:ascii="仿宋" w:hAnsi="仿宋" w:eastAsia="仿宋" w:cs="仿宋"/>
          <w:color w:val="auto"/>
          <w:highlight w:val="none"/>
        </w:rPr>
      </w:pPr>
    </w:p>
    <w:p w14:paraId="165D0D03">
      <w:pPr>
        <w:spacing w:before="156"/>
        <w:rPr>
          <w:rFonts w:ascii="仿宋" w:hAnsi="仿宋" w:eastAsia="仿宋" w:cs="仿宋"/>
          <w:color w:val="auto"/>
          <w:highlight w:val="none"/>
        </w:rPr>
      </w:pPr>
    </w:p>
    <w:p w14:paraId="22307812">
      <w:pPr>
        <w:pStyle w:val="4"/>
        <w:ind w:firstLine="640"/>
        <w:rPr>
          <w:rFonts w:ascii="仿宋" w:hAnsi="仿宋" w:eastAsia="仿宋" w:cs="仿宋"/>
          <w:color w:val="auto"/>
          <w:highlight w:val="none"/>
        </w:rPr>
      </w:pPr>
    </w:p>
    <w:p w14:paraId="6E64D9B2">
      <w:pPr>
        <w:spacing w:before="156"/>
        <w:rPr>
          <w:rFonts w:ascii="仿宋" w:hAnsi="仿宋" w:eastAsia="仿宋" w:cs="仿宋"/>
          <w:color w:val="auto"/>
          <w:highlight w:val="none"/>
        </w:rPr>
      </w:pPr>
    </w:p>
    <w:p w14:paraId="44B8BCEC"/>
    <w:sectPr>
      <w:headerReference r:id="rId7" w:type="default"/>
      <w:footerReference r:id="rId8" w:type="default"/>
      <w:pgSz w:w="11906" w:h="16838"/>
      <w:pgMar w:top="1383" w:right="1293" w:bottom="1383" w:left="1406" w:header="454" w:footer="794"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8"/>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宋体_x0003_...销.">
    <w:altName w:val="宋体"/>
    <w:panose1 w:val="00000000000000000000"/>
    <w:charset w:val="86"/>
    <w:family w:val="roma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2C901">
    <w:pPr>
      <w:pStyle w:val="17"/>
      <w:spacing w:before="12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62058B">
    <w:pPr>
      <w:pStyle w:val="17"/>
      <w:spacing w:before="120"/>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9EA75D">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D9EA75D">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7DFB3A">
    <w:pPr>
      <w:pStyle w:val="17"/>
      <w:spacing w:before="120"/>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84AE77">
                          <w:pPr>
                            <w:pStyle w:val="17"/>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0084AE77">
                    <w:pPr>
                      <w:pStyle w:val="17"/>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C9FC43">
    <w:pPr>
      <w:pStyle w:val="17"/>
      <w:spacing w:before="120"/>
      <w:ind w:right="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8" name="文本框 1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D3D6EA">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99rAQ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99rAQzAgAAZQQAAA4AAAAAAAAAAQAgAAAAHwEAAGRycy9lMm9Eb2MueG1sUEsF&#10;BgAAAAAGAAYAWQEAAMQFAAAAAA==&#10;">
              <v:fill on="f" focussize="0,0"/>
              <v:stroke on="f" weight="0.5pt"/>
              <v:imagedata o:title=""/>
              <o:lock v:ext="edit" aspectratio="f"/>
              <v:textbox inset="0mm,0mm,0mm,0mm" style="mso-fit-shape-to-text:t;">
                <w:txbxContent>
                  <w:p w14:paraId="34D3D6EA">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7385ED">
    <w:pPr>
      <w:pStyle w:val="18"/>
      <w:pBdr>
        <w:bottom w:val="none" w:color="auto" w:sz="0" w:space="0"/>
      </w:pBdr>
      <w:spacing w:before="12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B3EDA5">
    <w:pPr>
      <w:pStyle w:val="2"/>
      <w:pBdr>
        <w:bottom w:val="none" w:color="auto" w:sz="0" w:space="0"/>
      </w:pBdr>
      <w:spacing w:before="12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B032DA"/>
    <w:multiLevelType w:val="singleLevel"/>
    <w:tmpl w:val="B8B032DA"/>
    <w:lvl w:ilvl="0" w:tentative="0">
      <w:start w:val="5"/>
      <w:numFmt w:val="decimal"/>
      <w:lvlText w:val="%1."/>
      <w:lvlJc w:val="left"/>
      <w:pPr>
        <w:tabs>
          <w:tab w:val="left" w:pos="312"/>
        </w:tabs>
      </w:pPr>
    </w:lvl>
  </w:abstractNum>
  <w:abstractNum w:abstractNumId="1">
    <w:nsid w:val="E2779B3F"/>
    <w:multiLevelType w:val="singleLevel"/>
    <w:tmpl w:val="E2779B3F"/>
    <w:lvl w:ilvl="0" w:tentative="0">
      <w:start w:val="3"/>
      <w:numFmt w:val="decimal"/>
      <w:lvlText w:val="%1."/>
      <w:lvlJc w:val="left"/>
      <w:pPr>
        <w:tabs>
          <w:tab w:val="left" w:pos="312"/>
        </w:tabs>
      </w:pPr>
    </w:lvl>
  </w:abstractNum>
  <w:abstractNum w:abstractNumId="2">
    <w:nsid w:val="2071EBBE"/>
    <w:multiLevelType w:val="singleLevel"/>
    <w:tmpl w:val="2071EBBE"/>
    <w:lvl w:ilvl="0" w:tentative="0">
      <w:start w:val="1"/>
      <w:numFmt w:val="decimal"/>
      <w:lvlText w:val="%1."/>
      <w:lvlJc w:val="left"/>
      <w:pPr>
        <w:tabs>
          <w:tab w:val="left" w:pos="312"/>
        </w:tabs>
      </w:pPr>
    </w:lvl>
  </w:abstractNum>
  <w:abstractNum w:abstractNumId="3">
    <w:nsid w:val="5C9CEAAB"/>
    <w:multiLevelType w:val="singleLevel"/>
    <w:tmpl w:val="5C9CEAAB"/>
    <w:lvl w:ilvl="0" w:tentative="0">
      <w:start w:val="1"/>
      <w:numFmt w:val="chineseCounting"/>
      <w:suff w:val="nothing"/>
      <w:lvlText w:val="%1、"/>
      <w:lvlJc w:val="left"/>
      <w:rPr>
        <w:rFonts w:hint="eastAsia"/>
        <w:b/>
        <w:bCs/>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revisionView w:markup="0"/>
  <w:trackRevisions w:val="1"/>
  <w:documentProtection w:edit="trackedChanges"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gyZGFlMDUzNDE4ODZkNTFhMzE1YTFmNjE1ODNjYjkifQ=="/>
  </w:docVars>
  <w:rsids>
    <w:rsidRoot w:val="00762881"/>
    <w:rsid w:val="00042CF2"/>
    <w:rsid w:val="00046A13"/>
    <w:rsid w:val="00084052"/>
    <w:rsid w:val="00093B63"/>
    <w:rsid w:val="000A582F"/>
    <w:rsid w:val="000C62D7"/>
    <w:rsid w:val="001068C2"/>
    <w:rsid w:val="00123860"/>
    <w:rsid w:val="0013689D"/>
    <w:rsid w:val="00174C13"/>
    <w:rsid w:val="0017610B"/>
    <w:rsid w:val="001B3C02"/>
    <w:rsid w:val="001C09A8"/>
    <w:rsid w:val="001E4ECD"/>
    <w:rsid w:val="00234A30"/>
    <w:rsid w:val="0026431D"/>
    <w:rsid w:val="0026475A"/>
    <w:rsid w:val="00277664"/>
    <w:rsid w:val="002A64FD"/>
    <w:rsid w:val="002C202C"/>
    <w:rsid w:val="002F3104"/>
    <w:rsid w:val="002F370E"/>
    <w:rsid w:val="0034021D"/>
    <w:rsid w:val="003629A7"/>
    <w:rsid w:val="00390498"/>
    <w:rsid w:val="003D630A"/>
    <w:rsid w:val="0041118F"/>
    <w:rsid w:val="00425706"/>
    <w:rsid w:val="004435E7"/>
    <w:rsid w:val="0044376D"/>
    <w:rsid w:val="00450F90"/>
    <w:rsid w:val="004A374C"/>
    <w:rsid w:val="004F5D03"/>
    <w:rsid w:val="00543392"/>
    <w:rsid w:val="005779AA"/>
    <w:rsid w:val="00581BE0"/>
    <w:rsid w:val="005B22A8"/>
    <w:rsid w:val="005F5C02"/>
    <w:rsid w:val="00631F5D"/>
    <w:rsid w:val="00667639"/>
    <w:rsid w:val="00694B08"/>
    <w:rsid w:val="006A7327"/>
    <w:rsid w:val="007334B4"/>
    <w:rsid w:val="007570E0"/>
    <w:rsid w:val="00762881"/>
    <w:rsid w:val="00767F0E"/>
    <w:rsid w:val="00772004"/>
    <w:rsid w:val="007853E0"/>
    <w:rsid w:val="00792F39"/>
    <w:rsid w:val="007959B8"/>
    <w:rsid w:val="007B6CA6"/>
    <w:rsid w:val="007C2CA7"/>
    <w:rsid w:val="007E1A20"/>
    <w:rsid w:val="007E57B0"/>
    <w:rsid w:val="008432C1"/>
    <w:rsid w:val="00864CAB"/>
    <w:rsid w:val="008A26AA"/>
    <w:rsid w:val="008B124D"/>
    <w:rsid w:val="008E65EB"/>
    <w:rsid w:val="0090128D"/>
    <w:rsid w:val="0091122B"/>
    <w:rsid w:val="00944643"/>
    <w:rsid w:val="009806AF"/>
    <w:rsid w:val="00982B7B"/>
    <w:rsid w:val="009A5C0F"/>
    <w:rsid w:val="009E189C"/>
    <w:rsid w:val="00A015BA"/>
    <w:rsid w:val="00A4572C"/>
    <w:rsid w:val="00A83CD7"/>
    <w:rsid w:val="00AB5A60"/>
    <w:rsid w:val="00AC2B99"/>
    <w:rsid w:val="00AD2CB2"/>
    <w:rsid w:val="00AD5878"/>
    <w:rsid w:val="00AD76C5"/>
    <w:rsid w:val="00AE15EA"/>
    <w:rsid w:val="00AE27DF"/>
    <w:rsid w:val="00AF1709"/>
    <w:rsid w:val="00AF3E0D"/>
    <w:rsid w:val="00BA4AF2"/>
    <w:rsid w:val="00BE1D5C"/>
    <w:rsid w:val="00BF4944"/>
    <w:rsid w:val="00C02F90"/>
    <w:rsid w:val="00C0324E"/>
    <w:rsid w:val="00C10951"/>
    <w:rsid w:val="00C253CB"/>
    <w:rsid w:val="00C27F22"/>
    <w:rsid w:val="00C30B73"/>
    <w:rsid w:val="00C74C31"/>
    <w:rsid w:val="00C8488F"/>
    <w:rsid w:val="00CB7461"/>
    <w:rsid w:val="00CD1149"/>
    <w:rsid w:val="00CE59DA"/>
    <w:rsid w:val="00D10570"/>
    <w:rsid w:val="00D85267"/>
    <w:rsid w:val="00D95721"/>
    <w:rsid w:val="00DE30F4"/>
    <w:rsid w:val="00DF25D4"/>
    <w:rsid w:val="00E41CA4"/>
    <w:rsid w:val="00E42C64"/>
    <w:rsid w:val="00ED3EE1"/>
    <w:rsid w:val="00ED53A1"/>
    <w:rsid w:val="00ED75CB"/>
    <w:rsid w:val="00ED7EDE"/>
    <w:rsid w:val="00EE2287"/>
    <w:rsid w:val="00EE5851"/>
    <w:rsid w:val="00F11A7E"/>
    <w:rsid w:val="00F13E66"/>
    <w:rsid w:val="00F3198B"/>
    <w:rsid w:val="00F32485"/>
    <w:rsid w:val="00F46C31"/>
    <w:rsid w:val="00F46D98"/>
    <w:rsid w:val="00F85220"/>
    <w:rsid w:val="01546640"/>
    <w:rsid w:val="01C0753F"/>
    <w:rsid w:val="023356B3"/>
    <w:rsid w:val="025F7D56"/>
    <w:rsid w:val="032A7F0C"/>
    <w:rsid w:val="048E51A9"/>
    <w:rsid w:val="053018F2"/>
    <w:rsid w:val="057D7B2A"/>
    <w:rsid w:val="05E83FF3"/>
    <w:rsid w:val="0737484B"/>
    <w:rsid w:val="087921F6"/>
    <w:rsid w:val="091A2760"/>
    <w:rsid w:val="0A3634EE"/>
    <w:rsid w:val="0C012B02"/>
    <w:rsid w:val="0C5C08F1"/>
    <w:rsid w:val="10974BFC"/>
    <w:rsid w:val="112C60B0"/>
    <w:rsid w:val="11993F11"/>
    <w:rsid w:val="136C2EFD"/>
    <w:rsid w:val="13AC19AD"/>
    <w:rsid w:val="13D82FF4"/>
    <w:rsid w:val="13E250F3"/>
    <w:rsid w:val="1478625E"/>
    <w:rsid w:val="16B42674"/>
    <w:rsid w:val="1A3915C7"/>
    <w:rsid w:val="1AD26919"/>
    <w:rsid w:val="1AE31FAD"/>
    <w:rsid w:val="1C90088A"/>
    <w:rsid w:val="1C9434C5"/>
    <w:rsid w:val="1E185A6C"/>
    <w:rsid w:val="1FFB0710"/>
    <w:rsid w:val="209166C2"/>
    <w:rsid w:val="213557D3"/>
    <w:rsid w:val="215D3756"/>
    <w:rsid w:val="229434A1"/>
    <w:rsid w:val="232D7A59"/>
    <w:rsid w:val="23D6058A"/>
    <w:rsid w:val="23EB7FBE"/>
    <w:rsid w:val="24421CDC"/>
    <w:rsid w:val="245F43DD"/>
    <w:rsid w:val="24644633"/>
    <w:rsid w:val="248C15F9"/>
    <w:rsid w:val="25300F57"/>
    <w:rsid w:val="258016A6"/>
    <w:rsid w:val="26117C84"/>
    <w:rsid w:val="27091FCD"/>
    <w:rsid w:val="27B15099"/>
    <w:rsid w:val="27BF554B"/>
    <w:rsid w:val="27DF3EE1"/>
    <w:rsid w:val="27F75824"/>
    <w:rsid w:val="28A86B00"/>
    <w:rsid w:val="28F94FD3"/>
    <w:rsid w:val="29E97CB8"/>
    <w:rsid w:val="2ABA7746"/>
    <w:rsid w:val="2B2F4C6A"/>
    <w:rsid w:val="2B7B3A0B"/>
    <w:rsid w:val="2BD76B4B"/>
    <w:rsid w:val="2C3A7F9C"/>
    <w:rsid w:val="2D04796C"/>
    <w:rsid w:val="2D735417"/>
    <w:rsid w:val="2E9176FC"/>
    <w:rsid w:val="2EF673FB"/>
    <w:rsid w:val="2FFE6B69"/>
    <w:rsid w:val="30B8216E"/>
    <w:rsid w:val="30BB491F"/>
    <w:rsid w:val="316758CC"/>
    <w:rsid w:val="32282F88"/>
    <w:rsid w:val="33041577"/>
    <w:rsid w:val="3439114E"/>
    <w:rsid w:val="357F0BEF"/>
    <w:rsid w:val="3607215E"/>
    <w:rsid w:val="36F60EED"/>
    <w:rsid w:val="36F710AB"/>
    <w:rsid w:val="373167A1"/>
    <w:rsid w:val="373719C0"/>
    <w:rsid w:val="37C5100B"/>
    <w:rsid w:val="38B844F1"/>
    <w:rsid w:val="38F51F13"/>
    <w:rsid w:val="39B8407C"/>
    <w:rsid w:val="39FA51B3"/>
    <w:rsid w:val="3A2F27AA"/>
    <w:rsid w:val="3AA33675"/>
    <w:rsid w:val="3ACD7AE4"/>
    <w:rsid w:val="3AD0786F"/>
    <w:rsid w:val="3B8C33E8"/>
    <w:rsid w:val="3DDD131C"/>
    <w:rsid w:val="3FAF2584"/>
    <w:rsid w:val="3FF02274"/>
    <w:rsid w:val="40771502"/>
    <w:rsid w:val="409759C7"/>
    <w:rsid w:val="41496874"/>
    <w:rsid w:val="417212C8"/>
    <w:rsid w:val="4239675D"/>
    <w:rsid w:val="425756A0"/>
    <w:rsid w:val="42B45D29"/>
    <w:rsid w:val="43A7763B"/>
    <w:rsid w:val="43DB0560"/>
    <w:rsid w:val="43F37CEA"/>
    <w:rsid w:val="44121532"/>
    <w:rsid w:val="451431C6"/>
    <w:rsid w:val="470663EB"/>
    <w:rsid w:val="478B47E5"/>
    <w:rsid w:val="47A14255"/>
    <w:rsid w:val="48C60C55"/>
    <w:rsid w:val="49110054"/>
    <w:rsid w:val="49F6286A"/>
    <w:rsid w:val="4A0734D4"/>
    <w:rsid w:val="4B6C64F9"/>
    <w:rsid w:val="4D521F6B"/>
    <w:rsid w:val="4E5E7F72"/>
    <w:rsid w:val="51BB67A4"/>
    <w:rsid w:val="51BF2372"/>
    <w:rsid w:val="51FA127E"/>
    <w:rsid w:val="52A52549"/>
    <w:rsid w:val="531D6915"/>
    <w:rsid w:val="54403F6E"/>
    <w:rsid w:val="55BA1F7A"/>
    <w:rsid w:val="55E427A8"/>
    <w:rsid w:val="566E783D"/>
    <w:rsid w:val="59975605"/>
    <w:rsid w:val="5A40086C"/>
    <w:rsid w:val="5A4C0F4B"/>
    <w:rsid w:val="5ACC6BBD"/>
    <w:rsid w:val="5B953DFD"/>
    <w:rsid w:val="5C4F5161"/>
    <w:rsid w:val="5C50338E"/>
    <w:rsid w:val="5DD60DF1"/>
    <w:rsid w:val="5F590938"/>
    <w:rsid w:val="60075F04"/>
    <w:rsid w:val="60743DAB"/>
    <w:rsid w:val="6098238E"/>
    <w:rsid w:val="60AE4FC7"/>
    <w:rsid w:val="61727EF5"/>
    <w:rsid w:val="61EA40BE"/>
    <w:rsid w:val="64A72741"/>
    <w:rsid w:val="650950C4"/>
    <w:rsid w:val="660109D5"/>
    <w:rsid w:val="66FA3926"/>
    <w:rsid w:val="67E93C4A"/>
    <w:rsid w:val="680C38AE"/>
    <w:rsid w:val="68476448"/>
    <w:rsid w:val="692A5896"/>
    <w:rsid w:val="69B564CC"/>
    <w:rsid w:val="6A3D3FA6"/>
    <w:rsid w:val="6A6B27A5"/>
    <w:rsid w:val="6B0228D6"/>
    <w:rsid w:val="6C28116E"/>
    <w:rsid w:val="6C7C43C1"/>
    <w:rsid w:val="6E087D9D"/>
    <w:rsid w:val="6E9A19C7"/>
    <w:rsid w:val="7078293A"/>
    <w:rsid w:val="70F274EE"/>
    <w:rsid w:val="72156204"/>
    <w:rsid w:val="750F21AB"/>
    <w:rsid w:val="75822735"/>
    <w:rsid w:val="76167756"/>
    <w:rsid w:val="76F37EC6"/>
    <w:rsid w:val="77601049"/>
    <w:rsid w:val="79E91184"/>
    <w:rsid w:val="7A222ABC"/>
    <w:rsid w:val="7B0E174B"/>
    <w:rsid w:val="7B6368E3"/>
    <w:rsid w:val="7BE273EF"/>
    <w:rsid w:val="7C0338B4"/>
    <w:rsid w:val="7C345603"/>
    <w:rsid w:val="7D1B0177"/>
    <w:rsid w:val="7D441898"/>
    <w:rsid w:val="7D8F060E"/>
    <w:rsid w:val="7F341A25"/>
    <w:rsid w:val="7F8017A4"/>
    <w:rsid w:val="7F9956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nhideWhenUsed="0" w:uiPriority="0"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qFormat="1" w:unhideWhenUsed="0" w:uiPriority="0" w:semiHidden="0" w:name="toc 6"/>
    <w:lsdException w:qFormat="1" w:unhideWhenUsed="0" w:uiPriority="0" w:semiHidden="0" w:name="toc 7"/>
    <w:lsdException w:uiPriority="39" w:name="toc 8"/>
    <w:lsdException w:uiPriority="39" w:name="toc 9"/>
    <w:lsdException w:qFormat="1" w:uiPriority="0" w:semiHidden="0" w:name="Normal Indent"/>
    <w:lsdException w:uiPriority="99" w:name="footnote text"/>
    <w:lsdException w:qFormat="1" w:uiPriority="99" w:name="annotation text"/>
    <w:lsdException w:qFormat="1" w:uiPriority="0" w:semiHidden="0" w:name="header"/>
    <w:lsdException w:qFormat="1"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qFormat="1" w:uiPriority="99" w:semiHidden="0" w:name="List"/>
    <w:lsdException w:uiPriority="99" w:name="List Bullet"/>
    <w:lsdException w:uiPriority="99" w:name="List Number"/>
    <w:lsdException w:qFormat="1"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uiPriority="99" w:name="Document Map"/>
    <w:lsdException w:qFormat="1"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44"/>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46"/>
    <w:qFormat/>
    <w:uiPriority w:val="0"/>
    <w:pPr>
      <w:keepNext/>
      <w:keepLines/>
      <w:spacing w:after="260" w:line="415" w:lineRule="auto"/>
      <w:outlineLvl w:val="1"/>
    </w:pPr>
    <w:rPr>
      <w:rFonts w:ascii="Arial" w:hAnsi="Arial" w:eastAsia="黑体" w:cs="Times New Roman"/>
      <w:b/>
      <w:bCs/>
      <w:kern w:val="0"/>
      <w:sz w:val="32"/>
      <w:szCs w:val="32"/>
    </w:rPr>
  </w:style>
  <w:style w:type="paragraph" w:styleId="5">
    <w:name w:val="heading 4"/>
    <w:basedOn w:val="1"/>
    <w:next w:val="1"/>
    <w:link w:val="37"/>
    <w:semiHidden/>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6">
    <w:name w:val="heading 5"/>
    <w:basedOn w:val="1"/>
    <w:next w:val="1"/>
    <w:link w:val="47"/>
    <w:qFormat/>
    <w:uiPriority w:val="0"/>
    <w:pPr>
      <w:keepNext/>
      <w:keepLines/>
      <w:spacing w:after="120" w:line="360" w:lineRule="auto"/>
      <w:outlineLvl w:val="4"/>
    </w:pPr>
    <w:rPr>
      <w:rFonts w:ascii="Times New Roman" w:hAnsi="Times New Roman" w:eastAsia="微软雅黑" w:cs="Times New Roman"/>
      <w:b/>
      <w:bCs/>
      <w:kern w:val="0"/>
      <w:sz w:val="24"/>
      <w:szCs w:val="24"/>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link w:val="48"/>
    <w:qFormat/>
    <w:uiPriority w:val="0"/>
    <w:pPr>
      <w:spacing w:beforeLines="50" w:after="120"/>
    </w:pPr>
    <w:rPr>
      <w:rFonts w:ascii="Times New Roman" w:hAnsi="Times New Roman" w:eastAsia="宋体" w:cs="Times New Roman"/>
      <w:kern w:val="0"/>
      <w:sz w:val="28"/>
      <w:szCs w:val="24"/>
    </w:rPr>
  </w:style>
  <w:style w:type="paragraph" w:styleId="7">
    <w:name w:val="toc 7"/>
    <w:basedOn w:val="1"/>
    <w:next w:val="1"/>
    <w:qFormat/>
    <w:uiPriority w:val="0"/>
    <w:pPr>
      <w:ind w:left="2520" w:leftChars="1200"/>
    </w:pPr>
  </w:style>
  <w:style w:type="paragraph" w:styleId="8">
    <w:name w:val="Normal Indent"/>
    <w:basedOn w:val="1"/>
    <w:link w:val="38"/>
    <w:unhideWhenUsed/>
    <w:qFormat/>
    <w:uiPriority w:val="0"/>
    <w:pPr>
      <w:spacing w:beforeLines="50"/>
      <w:ind w:firstLine="420"/>
    </w:pPr>
    <w:rPr>
      <w:rFonts w:ascii="Times New Roman" w:hAnsi="Times New Roman" w:eastAsia="宋体" w:cs="Times New Roman"/>
      <w:kern w:val="0"/>
      <w:sz w:val="20"/>
      <w:szCs w:val="20"/>
    </w:rPr>
  </w:style>
  <w:style w:type="paragraph" w:styleId="9">
    <w:name w:val="caption"/>
    <w:basedOn w:val="1"/>
    <w:next w:val="1"/>
    <w:link w:val="49"/>
    <w:qFormat/>
    <w:uiPriority w:val="0"/>
    <w:pPr>
      <w:spacing w:after="160"/>
    </w:pPr>
    <w:rPr>
      <w:rFonts w:ascii="Arial" w:hAnsi="Arial" w:eastAsia="黑体" w:cs="Times New Roman"/>
      <w:kern w:val="0"/>
      <w:sz w:val="20"/>
      <w:szCs w:val="20"/>
    </w:rPr>
  </w:style>
  <w:style w:type="paragraph" w:styleId="10">
    <w:name w:val="annotation text"/>
    <w:basedOn w:val="1"/>
    <w:link w:val="39"/>
    <w:semiHidden/>
    <w:unhideWhenUsed/>
    <w:qFormat/>
    <w:uiPriority w:val="99"/>
    <w:pPr>
      <w:jc w:val="left"/>
    </w:pPr>
  </w:style>
  <w:style w:type="paragraph" w:styleId="11">
    <w:name w:val="Body Text Indent"/>
    <w:basedOn w:val="1"/>
    <w:next w:val="1"/>
    <w:qFormat/>
    <w:uiPriority w:val="0"/>
    <w:pPr>
      <w:spacing w:line="200" w:lineRule="exact"/>
      <w:ind w:firstLine="301"/>
    </w:pPr>
    <w:rPr>
      <w:rFonts w:ascii="宋体" w:hAnsi="Courier New"/>
      <w:spacing w:val="-4"/>
      <w:sz w:val="18"/>
      <w:szCs w:val="20"/>
    </w:rPr>
  </w:style>
  <w:style w:type="paragraph" w:styleId="12">
    <w:name w:val="List 2"/>
    <w:basedOn w:val="1"/>
    <w:unhideWhenUsed/>
    <w:qFormat/>
    <w:uiPriority w:val="99"/>
    <w:pPr>
      <w:spacing w:beforeLines="50"/>
      <w:ind w:left="100" w:leftChars="200" w:hanging="200" w:hangingChars="200"/>
    </w:pPr>
    <w:rPr>
      <w:rFonts w:ascii="Times New Roman" w:hAnsi="Times New Roman" w:eastAsia="宋体" w:cs="Times New Roman"/>
      <w:sz w:val="28"/>
      <w:szCs w:val="24"/>
    </w:rPr>
  </w:style>
  <w:style w:type="paragraph" w:styleId="13">
    <w:name w:val="toc 3"/>
    <w:basedOn w:val="1"/>
    <w:next w:val="1"/>
    <w:unhideWhenUsed/>
    <w:qFormat/>
    <w:uiPriority w:val="39"/>
    <w:pPr>
      <w:ind w:left="840" w:leftChars="400"/>
    </w:pPr>
  </w:style>
  <w:style w:type="paragraph" w:styleId="14">
    <w:name w:val="Plain Text"/>
    <w:basedOn w:val="1"/>
    <w:next w:val="1"/>
    <w:link w:val="36"/>
    <w:unhideWhenUsed/>
    <w:qFormat/>
    <w:uiPriority w:val="0"/>
    <w:pPr>
      <w:spacing w:before="156" w:beforeLines="50" w:afterLines="50" w:line="400" w:lineRule="exact"/>
    </w:pPr>
    <w:rPr>
      <w:rFonts w:ascii="宋体" w:hAnsi="Courier New" w:eastAsia="宋体" w:cs="Times New Roman"/>
      <w:kern w:val="0"/>
      <w:sz w:val="24"/>
      <w:szCs w:val="24"/>
    </w:rPr>
  </w:style>
  <w:style w:type="paragraph" w:styleId="15">
    <w:name w:val="Body Text Indent 2"/>
    <w:basedOn w:val="1"/>
    <w:qFormat/>
    <w:uiPriority w:val="0"/>
    <w:pPr>
      <w:snapToGrid w:val="0"/>
      <w:ind w:firstLine="542" w:firstLineChars="225"/>
    </w:pPr>
    <w:rPr>
      <w:rFonts w:ascii="仿宋_GB2312" w:hAnsi="宋体" w:cs="Arial"/>
      <w:b/>
      <w:bCs/>
      <w:color w:val="000000"/>
      <w:sz w:val="24"/>
      <w:szCs w:val="24"/>
    </w:rPr>
  </w:style>
  <w:style w:type="paragraph" w:styleId="16">
    <w:name w:val="Balloon Text"/>
    <w:basedOn w:val="1"/>
    <w:link w:val="41"/>
    <w:semiHidden/>
    <w:unhideWhenUsed/>
    <w:qFormat/>
    <w:uiPriority w:val="99"/>
    <w:rPr>
      <w:sz w:val="18"/>
      <w:szCs w:val="18"/>
    </w:rPr>
  </w:style>
  <w:style w:type="paragraph" w:styleId="17">
    <w:name w:val="footer"/>
    <w:basedOn w:val="1"/>
    <w:link w:val="34"/>
    <w:unhideWhenUsed/>
    <w:qFormat/>
    <w:uiPriority w:val="0"/>
    <w:pPr>
      <w:tabs>
        <w:tab w:val="center" w:pos="4153"/>
        <w:tab w:val="right" w:pos="8306"/>
      </w:tabs>
      <w:snapToGrid w:val="0"/>
      <w:jc w:val="left"/>
    </w:pPr>
    <w:rPr>
      <w:sz w:val="18"/>
      <w:szCs w:val="18"/>
    </w:rPr>
  </w:style>
  <w:style w:type="paragraph" w:styleId="18">
    <w:name w:val="header"/>
    <w:basedOn w:val="1"/>
    <w:link w:val="33"/>
    <w:unhideWhenUsed/>
    <w:qFormat/>
    <w:uiPriority w:val="0"/>
    <w:pPr>
      <w:pBdr>
        <w:bottom w:val="single" w:color="auto" w:sz="6" w:space="1"/>
      </w:pBdr>
      <w:tabs>
        <w:tab w:val="center" w:pos="4153"/>
        <w:tab w:val="right" w:pos="8306"/>
      </w:tabs>
      <w:snapToGrid w:val="0"/>
      <w:jc w:val="center"/>
    </w:pPr>
    <w:rPr>
      <w:sz w:val="18"/>
      <w:szCs w:val="18"/>
    </w:rPr>
  </w:style>
  <w:style w:type="paragraph" w:styleId="19">
    <w:name w:val="toc 1"/>
    <w:basedOn w:val="1"/>
    <w:next w:val="1"/>
    <w:unhideWhenUsed/>
    <w:qFormat/>
    <w:uiPriority w:val="39"/>
    <w:pPr>
      <w:tabs>
        <w:tab w:val="right" w:leader="dot" w:pos="8970"/>
      </w:tabs>
      <w:jc w:val="center"/>
    </w:pPr>
    <w:rPr>
      <w:rFonts w:ascii="仿宋" w:hAnsi="仿宋" w:eastAsia="仿宋"/>
      <w:b/>
      <w:sz w:val="32"/>
      <w:szCs w:val="32"/>
    </w:rPr>
  </w:style>
  <w:style w:type="paragraph" w:styleId="20">
    <w:name w:val="List"/>
    <w:basedOn w:val="1"/>
    <w:unhideWhenUsed/>
    <w:qFormat/>
    <w:uiPriority w:val="99"/>
    <w:pPr>
      <w:spacing w:beforeLines="50"/>
      <w:ind w:left="200" w:hanging="200" w:hangingChars="200"/>
    </w:pPr>
    <w:rPr>
      <w:rFonts w:ascii="Times New Roman" w:hAnsi="Times New Roman" w:eastAsia="宋体" w:cs="Times New Roman"/>
      <w:sz w:val="28"/>
      <w:szCs w:val="24"/>
    </w:rPr>
  </w:style>
  <w:style w:type="paragraph" w:styleId="21">
    <w:name w:val="toc 6"/>
    <w:basedOn w:val="1"/>
    <w:next w:val="1"/>
    <w:qFormat/>
    <w:uiPriority w:val="0"/>
    <w:pPr>
      <w:ind w:left="2100" w:leftChars="1000"/>
    </w:pPr>
  </w:style>
  <w:style w:type="paragraph" w:styleId="22">
    <w:name w:val="toc 2"/>
    <w:basedOn w:val="1"/>
    <w:next w:val="1"/>
    <w:unhideWhenUsed/>
    <w:qFormat/>
    <w:uiPriority w:val="39"/>
    <w:pPr>
      <w:ind w:left="420" w:leftChars="200"/>
    </w:pPr>
  </w:style>
  <w:style w:type="paragraph" w:styleId="23">
    <w:name w:val="Title"/>
    <w:basedOn w:val="1"/>
    <w:next w:val="1"/>
    <w:qFormat/>
    <w:uiPriority w:val="0"/>
    <w:pPr>
      <w:spacing w:before="240" w:after="60"/>
      <w:jc w:val="center"/>
      <w:outlineLvl w:val="0"/>
    </w:pPr>
    <w:rPr>
      <w:sz w:val="18"/>
      <w:szCs w:val="18"/>
    </w:rPr>
  </w:style>
  <w:style w:type="paragraph" w:styleId="24">
    <w:name w:val="annotation subject"/>
    <w:basedOn w:val="10"/>
    <w:next w:val="10"/>
    <w:link w:val="40"/>
    <w:semiHidden/>
    <w:unhideWhenUsed/>
    <w:qFormat/>
    <w:uiPriority w:val="99"/>
    <w:rPr>
      <w:b/>
      <w:bCs/>
    </w:rPr>
  </w:style>
  <w:style w:type="paragraph" w:styleId="25">
    <w:name w:val="Body Text First Indent"/>
    <w:basedOn w:val="2"/>
    <w:link w:val="52"/>
    <w:semiHidden/>
    <w:unhideWhenUsed/>
    <w:qFormat/>
    <w:uiPriority w:val="99"/>
    <w:pPr>
      <w:spacing w:beforeLines="0"/>
      <w:ind w:firstLine="420" w:firstLineChars="100"/>
    </w:pPr>
    <w:rPr>
      <w:rFonts w:asciiTheme="minorHAnsi" w:hAnsiTheme="minorHAnsi" w:eastAsiaTheme="minorEastAsia" w:cstheme="minorBidi"/>
      <w:kern w:val="2"/>
      <w:sz w:val="21"/>
      <w:szCs w:val="22"/>
    </w:rPr>
  </w:style>
  <w:style w:type="table" w:styleId="27">
    <w:name w:val="Table Grid"/>
    <w:basedOn w:val="2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FollowedHyperlink"/>
    <w:qFormat/>
    <w:uiPriority w:val="99"/>
    <w:rPr>
      <w:color w:val="800080"/>
      <w:u w:val="single"/>
    </w:rPr>
  </w:style>
  <w:style w:type="character" w:styleId="30">
    <w:name w:val="Hyperlink"/>
    <w:basedOn w:val="28"/>
    <w:unhideWhenUsed/>
    <w:qFormat/>
    <w:uiPriority w:val="99"/>
    <w:rPr>
      <w:color w:val="0563C1" w:themeColor="hyperlink"/>
      <w:u w:val="single"/>
      <w14:textFill>
        <w14:solidFill>
          <w14:schemeClr w14:val="hlink"/>
        </w14:solidFill>
      </w14:textFill>
    </w:rPr>
  </w:style>
  <w:style w:type="character" w:styleId="31">
    <w:name w:val="annotation reference"/>
    <w:basedOn w:val="28"/>
    <w:semiHidden/>
    <w:unhideWhenUsed/>
    <w:qFormat/>
    <w:uiPriority w:val="99"/>
    <w:rPr>
      <w:sz w:val="21"/>
      <w:szCs w:val="21"/>
    </w:rPr>
  </w:style>
  <w:style w:type="paragraph" w:customStyle="1" w:styleId="32">
    <w:name w:val="_Style 3"/>
    <w:basedOn w:val="1"/>
    <w:qFormat/>
    <w:uiPriority w:val="0"/>
    <w:pPr>
      <w:adjustRightInd/>
      <w:ind w:firstLine="420" w:firstLineChars="200"/>
    </w:pPr>
    <w:rPr>
      <w:rFonts w:eastAsia="仿宋_GB2312"/>
      <w:sz w:val="28"/>
    </w:rPr>
  </w:style>
  <w:style w:type="character" w:customStyle="1" w:styleId="33">
    <w:name w:val="页眉 Char"/>
    <w:basedOn w:val="28"/>
    <w:link w:val="18"/>
    <w:qFormat/>
    <w:uiPriority w:val="0"/>
    <w:rPr>
      <w:sz w:val="18"/>
      <w:szCs w:val="18"/>
    </w:rPr>
  </w:style>
  <w:style w:type="character" w:customStyle="1" w:styleId="34">
    <w:name w:val="页脚 Char"/>
    <w:basedOn w:val="28"/>
    <w:link w:val="17"/>
    <w:qFormat/>
    <w:uiPriority w:val="0"/>
    <w:rPr>
      <w:sz w:val="18"/>
      <w:szCs w:val="18"/>
    </w:rPr>
  </w:style>
  <w:style w:type="character" w:customStyle="1" w:styleId="35">
    <w:name w:val="纯文本 字符"/>
    <w:basedOn w:val="28"/>
    <w:semiHidden/>
    <w:qFormat/>
    <w:uiPriority w:val="99"/>
    <w:rPr>
      <w:rFonts w:hAnsi="Courier New" w:cs="Courier New" w:asciiTheme="minorEastAsia"/>
    </w:rPr>
  </w:style>
  <w:style w:type="character" w:customStyle="1" w:styleId="36">
    <w:name w:val="纯文本 Char"/>
    <w:link w:val="14"/>
    <w:qFormat/>
    <w:uiPriority w:val="0"/>
    <w:rPr>
      <w:rFonts w:ascii="宋体" w:hAnsi="Courier New" w:eastAsia="宋体" w:cs="Times New Roman"/>
      <w:kern w:val="0"/>
      <w:sz w:val="24"/>
      <w:szCs w:val="24"/>
    </w:rPr>
  </w:style>
  <w:style w:type="character" w:customStyle="1" w:styleId="37">
    <w:name w:val="标题 4 Char"/>
    <w:basedOn w:val="28"/>
    <w:link w:val="5"/>
    <w:semiHidden/>
    <w:qFormat/>
    <w:uiPriority w:val="9"/>
    <w:rPr>
      <w:rFonts w:asciiTheme="majorHAnsi" w:hAnsiTheme="majorHAnsi" w:eastAsiaTheme="majorEastAsia" w:cstheme="majorBidi"/>
      <w:b/>
      <w:bCs/>
      <w:sz w:val="28"/>
      <w:szCs w:val="28"/>
    </w:rPr>
  </w:style>
  <w:style w:type="character" w:customStyle="1" w:styleId="38">
    <w:name w:val="正文缩进 Char"/>
    <w:link w:val="8"/>
    <w:qFormat/>
    <w:uiPriority w:val="0"/>
    <w:rPr>
      <w:rFonts w:ascii="Times New Roman" w:hAnsi="Times New Roman" w:eastAsia="宋体" w:cs="Times New Roman"/>
      <w:kern w:val="0"/>
      <w:sz w:val="20"/>
      <w:szCs w:val="20"/>
    </w:rPr>
  </w:style>
  <w:style w:type="character" w:customStyle="1" w:styleId="39">
    <w:name w:val="批注文字 Char"/>
    <w:basedOn w:val="28"/>
    <w:link w:val="10"/>
    <w:semiHidden/>
    <w:qFormat/>
    <w:uiPriority w:val="99"/>
  </w:style>
  <w:style w:type="character" w:customStyle="1" w:styleId="40">
    <w:name w:val="批注主题 Char"/>
    <w:basedOn w:val="39"/>
    <w:link w:val="24"/>
    <w:semiHidden/>
    <w:qFormat/>
    <w:uiPriority w:val="99"/>
    <w:rPr>
      <w:b/>
      <w:bCs/>
    </w:rPr>
  </w:style>
  <w:style w:type="character" w:customStyle="1" w:styleId="41">
    <w:name w:val="批注框文本 Char"/>
    <w:basedOn w:val="28"/>
    <w:link w:val="16"/>
    <w:semiHidden/>
    <w:qFormat/>
    <w:uiPriority w:val="99"/>
    <w:rPr>
      <w:sz w:val="18"/>
      <w:szCs w:val="18"/>
    </w:rPr>
  </w:style>
  <w:style w:type="paragraph" w:customStyle="1" w:styleId="42">
    <w:name w:val="trs_editor"/>
    <w:basedOn w:val="1"/>
    <w:qFormat/>
    <w:uiPriority w:val="0"/>
    <w:pPr>
      <w:widowControl/>
      <w:spacing w:before="100" w:beforeLines="50" w:beforeAutospacing="1" w:after="100" w:afterAutospacing="1"/>
      <w:jc w:val="left"/>
    </w:pPr>
    <w:rPr>
      <w:rFonts w:ascii="宋体" w:hAnsi="宋体" w:eastAsia="宋体" w:cs="宋体"/>
      <w:kern w:val="0"/>
      <w:sz w:val="24"/>
      <w:szCs w:val="20"/>
    </w:rPr>
  </w:style>
  <w:style w:type="paragraph" w:customStyle="1" w:styleId="43">
    <w:name w:val="Table Paragraph"/>
    <w:basedOn w:val="1"/>
    <w:qFormat/>
    <w:uiPriority w:val="1"/>
    <w:pPr>
      <w:jc w:val="left"/>
    </w:pPr>
    <w:rPr>
      <w:rFonts w:ascii="Calibri" w:hAnsi="Calibri" w:eastAsia="宋体" w:cs="Times New Roman"/>
      <w:kern w:val="0"/>
      <w:sz w:val="22"/>
      <w:lang w:eastAsia="en-US"/>
    </w:rPr>
  </w:style>
  <w:style w:type="character" w:customStyle="1" w:styleId="44">
    <w:name w:val="标题 1 Char"/>
    <w:basedOn w:val="28"/>
    <w:link w:val="3"/>
    <w:qFormat/>
    <w:uiPriority w:val="9"/>
    <w:rPr>
      <w:b/>
      <w:bCs/>
      <w:kern w:val="44"/>
      <w:sz w:val="44"/>
      <w:szCs w:val="44"/>
    </w:rPr>
  </w:style>
  <w:style w:type="paragraph" w:customStyle="1" w:styleId="45">
    <w:name w:val="TOC 标题1"/>
    <w:basedOn w:val="3"/>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E75B6" w:themeColor="accent1" w:themeShade="BF"/>
      <w:kern w:val="0"/>
      <w:sz w:val="32"/>
      <w:szCs w:val="32"/>
    </w:rPr>
  </w:style>
  <w:style w:type="character" w:customStyle="1" w:styleId="46">
    <w:name w:val="标题 2 Char"/>
    <w:basedOn w:val="28"/>
    <w:link w:val="4"/>
    <w:qFormat/>
    <w:uiPriority w:val="0"/>
    <w:rPr>
      <w:rFonts w:ascii="Arial" w:hAnsi="Arial" w:eastAsia="黑体" w:cs="Times New Roman"/>
      <w:b/>
      <w:bCs/>
      <w:kern w:val="0"/>
      <w:sz w:val="32"/>
      <w:szCs w:val="32"/>
    </w:rPr>
  </w:style>
  <w:style w:type="character" w:customStyle="1" w:styleId="47">
    <w:name w:val="标题 5 Char"/>
    <w:basedOn w:val="28"/>
    <w:link w:val="6"/>
    <w:qFormat/>
    <w:uiPriority w:val="0"/>
    <w:rPr>
      <w:rFonts w:ascii="Times New Roman" w:hAnsi="Times New Roman" w:eastAsia="微软雅黑" w:cs="Times New Roman"/>
      <w:b/>
      <w:bCs/>
      <w:kern w:val="0"/>
      <w:sz w:val="24"/>
      <w:szCs w:val="24"/>
    </w:rPr>
  </w:style>
  <w:style w:type="character" w:customStyle="1" w:styleId="48">
    <w:name w:val="正文文本 Char"/>
    <w:basedOn w:val="28"/>
    <w:link w:val="2"/>
    <w:qFormat/>
    <w:uiPriority w:val="0"/>
    <w:rPr>
      <w:rFonts w:ascii="Times New Roman" w:hAnsi="Times New Roman" w:eastAsia="宋体" w:cs="Times New Roman"/>
      <w:kern w:val="0"/>
      <w:sz w:val="28"/>
      <w:szCs w:val="24"/>
    </w:rPr>
  </w:style>
  <w:style w:type="character" w:customStyle="1" w:styleId="49">
    <w:name w:val="题注 Char"/>
    <w:link w:val="9"/>
    <w:qFormat/>
    <w:uiPriority w:val="0"/>
    <w:rPr>
      <w:rFonts w:ascii="Arial" w:hAnsi="Arial" w:eastAsia="黑体" w:cs="Times New Roman"/>
      <w:kern w:val="0"/>
      <w:sz w:val="20"/>
      <w:szCs w:val="20"/>
    </w:rPr>
  </w:style>
  <w:style w:type="paragraph" w:customStyle="1" w:styleId="50">
    <w:name w:val="纯文本_0_0"/>
    <w:basedOn w:val="1"/>
    <w:qFormat/>
    <w:uiPriority w:val="0"/>
    <w:rPr>
      <w:rFonts w:ascii="宋体" w:hAnsi="Courier New" w:eastAsia="宋体" w:cs="Times New Roman"/>
      <w:szCs w:val="21"/>
    </w:rPr>
  </w:style>
  <w:style w:type="paragraph" w:customStyle="1" w:styleId="51">
    <w:name w:val="默认段落字体 Para Char Char Char Char Char Char Char Char Char1 Char Char Char Char"/>
    <w:basedOn w:val="1"/>
    <w:qFormat/>
    <w:uiPriority w:val="0"/>
    <w:pPr>
      <w:spacing w:beforeLines="50"/>
    </w:pPr>
    <w:rPr>
      <w:rFonts w:ascii="Tahoma" w:hAnsi="Tahoma" w:eastAsia="宋体" w:cs="Times New Roman"/>
      <w:sz w:val="24"/>
      <w:szCs w:val="20"/>
    </w:rPr>
  </w:style>
  <w:style w:type="character" w:customStyle="1" w:styleId="52">
    <w:name w:val="正文首行缩进 Char"/>
    <w:basedOn w:val="48"/>
    <w:link w:val="25"/>
    <w:semiHidden/>
    <w:qFormat/>
    <w:uiPriority w:val="99"/>
    <w:rPr>
      <w:rFonts w:ascii="Times New Roman" w:hAnsi="Times New Roman" w:eastAsia="宋体" w:cs="Times New Roman"/>
      <w:kern w:val="0"/>
      <w:sz w:val="28"/>
      <w:szCs w:val="24"/>
    </w:rPr>
  </w:style>
  <w:style w:type="paragraph" w:customStyle="1" w:styleId="53">
    <w:name w:val="正文2"/>
    <w:basedOn w:val="1"/>
    <w:qFormat/>
    <w:uiPriority w:val="0"/>
    <w:pPr>
      <w:adjustRightInd w:val="0"/>
      <w:spacing w:before="156" w:line="360" w:lineRule="auto"/>
      <w:ind w:firstLine="510" w:firstLineChars="200"/>
    </w:pPr>
    <w:rPr>
      <w:rFonts w:eastAsia="宋体"/>
      <w:sz w:val="24"/>
    </w:rPr>
  </w:style>
  <w:style w:type="paragraph" w:customStyle="1" w:styleId="54">
    <w:name w:val="列出段落1"/>
    <w:basedOn w:val="1"/>
    <w:qFormat/>
    <w:uiPriority w:val="0"/>
    <w:pPr>
      <w:ind w:firstLine="420" w:firstLineChars="200"/>
    </w:pPr>
  </w:style>
  <w:style w:type="paragraph" w:customStyle="1" w:styleId="55">
    <w:name w:val="正文缩进1"/>
    <w:basedOn w:val="1"/>
    <w:next w:val="56"/>
    <w:qFormat/>
    <w:uiPriority w:val="0"/>
    <w:pPr>
      <w:autoSpaceDE w:val="0"/>
      <w:autoSpaceDN w:val="0"/>
      <w:adjustRightInd w:val="0"/>
      <w:snapToGrid w:val="0"/>
      <w:spacing w:after="120" w:line="360" w:lineRule="auto"/>
      <w:ind w:left="420" w:leftChars="200" w:firstLine="480" w:firstLineChars="200"/>
    </w:pPr>
    <w:rPr>
      <w:rFonts w:ascii="Times New Roman" w:hAnsi="Times New Roman"/>
      <w:sz w:val="24"/>
      <w:szCs w:val="21"/>
    </w:rPr>
  </w:style>
  <w:style w:type="paragraph" w:customStyle="1" w:styleId="56">
    <w:name w:val="正文文本缩进1"/>
    <w:basedOn w:val="1"/>
    <w:next w:val="1"/>
    <w:qFormat/>
    <w:uiPriority w:val="0"/>
    <w:pPr>
      <w:spacing w:line="200" w:lineRule="exact"/>
      <w:ind w:firstLine="301"/>
    </w:pPr>
    <w:rPr>
      <w:rFonts w:ascii="宋体" w:hAnsi="Courier New"/>
      <w:spacing w:val="-4"/>
      <w:kern w:val="0"/>
      <w:sz w:val="18"/>
      <w:szCs w:val="20"/>
    </w:rPr>
  </w:style>
  <w:style w:type="paragraph" w:customStyle="1" w:styleId="57">
    <w:name w:val="索引 11"/>
    <w:basedOn w:val="1"/>
    <w:next w:val="1"/>
    <w:qFormat/>
    <w:uiPriority w:val="99"/>
    <w:pPr>
      <w:spacing w:line="360" w:lineRule="auto"/>
    </w:pPr>
    <w:rPr>
      <w:rFonts w:ascii="仿宋_GB2312" w:eastAsia="仿宋_GB2312"/>
      <w:sz w:val="24"/>
      <w:szCs w:val="20"/>
    </w:rPr>
  </w:style>
  <w:style w:type="paragraph" w:customStyle="1" w:styleId="58">
    <w:name w:val="纯文本1"/>
    <w:basedOn w:val="1"/>
    <w:qFormat/>
    <w:uiPriority w:val="0"/>
    <w:rPr>
      <w:rFonts w:ascii="宋体" w:hAnsi="Courier New"/>
      <w:kern w:val="0"/>
      <w:sz w:val="20"/>
      <w:szCs w:val="20"/>
    </w:rPr>
  </w:style>
  <w:style w:type="paragraph" w:styleId="59">
    <w:name w:val="List Paragraph"/>
    <w:basedOn w:val="1"/>
    <w:qFormat/>
    <w:uiPriority w:val="34"/>
    <w:pPr>
      <w:ind w:firstLine="420" w:firstLineChars="200"/>
    </w:pPr>
    <w:rPr>
      <w:szCs w:val="20"/>
    </w:rPr>
  </w:style>
  <w:style w:type="character" w:customStyle="1" w:styleId="60">
    <w:name w:val="font81"/>
    <w:basedOn w:val="28"/>
    <w:qFormat/>
    <w:uiPriority w:val="0"/>
    <w:rPr>
      <w:rFonts w:hint="default" w:ascii="Calibri" w:hAnsi="Calibri" w:cs="Calibri"/>
      <w:color w:val="000000"/>
      <w:sz w:val="18"/>
      <w:szCs w:val="18"/>
      <w:u w:val="none"/>
    </w:rPr>
  </w:style>
  <w:style w:type="character" w:customStyle="1" w:styleId="61">
    <w:name w:val="font51"/>
    <w:basedOn w:val="28"/>
    <w:qFormat/>
    <w:uiPriority w:val="0"/>
    <w:rPr>
      <w:rFonts w:hint="eastAsia" w:ascii="宋体" w:hAnsi="宋体" w:eastAsia="宋体" w:cs="宋体"/>
      <w:color w:val="000000"/>
      <w:sz w:val="18"/>
      <w:szCs w:val="18"/>
      <w:u w:val="none"/>
    </w:rPr>
  </w:style>
  <w:style w:type="character" w:customStyle="1" w:styleId="62">
    <w:name w:val="NormalCharacter"/>
    <w:semiHidden/>
    <w:qFormat/>
    <w:uiPriority w:val="0"/>
  </w:style>
  <w:style w:type="paragraph" w:customStyle="1" w:styleId="63">
    <w:name w:val="Default"/>
    <w:qFormat/>
    <w:uiPriority w:val="0"/>
    <w:pPr>
      <w:widowControl w:val="0"/>
      <w:autoSpaceDE w:val="0"/>
      <w:autoSpaceDN w:val="0"/>
      <w:adjustRightInd w:val="0"/>
    </w:pPr>
    <w:rPr>
      <w:rFonts w:ascii="宋体_x0003_...销." w:hAnsi="Calibri" w:eastAsia="宋体_x0003_...销." w:cs="宋体_x0003_...销."/>
      <w:color w:val="000000"/>
      <w:sz w:val="24"/>
      <w:szCs w:val="24"/>
      <w:lang w:val="en-US" w:eastAsia="zh-CN" w:bidi="ar-SA"/>
    </w:rPr>
  </w:style>
  <w:style w:type="paragraph" w:customStyle="1" w:styleId="64">
    <w:name w:val="部分1"/>
    <w:basedOn w:val="1"/>
    <w:qFormat/>
    <w:uiPriority w:val="0"/>
    <w:pPr>
      <w:keepNext/>
      <w:pageBreakBefore/>
      <w:tabs>
        <w:tab w:val="left" w:pos="720"/>
      </w:tabs>
      <w:spacing w:line="360" w:lineRule="auto"/>
      <w:jc w:val="center"/>
      <w:outlineLvl w:val="0"/>
    </w:pPr>
    <w:rPr>
      <w:rFonts w:eastAsia="黑体"/>
      <w:b/>
      <w:kern w:val="44"/>
      <w:sz w:val="36"/>
    </w:rPr>
  </w:style>
  <w:style w:type="paragraph" w:customStyle="1" w:styleId="65">
    <w:name w:val="Body Text First Indent 2"/>
    <w:basedOn w:val="66"/>
    <w:qFormat/>
    <w:uiPriority w:val="0"/>
    <w:pPr>
      <w:spacing w:after="120" w:afterLines="0" w:line="240" w:lineRule="auto"/>
      <w:ind w:left="420" w:leftChars="200" w:firstLine="420"/>
    </w:pPr>
    <w:rPr>
      <w:rFonts w:ascii="Times New Roman" w:hAnsi="Times New Roman" w:eastAsia="宋体" w:cs="宋体"/>
      <w:sz w:val="21"/>
      <w:szCs w:val="21"/>
    </w:rPr>
  </w:style>
  <w:style w:type="paragraph" w:customStyle="1" w:styleId="66">
    <w:name w:val="Body Text Indent"/>
    <w:basedOn w:val="1"/>
    <w:next w:val="1"/>
    <w:qFormat/>
    <w:uiPriority w:val="0"/>
    <w:pPr>
      <w:spacing w:line="200" w:lineRule="exact"/>
      <w:ind w:firstLine="301"/>
    </w:pPr>
    <w:rPr>
      <w:rFonts w:ascii="宋体" w:hAnsi="Courier New"/>
      <w:spacing w:val="-4"/>
      <w:kern w:val="0"/>
      <w:sz w:val="18"/>
      <w:szCs w:val="20"/>
    </w:rPr>
  </w:style>
  <w:style w:type="paragraph" w:customStyle="1" w:styleId="67">
    <w:name w:val="Proposals body"/>
    <w:basedOn w:val="1"/>
    <w:next w:val="1"/>
    <w:qFormat/>
    <w:uiPriority w:val="0"/>
    <w:pPr>
      <w:widowControl/>
      <w:spacing w:line="360" w:lineRule="auto"/>
      <w:jc w:val="left"/>
    </w:pPr>
    <w:rPr>
      <w:rFonts w:ascii="宋体"/>
      <w:snapToGrid w:val="0"/>
      <w:color w:val="000000"/>
      <w:kern w:val="0"/>
      <w:sz w:val="24"/>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F2C6778-A57A-4731-BCF6-A1AC3C042421}">
  <ds:schemaRefs/>
</ds:datastoreItem>
</file>

<file path=docProps/app.xml><?xml version="1.0" encoding="utf-8"?>
<Properties xmlns="http://schemas.openxmlformats.org/officeDocument/2006/extended-properties" xmlns:vt="http://schemas.openxmlformats.org/officeDocument/2006/docPropsVTypes">
  <Template>Normal.dotm</Template>
  <Company>Win10com.com</Company>
  <Pages>60</Pages>
  <Words>8042</Words>
  <Characters>9015</Characters>
  <Lines>358</Lines>
  <Paragraphs>100</Paragraphs>
  <TotalTime>112</TotalTime>
  <ScaleCrop>false</ScaleCrop>
  <LinksUpToDate>false</LinksUpToDate>
  <CharactersWithSpaces>9129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2024-04-15T10:38:00Z</dcterms:created>
  <dc:creator>Windows 用户</dc:creator>
  <cp:lastModifiedBy>小铃铛</cp:lastModifiedBy>
  <cp:lastPrinted>2024-04-26T01:33:00Z</cp:lastPrinted>
  <dcterms:modified xsi:type="dcterms:W3CDTF">2025-04-03T07:35:48Z</dcterms:modified>
  <dc:title>戚家桥学校空调采购项目</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72527857E3044FC5BD1A4C835166EE05_13</vt:lpwstr>
  </property>
  <property fmtid="{D5CDD505-2E9C-101B-9397-08002B2CF9AE}" pid="4" name="KSOTemplateDocerSaveRecord">
    <vt:lpwstr>eyJoZGlkIjoiZjgyZGFlMDUzNDE4ODZkNTFhMzE1YTFmNjE1ODNjYjkiLCJ1c2VySWQiOiI0NjE1NzM5MzIifQ==</vt:lpwstr>
  </property>
</Properties>
</file>