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F639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b/>
          <w:color w:val="auto"/>
          <w:sz w:val="52"/>
          <w:szCs w:val="52"/>
          <w:lang w:eastAsia="zh-CN"/>
        </w:rPr>
      </w:pPr>
      <w:r>
        <w:rPr>
          <w:rFonts w:hint="eastAsia" w:ascii="仿宋" w:hAnsi="仿宋" w:eastAsia="仿宋" w:cs="仿宋"/>
          <w:b/>
          <w:color w:val="auto"/>
          <w:sz w:val="48"/>
          <w:szCs w:val="48"/>
          <w:lang w:eastAsia="zh-CN"/>
        </w:rPr>
        <w:t>嵊州市广电信息网络有限公司电源电缆采购项目（第二次）</w:t>
      </w:r>
    </w:p>
    <w:p w14:paraId="76D36667">
      <w:pPr>
        <w:keepNext w:val="0"/>
        <w:keepLines w:val="0"/>
        <w:pageBreakBefore w:val="0"/>
        <w:widowControl w:val="0"/>
        <w:kinsoku/>
        <w:wordWrap/>
        <w:overflowPunct/>
        <w:topLinePunct w:val="0"/>
        <w:autoSpaceDE/>
        <w:autoSpaceDN/>
        <w:bidi w:val="0"/>
        <w:adjustRightInd w:val="0"/>
        <w:snapToGrid/>
        <w:spacing w:before="469" w:beforeLines="150" w:line="240" w:lineRule="atLeast"/>
        <w:jc w:val="center"/>
        <w:textAlignment w:val="auto"/>
        <w:outlineLvl w:val="0"/>
        <w:rPr>
          <w:rFonts w:hint="eastAsia" w:ascii="仿宋" w:hAnsi="仿宋" w:eastAsia="仿宋" w:cs="仿宋"/>
          <w:b/>
          <w:color w:val="auto"/>
          <w:sz w:val="72"/>
          <w:szCs w:val="72"/>
          <w:lang w:eastAsia="zh-CN"/>
        </w:rPr>
      </w:pPr>
      <w:r>
        <w:rPr>
          <w:rFonts w:hint="eastAsia" w:ascii="仿宋" w:hAnsi="仿宋" w:eastAsia="仿宋" w:cs="仿宋"/>
          <w:b/>
          <w:color w:val="auto"/>
          <w:sz w:val="36"/>
          <w:szCs w:val="36"/>
          <w:lang w:eastAsia="zh-CN"/>
        </w:rPr>
        <w:t>（</w:t>
      </w:r>
      <w:r>
        <w:rPr>
          <w:rFonts w:hint="eastAsia" w:ascii="仿宋" w:hAnsi="仿宋" w:eastAsia="仿宋" w:cs="仿宋"/>
          <w:b/>
          <w:color w:val="auto"/>
          <w:sz w:val="36"/>
          <w:szCs w:val="36"/>
          <w:lang w:val="en-US" w:eastAsia="zh-CN"/>
        </w:rPr>
        <w:t>国有企业采购</w:t>
      </w:r>
      <w:r>
        <w:rPr>
          <w:rFonts w:hint="eastAsia" w:ascii="仿宋" w:hAnsi="仿宋" w:eastAsia="仿宋" w:cs="仿宋"/>
          <w:b/>
          <w:color w:val="auto"/>
          <w:sz w:val="36"/>
          <w:szCs w:val="36"/>
          <w:lang w:eastAsia="zh-CN"/>
        </w:rPr>
        <w:t>）</w:t>
      </w:r>
    </w:p>
    <w:p w14:paraId="7885DB42">
      <w:pPr>
        <w:keepNext w:val="0"/>
        <w:keepLines w:val="0"/>
        <w:pageBreakBefore w:val="0"/>
        <w:widowControl w:val="0"/>
        <w:kinsoku/>
        <w:wordWrap/>
        <w:overflowPunct/>
        <w:topLinePunct w:val="0"/>
        <w:autoSpaceDE/>
        <w:autoSpaceDN/>
        <w:bidi w:val="0"/>
        <w:adjustRightInd w:val="0"/>
        <w:snapToGrid/>
        <w:spacing w:before="469" w:beforeLines="150" w:line="240" w:lineRule="atLeast"/>
        <w:jc w:val="center"/>
        <w:textAlignment w:val="auto"/>
        <w:outlineLvl w:val="0"/>
        <w:rPr>
          <w:rFonts w:hint="eastAsia" w:ascii="仿宋" w:hAnsi="仿宋" w:eastAsia="仿宋" w:cs="仿宋"/>
          <w:b/>
          <w:color w:val="auto"/>
          <w:sz w:val="72"/>
          <w:szCs w:val="72"/>
          <w:lang w:eastAsia="zh-CN"/>
        </w:rPr>
      </w:pPr>
      <w:r>
        <w:rPr>
          <w:rFonts w:hint="eastAsia" w:ascii="仿宋" w:hAnsi="仿宋" w:eastAsia="仿宋" w:cs="仿宋"/>
          <w:b/>
          <w:bCs/>
          <w:color w:val="auto"/>
          <w:sz w:val="32"/>
          <w:szCs w:val="32"/>
          <w:lang w:val="en-US" w:eastAsia="zh-CN"/>
        </w:rPr>
        <w:t>项目</w:t>
      </w:r>
      <w:r>
        <w:rPr>
          <w:rFonts w:hint="eastAsia" w:ascii="仿宋" w:hAnsi="仿宋" w:eastAsia="仿宋" w:cs="仿宋"/>
          <w:b/>
          <w:bCs/>
          <w:color w:val="auto"/>
          <w:sz w:val="32"/>
          <w:szCs w:val="32"/>
        </w:rPr>
        <w:t>编号：</w:t>
      </w:r>
      <w:r>
        <w:rPr>
          <w:rFonts w:hint="eastAsia" w:ascii="仿宋" w:hAnsi="仿宋" w:eastAsia="仿宋" w:cs="仿宋"/>
          <w:b/>
          <w:bCs/>
          <w:color w:val="auto"/>
          <w:sz w:val="32"/>
          <w:szCs w:val="32"/>
          <w:lang w:eastAsia="zh-CN"/>
        </w:rPr>
        <w:t>SXPZ-H20241127CKY</w:t>
      </w:r>
    </w:p>
    <w:p w14:paraId="07B839C2">
      <w:pPr>
        <w:keepNext w:val="0"/>
        <w:keepLines w:val="0"/>
        <w:pageBreakBefore w:val="0"/>
        <w:widowControl w:val="0"/>
        <w:kinsoku/>
        <w:wordWrap/>
        <w:overflowPunct/>
        <w:topLinePunct w:val="0"/>
        <w:autoSpaceDE/>
        <w:autoSpaceDN/>
        <w:bidi w:val="0"/>
        <w:adjustRightInd w:val="0"/>
        <w:snapToGrid/>
        <w:spacing w:before="469" w:beforeLines="150" w:line="240" w:lineRule="atLeast"/>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竞</w:t>
      </w:r>
    </w:p>
    <w:p w14:paraId="1AA4356B">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争</w:t>
      </w:r>
    </w:p>
    <w:p w14:paraId="665D860B">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性</w:t>
      </w:r>
    </w:p>
    <w:p w14:paraId="11F9AC27">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磋</w:t>
      </w:r>
    </w:p>
    <w:p w14:paraId="581A0FC8">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商</w:t>
      </w:r>
    </w:p>
    <w:p w14:paraId="7D0EF3F2">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文</w:t>
      </w:r>
    </w:p>
    <w:p w14:paraId="02A7D440">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件</w:t>
      </w:r>
    </w:p>
    <w:p w14:paraId="0B2EC0B6">
      <w:pPr>
        <w:adjustRightInd/>
        <w:spacing w:line="360" w:lineRule="auto"/>
        <w:jc w:val="center"/>
        <w:rPr>
          <w:color w:val="auto"/>
        </w:rPr>
      </w:pPr>
      <w:r>
        <w:rPr>
          <w:rFonts w:hint="eastAsia" w:ascii="仿宋" w:hAnsi="仿宋" w:eastAsia="仿宋" w:cs="仿宋"/>
          <w:b/>
          <w:color w:val="auto"/>
          <w:sz w:val="44"/>
          <w:szCs w:val="44"/>
        </w:rPr>
        <w:t>（电子招投标）</w:t>
      </w:r>
    </w:p>
    <w:p w14:paraId="7154BFE9">
      <w:pPr>
        <w:keepNext w:val="0"/>
        <w:keepLines w:val="0"/>
        <w:pageBreakBefore w:val="0"/>
        <w:widowControl w:val="0"/>
        <w:kinsoku/>
        <w:wordWrap/>
        <w:overflowPunct/>
        <w:topLinePunct w:val="0"/>
        <w:autoSpaceDE/>
        <w:autoSpaceDN/>
        <w:bidi w:val="0"/>
        <w:adjustRightInd w:val="0"/>
        <w:snapToGrid/>
        <w:spacing w:before="157" w:beforeLines="50" w:line="360" w:lineRule="auto"/>
        <w:ind w:right="533"/>
        <w:jc w:val="center"/>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 xml:space="preserve">采购单位: </w:t>
      </w:r>
      <w:r>
        <w:rPr>
          <w:rFonts w:hint="eastAsia" w:ascii="仿宋" w:hAnsi="仿宋" w:eastAsia="仿宋" w:cs="仿宋"/>
          <w:b/>
          <w:bCs/>
          <w:color w:val="auto"/>
          <w:sz w:val="32"/>
          <w:szCs w:val="32"/>
          <w:lang w:eastAsia="zh-CN"/>
        </w:rPr>
        <w:t>嵊州市广电信息网络有限公司</w:t>
      </w:r>
    </w:p>
    <w:p w14:paraId="4DDA8F34">
      <w:pPr>
        <w:spacing w:line="360" w:lineRule="auto"/>
        <w:ind w:right="533"/>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 xml:space="preserve">代理机构: </w:t>
      </w:r>
      <w:r>
        <w:rPr>
          <w:rFonts w:hint="eastAsia" w:ascii="仿宋" w:hAnsi="仿宋" w:eastAsia="仿宋" w:cs="仿宋"/>
          <w:b/>
          <w:bCs/>
          <w:color w:val="auto"/>
          <w:sz w:val="32"/>
          <w:szCs w:val="32"/>
          <w:lang w:eastAsia="zh-CN"/>
        </w:rPr>
        <w:t>绍兴平准招标代理有限公司</w:t>
      </w:r>
    </w:p>
    <w:p w14:paraId="4BB07026">
      <w:pPr>
        <w:tabs>
          <w:tab w:val="left" w:pos="2268"/>
        </w:tabs>
        <w:spacing w:line="360" w:lineRule="auto"/>
        <w:ind w:firstLine="2570" w:firstLineChars="800"/>
        <w:jc w:val="both"/>
        <w:rPr>
          <w:rFonts w:ascii="宋体" w:hAnsi="宋体" w:cs="仿宋_GB2312"/>
          <w:color w:val="auto"/>
          <w:sz w:val="24"/>
        </w:rPr>
        <w:sectPr>
          <w:headerReference r:id="rId3" w:type="default"/>
          <w:headerReference r:id="rId4" w:type="even"/>
          <w:footerReference r:id="rId5" w:type="even"/>
          <w:pgSz w:w="11906" w:h="16838"/>
          <w:pgMar w:top="1814" w:right="1474" w:bottom="1814" w:left="1474" w:header="851" w:footer="992" w:gutter="0"/>
          <w:pgNumType w:start="1"/>
          <w:cols w:space="720" w:num="1"/>
          <w:titlePg/>
          <w:docGrid w:linePitch="312" w:charSpace="0"/>
        </w:sectPr>
      </w:pPr>
      <w:r>
        <w:rPr>
          <w:rFonts w:hint="eastAsia" w:ascii="仿宋" w:hAnsi="仿宋" w:eastAsia="仿宋" w:cs="仿宋"/>
          <w:b/>
          <w:bCs/>
          <w:color w:val="auto"/>
          <w:sz w:val="32"/>
          <w:szCs w:val="32"/>
        </w:rPr>
        <w:t>日    期: 202</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11</w:t>
      </w:r>
      <w:r>
        <w:rPr>
          <w:rFonts w:hint="eastAsia" w:ascii="仿宋" w:hAnsi="仿宋" w:eastAsia="仿宋" w:cs="仿宋"/>
          <w:b/>
          <w:bCs/>
          <w:color w:val="auto"/>
          <w:sz w:val="32"/>
          <w:szCs w:val="32"/>
        </w:rPr>
        <w:t>月</w:t>
      </w:r>
    </w:p>
    <w:p w14:paraId="19B077CC">
      <w:pPr>
        <w:spacing w:line="360" w:lineRule="auto"/>
        <w:jc w:val="center"/>
        <w:rPr>
          <w:rFonts w:ascii="仿宋" w:hAnsi="仿宋" w:eastAsia="仿宋" w:cs="仿宋"/>
          <w:b/>
          <w:color w:val="auto"/>
          <w:sz w:val="48"/>
          <w:szCs w:val="48"/>
        </w:rPr>
      </w:pPr>
      <w:r>
        <w:rPr>
          <w:rFonts w:hint="eastAsia" w:ascii="仿宋" w:hAnsi="仿宋" w:eastAsia="仿宋" w:cs="仿宋"/>
          <w:b/>
          <w:color w:val="auto"/>
          <w:sz w:val="48"/>
          <w:szCs w:val="48"/>
        </w:rPr>
        <w:t>目</w:t>
      </w:r>
      <w:r>
        <w:rPr>
          <w:rFonts w:hint="eastAsia" w:ascii="仿宋" w:hAnsi="仿宋" w:eastAsia="仿宋" w:cs="仿宋"/>
          <w:b/>
          <w:color w:val="auto"/>
          <w:sz w:val="48"/>
          <w:szCs w:val="48"/>
          <w:lang w:val="en-US" w:eastAsia="zh-CN"/>
        </w:rPr>
        <w:t xml:space="preserve"> </w:t>
      </w:r>
      <w:r>
        <w:rPr>
          <w:rFonts w:hint="eastAsia" w:ascii="仿宋" w:hAnsi="仿宋" w:eastAsia="仿宋" w:cs="仿宋"/>
          <w:b/>
          <w:color w:val="auto"/>
          <w:sz w:val="48"/>
          <w:szCs w:val="48"/>
        </w:rPr>
        <w:t>录</w:t>
      </w:r>
    </w:p>
    <w:p w14:paraId="38802836">
      <w:pPr>
        <w:spacing w:line="360" w:lineRule="auto"/>
        <w:rPr>
          <w:rFonts w:ascii="仿宋" w:hAnsi="仿宋" w:eastAsia="仿宋" w:cs="仿宋"/>
          <w:color w:val="auto"/>
          <w:sz w:val="32"/>
          <w:szCs w:val="32"/>
        </w:rPr>
      </w:pPr>
    </w:p>
    <w:p w14:paraId="54A18586">
      <w:pPr>
        <w:spacing w:line="360" w:lineRule="auto"/>
        <w:ind w:firstLine="1446" w:firstLineChars="400"/>
        <w:jc w:val="both"/>
        <w:rPr>
          <w:rFonts w:ascii="仿宋" w:hAnsi="仿宋" w:eastAsia="仿宋" w:cs="仿宋"/>
          <w:b/>
          <w:bCs/>
          <w:color w:val="auto"/>
          <w:sz w:val="36"/>
          <w:szCs w:val="36"/>
        </w:rPr>
      </w:pPr>
      <w:r>
        <w:rPr>
          <w:rFonts w:hint="eastAsia" w:ascii="仿宋" w:hAnsi="仿宋" w:eastAsia="仿宋" w:cs="仿宋"/>
          <w:b/>
          <w:bCs/>
          <w:color w:val="auto"/>
          <w:sz w:val="36"/>
          <w:szCs w:val="36"/>
        </w:rPr>
        <w:t>第一部分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磋商邀请公告</w:t>
      </w:r>
    </w:p>
    <w:p w14:paraId="2B22575F">
      <w:pPr>
        <w:spacing w:line="360" w:lineRule="auto"/>
        <w:ind w:firstLine="1446" w:firstLineChars="400"/>
        <w:jc w:val="both"/>
        <w:rPr>
          <w:rFonts w:ascii="仿宋" w:hAnsi="仿宋" w:eastAsia="仿宋" w:cs="仿宋"/>
          <w:b/>
          <w:bCs/>
          <w:color w:val="auto"/>
          <w:sz w:val="36"/>
          <w:szCs w:val="36"/>
        </w:rPr>
      </w:pPr>
      <w:r>
        <w:rPr>
          <w:rFonts w:hint="eastAsia" w:ascii="仿宋" w:hAnsi="仿宋" w:eastAsia="仿宋" w:cs="仿宋"/>
          <w:b/>
          <w:bCs/>
          <w:color w:val="auto"/>
          <w:sz w:val="36"/>
          <w:szCs w:val="36"/>
        </w:rPr>
        <w:t>第二部分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供应商须知</w:t>
      </w:r>
    </w:p>
    <w:p w14:paraId="507361CF">
      <w:pPr>
        <w:spacing w:line="360" w:lineRule="auto"/>
        <w:ind w:firstLine="1446" w:firstLineChars="400"/>
        <w:rPr>
          <w:rFonts w:ascii="仿宋" w:hAnsi="仿宋" w:eastAsia="仿宋" w:cs="仿宋"/>
          <w:b/>
          <w:bCs/>
          <w:color w:val="auto"/>
          <w:sz w:val="36"/>
          <w:szCs w:val="36"/>
        </w:rPr>
      </w:pPr>
      <w:r>
        <w:rPr>
          <w:rFonts w:hint="eastAsia" w:ascii="仿宋" w:hAnsi="仿宋" w:eastAsia="仿宋" w:cs="仿宋"/>
          <w:b/>
          <w:bCs/>
          <w:color w:val="auto"/>
          <w:sz w:val="36"/>
          <w:szCs w:val="36"/>
        </w:rPr>
        <w:t>第三部分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采购需求</w:t>
      </w:r>
    </w:p>
    <w:p w14:paraId="08411B0B">
      <w:pPr>
        <w:spacing w:line="360" w:lineRule="auto"/>
        <w:ind w:firstLine="1446" w:firstLineChars="400"/>
        <w:rPr>
          <w:rFonts w:ascii="仿宋" w:hAnsi="仿宋" w:eastAsia="仿宋" w:cs="仿宋"/>
          <w:b/>
          <w:bCs/>
          <w:color w:val="auto"/>
          <w:sz w:val="36"/>
          <w:szCs w:val="36"/>
        </w:rPr>
      </w:pPr>
      <w:r>
        <w:rPr>
          <w:rFonts w:hint="eastAsia" w:ascii="仿宋" w:hAnsi="仿宋" w:eastAsia="仿宋" w:cs="仿宋"/>
          <w:b/>
          <w:bCs/>
          <w:color w:val="auto"/>
          <w:sz w:val="36"/>
          <w:szCs w:val="36"/>
        </w:rPr>
        <w:t>第四部分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拟签订的合同文本</w:t>
      </w:r>
    </w:p>
    <w:p w14:paraId="46A0BF79">
      <w:pPr>
        <w:spacing w:line="360" w:lineRule="auto"/>
        <w:ind w:firstLine="1446" w:firstLineChars="400"/>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第五部分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评审方法及标准</w:t>
      </w:r>
    </w:p>
    <w:p w14:paraId="0F1C3A27">
      <w:pPr>
        <w:spacing w:line="360" w:lineRule="auto"/>
        <w:ind w:firstLine="1446" w:firstLineChars="400"/>
        <w:rPr>
          <w:rFonts w:ascii="仿宋" w:hAnsi="仿宋" w:eastAsia="仿宋" w:cs="仿宋"/>
          <w:b/>
          <w:bCs/>
          <w:color w:val="auto"/>
          <w:sz w:val="36"/>
          <w:szCs w:val="36"/>
        </w:rPr>
      </w:pPr>
      <w:r>
        <w:rPr>
          <w:rFonts w:hint="eastAsia" w:ascii="仿宋" w:hAnsi="仿宋" w:eastAsia="仿宋" w:cs="仿宋"/>
          <w:b/>
          <w:bCs/>
          <w:color w:val="auto"/>
          <w:sz w:val="36"/>
          <w:szCs w:val="36"/>
        </w:rPr>
        <w:t>第六部分</w:t>
      </w:r>
      <w:r>
        <w:rPr>
          <w:rFonts w:hint="eastAsia" w:ascii="仿宋" w:hAnsi="仿宋" w:eastAsia="仿宋" w:cs="仿宋"/>
          <w:b/>
          <w:bCs/>
          <w:color w:val="auto"/>
          <w:sz w:val="36"/>
          <w:szCs w:val="36"/>
          <w:lang w:val="en-US" w:eastAsia="zh-CN"/>
        </w:rPr>
        <w:t xml:space="preserve">   </w:t>
      </w:r>
      <w:r>
        <w:rPr>
          <w:rFonts w:ascii="仿宋" w:hAnsi="仿宋" w:eastAsia="仿宋" w:cs="仿宋"/>
          <w:b/>
          <w:bCs/>
          <w:color w:val="auto"/>
          <w:sz w:val="36"/>
          <w:szCs w:val="36"/>
        </w:rPr>
        <w:t>磋商响应文件及其附件格式</w:t>
      </w:r>
    </w:p>
    <w:p w14:paraId="1A0F5DCB">
      <w:pPr>
        <w:spacing w:line="360" w:lineRule="auto"/>
        <w:ind w:firstLine="549" w:firstLineChars="229"/>
        <w:rPr>
          <w:rFonts w:ascii="仿宋" w:hAnsi="仿宋" w:eastAsia="仿宋" w:cs="仿宋"/>
          <w:color w:val="auto"/>
          <w:sz w:val="24"/>
        </w:rPr>
      </w:pPr>
      <w:bookmarkStart w:id="0" w:name="_Hlt91233176"/>
      <w:bookmarkEnd w:id="0"/>
      <w:bookmarkStart w:id="1" w:name="_Toc91899869"/>
    </w:p>
    <w:p w14:paraId="663749AF">
      <w:pPr>
        <w:spacing w:line="360" w:lineRule="auto"/>
        <w:ind w:firstLine="549" w:firstLineChars="229"/>
        <w:rPr>
          <w:rFonts w:ascii="宋体" w:hAnsi="宋体" w:cs="仿宋_GB2312"/>
          <w:color w:val="auto"/>
          <w:sz w:val="24"/>
        </w:rPr>
      </w:pPr>
    </w:p>
    <w:p w14:paraId="5769CE7E">
      <w:pPr>
        <w:spacing w:line="360" w:lineRule="auto"/>
        <w:ind w:firstLine="549" w:firstLineChars="229"/>
        <w:rPr>
          <w:rFonts w:ascii="宋体" w:hAnsi="宋体" w:cs="仿宋_GB2312"/>
          <w:color w:val="auto"/>
          <w:sz w:val="24"/>
        </w:rPr>
      </w:pPr>
    </w:p>
    <w:p w14:paraId="60BFDCA0">
      <w:pPr>
        <w:spacing w:line="360" w:lineRule="auto"/>
        <w:ind w:firstLine="549" w:firstLineChars="229"/>
        <w:rPr>
          <w:rFonts w:ascii="宋体" w:hAnsi="宋体" w:cs="仿宋_GB2312"/>
          <w:color w:val="auto"/>
          <w:sz w:val="24"/>
        </w:rPr>
      </w:pPr>
    </w:p>
    <w:p w14:paraId="71902DF2">
      <w:pPr>
        <w:spacing w:line="360" w:lineRule="auto"/>
        <w:ind w:firstLine="549" w:firstLineChars="229"/>
        <w:rPr>
          <w:rFonts w:ascii="宋体" w:hAnsi="宋体" w:cs="仿宋_GB2312"/>
          <w:color w:val="auto"/>
          <w:sz w:val="24"/>
        </w:rPr>
      </w:pPr>
    </w:p>
    <w:p w14:paraId="38CFBE4E">
      <w:pPr>
        <w:spacing w:line="360" w:lineRule="auto"/>
        <w:ind w:firstLine="549" w:firstLineChars="229"/>
        <w:rPr>
          <w:rFonts w:ascii="宋体" w:hAnsi="宋体" w:cs="仿宋_GB2312"/>
          <w:color w:val="auto"/>
          <w:sz w:val="24"/>
        </w:rPr>
      </w:pPr>
    </w:p>
    <w:p w14:paraId="05489F4D">
      <w:pPr>
        <w:spacing w:line="360" w:lineRule="auto"/>
        <w:ind w:firstLine="549" w:firstLineChars="229"/>
        <w:rPr>
          <w:rFonts w:ascii="宋体" w:hAnsi="宋体" w:cs="仿宋_GB2312"/>
          <w:color w:val="auto"/>
          <w:sz w:val="24"/>
        </w:rPr>
      </w:pPr>
    </w:p>
    <w:p w14:paraId="09D99A3A">
      <w:pPr>
        <w:spacing w:line="360" w:lineRule="auto"/>
        <w:ind w:firstLine="549" w:firstLineChars="229"/>
        <w:rPr>
          <w:rFonts w:ascii="宋体" w:hAnsi="宋体" w:cs="仿宋_GB2312"/>
          <w:color w:val="auto"/>
          <w:sz w:val="24"/>
        </w:rPr>
      </w:pPr>
    </w:p>
    <w:p w14:paraId="5111134B">
      <w:pPr>
        <w:spacing w:line="360" w:lineRule="auto"/>
        <w:ind w:firstLine="549" w:firstLineChars="229"/>
        <w:rPr>
          <w:rFonts w:ascii="宋体" w:hAnsi="宋体" w:cs="仿宋_GB2312"/>
          <w:color w:val="auto"/>
          <w:sz w:val="24"/>
        </w:rPr>
      </w:pPr>
    </w:p>
    <w:p w14:paraId="44C39097">
      <w:pPr>
        <w:spacing w:line="360" w:lineRule="auto"/>
        <w:ind w:firstLine="549" w:firstLineChars="229"/>
        <w:rPr>
          <w:rFonts w:ascii="宋体" w:hAnsi="宋体" w:cs="仿宋_GB2312"/>
          <w:color w:val="auto"/>
          <w:sz w:val="24"/>
        </w:rPr>
      </w:pPr>
    </w:p>
    <w:p w14:paraId="50CB1818">
      <w:pPr>
        <w:spacing w:line="360" w:lineRule="auto"/>
        <w:ind w:firstLine="549" w:firstLineChars="229"/>
        <w:rPr>
          <w:rFonts w:ascii="宋体" w:hAnsi="宋体" w:cs="仿宋_GB2312"/>
          <w:color w:val="auto"/>
          <w:sz w:val="24"/>
        </w:rPr>
      </w:pPr>
    </w:p>
    <w:bookmarkEnd w:id="1"/>
    <w:p w14:paraId="51BA62D5">
      <w:pPr>
        <w:adjustRightInd/>
        <w:spacing w:line="360" w:lineRule="auto"/>
        <w:jc w:val="center"/>
        <w:outlineLvl w:val="0"/>
        <w:rPr>
          <w:rFonts w:ascii="仿宋" w:hAnsi="仿宋" w:eastAsia="仿宋" w:cs="仿宋"/>
          <w:b/>
          <w:color w:val="auto"/>
          <w:sz w:val="36"/>
          <w:szCs w:val="20"/>
        </w:rPr>
        <w:sectPr>
          <w:footerReference r:id="rId6" w:type="default"/>
          <w:pgSz w:w="11906" w:h="16838"/>
          <w:pgMar w:top="1814" w:right="1474" w:bottom="1814" w:left="1474" w:header="851" w:footer="992" w:gutter="0"/>
          <w:pgNumType w:start="0"/>
          <w:cols w:space="720" w:num="1"/>
          <w:docGrid w:linePitch="312" w:charSpace="0"/>
        </w:sectPr>
      </w:pPr>
      <w:bookmarkStart w:id="2" w:name="_Hlt74729822"/>
      <w:bookmarkEnd w:id="2"/>
      <w:bookmarkStart w:id="3" w:name="_Hlt74707423"/>
      <w:bookmarkEnd w:id="3"/>
      <w:bookmarkStart w:id="4" w:name="_Hlt74728647"/>
      <w:bookmarkEnd w:id="4"/>
      <w:bookmarkStart w:id="5" w:name="_Hlt74649545"/>
      <w:bookmarkEnd w:id="5"/>
      <w:bookmarkStart w:id="6" w:name="第二部分"/>
      <w:bookmarkStart w:id="7" w:name="_Toc91899870"/>
      <w:bookmarkStart w:id="8" w:name="_Toc91899871"/>
    </w:p>
    <w:p w14:paraId="6531C303">
      <w:pPr>
        <w:adjustRightInd/>
        <w:spacing w:line="336" w:lineRule="auto"/>
        <w:jc w:val="center"/>
        <w:outlineLvl w:val="0"/>
        <w:rPr>
          <w:rFonts w:ascii="仿宋" w:hAnsi="仿宋" w:eastAsia="仿宋" w:cs="仿宋"/>
          <w:color w:val="auto"/>
          <w:sz w:val="24"/>
        </w:rPr>
      </w:pPr>
      <w:r>
        <w:rPr>
          <w:rFonts w:hint="eastAsia" w:ascii="仿宋" w:hAnsi="仿宋" w:eastAsia="仿宋" w:cs="仿宋"/>
          <w:b/>
          <w:color w:val="auto"/>
          <w:sz w:val="36"/>
          <w:szCs w:val="20"/>
        </w:rPr>
        <w:t>第一部分</w:t>
      </w:r>
      <w:r>
        <w:rPr>
          <w:rFonts w:hint="eastAsia" w:ascii="仿宋" w:hAnsi="仿宋" w:eastAsia="仿宋" w:cs="仿宋"/>
          <w:b/>
          <w:color w:val="auto"/>
          <w:sz w:val="36"/>
          <w:szCs w:val="20"/>
          <w:lang w:val="en-US" w:eastAsia="zh-CN"/>
        </w:rPr>
        <w:t xml:space="preserve"> </w:t>
      </w:r>
      <w:r>
        <w:rPr>
          <w:rFonts w:hint="eastAsia" w:ascii="仿宋" w:hAnsi="仿宋" w:eastAsia="仿宋" w:cs="仿宋"/>
          <w:b/>
          <w:color w:val="auto"/>
          <w:sz w:val="36"/>
          <w:szCs w:val="20"/>
        </w:rPr>
        <w:t>磋商邀请公告</w:t>
      </w:r>
    </w:p>
    <w:p w14:paraId="696C1E64">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14:paraId="681C68B5">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lang w:eastAsia="zh-CN"/>
        </w:rPr>
        <w:t>嵊州市广电信息网络有限公司电源电缆采购项目（第二次）</w:t>
      </w:r>
      <w:r>
        <w:rPr>
          <w:rFonts w:hint="eastAsia" w:ascii="仿宋" w:hAnsi="仿宋" w:eastAsia="仿宋" w:cs="仿宋"/>
          <w:color w:val="auto"/>
          <w:sz w:val="24"/>
        </w:rPr>
        <w:t>采购项目的潜在供应商应在</w:t>
      </w:r>
      <w:r>
        <w:rPr>
          <w:rFonts w:hint="eastAsia" w:ascii="仿宋" w:hAnsi="仿宋" w:eastAsia="仿宋" w:cs="仿宋"/>
          <w:color w:val="auto"/>
          <w:sz w:val="24"/>
          <w:u w:val="single"/>
        </w:rPr>
        <w:t>乐采云平台（</w:t>
      </w:r>
      <w:r>
        <w:rPr>
          <w:color w:val="auto"/>
        </w:rPr>
        <w:fldChar w:fldCharType="begin"/>
      </w:r>
      <w:r>
        <w:rPr>
          <w:color w:val="auto"/>
        </w:rPr>
        <w:instrText xml:space="preserve"> HYPERLINK "https://www.zcygov.cn/" </w:instrText>
      </w:r>
      <w:r>
        <w:rPr>
          <w:color w:val="auto"/>
        </w:rPr>
        <w:fldChar w:fldCharType="separate"/>
      </w:r>
      <w:r>
        <w:rPr>
          <w:rStyle w:val="69"/>
          <w:rFonts w:ascii="仿宋" w:hAnsi="仿宋" w:eastAsia="仿宋" w:cs="仿宋"/>
          <w:color w:val="auto"/>
          <w:sz w:val="24"/>
          <w:u w:val="single"/>
        </w:rPr>
        <w:t>https://www.lecaiyun.com/</w:t>
      </w:r>
      <w:r>
        <w:rPr>
          <w:rStyle w:val="69"/>
          <w:rFonts w:ascii="仿宋" w:hAnsi="仿宋" w:eastAsia="仿宋" w:cs="仿宋"/>
          <w:color w:val="auto"/>
          <w:sz w:val="24"/>
          <w:u w:val="single"/>
        </w:rPr>
        <w:fldChar w:fldCharType="end"/>
      </w:r>
      <w:r>
        <w:rPr>
          <w:rFonts w:hint="eastAsia" w:ascii="仿宋" w:hAnsi="仿宋" w:eastAsia="仿宋" w:cs="仿宋"/>
          <w:color w:val="auto"/>
          <w:sz w:val="24"/>
          <w:u w:val="single"/>
        </w:rPr>
        <w:t>）</w:t>
      </w:r>
      <w:r>
        <w:rPr>
          <w:rFonts w:hint="eastAsia" w:ascii="仿宋" w:hAnsi="仿宋" w:eastAsia="仿宋" w:cs="仿宋"/>
          <w:color w:val="auto"/>
          <w:sz w:val="24"/>
        </w:rPr>
        <w:t>获取采购文件，并于</w:t>
      </w:r>
      <w:r>
        <w:rPr>
          <w:rFonts w:hint="eastAsia" w:ascii="仿宋" w:hAnsi="仿宋" w:eastAsia="仿宋" w:cs="仿宋"/>
          <w:color w:val="auto"/>
          <w:sz w:val="24"/>
          <w:u w:val="single"/>
          <w:lang w:val="en-US" w:eastAsia="zh-CN"/>
        </w:rPr>
        <w:t>2024年12月12日09点00分00秒</w:t>
      </w:r>
      <w:r>
        <w:rPr>
          <w:rFonts w:hint="eastAsia" w:ascii="仿宋" w:hAnsi="仿宋" w:eastAsia="仿宋" w:cs="仿宋"/>
          <w:bCs/>
          <w:color w:val="auto"/>
          <w:sz w:val="24"/>
        </w:rPr>
        <w:t>（北京时间）前提交响应文件</w:t>
      </w:r>
      <w:r>
        <w:rPr>
          <w:rFonts w:hint="eastAsia" w:ascii="仿宋" w:hAnsi="仿宋" w:eastAsia="仿宋" w:cs="仿宋"/>
          <w:color w:val="auto"/>
          <w:sz w:val="24"/>
        </w:rPr>
        <w:t>。</w:t>
      </w:r>
    </w:p>
    <w:p w14:paraId="49EFF7F9">
      <w:pPr>
        <w:pStyle w:val="3"/>
        <w:pageBreakBefore w:val="0"/>
        <w:widowControl w:val="0"/>
        <w:numPr>
          <w:ilvl w:val="0"/>
          <w:numId w:val="0"/>
        </w:numPr>
        <w:kinsoku/>
        <w:wordWrap/>
        <w:overflowPunct/>
        <w:topLinePunct w:val="0"/>
        <w:autoSpaceDE/>
        <w:autoSpaceDN/>
        <w:bidi w:val="0"/>
        <w:spacing w:line="360" w:lineRule="auto"/>
        <w:textAlignment w:val="auto"/>
        <w:rPr>
          <w:rFonts w:ascii="仿宋" w:eastAsia="仿宋" w:cs="仿宋"/>
          <w:color w:val="auto"/>
          <w:sz w:val="24"/>
          <w:szCs w:val="24"/>
        </w:rPr>
      </w:pPr>
      <w:bookmarkStart w:id="9" w:name="_Toc35393629"/>
      <w:bookmarkStart w:id="10" w:name="_Toc28359089"/>
      <w:bookmarkStart w:id="11" w:name="_Toc28359012"/>
      <w:bookmarkStart w:id="12" w:name="_Toc35393798"/>
      <w:r>
        <w:rPr>
          <w:rFonts w:hint="eastAsia" w:ascii="仿宋" w:eastAsia="仿宋" w:cs="仿宋"/>
          <w:color w:val="auto"/>
          <w:sz w:val="24"/>
          <w:szCs w:val="24"/>
        </w:rPr>
        <w:t>一、项目基本情况</w:t>
      </w:r>
      <w:bookmarkEnd w:id="9"/>
      <w:bookmarkEnd w:id="10"/>
      <w:bookmarkEnd w:id="11"/>
      <w:bookmarkEnd w:id="12"/>
    </w:p>
    <w:p w14:paraId="40C42CF5">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项目编号：</w:t>
      </w:r>
      <w:r>
        <w:rPr>
          <w:rFonts w:hint="eastAsia" w:ascii="仿宋" w:hAnsi="仿宋" w:eastAsia="仿宋" w:cs="仿宋"/>
          <w:b w:val="0"/>
          <w:bCs/>
          <w:color w:val="auto"/>
          <w:sz w:val="24"/>
          <w:lang w:eastAsia="zh-CN"/>
        </w:rPr>
        <w:t>SXPZ-H20241127CKY</w:t>
      </w:r>
    </w:p>
    <w:p w14:paraId="373C955C">
      <w:pPr>
        <w:pageBreakBefore w:val="0"/>
        <w:widowControl w:val="0"/>
        <w:kinsoku/>
        <w:wordWrap/>
        <w:overflowPunct/>
        <w:topLinePunct w:val="0"/>
        <w:autoSpaceDE/>
        <w:autoSpaceDN/>
        <w:bidi w:val="0"/>
        <w:spacing w:line="360" w:lineRule="auto"/>
        <w:ind w:left="479" w:leftChars="228" w:firstLine="0" w:firstLineChars="0"/>
        <w:textAlignment w:val="auto"/>
        <w:rPr>
          <w:rFonts w:hint="eastAsia" w:ascii="仿宋" w:hAnsi="仿宋" w:eastAsia="仿宋" w:cs="仿宋"/>
          <w:b w:val="0"/>
          <w:bCs/>
          <w:color w:val="auto"/>
          <w:sz w:val="24"/>
          <w:u w:val="single"/>
          <w:lang w:eastAsia="zh-CN"/>
        </w:rPr>
      </w:pPr>
      <w:r>
        <w:rPr>
          <w:rFonts w:hint="eastAsia" w:ascii="仿宋" w:hAnsi="仿宋" w:eastAsia="仿宋" w:cs="仿宋"/>
          <w:b w:val="0"/>
          <w:bCs/>
          <w:color w:val="auto"/>
          <w:sz w:val="24"/>
        </w:rPr>
        <w:t>项目名称：</w:t>
      </w:r>
      <w:r>
        <w:rPr>
          <w:rFonts w:hint="eastAsia" w:ascii="仿宋" w:hAnsi="仿宋" w:eastAsia="仿宋" w:cs="仿宋"/>
          <w:b w:val="0"/>
          <w:bCs/>
          <w:color w:val="auto"/>
          <w:sz w:val="24"/>
          <w:lang w:eastAsia="zh-CN"/>
        </w:rPr>
        <w:t>嵊州市广电信息网络有限公司电源电缆采购项目（第二次）</w:t>
      </w:r>
    </w:p>
    <w:p w14:paraId="3EAECA99">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 w:val="0"/>
          <w:bCs/>
          <w:color w:val="auto"/>
          <w:sz w:val="24"/>
        </w:rPr>
      </w:pPr>
      <w:r>
        <w:rPr>
          <w:rFonts w:hint="eastAsia" w:ascii="仿宋" w:hAnsi="仿宋" w:eastAsia="仿宋" w:cs="仿宋"/>
          <w:b w:val="0"/>
          <w:bCs/>
          <w:color w:val="auto"/>
          <w:sz w:val="24"/>
        </w:rPr>
        <w:t>采购方式：竞争性磋商</w:t>
      </w:r>
    </w:p>
    <w:p w14:paraId="2EA2BF52">
      <w:pPr>
        <w:pageBreakBefore w:val="0"/>
        <w:widowControl w:val="0"/>
        <w:kinsoku/>
        <w:wordWrap/>
        <w:overflowPunct/>
        <w:topLinePunct w:val="0"/>
        <w:autoSpaceDE/>
        <w:autoSpaceDN/>
        <w:bidi w:val="0"/>
        <w:spacing w:line="360" w:lineRule="auto"/>
        <w:ind w:firstLine="480"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rPr>
        <w:t>预算金额（元）：</w:t>
      </w:r>
      <w:r>
        <w:rPr>
          <w:rFonts w:hint="eastAsia" w:ascii="仿宋" w:hAnsi="仿宋" w:eastAsia="仿宋" w:cs="仿宋"/>
          <w:b w:val="0"/>
          <w:bCs/>
          <w:color w:val="auto"/>
          <w:sz w:val="24"/>
          <w:lang w:val="en-US" w:eastAsia="zh-CN"/>
        </w:rPr>
        <w:t>年度定点</w:t>
      </w:r>
    </w:p>
    <w:p w14:paraId="70C8D0A7">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最高限价（元）：</w:t>
      </w:r>
      <w:r>
        <w:rPr>
          <w:rFonts w:hint="eastAsia" w:ascii="仿宋" w:hAnsi="仿宋" w:eastAsia="仿宋" w:cs="仿宋"/>
          <w:b w:val="0"/>
          <w:bCs/>
          <w:color w:val="auto"/>
          <w:sz w:val="24"/>
          <w:lang w:val="en-US" w:eastAsia="zh-CN"/>
        </w:rPr>
        <w:t>69340</w:t>
      </w:r>
      <w:r>
        <w:rPr>
          <w:rFonts w:hint="eastAsia" w:ascii="仿宋" w:hAnsi="仿宋" w:eastAsia="仿宋" w:cs="仿宋"/>
          <w:color w:val="auto"/>
          <w:sz w:val="24"/>
          <w:szCs w:val="24"/>
          <w:highlight w:val="none"/>
          <w:lang w:val="en-US" w:eastAsia="zh-CN"/>
        </w:rPr>
        <w:t>（单价合计）</w:t>
      </w:r>
    </w:p>
    <w:p w14:paraId="60546DF4">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
          <w:color w:val="auto"/>
          <w:sz w:val="24"/>
        </w:rPr>
      </w:pPr>
      <w:r>
        <w:rPr>
          <w:rFonts w:hint="eastAsia" w:ascii="仿宋" w:hAnsi="仿宋" w:eastAsia="仿宋" w:cs="仿宋"/>
          <w:b w:val="0"/>
          <w:bCs/>
          <w:color w:val="auto"/>
          <w:sz w:val="24"/>
        </w:rPr>
        <w:t>采购需求：</w:t>
      </w:r>
    </w:p>
    <w:p w14:paraId="58483B72">
      <w:pPr>
        <w:pageBreakBefore w:val="0"/>
        <w:widowControl w:val="0"/>
        <w:kinsoku/>
        <w:wordWrap/>
        <w:overflowPunct/>
        <w:topLinePunct w:val="0"/>
        <w:autoSpaceDE/>
        <w:autoSpaceDN/>
        <w:bidi w:val="0"/>
        <w:spacing w:line="360" w:lineRule="auto"/>
        <w:textAlignment w:val="auto"/>
        <w:rPr>
          <w:rFonts w:ascii="仿宋" w:hAnsi="仿宋" w:eastAsia="仿宋" w:cs="仿宋"/>
          <w:bCs/>
          <w:color w:val="auto"/>
          <w:sz w:val="24"/>
        </w:rPr>
      </w:pPr>
    </w:p>
    <w:p w14:paraId="6E9BCFFE">
      <w:pPr>
        <w:pageBreakBefore w:val="0"/>
        <w:widowControl w:val="0"/>
        <w:kinsoku/>
        <w:wordWrap/>
        <w:overflowPunct/>
        <w:topLinePunct w:val="0"/>
        <w:autoSpaceDE/>
        <w:autoSpaceDN/>
        <w:bidi w:val="0"/>
        <w:spacing w:line="360" w:lineRule="auto"/>
        <w:ind w:left="479" w:leftChars="228" w:firstLine="0" w:firstLineChars="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标项名称：</w:t>
      </w:r>
      <w:r>
        <w:rPr>
          <w:rFonts w:hint="eastAsia" w:ascii="仿宋" w:hAnsi="仿宋" w:eastAsia="仿宋" w:cs="仿宋"/>
          <w:bCs/>
          <w:color w:val="auto"/>
          <w:sz w:val="24"/>
          <w:lang w:eastAsia="zh-CN"/>
        </w:rPr>
        <w:t>嵊州市广电信息网络有限公司电源电缆采购项目（第二次）</w:t>
      </w:r>
    </w:p>
    <w:p w14:paraId="0A1D4D54">
      <w:pPr>
        <w:pageBreakBefore w:val="0"/>
        <w:widowControl w:val="0"/>
        <w:kinsoku/>
        <w:wordWrap/>
        <w:overflowPunct/>
        <w:topLinePunct w:val="0"/>
        <w:autoSpaceDE/>
        <w:autoSpaceDN/>
        <w:bidi w:val="0"/>
        <w:spacing w:line="360" w:lineRule="auto"/>
        <w:ind w:firstLine="480" w:firstLineChars="200"/>
        <w:textAlignment w:val="auto"/>
        <w:rPr>
          <w:rFonts w:hint="default" w:ascii="仿宋" w:hAnsi="仿宋" w:eastAsia="仿宋" w:cs="仿宋"/>
          <w:bCs/>
          <w:color w:val="auto"/>
          <w:sz w:val="24"/>
          <w:lang w:val="en-US" w:eastAsia="zh-CN"/>
        </w:rPr>
      </w:pPr>
      <w:r>
        <w:rPr>
          <w:rFonts w:hint="eastAsia" w:ascii="仿宋" w:hAnsi="仿宋" w:eastAsia="仿宋" w:cs="仿宋"/>
          <w:bCs/>
          <w:color w:val="auto"/>
          <w:sz w:val="24"/>
        </w:rPr>
        <w:t>数量：</w:t>
      </w:r>
      <w:r>
        <w:rPr>
          <w:rFonts w:hint="eastAsia" w:ascii="仿宋" w:hAnsi="仿宋" w:eastAsia="仿宋" w:cs="仿宋"/>
          <w:bCs/>
          <w:color w:val="auto"/>
          <w:sz w:val="24"/>
          <w:lang w:val="en-US" w:eastAsia="zh-CN"/>
        </w:rPr>
        <w:t>1项</w:t>
      </w:r>
    </w:p>
    <w:p w14:paraId="7D86C550">
      <w:pPr>
        <w:pageBreakBefore w:val="0"/>
        <w:widowControl w:val="0"/>
        <w:kinsoku/>
        <w:wordWrap/>
        <w:overflowPunct/>
        <w:topLinePunct w:val="0"/>
        <w:autoSpaceDE/>
        <w:autoSpaceDN/>
        <w:bidi w:val="0"/>
        <w:spacing w:line="360" w:lineRule="auto"/>
        <w:ind w:firstLine="480" w:firstLineChars="200"/>
        <w:textAlignment w:val="auto"/>
        <w:rPr>
          <w:rFonts w:hint="default" w:ascii="仿宋" w:hAnsi="仿宋" w:eastAsia="仿宋" w:cs="仿宋"/>
          <w:bCs/>
          <w:color w:val="auto"/>
          <w:sz w:val="24"/>
          <w:lang w:val="en-US" w:eastAsia="zh-CN"/>
        </w:rPr>
      </w:pPr>
      <w:r>
        <w:rPr>
          <w:rFonts w:hint="eastAsia" w:ascii="仿宋" w:hAnsi="仿宋" w:eastAsia="仿宋" w:cs="仿宋"/>
          <w:bCs/>
          <w:color w:val="auto"/>
          <w:sz w:val="24"/>
        </w:rPr>
        <w:t>预算金额</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元</w:t>
      </w:r>
      <w:r>
        <w:rPr>
          <w:rFonts w:hint="eastAsia" w:ascii="仿宋" w:hAnsi="仿宋" w:eastAsia="仿宋" w:cs="仿宋"/>
          <w:bCs/>
          <w:color w:val="auto"/>
          <w:sz w:val="24"/>
          <w:lang w:eastAsia="zh-CN"/>
        </w:rPr>
        <w:t>）</w:t>
      </w:r>
      <w:r>
        <w:rPr>
          <w:rFonts w:hint="eastAsia" w:ascii="仿宋" w:hAnsi="仿宋" w:eastAsia="仿宋" w:cs="仿宋"/>
          <w:bCs/>
          <w:color w:val="auto"/>
          <w:sz w:val="24"/>
        </w:rPr>
        <w:t>：</w:t>
      </w:r>
      <w:r>
        <w:rPr>
          <w:rFonts w:hint="eastAsia" w:ascii="仿宋" w:hAnsi="仿宋" w:eastAsia="仿宋" w:cs="仿宋"/>
          <w:b w:val="0"/>
          <w:bCs/>
          <w:color w:val="auto"/>
          <w:sz w:val="24"/>
          <w:lang w:val="en-US" w:eastAsia="zh-CN"/>
        </w:rPr>
        <w:t>年度定点</w:t>
      </w:r>
    </w:p>
    <w:p w14:paraId="75A2892A">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
          <w:color w:val="auto"/>
          <w:sz w:val="24"/>
        </w:rPr>
      </w:pPr>
      <w:r>
        <w:rPr>
          <w:rFonts w:hint="eastAsia" w:ascii="仿宋" w:hAnsi="仿宋" w:eastAsia="仿宋" w:cs="仿宋"/>
          <w:bCs/>
          <w:color w:val="auto"/>
          <w:sz w:val="24"/>
        </w:rPr>
        <w:t>简要规格描述：</w:t>
      </w:r>
      <w:r>
        <w:rPr>
          <w:rFonts w:hint="eastAsia" w:ascii="仿宋" w:hAnsi="仿宋" w:eastAsia="仿宋" w:cs="仿宋"/>
          <w:b w:val="0"/>
          <w:bCs/>
          <w:color w:val="auto"/>
          <w:sz w:val="24"/>
        </w:rPr>
        <w:t>详见磋商文件。</w:t>
      </w:r>
    </w:p>
    <w:p w14:paraId="507262AD">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备注：</w:t>
      </w:r>
    </w:p>
    <w:p w14:paraId="7EF2F451">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rPr>
      </w:pPr>
    </w:p>
    <w:p w14:paraId="71EC3D28">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u w:val="single"/>
          <w:lang w:eastAsia="zh-CN"/>
        </w:rPr>
      </w:pPr>
      <w:r>
        <w:rPr>
          <w:rFonts w:hint="eastAsia" w:ascii="仿宋" w:hAnsi="仿宋" w:eastAsia="仿宋" w:cs="仿宋"/>
          <w:b w:val="0"/>
          <w:bCs/>
          <w:color w:val="auto"/>
          <w:sz w:val="24"/>
        </w:rPr>
        <w:t>合同履行期限：</w:t>
      </w:r>
      <w:r>
        <w:rPr>
          <w:rFonts w:hint="eastAsia" w:ascii="仿宋" w:hAnsi="仿宋" w:eastAsia="仿宋" w:cs="仿宋"/>
          <w:bCs/>
          <w:color w:val="auto"/>
          <w:sz w:val="24"/>
          <w:szCs w:val="24"/>
        </w:rPr>
        <w:t>详见磋商文件</w:t>
      </w:r>
      <w:r>
        <w:rPr>
          <w:rFonts w:hint="eastAsia" w:ascii="仿宋" w:hAnsi="仿宋" w:eastAsia="仿宋" w:cs="仿宋"/>
          <w:bCs/>
          <w:color w:val="auto"/>
          <w:sz w:val="24"/>
          <w:szCs w:val="24"/>
          <w:lang w:eastAsia="zh-CN"/>
        </w:rPr>
        <w:t>。</w:t>
      </w:r>
    </w:p>
    <w:p w14:paraId="2761E292">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
          <w:color w:val="auto"/>
          <w:sz w:val="24"/>
        </w:rPr>
      </w:pPr>
      <w:r>
        <w:rPr>
          <w:rFonts w:hint="eastAsia" w:ascii="仿宋" w:hAnsi="仿宋" w:eastAsia="仿宋" w:cs="仿宋"/>
          <w:b w:val="0"/>
          <w:bCs/>
          <w:color w:val="auto"/>
          <w:sz w:val="24"/>
        </w:rPr>
        <w:t>本项目接受联合体磋商：</w:t>
      </w:r>
      <w:r>
        <w:rPr>
          <w:rFonts w:hint="eastAsia" w:ascii="仿宋" w:hAnsi="仿宋" w:eastAsia="仿宋" w:cs="仿宋"/>
          <w:b w:val="0"/>
          <w:bCs/>
          <w:color w:val="auto"/>
          <w:sz w:val="24"/>
          <w:szCs w:val="24"/>
          <w:lang w:eastAsia="zh-CN"/>
        </w:rPr>
        <w:t>□</w:t>
      </w:r>
      <w:r>
        <w:rPr>
          <w:rFonts w:ascii="仿宋" w:hAnsi="仿宋" w:eastAsia="仿宋" w:cs="仿宋"/>
          <w:b w:val="0"/>
          <w:bCs/>
          <w:color w:val="auto"/>
          <w:sz w:val="24"/>
        </w:rPr>
        <w:t>是，</w:t>
      </w:r>
      <w:r>
        <w:rPr>
          <w:rFonts w:hint="eastAsia" w:ascii="仿宋" w:hAnsi="仿宋" w:eastAsia="仿宋" w:cs="仿宋"/>
          <w:b w:val="0"/>
          <w:bCs/>
          <w:color w:val="auto"/>
          <w:sz w:val="24"/>
          <w:szCs w:val="24"/>
          <w:lang w:eastAsia="zh-CN"/>
        </w:rPr>
        <w:t>☑</w:t>
      </w:r>
      <w:r>
        <w:rPr>
          <w:rFonts w:ascii="仿宋" w:hAnsi="仿宋" w:eastAsia="仿宋" w:cs="仿宋"/>
          <w:b w:val="0"/>
          <w:bCs/>
          <w:color w:val="auto"/>
          <w:sz w:val="24"/>
        </w:rPr>
        <w:t>否。</w:t>
      </w:r>
    </w:p>
    <w:p w14:paraId="0269ECBD">
      <w:pPr>
        <w:pageBreakBefore w:val="0"/>
        <w:widowControl w:val="0"/>
        <w:kinsoku/>
        <w:wordWrap/>
        <w:overflowPunct/>
        <w:topLinePunct w:val="0"/>
        <w:autoSpaceDE/>
        <w:autoSpaceDN/>
        <w:bidi w:val="0"/>
        <w:spacing w:line="360" w:lineRule="auto"/>
        <w:textAlignment w:val="auto"/>
        <w:rPr>
          <w:rFonts w:ascii="仿宋" w:hAnsi="仿宋" w:eastAsia="仿宋" w:cs="仿宋"/>
          <w:b/>
          <w:bCs/>
          <w:color w:val="auto"/>
          <w:sz w:val="24"/>
        </w:rPr>
      </w:pPr>
      <w:bookmarkStart w:id="13" w:name="_Toc28359090"/>
      <w:bookmarkStart w:id="14" w:name="_Toc35393630"/>
      <w:bookmarkStart w:id="15" w:name="_Toc35393799"/>
      <w:bookmarkStart w:id="16" w:name="_Toc28359013"/>
      <w:r>
        <w:rPr>
          <w:rFonts w:hint="eastAsia" w:ascii="仿宋" w:hAnsi="仿宋" w:eastAsia="仿宋" w:cs="仿宋"/>
          <w:b/>
          <w:bCs/>
          <w:color w:val="auto"/>
          <w:sz w:val="24"/>
        </w:rPr>
        <w:t>二、申请人的资格要求：</w:t>
      </w:r>
      <w:bookmarkEnd w:id="13"/>
      <w:bookmarkEnd w:id="14"/>
      <w:bookmarkEnd w:id="15"/>
      <w:bookmarkEnd w:id="16"/>
    </w:p>
    <w:p w14:paraId="7AB57DCE">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具备《嵊州市市属国有企业货物和服务采购管理办法（试行）》第十七条规定的条件：</w:t>
      </w:r>
    </w:p>
    <w:p w14:paraId="197192FF">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1.具有独立承担民事责任的能力；</w:t>
      </w:r>
    </w:p>
    <w:p w14:paraId="339E25AE">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2.具有良好的商业信誉；</w:t>
      </w:r>
    </w:p>
    <w:p w14:paraId="636C6836">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3.具有履行合同所必需的设备和专业技术，售后保障等能力；</w:t>
      </w:r>
    </w:p>
    <w:p w14:paraId="7C2B1D86">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4.有依法缴纳税收和社会保障资金的良好记录；</w:t>
      </w:r>
    </w:p>
    <w:p w14:paraId="0FDB89F0">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5.参加采购活动前三年内，没有重大违法记录，严重失信行为和行贿记录；</w:t>
      </w:r>
    </w:p>
    <w:p w14:paraId="6CF5B4E2">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6.法律、行政法规规定的其他条件；</w:t>
      </w:r>
    </w:p>
    <w:p w14:paraId="5A8B0381">
      <w:pPr>
        <w:pageBreakBefore w:val="0"/>
        <w:widowControl w:val="0"/>
        <w:kinsoku/>
        <w:wordWrap/>
        <w:overflowPunct/>
        <w:topLinePunct w:val="0"/>
        <w:autoSpaceDE/>
        <w:autoSpaceDN/>
        <w:bidi w:val="0"/>
        <w:spacing w:line="360" w:lineRule="auto"/>
        <w:ind w:firstLine="480"/>
        <w:textAlignment w:val="auto"/>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未被“信用中国”（</w:t>
      </w:r>
      <w:r>
        <w:rPr>
          <w:rFonts w:ascii="仿宋" w:hAnsi="仿宋" w:eastAsia="仿宋" w:cs="仿宋"/>
          <w:snapToGrid w:val="0"/>
          <w:color w:val="auto"/>
          <w:kern w:val="28"/>
          <w:sz w:val="24"/>
          <w:szCs w:val="20"/>
        </w:rPr>
        <w:t>www.creditchina.gov.cn)、中国政府采购网（www.ccgp.gov.cn）列入失信被执行人、重大税收违法案件当事人名单、政府采购严重违法失信行为记录名单；</w:t>
      </w:r>
    </w:p>
    <w:p w14:paraId="0824DFF4">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r>
        <w:rPr>
          <w:rFonts w:ascii="仿宋" w:hAnsi="仿宋" w:eastAsia="仿宋" w:cs="仿宋"/>
          <w:color w:val="auto"/>
          <w:sz w:val="24"/>
        </w:rPr>
        <w:t>.本项目的特定资格要求：</w:t>
      </w:r>
      <w:r>
        <w:rPr>
          <w:rFonts w:hint="eastAsia" w:ascii="仿宋" w:hAnsi="仿宋" w:eastAsia="仿宋" w:cs="仿宋"/>
          <w:color w:val="auto"/>
          <w:sz w:val="24"/>
          <w:lang w:val="en-US" w:eastAsia="zh-CN"/>
        </w:rPr>
        <w:t>无</w:t>
      </w:r>
      <w:r>
        <w:rPr>
          <w:rFonts w:hint="eastAsia" w:ascii="仿宋" w:hAnsi="仿宋" w:eastAsia="仿宋" w:cs="仿宋"/>
          <w:color w:val="auto"/>
          <w:sz w:val="24"/>
          <w:lang w:eastAsia="zh-CN"/>
        </w:rPr>
        <w:t>。</w:t>
      </w:r>
    </w:p>
    <w:p w14:paraId="73C677AE">
      <w:pPr>
        <w:pageBreakBefore w:val="0"/>
        <w:widowControl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lang w:val="en-US" w:eastAsia="zh-CN"/>
        </w:rPr>
        <w:t>8</w:t>
      </w:r>
      <w:r>
        <w:rPr>
          <w:rFonts w:ascii="仿宋" w:hAnsi="仿宋" w:eastAsia="仿宋" w:cs="仿宋"/>
          <w:color w:val="auto"/>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F70C770">
      <w:pPr>
        <w:pageBreakBefore w:val="0"/>
        <w:widowControl w:val="0"/>
        <w:kinsoku/>
        <w:wordWrap/>
        <w:overflowPunct/>
        <w:topLinePunct w:val="0"/>
        <w:autoSpaceDE/>
        <w:autoSpaceDN/>
        <w:bidi w:val="0"/>
        <w:spacing w:line="360" w:lineRule="auto"/>
        <w:textAlignment w:val="auto"/>
        <w:rPr>
          <w:rFonts w:ascii="仿宋" w:hAnsi="仿宋" w:eastAsia="仿宋" w:cs="仿宋"/>
          <w:b/>
          <w:bCs/>
          <w:color w:val="auto"/>
          <w:sz w:val="24"/>
        </w:rPr>
      </w:pPr>
      <w:bookmarkStart w:id="17" w:name="_Toc28359014"/>
      <w:bookmarkStart w:id="18" w:name="_Toc28359091"/>
      <w:bookmarkStart w:id="19" w:name="_Toc35393631"/>
      <w:bookmarkStart w:id="20" w:name="_Toc35393800"/>
      <w:r>
        <w:rPr>
          <w:rFonts w:hint="eastAsia" w:ascii="仿宋" w:hAnsi="仿宋" w:eastAsia="仿宋" w:cs="仿宋"/>
          <w:b/>
          <w:bCs/>
          <w:color w:val="auto"/>
          <w:sz w:val="24"/>
        </w:rPr>
        <w:t>三、获取（下载）采购文件</w:t>
      </w:r>
      <w:bookmarkEnd w:id="17"/>
      <w:bookmarkEnd w:id="18"/>
      <w:bookmarkEnd w:id="19"/>
      <w:bookmarkEnd w:id="20"/>
    </w:p>
    <w:p w14:paraId="177074D5">
      <w:pPr>
        <w:pageBreakBefore w:val="0"/>
        <w:widowControl w:val="0"/>
        <w:kinsoku/>
        <w:wordWrap/>
        <w:overflowPunct/>
        <w:topLinePunct w:val="0"/>
        <w:autoSpaceDE/>
        <w:autoSpaceDN/>
        <w:bidi w:val="0"/>
        <w:spacing w:line="360" w:lineRule="auto"/>
        <w:ind w:firstLine="540"/>
        <w:textAlignment w:val="auto"/>
        <w:rPr>
          <w:rFonts w:ascii="仿宋" w:hAnsi="仿宋" w:eastAsia="仿宋" w:cs="仿宋"/>
          <w:color w:val="auto"/>
          <w:sz w:val="24"/>
        </w:rPr>
      </w:pPr>
      <w:r>
        <w:rPr>
          <w:rFonts w:hint="eastAsia" w:ascii="仿宋" w:hAnsi="仿宋" w:eastAsia="仿宋" w:cs="仿宋"/>
          <w:b/>
          <w:color w:val="auto"/>
          <w:sz w:val="24"/>
        </w:rPr>
        <w:t>时间：</w:t>
      </w:r>
      <w:r>
        <w:rPr>
          <w:rFonts w:ascii="仿宋" w:hAnsi="仿宋" w:eastAsia="仿宋" w:cs="仿宋"/>
          <w:color w:val="auto"/>
          <w:sz w:val="27"/>
          <w:szCs w:val="27"/>
        </w:rPr>
        <w:t>/</w:t>
      </w:r>
      <w:r>
        <w:rPr>
          <w:rFonts w:hint="eastAsia" w:ascii="仿宋" w:hAnsi="仿宋" w:eastAsia="仿宋" w:cs="仿宋"/>
          <w:color w:val="auto"/>
          <w:sz w:val="24"/>
        </w:rPr>
        <w:t>至</w:t>
      </w:r>
      <w:r>
        <w:rPr>
          <w:rFonts w:hint="eastAsia" w:ascii="仿宋" w:hAnsi="仿宋" w:eastAsia="仿宋" w:cs="仿宋"/>
          <w:color w:val="auto"/>
          <w:sz w:val="24"/>
          <w:lang w:val="en-US" w:eastAsia="zh-CN"/>
        </w:rPr>
        <w:t>2024年12月12日</w:t>
      </w:r>
      <w:r>
        <w:rPr>
          <w:rFonts w:hint="eastAsia" w:ascii="仿宋" w:hAnsi="仿宋" w:eastAsia="仿宋" w:cs="仿宋"/>
          <w:color w:val="auto"/>
          <w:sz w:val="24"/>
        </w:rPr>
        <w:t>，每天上午</w:t>
      </w:r>
      <w:r>
        <w:rPr>
          <w:rFonts w:ascii="仿宋" w:hAnsi="仿宋" w:eastAsia="仿宋" w:cs="仿宋"/>
          <w:color w:val="auto"/>
          <w:sz w:val="24"/>
        </w:rPr>
        <w:t>00:00至12:00</w:t>
      </w:r>
      <w:r>
        <w:rPr>
          <w:rFonts w:hint="eastAsia" w:ascii="仿宋" w:hAnsi="仿宋" w:eastAsia="仿宋" w:cs="仿宋"/>
          <w:color w:val="auto"/>
          <w:sz w:val="24"/>
        </w:rPr>
        <w:t>，下午</w:t>
      </w:r>
      <w:r>
        <w:rPr>
          <w:rFonts w:ascii="仿宋" w:hAnsi="仿宋" w:eastAsia="仿宋" w:cs="仿宋"/>
          <w:color w:val="auto"/>
          <w:sz w:val="24"/>
        </w:rPr>
        <w:t>12:00至23:59（北京时间，线上获取法定节假日均可，线下获取文件法定节假日除外）；</w:t>
      </w:r>
    </w:p>
    <w:p w14:paraId="40879916">
      <w:pPr>
        <w:pageBreakBefore w:val="0"/>
        <w:widowControl w:val="0"/>
        <w:kinsoku/>
        <w:wordWrap/>
        <w:overflowPunct/>
        <w:topLinePunct w:val="0"/>
        <w:autoSpaceDE/>
        <w:autoSpaceDN/>
        <w:bidi w:val="0"/>
        <w:spacing w:line="360" w:lineRule="auto"/>
        <w:ind w:firstLine="540"/>
        <w:textAlignment w:val="auto"/>
        <w:rPr>
          <w:rFonts w:hint="eastAsia" w:ascii="仿宋" w:hAnsi="仿宋" w:eastAsia="仿宋" w:cs="仿宋"/>
          <w:color w:val="auto"/>
          <w:sz w:val="28"/>
          <w:szCs w:val="28"/>
          <w:u w:val="single"/>
          <w:lang w:eastAsia="zh-CN"/>
        </w:rPr>
      </w:pPr>
      <w:r>
        <w:rPr>
          <w:rFonts w:hint="eastAsia" w:ascii="仿宋" w:hAnsi="仿宋" w:eastAsia="仿宋" w:cs="仿宋"/>
          <w:b/>
          <w:color w:val="auto"/>
          <w:sz w:val="24"/>
        </w:rPr>
        <w:t>地点（网址）：</w:t>
      </w:r>
      <w:r>
        <w:rPr>
          <w:rFonts w:hint="eastAsia" w:ascii="仿宋" w:hAnsi="仿宋" w:eastAsia="仿宋" w:cs="仿宋"/>
          <w:b w:val="0"/>
          <w:bCs/>
          <w:color w:val="auto"/>
          <w:sz w:val="24"/>
        </w:rPr>
        <w:t>乐采云平台（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69"/>
          <w:rFonts w:ascii="仿宋" w:hAnsi="仿宋" w:eastAsia="仿宋" w:cs="仿宋"/>
          <w:b w:val="0"/>
          <w:bCs/>
          <w:color w:val="auto"/>
          <w:sz w:val="24"/>
        </w:rPr>
        <w:t>https://www.lecaiyun.com/</w:t>
      </w:r>
      <w:r>
        <w:rPr>
          <w:rStyle w:val="69"/>
          <w:rFonts w:ascii="仿宋" w:hAnsi="仿宋" w:eastAsia="仿宋" w:cs="仿宋"/>
          <w:b w:val="0"/>
          <w:bCs/>
          <w:color w:val="auto"/>
          <w:sz w:val="24"/>
        </w:rPr>
        <w:fldChar w:fldCharType="end"/>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w:t>
      </w:r>
    </w:p>
    <w:p w14:paraId="7894D0C0">
      <w:pPr>
        <w:pageBreakBefore w:val="0"/>
        <w:widowControl w:val="0"/>
        <w:kinsoku/>
        <w:wordWrap/>
        <w:overflowPunct/>
        <w:topLinePunct w:val="0"/>
        <w:autoSpaceDE/>
        <w:autoSpaceDN/>
        <w:bidi w:val="0"/>
        <w:spacing w:line="360" w:lineRule="auto"/>
        <w:ind w:firstLine="540"/>
        <w:textAlignment w:val="auto"/>
        <w:rPr>
          <w:rFonts w:ascii="仿宋" w:hAnsi="仿宋" w:eastAsia="仿宋" w:cs="仿宋"/>
          <w:color w:val="auto"/>
          <w:sz w:val="24"/>
          <w:u w:val="single"/>
        </w:rPr>
      </w:pPr>
      <w:r>
        <w:rPr>
          <w:rFonts w:hint="eastAsia" w:ascii="仿宋" w:hAnsi="仿宋" w:eastAsia="仿宋" w:cs="仿宋"/>
          <w:b/>
          <w:color w:val="auto"/>
          <w:sz w:val="24"/>
        </w:rPr>
        <w:t>方式：</w:t>
      </w:r>
      <w:r>
        <w:rPr>
          <w:rFonts w:hint="eastAsia" w:ascii="仿宋" w:hAnsi="仿宋" w:eastAsia="仿宋" w:cs="仿宋"/>
          <w:color w:val="auto"/>
          <w:sz w:val="24"/>
        </w:rPr>
        <w:t>供应商登录乐采云平台</w:t>
      </w:r>
      <w:r>
        <w:rPr>
          <w:rFonts w:ascii="仿宋" w:hAnsi="仿宋" w:eastAsia="仿宋" w:cs="仿宋"/>
          <w:color w:val="auto"/>
          <w:sz w:val="24"/>
        </w:rPr>
        <w:t>https://www.lecaiyun.com/在线申请获取采购文件（进入“项目采购”应用，在获取采购文件菜单中选择项目，申请获取采购文件）。</w:t>
      </w:r>
    </w:p>
    <w:p w14:paraId="00423F31">
      <w:pPr>
        <w:pageBreakBefore w:val="0"/>
        <w:widowControl w:val="0"/>
        <w:kinsoku/>
        <w:wordWrap/>
        <w:overflowPunct/>
        <w:topLinePunct w:val="0"/>
        <w:autoSpaceDE/>
        <w:autoSpaceDN/>
        <w:bidi w:val="0"/>
        <w:spacing w:line="360" w:lineRule="auto"/>
        <w:ind w:firstLine="540"/>
        <w:textAlignment w:val="auto"/>
        <w:rPr>
          <w:rFonts w:ascii="仿宋" w:hAnsi="仿宋" w:eastAsia="仿宋" w:cs="仿宋"/>
          <w:color w:val="auto"/>
          <w:sz w:val="28"/>
          <w:szCs w:val="28"/>
        </w:rPr>
      </w:pPr>
      <w:r>
        <w:rPr>
          <w:rFonts w:hint="eastAsia" w:ascii="仿宋" w:hAnsi="仿宋" w:eastAsia="仿宋" w:cs="仿宋"/>
          <w:b/>
          <w:color w:val="auto"/>
          <w:sz w:val="24"/>
        </w:rPr>
        <w:t>售价：</w:t>
      </w:r>
      <w:r>
        <w:rPr>
          <w:rFonts w:hint="eastAsia" w:ascii="仿宋" w:hAnsi="仿宋" w:eastAsia="仿宋" w:cs="仿宋"/>
          <w:color w:val="auto"/>
          <w:sz w:val="24"/>
        </w:rPr>
        <w:t>免费。</w:t>
      </w:r>
    </w:p>
    <w:p w14:paraId="71AC4F5C">
      <w:pPr>
        <w:pStyle w:val="3"/>
        <w:pageBreakBefore w:val="0"/>
        <w:widowControl w:val="0"/>
        <w:numPr>
          <w:ilvl w:val="0"/>
          <w:numId w:val="0"/>
        </w:numPr>
        <w:kinsoku/>
        <w:wordWrap/>
        <w:overflowPunct/>
        <w:topLinePunct w:val="0"/>
        <w:autoSpaceDE/>
        <w:autoSpaceDN/>
        <w:bidi w:val="0"/>
        <w:spacing w:line="360" w:lineRule="auto"/>
        <w:textAlignment w:val="auto"/>
        <w:rPr>
          <w:rFonts w:ascii="仿宋" w:eastAsia="仿宋" w:cs="仿宋"/>
          <w:color w:val="auto"/>
          <w:sz w:val="24"/>
          <w:szCs w:val="24"/>
        </w:rPr>
      </w:pPr>
      <w:bookmarkStart w:id="21" w:name="_Toc35393801"/>
      <w:bookmarkStart w:id="22" w:name="_Toc28359092"/>
      <w:bookmarkStart w:id="23" w:name="_Toc28359015"/>
      <w:bookmarkStart w:id="24" w:name="_Toc35393632"/>
      <w:r>
        <w:rPr>
          <w:rFonts w:hint="eastAsia" w:ascii="仿宋" w:eastAsia="仿宋" w:cs="仿宋"/>
          <w:color w:val="auto"/>
          <w:sz w:val="24"/>
          <w:szCs w:val="24"/>
        </w:rPr>
        <w:t>四、响应文件提交</w:t>
      </w:r>
      <w:bookmarkEnd w:id="21"/>
      <w:bookmarkEnd w:id="22"/>
      <w:bookmarkEnd w:id="23"/>
      <w:bookmarkEnd w:id="24"/>
      <w:r>
        <w:rPr>
          <w:rFonts w:hint="eastAsia" w:ascii="仿宋" w:eastAsia="仿宋" w:cs="仿宋"/>
          <w:color w:val="auto"/>
          <w:sz w:val="24"/>
          <w:szCs w:val="24"/>
        </w:rPr>
        <w:t>（上传）</w:t>
      </w:r>
    </w:p>
    <w:p w14:paraId="7B3C1C91">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截止时间：</w:t>
      </w:r>
      <w:r>
        <w:rPr>
          <w:rFonts w:hint="eastAsia" w:ascii="仿宋" w:hAnsi="仿宋" w:eastAsia="仿宋" w:cs="仿宋"/>
          <w:color w:val="auto"/>
          <w:sz w:val="24"/>
          <w:u w:val="single"/>
          <w:lang w:val="en-US" w:eastAsia="zh-CN"/>
        </w:rPr>
        <w:t>2024年12月12日09点00分00秒</w:t>
      </w:r>
      <w:r>
        <w:rPr>
          <w:rFonts w:hint="eastAsia" w:ascii="仿宋" w:hAnsi="仿宋" w:eastAsia="仿宋" w:cs="仿宋"/>
          <w:bCs/>
          <w:color w:val="auto"/>
          <w:sz w:val="24"/>
        </w:rPr>
        <w:t>（北京时间）</w:t>
      </w:r>
    </w:p>
    <w:p w14:paraId="18F36E64">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地点：</w:t>
      </w:r>
      <w:r>
        <w:rPr>
          <w:rFonts w:hint="eastAsia" w:ascii="仿宋" w:hAnsi="仿宋" w:eastAsia="仿宋" w:cs="仿宋"/>
          <w:b w:val="0"/>
          <w:bCs/>
          <w:color w:val="auto"/>
          <w:sz w:val="24"/>
        </w:rPr>
        <w:t>乐采云平台（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69"/>
          <w:rFonts w:ascii="仿宋" w:hAnsi="仿宋" w:eastAsia="仿宋" w:cs="仿宋"/>
          <w:b w:val="0"/>
          <w:bCs/>
          <w:color w:val="auto"/>
          <w:kern w:val="2"/>
          <w:sz w:val="24"/>
          <w:szCs w:val="24"/>
        </w:rPr>
        <w:t>https://www.lecaiyun.com/</w:t>
      </w:r>
      <w:r>
        <w:rPr>
          <w:rStyle w:val="69"/>
          <w:rFonts w:ascii="仿宋" w:hAnsi="仿宋" w:eastAsia="仿宋" w:cs="仿宋"/>
          <w:b w:val="0"/>
          <w:bCs/>
          <w:color w:val="auto"/>
          <w:kern w:val="2"/>
          <w:sz w:val="24"/>
          <w:szCs w:val="24"/>
        </w:rPr>
        <w:fldChar w:fldCharType="end"/>
      </w:r>
      <w:r>
        <w:rPr>
          <w:rFonts w:hint="eastAsia" w:ascii="仿宋" w:hAnsi="仿宋" w:eastAsia="仿宋" w:cs="仿宋"/>
          <w:b w:val="0"/>
          <w:bCs/>
          <w:color w:val="auto"/>
          <w:sz w:val="24"/>
        </w:rPr>
        <w:t>）。</w:t>
      </w:r>
    </w:p>
    <w:p w14:paraId="33B68C43">
      <w:pPr>
        <w:pStyle w:val="3"/>
        <w:pageBreakBefore w:val="0"/>
        <w:widowControl w:val="0"/>
        <w:numPr>
          <w:ilvl w:val="0"/>
          <w:numId w:val="0"/>
        </w:numPr>
        <w:kinsoku/>
        <w:wordWrap/>
        <w:overflowPunct/>
        <w:topLinePunct w:val="0"/>
        <w:autoSpaceDE/>
        <w:autoSpaceDN/>
        <w:bidi w:val="0"/>
        <w:spacing w:line="360" w:lineRule="auto"/>
        <w:textAlignment w:val="auto"/>
        <w:rPr>
          <w:rFonts w:ascii="仿宋" w:eastAsia="仿宋" w:cs="仿宋"/>
          <w:color w:val="auto"/>
          <w:sz w:val="24"/>
          <w:szCs w:val="24"/>
        </w:rPr>
      </w:pPr>
      <w:bookmarkStart w:id="25" w:name="_Toc28359093"/>
      <w:bookmarkStart w:id="26" w:name="_Toc35393633"/>
      <w:bookmarkStart w:id="27" w:name="_Toc28359016"/>
      <w:bookmarkStart w:id="28" w:name="_Toc35393802"/>
      <w:r>
        <w:rPr>
          <w:rFonts w:hint="eastAsia" w:ascii="仿宋" w:eastAsia="仿宋" w:cs="仿宋"/>
          <w:color w:val="auto"/>
          <w:sz w:val="24"/>
          <w:szCs w:val="24"/>
        </w:rPr>
        <w:t>五、响应文件开启</w:t>
      </w:r>
      <w:bookmarkEnd w:id="25"/>
      <w:bookmarkEnd w:id="26"/>
      <w:bookmarkEnd w:id="27"/>
      <w:bookmarkEnd w:id="28"/>
    </w:p>
    <w:p w14:paraId="60ABB08A">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时间：</w:t>
      </w:r>
      <w:r>
        <w:rPr>
          <w:rFonts w:hint="eastAsia" w:ascii="仿宋" w:hAnsi="仿宋" w:eastAsia="仿宋" w:cs="仿宋"/>
          <w:color w:val="auto"/>
          <w:sz w:val="24"/>
          <w:u w:val="single"/>
          <w:lang w:val="en-US" w:eastAsia="zh-CN"/>
        </w:rPr>
        <w:t>2024年12月12日09点00分00秒</w:t>
      </w:r>
      <w:r>
        <w:rPr>
          <w:rFonts w:hint="eastAsia" w:ascii="仿宋" w:hAnsi="仿宋" w:eastAsia="仿宋" w:cs="仿宋"/>
          <w:bCs/>
          <w:color w:val="auto"/>
          <w:sz w:val="24"/>
        </w:rPr>
        <w:t>（北京时间）</w:t>
      </w:r>
    </w:p>
    <w:p w14:paraId="0A3582D2">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地点（网址）：乐采云平台（</w:t>
      </w:r>
      <w:r>
        <w:rPr>
          <w:rFonts w:ascii="仿宋" w:hAnsi="仿宋" w:eastAsia="仿宋" w:cs="仿宋"/>
          <w:color w:val="auto"/>
          <w:sz w:val="24"/>
        </w:rPr>
        <w:t>https://www.lecaiyun.com/）。</w:t>
      </w:r>
    </w:p>
    <w:p w14:paraId="679407BE">
      <w:pPr>
        <w:pStyle w:val="3"/>
        <w:pageBreakBefore w:val="0"/>
        <w:widowControl w:val="0"/>
        <w:numPr>
          <w:ilvl w:val="0"/>
          <w:numId w:val="0"/>
        </w:numPr>
        <w:kinsoku/>
        <w:wordWrap/>
        <w:overflowPunct/>
        <w:topLinePunct w:val="0"/>
        <w:autoSpaceDE/>
        <w:autoSpaceDN/>
        <w:bidi w:val="0"/>
        <w:spacing w:line="360" w:lineRule="auto"/>
        <w:textAlignment w:val="auto"/>
        <w:rPr>
          <w:rFonts w:ascii="仿宋" w:eastAsia="仿宋" w:cs="仿宋"/>
          <w:color w:val="auto"/>
          <w:sz w:val="24"/>
          <w:szCs w:val="24"/>
        </w:rPr>
      </w:pPr>
      <w:bookmarkStart w:id="29" w:name="_Toc28359017"/>
      <w:bookmarkStart w:id="30" w:name="_Toc35393634"/>
      <w:bookmarkStart w:id="31" w:name="_Toc28359094"/>
      <w:bookmarkStart w:id="32" w:name="_Toc35393803"/>
      <w:r>
        <w:rPr>
          <w:rFonts w:hint="eastAsia" w:ascii="仿宋" w:eastAsia="仿宋" w:cs="仿宋"/>
          <w:color w:val="auto"/>
          <w:sz w:val="24"/>
          <w:szCs w:val="24"/>
        </w:rPr>
        <w:t>六、公告期限</w:t>
      </w:r>
      <w:bookmarkEnd w:id="29"/>
      <w:bookmarkEnd w:id="30"/>
      <w:bookmarkEnd w:id="31"/>
      <w:bookmarkEnd w:id="32"/>
    </w:p>
    <w:p w14:paraId="6EB081F5">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rPr>
        <w:t>自本公告发布之日起</w:t>
      </w:r>
      <w:r>
        <w:rPr>
          <w:rFonts w:ascii="仿宋" w:hAnsi="仿宋" w:eastAsia="仿宋" w:cs="仿宋"/>
          <w:color w:val="auto"/>
          <w:kern w:val="0"/>
          <w:sz w:val="24"/>
        </w:rPr>
        <w:t>3个工作日。</w:t>
      </w:r>
    </w:p>
    <w:p w14:paraId="166A2F1D">
      <w:pPr>
        <w:pStyle w:val="3"/>
        <w:pageBreakBefore w:val="0"/>
        <w:widowControl w:val="0"/>
        <w:numPr>
          <w:ilvl w:val="0"/>
          <w:numId w:val="0"/>
        </w:numPr>
        <w:kinsoku/>
        <w:wordWrap/>
        <w:overflowPunct/>
        <w:topLinePunct w:val="0"/>
        <w:autoSpaceDE/>
        <w:autoSpaceDN/>
        <w:bidi w:val="0"/>
        <w:spacing w:line="360" w:lineRule="auto"/>
        <w:textAlignment w:val="auto"/>
        <w:rPr>
          <w:rFonts w:ascii="仿宋" w:eastAsia="仿宋" w:cs="仿宋"/>
          <w:color w:val="auto"/>
          <w:sz w:val="24"/>
          <w:szCs w:val="24"/>
        </w:rPr>
      </w:pPr>
      <w:bookmarkStart w:id="33" w:name="_Toc35393804"/>
      <w:bookmarkStart w:id="34" w:name="_Toc35393635"/>
      <w:r>
        <w:rPr>
          <w:rFonts w:hint="eastAsia" w:ascii="仿宋" w:eastAsia="仿宋" w:cs="仿宋"/>
          <w:color w:val="auto"/>
          <w:sz w:val="24"/>
          <w:szCs w:val="24"/>
        </w:rPr>
        <w:t>七、其他补充事宜</w:t>
      </w:r>
      <w:bookmarkEnd w:id="33"/>
      <w:bookmarkEnd w:id="34"/>
    </w:p>
    <w:p w14:paraId="5D46C5B5">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1.本项目通过“乐采云平台（www.lecaiyun.com）”实行在线响应（电子投标），供应商应先安装“乐采云电子交易客户端”，并按照本磋商文件和“乐采云”的要求，通过“乐采云电子交易客户端”编制并加密响应文件。供应商未按规定加密的响应文件，“乐采云”将予以拒收。</w:t>
      </w:r>
    </w:p>
    <w:p w14:paraId="68A4F659">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2.“乐采云电子交易客户端”请自行前往“浙江政府采购网-下载专区-电子交易客户端”进行下载；电子投标具体操作流程详见《供应商项目采购-电子招投标操作指南》；通过“乐采云”参与在线投标时如遇平台技术问题详询95763。</w:t>
      </w:r>
    </w:p>
    <w:p w14:paraId="1ED6DDBA">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3.为确保网上操作合法、有效和安全，供应商应当在投标截止时间前完成在“乐采云平台”的身份认证，确保在电子投标过程中能够对相关数据电文进行加密和使用电子签章。使用“乐采云电子交易客户端”需要提前申领CA数字证书，申领流程请自行前往“浙江政府采购网-下载专区-电子交易客户端-CA驱动和申领流程”进行查阅；在使用乐采云投标客户端时，建议使用WIN7及以上操作系统。完成CA数字证书办理在资料齐全的情况下预计7个工作日左右，建议供应商获取磋商文件后立即办理。</w:t>
      </w:r>
    </w:p>
    <w:p w14:paraId="7FB0F328">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4.磋商响应方应当在投标截止时间前，将生成的“电子加密响应文件”上传至“乐采云平台”。投标截止时间以后上传递交的响应文件将被“乐采云平台”拒收。</w:t>
      </w:r>
    </w:p>
    <w:p w14:paraId="51FFBE63">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5.磋商响应方在“乐采云平台”完成“电子加密响应文件”的上传递交后，还可以（邮寄形式）在投标截止时间前递交以介质（U盘）存储的数据电文形式的“备份响应文件”，“备份响应文件”应当密封包装并在包装上标注投标项目名称、磋商响应方名称并加盖公章。</w:t>
      </w:r>
    </w:p>
    <w:p w14:paraId="75020BBC">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6.通过“乐采云平台”上传递交的“电子加密响应文件”无法按时解密，磋商响应方递交了备份响应文件的，以备份响应文件为依据，否则视为响应文件撤回。通过“乐采云平台”上传递交的“电子加密响应文件”已按时解密的，“备份响应文件”自动失效。磋商响应方仅递交备份响应文件的，投标无效。</w:t>
      </w:r>
    </w:p>
    <w:p w14:paraId="75527005">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kern w:val="1"/>
          <w:sz w:val="24"/>
        </w:rPr>
        <w:t>7.投标人依法获取采购文件后认为采购文件使自己的权益受到损害的，可以自收到采购文件之日（采购文件获取之日在采购文件公告期限届满之日后的以公告期限届满之日为准，即公告发布后的第</w:t>
      </w:r>
      <w:r>
        <w:rPr>
          <w:rFonts w:hint="eastAsia" w:ascii="仿宋" w:hAnsi="仿宋" w:eastAsia="仿宋" w:cs="仿宋"/>
          <w:color w:val="auto"/>
          <w:kern w:val="1"/>
          <w:sz w:val="24"/>
          <w:lang w:val="en-US" w:eastAsia="zh-CN"/>
        </w:rPr>
        <w:t>4</w:t>
      </w:r>
      <w:r>
        <w:rPr>
          <w:rFonts w:hint="eastAsia" w:ascii="仿宋" w:hAnsi="仿宋" w:eastAsia="仿宋" w:cs="仿宋"/>
          <w:color w:val="auto"/>
          <w:kern w:val="1"/>
          <w:sz w:val="24"/>
        </w:rPr>
        <w:t>个工作日）起7个工作日内，以书面形式一次性向采购人和采购代理机构提出针对同一采购程序环节的质疑。质疑投标人对采购人、采购代理机构的答复不满意或者采购人、采购代理机构未在规定的时间内作出答复的，可以在答复期满后十五个工作日内向同级</w:t>
      </w:r>
      <w:r>
        <w:rPr>
          <w:rFonts w:hint="eastAsia" w:ascii="仿宋" w:hAnsi="仿宋" w:eastAsia="仿宋" w:cs="仿宋"/>
          <w:color w:val="auto"/>
          <w:kern w:val="1"/>
          <w:sz w:val="24"/>
          <w:lang w:eastAsia="zh-CN"/>
        </w:rPr>
        <w:t>采购监督管理机构</w:t>
      </w:r>
      <w:r>
        <w:rPr>
          <w:rFonts w:hint="eastAsia" w:ascii="仿宋" w:hAnsi="仿宋" w:eastAsia="仿宋" w:cs="仿宋"/>
          <w:color w:val="auto"/>
          <w:kern w:val="1"/>
          <w:sz w:val="24"/>
        </w:rPr>
        <w:t>投诉。质疑函范本、投诉书范本请到浙江政府采购网下载专区下载</w:t>
      </w:r>
      <w:r>
        <w:rPr>
          <w:rFonts w:hint="eastAsia" w:ascii="仿宋" w:hAnsi="仿宋" w:eastAsia="仿宋" w:cs="仿宋"/>
          <w:color w:val="auto"/>
          <w:sz w:val="24"/>
        </w:rPr>
        <w:t>。</w:t>
      </w:r>
    </w:p>
    <w:p w14:paraId="44396EE0">
      <w:pPr>
        <w:pStyle w:val="3"/>
        <w:pageBreakBefore w:val="0"/>
        <w:widowControl w:val="0"/>
        <w:numPr>
          <w:ilvl w:val="0"/>
          <w:numId w:val="0"/>
        </w:numPr>
        <w:kinsoku/>
        <w:wordWrap/>
        <w:overflowPunct/>
        <w:topLinePunct w:val="0"/>
        <w:autoSpaceDE/>
        <w:autoSpaceDN/>
        <w:bidi w:val="0"/>
        <w:spacing w:line="360" w:lineRule="auto"/>
        <w:textAlignment w:val="auto"/>
        <w:rPr>
          <w:rFonts w:ascii="仿宋" w:eastAsia="仿宋" w:cs="仿宋"/>
          <w:color w:val="auto"/>
          <w:sz w:val="24"/>
          <w:szCs w:val="24"/>
        </w:rPr>
      </w:pPr>
      <w:bookmarkStart w:id="35" w:name="_Toc28359018"/>
      <w:bookmarkStart w:id="36" w:name="_Toc35393805"/>
      <w:bookmarkStart w:id="37" w:name="_Toc28359095"/>
      <w:bookmarkStart w:id="38" w:name="_Toc35393636"/>
      <w:r>
        <w:rPr>
          <w:rFonts w:hint="eastAsia" w:ascii="仿宋" w:eastAsia="仿宋" w:cs="仿宋"/>
          <w:color w:val="auto"/>
          <w:sz w:val="24"/>
          <w:szCs w:val="24"/>
        </w:rPr>
        <w:t>八、凡对本次采购提出询问</w:t>
      </w:r>
      <w:r>
        <w:rPr>
          <w:rFonts w:hint="eastAsia" w:ascii="仿宋" w:eastAsia="仿宋" w:cs="仿宋"/>
          <w:bCs w:val="0"/>
          <w:color w:val="auto"/>
          <w:sz w:val="24"/>
          <w:szCs w:val="24"/>
        </w:rPr>
        <w:t>、质疑、投诉</w:t>
      </w:r>
      <w:r>
        <w:rPr>
          <w:rFonts w:hint="eastAsia" w:ascii="仿宋" w:eastAsia="仿宋" w:cs="仿宋"/>
          <w:color w:val="auto"/>
          <w:sz w:val="24"/>
          <w:szCs w:val="24"/>
        </w:rPr>
        <w:t>，请按以下方式联系</w:t>
      </w:r>
      <w:bookmarkEnd w:id="35"/>
      <w:bookmarkEnd w:id="36"/>
      <w:bookmarkEnd w:id="37"/>
      <w:bookmarkEnd w:id="38"/>
    </w:p>
    <w:p w14:paraId="49BD0401">
      <w:pPr>
        <w:pStyle w:val="3"/>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ascii="仿宋" w:eastAsia="仿宋" w:cs="仿宋"/>
          <w:color w:val="auto"/>
          <w:sz w:val="24"/>
          <w:szCs w:val="24"/>
        </w:rPr>
      </w:pPr>
      <w:bookmarkStart w:id="39" w:name="_Toc35393637"/>
      <w:bookmarkStart w:id="40" w:name="_Toc28359096"/>
      <w:bookmarkStart w:id="41" w:name="_Toc35393806"/>
      <w:bookmarkStart w:id="42" w:name="_Toc28359019"/>
      <w:r>
        <w:rPr>
          <w:rFonts w:hint="eastAsia" w:ascii="仿宋" w:eastAsia="仿宋" w:cs="仿宋"/>
          <w:color w:val="auto"/>
          <w:sz w:val="24"/>
          <w:szCs w:val="24"/>
        </w:rPr>
        <w:t>1.采购人信息</w:t>
      </w:r>
      <w:bookmarkEnd w:id="39"/>
      <w:bookmarkEnd w:id="40"/>
      <w:bookmarkEnd w:id="41"/>
      <w:bookmarkEnd w:id="42"/>
    </w:p>
    <w:p w14:paraId="11489214">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名</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称：</w:t>
      </w:r>
      <w:r>
        <w:rPr>
          <w:rFonts w:hint="eastAsia" w:ascii="仿宋" w:hAnsi="仿宋" w:eastAsia="仿宋" w:cs="仿宋"/>
          <w:color w:val="auto"/>
          <w:kern w:val="1"/>
          <w:sz w:val="24"/>
          <w:szCs w:val="24"/>
          <w:lang w:eastAsia="zh-CN"/>
        </w:rPr>
        <w:t>嵊州市广电信息网络有限公司</w:t>
      </w:r>
    </w:p>
    <w:p w14:paraId="21B2791A">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地</w:t>
      </w:r>
      <w:r>
        <w:rPr>
          <w:rFonts w:ascii="仿宋" w:hAnsi="仿宋" w:eastAsia="仿宋" w:cs="仿宋"/>
          <w:color w:val="auto"/>
          <w:sz w:val="24"/>
        </w:rPr>
        <w:t xml:space="preserve">    址：</w:t>
      </w:r>
      <w:r>
        <w:rPr>
          <w:rFonts w:hint="eastAsia" w:ascii="仿宋" w:hAnsi="仿宋" w:eastAsia="仿宋" w:cs="仿宋"/>
          <w:color w:val="auto"/>
          <w:sz w:val="24"/>
          <w:lang w:eastAsia="zh-CN"/>
        </w:rPr>
        <w:t>嵊州市三江街道杨港路801号嵊州市融媒体中心</w:t>
      </w:r>
    </w:p>
    <w:p w14:paraId="30C2DA00">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lang w:eastAsia="zh-CN"/>
        </w:rPr>
      </w:pPr>
      <w:r>
        <w:rPr>
          <w:rFonts w:ascii="仿宋" w:hAnsi="仿宋" w:eastAsia="仿宋" w:cs="仿宋"/>
          <w:color w:val="auto"/>
          <w:sz w:val="24"/>
        </w:rPr>
        <w:t xml:space="preserve">    项目联系人（询问）：</w:t>
      </w:r>
      <w:r>
        <w:rPr>
          <w:rFonts w:hint="eastAsia" w:ascii="仿宋" w:hAnsi="仿宋" w:eastAsia="仿宋" w:cs="仿宋"/>
          <w:color w:val="auto"/>
          <w:sz w:val="24"/>
          <w:lang w:eastAsia="zh-CN"/>
        </w:rPr>
        <w:t>俞先生</w:t>
      </w:r>
    </w:p>
    <w:p w14:paraId="4126F6D0">
      <w:pPr>
        <w:pageBreakBefore w:val="0"/>
        <w:widowControl w:val="0"/>
        <w:kinsoku/>
        <w:wordWrap/>
        <w:overflowPunct/>
        <w:topLinePunct w:val="0"/>
        <w:autoSpaceDE/>
        <w:autoSpaceDN/>
        <w:bidi w:val="0"/>
        <w:spacing w:line="360" w:lineRule="auto"/>
        <w:textAlignment w:val="auto"/>
        <w:rPr>
          <w:rFonts w:hint="default" w:ascii="仿宋" w:hAnsi="仿宋" w:eastAsia="仿宋" w:cs="仿宋"/>
          <w:color w:val="auto"/>
          <w:sz w:val="24"/>
          <w:lang w:val="en-US" w:eastAsia="zh-CN"/>
        </w:rPr>
      </w:pPr>
      <w:r>
        <w:rPr>
          <w:rFonts w:ascii="仿宋" w:hAnsi="仿宋" w:eastAsia="仿宋" w:cs="仿宋"/>
          <w:color w:val="auto"/>
          <w:sz w:val="24"/>
        </w:rPr>
        <w:t xml:space="preserve">   </w:t>
      </w:r>
      <w:r>
        <w:rPr>
          <w:rFonts w:ascii="仿宋" w:hAnsi="仿宋" w:eastAsia="仿宋" w:cs="仿宋"/>
          <w:color w:val="auto"/>
          <w:sz w:val="24"/>
          <w:highlight w:val="none"/>
        </w:rPr>
        <w:t xml:space="preserve"> 项目联系方式（询问）：</w:t>
      </w:r>
      <w:r>
        <w:rPr>
          <w:rFonts w:hint="eastAsia" w:ascii="仿宋" w:hAnsi="仿宋" w:eastAsia="仿宋" w:cs="仿宋"/>
          <w:color w:val="auto"/>
          <w:kern w:val="1"/>
          <w:sz w:val="24"/>
          <w:szCs w:val="24"/>
          <w:highlight w:val="none"/>
          <w:lang w:eastAsia="zh-CN"/>
        </w:rPr>
        <w:t>0575-83228318</w:t>
      </w:r>
      <w:r>
        <w:rPr>
          <w:rFonts w:hint="eastAsia" w:ascii="仿宋" w:hAnsi="仿宋" w:eastAsia="仿宋" w:cs="仿宋"/>
          <w:color w:val="auto"/>
          <w:kern w:val="1"/>
          <w:sz w:val="24"/>
          <w:szCs w:val="24"/>
          <w:highlight w:val="none"/>
          <w:lang w:val="en-US" w:eastAsia="zh-CN"/>
        </w:rPr>
        <w:t>、0575-83050205</w:t>
      </w:r>
    </w:p>
    <w:p w14:paraId="354243E6">
      <w:pPr>
        <w:pStyle w:val="3"/>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ascii="仿宋" w:eastAsia="仿宋" w:cs="仿宋"/>
          <w:color w:val="auto"/>
          <w:sz w:val="24"/>
        </w:rPr>
      </w:pPr>
      <w:bookmarkStart w:id="43" w:name="_Toc28359020"/>
      <w:bookmarkStart w:id="44" w:name="_Toc35393638"/>
      <w:bookmarkStart w:id="45" w:name="_Toc28359097"/>
      <w:bookmarkStart w:id="46" w:name="_Toc35393807"/>
      <w:r>
        <w:rPr>
          <w:rFonts w:hint="eastAsia" w:ascii="仿宋" w:eastAsia="仿宋" w:cs="仿宋"/>
          <w:color w:val="auto"/>
          <w:sz w:val="24"/>
          <w:szCs w:val="24"/>
        </w:rPr>
        <w:t>2.采购代理机构信息</w:t>
      </w:r>
      <w:bookmarkEnd w:id="43"/>
      <w:bookmarkEnd w:id="44"/>
      <w:bookmarkEnd w:id="45"/>
      <w:bookmarkEnd w:id="46"/>
    </w:p>
    <w:p w14:paraId="10F5E8EC">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名</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称：</w:t>
      </w:r>
      <w:r>
        <w:rPr>
          <w:rFonts w:hint="eastAsia" w:ascii="仿宋" w:hAnsi="仿宋" w:eastAsia="仿宋" w:cs="仿宋"/>
          <w:color w:val="auto"/>
          <w:kern w:val="1"/>
          <w:sz w:val="24"/>
          <w:szCs w:val="24"/>
          <w:lang w:eastAsia="zh-CN"/>
        </w:rPr>
        <w:t>绍兴平准招标代理有限公司</w:t>
      </w:r>
    </w:p>
    <w:p w14:paraId="61D56789">
      <w:pPr>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rPr>
      </w:pPr>
      <w:r>
        <w:rPr>
          <w:rFonts w:ascii="仿宋" w:hAnsi="仿宋" w:eastAsia="仿宋" w:cs="仿宋"/>
          <w:color w:val="auto"/>
          <w:sz w:val="24"/>
        </w:rPr>
        <w:t xml:space="preserve">    地    址：</w:t>
      </w:r>
      <w:r>
        <w:rPr>
          <w:rFonts w:hint="eastAsia" w:ascii="仿宋" w:hAnsi="仿宋" w:eastAsia="仿宋" w:cs="仿宋"/>
          <w:color w:val="auto"/>
          <w:kern w:val="1"/>
          <w:sz w:val="24"/>
          <w:szCs w:val="24"/>
          <w:lang w:eastAsia="zh-CN"/>
        </w:rPr>
        <w:t>嵊州市三江街道官河南路333号商会大厦十四层1407室</w:t>
      </w:r>
      <w:r>
        <w:rPr>
          <w:rFonts w:ascii="仿宋" w:hAnsi="仿宋" w:eastAsia="仿宋" w:cs="仿宋"/>
          <w:color w:val="auto"/>
          <w:sz w:val="24"/>
        </w:rPr>
        <w:t xml:space="preserve"> </w:t>
      </w:r>
    </w:p>
    <w:p w14:paraId="6A203082">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lang w:eastAsia="zh-CN"/>
        </w:rPr>
      </w:pPr>
      <w:r>
        <w:rPr>
          <w:rFonts w:ascii="仿宋" w:hAnsi="仿宋" w:eastAsia="仿宋" w:cs="仿宋"/>
          <w:color w:val="auto"/>
          <w:sz w:val="24"/>
        </w:rPr>
        <w:t xml:space="preserve">    项目联系人（询问）：</w:t>
      </w:r>
      <w:r>
        <w:rPr>
          <w:rFonts w:hint="eastAsia" w:ascii="仿宋" w:hAnsi="仿宋" w:eastAsia="仿宋" w:cs="仿宋"/>
          <w:color w:val="auto"/>
          <w:kern w:val="1"/>
          <w:sz w:val="24"/>
          <w:szCs w:val="24"/>
          <w:lang w:eastAsia="zh-CN"/>
        </w:rPr>
        <w:t>陈女士</w:t>
      </w:r>
    </w:p>
    <w:p w14:paraId="7EDEFF80">
      <w:pPr>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rPr>
      </w:pPr>
      <w:r>
        <w:rPr>
          <w:rFonts w:ascii="仿宋" w:hAnsi="仿宋" w:eastAsia="仿宋" w:cs="仿宋"/>
          <w:color w:val="auto"/>
          <w:sz w:val="24"/>
        </w:rPr>
        <w:t xml:space="preserve">    项目联系方式（询问）：</w:t>
      </w:r>
      <w:r>
        <w:rPr>
          <w:rFonts w:hint="eastAsia" w:ascii="仿宋" w:hAnsi="仿宋" w:eastAsia="仿宋" w:cs="仿宋"/>
          <w:color w:val="auto"/>
          <w:kern w:val="1"/>
          <w:sz w:val="24"/>
          <w:szCs w:val="24"/>
          <w:lang w:eastAsia="zh-CN"/>
        </w:rPr>
        <w:t>0575-83176688</w:t>
      </w:r>
      <w:r>
        <w:rPr>
          <w:rFonts w:ascii="仿宋" w:hAnsi="仿宋" w:eastAsia="仿宋" w:cs="仿宋"/>
          <w:color w:val="auto"/>
          <w:sz w:val="24"/>
        </w:rPr>
        <w:t xml:space="preserve"> </w:t>
      </w:r>
    </w:p>
    <w:p w14:paraId="4B94C539">
      <w:pPr>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rPr>
      </w:pPr>
      <w:r>
        <w:rPr>
          <w:rFonts w:ascii="仿宋" w:hAnsi="仿宋" w:eastAsia="仿宋" w:cs="仿宋"/>
          <w:color w:val="auto"/>
          <w:sz w:val="24"/>
        </w:rPr>
        <w:t xml:space="preserve">    质疑联系人：</w:t>
      </w:r>
      <w:r>
        <w:rPr>
          <w:rFonts w:hint="eastAsia" w:ascii="仿宋" w:hAnsi="仿宋" w:eastAsia="仿宋" w:cs="仿宋"/>
          <w:color w:val="auto"/>
          <w:sz w:val="24"/>
          <w:lang w:eastAsia="zh-CN"/>
        </w:rPr>
        <w:t>竺女士</w:t>
      </w:r>
      <w:r>
        <w:rPr>
          <w:rFonts w:ascii="仿宋" w:hAnsi="仿宋" w:eastAsia="仿宋" w:cs="仿宋"/>
          <w:color w:val="auto"/>
          <w:sz w:val="24"/>
        </w:rPr>
        <w:t xml:space="preserve">             </w:t>
      </w:r>
    </w:p>
    <w:p w14:paraId="68A6C945">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lang w:eastAsia="zh-CN"/>
        </w:rPr>
      </w:pPr>
      <w:r>
        <w:rPr>
          <w:rFonts w:hint="eastAsia" w:ascii="仿宋" w:hAnsi="仿宋" w:eastAsia="仿宋" w:cs="仿宋"/>
          <w:color w:val="auto"/>
          <w:sz w:val="24"/>
        </w:rPr>
        <w:t>质疑联系方式：</w:t>
      </w:r>
      <w:bookmarkStart w:id="47" w:name="_Toc35393639"/>
      <w:bookmarkStart w:id="48" w:name="_Toc28359021"/>
      <w:bookmarkStart w:id="49" w:name="_Toc35393808"/>
      <w:bookmarkStart w:id="50" w:name="_Toc28359098"/>
      <w:r>
        <w:rPr>
          <w:rFonts w:hint="eastAsia" w:ascii="仿宋" w:hAnsi="仿宋" w:eastAsia="仿宋" w:cs="仿宋"/>
          <w:color w:val="auto"/>
          <w:kern w:val="1"/>
          <w:sz w:val="24"/>
          <w:szCs w:val="24"/>
          <w:lang w:eastAsia="zh-CN"/>
        </w:rPr>
        <w:t>0575-83176688</w:t>
      </w:r>
    </w:p>
    <w:bookmarkEnd w:id="47"/>
    <w:bookmarkEnd w:id="48"/>
    <w:bookmarkEnd w:id="49"/>
    <w:bookmarkEnd w:id="50"/>
    <w:p w14:paraId="061BD7E4">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rPr>
        <w:t>3.采购监督管理</w:t>
      </w:r>
      <w:r>
        <w:rPr>
          <w:rFonts w:hint="eastAsia" w:ascii="仿宋" w:hAnsi="仿宋" w:eastAsia="仿宋" w:cs="仿宋"/>
          <w:b/>
          <w:bCs/>
          <w:color w:val="auto"/>
          <w:sz w:val="24"/>
          <w:lang w:val="en-US" w:eastAsia="zh-CN"/>
        </w:rPr>
        <w:t>机构</w:t>
      </w:r>
      <w:r>
        <w:rPr>
          <w:rFonts w:hint="eastAsia" w:ascii="仿宋" w:hAnsi="仿宋" w:eastAsia="仿宋" w:cs="仿宋"/>
          <w:color w:val="auto"/>
          <w:sz w:val="24"/>
        </w:rPr>
        <w:t xml:space="preserve">         </w:t>
      </w:r>
    </w:p>
    <w:p w14:paraId="22EB38BB">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名    称：嵊州市融媒体中心</w:t>
      </w:r>
    </w:p>
    <w:p w14:paraId="042FDC62">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址：嵊州市三江街道杨港路801号</w:t>
      </w:r>
    </w:p>
    <w:p w14:paraId="3E3A29C8">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联 系 人：裘先生 </w:t>
      </w:r>
    </w:p>
    <w:p w14:paraId="0B9E2E68">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监督投诉电话：0575-83332218</w:t>
      </w:r>
    </w:p>
    <w:p w14:paraId="36098774">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p>
    <w:p w14:paraId="795D2990">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若对项目采购电子交易系统操作有疑问，可登录乐采云（</w:t>
      </w:r>
      <w:r>
        <w:rPr>
          <w:rFonts w:ascii="仿宋" w:hAnsi="仿宋" w:eastAsia="仿宋" w:cs="仿宋"/>
          <w:color w:val="auto"/>
          <w:sz w:val="24"/>
        </w:rPr>
        <w:t>https://www.lecaiyun.com/），点击右侧咨询小采，获取采小蜜智能服务管家帮助，或拨打</w:t>
      </w:r>
      <w:r>
        <w:rPr>
          <w:rFonts w:hint="eastAsia" w:ascii="仿宋" w:hAnsi="仿宋" w:eastAsia="仿宋" w:cs="仿宋"/>
          <w:color w:val="auto"/>
          <w:sz w:val="24"/>
        </w:rPr>
        <w:t>乐采云服务热线</w:t>
      </w:r>
      <w:r>
        <w:rPr>
          <w:rFonts w:ascii="仿宋" w:hAnsi="仿宋" w:eastAsia="仿宋" w:cs="仿宋"/>
          <w:color w:val="auto"/>
          <w:sz w:val="24"/>
        </w:rPr>
        <w:t xml:space="preserve">95763获取热线服务帮助。  </w:t>
      </w:r>
      <w:r>
        <w:rPr>
          <w:rFonts w:hint="eastAsia" w:ascii="仿宋" w:hAnsi="仿宋" w:eastAsia="仿宋" w:cs="仿宋"/>
          <w:color w:val="auto"/>
          <w:sz w:val="24"/>
        </w:rPr>
        <w:t>    </w:t>
      </w:r>
    </w:p>
    <w:p w14:paraId="41D7477B">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CA问题联系电话（人工）：汇信CA 400-888-4636；天谷CA 400-087-8198。</w:t>
      </w:r>
    </w:p>
    <w:p w14:paraId="3AC004B7">
      <w:pPr>
        <w:pStyle w:val="33"/>
        <w:spacing w:line="336" w:lineRule="auto"/>
        <w:ind w:firstLine="480" w:firstLineChars="200"/>
        <w:jc w:val="right"/>
        <w:rPr>
          <w:rFonts w:ascii="仿宋" w:hAnsi="仿宋" w:eastAsia="仿宋" w:cs="仿宋"/>
          <w:color w:val="auto"/>
          <w:sz w:val="24"/>
          <w:szCs w:val="24"/>
        </w:rPr>
      </w:pPr>
    </w:p>
    <w:p w14:paraId="7CCAF888">
      <w:pPr>
        <w:pStyle w:val="33"/>
        <w:spacing w:line="336" w:lineRule="auto"/>
        <w:ind w:firstLine="480" w:firstLineChars="200"/>
        <w:rPr>
          <w:rFonts w:ascii="仿宋" w:hAnsi="仿宋" w:eastAsia="仿宋" w:cs="仿宋"/>
          <w:color w:val="auto"/>
          <w:sz w:val="24"/>
          <w:szCs w:val="24"/>
        </w:rPr>
      </w:pPr>
    </w:p>
    <w:p w14:paraId="3D2C3690">
      <w:pPr>
        <w:adjustRightInd/>
        <w:spacing w:line="336" w:lineRule="auto"/>
        <w:jc w:val="center"/>
        <w:outlineLvl w:val="0"/>
        <w:rPr>
          <w:rFonts w:ascii="仿宋" w:hAnsi="仿宋" w:eastAsia="仿宋" w:cs="仿宋"/>
          <w:b/>
          <w:color w:val="auto"/>
          <w:sz w:val="36"/>
          <w:szCs w:val="20"/>
        </w:rPr>
      </w:pPr>
      <w:r>
        <w:rPr>
          <w:rFonts w:ascii="仿宋" w:hAnsi="仿宋" w:eastAsia="仿宋" w:cs="仿宋"/>
          <w:b/>
          <w:color w:val="auto"/>
          <w:sz w:val="36"/>
          <w:szCs w:val="20"/>
        </w:rPr>
        <w:br w:type="page"/>
      </w:r>
    </w:p>
    <w:p w14:paraId="65814212">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第二部分</w:t>
      </w:r>
      <w:bookmarkEnd w:id="6"/>
      <w:r>
        <w:rPr>
          <w:rFonts w:hint="eastAsia" w:ascii="仿宋" w:hAnsi="仿宋" w:eastAsia="仿宋" w:cs="仿宋"/>
          <w:b/>
          <w:color w:val="auto"/>
          <w:sz w:val="36"/>
          <w:szCs w:val="20"/>
          <w:lang w:val="en-US" w:eastAsia="zh-CN"/>
        </w:rPr>
        <w:t xml:space="preserve"> </w:t>
      </w:r>
      <w:r>
        <w:rPr>
          <w:rFonts w:ascii="仿宋" w:hAnsi="仿宋" w:eastAsia="仿宋" w:cs="仿宋"/>
          <w:b/>
          <w:color w:val="auto"/>
          <w:sz w:val="36"/>
          <w:szCs w:val="20"/>
        </w:rPr>
        <w:t>供应商须知</w:t>
      </w:r>
      <w:bookmarkEnd w:id="7"/>
    </w:p>
    <w:p w14:paraId="4FC0ABD3">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前附表</w:t>
      </w:r>
    </w:p>
    <w:tbl>
      <w:tblPr>
        <w:tblStyle w:val="61"/>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5"/>
        <w:gridCol w:w="7516"/>
      </w:tblGrid>
      <w:tr w14:paraId="2180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5BC967C7">
            <w:pPr>
              <w:spacing w:line="440" w:lineRule="exact"/>
              <w:jc w:val="center"/>
              <w:textAlignment w:val="center"/>
              <w:rPr>
                <w:rFonts w:ascii="仿宋" w:hAnsi="仿宋" w:eastAsia="仿宋" w:cs="仿宋"/>
                <w:color w:val="auto"/>
                <w:sz w:val="24"/>
              </w:rPr>
            </w:pPr>
            <w:r>
              <w:rPr>
                <w:rFonts w:hint="eastAsia" w:ascii="仿宋" w:hAnsi="仿宋" w:eastAsia="仿宋" w:cs="仿宋"/>
                <w:color w:val="auto"/>
                <w:sz w:val="24"/>
              </w:rPr>
              <w:t>序号</w:t>
            </w:r>
          </w:p>
        </w:tc>
        <w:tc>
          <w:tcPr>
            <w:tcW w:w="8371" w:type="dxa"/>
            <w:gridSpan w:val="2"/>
            <w:vAlign w:val="center"/>
          </w:tcPr>
          <w:p w14:paraId="2ACD5F06">
            <w:pPr>
              <w:spacing w:line="440" w:lineRule="exact"/>
              <w:jc w:val="center"/>
              <w:textAlignment w:val="center"/>
              <w:rPr>
                <w:rFonts w:ascii="仿宋" w:hAnsi="仿宋" w:eastAsia="仿宋" w:cs="仿宋"/>
                <w:color w:val="auto"/>
                <w:sz w:val="24"/>
              </w:rPr>
            </w:pPr>
            <w:r>
              <w:rPr>
                <w:rFonts w:hint="eastAsia" w:ascii="仿宋" w:hAnsi="仿宋" w:eastAsia="仿宋" w:cs="仿宋"/>
                <w:color w:val="auto"/>
                <w:sz w:val="24"/>
              </w:rPr>
              <w:t>内　　　　容</w:t>
            </w:r>
          </w:p>
        </w:tc>
      </w:tr>
      <w:tr w14:paraId="307A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550F911B">
            <w:pPr>
              <w:spacing w:line="440" w:lineRule="exact"/>
              <w:jc w:val="center"/>
              <w:textAlignment w:val="center"/>
              <w:rPr>
                <w:rFonts w:ascii="仿宋" w:hAnsi="仿宋" w:eastAsia="仿宋" w:cs="仿宋"/>
                <w:color w:val="auto"/>
                <w:sz w:val="24"/>
              </w:rPr>
            </w:pPr>
            <w:r>
              <w:rPr>
                <w:rFonts w:ascii="仿宋" w:hAnsi="仿宋" w:eastAsia="仿宋" w:cs="仿宋"/>
                <w:color w:val="auto"/>
                <w:sz w:val="24"/>
              </w:rPr>
              <w:t>1</w:t>
            </w:r>
          </w:p>
        </w:tc>
        <w:tc>
          <w:tcPr>
            <w:tcW w:w="8371" w:type="dxa"/>
            <w:gridSpan w:val="2"/>
            <w:vAlign w:val="center"/>
          </w:tcPr>
          <w:p w14:paraId="7E677977">
            <w:pPr>
              <w:snapToGrid w:val="0"/>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磋商响应人应当提交的资格、资信证明文件（如果有）</w:t>
            </w:r>
            <w:r>
              <w:rPr>
                <w:rFonts w:hint="eastAsia" w:ascii="仿宋" w:hAnsi="仿宋" w:eastAsia="仿宋" w:cs="仿宋"/>
                <w:color w:val="auto"/>
                <w:sz w:val="24"/>
              </w:rPr>
              <w:t>：</w:t>
            </w:r>
          </w:p>
          <w:p w14:paraId="08FC2605">
            <w:pPr>
              <w:spacing w:line="440" w:lineRule="exact"/>
              <w:ind w:firstLine="480" w:firstLineChars="200"/>
              <w:textAlignment w:val="center"/>
              <w:rPr>
                <w:rFonts w:ascii="仿宋" w:hAnsi="仿宋" w:eastAsia="仿宋" w:cs="仿宋"/>
                <w:b/>
                <w:color w:val="auto"/>
                <w:sz w:val="24"/>
              </w:rPr>
            </w:pPr>
            <w:r>
              <w:rPr>
                <w:rFonts w:hint="eastAsia" w:ascii="仿宋" w:hAnsi="仿宋" w:eastAsia="仿宋" w:cs="仿宋"/>
                <w:color w:val="auto"/>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2B00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26C29BA6">
            <w:pPr>
              <w:spacing w:line="440" w:lineRule="exact"/>
              <w:jc w:val="center"/>
              <w:textAlignment w:val="center"/>
              <w:rPr>
                <w:rFonts w:ascii="仿宋" w:hAnsi="仿宋" w:eastAsia="仿宋" w:cs="仿宋"/>
                <w:color w:val="auto"/>
                <w:sz w:val="24"/>
              </w:rPr>
            </w:pPr>
            <w:r>
              <w:rPr>
                <w:rFonts w:ascii="仿宋" w:hAnsi="仿宋" w:eastAsia="仿宋" w:cs="仿宋"/>
                <w:color w:val="auto"/>
                <w:sz w:val="24"/>
              </w:rPr>
              <w:t>2</w:t>
            </w:r>
          </w:p>
        </w:tc>
        <w:tc>
          <w:tcPr>
            <w:tcW w:w="8371" w:type="dxa"/>
            <w:gridSpan w:val="2"/>
            <w:vAlign w:val="center"/>
          </w:tcPr>
          <w:p w14:paraId="685BC2C1">
            <w:pPr>
              <w:snapToGrid w:val="0"/>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资格审查方式：</w:t>
            </w:r>
          </w:p>
          <w:p w14:paraId="186AE833">
            <w:pPr>
              <w:snapToGrid w:val="0"/>
              <w:spacing w:line="440" w:lineRule="exact"/>
              <w:textAlignment w:val="center"/>
              <w:rPr>
                <w:rFonts w:ascii="仿宋" w:hAnsi="仿宋" w:eastAsia="仿宋" w:cs="仿宋"/>
                <w:b/>
                <w:color w:val="auto"/>
                <w:sz w:val="24"/>
              </w:rPr>
            </w:pPr>
            <w:r>
              <w:rPr>
                <w:rFonts w:ascii="仿宋" w:hAnsi="仿宋" w:eastAsia="仿宋" w:cs="仿宋"/>
                <w:b/>
                <w:color w:val="auto"/>
                <w:sz w:val="24"/>
              </w:rPr>
              <w:t>1.资格后审。</w:t>
            </w:r>
          </w:p>
          <w:p w14:paraId="5BA38339">
            <w:pPr>
              <w:snapToGrid w:val="0"/>
              <w:spacing w:line="440" w:lineRule="exact"/>
              <w:textAlignment w:val="center"/>
              <w:rPr>
                <w:rFonts w:ascii="仿宋" w:hAnsi="仿宋" w:eastAsia="仿宋" w:cs="仿宋"/>
                <w:b/>
                <w:color w:val="auto"/>
                <w:sz w:val="24"/>
              </w:rPr>
            </w:pPr>
            <w:r>
              <w:rPr>
                <w:rFonts w:ascii="仿宋" w:hAnsi="仿宋" w:eastAsia="仿宋" w:cs="仿宋"/>
                <w:b/>
                <w:color w:val="auto"/>
                <w:sz w:val="24"/>
              </w:rPr>
              <w:t>2.</w:t>
            </w:r>
            <w:r>
              <w:rPr>
                <w:rFonts w:hint="eastAsia" w:ascii="仿宋" w:hAnsi="仿宋" w:eastAsia="仿宋" w:cs="仿宋"/>
                <w:b/>
                <w:color w:val="auto"/>
                <w:sz w:val="24"/>
                <w:highlight w:val="none"/>
              </w:rPr>
              <w:t>法定代表人的被授权委托人必须是供应商单位职工。需在</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响应文件提供由社保机构出具的该授权代表的社保证明（1.如该授权代表为离退休返聘人员的，需提供退休证明及单位聘用证明;2.如由第三方代理社保事项的，则需提供加盖</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公章的委托代理协议复印件）</w:t>
            </w:r>
            <w:r>
              <w:rPr>
                <w:rFonts w:ascii="仿宋" w:hAnsi="仿宋" w:eastAsia="仿宋" w:cs="仿宋"/>
                <w:b/>
                <w:color w:val="auto"/>
                <w:sz w:val="24"/>
              </w:rPr>
              <w:t>。</w:t>
            </w:r>
          </w:p>
        </w:tc>
      </w:tr>
      <w:tr w14:paraId="574D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64AAC932">
            <w:pPr>
              <w:spacing w:line="440" w:lineRule="exact"/>
              <w:jc w:val="center"/>
              <w:textAlignment w:val="center"/>
              <w:rPr>
                <w:rFonts w:ascii="仿宋" w:hAnsi="仿宋" w:eastAsia="仿宋" w:cs="仿宋"/>
                <w:color w:val="auto"/>
                <w:sz w:val="24"/>
              </w:rPr>
            </w:pPr>
            <w:r>
              <w:rPr>
                <w:rFonts w:ascii="仿宋" w:hAnsi="仿宋" w:eastAsia="仿宋" w:cs="仿宋"/>
                <w:color w:val="auto"/>
                <w:sz w:val="24"/>
              </w:rPr>
              <w:t>3</w:t>
            </w:r>
          </w:p>
        </w:tc>
        <w:tc>
          <w:tcPr>
            <w:tcW w:w="8371" w:type="dxa"/>
            <w:gridSpan w:val="2"/>
            <w:vAlign w:val="center"/>
          </w:tcPr>
          <w:p w14:paraId="210B4551">
            <w:pPr>
              <w:autoSpaceDE w:val="0"/>
              <w:autoSpaceDN w:val="0"/>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磋商有效期：</w:t>
            </w:r>
            <w:r>
              <w:rPr>
                <w:rFonts w:hint="eastAsia" w:ascii="仿宋" w:hAnsi="仿宋" w:eastAsia="仿宋" w:cs="仿宋"/>
                <w:color w:val="auto"/>
                <w:sz w:val="24"/>
              </w:rPr>
              <w:t>有效期为从提交磋商响应文件的截止之日起</w:t>
            </w:r>
            <w:r>
              <w:rPr>
                <w:rFonts w:ascii="仿宋" w:hAnsi="仿宋" w:eastAsia="仿宋" w:cs="仿宋"/>
                <w:color w:val="auto"/>
                <w:sz w:val="24"/>
              </w:rPr>
              <w:t>90天。</w:t>
            </w:r>
            <w:r>
              <w:rPr>
                <w:rFonts w:hint="eastAsia" w:ascii="仿宋" w:hAnsi="仿宋" w:eastAsia="仿宋" w:cs="仿宋"/>
                <w:b w:val="0"/>
                <w:bCs/>
                <w:color w:val="auto"/>
                <w:sz w:val="24"/>
              </w:rPr>
              <w:t>磋商响应人的磋商文件中承</w:t>
            </w:r>
            <w:r>
              <w:rPr>
                <w:rFonts w:hint="eastAsia" w:ascii="仿宋" w:hAnsi="仿宋" w:eastAsia="仿宋" w:cs="仿宋"/>
                <w:b w:val="0"/>
                <w:bCs/>
                <w:color w:val="auto"/>
                <w:sz w:val="24"/>
                <w:szCs w:val="21"/>
              </w:rPr>
              <w:t>诺的磋商有效期少于磋商文件中载明的磋商有效期的，磋商无效。</w:t>
            </w:r>
          </w:p>
        </w:tc>
      </w:tr>
      <w:tr w14:paraId="0A3C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6FBF8100">
            <w:pPr>
              <w:spacing w:line="44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8371" w:type="dxa"/>
            <w:gridSpan w:val="2"/>
            <w:vAlign w:val="center"/>
          </w:tcPr>
          <w:p w14:paraId="777E4F76">
            <w:pPr>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转包：</w:t>
            </w:r>
            <w:r>
              <w:rPr>
                <w:rFonts w:hint="eastAsia" w:ascii="仿宋" w:hAnsi="仿宋" w:eastAsia="仿宋" w:cs="仿宋"/>
                <w:color w:val="auto"/>
                <w:sz w:val="24"/>
              </w:rPr>
              <w:t>本项目不得转包。</w:t>
            </w:r>
          </w:p>
        </w:tc>
      </w:tr>
      <w:tr w14:paraId="792D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5AC51092">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5</w:t>
            </w:r>
          </w:p>
        </w:tc>
        <w:tc>
          <w:tcPr>
            <w:tcW w:w="8371" w:type="dxa"/>
            <w:gridSpan w:val="2"/>
            <w:vAlign w:val="center"/>
          </w:tcPr>
          <w:p w14:paraId="69B6C185">
            <w:pPr>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分包：</w:t>
            </w:r>
            <w:r>
              <w:rPr>
                <w:rFonts w:hint="eastAsia" w:ascii="仿宋" w:hAnsi="仿宋" w:eastAsia="仿宋" w:cs="仿宋"/>
                <w:color w:val="auto"/>
                <w:kern w:val="0"/>
                <w:sz w:val="24"/>
              </w:rPr>
              <w:t>□</w:t>
            </w:r>
            <w:r>
              <w:rPr>
                <w:rFonts w:ascii="仿宋" w:hAnsi="仿宋" w:eastAsia="仿宋" w:cs="仿宋"/>
                <w:color w:val="auto"/>
                <w:kern w:val="0"/>
                <w:sz w:val="24"/>
              </w:rPr>
              <w:t xml:space="preserve"> A</w:t>
            </w:r>
            <w:r>
              <w:rPr>
                <w:rFonts w:hint="eastAsia" w:ascii="仿宋" w:hAnsi="仿宋" w:eastAsia="仿宋" w:cs="仿宋"/>
                <w:color w:val="auto"/>
                <w:sz w:val="24"/>
              </w:rPr>
              <w:t>同意将非主体、非关键性的工作分包。</w:t>
            </w:r>
          </w:p>
          <w:p w14:paraId="0EC56B4B">
            <w:pPr>
              <w:spacing w:line="440" w:lineRule="exact"/>
              <w:ind w:firstLine="720" w:firstLineChars="300"/>
              <w:textAlignment w:val="center"/>
              <w:rPr>
                <w:rFonts w:ascii="仿宋" w:hAnsi="仿宋" w:eastAsia="仿宋" w:cs="仿宋"/>
                <w:b/>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 xml:space="preserve"> B</w:t>
            </w:r>
            <w:r>
              <w:rPr>
                <w:rFonts w:hint="eastAsia" w:ascii="仿宋" w:hAnsi="仿宋" w:eastAsia="仿宋" w:cs="仿宋"/>
                <w:color w:val="auto"/>
                <w:sz w:val="24"/>
              </w:rPr>
              <w:t>不同意分包。</w:t>
            </w:r>
          </w:p>
        </w:tc>
      </w:tr>
      <w:tr w14:paraId="3870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158B8393">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6</w:t>
            </w:r>
          </w:p>
        </w:tc>
        <w:tc>
          <w:tcPr>
            <w:tcW w:w="8371" w:type="dxa"/>
            <w:gridSpan w:val="2"/>
            <w:vAlign w:val="center"/>
          </w:tcPr>
          <w:p w14:paraId="31DED64A">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投标保证金8000元（电汇、转账、网上银行）</w:t>
            </w:r>
          </w:p>
          <w:p w14:paraId="3C9DD59B">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公司名称: 绍兴平准招标代理有限公司</w:t>
            </w:r>
          </w:p>
          <w:p w14:paraId="1508834A">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开户银行:建设银行嵊州新城支行</w:t>
            </w:r>
          </w:p>
          <w:p w14:paraId="2D8E3343">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银行账号：33050165655009888888</w:t>
            </w:r>
          </w:p>
          <w:p w14:paraId="50B34999">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缴纳时间：在2024年12月11日16:00前将投标保证金以电汇、转账、网上银行形式汇入指定帐户，以实际到账时间为准。</w:t>
            </w:r>
          </w:p>
          <w:p w14:paraId="4836CEA3">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1.投标人须按规定提交投标保证金，否则，其投标将被视为无效。</w:t>
            </w:r>
          </w:p>
          <w:p w14:paraId="33B2B4A9">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2.投标人有下列情形之一的，投标保证金将不予退还：</w:t>
            </w:r>
          </w:p>
          <w:p w14:paraId="6F5F5851">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（1）投标人在投标有效期内撤回投标文件的；</w:t>
            </w:r>
          </w:p>
          <w:p w14:paraId="1DFD1F81">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（2）未按规定提交履约保证金、差额风险金的；</w:t>
            </w:r>
          </w:p>
          <w:p w14:paraId="708B140F">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（3）投标人在投标过程中弄虚作假，提供虚假材料的；</w:t>
            </w:r>
          </w:p>
          <w:p w14:paraId="66991E10">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（4）中标供应商无正当理由不与采购人签订合同的；</w:t>
            </w:r>
          </w:p>
          <w:p w14:paraId="4309A5D8">
            <w:pPr>
              <w:spacing w:line="440" w:lineRule="exact"/>
              <w:textAlignment w:val="center"/>
              <w:rPr>
                <w:rFonts w:hint="eastAsia" w:ascii="仿宋" w:hAnsi="仿宋" w:eastAsia="仿宋" w:cs="仿宋"/>
                <w:b/>
                <w:color w:val="auto"/>
                <w:sz w:val="24"/>
              </w:rPr>
            </w:pPr>
            <w:r>
              <w:rPr>
                <w:rFonts w:hint="eastAsia" w:ascii="仿宋" w:hAnsi="仿宋" w:eastAsia="仿宋" w:cs="仿宋"/>
                <w:b w:val="0"/>
                <w:bCs/>
                <w:color w:val="auto"/>
                <w:sz w:val="24"/>
                <w:szCs w:val="24"/>
                <w:highlight w:val="none"/>
                <w:lang w:val="en-US" w:eastAsia="zh-CN"/>
              </w:rPr>
              <w:t>（5）其他严重扰乱招投标程序的。</w:t>
            </w:r>
          </w:p>
        </w:tc>
      </w:tr>
      <w:tr w14:paraId="66EB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581E2BD1">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7</w:t>
            </w:r>
          </w:p>
        </w:tc>
        <w:tc>
          <w:tcPr>
            <w:tcW w:w="8371" w:type="dxa"/>
            <w:gridSpan w:val="2"/>
            <w:vAlign w:val="center"/>
          </w:tcPr>
          <w:p w14:paraId="578E027C">
            <w:pPr>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磋商响应文件份数：</w:t>
            </w:r>
            <w:r>
              <w:rPr>
                <w:rFonts w:hint="eastAsia" w:ascii="仿宋" w:hAnsi="仿宋" w:eastAsia="仿宋" w:cs="仿宋"/>
                <w:color w:val="auto"/>
                <w:sz w:val="24"/>
              </w:rPr>
              <w:t>本项目实行网上磋商，供应商于“乐采云”上提供电子磋商响应文件。</w:t>
            </w:r>
          </w:p>
        </w:tc>
      </w:tr>
      <w:tr w14:paraId="2794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605EAF55">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8</w:t>
            </w:r>
          </w:p>
        </w:tc>
        <w:tc>
          <w:tcPr>
            <w:tcW w:w="8371" w:type="dxa"/>
            <w:gridSpan w:val="2"/>
            <w:vAlign w:val="center"/>
          </w:tcPr>
          <w:p w14:paraId="405B8BDC">
            <w:pPr>
              <w:autoSpaceDE w:val="0"/>
              <w:autoSpaceDN w:val="0"/>
              <w:spacing w:line="440" w:lineRule="exact"/>
              <w:textAlignment w:val="center"/>
              <w:rPr>
                <w:rFonts w:ascii="仿宋" w:hAnsi="仿宋" w:eastAsia="仿宋" w:cs="仿宋"/>
                <w:b/>
                <w:color w:val="auto"/>
                <w:sz w:val="24"/>
              </w:rPr>
            </w:pPr>
            <w:r>
              <w:rPr>
                <w:rFonts w:hint="eastAsia" w:ascii="仿宋" w:hAnsi="仿宋" w:eastAsia="仿宋" w:cs="仿宋"/>
                <w:b/>
                <w:color w:val="auto"/>
                <w:kern w:val="0"/>
                <w:sz w:val="24"/>
                <w:lang w:val="zh-CN"/>
              </w:rPr>
              <w:t>磋商次序：</w:t>
            </w:r>
            <w:r>
              <w:rPr>
                <w:rFonts w:hint="eastAsia" w:ascii="仿宋" w:hAnsi="仿宋" w:eastAsia="仿宋" w:cs="仿宋"/>
                <w:color w:val="auto"/>
                <w:kern w:val="0"/>
                <w:sz w:val="24"/>
                <w:lang w:val="zh-CN"/>
              </w:rPr>
              <w:t>以乐采云平台中</w:t>
            </w:r>
            <w:r>
              <w:rPr>
                <w:rFonts w:hint="eastAsia" w:ascii="仿宋" w:hAnsi="仿宋" w:eastAsia="仿宋" w:cs="仿宋"/>
                <w:bCs/>
                <w:color w:val="auto"/>
                <w:sz w:val="24"/>
              </w:rPr>
              <w:t>响应</w:t>
            </w:r>
            <w:r>
              <w:rPr>
                <w:rFonts w:hint="eastAsia" w:ascii="仿宋" w:hAnsi="仿宋" w:eastAsia="仿宋" w:cs="仿宋"/>
                <w:color w:val="auto"/>
                <w:kern w:val="0"/>
                <w:sz w:val="24"/>
                <w:lang w:val="zh-CN"/>
              </w:rPr>
              <w:t>文件解密时间的先后顺序为准。</w:t>
            </w:r>
          </w:p>
        </w:tc>
      </w:tr>
      <w:tr w14:paraId="44CA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2DAC036E">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9</w:t>
            </w:r>
          </w:p>
        </w:tc>
        <w:tc>
          <w:tcPr>
            <w:tcW w:w="8371" w:type="dxa"/>
            <w:gridSpan w:val="2"/>
            <w:vAlign w:val="center"/>
          </w:tcPr>
          <w:p w14:paraId="55FC1C7D">
            <w:pPr>
              <w:autoSpaceDE w:val="0"/>
              <w:autoSpaceDN w:val="0"/>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开标前答疑会或现场考察：</w:t>
            </w:r>
          </w:p>
          <w:p w14:paraId="48357624">
            <w:pPr>
              <w:spacing w:line="440" w:lineRule="exact"/>
              <w:textAlignment w:val="center"/>
              <w:rPr>
                <w:rFonts w:ascii="仿宋" w:hAnsi="仿宋" w:eastAsia="仿宋" w:cs="仿宋"/>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A</w:t>
            </w:r>
            <w:r>
              <w:rPr>
                <w:rFonts w:hint="eastAsia" w:ascii="仿宋" w:hAnsi="仿宋" w:eastAsia="仿宋" w:cs="仿宋"/>
                <w:color w:val="auto"/>
                <w:sz w:val="24"/>
              </w:rPr>
              <w:t>不组织。</w:t>
            </w:r>
          </w:p>
          <w:p w14:paraId="15E2BD11">
            <w:pPr>
              <w:autoSpaceDE w:val="0"/>
              <w:autoSpaceDN w:val="0"/>
              <w:spacing w:line="440" w:lineRule="exact"/>
              <w:textAlignment w:val="center"/>
              <w:rPr>
                <w:rFonts w:ascii="仿宋" w:hAnsi="仿宋" w:eastAsia="仿宋" w:cs="仿宋"/>
                <w:b/>
                <w:color w:val="auto"/>
                <w:kern w:val="0"/>
                <w:sz w:val="24"/>
                <w:lang w:val="zh-CN"/>
              </w:rPr>
            </w:pPr>
            <w:r>
              <w:rPr>
                <w:rFonts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none"/>
              </w:rPr>
              <w:t>：</w:t>
            </w:r>
            <w:r>
              <w:rPr>
                <w:rFonts w:hint="eastAsia" w:ascii="仿宋" w:hAnsi="仿宋" w:eastAsia="仿宋" w:cs="仿宋"/>
                <w:color w:val="auto"/>
                <w:sz w:val="24"/>
                <w:u w:val="single"/>
                <w:lang w:val="en-US" w:eastAsia="zh-CN"/>
              </w:rPr>
              <w:t xml:space="preserve">    </w:t>
            </w:r>
            <w:r>
              <w:rPr>
                <w:rFonts w:ascii="仿宋" w:hAnsi="仿宋" w:eastAsia="仿宋" w:cs="仿宋"/>
                <w:color w:val="auto"/>
                <w:sz w:val="24"/>
              </w:rPr>
              <w:t>,地点</w:t>
            </w:r>
            <w:r>
              <w:rPr>
                <w:rFonts w:ascii="仿宋" w:hAnsi="仿宋" w:eastAsia="仿宋" w:cs="仿宋"/>
                <w:color w:val="auto"/>
                <w:sz w:val="24"/>
                <w:u w:val="none"/>
              </w:rPr>
              <w:t>：</w:t>
            </w:r>
            <w:r>
              <w:rPr>
                <w:rFonts w:ascii="仿宋" w:hAnsi="仿宋" w:eastAsia="仿宋" w:cs="仿宋"/>
                <w:color w:val="auto"/>
                <w:sz w:val="24"/>
                <w:u w:val="single"/>
              </w:rPr>
              <w:t xml:space="preserve">      </w:t>
            </w:r>
            <w:r>
              <w:rPr>
                <w:rFonts w:ascii="仿宋" w:hAnsi="仿宋" w:eastAsia="仿宋" w:cs="仿宋"/>
                <w:color w:val="auto"/>
                <w:sz w:val="24"/>
              </w:rPr>
              <w:t>，联系人</w:t>
            </w:r>
            <w:r>
              <w:rPr>
                <w:rFonts w:ascii="仿宋" w:hAnsi="仿宋" w:eastAsia="仿宋" w:cs="仿宋"/>
                <w:color w:val="auto"/>
                <w:sz w:val="24"/>
                <w:u w:val="none"/>
              </w:rPr>
              <w:t>：</w:t>
            </w:r>
            <w:r>
              <w:rPr>
                <w:rFonts w:ascii="仿宋" w:hAnsi="仿宋" w:eastAsia="仿宋" w:cs="仿宋"/>
                <w:color w:val="auto"/>
                <w:sz w:val="24"/>
                <w:u w:val="single"/>
              </w:rPr>
              <w:t xml:space="preserve">      </w:t>
            </w:r>
            <w:r>
              <w:rPr>
                <w:rFonts w:ascii="仿宋" w:hAnsi="仿宋" w:eastAsia="仿宋" w:cs="仿宋"/>
                <w:color w:val="auto"/>
                <w:sz w:val="24"/>
              </w:rPr>
              <w:t>，联系方式</w:t>
            </w:r>
            <w:r>
              <w:rPr>
                <w:rFonts w:ascii="仿宋" w:hAnsi="仿宋" w:eastAsia="仿宋" w:cs="仿宋"/>
                <w:color w:val="auto"/>
                <w:sz w:val="24"/>
                <w:u w:val="none"/>
              </w:rPr>
              <w:t>：</w:t>
            </w:r>
            <w:r>
              <w:rPr>
                <w:rFonts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348D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17F3C10F">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10</w:t>
            </w:r>
          </w:p>
        </w:tc>
        <w:tc>
          <w:tcPr>
            <w:tcW w:w="8371" w:type="dxa"/>
            <w:gridSpan w:val="2"/>
            <w:vAlign w:val="center"/>
          </w:tcPr>
          <w:p w14:paraId="4293D59A">
            <w:pPr>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样品提供：</w:t>
            </w:r>
          </w:p>
          <w:p w14:paraId="2B11D505">
            <w:pPr>
              <w:spacing w:line="440" w:lineRule="exact"/>
              <w:textAlignment w:val="center"/>
              <w:rPr>
                <w:rFonts w:ascii="仿宋" w:hAnsi="仿宋" w:eastAsia="仿宋" w:cs="仿宋"/>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A</w:t>
            </w:r>
            <w:r>
              <w:rPr>
                <w:rFonts w:hint="eastAsia" w:ascii="仿宋" w:hAnsi="仿宋" w:eastAsia="仿宋" w:cs="仿宋"/>
                <w:color w:val="auto"/>
                <w:sz w:val="24"/>
              </w:rPr>
              <w:t>不要求提供。</w:t>
            </w:r>
          </w:p>
          <w:p w14:paraId="672A120C">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B要求提供，</w:t>
            </w:r>
          </w:p>
          <w:p w14:paraId="3B1D5B75">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snapToGrid w:val="0"/>
                <w:color w:val="auto"/>
                <w:kern w:val="28"/>
                <w:sz w:val="24"/>
                <w:lang w:eastAsia="zh-CN"/>
              </w:rPr>
              <w:t>：</w:t>
            </w:r>
            <w:r>
              <w:rPr>
                <w:rFonts w:hint="eastAsia" w:ascii="仿宋" w:hAnsi="仿宋" w:eastAsia="仿宋" w:cs="仿宋"/>
                <w:snapToGrid w:val="0"/>
                <w:color w:val="auto"/>
                <w:kern w:val="28"/>
                <w:sz w:val="24"/>
                <w:u w:val="single"/>
              </w:rPr>
              <w:t>详见第三部分采购需求</w:t>
            </w:r>
            <w:r>
              <w:rPr>
                <w:rFonts w:hint="eastAsia" w:ascii="仿宋" w:hAnsi="仿宋" w:eastAsia="仿宋" w:cs="仿宋"/>
                <w:color w:val="auto"/>
                <w:kern w:val="0"/>
                <w:sz w:val="24"/>
              </w:rPr>
              <w:t>；</w:t>
            </w:r>
          </w:p>
          <w:p w14:paraId="4FDE3D79">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snapToGrid w:val="0"/>
                <w:color w:val="auto"/>
                <w:kern w:val="28"/>
                <w:sz w:val="24"/>
                <w:lang w:eastAsia="zh-CN"/>
              </w:rPr>
              <w:t>：</w:t>
            </w:r>
            <w:r>
              <w:rPr>
                <w:rFonts w:hint="eastAsia" w:ascii="仿宋" w:hAnsi="仿宋" w:eastAsia="仿宋" w:cs="仿宋"/>
                <w:color w:val="auto"/>
                <w:sz w:val="24"/>
                <w:u w:val="single"/>
              </w:rPr>
              <w:t>详见第三部分采购需求</w:t>
            </w:r>
            <w:r>
              <w:rPr>
                <w:rFonts w:hint="eastAsia" w:ascii="仿宋" w:hAnsi="仿宋" w:eastAsia="仿宋" w:cs="仿宋"/>
                <w:color w:val="auto"/>
                <w:kern w:val="0"/>
                <w:sz w:val="24"/>
              </w:rPr>
              <w:t>；</w:t>
            </w:r>
          </w:p>
          <w:p w14:paraId="47047027">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14:paraId="1E3C374D">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4）是否需要随样品提交检测报告：</w:t>
            </w:r>
            <w:r>
              <w:rPr>
                <w:rFonts w:hint="eastAsia" w:ascii="仿宋" w:hAnsi="仿宋" w:eastAsia="仿宋" w:cs="仿宋"/>
                <w:color w:val="auto"/>
                <w:kern w:val="0"/>
                <w:sz w:val="24"/>
                <w:lang w:eastAsia="zh-CN"/>
              </w:rPr>
              <w:t>☑</w:t>
            </w:r>
            <w:r>
              <w:rPr>
                <w:rFonts w:ascii="仿宋" w:hAnsi="仿宋" w:eastAsia="仿宋" w:cs="仿宋"/>
                <w:color w:val="auto"/>
                <w:kern w:val="0"/>
                <w:sz w:val="24"/>
              </w:rPr>
              <w:t>否；□是，检测机构的要求</w:t>
            </w:r>
            <w:r>
              <w:rPr>
                <w:rFonts w:hint="eastAsia" w:ascii="仿宋" w:hAnsi="仿宋" w:eastAsia="仿宋" w:cs="仿宋"/>
                <w:color w:val="auto"/>
                <w:sz w:val="24"/>
              </w:rPr>
              <w:t>：</w:t>
            </w:r>
            <w:r>
              <w:rPr>
                <w:rFonts w:hint="eastAsia" w:ascii="仿宋" w:hAnsi="仿宋" w:eastAsia="仿宋" w:cs="仿宋"/>
                <w:color w:val="auto"/>
                <w:sz w:val="24"/>
                <w:u w:val="single"/>
                <w:lang w:val="en-US" w:eastAsia="zh-CN"/>
              </w:rPr>
              <w:t xml:space="preserve"> /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lang w:val="en-US" w:eastAsia="zh-CN"/>
              </w:rPr>
              <w:t xml:space="preserve"> / </w:t>
            </w:r>
            <w:r>
              <w:rPr>
                <w:rFonts w:hint="eastAsia" w:ascii="仿宋" w:hAnsi="仿宋" w:eastAsia="仿宋" w:cs="仿宋"/>
                <w:color w:val="auto"/>
                <w:kern w:val="0"/>
                <w:sz w:val="24"/>
              </w:rPr>
              <w:t>。</w:t>
            </w:r>
          </w:p>
          <w:p w14:paraId="1C4D1586">
            <w:pPr>
              <w:spacing w:line="440" w:lineRule="exact"/>
              <w:textAlignment w:val="center"/>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5）</w:t>
            </w: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地点：</w:t>
            </w:r>
            <w:r>
              <w:rPr>
                <w:rFonts w:hint="eastAsia" w:ascii="仿宋" w:hAnsi="仿宋" w:eastAsia="仿宋" w:cs="仿宋"/>
                <w:color w:val="auto"/>
                <w:sz w:val="24"/>
                <w:u w:val="single"/>
              </w:rPr>
              <w:t>详见第三部分采购需求</w:t>
            </w:r>
            <w:r>
              <w:rPr>
                <w:rFonts w:hint="eastAsia" w:ascii="仿宋" w:hAnsi="仿宋" w:eastAsia="仿宋" w:cs="仿宋"/>
                <w:color w:val="auto"/>
                <w:sz w:val="24"/>
              </w:rPr>
              <w:t>。请供应商在</w:t>
            </w:r>
            <w:r>
              <w:rPr>
                <w:rFonts w:hint="eastAsia" w:ascii="仿宋" w:hAnsi="仿宋" w:eastAsia="仿宋" w:cs="仿宋"/>
                <w:color w:val="auto"/>
                <w:sz w:val="24"/>
                <w:lang w:val="en-US" w:eastAsia="zh-CN"/>
              </w:rPr>
              <w:t>规定</w:t>
            </w:r>
            <w:r>
              <w:rPr>
                <w:rFonts w:hint="eastAsia" w:ascii="仿宋" w:hAnsi="仿宋" w:eastAsia="仿宋" w:cs="仿宋"/>
                <w:color w:val="auto"/>
                <w:sz w:val="24"/>
              </w:rPr>
              <w:t>时间内提供样品并按规定位置安装完毕。超过截止时间的，采购人或采购代理机构将不予接收，并将清场并封闭样品现场。</w:t>
            </w:r>
          </w:p>
          <w:p w14:paraId="4AE6B34A">
            <w:pPr>
              <w:spacing w:line="440" w:lineRule="exact"/>
              <w:textAlignment w:val="center"/>
              <w:rPr>
                <w:rFonts w:ascii="仿宋" w:hAnsi="仿宋" w:eastAsia="仿宋" w:cs="仿宋"/>
                <w:color w:val="auto"/>
                <w:sz w:val="24"/>
              </w:rPr>
            </w:pPr>
            <w:r>
              <w:rPr>
                <w:rFonts w:ascii="仿宋" w:hAnsi="仿宋" w:eastAsia="仿宋" w:cs="仿宋"/>
                <w:color w:val="auto"/>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3A9DBEE3">
            <w:pPr>
              <w:autoSpaceDE w:val="0"/>
              <w:autoSpaceDN w:val="0"/>
              <w:spacing w:line="440" w:lineRule="exact"/>
              <w:jc w:val="left"/>
              <w:textAlignment w:val="center"/>
              <w:rPr>
                <w:rFonts w:ascii="仿宋" w:hAnsi="仿宋" w:eastAsia="仿宋" w:cs="仿宋"/>
                <w:b/>
                <w:color w:val="auto"/>
                <w:sz w:val="24"/>
              </w:rPr>
            </w:pPr>
            <w:r>
              <w:rPr>
                <w:rFonts w:hint="eastAsia" w:ascii="仿宋" w:hAnsi="仿宋" w:eastAsia="仿宋" w:cs="仿宋"/>
                <w:color w:val="auto"/>
                <w:sz w:val="24"/>
              </w:rPr>
              <w:t>（</w:t>
            </w:r>
            <w:r>
              <w:rPr>
                <w:rFonts w:ascii="仿宋" w:hAnsi="仿宋" w:eastAsia="仿宋" w:cs="仿宋"/>
                <w:color w:val="auto"/>
                <w:sz w:val="24"/>
              </w:rPr>
              <w:t>7）制作、运输和保管样品所发生的一切费用由供应商自理。</w:t>
            </w:r>
          </w:p>
        </w:tc>
      </w:tr>
      <w:tr w14:paraId="2603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31C2CC0C">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11</w:t>
            </w:r>
          </w:p>
        </w:tc>
        <w:tc>
          <w:tcPr>
            <w:tcW w:w="8371" w:type="dxa"/>
            <w:gridSpan w:val="2"/>
            <w:vAlign w:val="center"/>
          </w:tcPr>
          <w:p w14:paraId="6EA4F13E">
            <w:pPr>
              <w:spacing w:line="440" w:lineRule="exact"/>
              <w:textAlignment w:val="center"/>
              <w:rPr>
                <w:rFonts w:ascii="仿宋" w:hAnsi="仿宋" w:eastAsia="仿宋" w:cs="仿宋"/>
                <w:b/>
                <w:bCs/>
                <w:color w:val="auto"/>
                <w:sz w:val="24"/>
              </w:rPr>
            </w:pPr>
            <w:r>
              <w:rPr>
                <w:rFonts w:hint="eastAsia" w:ascii="仿宋" w:hAnsi="仿宋" w:eastAsia="仿宋" w:cs="仿宋"/>
                <w:b/>
                <w:bCs/>
                <w:color w:val="auto"/>
                <w:sz w:val="24"/>
              </w:rPr>
              <w:t>方案讲解演示：</w:t>
            </w:r>
          </w:p>
          <w:p w14:paraId="59CF9706">
            <w:pPr>
              <w:spacing w:line="440" w:lineRule="exact"/>
              <w:textAlignment w:val="center"/>
              <w:rPr>
                <w:rFonts w:ascii="仿宋" w:hAnsi="仿宋" w:eastAsia="仿宋" w:cs="仿宋"/>
                <w:color w:val="auto"/>
                <w:sz w:val="24"/>
              </w:rPr>
            </w:pPr>
            <w:r>
              <w:rPr>
                <w:rFonts w:hint="eastAsia" w:ascii="仿宋" w:hAnsi="仿宋" w:eastAsia="仿宋" w:cs="仿宋"/>
                <w:color w:val="auto"/>
                <w:sz w:val="24"/>
                <w:lang w:eastAsia="zh-CN"/>
              </w:rPr>
              <w:t>☑</w:t>
            </w:r>
            <w:r>
              <w:rPr>
                <w:rFonts w:ascii="仿宋" w:hAnsi="仿宋" w:eastAsia="仿宋" w:cs="仿宋"/>
                <w:color w:val="auto"/>
                <w:sz w:val="24"/>
              </w:rPr>
              <w:t>A无方案讲解演示。</w:t>
            </w:r>
          </w:p>
          <w:p w14:paraId="42CBFBA1">
            <w:pPr>
              <w:spacing w:line="440" w:lineRule="exact"/>
              <w:textAlignment w:val="center"/>
              <w:rPr>
                <w:rFonts w:ascii="仿宋" w:hAnsi="仿宋" w:eastAsia="仿宋" w:cs="仿宋"/>
                <w:b/>
                <w:color w:val="auto"/>
                <w:sz w:val="24"/>
              </w:rPr>
            </w:pPr>
            <w:r>
              <w:rPr>
                <w:rFonts w:hint="eastAsia" w:ascii="仿宋" w:hAnsi="仿宋" w:eastAsia="仿宋" w:cs="仿宋"/>
                <w:color w:val="auto"/>
                <w:sz w:val="24"/>
              </w:rPr>
              <w:t>□</w:t>
            </w:r>
            <w:r>
              <w:rPr>
                <w:rFonts w:ascii="仿宋" w:hAnsi="仿宋" w:eastAsia="仿宋" w:cs="仿宋"/>
                <w:color w:val="auto"/>
                <w:sz w:val="24"/>
              </w:rPr>
              <w:t>B有方案讲解演示：</w:t>
            </w:r>
          </w:p>
          <w:p w14:paraId="3285E4BF">
            <w:pPr>
              <w:spacing w:line="440" w:lineRule="exact"/>
              <w:textAlignment w:val="center"/>
              <w:rPr>
                <w:rFonts w:ascii="仿宋" w:hAnsi="仿宋" w:eastAsia="仿宋" w:cs="仿宋"/>
                <w:color w:val="auto"/>
                <w:sz w:val="24"/>
                <w:lang w:val="zh-CN"/>
              </w:rPr>
            </w:pPr>
            <w:r>
              <w:rPr>
                <w:rFonts w:hint="eastAsia" w:ascii="仿宋" w:hAnsi="仿宋" w:eastAsia="仿宋" w:cs="仿宋"/>
                <w:color w:val="auto"/>
                <w:sz w:val="24"/>
                <w:lang w:val="zh-CN"/>
              </w:rPr>
              <w:t>（</w:t>
            </w:r>
            <w:r>
              <w:rPr>
                <w:rFonts w:ascii="仿宋" w:hAnsi="仿宋" w:eastAsia="仿宋" w:cs="仿宋"/>
                <w:color w:val="auto"/>
                <w:sz w:val="24"/>
                <w:lang w:val="zh-CN"/>
              </w:rPr>
              <w:t>1）在评标时安排每个供应商进行方案讲解演示。</w:t>
            </w:r>
            <w:r>
              <w:rPr>
                <w:rFonts w:hint="eastAsia" w:ascii="仿宋" w:hAnsi="仿宋" w:eastAsia="仿宋" w:cs="仿宋"/>
                <w:color w:val="auto"/>
                <w:sz w:val="24"/>
                <w:lang w:val="zh-CN"/>
              </w:rPr>
              <w:t>每个供应商时间不超过</w:t>
            </w:r>
            <w:r>
              <w:rPr>
                <w:rFonts w:ascii="仿宋" w:hAnsi="仿宋" w:eastAsia="仿宋" w:cs="仿宋"/>
                <w:color w:val="auto"/>
                <w:sz w:val="24"/>
                <w:u w:val="single"/>
                <w:lang w:val="zh-CN"/>
              </w:rPr>
              <w:t>15</w:t>
            </w:r>
            <w:r>
              <w:rPr>
                <w:rFonts w:hint="eastAsia" w:ascii="仿宋" w:hAnsi="仿宋" w:eastAsia="仿宋" w:cs="仿宋"/>
                <w:color w:val="auto"/>
                <w:sz w:val="24"/>
                <w:lang w:val="zh-CN"/>
              </w:rPr>
              <w:t>分钟（编制时可根据项目情况进行调整），讲解次序以磋商响应文件解密时间先后次序为准。讲解演示结束后按要求解答评标委员会提问。</w:t>
            </w:r>
          </w:p>
          <w:p w14:paraId="72401097">
            <w:pPr>
              <w:spacing w:line="440" w:lineRule="exact"/>
              <w:textAlignment w:val="center"/>
              <w:rPr>
                <w:rFonts w:ascii="仿宋" w:hAnsi="仿宋" w:eastAsia="仿宋" w:cs="仿宋"/>
                <w:color w:val="auto"/>
                <w:sz w:val="24"/>
                <w:lang w:val="zh-CN"/>
              </w:rPr>
            </w:pPr>
            <w:r>
              <w:rPr>
                <w:rFonts w:hint="eastAsia" w:ascii="仿宋" w:hAnsi="仿宋" w:eastAsia="仿宋" w:cs="仿宋"/>
                <w:color w:val="auto"/>
                <w:sz w:val="24"/>
                <w:lang w:val="zh-CN"/>
              </w:rPr>
              <w:t>（</w:t>
            </w:r>
            <w:r>
              <w:rPr>
                <w:rFonts w:ascii="仿宋" w:hAnsi="仿宋" w:eastAsia="仿宋" w:cs="仿宋"/>
                <w:color w:val="auto"/>
                <w:sz w:val="24"/>
                <w:lang w:val="zh-CN"/>
              </w:rPr>
              <w:t>2）方案讲解演示可选择以下其中一种方式：</w:t>
            </w:r>
          </w:p>
          <w:p w14:paraId="0D39A478">
            <w:pPr>
              <w:spacing w:line="440" w:lineRule="exact"/>
              <w:textAlignment w:val="center"/>
              <w:rPr>
                <w:rFonts w:ascii="仿宋" w:hAnsi="仿宋" w:eastAsia="仿宋" w:cs="仿宋"/>
                <w:color w:val="auto"/>
                <w:sz w:val="24"/>
                <w:lang w:val="zh-CN"/>
              </w:rPr>
            </w:pPr>
            <w:r>
              <w:rPr>
                <w:rFonts w:hint="eastAsia" w:ascii="仿宋" w:hAnsi="仿宋" w:eastAsia="仿宋" w:cs="仿宋"/>
                <w:color w:val="auto"/>
                <w:sz w:val="24"/>
              </w:rPr>
              <w:t>□</w:t>
            </w:r>
            <w:r>
              <w:rPr>
                <w:rFonts w:hint="eastAsia" w:ascii="仿宋" w:hAnsi="仿宋" w:eastAsia="仿宋" w:cs="仿宋"/>
                <w:color w:val="auto"/>
                <w:sz w:val="24"/>
                <w:lang w:val="zh-CN"/>
              </w:rPr>
              <w:t>方式一：乐采云平台在线讲解演示。乐采云平台在线讲解需供应商根据乐采云平台操作要求做好准备工作，提前完善软硬件配置环境。</w:t>
            </w:r>
          </w:p>
          <w:p w14:paraId="4B626C09">
            <w:pPr>
              <w:spacing w:line="440" w:lineRule="exact"/>
              <w:textAlignment w:val="center"/>
              <w:rPr>
                <w:rFonts w:ascii="仿宋" w:hAnsi="仿宋" w:eastAsia="仿宋" w:cs="仿宋"/>
                <w:color w:val="auto"/>
                <w:sz w:val="24"/>
                <w:lang w:val="zh-CN"/>
              </w:rPr>
            </w:pPr>
            <w:r>
              <w:rPr>
                <w:rFonts w:hint="eastAsia" w:ascii="仿宋" w:hAnsi="仿宋" w:eastAsia="仿宋" w:cs="仿宋"/>
                <w:color w:val="auto"/>
                <w:sz w:val="24"/>
              </w:rPr>
              <w:t>□</w:t>
            </w:r>
            <w:r>
              <w:rPr>
                <w:rFonts w:hint="eastAsia" w:ascii="仿宋" w:hAnsi="仿宋" w:eastAsia="仿宋" w:cs="仿宋"/>
                <w:color w:val="auto"/>
                <w:sz w:val="24"/>
                <w:lang w:val="zh-CN"/>
              </w:rPr>
              <w:t>方式二：现场讲解演示。现场讲解地点为，</w:t>
            </w:r>
            <w:r>
              <w:rPr>
                <w:rFonts w:hint="eastAsia" w:ascii="仿宋" w:hAnsi="仿宋" w:eastAsia="仿宋" w:cs="仿宋"/>
                <w:color w:val="auto"/>
                <w:kern w:val="0"/>
                <w:sz w:val="24"/>
                <w:lang w:val="zh-CN"/>
              </w:rPr>
              <w:t>讲解演示人员不超过</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lang w:val="zh-CN"/>
              </w:rPr>
              <w:t>人</w:t>
            </w:r>
            <w:r>
              <w:rPr>
                <w:rFonts w:hint="eastAsia" w:ascii="仿宋" w:hAnsi="仿宋" w:eastAsia="仿宋" w:cs="仿宋"/>
                <w:color w:val="auto"/>
                <w:sz w:val="24"/>
                <w:lang w:val="zh-CN"/>
              </w:rPr>
              <w:t>（编制时可根据项目情况进行调整）</w:t>
            </w:r>
            <w:r>
              <w:rPr>
                <w:rFonts w:hint="eastAsia" w:ascii="仿宋" w:hAnsi="仿宋" w:eastAsia="仿宋" w:cs="仿宋"/>
                <w:color w:val="auto"/>
                <w:kern w:val="0"/>
                <w:sz w:val="24"/>
                <w:lang w:val="zh-CN"/>
              </w:rPr>
              <w:t>。</w:t>
            </w:r>
            <w:r>
              <w:rPr>
                <w:rFonts w:hint="eastAsia" w:ascii="仿宋" w:hAnsi="仿宋" w:eastAsia="仿宋" w:cs="仿宋"/>
                <w:color w:val="auto"/>
                <w:sz w:val="24"/>
                <w:lang w:val="zh-CN"/>
              </w:rPr>
              <w:t>讲解演示所用电脑等设备由供应商自备。现场讲解演示人员进场时提供讲解人员名单（加盖公章或授权代表签名）及身份证明，否则不得讲解演示。</w:t>
            </w:r>
          </w:p>
          <w:p w14:paraId="128F6443">
            <w:pPr>
              <w:spacing w:line="440" w:lineRule="exact"/>
              <w:textAlignment w:val="center"/>
              <w:rPr>
                <w:rFonts w:ascii="仿宋" w:hAnsi="仿宋" w:eastAsia="仿宋" w:cs="仿宋"/>
                <w:color w:val="auto"/>
                <w:sz w:val="24"/>
              </w:rPr>
            </w:pPr>
            <w:r>
              <w:rPr>
                <w:rFonts w:hint="eastAsia" w:ascii="仿宋" w:hAnsi="仿宋" w:eastAsia="仿宋" w:cs="仿宋"/>
                <w:color w:val="auto"/>
                <w:sz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46A4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31435ED2">
            <w:pPr>
              <w:spacing w:line="440" w:lineRule="exact"/>
              <w:jc w:val="center"/>
              <w:textAlignment w:val="center"/>
              <w:rPr>
                <w:rFonts w:hint="default" w:ascii="仿宋" w:hAnsi="仿宋" w:eastAsia="仿宋" w:cs="仿宋"/>
                <w:color w:val="auto"/>
                <w:kern w:val="2"/>
                <w:sz w:val="24"/>
                <w:szCs w:val="24"/>
                <w:lang w:val="en-US" w:eastAsia="zh-CN" w:bidi="ar-SA"/>
              </w:rPr>
            </w:pPr>
            <w:r>
              <w:rPr>
                <w:rFonts w:ascii="仿宋" w:hAnsi="仿宋" w:eastAsia="仿宋" w:cs="仿宋"/>
                <w:color w:val="auto"/>
                <w:sz w:val="24"/>
              </w:rPr>
              <w:t>12</w:t>
            </w:r>
          </w:p>
        </w:tc>
        <w:tc>
          <w:tcPr>
            <w:tcW w:w="855" w:type="dxa"/>
            <w:vAlign w:val="center"/>
          </w:tcPr>
          <w:p w14:paraId="337A2584">
            <w:pPr>
              <w:snapToGrid w:val="0"/>
              <w:spacing w:line="440" w:lineRule="exact"/>
              <w:jc w:val="center"/>
              <w:textAlignment w:val="center"/>
              <w:rPr>
                <w:rFonts w:ascii="仿宋" w:hAnsi="仿宋" w:eastAsia="仿宋" w:cs="仿宋"/>
                <w:b/>
                <w:color w:val="auto"/>
                <w:sz w:val="24"/>
              </w:rPr>
            </w:pPr>
            <w:r>
              <w:rPr>
                <w:rFonts w:hint="eastAsia" w:ascii="仿宋" w:hAnsi="仿宋" w:eastAsia="仿宋" w:cs="仿宋"/>
                <w:b/>
                <w:color w:val="auto"/>
                <w:sz w:val="24"/>
              </w:rPr>
              <w:t>进口产品</w:t>
            </w:r>
          </w:p>
        </w:tc>
        <w:tc>
          <w:tcPr>
            <w:tcW w:w="7516" w:type="dxa"/>
            <w:vAlign w:val="center"/>
          </w:tcPr>
          <w:p w14:paraId="0C936232">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本项目不允许采购进口产品。</w:t>
            </w:r>
          </w:p>
          <w:p w14:paraId="655498A6">
            <w:pPr>
              <w:snapToGrid w:val="0"/>
              <w:spacing w:line="440" w:lineRule="exact"/>
              <w:textAlignment w:val="center"/>
              <w:rPr>
                <w:rFonts w:ascii="仿宋" w:hAnsi="仿宋" w:eastAsia="仿宋" w:cs="仿宋"/>
                <w:b/>
                <w:color w:val="auto"/>
                <w:sz w:val="24"/>
              </w:rPr>
            </w:pPr>
            <w:r>
              <w:rPr>
                <w:rFonts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C61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60EBB668">
            <w:pPr>
              <w:spacing w:line="44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13</w:t>
            </w:r>
          </w:p>
        </w:tc>
        <w:tc>
          <w:tcPr>
            <w:tcW w:w="855" w:type="dxa"/>
            <w:vAlign w:val="center"/>
          </w:tcPr>
          <w:p w14:paraId="1F359E0C">
            <w:pPr>
              <w:snapToGrid w:val="0"/>
              <w:spacing w:line="440" w:lineRule="exact"/>
              <w:jc w:val="center"/>
              <w:textAlignment w:val="center"/>
              <w:rPr>
                <w:rFonts w:ascii="仿宋" w:hAnsi="仿宋" w:eastAsia="仿宋" w:cs="仿宋"/>
                <w:b/>
                <w:color w:val="auto"/>
                <w:spacing w:val="-20"/>
                <w:sz w:val="24"/>
              </w:rPr>
            </w:pPr>
            <w:r>
              <w:rPr>
                <w:rFonts w:hint="eastAsia" w:ascii="仿宋" w:hAnsi="仿宋" w:eastAsia="仿宋" w:cs="仿宋"/>
                <w:b/>
                <w:color w:val="auto"/>
                <w:spacing w:val="-20"/>
                <w:sz w:val="24"/>
              </w:rPr>
              <w:t>项目属性与核心产品</w:t>
            </w:r>
          </w:p>
        </w:tc>
        <w:tc>
          <w:tcPr>
            <w:tcW w:w="7516" w:type="dxa"/>
            <w:vAlign w:val="center"/>
          </w:tcPr>
          <w:p w14:paraId="19C13653">
            <w:pPr>
              <w:spacing w:line="440" w:lineRule="exact"/>
              <w:textAlignment w:val="center"/>
              <w:rPr>
                <w:rFonts w:ascii="仿宋" w:hAnsi="仿宋" w:eastAsia="仿宋" w:cs="仿宋"/>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none"/>
              </w:rPr>
              <w:t>：</w:t>
            </w:r>
            <w:r>
              <w:rPr>
                <w:rFonts w:hint="eastAsia" w:ascii="仿宋" w:hAnsi="仿宋" w:eastAsia="仿宋" w:cs="仿宋"/>
                <w:color w:val="auto"/>
                <w:kern w:val="0"/>
                <w:sz w:val="24"/>
                <w:u w:val="single"/>
                <w:lang w:val="en-US" w:eastAsia="zh-CN"/>
              </w:rPr>
              <w:t xml:space="preserve"> / </w:t>
            </w:r>
            <w:r>
              <w:rPr>
                <w:rFonts w:hint="eastAsia" w:ascii="仿宋" w:hAnsi="仿宋" w:eastAsia="仿宋" w:cs="仿宋"/>
                <w:color w:val="auto"/>
                <w:sz w:val="24"/>
              </w:rPr>
              <w:t>。</w:t>
            </w:r>
          </w:p>
          <w:p w14:paraId="2AFEFEA2">
            <w:pPr>
              <w:snapToGrid w:val="0"/>
              <w:spacing w:line="440" w:lineRule="exact"/>
              <w:textAlignment w:val="center"/>
              <w:rPr>
                <w:rFonts w:ascii="仿宋" w:hAnsi="仿宋" w:eastAsia="仿宋" w:cs="仿宋"/>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B</w:t>
            </w:r>
            <w:r>
              <w:rPr>
                <w:rFonts w:hint="eastAsia" w:ascii="仿宋" w:hAnsi="仿宋" w:eastAsia="仿宋" w:cs="仿宋"/>
                <w:color w:val="auto"/>
                <w:sz w:val="24"/>
              </w:rPr>
              <w:t>服务类。</w:t>
            </w:r>
          </w:p>
        </w:tc>
      </w:tr>
      <w:tr w14:paraId="0981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0AEC3FC4">
            <w:pPr>
              <w:spacing w:line="440" w:lineRule="exact"/>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kern w:val="2"/>
                <w:sz w:val="24"/>
                <w:szCs w:val="24"/>
                <w:lang w:val="en-US" w:eastAsia="zh-CN" w:bidi="ar-SA"/>
              </w:rPr>
              <w:t>14</w:t>
            </w:r>
          </w:p>
        </w:tc>
        <w:tc>
          <w:tcPr>
            <w:tcW w:w="855" w:type="dxa"/>
            <w:vMerge w:val="restart"/>
            <w:vAlign w:val="center"/>
          </w:tcPr>
          <w:p w14:paraId="5BC6D960">
            <w:pPr>
              <w:snapToGrid w:val="0"/>
              <w:spacing w:line="440" w:lineRule="exact"/>
              <w:jc w:val="center"/>
              <w:textAlignment w:val="center"/>
              <w:rPr>
                <w:rFonts w:ascii="仿宋" w:hAnsi="仿宋" w:eastAsia="仿宋" w:cs="仿宋"/>
                <w:b/>
                <w:color w:val="auto"/>
                <w:sz w:val="24"/>
              </w:rPr>
            </w:pPr>
            <w:r>
              <w:rPr>
                <w:rFonts w:hint="eastAsia" w:ascii="仿宋" w:hAnsi="仿宋" w:eastAsia="仿宋" w:cs="仿宋"/>
                <w:b/>
                <w:color w:val="auto"/>
                <w:sz w:val="24"/>
              </w:rPr>
              <w:t>供应商信用信息事项</w:t>
            </w:r>
          </w:p>
        </w:tc>
        <w:tc>
          <w:tcPr>
            <w:tcW w:w="7516" w:type="dxa"/>
            <w:vAlign w:val="center"/>
          </w:tcPr>
          <w:p w14:paraId="21FDB765">
            <w:pPr>
              <w:snapToGrid w:val="0"/>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采购人或采购人将通过“信用中国”网站</w:t>
            </w:r>
            <w:r>
              <w:rPr>
                <w:rFonts w:ascii="仿宋" w:hAnsi="仿宋" w:eastAsia="仿宋" w:cs="仿宋"/>
                <w:color w:val="auto"/>
                <w:sz w:val="24"/>
              </w:rPr>
              <w:t>(www.creditchina.gov.cn)、中国政府采购网(www.ccgp.gov.cn)渠道查询</w:t>
            </w:r>
            <w:r>
              <w:rPr>
                <w:rFonts w:hint="eastAsia" w:ascii="仿宋" w:hAnsi="仿宋" w:eastAsia="仿宋" w:cs="仿宋"/>
                <w:b/>
                <w:color w:val="auto"/>
                <w:sz w:val="24"/>
              </w:rPr>
              <w:t>磋商当天</w:t>
            </w:r>
            <w:r>
              <w:rPr>
                <w:rFonts w:hint="eastAsia" w:ascii="仿宋" w:hAnsi="仿宋" w:eastAsia="仿宋" w:cs="仿宋"/>
                <w:color w:val="auto"/>
                <w:sz w:val="24"/>
              </w:rPr>
              <w:t>的信用记录。</w:t>
            </w:r>
          </w:p>
        </w:tc>
      </w:tr>
      <w:tr w14:paraId="5B45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70354D92">
            <w:pPr>
              <w:keepNext/>
              <w:keepLines/>
              <w:numPr>
                <w:ilvl w:val="2"/>
                <w:numId w:val="1"/>
              </w:numPr>
              <w:spacing w:line="440" w:lineRule="exact"/>
              <w:ind w:left="0"/>
              <w:jc w:val="center"/>
              <w:textAlignment w:val="center"/>
              <w:outlineLvl w:val="2"/>
              <w:rPr>
                <w:rFonts w:ascii="仿宋" w:hAnsi="仿宋" w:eastAsia="仿宋" w:cs="仿宋"/>
                <w:color w:val="auto"/>
                <w:sz w:val="24"/>
              </w:rPr>
            </w:pPr>
          </w:p>
        </w:tc>
        <w:tc>
          <w:tcPr>
            <w:tcW w:w="855" w:type="dxa"/>
            <w:vMerge w:val="continue"/>
            <w:vAlign w:val="center"/>
          </w:tcPr>
          <w:p w14:paraId="1098183E">
            <w:pPr>
              <w:keepNext/>
              <w:keepLines/>
              <w:numPr>
                <w:ilvl w:val="2"/>
                <w:numId w:val="1"/>
              </w:numPr>
              <w:snapToGrid w:val="0"/>
              <w:spacing w:line="440" w:lineRule="exact"/>
              <w:ind w:left="0"/>
              <w:textAlignment w:val="center"/>
              <w:outlineLvl w:val="2"/>
              <w:rPr>
                <w:rFonts w:ascii="仿宋" w:hAnsi="仿宋" w:eastAsia="仿宋" w:cs="仿宋"/>
                <w:b/>
                <w:color w:val="auto"/>
                <w:sz w:val="24"/>
              </w:rPr>
            </w:pPr>
          </w:p>
        </w:tc>
        <w:tc>
          <w:tcPr>
            <w:tcW w:w="7516" w:type="dxa"/>
            <w:vAlign w:val="center"/>
          </w:tcPr>
          <w:p w14:paraId="1DA16433">
            <w:pPr>
              <w:snapToGrid w:val="0"/>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采购人或采购人现场查询供应商的信用记录，查询结果经确认后与磋商响应文件一起存档。</w:t>
            </w:r>
          </w:p>
        </w:tc>
      </w:tr>
      <w:tr w14:paraId="18DB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62F9F65F">
            <w:pPr>
              <w:spacing w:line="440" w:lineRule="exact"/>
              <w:jc w:val="center"/>
              <w:textAlignment w:val="center"/>
              <w:rPr>
                <w:rFonts w:hint="default" w:ascii="仿宋" w:hAnsi="仿宋" w:eastAsia="仿宋" w:cs="仿宋"/>
                <w:color w:val="auto"/>
                <w:kern w:val="2"/>
                <w:sz w:val="24"/>
                <w:szCs w:val="24"/>
                <w:lang w:val="en-US" w:eastAsia="zh-CN" w:bidi="ar-SA"/>
              </w:rPr>
            </w:pPr>
          </w:p>
        </w:tc>
        <w:tc>
          <w:tcPr>
            <w:tcW w:w="855" w:type="dxa"/>
            <w:vMerge w:val="continue"/>
            <w:vAlign w:val="center"/>
          </w:tcPr>
          <w:p w14:paraId="11F10D0C">
            <w:pPr>
              <w:keepNext/>
              <w:keepLines/>
              <w:numPr>
                <w:ilvl w:val="2"/>
                <w:numId w:val="1"/>
              </w:numPr>
              <w:snapToGrid w:val="0"/>
              <w:spacing w:line="440" w:lineRule="exact"/>
              <w:ind w:left="0"/>
              <w:textAlignment w:val="center"/>
              <w:outlineLvl w:val="2"/>
              <w:rPr>
                <w:rFonts w:ascii="仿宋" w:hAnsi="仿宋" w:eastAsia="仿宋" w:cs="仿宋"/>
                <w:b/>
                <w:color w:val="auto"/>
                <w:sz w:val="24"/>
              </w:rPr>
            </w:pPr>
          </w:p>
        </w:tc>
        <w:tc>
          <w:tcPr>
            <w:tcW w:w="7516" w:type="dxa"/>
            <w:vAlign w:val="center"/>
          </w:tcPr>
          <w:p w14:paraId="5F3310AC">
            <w:pPr>
              <w:snapToGrid w:val="0"/>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信用信息的使用规则：</w:t>
            </w:r>
            <w:r>
              <w:rPr>
                <w:rFonts w:hint="eastAsia" w:ascii="仿宋" w:hAnsi="仿宋" w:eastAsia="仿宋" w:cs="仿宋"/>
                <w:color w:val="auto"/>
                <w:sz w:val="24"/>
              </w:rPr>
              <w:t>经查询列入失信被执行人名单、重大税收违法案件当事人名单、政府采购严重违法失信行为记录名单的供应商将被拒绝参与采购活动。</w:t>
            </w:r>
          </w:p>
          <w:p w14:paraId="092C040C">
            <w:pPr>
              <w:snapToGrid w:val="0"/>
              <w:spacing w:line="440" w:lineRule="exact"/>
              <w:textAlignment w:val="center"/>
              <w:rPr>
                <w:rFonts w:ascii="仿宋" w:hAnsi="仿宋" w:eastAsia="仿宋" w:cs="仿宋"/>
                <w:b/>
                <w:color w:val="auto"/>
                <w:sz w:val="24"/>
              </w:rPr>
            </w:pPr>
            <w:r>
              <w:rPr>
                <w:rFonts w:hint="eastAsia" w:ascii="仿宋" w:hAnsi="仿宋" w:eastAsia="仿宋" w:cs="仿宋"/>
                <w:color w:val="auto"/>
                <w:sz w:val="24"/>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7B59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0857D8E">
            <w:pPr>
              <w:spacing w:line="44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15</w:t>
            </w:r>
          </w:p>
        </w:tc>
        <w:tc>
          <w:tcPr>
            <w:tcW w:w="8371" w:type="dxa"/>
            <w:gridSpan w:val="2"/>
            <w:vAlign w:val="center"/>
          </w:tcPr>
          <w:p w14:paraId="14CB0EEF">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需要落实的采购政策：包括保护环境、节约能源等。详见磋商文件第二部分总则。</w:t>
            </w:r>
          </w:p>
        </w:tc>
      </w:tr>
      <w:tr w14:paraId="474B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60641032">
            <w:pPr>
              <w:spacing w:line="44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16</w:t>
            </w:r>
          </w:p>
        </w:tc>
        <w:tc>
          <w:tcPr>
            <w:tcW w:w="8371" w:type="dxa"/>
            <w:gridSpan w:val="2"/>
            <w:vAlign w:val="center"/>
          </w:tcPr>
          <w:p w14:paraId="1B097CDC">
            <w:pPr>
              <w:snapToGrid w:val="0"/>
              <w:spacing w:line="440" w:lineRule="exact"/>
              <w:textAlignment w:val="center"/>
              <w:rPr>
                <w:rFonts w:ascii="仿宋" w:hAnsi="仿宋" w:eastAsia="仿宋" w:cs="仿宋"/>
                <w:color w:val="auto"/>
                <w:sz w:val="24"/>
              </w:rPr>
            </w:pPr>
            <w:r>
              <w:rPr>
                <w:rFonts w:hint="eastAsia" w:ascii="仿宋" w:hAnsi="仿宋" w:eastAsia="仿宋" w:cs="仿宋"/>
                <w:color w:val="auto"/>
                <w:sz w:val="24"/>
              </w:rPr>
              <w:t>更正补充公告请自行登录浙江政府采购网查看下载。</w:t>
            </w:r>
          </w:p>
        </w:tc>
      </w:tr>
      <w:tr w14:paraId="1F21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537BEB6">
            <w:pPr>
              <w:spacing w:line="440" w:lineRule="exact"/>
              <w:jc w:val="center"/>
              <w:textAlignment w:val="center"/>
              <w:rPr>
                <w:rFonts w:hint="default" w:ascii="仿宋" w:hAnsi="仿宋" w:eastAsia="仿宋" w:cs="仿宋"/>
                <w:color w:val="auto"/>
                <w:kern w:val="2"/>
                <w:sz w:val="24"/>
                <w:szCs w:val="24"/>
                <w:lang w:val="en-US" w:eastAsia="zh-CN" w:bidi="ar-SA"/>
              </w:rPr>
            </w:pPr>
            <w:r>
              <w:rPr>
                <w:rFonts w:ascii="仿宋" w:hAnsi="仿宋" w:eastAsia="仿宋" w:cs="仿宋"/>
                <w:color w:val="auto"/>
                <w:sz w:val="24"/>
              </w:rPr>
              <w:t>1</w:t>
            </w:r>
            <w:r>
              <w:rPr>
                <w:rFonts w:hint="eastAsia" w:ascii="仿宋" w:hAnsi="仿宋" w:eastAsia="仿宋" w:cs="仿宋"/>
                <w:color w:val="auto"/>
                <w:sz w:val="24"/>
              </w:rPr>
              <w:t>7</w:t>
            </w:r>
          </w:p>
        </w:tc>
        <w:tc>
          <w:tcPr>
            <w:tcW w:w="8371" w:type="dxa"/>
            <w:gridSpan w:val="2"/>
            <w:vAlign w:val="center"/>
          </w:tcPr>
          <w:p w14:paraId="72DDA96F">
            <w:pPr>
              <w:snapToGrid w:val="0"/>
              <w:spacing w:line="440" w:lineRule="exact"/>
              <w:textAlignment w:val="center"/>
              <w:rPr>
                <w:rFonts w:ascii="仿宋" w:hAnsi="仿宋" w:eastAsia="仿宋" w:cs="仿宋"/>
                <w:color w:val="auto"/>
                <w:sz w:val="24"/>
              </w:rPr>
            </w:pPr>
            <w:r>
              <w:rPr>
                <w:rFonts w:hint="eastAsia" w:ascii="仿宋" w:hAnsi="仿宋" w:eastAsia="仿宋" w:cs="仿宋"/>
                <w:color w:val="auto"/>
                <w:sz w:val="24"/>
              </w:rPr>
              <w:t>磋商注意事项：</w:t>
            </w:r>
          </w:p>
          <w:p w14:paraId="35576DCE">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1.本项目实行网上磋商，采用电子磋商响应文件。若供应商参与磋商，自行承担磋商一切费用。</w:t>
            </w:r>
          </w:p>
          <w:p w14:paraId="727F4648">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2.磋商前准备：各供应商应在磋商前完成CA数字证书办理。供应商将</w:t>
            </w:r>
            <w:r>
              <w:rPr>
                <w:rFonts w:hint="eastAsia" w:ascii="仿宋" w:hAnsi="仿宋" w:eastAsia="仿宋" w:cs="仿宋"/>
                <w:color w:val="auto"/>
                <w:sz w:val="24"/>
              </w:rPr>
              <w:t>乐采云电子交易客户端下载、安装完成后，可通过账号密码或</w:t>
            </w:r>
            <w:r>
              <w:rPr>
                <w:rFonts w:ascii="仿宋" w:hAnsi="仿宋" w:eastAsia="仿宋" w:cs="仿宋"/>
                <w:color w:val="auto"/>
                <w:sz w:val="24"/>
              </w:rPr>
              <w:t>CA登录客户端进行磋商响应文件制作。在使用</w:t>
            </w:r>
            <w:r>
              <w:rPr>
                <w:rFonts w:hint="eastAsia" w:ascii="仿宋" w:hAnsi="仿宋" w:eastAsia="仿宋" w:cs="仿宋"/>
                <w:color w:val="auto"/>
                <w:sz w:val="24"/>
              </w:rPr>
              <w:t>乐采云电子交易客户端时，建议使用</w:t>
            </w:r>
            <w:r>
              <w:rPr>
                <w:rFonts w:ascii="仿宋" w:hAnsi="仿宋" w:eastAsia="仿宋" w:cs="仿宋"/>
                <w:color w:val="auto"/>
                <w:sz w:val="24"/>
              </w:rPr>
              <w:t>WIN7及以上操作系统。</w:t>
            </w:r>
          </w:p>
          <w:p w14:paraId="62EF0FD1">
            <w:pPr>
              <w:snapToGrid w:val="0"/>
              <w:spacing w:line="440" w:lineRule="exact"/>
              <w:textAlignment w:val="center"/>
              <w:rPr>
                <w:rFonts w:ascii="仿宋" w:hAnsi="仿宋" w:eastAsia="仿宋" w:cs="仿宋"/>
                <w:color w:val="auto"/>
                <w:sz w:val="24"/>
              </w:rPr>
            </w:pPr>
            <w:r>
              <w:rPr>
                <w:rFonts w:hint="eastAsia" w:ascii="仿宋" w:hAnsi="仿宋" w:eastAsia="仿宋" w:cs="仿宋"/>
                <w:color w:val="auto"/>
                <w:sz w:val="24"/>
              </w:rPr>
              <w:t>注：供应商</w:t>
            </w:r>
            <w:r>
              <w:rPr>
                <w:rFonts w:ascii="仿宋" w:hAnsi="仿宋" w:eastAsia="仿宋" w:cs="仿宋"/>
                <w:color w:val="auto"/>
                <w:sz w:val="24"/>
              </w:rPr>
              <w:t>CA相关操作可参考</w:t>
            </w:r>
            <w:r>
              <w:rPr>
                <w:rFonts w:hint="eastAsia" w:ascii="仿宋" w:hAnsi="仿宋" w:eastAsia="仿宋" w:cs="仿宋"/>
                <w:color w:val="auto"/>
                <w:sz w:val="24"/>
              </w:rPr>
              <w:t>乐采云平台</w:t>
            </w:r>
            <w:r>
              <w:rPr>
                <w:rFonts w:ascii="仿宋" w:hAnsi="仿宋" w:eastAsia="仿宋" w:cs="仿宋"/>
                <w:color w:val="auto"/>
              </w:rPr>
              <w:t>https://www.lecaiyun.com/</w:t>
            </w:r>
            <w:r>
              <w:rPr>
                <w:rFonts w:hint="eastAsia" w:ascii="仿宋" w:hAnsi="仿宋" w:eastAsia="仿宋" w:cs="仿宋"/>
                <w:color w:val="auto"/>
                <w:sz w:val="24"/>
              </w:rPr>
              <w:t>《</w:t>
            </w:r>
            <w:r>
              <w:rPr>
                <w:rFonts w:ascii="仿宋" w:hAnsi="仿宋" w:eastAsia="仿宋" w:cs="仿宋"/>
                <w:color w:val="auto"/>
                <w:sz w:val="24"/>
              </w:rPr>
              <w:t>CA申领操作指南》和《CA管理操作指南》。完成CA数字证书办理在资料齐全的情况下预计7个工作日左右，建议供应商获取磋商文件后立即办理。</w:t>
            </w:r>
          </w:p>
          <w:p w14:paraId="313FDFA5">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3.磋商响应文件制作、递交、解密：</w:t>
            </w:r>
          </w:p>
          <w:p w14:paraId="348790E3">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3.1应按照本项目磋商文件和</w:t>
            </w:r>
            <w:r>
              <w:rPr>
                <w:rFonts w:hint="eastAsia" w:ascii="仿宋" w:hAnsi="仿宋" w:eastAsia="仿宋" w:cs="仿宋"/>
                <w:color w:val="auto"/>
                <w:sz w:val="24"/>
              </w:rPr>
              <w:t>乐采云平台的要求编制、加密传输磋商响应文件。供应商在使用系统进行磋商响应的过程中遇到涉及平台使用的任何问题，可致电乐采云平台技术支持热线咨询，联系方式：</w:t>
            </w:r>
            <w:r>
              <w:rPr>
                <w:rFonts w:ascii="仿宋" w:hAnsi="仿宋" w:eastAsia="仿宋" w:cs="仿宋"/>
                <w:color w:val="auto"/>
                <w:sz w:val="24"/>
              </w:rPr>
              <w:t>95763。</w:t>
            </w:r>
          </w:p>
          <w:p w14:paraId="40EB9ED7">
            <w:pPr>
              <w:snapToGrid w:val="0"/>
              <w:spacing w:line="440" w:lineRule="exact"/>
              <w:jc w:val="left"/>
              <w:textAlignment w:val="center"/>
              <w:rPr>
                <w:rFonts w:ascii="仿宋" w:hAnsi="仿宋" w:eastAsia="仿宋" w:cs="仿宋"/>
                <w:color w:val="auto"/>
                <w:sz w:val="24"/>
              </w:rPr>
            </w:pPr>
            <w:r>
              <w:rPr>
                <w:rFonts w:ascii="仿宋" w:hAnsi="仿宋" w:eastAsia="仿宋" w:cs="仿宋"/>
                <w:color w:val="auto"/>
                <w:sz w:val="24"/>
              </w:rPr>
              <w:t>3.2供应商通过“</w:t>
            </w:r>
            <w:r>
              <w:rPr>
                <w:rFonts w:hint="eastAsia" w:ascii="仿宋" w:hAnsi="仿宋" w:eastAsia="仿宋" w:cs="仿宋"/>
                <w:color w:val="auto"/>
                <w:sz w:val="24"/>
              </w:rPr>
              <w:t>乐采云”平台制作电子磋商响应文件，磋商响应文件制作详见“供应商</w:t>
            </w:r>
            <w:r>
              <w:rPr>
                <w:rFonts w:ascii="仿宋" w:hAnsi="仿宋" w:eastAsia="仿宋" w:cs="仿宋"/>
                <w:color w:val="auto"/>
                <w:sz w:val="24"/>
              </w:rPr>
              <w:t>-政府采购项目电子交易操作指南”。</w:t>
            </w:r>
          </w:p>
          <w:p w14:paraId="420A1475">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3.3响应文件开启后30分钟内供应商可以登录“</w:t>
            </w:r>
            <w:r>
              <w:rPr>
                <w:rFonts w:hint="eastAsia" w:ascii="仿宋" w:hAnsi="仿宋" w:eastAsia="仿宋" w:cs="仿宋"/>
                <w:color w:val="auto"/>
                <w:sz w:val="24"/>
              </w:rPr>
              <w:t>乐采云”平台，用“项目采购</w:t>
            </w:r>
            <w:r>
              <w:rPr>
                <w:rFonts w:ascii="仿宋" w:hAnsi="仿宋" w:eastAsia="仿宋" w:cs="仿宋"/>
                <w:color w:val="auto"/>
                <w:sz w:val="24"/>
              </w:rPr>
              <w:t>-开标评标”功能进行解密磋商响应文件。若供应商</w:t>
            </w:r>
            <w:r>
              <w:rPr>
                <w:rFonts w:hint="eastAsia" w:ascii="仿宋" w:hAnsi="仿宋" w:eastAsia="仿宋" w:cs="仿宋"/>
                <w:b/>
                <w:color w:val="auto"/>
                <w:sz w:val="24"/>
                <w:u w:val="single"/>
              </w:rPr>
              <w:t>未按时解密的</w:t>
            </w:r>
            <w:r>
              <w:rPr>
                <w:rFonts w:hint="eastAsia" w:ascii="仿宋" w:hAnsi="仿宋" w:eastAsia="仿宋" w:cs="仿宋"/>
                <w:color w:val="auto"/>
                <w:sz w:val="24"/>
              </w:rPr>
              <w:t>，</w:t>
            </w:r>
            <w:r>
              <w:rPr>
                <w:rFonts w:hint="eastAsia" w:ascii="仿宋" w:hAnsi="仿宋" w:eastAsia="仿宋" w:cs="仿宋"/>
                <w:b/>
                <w:color w:val="auto"/>
                <w:sz w:val="24"/>
                <w:u w:val="single"/>
              </w:rPr>
              <w:t>视为磋商响应文件撤回</w:t>
            </w:r>
            <w:r>
              <w:rPr>
                <w:rFonts w:hint="eastAsia" w:ascii="仿宋" w:hAnsi="仿宋" w:eastAsia="仿宋" w:cs="仿宋"/>
                <w:color w:val="auto"/>
                <w:sz w:val="24"/>
              </w:rPr>
              <w:t>。</w:t>
            </w:r>
          </w:p>
        </w:tc>
      </w:tr>
      <w:tr w14:paraId="61F2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B4AABCA">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18                                                                                                                                                                                                                                                                                                                                                                                                                                                                                                                                                                                                                                                                                                                                                                                                                                                                                                                                                                                                                                                                                                                                                                                                                                                                                                                                       </w:t>
            </w:r>
          </w:p>
        </w:tc>
        <w:tc>
          <w:tcPr>
            <w:tcW w:w="8371" w:type="dxa"/>
            <w:gridSpan w:val="2"/>
            <w:vAlign w:val="center"/>
          </w:tcPr>
          <w:p w14:paraId="606C8553">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备份响应文件：</w:t>
            </w:r>
          </w:p>
          <w:p w14:paraId="4FA32F41">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(1)供应商在“乐采云平台”完成电子加密“磋商响应文件”的在线传输递交后，还可以在响应截止时间前通过EMS、顺丰邮寄等形式送达以介质存储的数据电文形式的“备份响应文件”。</w:t>
            </w:r>
            <w:r>
              <w:rPr>
                <w:rFonts w:hint="eastAsia" w:ascii="仿宋" w:hAnsi="仿宋" w:eastAsia="仿宋" w:cs="仿宋"/>
                <w:b/>
                <w:bCs/>
                <w:color w:val="auto"/>
                <w:kern w:val="2"/>
                <w:sz w:val="24"/>
                <w:szCs w:val="24"/>
                <w:lang w:val="en-US" w:eastAsia="zh-CN" w:bidi="ar-SA"/>
              </w:rPr>
              <w:t>“备份响应文件”由供应商自愿提交，采购文件不作强制性要求</w:t>
            </w:r>
            <w:r>
              <w:rPr>
                <w:rFonts w:hint="eastAsia" w:ascii="仿宋" w:hAnsi="仿宋" w:eastAsia="仿宋" w:cs="仿宋"/>
                <w:color w:val="auto"/>
                <w:kern w:val="2"/>
                <w:sz w:val="24"/>
                <w:szCs w:val="24"/>
                <w:lang w:val="en-US" w:eastAsia="zh-CN" w:bidi="ar-SA"/>
              </w:rPr>
              <w:t>，但供应商仅递交了“备份响应文件”的，响应无效。</w:t>
            </w:r>
          </w:p>
          <w:p w14:paraId="33BB73FF">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备份响应文件:密封包装后（建议以EMS、顺丰邮寄等形式）响应截止时间前（送达时间以采购组织机构实际签收时间为准）送达（一份）（邮寄地址：嵊州市三江街道官河南路333号商会大厦十四层1407室，竺小霞，0575-83176688）。</w:t>
            </w:r>
          </w:p>
          <w:p w14:paraId="5E9777F4">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(3)“备份响应文件”应当密封包装，并在包装上加盖公章并注明响应项目名称，供应商名称(若联合体响应的，包装物封面需注明联合体响应，并注明联合体成员各方的名称和联合协议中约定的牵头人的名称)。没有密封包装或标识或盖章或逾期送达至响应地点的“备份响应文件”视为未递交。</w:t>
            </w:r>
          </w:p>
        </w:tc>
      </w:tr>
      <w:tr w14:paraId="4251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5C35E152">
            <w:pPr>
              <w:spacing w:line="440" w:lineRule="exac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19</w:t>
            </w:r>
          </w:p>
        </w:tc>
        <w:tc>
          <w:tcPr>
            <w:tcW w:w="8371" w:type="dxa"/>
            <w:gridSpan w:val="2"/>
            <w:vAlign w:val="center"/>
          </w:tcPr>
          <w:p w14:paraId="66523C9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ascii="仿宋" w:hAnsi="仿宋" w:eastAsia="仿宋" w:cs="仿宋"/>
                <w:b/>
                <w:color w:val="auto"/>
                <w:sz w:val="24"/>
                <w:szCs w:val="24"/>
              </w:rPr>
            </w:pPr>
            <w:r>
              <w:rPr>
                <w:rFonts w:hint="eastAsia" w:ascii="仿宋" w:hAnsi="仿宋" w:eastAsia="仿宋" w:cs="仿宋"/>
                <w:b/>
                <w:bCs/>
                <w:color w:val="auto"/>
                <w:kern w:val="2"/>
                <w:sz w:val="24"/>
                <w:szCs w:val="24"/>
                <w:lang w:val="en-US" w:eastAsia="zh-CN" w:bidi="ar-SA"/>
              </w:rPr>
              <w:t>采购代理服务费：</w:t>
            </w:r>
          </w:p>
          <w:p w14:paraId="6ACCB6CB">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成交</w:t>
            </w:r>
            <w:r>
              <w:rPr>
                <w:rFonts w:hint="eastAsia" w:ascii="仿宋" w:hAnsi="仿宋" w:eastAsia="仿宋" w:cs="仿宋"/>
                <w:color w:val="auto"/>
                <w:sz w:val="24"/>
                <w:szCs w:val="24"/>
              </w:rPr>
              <w:t>供应商须向采购代理机构按如下标准和规定交纳成交服务费，请在响应报价中自行考虑：</w:t>
            </w:r>
          </w:p>
          <w:p w14:paraId="7C56B57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①</w:t>
            </w:r>
            <w:r>
              <w:rPr>
                <w:rFonts w:hint="eastAsia" w:ascii="仿宋" w:hAnsi="仿宋" w:eastAsia="仿宋" w:cs="仿宋"/>
                <w:color w:val="auto"/>
                <w:sz w:val="24"/>
                <w:szCs w:val="24"/>
                <w:highlight w:val="none"/>
                <w:lang w:val="en-US" w:eastAsia="zh-CN"/>
              </w:rPr>
              <w:t>本项目采购</w:t>
            </w:r>
            <w:r>
              <w:rPr>
                <w:rFonts w:hint="eastAsia" w:ascii="仿宋" w:hAnsi="仿宋" w:eastAsia="仿宋" w:cs="仿宋"/>
                <w:color w:val="auto"/>
                <w:sz w:val="24"/>
                <w:szCs w:val="24"/>
                <w:highlight w:val="none"/>
              </w:rPr>
              <w:t>代理</w:t>
            </w:r>
            <w:r>
              <w:rPr>
                <w:rFonts w:hint="eastAsia" w:ascii="仿宋" w:hAnsi="仿宋" w:eastAsia="仿宋" w:cs="仿宋"/>
                <w:color w:val="auto"/>
                <w:sz w:val="24"/>
                <w:szCs w:val="24"/>
                <w:highlight w:val="none"/>
                <w:lang w:val="en-US" w:eastAsia="zh-CN"/>
              </w:rPr>
              <w:t>服务费6000元</w:t>
            </w:r>
            <w:r>
              <w:rPr>
                <w:rFonts w:hint="eastAsia" w:ascii="仿宋" w:hAnsi="仿宋" w:eastAsia="仿宋" w:cs="仿宋"/>
                <w:color w:val="auto"/>
                <w:sz w:val="24"/>
                <w:szCs w:val="24"/>
                <w:highlight w:val="none"/>
                <w:lang w:eastAsia="zh-CN"/>
              </w:rPr>
              <w:t>，其他费用按实支付，</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成功后向</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单位收取</w:t>
            </w:r>
            <w:r>
              <w:rPr>
                <w:rFonts w:hint="eastAsia" w:ascii="仿宋" w:hAnsi="仿宋" w:eastAsia="仿宋" w:cs="仿宋"/>
                <w:snapToGrid w:val="0"/>
                <w:color w:val="auto"/>
                <w:kern w:val="28"/>
                <w:sz w:val="24"/>
                <w:szCs w:val="24"/>
                <w:lang w:val="en-US" w:eastAsia="zh-CN" w:bidi="ar-SA"/>
              </w:rPr>
              <w:t>。</w:t>
            </w:r>
          </w:p>
          <w:p w14:paraId="4012C9C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②用银行支票、电汇、现金等付款方式直接交纳代理服务费。</w:t>
            </w:r>
          </w:p>
          <w:p w14:paraId="5EA8663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 xml:space="preserve">公司名称: </w:t>
            </w:r>
            <w:r>
              <w:rPr>
                <w:rFonts w:hint="eastAsia" w:ascii="仿宋" w:hAnsi="仿宋" w:eastAsia="仿宋" w:cs="仿宋"/>
                <w:snapToGrid w:val="0"/>
                <w:color w:val="auto"/>
                <w:kern w:val="28"/>
                <w:sz w:val="24"/>
                <w:highlight w:val="none"/>
                <w:lang w:eastAsia="zh-CN"/>
              </w:rPr>
              <w:t>绍兴平准招标代理有限公司</w:t>
            </w:r>
          </w:p>
          <w:p w14:paraId="27041E7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 xml:space="preserve">开户行: </w:t>
            </w:r>
            <w:r>
              <w:rPr>
                <w:rFonts w:hint="eastAsia" w:ascii="仿宋" w:hAnsi="仿宋" w:eastAsia="仿宋" w:cs="仿宋"/>
                <w:snapToGrid w:val="0"/>
                <w:color w:val="auto"/>
                <w:kern w:val="28"/>
                <w:sz w:val="24"/>
                <w:highlight w:val="none"/>
                <w:lang w:eastAsia="zh-CN"/>
              </w:rPr>
              <w:t>建设银行嵊州新城支行</w:t>
            </w:r>
          </w:p>
          <w:p w14:paraId="230A3BF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lang w:eastAsia="zh-CN"/>
              </w:rPr>
            </w:pPr>
            <w:r>
              <w:rPr>
                <w:rFonts w:hint="eastAsia" w:ascii="仿宋" w:hAnsi="仿宋" w:eastAsia="仿宋" w:cs="仿宋"/>
                <w:snapToGrid w:val="0"/>
                <w:color w:val="auto"/>
                <w:kern w:val="28"/>
                <w:sz w:val="24"/>
                <w:highlight w:val="none"/>
              </w:rPr>
              <w:t xml:space="preserve">账号: </w:t>
            </w:r>
            <w:r>
              <w:rPr>
                <w:rFonts w:hint="eastAsia" w:ascii="仿宋" w:hAnsi="仿宋" w:eastAsia="仿宋" w:cs="仿宋"/>
                <w:snapToGrid w:val="0"/>
                <w:color w:val="auto"/>
                <w:kern w:val="28"/>
                <w:sz w:val="24"/>
                <w:highlight w:val="none"/>
                <w:lang w:eastAsia="zh-CN"/>
              </w:rPr>
              <w:t>33050165655009888888</w:t>
            </w:r>
          </w:p>
        </w:tc>
      </w:tr>
      <w:tr w14:paraId="1B95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284AD82D">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w:t>
            </w:r>
          </w:p>
        </w:tc>
        <w:tc>
          <w:tcPr>
            <w:tcW w:w="8371" w:type="dxa"/>
            <w:gridSpan w:val="2"/>
            <w:vAlign w:val="center"/>
          </w:tcPr>
          <w:p w14:paraId="4B0D58D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sz w:val="24"/>
                <w:szCs w:val="24"/>
              </w:rPr>
            </w:pPr>
            <w:r>
              <w:rPr>
                <w:rFonts w:hint="eastAsia" w:ascii="仿宋" w:hAnsi="仿宋" w:eastAsia="仿宋" w:cs="仿宋"/>
                <w:b/>
                <w:bCs/>
                <w:color w:val="auto"/>
                <w:kern w:val="2"/>
                <w:sz w:val="24"/>
                <w:szCs w:val="24"/>
                <w:lang w:val="en-US" w:eastAsia="zh-CN" w:bidi="ar-SA"/>
              </w:rPr>
              <w:t>推荐成交候选人数量：</w:t>
            </w:r>
            <w:r>
              <w:rPr>
                <w:rFonts w:hint="eastAsia" w:ascii="仿宋" w:hAnsi="仿宋" w:eastAsia="仿宋" w:cs="仿宋"/>
                <w:color w:val="auto"/>
                <w:kern w:val="2"/>
                <w:sz w:val="24"/>
                <w:szCs w:val="24"/>
                <w:lang w:val="en-US" w:eastAsia="zh-CN" w:bidi="ar-SA"/>
              </w:rPr>
              <w:t>1名</w:t>
            </w:r>
          </w:p>
        </w:tc>
      </w:tr>
      <w:tr w14:paraId="768B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26462072">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lang w:val="en-US" w:eastAsia="zh-CN" w:bidi="ar-SA"/>
              </w:rPr>
            </w:pPr>
          </w:p>
        </w:tc>
        <w:tc>
          <w:tcPr>
            <w:tcW w:w="8371" w:type="dxa"/>
            <w:gridSpan w:val="2"/>
            <w:vAlign w:val="center"/>
          </w:tcPr>
          <w:p w14:paraId="7867F3D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其他：</w:t>
            </w:r>
          </w:p>
          <w:p w14:paraId="71514061">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sz w:val="24"/>
                <w:szCs w:val="24"/>
              </w:rPr>
            </w:pPr>
            <w:r>
              <w:rPr>
                <w:rFonts w:hint="eastAsia" w:ascii="仿宋" w:hAnsi="仿宋" w:eastAsia="仿宋" w:cs="仿宋"/>
                <w:b/>
                <w:bCs/>
                <w:color w:val="auto"/>
                <w:kern w:val="2"/>
                <w:sz w:val="24"/>
                <w:szCs w:val="24"/>
                <w:lang w:val="en-US" w:eastAsia="zh-CN" w:bidi="ar-SA"/>
              </w:rPr>
              <w:t>在领取成交通知书时成交供应商需根据采购人要求提供纸质磋商响应文件（与电子响应文件一致）至少三份，递交至代理机构，如与电子响应文件不符将影响成交供应商领取成交通知书。</w:t>
            </w:r>
          </w:p>
        </w:tc>
      </w:tr>
      <w:tr w14:paraId="48E5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0" w:type="dxa"/>
            <w:gridSpan w:val="3"/>
            <w:vAlign w:val="center"/>
          </w:tcPr>
          <w:p w14:paraId="2D6AF56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sz w:val="24"/>
                <w:highlight w:val="none"/>
              </w:rPr>
              <w:t>解释：凡涉及本采购文件的解释权属于招标采购单位和采购代理机构。</w:t>
            </w:r>
          </w:p>
        </w:tc>
      </w:tr>
      <w:tr w14:paraId="7FC6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0" w:type="dxa"/>
            <w:gridSpan w:val="3"/>
            <w:vAlign w:val="center"/>
          </w:tcPr>
          <w:p w14:paraId="3432D7A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bCs/>
                <w:color w:val="auto"/>
                <w:kern w:val="2"/>
                <w:sz w:val="24"/>
                <w:szCs w:val="24"/>
                <w:lang w:val="en-US" w:eastAsia="zh-CN" w:bidi="ar-SA"/>
              </w:rPr>
            </w:pPr>
            <w:r>
              <w:rPr>
                <w:rFonts w:hint="eastAsia" w:ascii="仿宋" w:hAnsi="仿宋" w:eastAsia="仿宋" w:cs="仿宋"/>
                <w:b w:val="0"/>
                <w:bCs/>
                <w:color w:val="auto"/>
                <w:sz w:val="24"/>
                <w:highlight w:val="none"/>
              </w:rPr>
              <w:t>注：</w:t>
            </w:r>
            <w:r>
              <w:rPr>
                <w:rFonts w:hint="eastAsia" w:ascii="仿宋" w:hAnsi="仿宋" w:eastAsia="仿宋" w:cs="仿宋"/>
                <w:b w:val="0"/>
                <w:bCs/>
                <w:color w:val="auto"/>
                <w:sz w:val="24"/>
                <w:highlight w:val="none"/>
                <w:lang w:val="en-US" w:eastAsia="zh-CN"/>
              </w:rPr>
              <w:t>成交</w:t>
            </w:r>
            <w:r>
              <w:rPr>
                <w:rFonts w:hint="eastAsia" w:ascii="仿宋" w:hAnsi="仿宋" w:eastAsia="仿宋" w:cs="仿宋"/>
                <w:b w:val="0"/>
                <w:bCs/>
                <w:color w:val="auto"/>
                <w:sz w:val="24"/>
                <w:highlight w:val="none"/>
              </w:rPr>
              <w:t>候选人</w:t>
            </w:r>
            <w:r>
              <w:rPr>
                <w:rFonts w:hint="eastAsia" w:ascii="仿宋" w:hAnsi="仿宋" w:eastAsia="仿宋" w:cs="仿宋"/>
                <w:color w:val="auto"/>
                <w:sz w:val="24"/>
                <w:szCs w:val="24"/>
              </w:rPr>
              <w:t>放弃</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资格或因质疑、投诉被取消成交资格或不能履行合同的，本项目重新开展采购活动。</w:t>
            </w:r>
          </w:p>
        </w:tc>
      </w:tr>
    </w:tbl>
    <w:p w14:paraId="3276C039">
      <w:pPr>
        <w:pageBreakBefore/>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一、总则</w:t>
      </w:r>
    </w:p>
    <w:p w14:paraId="06531432">
      <w:pPr>
        <w:keepNext w:val="0"/>
        <w:keepLines w:val="0"/>
        <w:pageBreakBefore w:val="0"/>
        <w:widowControl w:val="0"/>
        <w:kinsoku/>
        <w:wordWrap/>
        <w:overflowPunct/>
        <w:topLinePunct w:val="0"/>
        <w:autoSpaceDE/>
        <w:autoSpaceDN/>
        <w:bidi w:val="0"/>
        <w:snapToGrid w:val="0"/>
        <w:spacing w:line="360" w:lineRule="auto"/>
        <w:jc w:val="left"/>
        <w:textAlignment w:val="auto"/>
        <w:outlineLvl w:val="1"/>
        <w:rPr>
          <w:rFonts w:ascii="仿宋" w:hAnsi="仿宋" w:eastAsia="仿宋" w:cs="仿宋"/>
          <w:b/>
          <w:color w:val="auto"/>
          <w:sz w:val="24"/>
        </w:rPr>
      </w:pPr>
      <w:r>
        <w:rPr>
          <w:rFonts w:ascii="仿宋" w:hAnsi="仿宋" w:eastAsia="仿宋" w:cs="仿宋"/>
          <w:b/>
          <w:color w:val="auto"/>
          <w:sz w:val="24"/>
        </w:rPr>
        <w:t>1.</w:t>
      </w:r>
      <w:r>
        <w:rPr>
          <w:rFonts w:hint="eastAsia" w:ascii="仿宋" w:hAnsi="仿宋" w:eastAsia="仿宋" w:cs="仿宋"/>
          <w:b/>
          <w:color w:val="auto"/>
          <w:sz w:val="24"/>
        </w:rPr>
        <w:t>适用范围</w:t>
      </w:r>
    </w:p>
    <w:p w14:paraId="4C9FA569">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rPr>
      </w:pPr>
      <w:r>
        <w:rPr>
          <w:rFonts w:hint="eastAsia" w:ascii="仿宋" w:hAnsi="仿宋" w:eastAsia="仿宋" w:cs="仿宋"/>
          <w:color w:val="auto"/>
          <w:sz w:val="24"/>
        </w:rPr>
        <w:t>本磋商文件适用于该项目的邀请、响应、开启响应文件、信用信息查询、资格性审查、评审、成交、合同、验收等行为（法律、法规另有规定的，从其规定）。</w:t>
      </w:r>
    </w:p>
    <w:p w14:paraId="19E9C5A0">
      <w:pPr>
        <w:keepNext w:val="0"/>
        <w:keepLines w:val="0"/>
        <w:pageBreakBefore w:val="0"/>
        <w:widowControl w:val="0"/>
        <w:kinsoku/>
        <w:wordWrap/>
        <w:overflowPunct/>
        <w:topLinePunct w:val="0"/>
        <w:autoSpaceDE/>
        <w:autoSpaceDN/>
        <w:bidi w:val="0"/>
        <w:adjustRightInd/>
        <w:spacing w:line="360" w:lineRule="auto"/>
        <w:textAlignment w:val="auto"/>
        <w:outlineLvl w:val="0"/>
        <w:rPr>
          <w:rFonts w:ascii="仿宋" w:hAnsi="仿宋" w:eastAsia="仿宋" w:cs="仿宋"/>
          <w:b/>
          <w:color w:val="auto"/>
          <w:sz w:val="24"/>
        </w:rPr>
      </w:pPr>
      <w:r>
        <w:rPr>
          <w:rFonts w:ascii="仿宋" w:hAnsi="仿宋" w:eastAsia="仿宋" w:cs="仿宋"/>
          <w:b/>
          <w:color w:val="auto"/>
          <w:sz w:val="24"/>
        </w:rPr>
        <w:t>2.定义</w:t>
      </w:r>
    </w:p>
    <w:p w14:paraId="21D5453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2.1 </w:t>
      </w:r>
      <w:r>
        <w:rPr>
          <w:rFonts w:hint="eastAsia" w:ascii="仿宋" w:hAnsi="仿宋" w:eastAsia="仿宋" w:cs="仿宋"/>
          <w:color w:val="auto"/>
          <w:sz w:val="24"/>
        </w:rPr>
        <w:t>“采购人”系指磋商邀请公告中载明的本项目的采购人。</w:t>
      </w:r>
    </w:p>
    <w:p w14:paraId="4DBCAAD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2.2 </w:t>
      </w:r>
      <w:r>
        <w:rPr>
          <w:rFonts w:hint="eastAsia" w:ascii="仿宋" w:hAnsi="仿宋" w:eastAsia="仿宋" w:cs="仿宋"/>
          <w:color w:val="auto"/>
          <w:sz w:val="24"/>
        </w:rPr>
        <w:t>“采购代理机构”系指磋商邀请公告中载明的本项目的采购代理机构。</w:t>
      </w:r>
    </w:p>
    <w:p w14:paraId="7740B85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2.3 </w:t>
      </w:r>
      <w:r>
        <w:rPr>
          <w:rFonts w:hint="eastAsia" w:ascii="仿宋" w:hAnsi="仿宋" w:eastAsia="仿宋" w:cs="仿宋"/>
          <w:color w:val="auto"/>
          <w:sz w:val="24"/>
        </w:rPr>
        <w:t>“投标人”“供应商”系指响应磋商、参加本次竞争的法人、其他组织或自然人。</w:t>
      </w:r>
    </w:p>
    <w:p w14:paraId="73526B9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2.4“监督单位”系指</w:t>
      </w:r>
      <w:r>
        <w:rPr>
          <w:rFonts w:hint="eastAsia" w:ascii="仿宋" w:hAnsi="仿宋" w:eastAsia="仿宋" w:cs="仿宋"/>
          <w:color w:val="auto"/>
          <w:sz w:val="24"/>
        </w:rPr>
        <w:t>本项目的</w:t>
      </w:r>
      <w:r>
        <w:rPr>
          <w:rFonts w:ascii="仿宋" w:hAnsi="仿宋" w:eastAsia="仿宋" w:cs="仿宋"/>
          <w:color w:val="auto"/>
          <w:sz w:val="24"/>
        </w:rPr>
        <w:t>监督管理</w:t>
      </w:r>
      <w:r>
        <w:rPr>
          <w:rFonts w:hint="eastAsia" w:ascii="仿宋" w:hAnsi="仿宋" w:eastAsia="仿宋" w:cs="仿宋"/>
          <w:color w:val="auto"/>
          <w:sz w:val="24"/>
          <w:lang w:val="en-US" w:eastAsia="zh-CN"/>
        </w:rPr>
        <w:t>机构</w:t>
      </w:r>
      <w:r>
        <w:rPr>
          <w:rFonts w:hint="eastAsia" w:ascii="仿宋" w:hAnsi="仿宋" w:eastAsia="仿宋" w:cs="仿宋"/>
          <w:color w:val="auto"/>
          <w:sz w:val="24"/>
        </w:rPr>
        <w:t>。</w:t>
      </w:r>
    </w:p>
    <w:p w14:paraId="1B48A09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2.5“负责人”系指法人企业的法定负责人，或其他组织为法律、行政法规规定代表单位行使职权的主要负责人，或自然人本人。</w:t>
      </w:r>
    </w:p>
    <w:p w14:paraId="579788D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2.6“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2017341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2.7“电子交易平台”系指本项目采购活动所依托的乐采云平台（</w:t>
      </w:r>
      <w:r>
        <w:rPr>
          <w:color w:val="auto"/>
        </w:rPr>
        <w:fldChar w:fldCharType="begin"/>
      </w:r>
      <w:r>
        <w:rPr>
          <w:color w:val="auto"/>
        </w:rPr>
        <w:instrText xml:space="preserve"> HYPERLINK "https://www.zcygov.cn/" </w:instrText>
      </w:r>
      <w:r>
        <w:rPr>
          <w:color w:val="auto"/>
        </w:rPr>
        <w:fldChar w:fldCharType="separate"/>
      </w:r>
      <w:r>
        <w:rPr>
          <w:rStyle w:val="69"/>
          <w:rFonts w:ascii="仿宋" w:hAnsi="仿宋" w:eastAsia="仿宋" w:cs="仿宋"/>
          <w:snapToGrid/>
          <w:color w:val="auto"/>
          <w:kern w:val="2"/>
          <w:sz w:val="24"/>
          <w:szCs w:val="24"/>
        </w:rPr>
        <w:t>https://www.lecaiyun.com/</w:t>
      </w:r>
      <w:r>
        <w:rPr>
          <w:rStyle w:val="69"/>
          <w:rFonts w:ascii="仿宋" w:hAnsi="仿宋" w:eastAsia="仿宋" w:cs="仿宋"/>
          <w:snapToGrid/>
          <w:color w:val="auto"/>
          <w:kern w:val="2"/>
          <w:sz w:val="24"/>
          <w:szCs w:val="24"/>
        </w:rPr>
        <w:fldChar w:fldCharType="end"/>
      </w:r>
      <w:r>
        <w:rPr>
          <w:rFonts w:hint="eastAsia" w:ascii="仿宋" w:hAnsi="仿宋" w:eastAsia="仿宋" w:cs="仿宋"/>
          <w:color w:val="auto"/>
          <w:sz w:val="24"/>
        </w:rPr>
        <w:t>）</w:t>
      </w:r>
    </w:p>
    <w:p w14:paraId="5B8AE28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2.8“★”系指实质性指标要求条款</w:t>
      </w:r>
      <w:r>
        <w:rPr>
          <w:rFonts w:hint="eastAsia" w:ascii="仿宋" w:hAnsi="仿宋" w:eastAsia="仿宋" w:cs="仿宋"/>
          <w:color w:val="auto"/>
          <w:sz w:val="24"/>
          <w:lang w:eastAsia="zh-CN"/>
        </w:rPr>
        <w:t>，</w:t>
      </w:r>
      <w:r>
        <w:rPr>
          <w:rFonts w:hint="eastAsia" w:ascii="仿宋" w:hAnsi="仿宋" w:eastAsia="仿宋" w:cs="仿宋"/>
          <w:color w:val="auto"/>
          <w:sz w:val="24"/>
        </w:rPr>
        <w:t>如任意一条打“★”的指标出现负偏离视为实质性不响应磋商文件要求，作无效磋商处理</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color w:val="auto"/>
          <w:kern w:val="0"/>
          <w:sz w:val="24"/>
          <w:lang w:eastAsia="zh-CN"/>
        </w:rPr>
        <w:t>☑</w:t>
      </w:r>
      <w:r>
        <w:rPr>
          <w:rFonts w:hint="eastAsia" w:ascii="仿宋" w:hAnsi="仿宋" w:eastAsia="仿宋" w:cs="仿宋"/>
          <w:color w:val="auto"/>
          <w:sz w:val="24"/>
        </w:rPr>
        <w:t>”系指适用本项目的要求，“</w:t>
      </w:r>
      <w:r>
        <w:rPr>
          <w:rFonts w:ascii="仿宋" w:hAnsi="仿宋" w:eastAsia="仿宋" w:cs="仿宋"/>
          <w:color w:val="auto"/>
          <w:sz w:val="24"/>
        </w:rPr>
        <w:t>☐”系指不适用本项目的要求。</w:t>
      </w:r>
    </w:p>
    <w:p w14:paraId="25940A3C">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2.9其他定义</w:t>
      </w:r>
    </w:p>
    <w:p w14:paraId="102C6DE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b/>
          <w:color w:val="auto"/>
          <w:sz w:val="24"/>
          <w:highlight w:val="none"/>
        </w:rPr>
      </w:pPr>
      <w:r>
        <w:rPr>
          <w:rFonts w:hint="eastAsia" w:ascii="仿宋" w:hAnsi="仿宋" w:eastAsia="仿宋" w:cs="仿宋"/>
          <w:b w:val="0"/>
          <w:bCs/>
          <w:color w:val="auto"/>
          <w:sz w:val="24"/>
          <w:szCs w:val="24"/>
          <w:highlight w:val="none"/>
          <w:lang w:val="en-US" w:eastAsia="zh-CN"/>
        </w:rPr>
        <w:t>“书面形式”是合同书、信件、电报、电传、传真等可以有形地表现所载内容的形式。以电子数据交换、电子邮件等方式能够有形地表现所载内容，并可以随时调取查用的数据电文，视为书面形式。</w:t>
      </w:r>
    </w:p>
    <w:p w14:paraId="4A62D4AB">
      <w:pPr>
        <w:keepNext w:val="0"/>
        <w:keepLines w:val="0"/>
        <w:pageBreakBefore w:val="0"/>
        <w:widowControl w:val="0"/>
        <w:kinsoku/>
        <w:wordWrap/>
        <w:overflowPunct/>
        <w:topLinePunct w:val="0"/>
        <w:autoSpaceDE/>
        <w:autoSpaceDN/>
        <w:bidi w:val="0"/>
        <w:spacing w:line="360" w:lineRule="auto"/>
        <w:textAlignment w:val="auto"/>
        <w:rPr>
          <w:rFonts w:ascii="仿宋_GB2312" w:hAnsi="仿宋" w:eastAsia="仿宋_GB2312"/>
          <w:b/>
          <w:color w:val="auto"/>
          <w:sz w:val="24"/>
          <w:highlight w:val="yellow"/>
        </w:rPr>
      </w:pPr>
      <w:r>
        <w:rPr>
          <w:rFonts w:ascii="仿宋_GB2312" w:hAnsi="仿宋" w:eastAsia="仿宋_GB2312"/>
          <w:b/>
          <w:color w:val="auto"/>
          <w:sz w:val="24"/>
          <w:highlight w:val="none"/>
        </w:rPr>
        <w:t>3.采购项目需要落实的采购政策</w:t>
      </w:r>
    </w:p>
    <w:p w14:paraId="2A86099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BE2E01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rPr>
      </w:pPr>
      <w:r>
        <w:rPr>
          <w:rFonts w:ascii="仿宋_GB2312" w:hAnsi="仿宋" w:eastAsia="仿宋_GB2312"/>
          <w:color w:val="auto"/>
          <w:sz w:val="24"/>
        </w:rPr>
        <w:t>3.2</w:t>
      </w:r>
      <w:r>
        <w:rPr>
          <w:rFonts w:hint="eastAsia" w:ascii="仿宋_GB2312" w:hAnsi="仿宋" w:eastAsia="仿宋_GB2312"/>
          <w:color w:val="auto"/>
          <w:sz w:val="24"/>
        </w:rPr>
        <w:t>支持绿色发展</w:t>
      </w:r>
    </w:p>
    <w:p w14:paraId="4156D85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134A948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rPr>
      </w:pPr>
      <w:r>
        <w:rPr>
          <w:rFonts w:ascii="仿宋_GB2312" w:hAnsi="仿宋" w:eastAsia="仿宋_GB2312"/>
          <w:color w:val="auto"/>
          <w:sz w:val="24"/>
        </w:rPr>
        <w:t>3.</w:t>
      </w:r>
      <w:r>
        <w:rPr>
          <w:rFonts w:hint="eastAsia" w:ascii="仿宋_GB2312" w:hAnsi="仿宋" w:eastAsia="仿宋_GB2312"/>
          <w:color w:val="auto"/>
          <w:sz w:val="24"/>
          <w:lang w:val="en-US" w:eastAsia="zh-CN"/>
        </w:rPr>
        <w:t>3</w:t>
      </w:r>
      <w:r>
        <w:rPr>
          <w:rFonts w:hint="eastAsia" w:ascii="仿宋_GB2312" w:eastAsia="仿宋_GB2312"/>
          <w:bCs/>
          <w:color w:val="auto"/>
          <w:sz w:val="24"/>
        </w:rPr>
        <w:t>支持科技创新发展</w:t>
      </w:r>
    </w:p>
    <w:p w14:paraId="1542B0F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rPr>
      </w:pPr>
      <w:r>
        <w:rPr>
          <w:rFonts w:ascii="仿宋_GB2312" w:hAnsi="仿宋" w:eastAsia="仿宋_GB2312"/>
          <w:color w:val="auto"/>
          <w:sz w:val="24"/>
        </w:rPr>
        <w:t>3.</w:t>
      </w:r>
      <w:r>
        <w:rPr>
          <w:rFonts w:hint="eastAsia" w:ascii="仿宋_GB2312" w:hAnsi="仿宋" w:eastAsia="仿宋_GB2312"/>
          <w:color w:val="auto"/>
          <w:sz w:val="24"/>
          <w:lang w:val="en-US" w:eastAsia="zh-CN"/>
        </w:rPr>
        <w:t>3</w:t>
      </w:r>
      <w:r>
        <w:rPr>
          <w:rFonts w:ascii="仿宋_GB2312" w:hAnsi="仿宋" w:eastAsia="仿宋_GB2312"/>
          <w:color w:val="auto"/>
          <w:sz w:val="24"/>
        </w:rPr>
        <w:t xml:space="preserve">.1 </w:t>
      </w:r>
      <w:r>
        <w:rPr>
          <w:rFonts w:hint="eastAsia" w:ascii="仿宋_GB2312" w:hAnsi="仿宋" w:eastAsia="仿宋_GB2312"/>
          <w:color w:val="auto"/>
          <w:sz w:val="24"/>
        </w:rPr>
        <w:t>采购人优先采购被认定为首台套产品和“制造精品”的自主创新产品。</w:t>
      </w:r>
    </w:p>
    <w:p w14:paraId="4859962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rPr>
      </w:pPr>
      <w:r>
        <w:rPr>
          <w:rFonts w:ascii="仿宋_GB2312" w:hAnsi="仿宋" w:eastAsia="仿宋_GB2312"/>
          <w:color w:val="auto"/>
          <w:sz w:val="24"/>
        </w:rPr>
        <w:t>3.</w:t>
      </w:r>
      <w:r>
        <w:rPr>
          <w:rFonts w:hint="eastAsia" w:ascii="仿宋_GB2312" w:hAnsi="仿宋" w:eastAsia="仿宋_GB2312"/>
          <w:color w:val="auto"/>
          <w:sz w:val="24"/>
          <w:lang w:val="en-US" w:eastAsia="zh-CN"/>
        </w:rPr>
        <w:t>3</w:t>
      </w:r>
      <w:r>
        <w:rPr>
          <w:rFonts w:ascii="仿宋_GB2312" w:hAnsi="仿宋" w:eastAsia="仿宋_GB2312"/>
          <w:color w:val="auto"/>
          <w:sz w:val="24"/>
        </w:rPr>
        <w:t>.2首台套产品被纳入《首台套产品推广应用指导目录》之日起3年内，以及产品核心技术高于国内领先水平，并具有明晰自主知识产权的“制造精品”产品，自认定之日起3年内视同已具备相应销售业绩，参加采购活动时业绩分值为满分。</w:t>
      </w:r>
    </w:p>
    <w:p w14:paraId="32B6CAD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3.</w:t>
      </w:r>
      <w:r>
        <w:rPr>
          <w:rFonts w:hint="eastAsia" w:ascii="仿宋" w:hAnsi="仿宋" w:eastAsia="仿宋" w:cs="仿宋"/>
          <w:color w:val="auto"/>
          <w:sz w:val="24"/>
          <w:lang w:val="en-US" w:eastAsia="zh-CN"/>
        </w:rPr>
        <w:t>4</w:t>
      </w:r>
      <w:r>
        <w:rPr>
          <w:rFonts w:ascii="仿宋" w:hAnsi="仿宋" w:eastAsia="仿宋" w:cs="仿宋"/>
          <w:color w:val="auto"/>
          <w:sz w:val="24"/>
        </w:rPr>
        <w:t>平等对待内外资企业和符合条件的破产重整企业</w:t>
      </w:r>
    </w:p>
    <w:p w14:paraId="2F1A081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14:paraId="2338BAFD">
      <w:pPr>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4.特别说明：</w:t>
      </w:r>
    </w:p>
    <w:p w14:paraId="173461F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4.1供应商磋商所使用的资格、信誉、荣誉、业绩与企业认证必须为本单位所拥有。供应商磋商所使用的项目实施人员必须为本单位正式员工。</w:t>
      </w:r>
    </w:p>
    <w:p w14:paraId="7E23B3A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4.2供应商应仔细阅读磋商文件的所有内容，按照磋商文件的要求提交磋商响应文件，并对所提供的全部资料的真实性承担法律责任。</w:t>
      </w:r>
    </w:p>
    <w:p w14:paraId="1B12633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4.3供应商在磋商活动中提供任何虚假材料,其磋商无效，并报监管部门查处；成交后发现的,成交供应商须依照《中华人民共和国消费者权益保护法》规定赔偿采购人，且民事赔偿并不免除违法供应商的行政与刑事责任。</w:t>
      </w:r>
    </w:p>
    <w:p w14:paraId="51BD3D1F">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特殊</w:t>
      </w:r>
      <w:r>
        <w:rPr>
          <w:rFonts w:hint="eastAsia" w:ascii="仿宋" w:hAnsi="仿宋" w:eastAsia="仿宋" w:cs="仿宋"/>
          <w:b/>
          <w:bCs/>
          <w:color w:val="auto"/>
          <w:sz w:val="24"/>
          <w:szCs w:val="24"/>
          <w:lang w:val="en-US" w:eastAsia="zh-CN"/>
        </w:rPr>
        <w:t>供应商响应</w:t>
      </w:r>
      <w:r>
        <w:rPr>
          <w:rFonts w:hint="eastAsia" w:ascii="仿宋" w:hAnsi="仿宋" w:eastAsia="仿宋" w:cs="仿宋"/>
          <w:b/>
          <w:bCs/>
          <w:color w:val="auto"/>
          <w:sz w:val="24"/>
          <w:szCs w:val="24"/>
        </w:rPr>
        <w:t>规定</w:t>
      </w:r>
    </w:p>
    <w:p w14:paraId="7355C34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相关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Pr>
          <w:rFonts w:hint="eastAsia" w:ascii="仿宋" w:hAnsi="仿宋" w:eastAsia="仿宋" w:cs="仿宋"/>
          <w:color w:val="auto"/>
          <w:sz w:val="24"/>
          <w:szCs w:val="24"/>
          <w:lang w:eastAsia="zh-CN"/>
        </w:rPr>
        <w:t>。</w:t>
      </w:r>
    </w:p>
    <w:p w14:paraId="26AF26DD">
      <w:pPr>
        <w:keepNext w:val="0"/>
        <w:keepLines w:val="0"/>
        <w:pageBreakBefore w:val="0"/>
        <w:kinsoku/>
        <w:wordWrap/>
        <w:overflowPunct/>
        <w:topLinePunct w:val="0"/>
        <w:bidi w:val="0"/>
        <w:spacing w:line="360" w:lineRule="auto"/>
        <w:textAlignment w:val="auto"/>
        <w:rPr>
          <w:rFonts w:hint="eastAsia" w:ascii="仿宋" w:hAnsi="仿宋" w:eastAsia="仿宋" w:cs="仿宋"/>
          <w:b/>
          <w:color w:val="auto"/>
          <w:sz w:val="32"/>
          <w:szCs w:val="32"/>
          <w:lang w:eastAsia="zh-CN"/>
        </w:rPr>
      </w:pPr>
    </w:p>
    <w:p w14:paraId="70AC7DFE">
      <w:pPr>
        <w:keepNext w:val="0"/>
        <w:keepLines w:val="0"/>
        <w:pageBreakBefore w:val="0"/>
        <w:kinsoku/>
        <w:wordWrap/>
        <w:overflowPunct/>
        <w:topLinePunct w:val="0"/>
        <w:bidi w:val="0"/>
        <w:adjustRightInd/>
        <w:spacing w:line="360" w:lineRule="auto"/>
        <w:jc w:val="center"/>
        <w:textAlignment w:val="auto"/>
        <w:outlineLvl w:val="0"/>
        <w:rPr>
          <w:rFonts w:ascii="仿宋" w:hAnsi="仿宋" w:eastAsia="仿宋" w:cs="仿宋"/>
          <w:b/>
          <w:color w:val="auto"/>
          <w:sz w:val="32"/>
          <w:szCs w:val="20"/>
        </w:rPr>
      </w:pPr>
      <w:r>
        <w:rPr>
          <w:rFonts w:hint="eastAsia" w:ascii="仿宋" w:hAnsi="仿宋" w:eastAsia="仿宋" w:cs="仿宋"/>
          <w:b/>
          <w:color w:val="auto"/>
          <w:sz w:val="32"/>
          <w:szCs w:val="20"/>
        </w:rPr>
        <w:t>二、磋商文件</w:t>
      </w:r>
    </w:p>
    <w:p w14:paraId="7796D9B8">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1</w:t>
      </w:r>
      <w:r>
        <w:rPr>
          <w:rFonts w:hint="eastAsia" w:ascii="仿宋" w:hAnsi="仿宋" w:eastAsia="仿宋" w:cs="仿宋"/>
          <w:b/>
          <w:color w:val="auto"/>
          <w:sz w:val="24"/>
          <w:lang w:val="en-US" w:eastAsia="zh-CN"/>
        </w:rPr>
        <w:t>.</w:t>
      </w:r>
      <w:r>
        <w:rPr>
          <w:rFonts w:ascii="仿宋" w:hAnsi="仿宋" w:eastAsia="仿宋" w:cs="仿宋"/>
          <w:b/>
          <w:color w:val="auto"/>
          <w:sz w:val="24"/>
        </w:rPr>
        <w:t>采购方式</w:t>
      </w:r>
    </w:p>
    <w:p w14:paraId="7BE6306C">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color w:val="auto"/>
          <w:sz w:val="24"/>
        </w:rPr>
      </w:pPr>
      <w:r>
        <w:rPr>
          <w:rFonts w:ascii="仿宋" w:hAnsi="仿宋" w:eastAsia="仿宋" w:cs="仿宋"/>
          <w:color w:val="auto"/>
          <w:sz w:val="24"/>
        </w:rPr>
        <w:t xml:space="preserve">    1.1 本项目采用</w:t>
      </w:r>
      <w:r>
        <w:rPr>
          <w:rFonts w:hint="eastAsia" w:ascii="仿宋" w:hAnsi="仿宋" w:eastAsia="仿宋" w:cs="仿宋"/>
          <w:b/>
          <w:color w:val="auto"/>
          <w:kern w:val="0"/>
          <w:sz w:val="24"/>
        </w:rPr>
        <w:t>竞争性磋商</w:t>
      </w:r>
      <w:r>
        <w:rPr>
          <w:rFonts w:hint="eastAsia" w:ascii="仿宋" w:hAnsi="仿宋" w:eastAsia="仿宋" w:cs="仿宋"/>
          <w:color w:val="auto"/>
          <w:sz w:val="24"/>
        </w:rPr>
        <w:t>方式进行。</w:t>
      </w:r>
    </w:p>
    <w:p w14:paraId="3EA9CC72">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color w:val="auto"/>
          <w:sz w:val="24"/>
        </w:rPr>
        <w:t xml:space="preserve">    1.2 如某一标项实质性响应磋商文件的供应商不足三家时，由采购人重新组织开展采购活动或按有关规定实施。</w:t>
      </w:r>
    </w:p>
    <w:p w14:paraId="64BDA78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1.3 </w:t>
      </w:r>
      <w:r>
        <w:rPr>
          <w:rFonts w:hint="eastAsia" w:ascii="仿宋" w:hAnsi="仿宋" w:eastAsia="仿宋" w:cs="仿宋"/>
          <w:color w:val="auto"/>
          <w:sz w:val="24"/>
        </w:rPr>
        <w:t>本次竞争性磋商设定上限价，上限价即谈判公告中公布的各分标项预算金额。</w:t>
      </w:r>
    </w:p>
    <w:p w14:paraId="5CDE8466">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2.</w:t>
      </w:r>
      <w:r>
        <w:rPr>
          <w:rFonts w:hint="eastAsia" w:ascii="仿宋" w:hAnsi="仿宋" w:eastAsia="仿宋" w:cs="仿宋"/>
          <w:b/>
          <w:color w:val="auto"/>
          <w:sz w:val="24"/>
        </w:rPr>
        <w:t>磋商委托</w:t>
      </w:r>
    </w:p>
    <w:p w14:paraId="6D364CE7">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rPr>
      </w:pPr>
      <w:r>
        <w:rPr>
          <w:rFonts w:hint="eastAsia" w:ascii="仿宋" w:hAnsi="仿宋" w:eastAsia="仿宋" w:cs="仿宋"/>
          <w:color w:val="auto"/>
        </w:rPr>
        <w:t>本项目为电子磋商项目，供应商的法定代表人或其授权代表或个体工商户不需要参加现场磋商和开标。</w:t>
      </w:r>
    </w:p>
    <w:p w14:paraId="356EF77C">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rPr>
        <w:t>磋商费用</w:t>
      </w:r>
    </w:p>
    <w:p w14:paraId="14DE023B">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rPr>
      </w:pPr>
      <w:r>
        <w:rPr>
          <w:rFonts w:hint="eastAsia" w:ascii="仿宋" w:hAnsi="仿宋" w:eastAsia="仿宋" w:cs="仿宋"/>
          <w:color w:val="auto"/>
        </w:rPr>
        <w:t>供应商应自行承担编制磋商响应文件及参加本次磋商所涉及的一切费用。不管磋商结果如何，采购人对上述费用不负任何责任。</w:t>
      </w:r>
    </w:p>
    <w:p w14:paraId="23231575">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4.</w:t>
      </w:r>
      <w:r>
        <w:rPr>
          <w:rFonts w:hint="eastAsia" w:ascii="仿宋" w:hAnsi="仿宋" w:eastAsia="仿宋" w:cs="仿宋"/>
          <w:b/>
          <w:color w:val="auto"/>
          <w:sz w:val="24"/>
        </w:rPr>
        <w:t>磋商文件</w:t>
      </w:r>
    </w:p>
    <w:p w14:paraId="73166A7F">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4.1 </w:t>
      </w:r>
      <w:r>
        <w:rPr>
          <w:rFonts w:hint="eastAsia" w:ascii="仿宋" w:hAnsi="仿宋" w:eastAsia="仿宋" w:cs="仿宋"/>
          <w:bCs/>
          <w:color w:val="auto"/>
          <w:sz w:val="24"/>
        </w:rPr>
        <w:t>磋商文件包括本磋商文件及所有的磋商答疑记录（澄清、修改）和发出的补充通知</w:t>
      </w:r>
      <w:r>
        <w:rPr>
          <w:rFonts w:hint="eastAsia" w:ascii="仿宋" w:hAnsi="仿宋" w:eastAsia="仿宋" w:cs="仿宋"/>
          <w:color w:val="auto"/>
          <w:sz w:val="24"/>
        </w:rPr>
        <w:t>。</w:t>
      </w:r>
    </w:p>
    <w:p w14:paraId="24DD099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4.2磋商文件的澄清 </w:t>
      </w:r>
    </w:p>
    <w:p w14:paraId="4D137FF4">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供应商对磋商文件如有疑点要求澄清，可用书面形式（包括并不仅限于纸质、信件和数据电文（包括电报、电传、传真、电子数据交换和电子邮件</w:t>
      </w:r>
      <w:r>
        <w:rPr>
          <w:rFonts w:hint="eastAsia" w:ascii="仿宋" w:hAnsi="仿宋" w:eastAsia="仿宋" w:cs="仿宋"/>
          <w:color w:val="auto"/>
        </w:rPr>
        <w:t>）</w:t>
      </w:r>
      <w:r>
        <w:rPr>
          <w:rFonts w:ascii="仿宋" w:hAnsi="仿宋" w:eastAsia="仿宋" w:cs="仿宋"/>
          <w:color w:val="auto"/>
        </w:rPr>
        <w:t>)</w:t>
      </w:r>
      <w:r>
        <w:rPr>
          <w:rFonts w:hint="eastAsia" w:ascii="仿宋" w:hAnsi="仿宋" w:eastAsia="仿宋" w:cs="仿宋"/>
          <w:color w:val="auto"/>
          <w:sz w:val="24"/>
        </w:rPr>
        <w:t>等通知采购人，但通知不得迟于磋商截止前</w:t>
      </w:r>
      <w:r>
        <w:rPr>
          <w:rFonts w:ascii="仿宋" w:hAnsi="仿宋" w:eastAsia="仿宋" w:cs="仿宋"/>
          <w:color w:val="auto"/>
          <w:sz w:val="24"/>
        </w:rPr>
        <w:t>7日使采购人收到，采购人将用书面形式予以答复。如有必要，可将不说明来源的答复发给所有供应商。</w:t>
      </w:r>
    </w:p>
    <w:p w14:paraId="13545814">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4.3磋商文件的修改</w:t>
      </w:r>
    </w:p>
    <w:p w14:paraId="7D7741B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4.3.1在磋商截止时间前，采购人有权修改磋商文件，以书面形式通知所有供应商，通知中没有注明更改磋商截止时间的视为截止时间不变。修改的文件作为磋商文件的补充和组成部分，对所有供应商均有约束力。</w:t>
      </w:r>
      <w:r>
        <w:rPr>
          <w:rFonts w:hint="eastAsia" w:ascii="仿宋" w:hAnsi="仿宋" w:eastAsia="仿宋" w:cs="仿宋"/>
          <w:color w:val="auto"/>
          <w:sz w:val="24"/>
          <w:szCs w:val="24"/>
        </w:rPr>
        <w:t>供应商</w:t>
      </w:r>
      <w:r>
        <w:rPr>
          <w:rFonts w:hint="eastAsia" w:ascii="仿宋" w:hAnsi="仿宋" w:eastAsia="仿宋" w:cs="仿宋"/>
          <w:color w:val="auto"/>
          <w:sz w:val="24"/>
          <w:highlight w:val="none"/>
          <w:lang w:val="en-US" w:eastAsia="zh-CN"/>
        </w:rPr>
        <w:t>可</w:t>
      </w:r>
      <w:r>
        <w:rPr>
          <w:rFonts w:hint="eastAsia" w:ascii="仿宋" w:hAnsi="仿宋" w:eastAsia="仿宋" w:cs="仿宋"/>
          <w:color w:val="auto"/>
          <w:sz w:val="24"/>
          <w:highlight w:val="none"/>
        </w:rPr>
        <w:t>自行登录浙江政府采购网查看下载</w:t>
      </w:r>
      <w:r>
        <w:rPr>
          <w:rFonts w:ascii="仿宋" w:hAnsi="仿宋" w:eastAsia="仿宋" w:cs="仿宋"/>
          <w:color w:val="auto"/>
          <w:sz w:val="24"/>
        </w:rPr>
        <w:t>。</w:t>
      </w:r>
    </w:p>
    <w:p w14:paraId="0790E302">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14:paraId="2F80BAC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4.4本项目各标段内，如出现打有“★”的指标为实质性指标，任意一条出现负偏离的均视同为实质性不响应磋商文件要求，作无效磋商处理。</w:t>
      </w:r>
    </w:p>
    <w:p w14:paraId="3BB68D4B">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trike w:val="0"/>
          <w:dstrike w:val="0"/>
          <w:color w:val="auto"/>
          <w:sz w:val="24"/>
        </w:rPr>
      </w:pPr>
      <w:r>
        <w:rPr>
          <w:rFonts w:ascii="仿宋" w:hAnsi="仿宋" w:eastAsia="仿宋" w:cs="仿宋"/>
          <w:b/>
          <w:strike w:val="0"/>
          <w:dstrike w:val="0"/>
          <w:color w:val="auto"/>
          <w:sz w:val="24"/>
        </w:rPr>
        <w:t>5.参考品牌</w:t>
      </w:r>
    </w:p>
    <w:p w14:paraId="284C9C1B">
      <w:pPr>
        <w:keepNext w:val="0"/>
        <w:keepLines w:val="0"/>
        <w:pageBreakBefore w:val="0"/>
        <w:kinsoku/>
        <w:wordWrap/>
        <w:overflowPunct/>
        <w:topLinePunct w:val="0"/>
        <w:autoSpaceDE/>
        <w:autoSpaceDN/>
        <w:bidi w:val="0"/>
        <w:snapToGrid w:val="0"/>
        <w:spacing w:line="360" w:lineRule="auto"/>
        <w:ind w:firstLine="470" w:firstLineChars="196"/>
        <w:jc w:val="left"/>
        <w:textAlignment w:val="auto"/>
        <w:rPr>
          <w:rFonts w:ascii="仿宋" w:hAnsi="仿宋" w:eastAsia="仿宋" w:cs="仿宋"/>
          <w:color w:val="auto"/>
          <w:sz w:val="24"/>
        </w:rPr>
      </w:pPr>
      <w:r>
        <w:rPr>
          <w:rFonts w:hint="eastAsia" w:ascii="仿宋" w:hAnsi="仿宋" w:eastAsia="仿宋" w:cs="仿宋"/>
          <w:strike w:val="0"/>
          <w:dstrike w:val="0"/>
          <w:color w:val="auto"/>
          <w:sz w:val="24"/>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14:paraId="32F8BC06">
      <w:pPr>
        <w:pStyle w:val="73"/>
        <w:keepNext w:val="0"/>
        <w:keepLines w:val="0"/>
        <w:pageBreakBefore w:val="0"/>
        <w:kinsoku/>
        <w:wordWrap/>
        <w:overflowPunct/>
        <w:topLinePunct w:val="0"/>
        <w:bidi w:val="0"/>
        <w:spacing w:line="360" w:lineRule="auto"/>
        <w:textAlignment w:val="auto"/>
        <w:rPr>
          <w:color w:val="auto"/>
        </w:rPr>
      </w:pPr>
    </w:p>
    <w:p w14:paraId="3B1D7185">
      <w:pPr>
        <w:keepNext w:val="0"/>
        <w:keepLines w:val="0"/>
        <w:pageBreakBefore w:val="0"/>
        <w:kinsoku/>
        <w:wordWrap/>
        <w:overflowPunct/>
        <w:topLinePunct w:val="0"/>
        <w:bidi w:val="0"/>
        <w:adjustRightInd/>
        <w:spacing w:line="360" w:lineRule="auto"/>
        <w:jc w:val="center"/>
        <w:textAlignment w:val="auto"/>
        <w:outlineLvl w:val="0"/>
        <w:rPr>
          <w:rFonts w:ascii="仿宋" w:hAnsi="仿宋" w:eastAsia="仿宋" w:cs="仿宋"/>
          <w:b/>
          <w:color w:val="auto"/>
          <w:sz w:val="32"/>
          <w:szCs w:val="20"/>
        </w:rPr>
      </w:pPr>
      <w:r>
        <w:rPr>
          <w:rFonts w:hint="eastAsia" w:ascii="仿宋" w:hAnsi="仿宋" w:eastAsia="仿宋" w:cs="仿宋"/>
          <w:b/>
          <w:color w:val="auto"/>
          <w:sz w:val="32"/>
          <w:szCs w:val="20"/>
        </w:rPr>
        <w:t>三、响应文件</w:t>
      </w:r>
    </w:p>
    <w:p w14:paraId="7DBBDFD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1.响应文件的语言及计量单位</w:t>
      </w:r>
    </w:p>
    <w:p w14:paraId="686402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1.1供应商应仔细阅读磋商文件中的所有内容，按照磋商文件要求，详细编制响应文件，并保证响应文件的正确性和真实性。</w:t>
      </w:r>
    </w:p>
    <w:p w14:paraId="6DC28A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1.2 </w:t>
      </w:r>
      <w:r>
        <w:rPr>
          <w:rFonts w:hint="eastAsia" w:ascii="仿宋" w:hAnsi="仿宋" w:eastAsia="仿宋" w:cs="仿宋"/>
          <w:color w:val="auto"/>
          <w:sz w:val="24"/>
        </w:rPr>
        <w:t>响应文件以及供应商与采购人、采购代理机构就有关磋商事宜的所有来往函电，均应以中文书写（技术术语除外）。</w:t>
      </w:r>
    </w:p>
    <w:p w14:paraId="1CCD62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1.3 </w:t>
      </w:r>
      <w:r>
        <w:rPr>
          <w:rFonts w:hint="eastAsia" w:ascii="仿宋" w:hAnsi="仿宋" w:eastAsia="仿宋" w:cs="仿宋"/>
          <w:color w:val="auto"/>
          <w:sz w:val="24"/>
        </w:rPr>
        <w:t>磋商计量单位，除磋商文件中有特殊要求外，应采用中华人民共和国法定计量单位，货币单位：人民币元。</w:t>
      </w:r>
    </w:p>
    <w:p w14:paraId="5B0376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1.4不按磋商文件的要求提供的响应文件可能导致被拒绝。</w:t>
      </w:r>
    </w:p>
    <w:p w14:paraId="023EE63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仿宋" w:hAnsi="仿宋" w:eastAsia="仿宋" w:cs="仿宋"/>
          <w:b/>
          <w:color w:val="auto"/>
          <w:sz w:val="24"/>
        </w:rPr>
      </w:pPr>
      <w:r>
        <w:rPr>
          <w:rFonts w:ascii="仿宋" w:hAnsi="仿宋" w:eastAsia="仿宋" w:cs="仿宋"/>
          <w:b/>
          <w:color w:val="auto"/>
          <w:sz w:val="24"/>
        </w:rPr>
        <w:t>1.5响应文件的形式和效力</w:t>
      </w:r>
    </w:p>
    <w:p w14:paraId="0DAE224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仿宋" w:hAnsi="仿宋" w:eastAsia="仿宋" w:cs="仿宋"/>
          <w:b/>
          <w:color w:val="auto"/>
          <w:sz w:val="24"/>
        </w:rPr>
      </w:pPr>
      <w:r>
        <w:rPr>
          <w:rFonts w:ascii="仿宋" w:hAnsi="仿宋" w:eastAsia="仿宋" w:cs="仿宋"/>
          <w:b/>
          <w:color w:val="auto"/>
          <w:sz w:val="24"/>
        </w:rPr>
        <w:t>1.5.1磋商响应文件为电子响应文件，电子响应文件按“</w:t>
      </w:r>
      <w:r>
        <w:rPr>
          <w:rFonts w:hint="eastAsia" w:ascii="仿宋" w:hAnsi="仿宋" w:eastAsia="仿宋" w:cs="仿宋"/>
          <w:b/>
          <w:color w:val="auto"/>
          <w:sz w:val="24"/>
        </w:rPr>
        <w:t>乐采云供应商项目采购</w:t>
      </w:r>
      <w:r>
        <w:rPr>
          <w:rFonts w:ascii="仿宋" w:hAnsi="仿宋" w:eastAsia="仿宋" w:cs="仿宋"/>
          <w:b/>
          <w:color w:val="auto"/>
          <w:sz w:val="24"/>
        </w:rPr>
        <w:t>-电子招投标操作指南”及本磋商文件要求制作、加密传输。</w:t>
      </w:r>
    </w:p>
    <w:p w14:paraId="50B17F4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仿宋" w:hAnsi="仿宋" w:eastAsia="仿宋" w:cs="仿宋"/>
          <w:b/>
          <w:color w:val="auto"/>
          <w:sz w:val="24"/>
          <w:u w:val="single"/>
        </w:rPr>
      </w:pPr>
      <w:r>
        <w:rPr>
          <w:rFonts w:ascii="仿宋" w:hAnsi="仿宋" w:eastAsia="仿宋" w:cs="仿宋"/>
          <w:b/>
          <w:color w:val="auto"/>
          <w:sz w:val="24"/>
          <w:u w:val="single"/>
        </w:rPr>
        <w:t>1.5.2响应文件的效力：</w:t>
      </w:r>
    </w:p>
    <w:p w14:paraId="4F51F48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仿宋" w:hAnsi="仿宋" w:eastAsia="仿宋" w:cs="仿宋"/>
          <w:b/>
          <w:color w:val="auto"/>
          <w:sz w:val="24"/>
          <w:u w:val="single"/>
        </w:rPr>
      </w:pPr>
      <w:r>
        <w:rPr>
          <w:rFonts w:hint="eastAsia" w:ascii="仿宋" w:hAnsi="仿宋" w:eastAsia="仿宋" w:cs="仿宋"/>
          <w:b/>
          <w:color w:val="auto"/>
          <w:sz w:val="24"/>
          <w:u w:val="single"/>
        </w:rPr>
        <w:t>磋商响应文件未在磋商截止时间前完成传输的，视为磋商响应文件撤回；磋商响应文件未按时解密，亦视为响应文件撤回。</w:t>
      </w:r>
    </w:p>
    <w:p w14:paraId="52C57B2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2.</w:t>
      </w:r>
      <w:r>
        <w:rPr>
          <w:rFonts w:hint="eastAsia" w:ascii="仿宋" w:hAnsi="仿宋" w:eastAsia="仿宋" w:cs="仿宋"/>
          <w:b/>
          <w:color w:val="auto"/>
          <w:sz w:val="24"/>
        </w:rPr>
        <w:t>响应文件的组成</w:t>
      </w:r>
    </w:p>
    <w:p w14:paraId="40934B09">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磋商文件由“</w:t>
      </w:r>
      <w:r>
        <w:rPr>
          <w:rFonts w:hint="eastAsia" w:ascii="仿宋" w:hAnsi="仿宋" w:eastAsia="仿宋" w:cs="仿宋"/>
          <w:color w:val="auto"/>
          <w:sz w:val="24"/>
          <w:lang w:val="zh-CN"/>
        </w:rPr>
        <w:t>资格文件”、</w:t>
      </w:r>
      <w:r>
        <w:rPr>
          <w:rFonts w:hint="eastAsia" w:ascii="仿宋" w:hAnsi="仿宋" w:eastAsia="仿宋" w:cs="仿宋"/>
          <w:color w:val="auto"/>
          <w:sz w:val="24"/>
        </w:rPr>
        <w:t>“商务技术（资信）文件资料”、“报价文件资料”三部分组成，其中</w:t>
      </w:r>
      <w:r>
        <w:rPr>
          <w:rFonts w:hint="eastAsia" w:ascii="仿宋" w:hAnsi="仿宋" w:eastAsia="仿宋" w:cs="仿宋"/>
          <w:b/>
          <w:color w:val="auto"/>
          <w:sz w:val="24"/>
        </w:rPr>
        <w:t>电子磋商响应文件中所须加盖公章部分均应采用电子签章。</w:t>
      </w:r>
    </w:p>
    <w:p w14:paraId="52A5220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仿宋" w:hAnsi="仿宋" w:eastAsia="仿宋" w:cs="仿宋"/>
          <w:b/>
          <w:color w:val="auto"/>
          <w:sz w:val="24"/>
          <w:lang w:val="zh-CN"/>
        </w:rPr>
      </w:pPr>
      <w:r>
        <w:rPr>
          <w:rFonts w:ascii="仿宋" w:hAnsi="仿宋" w:eastAsia="仿宋" w:cs="仿宋"/>
          <w:b/>
          <w:color w:val="auto"/>
          <w:sz w:val="24"/>
        </w:rPr>
        <w:t>2</w:t>
      </w:r>
      <w:r>
        <w:rPr>
          <w:rFonts w:ascii="仿宋" w:hAnsi="仿宋" w:eastAsia="仿宋" w:cs="仿宋"/>
          <w:b/>
          <w:color w:val="auto"/>
          <w:sz w:val="24"/>
          <w:lang w:val="zh-CN"/>
        </w:rPr>
        <w:t>.1资格文件：</w:t>
      </w:r>
    </w:p>
    <w:p w14:paraId="11679772">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2.1.1</w:t>
      </w:r>
      <w:r>
        <w:rPr>
          <w:rFonts w:hint="eastAsia" w:ascii="仿宋" w:hAnsi="仿宋" w:eastAsia="仿宋" w:cs="仿宋"/>
          <w:color w:val="auto"/>
          <w:sz w:val="24"/>
          <w:szCs w:val="24"/>
          <w:highlight w:val="none"/>
        </w:rPr>
        <w:t>营业执照(或事业法人登记证书</w:t>
      </w:r>
      <w:r>
        <w:rPr>
          <w:rFonts w:hint="eastAsia" w:ascii="仿宋" w:hAnsi="仿宋" w:eastAsia="仿宋" w:cs="仿宋"/>
          <w:color w:val="auto"/>
          <w:sz w:val="24"/>
          <w:szCs w:val="24"/>
          <w:highlight w:val="none"/>
          <w:lang w:eastAsia="zh-CN"/>
        </w:rPr>
        <w:t>或其他</w:t>
      </w:r>
      <w:r>
        <w:rPr>
          <w:rFonts w:hint="eastAsia" w:ascii="仿宋" w:hAnsi="仿宋" w:eastAsia="仿宋" w:cs="仿宋"/>
          <w:color w:val="auto"/>
          <w:sz w:val="24"/>
          <w:szCs w:val="24"/>
          <w:highlight w:val="none"/>
        </w:rPr>
        <w:t>工商等登记证明材料；自然人参与采购，提供身份证)扫描件</w:t>
      </w:r>
      <w:r>
        <w:rPr>
          <w:rFonts w:hint="eastAsia" w:ascii="仿宋" w:hAnsi="仿宋" w:eastAsia="仿宋" w:cs="仿宋"/>
          <w:color w:val="auto"/>
          <w:sz w:val="24"/>
        </w:rPr>
        <w:t>；</w:t>
      </w:r>
    </w:p>
    <w:p w14:paraId="6E41D4B5">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2.1.2</w:t>
      </w:r>
      <w:r>
        <w:rPr>
          <w:rFonts w:hint="eastAsia" w:ascii="仿宋" w:hAnsi="仿宋" w:eastAsia="仿宋" w:cs="仿宋"/>
          <w:color w:val="auto"/>
          <w:sz w:val="24"/>
          <w:szCs w:val="24"/>
          <w:highlight w:val="none"/>
        </w:rPr>
        <w:t>法定代表人身份证明书；</w:t>
      </w:r>
    </w:p>
    <w:p w14:paraId="7FD1FB97">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授权代表社保证明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p>
    <w:p w14:paraId="101C31B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2.1.4</w:t>
      </w:r>
      <w:r>
        <w:rPr>
          <w:rFonts w:ascii="仿宋" w:hAnsi="仿宋" w:eastAsia="仿宋" w:cs="仿宋"/>
          <w:color w:val="auto"/>
          <w:sz w:val="24"/>
        </w:rPr>
        <w:t>符合参加采购活动应当具备的一般条件的承诺函；</w:t>
      </w:r>
    </w:p>
    <w:p w14:paraId="111CEB0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val="en-US" w:eastAsia="zh-CN"/>
        </w:rPr>
      </w:pPr>
      <w:r>
        <w:rPr>
          <w:rFonts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szCs w:val="24"/>
        </w:rPr>
        <w:t>自采购公告发布之日起至磋商响应文件递交截止日内任意时间的“信用中国”网站（www.creditchina.gov.cn）、中国政府采购网（www.ccgp.gov.cn）响应方信用查询网页截图。（以磋商当日采购人或</w:t>
      </w:r>
      <w:r>
        <w:rPr>
          <w:rFonts w:hint="eastAsia" w:ascii="仿宋" w:hAnsi="仿宋" w:eastAsia="仿宋" w:cs="仿宋"/>
          <w:color w:val="auto"/>
          <w:sz w:val="24"/>
          <w:szCs w:val="24"/>
          <w:lang w:val="en-US" w:eastAsia="zh-CN"/>
        </w:rPr>
        <w:t>采购代理机构</w:t>
      </w:r>
      <w:r>
        <w:rPr>
          <w:rFonts w:hint="eastAsia" w:ascii="仿宋" w:hAnsi="仿宋" w:eastAsia="仿宋" w:cs="仿宋"/>
          <w:color w:val="auto"/>
          <w:sz w:val="24"/>
          <w:szCs w:val="24"/>
        </w:rPr>
        <w:t>核实的查询结果为准</w:t>
      </w:r>
      <w:r>
        <w:rPr>
          <w:rFonts w:hint="eastAsia" w:ascii="仿宋" w:hAnsi="仿宋" w:eastAsia="仿宋" w:cs="仿宋"/>
          <w:color w:val="auto"/>
          <w:sz w:val="24"/>
          <w:szCs w:val="24"/>
          <w:lang w:eastAsia="zh-CN"/>
        </w:rPr>
        <w:t>）</w:t>
      </w:r>
      <w:r>
        <w:rPr>
          <w:rFonts w:ascii="仿宋" w:hAnsi="仿宋" w:eastAsia="仿宋" w:cs="仿宋"/>
          <w:color w:val="auto"/>
          <w:sz w:val="24"/>
        </w:rPr>
        <w:t>；</w:t>
      </w:r>
    </w:p>
    <w:p w14:paraId="5002F3B7">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eastAsia="zh-CN"/>
        </w:rPr>
      </w:pPr>
      <w:r>
        <w:rPr>
          <w:rFonts w:ascii="仿宋" w:hAnsi="仿宋" w:eastAsia="仿宋" w:cs="仿宋"/>
          <w:color w:val="auto"/>
          <w:sz w:val="24"/>
        </w:rPr>
        <w:t>2.1.</w:t>
      </w:r>
      <w:r>
        <w:rPr>
          <w:rFonts w:hint="eastAsia" w:ascii="仿宋" w:hAnsi="仿宋" w:eastAsia="仿宋" w:cs="仿宋"/>
          <w:color w:val="auto"/>
          <w:sz w:val="24"/>
          <w:lang w:val="en-US" w:eastAsia="zh-CN"/>
        </w:rPr>
        <w:t>6</w:t>
      </w:r>
      <w:r>
        <w:rPr>
          <w:rStyle w:val="69"/>
          <w:rFonts w:hint="eastAsia" w:ascii="仿宋" w:hAnsi="仿宋" w:eastAsia="仿宋" w:cs="仿宋"/>
          <w:color w:val="auto"/>
          <w:kern w:val="0"/>
          <w:sz w:val="24"/>
          <w:szCs w:val="24"/>
          <w:u w:val="none"/>
        </w:rPr>
        <w:t>单位负责人为同一人或者存在直接控股、管理关系的不同供应商，不得参加同一合同项下的政企采购活动（开标后提供《政企采购活动现场确认声明书》（PDF版），发送至邮箱</w:t>
      </w:r>
      <w:r>
        <w:rPr>
          <w:rStyle w:val="69"/>
          <w:rFonts w:hint="eastAsia" w:ascii="仿宋" w:hAnsi="仿宋" w:eastAsia="仿宋" w:cs="仿宋"/>
          <w:color w:val="auto"/>
          <w:kern w:val="0"/>
          <w:sz w:val="24"/>
          <w:szCs w:val="24"/>
          <w:u w:val="none"/>
          <w:lang w:eastAsia="zh-CN"/>
        </w:rPr>
        <w:t>1132452991@qq.com</w:t>
      </w:r>
      <w:r>
        <w:rPr>
          <w:rStyle w:val="69"/>
          <w:rFonts w:hint="eastAsia" w:ascii="仿宋" w:hAnsi="仿宋" w:eastAsia="仿宋" w:cs="仿宋"/>
          <w:color w:val="auto"/>
          <w:kern w:val="0"/>
          <w:sz w:val="24"/>
          <w:szCs w:val="24"/>
          <w:u w:val="none"/>
        </w:rPr>
        <w:t>）</w:t>
      </w:r>
      <w:r>
        <w:rPr>
          <w:rStyle w:val="69"/>
          <w:rFonts w:hint="eastAsia" w:ascii="仿宋" w:hAnsi="仿宋" w:eastAsia="仿宋" w:cs="仿宋"/>
          <w:color w:val="auto"/>
          <w:kern w:val="0"/>
          <w:sz w:val="24"/>
          <w:szCs w:val="24"/>
          <w:u w:val="none"/>
          <w:lang w:eastAsia="zh-CN"/>
        </w:rPr>
        <w:t>；</w:t>
      </w:r>
    </w:p>
    <w:p w14:paraId="6FD9E27C">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2.1.</w:t>
      </w:r>
      <w:r>
        <w:rPr>
          <w:rFonts w:hint="eastAsia" w:ascii="仿宋" w:hAnsi="仿宋" w:eastAsia="仿宋" w:cs="仿宋"/>
          <w:color w:val="auto"/>
          <w:sz w:val="24"/>
          <w:lang w:val="en-US" w:eastAsia="zh-CN"/>
        </w:rPr>
        <w:t>7</w:t>
      </w:r>
      <w:r>
        <w:rPr>
          <w:rFonts w:ascii="仿宋" w:hAnsi="仿宋" w:eastAsia="仿宋" w:cs="仿宋"/>
          <w:color w:val="auto"/>
          <w:sz w:val="24"/>
        </w:rPr>
        <w:t>本项目的特定资格要求</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若有</w:t>
      </w:r>
      <w:r>
        <w:rPr>
          <w:rFonts w:hint="eastAsia" w:ascii="仿宋" w:hAnsi="仿宋" w:eastAsia="仿宋" w:cs="仿宋"/>
          <w:color w:val="auto"/>
          <w:sz w:val="24"/>
          <w:lang w:eastAsia="zh-CN"/>
        </w:rPr>
        <w:t>）</w:t>
      </w:r>
      <w:r>
        <w:rPr>
          <w:rFonts w:ascii="仿宋" w:hAnsi="仿宋" w:eastAsia="仿宋" w:cs="仿宋"/>
          <w:color w:val="auto"/>
          <w:sz w:val="24"/>
        </w:rPr>
        <w:t>。</w:t>
      </w:r>
    </w:p>
    <w:p w14:paraId="6FB95F5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仿宋" w:hAnsi="仿宋" w:eastAsia="仿宋" w:cs="仿宋"/>
          <w:b/>
          <w:color w:val="auto"/>
          <w:sz w:val="24"/>
          <w:lang w:val="zh-CN"/>
        </w:rPr>
      </w:pPr>
      <w:r>
        <w:rPr>
          <w:rFonts w:ascii="仿宋" w:hAnsi="仿宋" w:eastAsia="仿宋" w:cs="仿宋"/>
          <w:b/>
          <w:color w:val="auto"/>
          <w:sz w:val="24"/>
          <w:lang w:val="zh-CN"/>
        </w:rPr>
        <w:t>2.</w:t>
      </w:r>
      <w:r>
        <w:rPr>
          <w:rFonts w:ascii="仿宋" w:hAnsi="仿宋" w:eastAsia="仿宋" w:cs="仿宋"/>
          <w:b/>
          <w:color w:val="auto"/>
          <w:sz w:val="24"/>
        </w:rPr>
        <w:t>2商务技术</w:t>
      </w:r>
      <w:r>
        <w:rPr>
          <w:rFonts w:hint="eastAsia" w:ascii="仿宋" w:hAnsi="仿宋" w:eastAsia="仿宋" w:cs="仿宋"/>
          <w:b/>
          <w:color w:val="auto"/>
          <w:sz w:val="24"/>
          <w:lang w:val="zh-CN"/>
        </w:rPr>
        <w:t>文件：</w:t>
      </w:r>
    </w:p>
    <w:p w14:paraId="32B9532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2.2.1</w:t>
      </w:r>
      <w:r>
        <w:rPr>
          <w:rFonts w:hint="eastAsia" w:ascii="仿宋" w:hAnsi="仿宋" w:eastAsia="仿宋" w:cs="仿宋"/>
          <w:color w:val="auto"/>
          <w:sz w:val="24"/>
          <w:szCs w:val="24"/>
          <w:highlight w:val="none"/>
        </w:rPr>
        <w:t>营业执照(或事业法人登记证书</w:t>
      </w:r>
      <w:r>
        <w:rPr>
          <w:rFonts w:hint="eastAsia" w:ascii="仿宋" w:hAnsi="仿宋" w:eastAsia="仿宋" w:cs="仿宋"/>
          <w:color w:val="auto"/>
          <w:sz w:val="24"/>
          <w:szCs w:val="24"/>
          <w:highlight w:val="none"/>
          <w:lang w:eastAsia="zh-CN"/>
        </w:rPr>
        <w:t>或其他</w:t>
      </w:r>
      <w:r>
        <w:rPr>
          <w:rFonts w:hint="eastAsia" w:ascii="仿宋" w:hAnsi="仿宋" w:eastAsia="仿宋" w:cs="仿宋"/>
          <w:color w:val="auto"/>
          <w:sz w:val="24"/>
          <w:szCs w:val="24"/>
          <w:highlight w:val="none"/>
        </w:rPr>
        <w:t>工商等登记证明材料；自然人参与采购，提供身份证)扫描件</w:t>
      </w:r>
      <w:r>
        <w:rPr>
          <w:rFonts w:hint="eastAsia" w:ascii="仿宋" w:hAnsi="仿宋" w:eastAsia="仿宋" w:cs="仿宋"/>
          <w:color w:val="auto"/>
          <w:sz w:val="24"/>
        </w:rPr>
        <w:t>；</w:t>
      </w:r>
    </w:p>
    <w:p w14:paraId="48EE54A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hint="eastAsia" w:ascii="仿宋" w:hAnsi="仿宋" w:eastAsia="仿宋" w:cs="仿宋"/>
          <w:color w:val="auto"/>
          <w:sz w:val="24"/>
          <w:lang w:val="en-US" w:eastAsia="zh-CN"/>
        </w:rPr>
        <w:t>2.2.2</w:t>
      </w:r>
      <w:r>
        <w:rPr>
          <w:rFonts w:ascii="仿宋" w:hAnsi="仿宋" w:eastAsia="仿宋" w:cs="仿宋"/>
          <w:color w:val="auto"/>
          <w:sz w:val="24"/>
        </w:rPr>
        <w:t>响应函；</w:t>
      </w:r>
    </w:p>
    <w:p w14:paraId="3ACA25A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val="en-US" w:eastAsia="zh-CN"/>
        </w:rPr>
      </w:pPr>
      <w:r>
        <w:rPr>
          <w:rFonts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szCs w:val="24"/>
          <w:lang w:eastAsia="zh-CN"/>
        </w:rPr>
        <w:t>法定代表人身份证明书；</w:t>
      </w:r>
    </w:p>
    <w:p w14:paraId="7875F00F">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hint="eastAsia" w:ascii="仿宋" w:hAnsi="仿宋" w:eastAsia="仿宋" w:cs="仿宋"/>
          <w:color w:val="auto"/>
          <w:sz w:val="24"/>
          <w:szCs w:val="24"/>
          <w:lang w:val="en-US" w:eastAsia="zh-CN"/>
        </w:rPr>
        <w:t>2.2.4</w:t>
      </w:r>
      <w:r>
        <w:rPr>
          <w:rFonts w:hint="eastAsia" w:ascii="仿宋" w:hAnsi="仿宋" w:eastAsia="仿宋" w:cs="仿宋"/>
          <w:color w:val="auto"/>
          <w:sz w:val="24"/>
          <w:szCs w:val="24"/>
          <w:lang w:eastAsia="zh-CN"/>
        </w:rPr>
        <w:t>法定代表人授权委托书</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lang w:eastAsia="zh-CN"/>
        </w:rPr>
        <w:t>授权代表社保证明（</w:t>
      </w:r>
      <w:r>
        <w:rPr>
          <w:rFonts w:hint="eastAsia" w:ascii="仿宋" w:hAnsi="仿宋" w:eastAsia="仿宋" w:cs="仿宋"/>
          <w:color w:val="auto"/>
          <w:sz w:val="24"/>
          <w:szCs w:val="24"/>
          <w:lang w:val="en-US" w:eastAsia="zh-CN"/>
        </w:rPr>
        <w:t>若委托</w:t>
      </w:r>
      <w:r>
        <w:rPr>
          <w:rFonts w:hint="eastAsia" w:ascii="仿宋" w:hAnsi="仿宋" w:eastAsia="仿宋" w:cs="仿宋"/>
          <w:color w:val="auto"/>
          <w:sz w:val="24"/>
          <w:szCs w:val="24"/>
          <w:lang w:eastAsia="zh-CN"/>
        </w:rPr>
        <w:t>）</w:t>
      </w:r>
      <w:r>
        <w:rPr>
          <w:rFonts w:ascii="仿宋" w:hAnsi="仿宋" w:eastAsia="仿宋" w:cs="仿宋"/>
          <w:color w:val="auto"/>
          <w:sz w:val="24"/>
        </w:rPr>
        <w:t>；</w:t>
      </w:r>
    </w:p>
    <w:p w14:paraId="74A64F1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评分索引表</w:t>
      </w:r>
      <w:r>
        <w:rPr>
          <w:rFonts w:ascii="仿宋" w:hAnsi="仿宋" w:eastAsia="仿宋" w:cs="仿宋"/>
          <w:color w:val="auto"/>
          <w:sz w:val="24"/>
        </w:rPr>
        <w:t>；</w:t>
      </w:r>
    </w:p>
    <w:p w14:paraId="1331E182">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w:t>
      </w:r>
      <w:r>
        <w:rPr>
          <w:rFonts w:hint="eastAsia" w:ascii="仿宋" w:hAnsi="仿宋" w:eastAsia="仿宋" w:cs="仿宋"/>
          <w:color w:val="auto"/>
          <w:sz w:val="24"/>
          <w:lang w:val="en-US" w:eastAsia="zh-CN"/>
        </w:rPr>
        <w:t>6采购供应商廉洁自律承诺书</w:t>
      </w:r>
      <w:r>
        <w:rPr>
          <w:rFonts w:hint="eastAsia" w:ascii="仿宋" w:hAnsi="仿宋" w:eastAsia="仿宋" w:cs="仿宋"/>
          <w:color w:val="auto"/>
          <w:sz w:val="24"/>
        </w:rPr>
        <w:t>；</w:t>
      </w:r>
    </w:p>
    <w:p w14:paraId="59749D75">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eastAsia="zh-CN"/>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7</w:t>
      </w:r>
      <w:r>
        <w:rPr>
          <w:rFonts w:hint="eastAsia" w:ascii="仿宋" w:hAnsi="仿宋" w:eastAsia="仿宋" w:cs="仿宋"/>
          <w:color w:val="auto"/>
          <w:sz w:val="24"/>
          <w:szCs w:val="24"/>
          <w:highlight w:val="none"/>
          <w:lang w:val="en-US" w:eastAsia="zh-CN"/>
        </w:rPr>
        <w:t>资信及商务响应表</w:t>
      </w:r>
      <w:r>
        <w:rPr>
          <w:rFonts w:hint="eastAsia" w:ascii="仿宋" w:hAnsi="仿宋" w:eastAsia="仿宋" w:cs="仿宋"/>
          <w:color w:val="auto"/>
          <w:sz w:val="24"/>
          <w:lang w:eastAsia="zh-CN"/>
        </w:rPr>
        <w:t>；</w:t>
      </w:r>
    </w:p>
    <w:p w14:paraId="666E517A">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w:t>
      </w:r>
      <w:r>
        <w:rPr>
          <w:rFonts w:hint="eastAsia" w:ascii="仿宋" w:hAnsi="仿宋" w:eastAsia="仿宋" w:cs="仿宋"/>
          <w:color w:val="auto"/>
          <w:sz w:val="24"/>
          <w:lang w:val="en-US" w:eastAsia="zh-CN"/>
        </w:rPr>
        <w:t>8</w:t>
      </w:r>
      <w:r>
        <w:rPr>
          <w:rFonts w:hint="eastAsia" w:ascii="仿宋" w:hAnsi="仿宋" w:eastAsia="仿宋" w:cs="仿宋"/>
          <w:color w:val="auto"/>
          <w:sz w:val="24"/>
          <w:szCs w:val="24"/>
        </w:rPr>
        <w:t>综合实力</w:t>
      </w:r>
      <w:r>
        <w:rPr>
          <w:rFonts w:ascii="仿宋" w:hAnsi="仿宋" w:eastAsia="仿宋" w:cs="仿宋"/>
          <w:color w:val="auto"/>
          <w:sz w:val="24"/>
        </w:rPr>
        <w:t>：</w:t>
      </w:r>
    </w:p>
    <w:p w14:paraId="3C49E16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eastAsia="zh-CN"/>
        </w:rPr>
      </w:pPr>
      <w:r>
        <w:rPr>
          <w:rFonts w:ascii="仿宋" w:hAnsi="仿宋" w:eastAsia="仿宋" w:cs="仿宋"/>
          <w:color w:val="auto"/>
          <w:sz w:val="24"/>
        </w:rPr>
        <w:t>2.2.</w:t>
      </w:r>
      <w:r>
        <w:rPr>
          <w:rFonts w:hint="eastAsia" w:ascii="仿宋" w:hAnsi="仿宋" w:eastAsia="仿宋" w:cs="仿宋"/>
          <w:color w:val="auto"/>
          <w:sz w:val="24"/>
          <w:lang w:val="en-US" w:eastAsia="zh-CN"/>
        </w:rPr>
        <w:t>9</w:t>
      </w:r>
      <w:r>
        <w:rPr>
          <w:rFonts w:hint="eastAsia" w:ascii="仿宋" w:hAnsi="仿宋" w:eastAsia="仿宋" w:cs="仿宋"/>
          <w:color w:val="auto"/>
          <w:kern w:val="0"/>
          <w:sz w:val="24"/>
          <w:szCs w:val="24"/>
          <w:lang w:val="en-US" w:eastAsia="zh-CN"/>
        </w:rPr>
        <w:t>同类业绩</w:t>
      </w:r>
      <w:r>
        <w:rPr>
          <w:rFonts w:hint="eastAsia" w:ascii="仿宋" w:hAnsi="仿宋" w:eastAsia="仿宋" w:cs="仿宋"/>
          <w:color w:val="auto"/>
          <w:sz w:val="24"/>
          <w:szCs w:val="24"/>
          <w:lang w:eastAsia="zh-CN"/>
        </w:rPr>
        <w:t>；</w:t>
      </w:r>
    </w:p>
    <w:p w14:paraId="09663A6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eastAsia="zh-CN"/>
        </w:rPr>
      </w:pPr>
      <w:r>
        <w:rPr>
          <w:rFonts w:ascii="仿宋" w:hAnsi="仿宋" w:eastAsia="仿宋" w:cs="仿宋"/>
          <w:color w:val="auto"/>
          <w:sz w:val="24"/>
        </w:rPr>
        <w:t>2.2.1</w:t>
      </w:r>
      <w:r>
        <w:rPr>
          <w:rFonts w:hint="eastAsia" w:ascii="仿宋" w:hAnsi="仿宋" w:eastAsia="仿宋" w:cs="仿宋"/>
          <w:color w:val="auto"/>
          <w:sz w:val="24"/>
          <w:lang w:val="en-US" w:eastAsia="zh-CN"/>
        </w:rPr>
        <w:t>0</w:t>
      </w:r>
      <w:r>
        <w:rPr>
          <w:rFonts w:hint="eastAsia" w:ascii="仿宋" w:hAnsi="仿宋" w:eastAsia="仿宋" w:cs="仿宋"/>
          <w:color w:val="auto"/>
          <w:kern w:val="0"/>
          <w:sz w:val="24"/>
          <w:szCs w:val="24"/>
          <w:lang w:val="en-US" w:eastAsia="zh-CN"/>
        </w:rPr>
        <w:t>用户</w:t>
      </w:r>
      <w:r>
        <w:rPr>
          <w:rFonts w:hint="eastAsia" w:ascii="仿宋" w:hAnsi="仿宋" w:eastAsia="仿宋" w:cs="仿宋"/>
          <w:color w:val="auto"/>
          <w:kern w:val="0"/>
          <w:sz w:val="24"/>
          <w:szCs w:val="24"/>
        </w:rPr>
        <w:t>反馈</w:t>
      </w:r>
      <w:r>
        <w:rPr>
          <w:rFonts w:hint="eastAsia" w:ascii="仿宋" w:hAnsi="仿宋" w:eastAsia="仿宋" w:cs="仿宋"/>
          <w:color w:val="auto"/>
          <w:sz w:val="24"/>
          <w:lang w:eastAsia="zh-CN"/>
        </w:rPr>
        <w:t>；</w:t>
      </w:r>
    </w:p>
    <w:p w14:paraId="53D45A9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eastAsia="zh-CN"/>
        </w:rPr>
      </w:pPr>
      <w:r>
        <w:rPr>
          <w:rFonts w:ascii="仿宋" w:hAnsi="仿宋" w:eastAsia="仿宋" w:cs="仿宋"/>
          <w:color w:val="auto"/>
          <w:sz w:val="24"/>
        </w:rPr>
        <w:t>2.2.1</w:t>
      </w:r>
      <w:r>
        <w:rPr>
          <w:rFonts w:hint="eastAsia" w:ascii="仿宋" w:hAnsi="仿宋" w:eastAsia="仿宋" w:cs="仿宋"/>
          <w:color w:val="auto"/>
          <w:sz w:val="24"/>
          <w:lang w:val="en-US" w:eastAsia="zh-CN"/>
        </w:rPr>
        <w:t>1</w:t>
      </w:r>
      <w:r>
        <w:rPr>
          <w:rFonts w:hint="eastAsia" w:ascii="仿宋" w:hAnsi="仿宋" w:eastAsia="仿宋" w:cs="仿宋"/>
          <w:color w:val="auto"/>
          <w:kern w:val="0"/>
          <w:sz w:val="24"/>
          <w:szCs w:val="24"/>
          <w:lang w:val="en-US" w:eastAsia="zh-CN"/>
        </w:rPr>
        <w:t>产品情况</w:t>
      </w:r>
      <w:r>
        <w:rPr>
          <w:rFonts w:hint="eastAsia" w:ascii="仿宋" w:hAnsi="仿宋" w:eastAsia="仿宋" w:cs="仿宋"/>
          <w:color w:val="auto"/>
          <w:sz w:val="24"/>
          <w:lang w:eastAsia="zh-CN"/>
        </w:rPr>
        <w:t>；</w:t>
      </w:r>
    </w:p>
    <w:p w14:paraId="50E3E868">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2.2.1</w:t>
      </w:r>
      <w:r>
        <w:rPr>
          <w:rFonts w:hint="eastAsia" w:ascii="仿宋" w:hAnsi="仿宋" w:eastAsia="仿宋" w:cs="仿宋"/>
          <w:color w:val="auto"/>
          <w:sz w:val="24"/>
          <w:lang w:val="en-US" w:eastAsia="zh-CN"/>
        </w:rPr>
        <w:t>2</w:t>
      </w:r>
      <w:r>
        <w:rPr>
          <w:rFonts w:hint="eastAsia" w:ascii="仿宋" w:hAnsi="仿宋" w:eastAsia="仿宋" w:cs="仿宋"/>
          <w:b w:val="0"/>
          <w:bCs/>
          <w:color w:val="auto"/>
          <w:kern w:val="2"/>
          <w:sz w:val="24"/>
          <w:szCs w:val="24"/>
          <w:highlight w:val="none"/>
          <w:lang w:val="en-US" w:eastAsia="zh-CN" w:bidi="ar-SA"/>
        </w:rPr>
        <w:t>检测报告</w:t>
      </w:r>
      <w:r>
        <w:rPr>
          <w:rFonts w:ascii="仿宋" w:hAnsi="仿宋" w:eastAsia="仿宋" w:cs="仿宋"/>
          <w:color w:val="auto"/>
          <w:sz w:val="24"/>
        </w:rPr>
        <w:t>；</w:t>
      </w:r>
    </w:p>
    <w:p w14:paraId="2EAA0E13">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w:t>
      </w:r>
      <w:r>
        <w:rPr>
          <w:rFonts w:hint="eastAsia" w:ascii="仿宋" w:hAnsi="仿宋" w:eastAsia="仿宋" w:cs="仿宋"/>
          <w:color w:val="auto"/>
          <w:sz w:val="24"/>
          <w:lang w:val="en-US" w:eastAsia="zh-CN"/>
        </w:rPr>
        <w:t>13</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响应表</w:t>
      </w:r>
      <w:r>
        <w:rPr>
          <w:rFonts w:ascii="仿宋" w:hAnsi="仿宋" w:eastAsia="仿宋" w:cs="仿宋"/>
          <w:color w:val="auto"/>
          <w:sz w:val="24"/>
        </w:rPr>
        <w:t>；</w:t>
      </w:r>
    </w:p>
    <w:p w14:paraId="04FE07E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eastAsia="zh-CN"/>
        </w:rPr>
      </w:pPr>
      <w:r>
        <w:rPr>
          <w:rFonts w:ascii="仿宋" w:hAnsi="仿宋" w:eastAsia="仿宋" w:cs="仿宋"/>
          <w:color w:val="auto"/>
          <w:sz w:val="24"/>
        </w:rPr>
        <w:t>2.2.1</w:t>
      </w:r>
      <w:r>
        <w:rPr>
          <w:rFonts w:hint="eastAsia" w:ascii="仿宋" w:hAnsi="仿宋" w:eastAsia="仿宋" w:cs="仿宋"/>
          <w:color w:val="auto"/>
          <w:sz w:val="24"/>
          <w:lang w:val="en-US" w:eastAsia="zh-CN"/>
        </w:rPr>
        <w:t>4</w:t>
      </w:r>
      <w:r>
        <w:rPr>
          <w:rFonts w:hint="eastAsia" w:ascii="仿宋" w:hAnsi="仿宋" w:eastAsia="仿宋" w:cs="仿宋"/>
          <w:color w:val="auto"/>
          <w:sz w:val="24"/>
          <w:szCs w:val="24"/>
          <w:highlight w:val="none"/>
          <w:shd w:val="clear" w:color="auto" w:fill="auto"/>
          <w:lang w:eastAsia="zh-CN"/>
        </w:rPr>
        <w:t>供货方案</w:t>
      </w:r>
      <w:r>
        <w:rPr>
          <w:rFonts w:hint="eastAsia" w:ascii="仿宋" w:hAnsi="仿宋" w:eastAsia="仿宋" w:cs="仿宋"/>
          <w:color w:val="auto"/>
          <w:sz w:val="24"/>
          <w:lang w:eastAsia="zh-CN"/>
        </w:rPr>
        <w:t>；</w:t>
      </w:r>
    </w:p>
    <w:p w14:paraId="65D89C28">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2.2.1</w:t>
      </w:r>
      <w:r>
        <w:rPr>
          <w:rFonts w:hint="eastAsia" w:ascii="仿宋" w:hAnsi="仿宋" w:eastAsia="仿宋" w:cs="仿宋"/>
          <w:color w:val="auto"/>
          <w:sz w:val="24"/>
          <w:lang w:val="en-US" w:eastAsia="zh-CN"/>
        </w:rPr>
        <w:t>5</w:t>
      </w:r>
      <w:r>
        <w:rPr>
          <w:rFonts w:hint="eastAsia" w:ascii="仿宋" w:hAnsi="仿宋" w:eastAsia="仿宋" w:cs="仿宋"/>
          <w:b w:val="0"/>
          <w:bCs/>
          <w:color w:val="auto"/>
          <w:sz w:val="24"/>
          <w:szCs w:val="24"/>
          <w:highlight w:val="none"/>
          <w:lang w:val="en-US" w:eastAsia="zh-CN"/>
        </w:rPr>
        <w:t>售后服务</w:t>
      </w:r>
      <w:r>
        <w:rPr>
          <w:rFonts w:hint="eastAsia" w:ascii="仿宋" w:hAnsi="仿宋" w:eastAsia="仿宋" w:cs="仿宋"/>
          <w:color w:val="auto"/>
          <w:sz w:val="24"/>
        </w:rPr>
        <w:t>；</w:t>
      </w:r>
    </w:p>
    <w:p w14:paraId="1B6BEFC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w:t>
      </w:r>
      <w:r>
        <w:rPr>
          <w:rFonts w:hint="eastAsia" w:ascii="仿宋" w:hAnsi="仿宋" w:eastAsia="仿宋" w:cs="仿宋"/>
          <w:color w:val="auto"/>
          <w:sz w:val="24"/>
          <w:lang w:val="en-US" w:eastAsia="zh-CN"/>
        </w:rPr>
        <w:t>16</w:t>
      </w:r>
      <w:r>
        <w:rPr>
          <w:rFonts w:ascii="仿宋" w:hAnsi="仿宋" w:eastAsia="仿宋" w:cs="仿宋"/>
          <w:color w:val="auto"/>
          <w:sz w:val="24"/>
        </w:rPr>
        <w:t>供应商需要说明的其他文件和说明（如果有）。</w:t>
      </w:r>
    </w:p>
    <w:p w14:paraId="67CDA53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仿宋" w:hAnsi="仿宋" w:eastAsia="仿宋" w:cs="仿宋"/>
          <w:b/>
          <w:color w:val="auto"/>
          <w:sz w:val="24"/>
          <w:lang w:val="zh-CN"/>
        </w:rPr>
      </w:pPr>
      <w:r>
        <w:rPr>
          <w:rFonts w:ascii="仿宋" w:hAnsi="仿宋" w:eastAsia="仿宋" w:cs="仿宋"/>
          <w:b/>
          <w:bCs/>
          <w:color w:val="auto"/>
          <w:sz w:val="24"/>
          <w:lang w:val="zh-CN"/>
        </w:rPr>
        <w:t xml:space="preserve">2.3报价文件： </w:t>
      </w:r>
    </w:p>
    <w:p w14:paraId="06604A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  2.3.1磋商一览表；</w:t>
      </w:r>
    </w:p>
    <w:p w14:paraId="27B2F32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highlight w:val="yellow"/>
          <w:lang w:val="en-US" w:eastAsia="zh-CN"/>
        </w:rPr>
      </w:pPr>
      <w:r>
        <w:rPr>
          <w:rFonts w:hint="eastAsia" w:ascii="仿宋" w:hAnsi="仿宋" w:eastAsia="仿宋" w:cs="仿宋"/>
          <w:color w:val="auto"/>
          <w:sz w:val="24"/>
          <w:highlight w:val="none"/>
          <w:lang w:val="en-US" w:eastAsia="zh-CN"/>
        </w:rPr>
        <w:t>2.3.2磋商响应方针对报价需要说明的其他文件和说明（</w:t>
      </w:r>
      <w:r>
        <w:rPr>
          <w:rFonts w:ascii="仿宋" w:hAnsi="仿宋" w:eastAsia="仿宋" w:cs="仿宋"/>
          <w:color w:val="auto"/>
          <w:sz w:val="24"/>
        </w:rPr>
        <w:t>如果有</w:t>
      </w:r>
      <w:r>
        <w:rPr>
          <w:rFonts w:hint="eastAsia" w:ascii="仿宋" w:hAnsi="仿宋" w:eastAsia="仿宋" w:cs="仿宋"/>
          <w:color w:val="auto"/>
          <w:sz w:val="24"/>
          <w:highlight w:val="none"/>
          <w:lang w:val="en-US" w:eastAsia="zh-CN"/>
        </w:rPr>
        <w:t>）。</w:t>
      </w:r>
    </w:p>
    <w:p w14:paraId="47B8CE6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z w:val="24"/>
          <w:lang w:val="zh-CN"/>
        </w:rPr>
      </w:pPr>
      <w:r>
        <w:rPr>
          <w:rFonts w:ascii="仿宋" w:hAnsi="仿宋" w:eastAsia="仿宋" w:cs="仿宋"/>
          <w:b/>
          <w:bCs/>
          <w:color w:val="auto"/>
          <w:sz w:val="24"/>
        </w:rPr>
        <w:t>3.</w:t>
      </w:r>
      <w:r>
        <w:rPr>
          <w:rFonts w:hint="eastAsia" w:ascii="仿宋" w:hAnsi="仿宋" w:eastAsia="仿宋" w:cs="仿宋"/>
          <w:b/>
          <w:bCs/>
          <w:color w:val="auto"/>
          <w:sz w:val="24"/>
          <w:lang w:val="zh-CN"/>
        </w:rPr>
        <w:t>磋商</w:t>
      </w:r>
      <w:r>
        <w:rPr>
          <w:rFonts w:ascii="仿宋" w:hAnsi="仿宋" w:eastAsia="仿宋" w:cs="仿宋"/>
          <w:b/>
          <w:bCs/>
          <w:color w:val="auto"/>
          <w:sz w:val="24"/>
          <w:lang w:val="zh-CN"/>
        </w:rPr>
        <w:t>报价</w:t>
      </w:r>
    </w:p>
    <w:p w14:paraId="2DF483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b/>
          <w:color w:val="auto"/>
          <w:sz w:val="24"/>
          <w:lang w:val="zh-CN"/>
        </w:rPr>
      </w:pPr>
      <w:r>
        <w:rPr>
          <w:rFonts w:hint="eastAsia" w:ascii="仿宋" w:hAnsi="仿宋" w:eastAsia="仿宋" w:cs="仿宋"/>
          <w:color w:val="auto"/>
          <w:sz w:val="24"/>
          <w:szCs w:val="24"/>
        </w:rPr>
        <w:t>3.1磋商响应报价是完成本项目服务内容和要求所产生的所有费用，包括但不限于提供服务所需的检测试验费、技术工作费、交通费、人员费、仪器设备采购和使用费、服务费、标准附件、备品备件、验收、质保期内的维护费、专用工具、包装、运输、装卸、培训、保修、企业管理费、保险费、招标代理费、税金等完成合同所需的一切本身和不可或缺的所有工作开支、政策性文件规定计合同包含的所有风险、责任等各项全部费用。</w:t>
      </w:r>
    </w:p>
    <w:p w14:paraId="5D9E02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b/>
          <w:color w:val="auto"/>
          <w:sz w:val="24"/>
          <w:lang w:val="zh-CN"/>
        </w:rPr>
      </w:pPr>
      <w:r>
        <w:rPr>
          <w:rFonts w:ascii="仿宋" w:hAnsi="仿宋" w:eastAsia="仿宋" w:cs="仿宋"/>
          <w:color w:val="auto"/>
          <w:sz w:val="24"/>
        </w:rPr>
        <w:t>3.2磋商文件未列明，而供应商认为必需的费用也需列入报价。</w:t>
      </w:r>
    </w:p>
    <w:p w14:paraId="692299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b/>
          <w:color w:val="auto"/>
          <w:sz w:val="24"/>
          <w:lang w:val="zh-CN"/>
        </w:rPr>
      </w:pPr>
      <w:r>
        <w:rPr>
          <w:rFonts w:ascii="仿宋" w:hAnsi="仿宋" w:eastAsia="仿宋" w:cs="仿宋"/>
          <w:color w:val="auto"/>
          <w:sz w:val="24"/>
        </w:rPr>
        <w:t>3.2磋商报价只允许有一个报价，有选择的报价将不予接受（除指定外）。</w:t>
      </w:r>
    </w:p>
    <w:p w14:paraId="00454D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b/>
          <w:color w:val="auto"/>
          <w:sz w:val="24"/>
          <w:lang w:val="zh-CN"/>
        </w:rPr>
      </w:pPr>
      <w:r>
        <w:rPr>
          <w:rFonts w:ascii="仿宋" w:hAnsi="仿宋" w:eastAsia="仿宋" w:cs="仿宋"/>
          <w:color w:val="auto"/>
          <w:sz w:val="24"/>
        </w:rPr>
        <w:t>3.3供应商提供虚假材料磋商的，磋商无效。</w:t>
      </w:r>
    </w:p>
    <w:p w14:paraId="033D555C">
      <w:pPr>
        <w:pStyle w:val="33"/>
        <w:keepNext w:val="0"/>
        <w:keepLines w:val="0"/>
        <w:pageBreakBefore w:val="0"/>
        <w:widowControl w:val="0"/>
        <w:kinsoku/>
        <w:wordWrap/>
        <w:overflowPunct/>
        <w:topLinePunct w:val="0"/>
        <w:autoSpaceDE/>
        <w:autoSpaceDN/>
        <w:bidi w:val="0"/>
        <w:adjustRightInd w:val="0"/>
        <w:spacing w:line="360" w:lineRule="auto"/>
        <w:textAlignment w:val="auto"/>
        <w:rPr>
          <w:rFonts w:ascii="仿宋" w:hAnsi="仿宋" w:eastAsia="仿宋" w:cs="仿宋"/>
          <w:b/>
          <w:color w:val="auto"/>
          <w:sz w:val="24"/>
          <w:szCs w:val="24"/>
        </w:rPr>
      </w:pPr>
      <w:r>
        <w:rPr>
          <w:rFonts w:ascii="仿宋" w:hAnsi="仿宋" w:eastAsia="仿宋" w:cs="仿宋"/>
          <w:b/>
          <w:color w:val="auto"/>
          <w:sz w:val="24"/>
          <w:szCs w:val="24"/>
        </w:rPr>
        <w:t>4.响应文件的编制和签署</w:t>
      </w:r>
    </w:p>
    <w:p w14:paraId="784535F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b/>
          <w:color w:val="auto"/>
          <w:sz w:val="24"/>
        </w:rPr>
      </w:pPr>
      <w:r>
        <w:rPr>
          <w:rFonts w:ascii="仿宋" w:hAnsi="仿宋" w:eastAsia="仿宋" w:cs="仿宋"/>
          <w:color w:val="auto"/>
          <w:kern w:val="0"/>
          <w:sz w:val="24"/>
        </w:rPr>
        <w:t>4</w:t>
      </w:r>
      <w:r>
        <w:rPr>
          <w:rFonts w:ascii="仿宋" w:hAnsi="仿宋" w:eastAsia="仿宋" w:cs="仿宋"/>
          <w:color w:val="auto"/>
          <w:kern w:val="0"/>
          <w:sz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228B9B7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kern w:val="0"/>
          <w:sz w:val="24"/>
          <w:lang w:val="zh-CN"/>
        </w:rPr>
      </w:pPr>
      <w:r>
        <w:rPr>
          <w:rFonts w:ascii="仿宋" w:hAnsi="仿宋" w:eastAsia="仿宋" w:cs="仿宋"/>
          <w:color w:val="auto"/>
          <w:kern w:val="0"/>
          <w:sz w:val="24"/>
        </w:rPr>
        <w:t>4</w:t>
      </w:r>
      <w:r>
        <w:rPr>
          <w:rFonts w:ascii="仿宋" w:hAnsi="仿宋" w:eastAsia="仿宋" w:cs="仿宋"/>
          <w:color w:val="auto"/>
          <w:kern w:val="0"/>
          <w:sz w:val="24"/>
          <w:lang w:val="zh-CN"/>
        </w:rPr>
        <w:t>.2供应商进行电子交易应安装客户端软件—“</w:t>
      </w:r>
      <w:r>
        <w:rPr>
          <w:rFonts w:hint="eastAsia" w:ascii="仿宋" w:hAnsi="仿宋" w:eastAsia="仿宋" w:cs="仿宋"/>
          <w:color w:val="auto"/>
          <w:kern w:val="0"/>
          <w:sz w:val="24"/>
          <w:lang w:val="zh-CN"/>
        </w:rPr>
        <w:t>乐采云电子交易客户端”，并按照磋商文件和电子交易平台的要求编制并加密响应文件。供应商未按规定加密的响应文件，电子交易平台将拒收并提示。</w:t>
      </w:r>
    </w:p>
    <w:p w14:paraId="26F8878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kern w:val="0"/>
          <w:sz w:val="24"/>
          <w:lang w:val="zh-CN"/>
        </w:rPr>
      </w:pPr>
      <w:r>
        <w:rPr>
          <w:rFonts w:ascii="仿宋" w:hAnsi="仿宋" w:eastAsia="仿宋" w:cs="仿宋"/>
          <w:color w:val="auto"/>
          <w:kern w:val="0"/>
          <w:sz w:val="24"/>
        </w:rPr>
        <w:t>4</w:t>
      </w:r>
      <w:r>
        <w:rPr>
          <w:rFonts w:ascii="仿宋" w:hAnsi="仿宋" w:eastAsia="仿宋" w:cs="仿宋"/>
          <w:color w:val="auto"/>
          <w:kern w:val="0"/>
          <w:sz w:val="24"/>
          <w:lang w:val="zh-CN"/>
        </w:rPr>
        <w:t>.3使用“</w:t>
      </w:r>
      <w:r>
        <w:rPr>
          <w:rFonts w:hint="eastAsia" w:ascii="仿宋" w:hAnsi="仿宋" w:eastAsia="仿宋" w:cs="仿宋"/>
          <w:color w:val="auto"/>
          <w:kern w:val="0"/>
          <w:sz w:val="24"/>
          <w:lang w:val="zh-CN"/>
        </w:rPr>
        <w:t>乐采云电子交易客户端”需要提前申领</w:t>
      </w:r>
      <w:r>
        <w:rPr>
          <w:rFonts w:ascii="仿宋" w:hAnsi="仿宋" w:eastAsia="仿宋" w:cs="仿宋"/>
          <w:color w:val="auto"/>
          <w:kern w:val="0"/>
          <w:sz w:val="24"/>
          <w:lang w:val="zh-CN"/>
        </w:rPr>
        <w:t>CA数字证书，申领流程请自行前往“浙江政府采购网-下载专区-电子交易客户端-CA驱动和申领流程”进行查阅。</w:t>
      </w:r>
    </w:p>
    <w:p w14:paraId="563B38F9">
      <w:pPr>
        <w:pStyle w:val="39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ascii="仿宋" w:hAnsi="仿宋" w:eastAsia="仿宋" w:cs="仿宋"/>
          <w:b/>
          <w:color w:val="auto"/>
        </w:rPr>
      </w:pPr>
      <w:r>
        <w:rPr>
          <w:rFonts w:ascii="仿宋" w:hAnsi="仿宋" w:eastAsia="仿宋" w:cs="仿宋"/>
          <w:color w:val="auto"/>
          <w:szCs w:val="24"/>
        </w:rPr>
        <w:t>4.4响应文件按照磋商文件第六部分格式要</w:t>
      </w:r>
      <w:r>
        <w:rPr>
          <w:rFonts w:hint="eastAsia" w:ascii="仿宋" w:hAnsi="仿宋" w:eastAsia="仿宋" w:cs="仿宋"/>
          <w:color w:val="auto"/>
        </w:rPr>
        <w:t>求进行签署、盖章。</w:t>
      </w:r>
      <w:r>
        <w:rPr>
          <w:rFonts w:hint="eastAsia" w:ascii="仿宋" w:hAnsi="仿宋" w:eastAsia="仿宋" w:cs="仿宋"/>
          <w:b/>
          <w:color w:val="auto"/>
        </w:rPr>
        <w:t>供应商的响应文件未按照磋商文件要求签署、盖章的，其响应无效</w:t>
      </w:r>
      <w:r>
        <w:rPr>
          <w:rFonts w:hint="eastAsia" w:ascii="仿宋" w:hAnsi="仿宋" w:eastAsia="仿宋" w:cs="仿宋"/>
          <w:color w:val="auto"/>
          <w:szCs w:val="24"/>
        </w:rPr>
        <w:t>。</w:t>
      </w:r>
    </w:p>
    <w:p w14:paraId="6B0C4F96">
      <w:pPr>
        <w:pStyle w:val="39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ascii="仿宋" w:hAnsi="仿宋" w:eastAsia="仿宋" w:cs="仿宋"/>
          <w:color w:val="auto"/>
        </w:rPr>
      </w:pPr>
      <w:r>
        <w:rPr>
          <w:rFonts w:ascii="仿宋" w:hAnsi="仿宋" w:eastAsia="仿宋" w:cs="仿宋"/>
          <w:color w:val="auto"/>
          <w:szCs w:val="24"/>
        </w:rPr>
        <w:t>4.5为确保网上操作合法、有效和安全，供应商应当在响应截止时间前完成在“乐采云平台</w:t>
      </w:r>
      <w:r>
        <w:rPr>
          <w:rFonts w:hint="eastAsia" w:ascii="仿宋" w:hAnsi="仿宋" w:eastAsia="仿宋" w:cs="仿宋"/>
          <w:color w:val="auto"/>
          <w:szCs w:val="24"/>
        </w:rPr>
        <w:t>”的身份认证，确保在电子交易过程中能够对相关数据电文进行加密和使用电子签名。</w:t>
      </w:r>
    </w:p>
    <w:p w14:paraId="37877FE0">
      <w:pPr>
        <w:pStyle w:val="39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ascii="仿宋" w:hAnsi="仿宋" w:eastAsia="仿宋" w:cs="仿宋"/>
          <w:color w:val="auto"/>
          <w:szCs w:val="24"/>
        </w:rPr>
      </w:pPr>
      <w:r>
        <w:rPr>
          <w:rFonts w:ascii="仿宋" w:hAnsi="仿宋" w:eastAsia="仿宋" w:cs="仿宋"/>
          <w:color w:val="auto"/>
        </w:rPr>
        <w:t>4.6磋商文件对响应文件签署、盖章的要求适用于电子签名。</w:t>
      </w:r>
    </w:p>
    <w:p w14:paraId="22361F08">
      <w:pPr>
        <w:pStyle w:val="397"/>
        <w:keepNext w:val="0"/>
        <w:keepLines w:val="0"/>
        <w:pageBreakBefore w:val="0"/>
        <w:widowControl w:val="0"/>
        <w:kinsoku/>
        <w:wordWrap/>
        <w:overflowPunct/>
        <w:topLinePunct w:val="0"/>
        <w:autoSpaceDE/>
        <w:autoSpaceDN/>
        <w:bidi w:val="0"/>
        <w:adjustRightInd w:val="0"/>
        <w:spacing w:before="0" w:line="360" w:lineRule="auto"/>
        <w:ind w:firstLine="0" w:firstLineChars="0"/>
        <w:textAlignment w:val="auto"/>
        <w:rPr>
          <w:rFonts w:ascii="仿宋" w:hAnsi="仿宋" w:eastAsia="仿宋" w:cs="仿宋"/>
          <w:b/>
          <w:color w:val="auto"/>
          <w:szCs w:val="24"/>
        </w:rPr>
      </w:pPr>
      <w:r>
        <w:rPr>
          <w:rFonts w:ascii="仿宋" w:hAnsi="仿宋" w:eastAsia="仿宋" w:cs="仿宋"/>
          <w:b/>
          <w:color w:val="auto"/>
          <w:szCs w:val="24"/>
        </w:rPr>
        <w:t>5.</w:t>
      </w:r>
      <w:r>
        <w:rPr>
          <w:rFonts w:hint="eastAsia" w:ascii="仿宋" w:hAnsi="仿宋" w:eastAsia="仿宋" w:cs="仿宋"/>
          <w:b/>
          <w:color w:val="auto"/>
          <w:szCs w:val="24"/>
        </w:rPr>
        <w:t>磋商响应文件的提交、补充、修改、撤回</w:t>
      </w:r>
    </w:p>
    <w:p w14:paraId="1D7BEB45">
      <w:pPr>
        <w:pStyle w:val="397"/>
        <w:keepNext w:val="0"/>
        <w:keepLines w:val="0"/>
        <w:pageBreakBefore w:val="0"/>
        <w:widowControl w:val="0"/>
        <w:kinsoku/>
        <w:wordWrap/>
        <w:overflowPunct/>
        <w:topLinePunct w:val="0"/>
        <w:autoSpaceDE/>
        <w:autoSpaceDN/>
        <w:bidi w:val="0"/>
        <w:adjustRightInd w:val="0"/>
        <w:spacing w:before="0" w:line="360" w:lineRule="auto"/>
        <w:ind w:firstLine="480"/>
        <w:textAlignment w:val="auto"/>
        <w:rPr>
          <w:rFonts w:ascii="仿宋" w:hAnsi="仿宋" w:eastAsia="仿宋" w:cs="仿宋"/>
          <w:color w:val="auto"/>
          <w:szCs w:val="24"/>
        </w:rPr>
      </w:pPr>
      <w:r>
        <w:rPr>
          <w:rFonts w:ascii="仿宋" w:hAnsi="仿宋" w:eastAsia="仿宋" w:cs="仿宋"/>
          <w:color w:val="auto"/>
          <w:szCs w:val="24"/>
        </w:rPr>
        <w:t xml:space="preserve">5.1 </w:t>
      </w:r>
      <w:r>
        <w:rPr>
          <w:rFonts w:hint="eastAsia" w:ascii="仿宋" w:hAnsi="仿宋" w:eastAsia="仿宋" w:cs="仿宋"/>
          <w:color w:val="auto"/>
          <w:szCs w:val="24"/>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E19228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5.2 </w:t>
      </w:r>
      <w:r>
        <w:rPr>
          <w:rFonts w:hint="eastAsia" w:ascii="仿宋" w:hAnsi="仿宋" w:eastAsia="仿宋" w:cs="仿宋"/>
          <w:color w:val="auto"/>
          <w:sz w:val="24"/>
        </w:rPr>
        <w:t>在响应截止时间以后，不能补充、修改响应文件。</w:t>
      </w:r>
    </w:p>
    <w:p w14:paraId="729AEAC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5.3 </w:t>
      </w:r>
      <w:r>
        <w:rPr>
          <w:rFonts w:hint="eastAsia" w:ascii="仿宋" w:hAnsi="仿宋" w:eastAsia="仿宋" w:cs="仿宋"/>
          <w:color w:val="auto"/>
          <w:sz w:val="24"/>
        </w:rPr>
        <w:t>在提交“最后报价”后，供应商不能退出磋商。</w:t>
      </w:r>
    </w:p>
    <w:p w14:paraId="44F88A8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5.4 </w:t>
      </w:r>
      <w:r>
        <w:rPr>
          <w:rFonts w:hint="eastAsia" w:ascii="仿宋" w:hAnsi="仿宋" w:eastAsia="仿宋" w:cs="仿宋"/>
          <w:color w:val="auto"/>
          <w:sz w:val="24"/>
        </w:rPr>
        <w:t>电子交易平台收到响应文件，将妥善保存并即时向供应商发出确认回执通知。在响应截止时间前，除供应商补充、修改或者撤回响应文件外，任何单位和个人不得解密或提取响应文件。</w:t>
      </w:r>
    </w:p>
    <w:p w14:paraId="5881E2A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b/>
          <w:color w:val="auto"/>
          <w:sz w:val="24"/>
        </w:rPr>
      </w:pPr>
      <w:r>
        <w:rPr>
          <w:rFonts w:ascii="仿宋" w:hAnsi="仿宋" w:eastAsia="仿宋" w:cs="仿宋"/>
          <w:color w:val="auto"/>
          <w:sz w:val="24"/>
        </w:rPr>
        <w:t xml:space="preserve">5.5 </w:t>
      </w:r>
      <w:r>
        <w:rPr>
          <w:rFonts w:hint="eastAsia" w:ascii="仿宋" w:hAnsi="仿宋" w:eastAsia="仿宋" w:cs="仿宋"/>
          <w:color w:val="auto"/>
          <w:sz w:val="24"/>
        </w:rPr>
        <w:t>采购代理机构可以视情况延长提交响应文件的截止时间。在上述情况下，采购代理机构与供应商以前在响应截止期方面的全部权利、责任和义务，将适用于延长至新的响应截止期。</w:t>
      </w:r>
    </w:p>
    <w:p w14:paraId="1DAA7AD1">
      <w:pPr>
        <w:pStyle w:val="397"/>
        <w:keepNext w:val="0"/>
        <w:keepLines w:val="0"/>
        <w:pageBreakBefore w:val="0"/>
        <w:widowControl w:val="0"/>
        <w:kinsoku/>
        <w:wordWrap/>
        <w:overflowPunct/>
        <w:topLinePunct w:val="0"/>
        <w:autoSpaceDE/>
        <w:autoSpaceDN/>
        <w:bidi w:val="0"/>
        <w:adjustRightInd w:val="0"/>
        <w:spacing w:before="0" w:line="360" w:lineRule="auto"/>
        <w:ind w:firstLine="0" w:firstLineChars="0"/>
        <w:textAlignment w:val="auto"/>
        <w:rPr>
          <w:rFonts w:ascii="仿宋" w:hAnsi="仿宋" w:eastAsia="仿宋" w:cs="仿宋"/>
          <w:b/>
          <w:color w:val="auto"/>
          <w:szCs w:val="24"/>
        </w:rPr>
      </w:pPr>
      <w:r>
        <w:rPr>
          <w:rStyle w:val="71"/>
          <w:color w:val="auto"/>
        </w:rPr>
        <w:t>6.</w:t>
      </w:r>
      <w:r>
        <w:rPr>
          <w:rFonts w:hint="eastAsia" w:ascii="仿宋" w:hAnsi="仿宋" w:eastAsia="仿宋" w:cs="仿宋"/>
          <w:b/>
          <w:color w:val="auto"/>
          <w:szCs w:val="24"/>
        </w:rPr>
        <w:t>磋商响应有效期</w:t>
      </w:r>
    </w:p>
    <w:p w14:paraId="2A3632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6.1磋商响应有效期为从提交磋商响应文件的截止之日起90天。供应商的磋商响应文件中承诺的磋商响应有效期少于磋商文件中载明的磋商有效期的，磋商无效。</w:t>
      </w:r>
    </w:p>
    <w:p w14:paraId="086DC4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6.2磋商响应文件合格投递后，自磋商截止日期起，在磋商有效期内有效。</w:t>
      </w:r>
    </w:p>
    <w:p w14:paraId="02E21A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6.3在原定磋商有效期满之前，如果出现特殊情况，采购代理机构可以以书面形式通知供应商延长磋商有效期。供应商同意延长的，不得要求或被允许修改其磋商响应文件，供应商拒绝延长的，其磋商无效。</w:t>
      </w:r>
    </w:p>
    <w:p w14:paraId="4CEC5684">
      <w:pPr>
        <w:keepNext w:val="0"/>
        <w:keepLines w:val="0"/>
        <w:pageBreakBefore w:val="0"/>
        <w:kinsoku/>
        <w:wordWrap/>
        <w:overflowPunct/>
        <w:topLinePunct w:val="0"/>
        <w:bidi w:val="0"/>
        <w:adjustRightInd/>
        <w:spacing w:line="360" w:lineRule="auto"/>
        <w:textAlignment w:val="auto"/>
        <w:outlineLvl w:val="0"/>
        <w:rPr>
          <w:rFonts w:ascii="仿宋" w:hAnsi="仿宋" w:eastAsia="仿宋" w:cs="仿宋"/>
          <w:b/>
          <w:color w:val="auto"/>
          <w:sz w:val="32"/>
          <w:szCs w:val="20"/>
        </w:rPr>
      </w:pPr>
    </w:p>
    <w:p w14:paraId="600E5997">
      <w:pPr>
        <w:keepNext w:val="0"/>
        <w:keepLines w:val="0"/>
        <w:pageBreakBefore w:val="0"/>
        <w:kinsoku/>
        <w:wordWrap/>
        <w:overflowPunct/>
        <w:topLinePunct w:val="0"/>
        <w:bidi w:val="0"/>
        <w:adjustRightInd/>
        <w:spacing w:line="360" w:lineRule="auto"/>
        <w:jc w:val="center"/>
        <w:textAlignment w:val="auto"/>
        <w:outlineLvl w:val="0"/>
        <w:rPr>
          <w:rFonts w:ascii="仿宋" w:hAnsi="仿宋" w:eastAsia="仿宋" w:cs="仿宋"/>
          <w:b/>
          <w:color w:val="auto"/>
          <w:sz w:val="32"/>
        </w:rPr>
      </w:pPr>
      <w:r>
        <w:rPr>
          <w:rFonts w:hint="eastAsia" w:ascii="仿宋" w:hAnsi="仿宋" w:eastAsia="仿宋" w:cs="仿宋"/>
          <w:b/>
          <w:color w:val="auto"/>
          <w:sz w:val="32"/>
          <w:szCs w:val="20"/>
        </w:rPr>
        <w:t>四、</w:t>
      </w:r>
      <w:r>
        <w:rPr>
          <w:rFonts w:hint="eastAsia" w:ascii="仿宋" w:hAnsi="仿宋" w:eastAsia="仿宋" w:cs="仿宋"/>
          <w:b/>
          <w:color w:val="auto"/>
          <w:sz w:val="32"/>
          <w:szCs w:val="32"/>
        </w:rPr>
        <w:t>磋商和评审</w:t>
      </w:r>
    </w:p>
    <w:p w14:paraId="7A76BFC6">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1</w:t>
      </w:r>
      <w:r>
        <w:rPr>
          <w:rFonts w:hint="eastAsia" w:ascii="仿宋" w:hAnsi="仿宋" w:eastAsia="仿宋" w:cs="仿宋"/>
          <w:b/>
          <w:color w:val="auto"/>
          <w:sz w:val="24"/>
          <w:lang w:val="en-US" w:eastAsia="zh-CN"/>
        </w:rPr>
        <w:t>.</w:t>
      </w:r>
      <w:r>
        <w:rPr>
          <w:rFonts w:ascii="仿宋" w:hAnsi="仿宋" w:eastAsia="仿宋" w:cs="仿宋"/>
          <w:b/>
          <w:color w:val="auto"/>
          <w:sz w:val="24"/>
        </w:rPr>
        <w:t>磋商程序</w:t>
      </w:r>
    </w:p>
    <w:p w14:paraId="341552E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1.1响应截止时间后，主持人宣布磋商开始。</w:t>
      </w:r>
    </w:p>
    <w:p w14:paraId="01F367FD">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1.2供应商登录</w:t>
      </w:r>
      <w:r>
        <w:rPr>
          <w:rFonts w:hint="eastAsia" w:ascii="仿宋" w:hAnsi="仿宋" w:eastAsia="仿宋" w:cs="仿宋"/>
          <w:color w:val="auto"/>
          <w:sz w:val="24"/>
        </w:rPr>
        <w:t>乐采云平台，用“项目采购</w:t>
      </w:r>
      <w:r>
        <w:rPr>
          <w:rFonts w:ascii="仿宋" w:hAnsi="仿宋" w:eastAsia="仿宋" w:cs="仿宋"/>
          <w:color w:val="auto"/>
          <w:sz w:val="24"/>
        </w:rPr>
        <w:t>-开标评标”功能对电子磋商响应文件进行在线解密。在线解密电子磋商响应文件时间为磋商截止时间起30分钟内。</w:t>
      </w:r>
    </w:p>
    <w:p w14:paraId="3CEEEEE9">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1.3确定各供应商磋商、演示顺序（如有要求）。</w:t>
      </w:r>
    </w:p>
    <w:p w14:paraId="44AE86FE">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1.4磋商小组对磋商响应文件进行评估和比较。</w:t>
      </w:r>
    </w:p>
    <w:p w14:paraId="3A7FE0E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1.5磋商小组与单一供应商分别进行磋商。</w:t>
      </w:r>
    </w:p>
    <w:p w14:paraId="280D46C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bCs/>
          <w:color w:val="auto"/>
          <w:sz w:val="24"/>
        </w:rPr>
        <w:t>1.6</w:t>
      </w:r>
      <w:r>
        <w:rPr>
          <w:rFonts w:hint="eastAsia" w:ascii="仿宋" w:hAnsi="仿宋" w:eastAsia="仿宋" w:cs="仿宋"/>
          <w:b/>
          <w:bCs/>
          <w:color w:val="auto"/>
          <w:sz w:val="24"/>
        </w:rPr>
        <w:t>磋商小组要求所有实质性响应的供应商在规定时间内提交最后报价。</w:t>
      </w:r>
    </w:p>
    <w:p w14:paraId="24D8210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1.7由磋商小组采用综合评分法对提交最后报价的供应商的磋商响应文件和最后报价进行综合评审，在符合采购需求、质量和服务要求的前提下，按评审得分从高到低顺序推荐确定成交候选供应商。</w:t>
      </w:r>
    </w:p>
    <w:p w14:paraId="286AB0A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1.8主持人公布磋商结果。</w:t>
      </w:r>
    </w:p>
    <w:p w14:paraId="1AAEECEC">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ascii="仿宋" w:hAnsi="仿宋" w:eastAsia="仿宋" w:cs="仿宋"/>
          <w:b/>
          <w:color w:val="auto"/>
          <w:sz w:val="24"/>
        </w:rPr>
      </w:pPr>
      <w:r>
        <w:rPr>
          <w:rFonts w:hint="eastAsia" w:ascii="仿宋" w:hAnsi="仿宋" w:eastAsia="仿宋" w:cs="仿宋"/>
          <w:b/>
          <w:color w:val="auto"/>
          <w:sz w:val="24"/>
        </w:rPr>
        <w:t>特别说明：乐采云公司如对电子化磋商程序有调整的，按调整后的程序操作。</w:t>
      </w:r>
    </w:p>
    <w:p w14:paraId="52F2319D">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2.采购过程中出现以下情形，导致电子交易平台无法正常运行，或者无法保证电子交易的公平、公正和安全时，采购组织机构可中止电子交易活动：</w:t>
      </w:r>
    </w:p>
    <w:p w14:paraId="37944F2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2.1电子交易平台发生故障而无法登录访问的；</w:t>
      </w:r>
    </w:p>
    <w:p w14:paraId="4B8F12D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2.2电子交易平台应用或数据库出现错误，不能进行正常操作的；</w:t>
      </w:r>
    </w:p>
    <w:p w14:paraId="2EAACFC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2.3电子交易平台发现严重安全漏洞，有潜在泄密危险的；</w:t>
      </w:r>
    </w:p>
    <w:p w14:paraId="4F455E5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2.4病毒发作导致不能进行正常操作的；</w:t>
      </w:r>
    </w:p>
    <w:p w14:paraId="7D33405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2.5其他无法保证电子交易的公平、公正和安全的情况。</w:t>
      </w:r>
    </w:p>
    <w:p w14:paraId="2000D2F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70593617">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lang w:val="en-US" w:eastAsia="zh-CN"/>
        </w:rPr>
        <w:t>.</w:t>
      </w:r>
      <w:r>
        <w:rPr>
          <w:rFonts w:ascii="仿宋" w:hAnsi="仿宋" w:eastAsia="仿宋" w:cs="仿宋"/>
          <w:b/>
          <w:color w:val="auto"/>
          <w:sz w:val="24"/>
        </w:rPr>
        <w:t>磋商内容</w:t>
      </w:r>
    </w:p>
    <w:p w14:paraId="12DBD253">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3.1本次磋商内容为在磋商文件范围内就供应商的磋商响应文件，磋商小组与供应商在技术、价格、服务、合同等问题进行磋商，最终确定成交与否。</w:t>
      </w:r>
    </w:p>
    <w:p w14:paraId="2E4C81F5">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3.2磋商应作书面记录，供应商并就磋商内容作出书面承诺，并由供应商法定代表人或其授权委托人签</w:t>
      </w:r>
      <w:r>
        <w:rPr>
          <w:rFonts w:hint="eastAsia" w:ascii="仿宋" w:hAnsi="仿宋" w:eastAsia="仿宋" w:cs="仿宋"/>
          <w:color w:val="auto"/>
          <w:sz w:val="24"/>
          <w:lang w:eastAsia="zh-CN"/>
        </w:rPr>
        <w:t>名</w:t>
      </w:r>
      <w:r>
        <w:rPr>
          <w:rFonts w:ascii="仿宋" w:hAnsi="仿宋" w:eastAsia="仿宋" w:cs="仿宋"/>
          <w:color w:val="auto"/>
          <w:sz w:val="24"/>
        </w:rPr>
        <w:t>后生效，作为磋商响应文件的一部分。</w:t>
      </w:r>
    </w:p>
    <w:p w14:paraId="4E2AC62A">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kern w:val="0"/>
          <w:sz w:val="24"/>
        </w:rPr>
      </w:pPr>
      <w:r>
        <w:rPr>
          <w:rFonts w:ascii="仿宋" w:hAnsi="仿宋" w:eastAsia="仿宋" w:cs="仿宋"/>
          <w:color w:val="auto"/>
          <w:sz w:val="24"/>
        </w:rPr>
        <w:t>3.3磋商文件有实质性变动的，磋商小组以书面形式通知所有参加磋商的供应商。</w:t>
      </w:r>
    </w:p>
    <w:p w14:paraId="6148306C">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4</w:t>
      </w:r>
      <w:r>
        <w:rPr>
          <w:rFonts w:hint="eastAsia" w:ascii="仿宋" w:hAnsi="仿宋" w:eastAsia="仿宋" w:cs="仿宋"/>
          <w:b/>
          <w:color w:val="auto"/>
          <w:sz w:val="24"/>
          <w:lang w:val="en-US" w:eastAsia="zh-CN"/>
        </w:rPr>
        <w:t>.</w:t>
      </w:r>
      <w:r>
        <w:rPr>
          <w:rFonts w:ascii="仿宋" w:hAnsi="仿宋" w:eastAsia="仿宋" w:cs="仿宋"/>
          <w:b/>
          <w:color w:val="auto"/>
          <w:sz w:val="24"/>
        </w:rPr>
        <w:t>磋商</w:t>
      </w:r>
    </w:p>
    <w:p w14:paraId="1D1D2835">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4.1磋商小组由采购人依法组建，负责评审活动。磋商小组遵循公开、公平、公正、科学合理、竞争择优的原则。</w:t>
      </w:r>
    </w:p>
    <w:p w14:paraId="31FD8552">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4.2磋商小组由采购人代表和有关方面的专家组成，成员人数为3人以上单数。</w:t>
      </w:r>
    </w:p>
    <w:p w14:paraId="48AB237E">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4.3磋商小组负责对供应商资格的最终审定。</w:t>
      </w:r>
    </w:p>
    <w:p w14:paraId="49929460">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4.4磋商小组可以要求供应商对其磋商响应文件中含义不明确的内容作必要的澄清或者说明，但澄清或者说明不得超过磋商响应文件的范围或者改变磋商响应文件的实质性内容。</w:t>
      </w:r>
    </w:p>
    <w:p w14:paraId="5D3F07E5">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磋商中需要供应商对磋商、响应文件作出澄清、说明或者补正的，评标委员会和供应商应当通过乐采云平台交换数据电文。给予供应商提交澄清说明或补正的时间不少于半小时，供应商已经明确表示澄清说明或补正完毕的除外。</w:t>
      </w:r>
    </w:p>
    <w:p w14:paraId="1158EE65">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供应商通过乐采云平台交换的数据电文必须进行电子签章。</w:t>
      </w:r>
    </w:p>
    <w:p w14:paraId="40B0F95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w:t>
      </w:r>
    </w:p>
    <w:p w14:paraId="11AB1DD9">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显畸高、畸低的评分情形（磋商小组成员个人主观打分偏离所有磋商小组成员主观打分平均值</w:t>
      </w:r>
      <w:r>
        <w:rPr>
          <w:rFonts w:ascii="仿宋" w:hAnsi="仿宋" w:eastAsia="仿宋" w:cs="仿宋"/>
          <w:color w:val="auto"/>
          <w:sz w:val="24"/>
        </w:rPr>
        <w:t>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1E01892">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kern w:val="0"/>
          <w:sz w:val="24"/>
        </w:rPr>
      </w:pPr>
      <w:r>
        <w:rPr>
          <w:rFonts w:ascii="仿宋" w:hAnsi="仿宋" w:eastAsia="仿宋" w:cs="仿宋"/>
          <w:color w:val="auto"/>
          <w:kern w:val="0"/>
          <w:sz w:val="24"/>
        </w:rPr>
        <w:t>4.6</w:t>
      </w:r>
      <w:r>
        <w:rPr>
          <w:rFonts w:hint="eastAsia" w:ascii="仿宋" w:hAnsi="仿宋" w:eastAsia="仿宋" w:cs="仿宋"/>
          <w:color w:val="auto"/>
          <w:sz w:val="24"/>
        </w:rPr>
        <w:t>磋商小组</w:t>
      </w:r>
      <w:r>
        <w:rPr>
          <w:rFonts w:hint="eastAsia" w:ascii="仿宋" w:hAnsi="仿宋" w:eastAsia="仿宋" w:cs="仿宋"/>
          <w:color w:val="auto"/>
          <w:kern w:val="0"/>
          <w:sz w:val="24"/>
        </w:rPr>
        <w:t>对磋商响应文件的判定，只依据磋商响应文件和磋商文件内容本身，不依据任何外来证明。</w:t>
      </w:r>
    </w:p>
    <w:p w14:paraId="1CC876F2">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kern w:val="0"/>
          <w:sz w:val="24"/>
        </w:rPr>
      </w:pPr>
      <w:r>
        <w:rPr>
          <w:rFonts w:ascii="仿宋" w:hAnsi="仿宋" w:eastAsia="仿宋" w:cs="仿宋"/>
          <w:color w:val="auto"/>
          <w:sz w:val="24"/>
        </w:rPr>
        <w:t>4.7磋商小组不向落标方解释落标的原因，不退还磋商响应文件。</w:t>
      </w:r>
    </w:p>
    <w:p w14:paraId="5448C2BE">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hint="eastAsia" w:ascii="仿宋" w:hAnsi="仿宋" w:eastAsia="仿宋" w:cs="仿宋"/>
          <w:b/>
          <w:color w:val="auto"/>
          <w:sz w:val="24"/>
          <w:lang w:val="en-US" w:eastAsia="zh-CN"/>
        </w:rPr>
        <w:t>5.</w:t>
      </w:r>
      <w:r>
        <w:rPr>
          <w:rFonts w:ascii="仿宋" w:hAnsi="仿宋" w:eastAsia="仿宋" w:cs="仿宋"/>
          <w:b/>
          <w:color w:val="auto"/>
          <w:sz w:val="24"/>
        </w:rPr>
        <w:t>磋商响应文件的初审鉴定</w:t>
      </w:r>
    </w:p>
    <w:p w14:paraId="3CCE973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5.1资格性审查</w:t>
      </w:r>
    </w:p>
    <w:p w14:paraId="21FCC4BD">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5.1.1依据法律、法规和磋商文件规定，对磋商响应文件中对资格证明、磋商保证金等进行审查，以确定供应商是否具备磋商资格。</w:t>
      </w:r>
    </w:p>
    <w:p w14:paraId="4A268CBF">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5.2符合性审查</w:t>
      </w:r>
    </w:p>
    <w:p w14:paraId="6CDC8C1C">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0CEB750E">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5.3如果磋商响应文件实质不响应磋商文件的各项要求，磋商小组将予以拒绝，并且不允许供应商通过修改或撤销其不符合要求的差异或保留，使之成为具有响应性的</w:t>
      </w:r>
      <w:r>
        <w:rPr>
          <w:rFonts w:hint="eastAsia" w:ascii="仿宋" w:hAnsi="仿宋" w:eastAsia="仿宋" w:cs="仿宋"/>
          <w:color w:val="auto"/>
          <w:sz w:val="24"/>
        </w:rPr>
        <w:t>磋商。</w:t>
      </w:r>
    </w:p>
    <w:p w14:paraId="651FEA94">
      <w:pPr>
        <w:keepNext w:val="0"/>
        <w:keepLines w:val="0"/>
        <w:pageBreakBefore w:val="0"/>
        <w:widowControl/>
        <w:kinsoku/>
        <w:wordWrap/>
        <w:overflowPunct/>
        <w:topLinePunct w:val="0"/>
        <w:autoSpaceDE/>
        <w:autoSpaceDN/>
        <w:bidi w:val="0"/>
        <w:snapToGrid w:val="0"/>
        <w:spacing w:line="360" w:lineRule="auto"/>
        <w:textAlignment w:val="auto"/>
        <w:rPr>
          <w:rFonts w:ascii="仿宋" w:hAnsi="仿宋" w:eastAsia="仿宋" w:cs="仿宋"/>
          <w:b/>
          <w:color w:val="auto"/>
          <w:kern w:val="0"/>
          <w:sz w:val="24"/>
        </w:rPr>
      </w:pPr>
      <w:r>
        <w:rPr>
          <w:rFonts w:ascii="仿宋" w:hAnsi="仿宋" w:eastAsia="仿宋" w:cs="仿宋"/>
          <w:b/>
          <w:color w:val="auto"/>
          <w:kern w:val="0"/>
          <w:sz w:val="24"/>
        </w:rPr>
        <w:t>6</w:t>
      </w:r>
      <w:r>
        <w:rPr>
          <w:rFonts w:hint="eastAsia" w:ascii="仿宋" w:hAnsi="仿宋" w:eastAsia="仿宋" w:cs="仿宋"/>
          <w:b/>
          <w:color w:val="auto"/>
          <w:kern w:val="0"/>
          <w:sz w:val="24"/>
          <w:lang w:val="en-US" w:eastAsia="zh-CN"/>
        </w:rPr>
        <w:t>.</w:t>
      </w:r>
      <w:r>
        <w:rPr>
          <w:rFonts w:hint="eastAsia" w:ascii="仿宋" w:hAnsi="仿宋" w:eastAsia="仿宋" w:cs="仿宋"/>
          <w:b/>
          <w:color w:val="auto"/>
          <w:kern w:val="0"/>
          <w:sz w:val="24"/>
        </w:rPr>
        <w:t>对明显的文字和计算错误的修正原则</w:t>
      </w:r>
    </w:p>
    <w:p w14:paraId="314184A2">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6.1磋商响应文件中报价一览表（报价表）内容与磋商响应文件中相应内容不一致的，以报价一览表（报价表）为准；</w:t>
      </w:r>
    </w:p>
    <w:p w14:paraId="2C1FCEF7">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6.2大写金额和小写金额不一致的，以大写金额为准；</w:t>
      </w:r>
    </w:p>
    <w:p w14:paraId="203BADF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6.3单价金额小数点或者百分比有明显错位的，以报价一览表的总价为准，并修改单价；</w:t>
      </w:r>
    </w:p>
    <w:p w14:paraId="5CC5858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6.4总价金额与按单价汇总金额不一致的，以单价金额计算结果为准。</w:t>
      </w:r>
    </w:p>
    <w:p w14:paraId="54E99045">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同时出现两种以上不一致的，按照前款规定的顺序修正。修正后的报价</w:t>
      </w:r>
      <w:r>
        <w:rPr>
          <w:rFonts w:hint="eastAsia" w:ascii="仿宋" w:hAnsi="仿宋" w:eastAsia="仿宋" w:cs="仿宋"/>
          <w:color w:val="auto"/>
          <w:sz w:val="24"/>
          <w:lang w:val="en-US" w:eastAsia="zh-CN"/>
        </w:rPr>
        <w:t>参照相关</w:t>
      </w:r>
      <w:r>
        <w:rPr>
          <w:rFonts w:hint="eastAsia" w:ascii="仿宋" w:hAnsi="仿宋" w:eastAsia="仿宋" w:cs="仿宋"/>
          <w:color w:val="auto"/>
          <w:sz w:val="24"/>
        </w:rPr>
        <w:t>规定经磋商响应人确认后产生约束力，磋商响应人不确认的，其磋商无效。</w:t>
      </w:r>
    </w:p>
    <w:p w14:paraId="098A939E">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7.磋商响应文件的评审、比较和否决</w:t>
      </w:r>
    </w:p>
    <w:p w14:paraId="4384A4DD">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7.1磋商小组将对在实质上响应磋商文件要求的磋商响应文件进行评估和比较。</w:t>
      </w:r>
    </w:p>
    <w:p w14:paraId="42A284FD">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7.2磋商小组可以书面形式要求供应商就磋商响应文件含义不明确的内容进行书面说明并提供相关材料。</w:t>
      </w:r>
    </w:p>
    <w:p w14:paraId="026901CD">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7.3如发现与磋商文件要求相偏离的，磋商小组应对其偏离情形进行必要的书面核实。</w:t>
      </w:r>
    </w:p>
    <w:p w14:paraId="403D87F0">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7.4如属于实质性偏离或符合无效响应条件的，磋商小组应当询问相关供应商，并允许其进行陈述申辩，但不允许对偏离条款撤回。</w:t>
      </w:r>
    </w:p>
    <w:p w14:paraId="77D1587D">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7.5比较与评价。磋商小组依据磋商文件规定的评审标准和方法，对磋商响应文件进行商务和技术评估，综合比较与评价。</w:t>
      </w:r>
    </w:p>
    <w:p w14:paraId="67BB8844">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7.6汇总（商务技术得分情况）。磋商小组各成员应当独立对每个供应商的磋商响应文件进行评价，并汇总商务技术得分情况。</w:t>
      </w:r>
    </w:p>
    <w:p w14:paraId="4CD48A38">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7.7 </w:t>
      </w:r>
      <w:r>
        <w:rPr>
          <w:rFonts w:hint="eastAsia" w:ascii="仿宋" w:hAnsi="仿宋" w:eastAsia="仿宋" w:cs="仿宋"/>
          <w:color w:val="auto"/>
          <w:sz w:val="24"/>
        </w:rPr>
        <w:t>报价审核。对符合采购需求且通过商务技术（资信）评审的供应商的报价的合理性、准确性等进行审查核实。</w:t>
      </w:r>
    </w:p>
    <w:p w14:paraId="1859E361">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7.7.1磋商小组认为供应商的报价明显低于其他通过符合性审查供应商的报价，有可能影响产品质量或者不能诚信履约的，应当要求其在磋商现场合理的时间内提供书面说明，必要时提交相关证明材料。</w:t>
      </w:r>
    </w:p>
    <w:p w14:paraId="1D562E0C">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7.7.</w:t>
      </w:r>
      <w:r>
        <w:rPr>
          <w:rFonts w:hint="eastAsia" w:ascii="仿宋" w:hAnsi="仿宋" w:eastAsia="仿宋" w:cs="仿宋"/>
          <w:color w:val="auto"/>
          <w:sz w:val="24"/>
          <w:lang w:val="en-US" w:eastAsia="zh-CN"/>
        </w:rPr>
        <w:t>2</w:t>
      </w:r>
      <w:r>
        <w:rPr>
          <w:rFonts w:ascii="仿宋" w:hAnsi="仿宋" w:eastAsia="仿宋" w:cs="仿宋"/>
          <w:color w:val="auto"/>
          <w:sz w:val="24"/>
        </w:rPr>
        <w:t>如需磋商价格修正，按</w:t>
      </w:r>
      <w:r>
        <w:rPr>
          <w:rFonts w:hint="eastAsia" w:ascii="仿宋" w:hAnsi="仿宋" w:eastAsia="仿宋" w:cs="仿宋"/>
          <w:color w:val="auto"/>
          <w:sz w:val="24"/>
          <w:lang w:val="en-US" w:eastAsia="zh-CN"/>
        </w:rPr>
        <w:t>磋商文件</w:t>
      </w:r>
      <w:r>
        <w:rPr>
          <w:rFonts w:ascii="仿宋" w:hAnsi="仿宋" w:eastAsia="仿宋" w:cs="仿宋"/>
          <w:color w:val="auto"/>
          <w:sz w:val="24"/>
        </w:rPr>
        <w:t>规定对磋商价格进行修正。</w:t>
      </w:r>
    </w:p>
    <w:p w14:paraId="48286F28">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7.8磋商小组依据磋商文件规定的评标标准和方法，对磋商响应文件进行评审和比较后，向采购人或其委托的采购代理机构提供书面磋商报告，并按得分高低排序推荐中标候选供应商。</w:t>
      </w:r>
    </w:p>
    <w:p w14:paraId="086CE7AD">
      <w:pPr>
        <w:pStyle w:val="14"/>
        <w:keepNext w:val="0"/>
        <w:keepLines w:val="0"/>
        <w:pageBreakBefore w:val="0"/>
        <w:tabs>
          <w:tab w:val="clear" w:pos="390"/>
        </w:tabs>
        <w:kinsoku/>
        <w:wordWrap/>
        <w:overflowPunct/>
        <w:topLinePunct w:val="0"/>
        <w:autoSpaceDE/>
        <w:autoSpaceDN/>
        <w:bidi w:val="0"/>
        <w:spacing w:afterLines="0" w:line="360" w:lineRule="auto"/>
        <w:ind w:left="0" w:firstLine="0"/>
        <w:textAlignment w:val="auto"/>
        <w:rPr>
          <w:rFonts w:ascii="仿宋" w:hAnsi="仿宋" w:eastAsia="仿宋" w:cs="仿宋"/>
          <w:b/>
          <w:color w:val="auto"/>
        </w:rPr>
      </w:pPr>
      <w:r>
        <w:rPr>
          <w:rFonts w:ascii="仿宋" w:hAnsi="仿宋" w:eastAsia="仿宋" w:cs="仿宋"/>
          <w:b/>
          <w:color w:val="auto"/>
        </w:rPr>
        <w:t>8.磋商响应文件的澄清</w:t>
      </w:r>
    </w:p>
    <w:p w14:paraId="599DFB66">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rPr>
      </w:pPr>
      <w:r>
        <w:rPr>
          <w:rFonts w:hint="eastAsia" w:ascii="仿宋" w:hAnsi="仿宋" w:eastAsia="仿宋" w:cs="仿宋"/>
          <w:color w:val="auto"/>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6211DB0A">
      <w:pPr>
        <w:pStyle w:val="3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cs="仿宋"/>
          <w:b/>
          <w:color w:val="auto"/>
          <w:sz w:val="24"/>
          <w:szCs w:val="24"/>
        </w:rPr>
      </w:pPr>
      <w:r>
        <w:rPr>
          <w:rFonts w:ascii="仿宋" w:hAnsi="仿宋" w:eastAsia="仿宋" w:cs="仿宋"/>
          <w:b/>
          <w:color w:val="auto"/>
          <w:sz w:val="24"/>
          <w:szCs w:val="24"/>
        </w:rPr>
        <w:t>9</w:t>
      </w:r>
      <w:r>
        <w:rPr>
          <w:rFonts w:hint="eastAsia" w:ascii="仿宋" w:hAnsi="仿宋" w:eastAsia="仿宋" w:cs="仿宋"/>
          <w:b/>
          <w:color w:val="auto"/>
          <w:sz w:val="24"/>
          <w:szCs w:val="24"/>
          <w:lang w:val="en-US" w:eastAsia="zh-CN"/>
        </w:rPr>
        <w:t>.</w:t>
      </w:r>
      <w:r>
        <w:rPr>
          <w:rFonts w:ascii="仿宋" w:hAnsi="仿宋" w:eastAsia="仿宋" w:cs="仿宋"/>
          <w:b/>
          <w:color w:val="auto"/>
          <w:sz w:val="24"/>
          <w:szCs w:val="24"/>
        </w:rPr>
        <w:t>无效磋商的情形</w:t>
      </w:r>
    </w:p>
    <w:p w14:paraId="46653261">
      <w:pPr>
        <w:keepNext w:val="0"/>
        <w:keepLines w:val="0"/>
        <w:pageBreakBefore w:val="0"/>
        <w:widowControl w:val="0"/>
        <w:tabs>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磋商响应文件有下列情形之一的作无效磋商响应处理：</w:t>
      </w:r>
    </w:p>
    <w:p w14:paraId="60AACC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9.1磋商响应文件未按照磋商文件规定要求电子签章、签字或盖章的；</w:t>
      </w:r>
    </w:p>
    <w:p w14:paraId="00C1DF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9.2单位负责人为同一人或者存在直接控股、管理关系的不同供应商参加同一合同项下的采购活动的（均无效）；</w:t>
      </w:r>
    </w:p>
    <w:p w14:paraId="590E77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9.3为采购项目提供整体设计、规范编制或者项目管理、监理、检测等服务的供应商参加该采购项目的其他采购活动的； </w:t>
      </w:r>
    </w:p>
    <w:p w14:paraId="559914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9.4供应商不具备磋商文件中规定的资格要求的（供应商未提供有效的资格证明文件的，视为其不具备磋商文件中规定的资格要求）；</w:t>
      </w:r>
    </w:p>
    <w:p w14:paraId="58F341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9.5</w:t>
      </w:r>
      <w:r>
        <w:rPr>
          <w:rFonts w:hint="eastAsia" w:ascii="仿宋" w:hAnsi="仿宋" w:eastAsia="仿宋" w:cs="仿宋"/>
          <w:b w:val="0"/>
          <w:bCs/>
          <w:color w:val="auto"/>
          <w:kern w:val="0"/>
          <w:sz w:val="24"/>
          <w:szCs w:val="24"/>
        </w:rPr>
        <w:t>《法定代表人身份证明书》与提供的身份证复印件信息不符的；《法定代表人授权委托书》与提供的身份证复印件信息不符的；</w:t>
      </w:r>
    </w:p>
    <w:p w14:paraId="406A6C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9.6《法定代表人授权委托书》或《法定代表人身份证明书》填写不全、错误、或授权代表未经有效授权的；</w:t>
      </w:r>
    </w:p>
    <w:p w14:paraId="5150AE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9.7授权代表非磋商响应单位正式职工（以社保证明为准，如授权代表为离退休返聘人员的，需提供退休证明及单位聘用证明</w:t>
      </w:r>
      <w:r>
        <w:rPr>
          <w:rFonts w:hint="eastAsia" w:ascii="仿宋" w:hAnsi="仿宋" w:eastAsia="仿宋" w:cs="仿宋"/>
          <w:b w:val="0"/>
          <w:bCs/>
          <w:color w:val="auto"/>
          <w:sz w:val="24"/>
          <w:szCs w:val="24"/>
        </w:rPr>
        <w:t>)，</w:t>
      </w:r>
      <w:r>
        <w:rPr>
          <w:rFonts w:hint="eastAsia" w:ascii="仿宋" w:hAnsi="仿宋" w:eastAsia="仿宋" w:cs="仿宋"/>
          <w:b w:val="0"/>
          <w:bCs/>
          <w:color w:val="auto"/>
          <w:kern w:val="0"/>
          <w:sz w:val="24"/>
          <w:szCs w:val="24"/>
        </w:rPr>
        <w:t>法定代表人及个体工商户除外；</w:t>
      </w:r>
    </w:p>
    <w:p w14:paraId="0FCF62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kern w:val="0"/>
          <w:sz w:val="24"/>
          <w:szCs w:val="24"/>
          <w:highlight w:val="yellow"/>
        </w:rPr>
      </w:pPr>
      <w:r>
        <w:rPr>
          <w:rFonts w:hint="eastAsia" w:ascii="仿宋" w:hAnsi="仿宋" w:eastAsia="仿宋" w:cs="仿宋"/>
          <w:b w:val="0"/>
          <w:bCs w:val="0"/>
          <w:color w:val="auto"/>
          <w:sz w:val="24"/>
          <w:highlight w:val="none"/>
          <w:lang w:val="en-US" w:eastAsia="zh-CN"/>
        </w:rPr>
        <w:t>9.8磋商响应文件</w:t>
      </w:r>
      <w:r>
        <w:rPr>
          <w:rFonts w:hint="eastAsia" w:ascii="仿宋" w:hAnsi="仿宋" w:eastAsia="仿宋" w:cs="仿宋"/>
          <w:b w:val="0"/>
          <w:bCs w:val="0"/>
          <w:color w:val="auto"/>
          <w:sz w:val="24"/>
          <w:highlight w:val="none"/>
        </w:rPr>
        <w:t>中承诺的</w:t>
      </w:r>
      <w:r>
        <w:rPr>
          <w:rFonts w:hint="eastAsia" w:ascii="仿宋" w:hAnsi="仿宋" w:eastAsia="仿宋" w:cs="仿宋"/>
          <w:b w:val="0"/>
          <w:bCs w:val="0"/>
          <w:color w:val="auto"/>
          <w:sz w:val="24"/>
          <w:highlight w:val="none"/>
          <w:lang w:val="en-US" w:eastAsia="zh-CN"/>
        </w:rPr>
        <w:t>磋商</w:t>
      </w:r>
      <w:r>
        <w:rPr>
          <w:rFonts w:hint="eastAsia" w:ascii="仿宋" w:hAnsi="仿宋" w:eastAsia="仿宋" w:cs="仿宋"/>
          <w:b w:val="0"/>
          <w:bCs w:val="0"/>
          <w:color w:val="auto"/>
          <w:sz w:val="24"/>
          <w:highlight w:val="none"/>
        </w:rPr>
        <w:t>有效期少于</w:t>
      </w:r>
      <w:r>
        <w:rPr>
          <w:rFonts w:hint="eastAsia" w:ascii="仿宋" w:hAnsi="仿宋" w:eastAsia="仿宋" w:cs="仿宋"/>
          <w:b w:val="0"/>
          <w:bCs w:val="0"/>
          <w:color w:val="auto"/>
          <w:sz w:val="24"/>
          <w:highlight w:val="none"/>
          <w:lang w:val="en-US" w:eastAsia="zh-CN"/>
        </w:rPr>
        <w:t>磋商</w:t>
      </w:r>
      <w:r>
        <w:rPr>
          <w:rFonts w:hint="eastAsia" w:ascii="仿宋" w:hAnsi="仿宋" w:eastAsia="仿宋" w:cs="仿宋"/>
          <w:b w:val="0"/>
          <w:bCs w:val="0"/>
          <w:color w:val="auto"/>
          <w:sz w:val="24"/>
          <w:highlight w:val="none"/>
        </w:rPr>
        <w:t>文件中载明的</w:t>
      </w:r>
      <w:r>
        <w:rPr>
          <w:rFonts w:hint="eastAsia" w:ascii="仿宋" w:hAnsi="仿宋" w:eastAsia="仿宋" w:cs="仿宋"/>
          <w:b w:val="0"/>
          <w:bCs w:val="0"/>
          <w:color w:val="auto"/>
          <w:sz w:val="24"/>
          <w:highlight w:val="none"/>
          <w:lang w:val="en-US" w:eastAsia="zh-CN"/>
        </w:rPr>
        <w:t>磋商</w:t>
      </w:r>
      <w:r>
        <w:rPr>
          <w:rFonts w:hint="eastAsia" w:ascii="仿宋" w:hAnsi="仿宋" w:eastAsia="仿宋" w:cs="仿宋"/>
          <w:b w:val="0"/>
          <w:bCs w:val="0"/>
          <w:color w:val="auto"/>
          <w:sz w:val="24"/>
          <w:highlight w:val="none"/>
        </w:rPr>
        <w:t>有效期的；</w:t>
      </w:r>
    </w:p>
    <w:p w14:paraId="2F94C81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9.9</w:t>
      </w:r>
      <w:r>
        <w:rPr>
          <w:rFonts w:hint="eastAsia" w:ascii="仿宋" w:hAnsi="仿宋" w:eastAsia="仿宋" w:cs="仿宋"/>
          <w:b w:val="0"/>
          <w:bCs/>
          <w:color w:val="auto"/>
          <w:sz w:val="24"/>
          <w:szCs w:val="24"/>
          <w:highlight w:val="none"/>
        </w:rPr>
        <w:t>供应商递交两份或两份以上内容不同的磋商响应文件，且未声明哪一份有效的；</w:t>
      </w:r>
    </w:p>
    <w:p w14:paraId="64881AA6">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9.10报价一经涂改，涂改处无磋商响应单位电子签章或者未经法定代表人或授权代表签字或盖章的；</w:t>
      </w:r>
    </w:p>
    <w:p w14:paraId="526062B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9.11</w:t>
      </w:r>
      <w:r>
        <w:rPr>
          <w:rFonts w:hint="eastAsia" w:ascii="仿宋" w:hAnsi="仿宋" w:eastAsia="仿宋" w:cs="仿宋"/>
          <w:b w:val="0"/>
          <w:bCs/>
          <w:color w:val="auto"/>
          <w:sz w:val="24"/>
          <w:szCs w:val="24"/>
        </w:rPr>
        <w:t>磋商响应文件中未按磋商文件规定的格式填写，或未详细应答磋商服务（或技术或产品等要求），经磋商后仍无法详细应答或应答不完整有缺失，致使磋商小组无法评审的；</w:t>
      </w:r>
    </w:p>
    <w:p w14:paraId="1B9FC042">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9.12出现同一标的物或本次磋商产品(服务)内的主要产品(重要组成部分)出现商务技术（资信）文件资料、报价文件资料描述不一致或前后描述不一致，经磋商小组认定后为无法评审的；</w:t>
      </w:r>
    </w:p>
    <w:p w14:paraId="0F6B126A">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9.13</w:t>
      </w:r>
      <w:r>
        <w:rPr>
          <w:rFonts w:hint="eastAsia" w:ascii="仿宋" w:hAnsi="仿宋" w:eastAsia="仿宋" w:cs="仿宋"/>
          <w:b w:val="0"/>
          <w:bCs/>
          <w:color w:val="auto"/>
          <w:kern w:val="0"/>
          <w:sz w:val="24"/>
          <w:szCs w:val="24"/>
          <w:lang w:val="en-US" w:eastAsia="zh-CN"/>
        </w:rPr>
        <w:t>磋商</w:t>
      </w:r>
      <w:r>
        <w:rPr>
          <w:rFonts w:hint="eastAsia" w:ascii="仿宋" w:hAnsi="仿宋" w:eastAsia="仿宋" w:cs="仿宋"/>
          <w:b w:val="0"/>
          <w:bCs/>
          <w:color w:val="auto"/>
          <w:kern w:val="0"/>
          <w:sz w:val="24"/>
          <w:szCs w:val="24"/>
        </w:rPr>
        <w:t>有效期、交货期（服务期）、付款方式等商务条款不能满足</w:t>
      </w:r>
      <w:r>
        <w:rPr>
          <w:rFonts w:hint="eastAsia" w:ascii="仿宋" w:hAnsi="仿宋" w:eastAsia="仿宋" w:cs="仿宋"/>
          <w:b w:val="0"/>
          <w:bCs/>
          <w:color w:val="auto"/>
          <w:kern w:val="0"/>
          <w:sz w:val="24"/>
          <w:szCs w:val="24"/>
          <w:lang w:val="en-US" w:eastAsia="zh-CN"/>
        </w:rPr>
        <w:t>磋商文件</w:t>
      </w:r>
      <w:r>
        <w:rPr>
          <w:rFonts w:hint="eastAsia" w:ascii="仿宋" w:hAnsi="仿宋" w:eastAsia="仿宋" w:cs="仿宋"/>
          <w:b w:val="0"/>
          <w:bCs/>
          <w:color w:val="auto"/>
          <w:kern w:val="0"/>
          <w:sz w:val="24"/>
          <w:szCs w:val="24"/>
        </w:rPr>
        <w:t>要求的</w:t>
      </w:r>
      <w:r>
        <w:rPr>
          <w:rFonts w:hint="eastAsia" w:ascii="仿宋" w:hAnsi="仿宋" w:eastAsia="仿宋" w:cs="仿宋"/>
          <w:b w:val="0"/>
          <w:bCs/>
          <w:color w:val="auto"/>
          <w:sz w:val="24"/>
          <w:szCs w:val="24"/>
        </w:rPr>
        <w:t>；</w:t>
      </w:r>
    </w:p>
    <w:p w14:paraId="312BC2C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9.14</w:t>
      </w:r>
      <w:r>
        <w:rPr>
          <w:rFonts w:hint="eastAsia" w:ascii="仿宋" w:hAnsi="仿宋" w:eastAsia="仿宋" w:cs="仿宋"/>
          <w:b w:val="0"/>
          <w:bCs/>
          <w:color w:val="auto"/>
          <w:kern w:val="0"/>
          <w:sz w:val="24"/>
          <w:szCs w:val="24"/>
        </w:rPr>
        <w:t>磋商响应文件有采购人不能接受的条件；</w:t>
      </w:r>
    </w:p>
    <w:p w14:paraId="11428EC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9.15</w:t>
      </w:r>
      <w:r>
        <w:rPr>
          <w:rFonts w:hint="eastAsia" w:ascii="仿宋" w:hAnsi="仿宋" w:eastAsia="仿宋" w:cs="仿宋"/>
          <w:b w:val="0"/>
          <w:bCs/>
          <w:color w:val="auto"/>
          <w:sz w:val="24"/>
          <w:szCs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243E6BF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9.16最后报价超过预算金额或最高限价</w:t>
      </w:r>
      <w:r>
        <w:rPr>
          <w:rFonts w:hint="eastAsia" w:ascii="仿宋" w:hAnsi="仿宋" w:eastAsia="仿宋" w:cs="仿宋"/>
          <w:b w:val="0"/>
          <w:bCs/>
          <w:color w:val="auto"/>
          <w:sz w:val="24"/>
          <w:szCs w:val="24"/>
          <w:lang w:val="en-US" w:eastAsia="zh-CN"/>
        </w:rPr>
        <w:t>的</w:t>
      </w:r>
      <w:r>
        <w:rPr>
          <w:rFonts w:hint="eastAsia" w:ascii="仿宋" w:hAnsi="仿宋" w:eastAsia="仿宋" w:cs="仿宋"/>
          <w:b w:val="0"/>
          <w:bCs/>
          <w:color w:val="auto"/>
          <w:sz w:val="24"/>
          <w:szCs w:val="24"/>
        </w:rPr>
        <w:t>；</w:t>
      </w:r>
    </w:p>
    <w:p w14:paraId="074AB46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9.17</w:t>
      </w:r>
      <w:r>
        <w:rPr>
          <w:rFonts w:hint="eastAsia" w:ascii="仿宋" w:hAnsi="仿宋" w:eastAsia="仿宋" w:cs="仿宋"/>
          <w:b w:val="0"/>
          <w:bCs w:val="0"/>
          <w:color w:val="auto"/>
          <w:sz w:val="24"/>
          <w:highlight w:val="none"/>
          <w:lang w:val="en-US" w:eastAsia="zh-CN"/>
        </w:rPr>
        <w:t>磋商响应文件</w:t>
      </w:r>
      <w:r>
        <w:rPr>
          <w:rFonts w:hint="eastAsia" w:ascii="仿宋" w:hAnsi="仿宋" w:eastAsia="仿宋" w:cs="仿宋"/>
          <w:b w:val="0"/>
          <w:bCs w:val="0"/>
          <w:color w:val="auto"/>
          <w:sz w:val="24"/>
          <w:highlight w:val="none"/>
        </w:rPr>
        <w:t>“商务技术（资信）文件资料”部分中出现《</w:t>
      </w:r>
      <w:r>
        <w:rPr>
          <w:rFonts w:hint="eastAsia" w:ascii="仿宋" w:hAnsi="仿宋" w:eastAsia="仿宋" w:cs="仿宋"/>
          <w:b w:val="0"/>
          <w:bCs/>
          <w:color w:val="auto"/>
          <w:sz w:val="24"/>
          <w:szCs w:val="24"/>
          <w:lang w:val="en-US" w:eastAsia="zh-CN"/>
        </w:rPr>
        <w:t>磋商</w:t>
      </w:r>
      <w:r>
        <w:rPr>
          <w:rFonts w:hint="eastAsia" w:ascii="仿宋" w:hAnsi="仿宋" w:eastAsia="仿宋" w:cs="仿宋"/>
          <w:b w:val="0"/>
          <w:bCs/>
          <w:color w:val="auto"/>
          <w:sz w:val="24"/>
          <w:szCs w:val="24"/>
        </w:rPr>
        <w:t>一览表</w:t>
      </w:r>
      <w:r>
        <w:rPr>
          <w:rFonts w:hint="eastAsia" w:ascii="仿宋" w:hAnsi="仿宋" w:eastAsia="仿宋" w:cs="仿宋"/>
          <w:b w:val="0"/>
          <w:bCs w:val="0"/>
          <w:color w:val="auto"/>
          <w:sz w:val="24"/>
          <w:highlight w:val="none"/>
        </w:rPr>
        <w:t>》相关内容的</w:t>
      </w:r>
      <w:r>
        <w:rPr>
          <w:rFonts w:hint="eastAsia" w:ascii="仿宋" w:hAnsi="仿宋" w:eastAsia="仿宋" w:cs="仿宋"/>
          <w:b w:val="0"/>
          <w:bCs w:val="0"/>
          <w:color w:val="auto"/>
          <w:sz w:val="24"/>
          <w:highlight w:val="none"/>
          <w:lang w:eastAsia="zh-CN"/>
        </w:rPr>
        <w:t>；</w:t>
      </w:r>
    </w:p>
    <w:p w14:paraId="1528BA2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9.18</w:t>
      </w:r>
      <w:r>
        <w:rPr>
          <w:rFonts w:hint="eastAsia" w:ascii="仿宋" w:hAnsi="仿宋" w:eastAsia="仿宋" w:cs="仿宋"/>
          <w:b w:val="0"/>
          <w:bCs/>
          <w:color w:val="auto"/>
          <w:sz w:val="24"/>
          <w:szCs w:val="24"/>
        </w:rPr>
        <w:t>磋商小组认定有重大偏差或</w:t>
      </w:r>
      <w:r>
        <w:rPr>
          <w:rFonts w:hint="eastAsia" w:ascii="仿宋" w:hAnsi="仿宋" w:eastAsia="仿宋" w:cs="仿宋"/>
          <w:color w:val="auto"/>
          <w:sz w:val="24"/>
          <w:szCs w:val="24"/>
          <w:highlight w:val="none"/>
          <w:lang w:val="en-US" w:eastAsia="zh-CN"/>
        </w:rPr>
        <w:t>标“</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auto"/>
          <w:sz w:val="24"/>
          <w:szCs w:val="24"/>
        </w:rPr>
        <w:t>实质性不响应磋商文件要求的；</w:t>
      </w:r>
    </w:p>
    <w:p w14:paraId="60C3FDC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w:t>
      </w:r>
      <w:r>
        <w:rPr>
          <w:rFonts w:hint="eastAsia" w:ascii="仿宋" w:hAnsi="仿宋" w:eastAsia="仿宋" w:cs="仿宋"/>
          <w:b w:val="0"/>
          <w:bCs/>
          <w:color w:val="auto"/>
          <w:sz w:val="24"/>
          <w:szCs w:val="24"/>
          <w:lang w:val="en-US" w:eastAsia="zh-CN"/>
        </w:rPr>
        <w:t>9</w:t>
      </w:r>
      <w:r>
        <w:rPr>
          <w:rFonts w:hint="eastAsia" w:ascii="仿宋" w:hAnsi="仿宋" w:eastAsia="仿宋" w:cs="仿宋"/>
          <w:b w:val="0"/>
          <w:bCs/>
          <w:color w:val="auto"/>
          <w:sz w:val="24"/>
          <w:szCs w:val="24"/>
        </w:rPr>
        <w:t>采购人拟采购的产品属于政府强制采购的节能产品品目清单范围的，供应商未按磋商文件要求提供国家确定的认证机构出具的、处于有效期之内的节能产品认证证书的；</w:t>
      </w:r>
    </w:p>
    <w:p w14:paraId="2196970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w:t>
      </w:r>
      <w:r>
        <w:rPr>
          <w:rFonts w:hint="eastAsia" w:ascii="仿宋" w:hAnsi="仿宋" w:eastAsia="仿宋" w:cs="仿宋"/>
          <w:b w:val="0"/>
          <w:bCs/>
          <w:color w:val="auto"/>
          <w:sz w:val="24"/>
          <w:szCs w:val="24"/>
          <w:lang w:val="en-US" w:eastAsia="zh-CN"/>
        </w:rPr>
        <w:t>20</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磋商</w:t>
      </w:r>
      <w:r>
        <w:rPr>
          <w:rFonts w:hint="eastAsia" w:ascii="仿宋" w:hAnsi="仿宋" w:eastAsia="仿宋" w:cs="仿宋"/>
          <w:b w:val="0"/>
          <w:bCs/>
          <w:color w:val="auto"/>
          <w:sz w:val="24"/>
          <w:szCs w:val="24"/>
        </w:rPr>
        <w:t>一览表》填写不完整或字迹不能辨认或有漏项的</w:t>
      </w:r>
      <w:r>
        <w:rPr>
          <w:rFonts w:hint="eastAsia" w:ascii="仿宋" w:hAnsi="仿宋" w:eastAsia="仿宋" w:cs="仿宋"/>
          <w:b w:val="0"/>
          <w:bCs/>
          <w:color w:val="auto"/>
          <w:sz w:val="24"/>
          <w:szCs w:val="24"/>
          <w:lang w:eastAsia="zh-CN"/>
        </w:rPr>
        <w:t>，经</w:t>
      </w:r>
      <w:r>
        <w:rPr>
          <w:rFonts w:hint="eastAsia" w:ascii="仿宋" w:hAnsi="仿宋" w:eastAsia="仿宋" w:cs="仿宋"/>
          <w:b w:val="0"/>
          <w:bCs/>
          <w:color w:val="auto"/>
          <w:sz w:val="24"/>
          <w:szCs w:val="24"/>
          <w:lang w:val="en-US" w:eastAsia="zh-CN"/>
        </w:rPr>
        <w:t>磋商小组</w:t>
      </w:r>
      <w:r>
        <w:rPr>
          <w:rFonts w:hint="eastAsia" w:ascii="仿宋" w:hAnsi="仿宋" w:eastAsia="仿宋" w:cs="仿宋"/>
          <w:b w:val="0"/>
          <w:bCs/>
          <w:color w:val="auto"/>
          <w:sz w:val="24"/>
          <w:szCs w:val="24"/>
          <w:lang w:eastAsia="zh-CN"/>
        </w:rPr>
        <w:t>认定属于重大偏差的；</w:t>
      </w:r>
    </w:p>
    <w:p w14:paraId="2E93E49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供应商对根据修正原则修正后的报价不确认的；</w:t>
      </w:r>
    </w:p>
    <w:p w14:paraId="51E38E0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供应商提供虚假材料磋商的（包括但不限于以下情节）；</w:t>
      </w:r>
    </w:p>
    <w:p w14:paraId="7BA29CD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.1使用伪造、变造的许可证件；</w:t>
      </w:r>
    </w:p>
    <w:p w14:paraId="514B6F6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.2提供虚假的财务状况或者业绩；</w:t>
      </w:r>
    </w:p>
    <w:p w14:paraId="7B63155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.3提供虚假的项目负责人或者主要技术人员简历、劳动关系证明；</w:t>
      </w:r>
    </w:p>
    <w:p w14:paraId="3946B7E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.4提供虚假的信用状况；</w:t>
      </w:r>
    </w:p>
    <w:p w14:paraId="28389BB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.5其他弄虚作假的行为。</w:t>
      </w:r>
    </w:p>
    <w:p w14:paraId="3D13EC9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有下列情形之一的，视为供应商串通磋商，其磋商无效：</w:t>
      </w:r>
    </w:p>
    <w:p w14:paraId="209A1CA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.1不同供应商的磋商响应文件由同一单位或者个人编制；</w:t>
      </w:r>
    </w:p>
    <w:p w14:paraId="286ECEF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.2不同供应商委托同一单位或者个人办理磋商事宜；</w:t>
      </w:r>
    </w:p>
    <w:p w14:paraId="363C660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.3不同供应商的磋商响应文件载明的项目管理成员或者联系人员为同一人；</w:t>
      </w:r>
    </w:p>
    <w:p w14:paraId="5635916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.4不同供应商的磋商响应文件异常一致或者磋商报价呈规律性差异；</w:t>
      </w:r>
    </w:p>
    <w:p w14:paraId="0D2DC5A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.5不同供应商的磋商响应文件相互混装；</w:t>
      </w:r>
    </w:p>
    <w:p w14:paraId="4D53EE4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.6有二份及二份以上磋商响应文件的相互之间有特别相同或相似之处，且经询标澄清供应商无令人信服的理由和可靠证据证明其合理性的，经磋商小组半数以上成员确认有串通磋商嫌疑的；</w:t>
      </w:r>
    </w:p>
    <w:p w14:paraId="107E0CA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w:t>
      </w: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有下列情形之一的，属于恶意串通，其磋商无效：</w:t>
      </w:r>
    </w:p>
    <w:p w14:paraId="447F58E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.1供应商直接或者间接从采购人或者采购机构处获得其他供应商的相关情况并修改其磋商响应文件；</w:t>
      </w:r>
    </w:p>
    <w:p w14:paraId="1334152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.2供应商按照采购人或者采购机构的授意撤换、修改磋商响应文件；</w:t>
      </w:r>
    </w:p>
    <w:p w14:paraId="38D4D56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.3供应商之间协商报价、技术方案等磋商响应文件的实质性内容；</w:t>
      </w:r>
    </w:p>
    <w:p w14:paraId="58DC8E3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.4属于同一集团、协会、商会等组织成员的供应商按照该组织要求协同参加采购活动；</w:t>
      </w:r>
    </w:p>
    <w:p w14:paraId="67DB091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.5供应商之间事先约定由某一特定供应商中标、成交；</w:t>
      </w:r>
    </w:p>
    <w:p w14:paraId="4C62A9F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.6供应商之间商定部分供应商放弃参加采购活动或者放弃中标、成交；</w:t>
      </w:r>
    </w:p>
    <w:p w14:paraId="235EB75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.7供应商与采购人或者采购机构之间、供应商相互之间，为谋求特定供应商中标、成交或者排斥其他供应商的其他串通行为。</w:t>
      </w:r>
    </w:p>
    <w:p w14:paraId="1572BBE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磋商响应文件出现不是唯一的、有选择性报价的；</w:t>
      </w:r>
    </w:p>
    <w:p w14:paraId="377B60D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b/>
          <w:color w:val="auto"/>
          <w:sz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rPr>
        <w:t>其他违反法律、法规的情形。</w:t>
      </w:r>
    </w:p>
    <w:p w14:paraId="017EA8F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b/>
          <w:color w:val="auto"/>
          <w:kern w:val="0"/>
          <w:sz w:val="24"/>
        </w:rPr>
      </w:pPr>
      <w:r>
        <w:rPr>
          <w:rFonts w:hint="eastAsia" w:ascii="仿宋" w:hAnsi="仿宋" w:eastAsia="仿宋" w:cs="仿宋"/>
          <w:b/>
          <w:bCs w:val="0"/>
          <w:color w:val="auto"/>
          <w:kern w:val="0"/>
          <w:sz w:val="24"/>
        </w:rPr>
        <w:t>10.废</w:t>
      </w:r>
      <w:r>
        <w:rPr>
          <w:rFonts w:hint="eastAsia" w:ascii="仿宋" w:hAnsi="仿宋" w:eastAsia="仿宋" w:cs="仿宋"/>
          <w:b/>
          <w:bCs w:val="0"/>
          <w:color w:val="auto"/>
          <w:sz w:val="24"/>
          <w:szCs w:val="24"/>
        </w:rPr>
        <w:t>标的</w:t>
      </w:r>
      <w:r>
        <w:rPr>
          <w:rFonts w:hint="eastAsia" w:ascii="仿宋" w:hAnsi="仿宋" w:eastAsia="仿宋" w:cs="仿宋"/>
          <w:b/>
          <w:bCs w:val="0"/>
          <w:color w:val="auto"/>
          <w:kern w:val="0"/>
          <w:sz w:val="24"/>
        </w:rPr>
        <w:t>情形</w:t>
      </w:r>
    </w:p>
    <w:p w14:paraId="658C870C">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val="0"/>
          <w:bCs/>
          <w:color w:val="auto"/>
          <w:kern w:val="0"/>
          <w:sz w:val="24"/>
        </w:rPr>
      </w:pPr>
      <w:r>
        <w:rPr>
          <w:rFonts w:hint="eastAsia" w:ascii="仿宋" w:hAnsi="仿宋" w:eastAsia="仿宋" w:cs="仿宋"/>
          <w:b/>
          <w:bCs w:val="0"/>
          <w:color w:val="auto"/>
          <w:kern w:val="0"/>
          <w:sz w:val="24"/>
        </w:rPr>
        <w:t>在采购中，出现下列情形之一的，应予废标：</w:t>
      </w:r>
    </w:p>
    <w:p w14:paraId="764D499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10.1符合</w:t>
      </w:r>
      <w:r>
        <w:rPr>
          <w:rFonts w:hint="eastAsia" w:ascii="仿宋" w:hAnsi="仿宋" w:eastAsia="仿宋" w:cs="仿宋"/>
          <w:b w:val="0"/>
          <w:bCs/>
          <w:color w:val="auto"/>
          <w:sz w:val="24"/>
          <w:szCs w:val="24"/>
        </w:rPr>
        <w:t>专业</w:t>
      </w:r>
      <w:r>
        <w:rPr>
          <w:rFonts w:hint="eastAsia" w:ascii="仿宋" w:hAnsi="仿宋" w:eastAsia="仿宋" w:cs="仿宋"/>
          <w:b w:val="0"/>
          <w:bCs/>
          <w:color w:val="auto"/>
          <w:kern w:val="0"/>
          <w:sz w:val="24"/>
        </w:rPr>
        <w:t>条件的供应商或者对磋商文件作实质性响应的供应商不足三家的；</w:t>
      </w:r>
    </w:p>
    <w:p w14:paraId="62438D4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10.2出现影响</w:t>
      </w:r>
      <w:r>
        <w:rPr>
          <w:rFonts w:hint="eastAsia" w:ascii="仿宋" w:hAnsi="仿宋" w:eastAsia="仿宋" w:cs="仿宋"/>
          <w:b w:val="0"/>
          <w:bCs/>
          <w:color w:val="auto"/>
          <w:sz w:val="24"/>
          <w:szCs w:val="24"/>
        </w:rPr>
        <w:t>采购</w:t>
      </w:r>
      <w:r>
        <w:rPr>
          <w:rFonts w:hint="eastAsia" w:ascii="仿宋" w:hAnsi="仿宋" w:eastAsia="仿宋" w:cs="仿宋"/>
          <w:b w:val="0"/>
          <w:bCs/>
          <w:color w:val="auto"/>
          <w:kern w:val="0"/>
          <w:sz w:val="24"/>
        </w:rPr>
        <w:t>公正的违法、违规行为的；</w:t>
      </w:r>
    </w:p>
    <w:p w14:paraId="6B65E13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10.3供应商的</w:t>
      </w:r>
      <w:r>
        <w:rPr>
          <w:rFonts w:hint="eastAsia" w:ascii="仿宋" w:hAnsi="仿宋" w:eastAsia="仿宋" w:cs="仿宋"/>
          <w:b w:val="0"/>
          <w:bCs/>
          <w:color w:val="auto"/>
          <w:sz w:val="24"/>
          <w:szCs w:val="24"/>
        </w:rPr>
        <w:t>报价</w:t>
      </w:r>
      <w:r>
        <w:rPr>
          <w:rFonts w:hint="eastAsia" w:ascii="仿宋" w:hAnsi="仿宋" w:eastAsia="仿宋" w:cs="仿宋"/>
          <w:b w:val="0"/>
          <w:bCs/>
          <w:color w:val="auto"/>
          <w:kern w:val="0"/>
          <w:sz w:val="24"/>
        </w:rPr>
        <w:t>均超过了采购预算，采购人不能支付的；</w:t>
      </w:r>
    </w:p>
    <w:p w14:paraId="75216B4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b/>
          <w:color w:val="auto"/>
          <w:kern w:val="0"/>
          <w:sz w:val="24"/>
        </w:rPr>
      </w:pPr>
      <w:r>
        <w:rPr>
          <w:rFonts w:hint="eastAsia" w:ascii="仿宋" w:hAnsi="仿宋" w:eastAsia="仿宋" w:cs="仿宋"/>
          <w:b w:val="0"/>
          <w:bCs/>
          <w:color w:val="auto"/>
          <w:kern w:val="0"/>
          <w:sz w:val="24"/>
        </w:rPr>
        <w:t>10.4因重大变故，采购任务取消的。</w:t>
      </w:r>
    </w:p>
    <w:p w14:paraId="33876628">
      <w:pPr>
        <w:keepNext w:val="0"/>
        <w:keepLines w:val="0"/>
        <w:pageBreakBefore w:val="0"/>
        <w:widowControl w:val="0"/>
        <w:kinsoku/>
        <w:wordWrap/>
        <w:overflowPunct/>
        <w:topLinePunct w:val="0"/>
        <w:autoSpaceDE/>
        <w:autoSpaceDN/>
        <w:bidi w:val="0"/>
        <w:adjustRightInd w:val="0"/>
        <w:spacing w:line="360" w:lineRule="auto"/>
        <w:textAlignment w:val="auto"/>
        <w:rPr>
          <w:rFonts w:ascii="仿宋" w:hAnsi="仿宋" w:eastAsia="仿宋" w:cs="仿宋"/>
          <w:b/>
          <w:color w:val="auto"/>
          <w:kern w:val="0"/>
          <w:sz w:val="24"/>
        </w:rPr>
      </w:pPr>
      <w:r>
        <w:rPr>
          <w:rFonts w:hint="eastAsia" w:ascii="仿宋" w:hAnsi="仿宋" w:eastAsia="仿宋" w:cs="仿宋"/>
          <w:b/>
          <w:color w:val="auto"/>
          <w:kern w:val="0"/>
          <w:sz w:val="24"/>
          <w:lang w:val="en-US" w:eastAsia="zh-CN"/>
        </w:rPr>
        <w:t>11</w:t>
      </w:r>
      <w:r>
        <w:rPr>
          <w:rFonts w:ascii="仿宋" w:hAnsi="仿宋" w:eastAsia="仿宋" w:cs="仿宋"/>
          <w:b/>
          <w:color w:val="auto"/>
          <w:kern w:val="0"/>
          <w:sz w:val="24"/>
        </w:rPr>
        <w:t>.</w:t>
      </w:r>
      <w:r>
        <w:rPr>
          <w:rFonts w:hint="eastAsia" w:ascii="仿宋" w:hAnsi="仿宋" w:eastAsia="仿宋" w:cs="仿宋"/>
          <w:b/>
          <w:color w:val="auto"/>
          <w:kern w:val="0"/>
          <w:sz w:val="24"/>
        </w:rPr>
        <w:t>磋商过程保密</w:t>
      </w:r>
    </w:p>
    <w:p w14:paraId="1A09D71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lang w:val="en-US" w:eastAsia="zh-CN"/>
        </w:rPr>
        <w:t>11</w:t>
      </w:r>
      <w:r>
        <w:rPr>
          <w:rFonts w:ascii="仿宋" w:hAnsi="仿宋" w:eastAsia="仿宋" w:cs="仿宋"/>
          <w:color w:val="auto"/>
          <w:kern w:val="0"/>
          <w:sz w:val="24"/>
        </w:rPr>
        <w:t>.1</w:t>
      </w:r>
      <w:r>
        <w:rPr>
          <w:rFonts w:hint="eastAsia" w:ascii="仿宋" w:hAnsi="仿宋" w:eastAsia="仿宋" w:cs="仿宋"/>
          <w:color w:val="auto"/>
          <w:sz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71F9472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lang w:val="en-US" w:eastAsia="zh-CN"/>
        </w:rPr>
        <w:t>11</w:t>
      </w:r>
      <w:r>
        <w:rPr>
          <w:rFonts w:ascii="仿宋" w:hAnsi="仿宋" w:eastAsia="仿宋" w:cs="仿宋"/>
          <w:color w:val="auto"/>
          <w:kern w:val="0"/>
          <w:sz w:val="24"/>
        </w:rPr>
        <w:t>.2</w:t>
      </w:r>
      <w:r>
        <w:rPr>
          <w:rFonts w:hint="eastAsia" w:ascii="仿宋" w:hAnsi="仿宋" w:eastAsia="仿宋" w:cs="仿宋"/>
          <w:color w:val="auto"/>
          <w:kern w:val="0"/>
          <w:sz w:val="24"/>
        </w:rPr>
        <w:t>在磋商期间，供应商企图影响采购人、采购代理机构或</w:t>
      </w:r>
      <w:r>
        <w:rPr>
          <w:rFonts w:hint="eastAsia" w:ascii="仿宋" w:hAnsi="仿宋" w:eastAsia="仿宋" w:cs="仿宋"/>
          <w:color w:val="auto"/>
          <w:sz w:val="24"/>
        </w:rPr>
        <w:t>磋商小组</w:t>
      </w:r>
      <w:r>
        <w:rPr>
          <w:rFonts w:hint="eastAsia" w:ascii="仿宋" w:hAnsi="仿宋" w:eastAsia="仿宋" w:cs="仿宋"/>
          <w:color w:val="auto"/>
          <w:kern w:val="0"/>
          <w:sz w:val="24"/>
        </w:rPr>
        <w:t>的任何活动，都将导致磋商被拒绝，并由其承担相应的法律责任。</w:t>
      </w:r>
    </w:p>
    <w:p w14:paraId="2E5E7055">
      <w:pPr>
        <w:keepNext w:val="0"/>
        <w:keepLines w:val="0"/>
        <w:pageBreakBefore w:val="0"/>
        <w:kinsoku/>
        <w:wordWrap/>
        <w:overflowPunct/>
        <w:topLinePunct w:val="0"/>
        <w:bidi w:val="0"/>
        <w:adjustRightInd/>
        <w:spacing w:line="360" w:lineRule="auto"/>
        <w:jc w:val="center"/>
        <w:textAlignment w:val="auto"/>
        <w:outlineLvl w:val="0"/>
        <w:rPr>
          <w:rFonts w:ascii="仿宋" w:hAnsi="仿宋" w:eastAsia="仿宋" w:cs="仿宋"/>
          <w:color w:val="auto"/>
          <w:sz w:val="32"/>
          <w:szCs w:val="32"/>
        </w:rPr>
      </w:pPr>
    </w:p>
    <w:p w14:paraId="63A5271A">
      <w:pPr>
        <w:keepNext w:val="0"/>
        <w:keepLines w:val="0"/>
        <w:pageBreakBefore w:val="0"/>
        <w:kinsoku/>
        <w:wordWrap/>
        <w:overflowPunct/>
        <w:topLinePunct w:val="0"/>
        <w:bidi w:val="0"/>
        <w:adjustRightInd/>
        <w:spacing w:line="360" w:lineRule="auto"/>
        <w:jc w:val="center"/>
        <w:textAlignment w:val="auto"/>
        <w:outlineLvl w:val="0"/>
        <w:rPr>
          <w:rFonts w:ascii="仿宋" w:hAnsi="仿宋" w:eastAsia="仿宋" w:cs="仿宋"/>
          <w:b/>
          <w:color w:val="auto"/>
          <w:sz w:val="32"/>
          <w:szCs w:val="20"/>
        </w:rPr>
      </w:pPr>
      <w:r>
        <w:rPr>
          <w:rFonts w:hint="eastAsia" w:ascii="仿宋" w:hAnsi="仿宋" w:eastAsia="仿宋" w:cs="仿宋"/>
          <w:b/>
          <w:color w:val="auto"/>
          <w:sz w:val="32"/>
          <w:szCs w:val="20"/>
        </w:rPr>
        <w:t>五、</w:t>
      </w:r>
      <w:r>
        <w:rPr>
          <w:rFonts w:hint="eastAsia" w:ascii="仿宋" w:hAnsi="仿宋" w:eastAsia="仿宋" w:cs="仿宋"/>
          <w:b/>
          <w:color w:val="auto"/>
          <w:sz w:val="32"/>
          <w:szCs w:val="32"/>
        </w:rPr>
        <w:t>成交</w:t>
      </w:r>
    </w:p>
    <w:p w14:paraId="271DBDD9">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rPr>
      </w:pPr>
      <w:r>
        <w:rPr>
          <w:rFonts w:ascii="仿宋" w:hAnsi="仿宋" w:eastAsia="仿宋" w:cs="仿宋"/>
          <w:b/>
          <w:color w:val="auto"/>
          <w:sz w:val="24"/>
          <w:szCs w:val="24"/>
        </w:rPr>
        <w:t>1</w:t>
      </w:r>
      <w:bookmarkStart w:id="51" w:name="_Toc84325929"/>
      <w:bookmarkStart w:id="52" w:name="_Toc81372776"/>
      <w:bookmarkStart w:id="53" w:name="_Toc81372953"/>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成交条件</w:t>
      </w:r>
    </w:p>
    <w:p w14:paraId="507767E3">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Cs w:val="24"/>
        </w:rPr>
      </w:pPr>
      <w:r>
        <w:rPr>
          <w:rFonts w:ascii="仿宋" w:hAnsi="仿宋" w:eastAsia="仿宋" w:cs="仿宋"/>
          <w:color w:val="auto"/>
          <w:szCs w:val="24"/>
        </w:rPr>
        <w:t>1.1磋商响应文件基本符合磋商文件要求；</w:t>
      </w:r>
    </w:p>
    <w:p w14:paraId="7C1C3A3E">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Cs w:val="24"/>
        </w:rPr>
      </w:pPr>
      <w:r>
        <w:rPr>
          <w:rFonts w:ascii="仿宋" w:hAnsi="仿宋" w:eastAsia="仿宋" w:cs="仿宋"/>
          <w:color w:val="auto"/>
          <w:szCs w:val="24"/>
        </w:rPr>
        <w:t>1.2供应商有很好的执行合同的能力；</w:t>
      </w:r>
    </w:p>
    <w:p w14:paraId="425DB1C1">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Cs w:val="24"/>
        </w:rPr>
      </w:pPr>
      <w:r>
        <w:rPr>
          <w:rFonts w:ascii="仿宋" w:hAnsi="仿宋" w:eastAsia="仿宋" w:cs="仿宋"/>
          <w:color w:val="auto"/>
          <w:szCs w:val="24"/>
        </w:rPr>
        <w:t>1.3实施方案最合理并对采购人最为有利，最大限度满足磋商文件的要求；</w:t>
      </w:r>
    </w:p>
    <w:p w14:paraId="72D9CE62">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Cs w:val="24"/>
        </w:rPr>
      </w:pPr>
      <w:r>
        <w:rPr>
          <w:rFonts w:ascii="仿宋" w:hAnsi="仿宋" w:eastAsia="仿宋" w:cs="仿宋"/>
          <w:color w:val="auto"/>
          <w:szCs w:val="24"/>
        </w:rPr>
        <w:t>1.4供应商能够提供质量技术、商务经济占综合优势的系统及服务。</w:t>
      </w:r>
    </w:p>
    <w:p w14:paraId="17C6DD46">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2.成交确认</w:t>
      </w:r>
    </w:p>
    <w:p w14:paraId="04FF3C7F">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2.1采购人应当在收到评审报告之日起５个工作日内，在评审报告提出的成交候选供应商单中确定成交供应商。</w:t>
      </w:r>
    </w:p>
    <w:p w14:paraId="3364EBAF">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2.2采购人逾期未确定成交供应商的，视为确定评审报告提出的成交候选供应商为成交供应商。</w:t>
      </w:r>
    </w:p>
    <w:p w14:paraId="4D99375C">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2.3采购人在确认成交供应商前</w:t>
      </w:r>
      <w:r>
        <w:rPr>
          <w:rFonts w:hint="eastAsia" w:ascii="仿宋" w:hAnsi="仿宋" w:eastAsia="仿宋" w:cs="仿宋"/>
          <w:color w:val="auto"/>
          <w:sz w:val="24"/>
          <w:lang w:val="en-US" w:eastAsia="zh-CN"/>
        </w:rPr>
        <w:t>可</w:t>
      </w:r>
      <w:r>
        <w:rPr>
          <w:rFonts w:ascii="仿宋" w:hAnsi="仿宋" w:eastAsia="仿宋" w:cs="仿宋"/>
          <w:color w:val="auto"/>
          <w:sz w:val="24"/>
        </w:rPr>
        <w:t>再次对资格条件和相关证件材料进一步查验核实。</w:t>
      </w:r>
    </w:p>
    <w:p w14:paraId="4153E75F">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lang w:val="en-US" w:eastAsia="zh-CN"/>
        </w:rPr>
        <w:t>.</w:t>
      </w:r>
      <w:r>
        <w:rPr>
          <w:rFonts w:ascii="仿宋" w:hAnsi="仿宋" w:eastAsia="仿宋" w:cs="仿宋"/>
          <w:b/>
          <w:color w:val="auto"/>
          <w:sz w:val="24"/>
        </w:rPr>
        <w:t>成交通知</w:t>
      </w:r>
    </w:p>
    <w:bookmarkEnd w:id="51"/>
    <w:bookmarkEnd w:id="52"/>
    <w:bookmarkEnd w:id="53"/>
    <w:p w14:paraId="31E3C97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Cs w:val="24"/>
        </w:rPr>
      </w:pPr>
      <w:r>
        <w:rPr>
          <w:rFonts w:hint="eastAsia" w:ascii="仿宋" w:hAnsi="仿宋" w:eastAsia="仿宋" w:cs="仿宋"/>
          <w:color w:val="auto"/>
          <w:kern w:val="0"/>
          <w:sz w:val="24"/>
          <w:szCs w:val="24"/>
          <w:lang w:val="en-US" w:eastAsia="zh-CN"/>
        </w:rPr>
        <w:t>3.1</w:t>
      </w:r>
      <w:r>
        <w:rPr>
          <w:rFonts w:hint="eastAsia" w:ascii="仿宋" w:hAnsi="仿宋" w:eastAsia="仿宋" w:cs="仿宋"/>
          <w:color w:val="auto"/>
          <w:kern w:val="0"/>
          <w:sz w:val="24"/>
          <w:szCs w:val="24"/>
        </w:rPr>
        <w:t>采购代理</w:t>
      </w:r>
      <w:r>
        <w:rPr>
          <w:rFonts w:hint="eastAsia" w:ascii="仿宋" w:hAnsi="仿宋" w:eastAsia="仿宋" w:cs="仿宋"/>
          <w:color w:val="auto"/>
          <w:sz w:val="24"/>
          <w:szCs w:val="24"/>
        </w:rPr>
        <w:t>机构对成交结果在指定媒体</w:t>
      </w:r>
      <w:r>
        <w:rPr>
          <w:rFonts w:hint="eastAsia" w:ascii="仿宋" w:hAnsi="仿宋" w:eastAsia="仿宋" w:cs="仿宋"/>
          <w:color w:val="auto"/>
          <w:kern w:val="0"/>
          <w:sz w:val="24"/>
          <w:szCs w:val="24"/>
        </w:rPr>
        <w:t>（浙江政府采购网http://zfcg.czt.zj.gov.cn/）发布成交公告，成交公告期限为</w:t>
      </w:r>
      <w:r>
        <w:rPr>
          <w:rFonts w:ascii="仿宋" w:hAnsi="仿宋" w:eastAsia="仿宋" w:cs="仿宋"/>
          <w:color w:val="auto"/>
          <w:kern w:val="0"/>
          <w:sz w:val="24"/>
          <w:szCs w:val="24"/>
        </w:rPr>
        <w:t>1个工作日。</w:t>
      </w:r>
    </w:p>
    <w:p w14:paraId="1EB472B9">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kern w:val="0"/>
          <w:sz w:val="24"/>
          <w:lang w:val="zh-CN"/>
        </w:rPr>
      </w:pPr>
      <w:r>
        <w:rPr>
          <w:rFonts w:ascii="仿宋" w:hAnsi="仿宋" w:eastAsia="仿宋" w:cs="仿宋"/>
          <w:color w:val="auto"/>
          <w:sz w:val="24"/>
        </w:rPr>
        <w:t>3.2采购机构通过</w:t>
      </w:r>
      <w:r>
        <w:rPr>
          <w:rFonts w:hint="eastAsia" w:ascii="仿宋" w:hAnsi="仿宋" w:eastAsia="仿宋" w:cs="仿宋"/>
          <w:color w:val="auto"/>
          <w:sz w:val="24"/>
          <w:lang w:val="en-US" w:eastAsia="zh-CN"/>
        </w:rPr>
        <w:t>线下</w:t>
      </w:r>
      <w:r>
        <w:rPr>
          <w:rFonts w:hint="eastAsia" w:ascii="仿宋" w:hAnsi="仿宋" w:eastAsia="仿宋" w:cs="仿宋"/>
          <w:color w:val="auto"/>
          <w:sz w:val="24"/>
        </w:rPr>
        <w:t>向成交供应商签发成交通知书。在采购代理机构发出成交通知书前，成交供应商如有违反有关法律法规和本项目要求行为的，则取消该成交供应商的成交资格</w:t>
      </w:r>
      <w:r>
        <w:rPr>
          <w:rFonts w:hint="eastAsia" w:ascii="仿宋" w:hAnsi="仿宋" w:eastAsia="仿宋" w:cs="仿宋"/>
          <w:color w:val="auto"/>
          <w:kern w:val="0"/>
          <w:sz w:val="24"/>
          <w:lang w:val="zh-CN"/>
        </w:rPr>
        <w:t>。</w:t>
      </w:r>
    </w:p>
    <w:p w14:paraId="56C17097">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3.3采购人、</w:t>
      </w:r>
      <w:r>
        <w:rPr>
          <w:rFonts w:hint="eastAsia" w:ascii="仿宋" w:hAnsi="仿宋" w:eastAsia="仿宋" w:cs="仿宋"/>
          <w:color w:val="auto"/>
          <w:kern w:val="0"/>
          <w:sz w:val="24"/>
        </w:rPr>
        <w:t>采购代理机构</w:t>
      </w:r>
      <w:r>
        <w:rPr>
          <w:rFonts w:hint="eastAsia" w:ascii="仿宋" w:hAnsi="仿宋" w:eastAsia="仿宋" w:cs="仿宋"/>
          <w:color w:val="auto"/>
          <w:sz w:val="24"/>
        </w:rPr>
        <w:t>对成交结果不作任何说明和解释，也不回答任何提问。</w:t>
      </w:r>
    </w:p>
    <w:p w14:paraId="6B470AAD">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4</w:t>
      </w:r>
      <w:r>
        <w:rPr>
          <w:rFonts w:hint="eastAsia" w:ascii="仿宋" w:hAnsi="仿宋" w:eastAsia="仿宋" w:cs="仿宋"/>
          <w:b/>
          <w:color w:val="auto"/>
          <w:sz w:val="24"/>
          <w:lang w:val="en-US" w:eastAsia="zh-CN"/>
        </w:rPr>
        <w:t>.</w:t>
      </w:r>
      <w:r>
        <w:rPr>
          <w:rFonts w:ascii="仿宋" w:hAnsi="仿宋" w:eastAsia="仿宋" w:cs="仿宋"/>
          <w:b/>
          <w:color w:val="auto"/>
          <w:sz w:val="24"/>
        </w:rPr>
        <w:t>履约保证金</w:t>
      </w:r>
    </w:p>
    <w:p w14:paraId="54A7830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4.1成交供应商按照采购文件规定</w:t>
      </w:r>
      <w:r>
        <w:rPr>
          <w:rFonts w:hint="eastAsia" w:ascii="仿宋" w:hAnsi="仿宋" w:eastAsia="仿宋" w:cs="仿宋"/>
          <w:color w:val="auto"/>
          <w:sz w:val="24"/>
          <w:lang w:eastAsia="zh-CN"/>
        </w:rPr>
        <w:t>提</w:t>
      </w:r>
      <w:r>
        <w:rPr>
          <w:rFonts w:hint="eastAsia" w:ascii="仿宋" w:hAnsi="仿宋" w:eastAsia="仿宋" w:cs="仿宋"/>
          <w:color w:val="auto"/>
          <w:sz w:val="24"/>
        </w:rPr>
        <w:t>交履约保证金</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若采购文件无规定则无需缴纳</w:t>
      </w:r>
      <w:r>
        <w:rPr>
          <w:rFonts w:hint="eastAsia" w:ascii="仿宋" w:hAnsi="仿宋" w:eastAsia="仿宋" w:cs="仿宋"/>
          <w:color w:val="auto"/>
          <w:sz w:val="24"/>
        </w:rPr>
        <w:t>。</w:t>
      </w:r>
    </w:p>
    <w:p w14:paraId="278A9925">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4.2签订合同后，如成交供应商不按双方合同约定履约，则没收其全部履约保证金，履约保证金不足以赔偿损失的，按实际损失赔偿。</w:t>
      </w:r>
    </w:p>
    <w:p w14:paraId="7E2538AE">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w:t>
      </w:r>
      <w:r>
        <w:rPr>
          <w:rFonts w:hint="eastAsia" w:ascii="仿宋" w:hAnsi="仿宋" w:eastAsia="仿宋" w:cs="仿宋"/>
          <w:color w:val="auto"/>
          <w:sz w:val="24"/>
          <w:szCs w:val="24"/>
          <w:lang w:val="en-US" w:eastAsia="zh-CN"/>
        </w:rPr>
        <w:t>成交供应商如未按时缴纳履约保证金，采购人有权撤销其成交资格，并报请批准后另行采购。</w:t>
      </w:r>
    </w:p>
    <w:p w14:paraId="035DDE99">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5</w:t>
      </w:r>
      <w:r>
        <w:rPr>
          <w:rFonts w:hint="eastAsia" w:ascii="仿宋" w:hAnsi="仿宋" w:eastAsia="仿宋" w:cs="仿宋"/>
          <w:b/>
          <w:color w:val="auto"/>
          <w:sz w:val="24"/>
          <w:lang w:val="en-US" w:eastAsia="zh-CN"/>
        </w:rPr>
        <w:t>.</w:t>
      </w:r>
      <w:r>
        <w:rPr>
          <w:rFonts w:ascii="仿宋" w:hAnsi="仿宋" w:eastAsia="仿宋" w:cs="仿宋"/>
          <w:b/>
          <w:color w:val="auto"/>
          <w:sz w:val="24"/>
        </w:rPr>
        <w:t>合同签订及备案</w:t>
      </w:r>
    </w:p>
    <w:p w14:paraId="7353CDCB">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5.1成交人应当在成交通知书发出之日起30天内与采购人签订合同，自采购合同签订之日起</w:t>
      </w:r>
      <w:r>
        <w:rPr>
          <w:rFonts w:ascii="仿宋" w:hAnsi="仿宋" w:eastAsia="仿宋" w:cs="仿宋"/>
          <w:b w:val="0"/>
          <w:bCs/>
          <w:color w:val="auto"/>
          <w:sz w:val="24"/>
        </w:rPr>
        <w:t>3个工作日内</w:t>
      </w:r>
      <w:r>
        <w:rPr>
          <w:rFonts w:hint="eastAsia" w:ascii="仿宋" w:hAnsi="仿宋" w:eastAsia="仿宋" w:cs="仿宋"/>
          <w:color w:val="auto"/>
          <w:sz w:val="24"/>
        </w:rPr>
        <w:t>，通过电子交易平台进行备案。</w:t>
      </w:r>
    </w:p>
    <w:p w14:paraId="2CA7ABC7">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5.2如成交人为联合体的，由联合体成员各方法定代表人或其授权代表与采购人代表签订合同。</w:t>
      </w:r>
    </w:p>
    <w:p w14:paraId="4D2BA586">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6.验收</w:t>
      </w:r>
    </w:p>
    <w:p w14:paraId="12F40989">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6.1采购人组织对供应商履约的验收。大型或者复杂的采购项目，应当邀请国家认可的质量检测机构参加验收工作。验收方成员应当在验收书上签字，并承担相应的法</w:t>
      </w:r>
      <w:r>
        <w:rPr>
          <w:rFonts w:hint="eastAsia" w:ascii="仿宋" w:hAnsi="仿宋" w:eastAsia="仿宋" w:cs="仿宋"/>
          <w:color w:val="auto"/>
          <w:sz w:val="24"/>
        </w:rPr>
        <w:t>律责任。如果发现与合同中要求不符，供应商须承担由此发生的一切损失和费用，并接受相应的处理。</w:t>
      </w:r>
    </w:p>
    <w:p w14:paraId="5324F87C">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6.2采购人可以邀请参加本项目的其他供应商或者第三方机构参与验收。参与验收的供应商或者第三方机构的意见作为验收书的参考资料一并存档。</w:t>
      </w:r>
    </w:p>
    <w:p w14:paraId="1033D6CA">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41D0D2">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w:t>
      </w:r>
      <w:r>
        <w:rPr>
          <w:rFonts w:hint="eastAsia" w:ascii="仿宋" w:hAnsi="仿宋" w:eastAsia="仿宋" w:cs="仿宋"/>
          <w:color w:val="auto"/>
          <w:sz w:val="24"/>
          <w:lang w:val="en-US" w:eastAsia="zh-CN"/>
        </w:rPr>
        <w:t>国资办。</w:t>
      </w:r>
    </w:p>
    <w:p w14:paraId="29F31882">
      <w:pPr>
        <w:keepNext w:val="0"/>
        <w:keepLines w:val="0"/>
        <w:pageBreakBefore w:val="0"/>
        <w:kinsoku/>
        <w:wordWrap/>
        <w:overflowPunct/>
        <w:topLinePunct w:val="0"/>
        <w:bidi w:val="0"/>
        <w:spacing w:line="360" w:lineRule="auto"/>
        <w:ind w:firstLine="640" w:firstLineChars="200"/>
        <w:textAlignment w:val="auto"/>
        <w:rPr>
          <w:rFonts w:ascii="仿宋" w:hAnsi="仿宋" w:eastAsia="仿宋" w:cs="仿宋"/>
          <w:color w:val="auto"/>
          <w:sz w:val="32"/>
          <w:szCs w:val="32"/>
        </w:rPr>
      </w:pPr>
    </w:p>
    <w:p w14:paraId="4391A53E">
      <w:pPr>
        <w:keepNext w:val="0"/>
        <w:keepLines w:val="0"/>
        <w:pageBreakBefore w:val="0"/>
        <w:kinsoku/>
        <w:wordWrap/>
        <w:overflowPunct/>
        <w:topLinePunct w:val="0"/>
        <w:bidi w:val="0"/>
        <w:adjustRightInd/>
        <w:spacing w:line="360" w:lineRule="auto"/>
        <w:jc w:val="center"/>
        <w:textAlignment w:val="auto"/>
        <w:outlineLvl w:val="0"/>
        <w:rPr>
          <w:rFonts w:ascii="仿宋" w:hAnsi="仿宋" w:eastAsia="仿宋" w:cs="仿宋"/>
          <w:b/>
          <w:color w:val="auto"/>
          <w:sz w:val="32"/>
          <w:szCs w:val="20"/>
        </w:rPr>
      </w:pPr>
      <w:r>
        <w:rPr>
          <w:rFonts w:hint="eastAsia" w:ascii="仿宋" w:hAnsi="仿宋" w:eastAsia="仿宋" w:cs="仿宋"/>
          <w:b/>
          <w:color w:val="auto"/>
          <w:sz w:val="32"/>
          <w:szCs w:val="20"/>
        </w:rPr>
        <w:t>六、询问、质疑与投诉</w:t>
      </w:r>
    </w:p>
    <w:p w14:paraId="20830E19">
      <w:pPr>
        <w:pStyle w:val="33"/>
        <w:keepNext w:val="0"/>
        <w:keepLines w:val="0"/>
        <w:pageBreakBefore w:val="0"/>
        <w:kinsoku/>
        <w:wordWrap/>
        <w:overflowPunct/>
        <w:topLinePunct w:val="0"/>
        <w:bidi w:val="0"/>
        <w:adjustRightInd w:val="0"/>
        <w:spacing w:line="360" w:lineRule="auto"/>
        <w:textAlignment w:val="auto"/>
        <w:rPr>
          <w:rFonts w:ascii="仿宋" w:hAnsi="仿宋" w:eastAsia="仿宋" w:cs="仿宋"/>
          <w:b/>
          <w:color w:val="auto"/>
          <w:sz w:val="24"/>
        </w:rPr>
      </w:pPr>
      <w:r>
        <w:rPr>
          <w:rFonts w:ascii="仿宋" w:hAnsi="仿宋" w:eastAsia="仿宋" w:cs="仿宋"/>
          <w:b/>
          <w:color w:val="auto"/>
          <w:sz w:val="24"/>
        </w:rPr>
        <w:t>1.在线询问、质疑、投诉</w:t>
      </w:r>
    </w:p>
    <w:p w14:paraId="2C4F0BA6">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关于“健全行政裁决机制”要求，鼓励供应商在线提起询问，</w:t>
      </w:r>
      <w:r>
        <w:rPr>
          <w:rFonts w:hint="eastAsia" w:ascii="仿宋" w:hAnsi="仿宋" w:eastAsia="仿宋" w:cs="仿宋"/>
          <w:color w:val="auto"/>
          <w:sz w:val="24"/>
        </w:rPr>
        <w:t>路径为：乐采云</w:t>
      </w:r>
      <w:r>
        <w:rPr>
          <w:rFonts w:ascii="仿宋" w:hAnsi="仿宋" w:eastAsia="仿宋" w:cs="仿宋"/>
          <w:color w:val="auto"/>
          <w:sz w:val="24"/>
        </w:rPr>
        <w:t>-项目采购-询问质疑投诉-询问列表</w:t>
      </w:r>
      <w:r>
        <w:rPr>
          <w:rFonts w:hint="eastAsia" w:ascii="仿宋" w:hAnsi="仿宋" w:eastAsia="仿宋" w:cs="仿宋"/>
          <w:color w:val="auto"/>
          <w:sz w:val="24"/>
        </w:rPr>
        <w:t>；鼓励供应商在线提起质疑，路径为：乐采云</w:t>
      </w:r>
      <w:r>
        <w:rPr>
          <w:rFonts w:ascii="仿宋" w:hAnsi="仿宋" w:eastAsia="仿宋" w:cs="仿宋"/>
          <w:color w:val="auto"/>
          <w:sz w:val="24"/>
        </w:rPr>
        <w:t>-项目采购-询问质疑投诉-质疑列表</w:t>
      </w:r>
      <w:r>
        <w:rPr>
          <w:rFonts w:hint="eastAsia" w:ascii="仿宋" w:hAnsi="仿宋" w:eastAsia="仿宋" w:cs="仿宋"/>
          <w:color w:val="auto"/>
          <w:sz w:val="24"/>
        </w:rPr>
        <w:t>。质疑供应商对在线质疑答复不满意的，可在线提起投诉，路径为：浙江政府服务网</w:t>
      </w:r>
      <w:r>
        <w:rPr>
          <w:rFonts w:ascii="仿宋" w:hAnsi="仿宋" w:eastAsia="仿宋" w:cs="仿宋"/>
          <w:color w:val="auto"/>
          <w:sz w:val="24"/>
        </w:rPr>
        <w:t>-政府采购投诉处理-在线办理</w:t>
      </w:r>
      <w:r>
        <w:rPr>
          <w:rFonts w:hint="eastAsia" w:ascii="仿宋" w:hAnsi="仿宋" w:eastAsia="仿宋" w:cs="仿宋"/>
          <w:color w:val="auto"/>
          <w:sz w:val="24"/>
        </w:rPr>
        <w:t>。</w:t>
      </w:r>
    </w:p>
    <w:p w14:paraId="3B661E4B">
      <w:pPr>
        <w:keepNext w:val="0"/>
        <w:keepLines w:val="0"/>
        <w:pageBreakBefore w:val="0"/>
        <w:kinsoku/>
        <w:wordWrap/>
        <w:overflowPunct/>
        <w:topLinePunct w:val="0"/>
        <w:bidi w:val="0"/>
        <w:adjustRightInd w:val="0"/>
        <w:spacing w:line="360" w:lineRule="auto"/>
        <w:textAlignment w:val="auto"/>
        <w:rPr>
          <w:rFonts w:ascii="仿宋" w:hAnsi="仿宋" w:eastAsia="仿宋" w:cs="仿宋"/>
          <w:b/>
          <w:color w:val="auto"/>
          <w:sz w:val="24"/>
        </w:rPr>
      </w:pPr>
      <w:r>
        <w:rPr>
          <w:rFonts w:ascii="仿宋" w:hAnsi="仿宋" w:eastAsia="仿宋" w:cs="仿宋"/>
          <w:b/>
          <w:color w:val="auto"/>
          <w:sz w:val="24"/>
        </w:rPr>
        <w:t>2</w:t>
      </w:r>
      <w:r>
        <w:rPr>
          <w:rFonts w:hint="eastAsia" w:ascii="仿宋" w:hAnsi="仿宋" w:eastAsia="仿宋" w:cs="仿宋"/>
          <w:b/>
          <w:color w:val="auto"/>
          <w:sz w:val="24"/>
          <w:lang w:val="en-US" w:eastAsia="zh-CN"/>
        </w:rPr>
        <w:t>.</w:t>
      </w:r>
      <w:r>
        <w:rPr>
          <w:rFonts w:hint="eastAsia" w:ascii="仿宋" w:hAnsi="仿宋" w:eastAsia="仿宋" w:cs="仿宋"/>
          <w:b/>
          <w:color w:val="auto"/>
          <w:sz w:val="24"/>
        </w:rPr>
        <w:t>供应商询问</w:t>
      </w:r>
    </w:p>
    <w:p w14:paraId="15DE2135">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仿宋" w:hAnsi="仿宋" w:eastAsia="仿宋" w:cs="仿宋"/>
          <w:color w:val="auto"/>
          <w:kern w:val="0"/>
          <w:sz w:val="24"/>
          <w:lang w:val="zh-CN"/>
        </w:rPr>
      </w:pPr>
      <w:r>
        <w:rPr>
          <w:rFonts w:hint="eastAsia" w:ascii="仿宋" w:hAnsi="仿宋" w:eastAsia="仿宋" w:cs="仿宋"/>
          <w:color w:val="auto"/>
          <w:kern w:val="0"/>
          <w:sz w:val="24"/>
          <w:lang w:val="zh-CN"/>
        </w:rPr>
        <w:t>供应商对采购活动事项有疑问的，可以提出询问，采购人或者采购代理机构应当在</w:t>
      </w:r>
      <w:r>
        <w:rPr>
          <w:rFonts w:ascii="仿宋" w:hAnsi="仿宋" w:eastAsia="仿宋" w:cs="仿宋"/>
          <w:color w:val="auto"/>
          <w:kern w:val="0"/>
          <w:sz w:val="24"/>
          <w:lang w:val="zh-CN"/>
        </w:rPr>
        <w:t>3个工作日内对供应商依法提出的询问作出答复，但答复的内容不得涉及商业秘</w:t>
      </w:r>
      <w:r>
        <w:rPr>
          <w:rFonts w:hint="eastAsia" w:ascii="仿宋" w:hAnsi="仿宋" w:eastAsia="仿宋" w:cs="仿宋"/>
          <w:color w:val="auto"/>
          <w:kern w:val="0"/>
          <w:sz w:val="24"/>
          <w:lang w:val="zh-CN"/>
        </w:rPr>
        <w:t>密。供应商提出的询问超出采购人对采购代理机构委托授权范围的，采购代理机构应当告知供应商向采购人提出。</w:t>
      </w:r>
    </w:p>
    <w:p w14:paraId="0DF8A68C">
      <w:pPr>
        <w:keepNext w:val="0"/>
        <w:keepLines w:val="0"/>
        <w:pageBreakBefore w:val="0"/>
        <w:kinsoku/>
        <w:wordWrap/>
        <w:overflowPunct/>
        <w:topLinePunct w:val="0"/>
        <w:bidi w:val="0"/>
        <w:adjustRightInd w:val="0"/>
        <w:spacing w:line="360" w:lineRule="auto"/>
        <w:textAlignment w:val="auto"/>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供应商质疑</w:t>
      </w:r>
    </w:p>
    <w:p w14:paraId="4B412D7C">
      <w:pPr>
        <w:pStyle w:val="33"/>
        <w:keepNext w:val="0"/>
        <w:keepLines w:val="0"/>
        <w:pageBreakBefore w:val="0"/>
        <w:kinsoku/>
        <w:wordWrap/>
        <w:overflowPunct/>
        <w:topLinePunct w:val="0"/>
        <w:bidi w:val="0"/>
        <w:adjustRightInd w:val="0"/>
        <w:spacing w:line="360" w:lineRule="auto"/>
        <w:ind w:firstLine="482" w:firstLineChars="200"/>
        <w:textAlignment w:val="auto"/>
        <w:rPr>
          <w:rFonts w:ascii="仿宋" w:hAnsi="仿宋" w:eastAsia="仿宋" w:cs="仿宋"/>
          <w:b/>
          <w:color w:val="auto"/>
          <w:sz w:val="24"/>
        </w:rPr>
      </w:pPr>
      <w:r>
        <w:rPr>
          <w:rFonts w:ascii="仿宋" w:hAnsi="仿宋" w:eastAsia="仿宋" w:cs="仿宋"/>
          <w:b/>
          <w:color w:val="auto"/>
          <w:kern w:val="0"/>
          <w:sz w:val="24"/>
          <w:lang w:val="zh-CN"/>
        </w:rPr>
        <w:t>3</w:t>
      </w:r>
      <w:r>
        <w:rPr>
          <w:rFonts w:ascii="仿宋" w:hAnsi="仿宋" w:eastAsia="仿宋" w:cs="仿宋"/>
          <w:b/>
          <w:color w:val="auto"/>
          <w:sz w:val="24"/>
        </w:rPr>
        <w:t>.1质疑提出时效</w:t>
      </w:r>
    </w:p>
    <w:p w14:paraId="1DA00406">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3.1.1提出质疑的供应商应当是参与所质疑项目采购活动的供应商。潜在供应商已依法获取其可质疑的采购文件的，可以对该文件提出质疑。</w:t>
      </w:r>
    </w:p>
    <w:p w14:paraId="0E603FF5">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kern w:val="0"/>
          <w:sz w:val="24"/>
          <w:lang w:val="zh-CN"/>
        </w:rPr>
        <w:t>3</w:t>
      </w:r>
      <w:r>
        <w:rPr>
          <w:rFonts w:ascii="仿宋" w:hAnsi="仿宋" w:eastAsia="仿宋" w:cs="仿宋"/>
          <w:color w:val="auto"/>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F0D8E91">
      <w:pPr>
        <w:pStyle w:val="15"/>
        <w:keepNext w:val="0"/>
        <w:keepLines w:val="0"/>
        <w:pageBreakBefore w:val="0"/>
        <w:kinsoku/>
        <w:wordWrap/>
        <w:overflowPunct/>
        <w:topLinePunct w:val="0"/>
        <w:bidi w:val="0"/>
        <w:adjustRightInd w:val="0"/>
        <w:spacing w:line="360" w:lineRule="auto"/>
        <w:ind w:firstLine="434" w:firstLineChars="181"/>
        <w:textAlignment w:val="auto"/>
        <w:rPr>
          <w:rFonts w:ascii="仿宋" w:hAnsi="仿宋" w:eastAsia="仿宋" w:cs="仿宋"/>
          <w:snapToGrid/>
          <w:color w:val="auto"/>
          <w:kern w:val="2"/>
          <w:sz w:val="24"/>
        </w:rPr>
      </w:pPr>
      <w:r>
        <w:rPr>
          <w:rFonts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4582B237">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3.1.2.2对采购过程提出质疑的，质疑期限为各采购程序环节结束之日起计算。</w:t>
      </w:r>
    </w:p>
    <w:p w14:paraId="53F2D2DA">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3.1.2.3对采购结果提出质疑的，质疑期限自采购结果公告期限届满之日起计算。</w:t>
      </w:r>
    </w:p>
    <w:p w14:paraId="30423CCD">
      <w:pPr>
        <w:pStyle w:val="33"/>
        <w:keepNext w:val="0"/>
        <w:keepLines w:val="0"/>
        <w:pageBreakBefore w:val="0"/>
        <w:kinsoku/>
        <w:wordWrap/>
        <w:overflowPunct/>
        <w:topLinePunct w:val="0"/>
        <w:bidi w:val="0"/>
        <w:adjustRightInd w:val="0"/>
        <w:spacing w:line="360" w:lineRule="auto"/>
        <w:ind w:firstLine="482" w:firstLineChars="200"/>
        <w:textAlignment w:val="auto"/>
        <w:rPr>
          <w:rFonts w:ascii="仿宋" w:hAnsi="仿宋" w:eastAsia="仿宋" w:cs="仿宋"/>
          <w:b/>
          <w:color w:val="auto"/>
          <w:kern w:val="0"/>
          <w:sz w:val="24"/>
          <w:lang w:val="zh-CN"/>
        </w:rPr>
      </w:pPr>
      <w:r>
        <w:rPr>
          <w:rFonts w:ascii="仿宋" w:hAnsi="仿宋" w:eastAsia="仿宋" w:cs="仿宋"/>
          <w:b/>
          <w:bCs/>
          <w:color w:val="auto"/>
          <w:sz w:val="24"/>
        </w:rPr>
        <w:t>3.1.2.4</w:t>
      </w:r>
      <w:r>
        <w:rPr>
          <w:rFonts w:hint="eastAsia" w:ascii="仿宋" w:hAnsi="仿宋" w:eastAsia="仿宋" w:cs="仿宋"/>
          <w:b/>
          <w:bCs/>
          <w:color w:val="auto"/>
          <w:sz w:val="24"/>
        </w:rPr>
        <w:t>对同一采购程序环节的质疑，供应商须一次性提出（即针对同一采购程序环节的质疑采购人或采购代理机构仅受理一次），逾期提出或针对同一采购程序环节多次提出的质疑将不予受理、答复</w:t>
      </w:r>
      <w:r>
        <w:rPr>
          <w:rFonts w:ascii="仿宋" w:hAnsi="仿宋" w:eastAsia="仿宋" w:cs="仿宋"/>
          <w:b/>
          <w:bCs/>
          <w:color w:val="auto"/>
          <w:sz w:val="24"/>
        </w:rPr>
        <w:t>。</w:t>
      </w:r>
    </w:p>
    <w:p w14:paraId="66E755FC">
      <w:pPr>
        <w:pStyle w:val="33"/>
        <w:keepNext w:val="0"/>
        <w:keepLines w:val="0"/>
        <w:pageBreakBefore w:val="0"/>
        <w:kinsoku/>
        <w:wordWrap/>
        <w:overflowPunct/>
        <w:topLinePunct w:val="0"/>
        <w:bidi w:val="0"/>
        <w:adjustRightInd w:val="0"/>
        <w:spacing w:line="360" w:lineRule="auto"/>
        <w:ind w:firstLine="482" w:firstLineChars="200"/>
        <w:textAlignment w:val="auto"/>
        <w:rPr>
          <w:rFonts w:ascii="仿宋" w:hAnsi="仿宋" w:eastAsia="仿宋" w:cs="仿宋"/>
          <w:color w:val="auto"/>
          <w:sz w:val="24"/>
        </w:rPr>
      </w:pPr>
      <w:r>
        <w:rPr>
          <w:rFonts w:ascii="仿宋" w:hAnsi="仿宋" w:eastAsia="仿宋" w:cs="仿宋"/>
          <w:b/>
          <w:color w:val="auto"/>
          <w:kern w:val="0"/>
          <w:sz w:val="24"/>
          <w:lang w:val="zh-CN"/>
        </w:rPr>
        <w:t>3.</w:t>
      </w:r>
      <w:r>
        <w:rPr>
          <w:rFonts w:ascii="仿宋" w:hAnsi="仿宋" w:eastAsia="仿宋" w:cs="仿宋"/>
          <w:b/>
          <w:color w:val="auto"/>
          <w:kern w:val="0"/>
          <w:sz w:val="24"/>
        </w:rPr>
        <w:t>2</w:t>
      </w:r>
      <w:r>
        <w:rPr>
          <w:rFonts w:hint="eastAsia" w:ascii="仿宋" w:hAnsi="仿宋" w:eastAsia="仿宋" w:cs="仿宋"/>
          <w:b/>
          <w:color w:val="auto"/>
          <w:kern w:val="0"/>
          <w:sz w:val="24"/>
          <w:lang w:val="zh-CN"/>
        </w:rPr>
        <w:t>质疑函</w:t>
      </w:r>
    </w:p>
    <w:p w14:paraId="79B8EC99">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3.2.1供应商提出质疑应当提交质疑函和必要的证明材料。质疑函应当包括下列内容：</w:t>
      </w:r>
    </w:p>
    <w:p w14:paraId="289EE3EA">
      <w:pPr>
        <w:pStyle w:val="33"/>
        <w:keepNext w:val="0"/>
        <w:keepLines w:val="0"/>
        <w:pageBreakBefore w:val="0"/>
        <w:numPr>
          <w:ilvl w:val="0"/>
          <w:numId w:val="0"/>
        </w:numPr>
        <w:kinsoku/>
        <w:wordWrap/>
        <w:overflowPunct/>
        <w:topLinePunct w:val="0"/>
        <w:bidi w:val="0"/>
        <w:adjustRightInd w:val="0"/>
        <w:spacing w:line="360" w:lineRule="auto"/>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供应商的姓名或者名称、地址、邮编、联系人及联系电话；</w:t>
      </w:r>
    </w:p>
    <w:p w14:paraId="05272327">
      <w:pPr>
        <w:pStyle w:val="33"/>
        <w:keepNext w:val="0"/>
        <w:keepLines w:val="0"/>
        <w:pageBreakBefore w:val="0"/>
        <w:numPr>
          <w:ilvl w:val="0"/>
          <w:numId w:val="0"/>
        </w:numPr>
        <w:kinsoku/>
        <w:wordWrap/>
        <w:overflowPunct/>
        <w:topLinePunct w:val="0"/>
        <w:bidi w:val="0"/>
        <w:adjustRightInd w:val="0"/>
        <w:spacing w:line="360" w:lineRule="auto"/>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质疑项目的名称、编号；</w:t>
      </w:r>
    </w:p>
    <w:p w14:paraId="5C39C83E">
      <w:pPr>
        <w:pStyle w:val="33"/>
        <w:keepNext w:val="0"/>
        <w:keepLines w:val="0"/>
        <w:pageBreakBefore w:val="0"/>
        <w:numPr>
          <w:ilvl w:val="0"/>
          <w:numId w:val="0"/>
        </w:numPr>
        <w:kinsoku/>
        <w:wordWrap/>
        <w:overflowPunct/>
        <w:topLinePunct w:val="0"/>
        <w:bidi w:val="0"/>
        <w:adjustRightInd w:val="0"/>
        <w:spacing w:line="360" w:lineRule="auto"/>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具体、明确的质疑事项和与质疑事项相关的请求；</w:t>
      </w:r>
    </w:p>
    <w:p w14:paraId="1543D61E">
      <w:pPr>
        <w:pStyle w:val="33"/>
        <w:keepNext w:val="0"/>
        <w:keepLines w:val="0"/>
        <w:pageBreakBefore w:val="0"/>
        <w:numPr>
          <w:ilvl w:val="0"/>
          <w:numId w:val="0"/>
        </w:numPr>
        <w:kinsoku/>
        <w:wordWrap/>
        <w:overflowPunct/>
        <w:topLinePunct w:val="0"/>
        <w:bidi w:val="0"/>
        <w:adjustRightInd w:val="0"/>
        <w:spacing w:line="360" w:lineRule="auto"/>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事实依据；</w:t>
      </w:r>
    </w:p>
    <w:p w14:paraId="227D42E0">
      <w:pPr>
        <w:pStyle w:val="33"/>
        <w:keepNext w:val="0"/>
        <w:keepLines w:val="0"/>
        <w:pageBreakBefore w:val="0"/>
        <w:numPr>
          <w:ilvl w:val="0"/>
          <w:numId w:val="0"/>
        </w:numPr>
        <w:kinsoku/>
        <w:wordWrap/>
        <w:overflowPunct/>
        <w:topLinePunct w:val="0"/>
        <w:bidi w:val="0"/>
        <w:adjustRightInd w:val="0"/>
        <w:spacing w:line="360" w:lineRule="auto"/>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必要的法律依据；</w:t>
      </w:r>
    </w:p>
    <w:p w14:paraId="1EDE97EE">
      <w:pPr>
        <w:pStyle w:val="33"/>
        <w:keepNext w:val="0"/>
        <w:keepLines w:val="0"/>
        <w:pageBreakBefore w:val="0"/>
        <w:numPr>
          <w:ilvl w:val="0"/>
          <w:numId w:val="0"/>
        </w:numPr>
        <w:kinsoku/>
        <w:wordWrap/>
        <w:overflowPunct/>
        <w:topLinePunct w:val="0"/>
        <w:bidi w:val="0"/>
        <w:adjustRightInd w:val="0"/>
        <w:spacing w:line="360" w:lineRule="auto"/>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提出质疑的日期。</w:t>
      </w:r>
    </w:p>
    <w:p w14:paraId="41D63E13">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供应商提交的质疑函需一式三份。供应商为自然人的，应当由本人签字；供应商为法人或者其他组织的，应当由法定代表人、主要负责人，或者其授权代表签字或者盖章，并加盖公章。</w:t>
      </w:r>
      <w:r>
        <w:rPr>
          <w:rFonts w:hint="eastAsia" w:ascii="仿宋" w:hAnsi="仿宋" w:eastAsia="仿宋" w:cs="仿宋"/>
          <w:color w:val="auto"/>
          <w:spacing w:val="-4"/>
          <w:sz w:val="24"/>
          <w:szCs w:val="24"/>
          <w:highlight w:val="none"/>
        </w:rPr>
        <w:t>质疑书应明确阐述采购文件、</w:t>
      </w:r>
      <w:r>
        <w:rPr>
          <w:rFonts w:hint="eastAsia" w:ascii="仿宋" w:hAnsi="仿宋" w:eastAsia="仿宋" w:cs="仿宋"/>
          <w:color w:val="auto"/>
          <w:spacing w:val="-4"/>
          <w:sz w:val="24"/>
          <w:szCs w:val="24"/>
          <w:highlight w:val="none"/>
          <w:lang w:val="en-US" w:eastAsia="zh-CN"/>
        </w:rPr>
        <w:t>采购</w:t>
      </w:r>
      <w:r>
        <w:rPr>
          <w:rFonts w:hint="eastAsia" w:ascii="仿宋" w:hAnsi="仿宋" w:eastAsia="仿宋" w:cs="仿宋"/>
          <w:color w:val="auto"/>
          <w:spacing w:val="-4"/>
          <w:sz w:val="24"/>
          <w:szCs w:val="24"/>
          <w:highlight w:val="none"/>
        </w:rPr>
        <w:t>过程和</w:t>
      </w:r>
      <w:r>
        <w:rPr>
          <w:rFonts w:hint="eastAsia" w:ascii="仿宋" w:hAnsi="仿宋" w:eastAsia="仿宋" w:cs="仿宋"/>
          <w:color w:val="auto"/>
          <w:spacing w:val="-4"/>
          <w:sz w:val="24"/>
          <w:szCs w:val="24"/>
          <w:highlight w:val="none"/>
          <w:lang w:val="en-US" w:eastAsia="zh-CN"/>
        </w:rPr>
        <w:t>成交</w:t>
      </w:r>
      <w:r>
        <w:rPr>
          <w:rFonts w:hint="eastAsia" w:ascii="仿宋" w:hAnsi="仿宋" w:eastAsia="仿宋" w:cs="仿宋"/>
          <w:color w:val="auto"/>
          <w:spacing w:val="-4"/>
          <w:sz w:val="24"/>
          <w:szCs w:val="24"/>
          <w:highlight w:val="none"/>
        </w:rPr>
        <w:t>结果中使自己合法权益受到损害的实质性内容，</w:t>
      </w:r>
      <w:r>
        <w:rPr>
          <w:rFonts w:hint="eastAsia" w:ascii="仿宋" w:hAnsi="仿宋" w:eastAsia="仿宋" w:cs="仿宋"/>
          <w:color w:val="auto"/>
          <w:spacing w:val="-4"/>
          <w:sz w:val="24"/>
          <w:szCs w:val="24"/>
          <w:highlight w:val="none"/>
          <w:lang w:eastAsia="zh-CN"/>
        </w:rPr>
        <w:t>投标人</w:t>
      </w:r>
      <w:r>
        <w:rPr>
          <w:rFonts w:hint="eastAsia" w:ascii="仿宋" w:hAnsi="仿宋" w:eastAsia="仿宋" w:cs="仿宋"/>
          <w:color w:val="auto"/>
          <w:spacing w:val="-4"/>
          <w:sz w:val="24"/>
          <w:szCs w:val="24"/>
          <w:highlight w:val="none"/>
        </w:rPr>
        <w:t>提出的质疑应当有明确的诉求（即通过质疑所要达到的具体目标）和必要的证明材料（即通过合法手段获得的能够证明</w:t>
      </w:r>
      <w:r>
        <w:rPr>
          <w:rFonts w:hint="eastAsia" w:ascii="仿宋" w:hAnsi="仿宋" w:eastAsia="仿宋" w:cs="仿宋"/>
          <w:color w:val="auto"/>
          <w:spacing w:val="-4"/>
          <w:sz w:val="24"/>
          <w:szCs w:val="24"/>
          <w:highlight w:val="none"/>
          <w:lang w:eastAsia="zh-CN"/>
        </w:rPr>
        <w:t>投标人</w:t>
      </w:r>
      <w:r>
        <w:rPr>
          <w:rFonts w:hint="eastAsia" w:ascii="仿宋" w:hAnsi="仿宋" w:eastAsia="仿宋" w:cs="仿宋"/>
          <w:color w:val="auto"/>
          <w:spacing w:val="-4"/>
          <w:sz w:val="24"/>
          <w:szCs w:val="24"/>
          <w:highlight w:val="none"/>
        </w:rPr>
        <w:t>的诉求成立的必要材料</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lang w:val="en-US" w:eastAsia="zh-CN"/>
        </w:rPr>
        <w:t>如相关事实、依据和证据及其来源或线索</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eastAsia="zh-CN"/>
        </w:rPr>
        <w:t xml:space="preserve">，便于有关单位调查、答复和处理, </w:t>
      </w:r>
      <w:r>
        <w:rPr>
          <w:rFonts w:hint="eastAsia" w:ascii="仿宋" w:hAnsi="仿宋" w:eastAsia="仿宋" w:cs="仿宋"/>
          <w:b/>
          <w:bCs/>
          <w:color w:val="auto"/>
          <w:spacing w:val="-4"/>
          <w:sz w:val="24"/>
          <w:szCs w:val="24"/>
          <w:highlight w:val="none"/>
          <w:lang w:eastAsia="zh-CN"/>
        </w:rPr>
        <w:t>质疑函不符合相关规定的，应在规定期限内补齐的，</w:t>
      </w:r>
      <w:r>
        <w:rPr>
          <w:rFonts w:hint="eastAsia" w:ascii="仿宋" w:hAnsi="仿宋" w:eastAsia="仿宋" w:cs="仿宋"/>
          <w:b/>
          <w:bCs/>
          <w:color w:val="auto"/>
          <w:spacing w:val="-4"/>
          <w:sz w:val="24"/>
          <w:szCs w:val="24"/>
          <w:highlight w:val="none"/>
          <w:lang w:val="en-US" w:eastAsia="zh-CN"/>
        </w:rPr>
        <w:t>采购</w:t>
      </w:r>
      <w:r>
        <w:rPr>
          <w:rFonts w:hint="eastAsia" w:ascii="仿宋" w:hAnsi="仿宋" w:eastAsia="仿宋" w:cs="仿宋"/>
          <w:b/>
          <w:bCs/>
          <w:color w:val="auto"/>
          <w:spacing w:val="-4"/>
          <w:sz w:val="24"/>
          <w:szCs w:val="24"/>
          <w:highlight w:val="none"/>
          <w:lang w:eastAsia="zh-CN"/>
        </w:rPr>
        <w:t>方自收到补齐材料之日起受理；逾期未补齐的，按自动撤回质疑处理。</w:t>
      </w:r>
    </w:p>
    <w:p w14:paraId="0E491008">
      <w:pPr>
        <w:pStyle w:val="33"/>
        <w:keepNext w:val="0"/>
        <w:keepLines w:val="0"/>
        <w:pageBreakBefore w:val="0"/>
        <w:kinsoku/>
        <w:wordWrap/>
        <w:overflowPunct/>
        <w:topLinePunct w:val="0"/>
        <w:bidi w:val="0"/>
        <w:adjustRightInd w:val="0"/>
        <w:spacing w:line="360" w:lineRule="auto"/>
        <w:ind w:firstLine="482" w:firstLineChars="200"/>
        <w:textAlignment w:val="auto"/>
        <w:rPr>
          <w:rFonts w:ascii="仿宋" w:hAnsi="仿宋" w:eastAsia="仿宋" w:cs="仿宋"/>
          <w:b/>
          <w:color w:val="auto"/>
          <w:sz w:val="24"/>
        </w:rPr>
      </w:pPr>
      <w:r>
        <w:rPr>
          <w:rFonts w:hint="eastAsia" w:ascii="仿宋" w:hAnsi="仿宋" w:eastAsia="仿宋" w:cs="仿宋"/>
          <w:b/>
          <w:color w:val="auto"/>
          <w:sz w:val="24"/>
        </w:rPr>
        <w:t>质疑函范本及制作说明详见附件</w:t>
      </w:r>
      <w:r>
        <w:rPr>
          <w:rFonts w:ascii="仿宋" w:hAnsi="仿宋" w:eastAsia="仿宋" w:cs="仿宋"/>
          <w:b/>
          <w:color w:val="auto"/>
          <w:sz w:val="24"/>
        </w:rPr>
        <w:t>1。</w:t>
      </w:r>
    </w:p>
    <w:p w14:paraId="2BADEBCD">
      <w:pPr>
        <w:keepNext w:val="0"/>
        <w:keepLines w:val="0"/>
        <w:pageBreakBefore w:val="0"/>
        <w:kinsoku/>
        <w:wordWrap/>
        <w:overflowPunct/>
        <w:topLinePunct w:val="0"/>
        <w:bidi w:val="0"/>
        <w:adjustRightInd w:val="0"/>
        <w:spacing w:line="360" w:lineRule="auto"/>
        <w:textAlignment w:val="auto"/>
        <w:rPr>
          <w:rFonts w:ascii="仿宋" w:hAnsi="仿宋" w:eastAsia="仿宋" w:cs="仿宋"/>
          <w:b/>
          <w:color w:val="auto"/>
          <w:sz w:val="24"/>
        </w:rPr>
      </w:pPr>
      <w:r>
        <w:rPr>
          <w:rFonts w:ascii="仿宋" w:hAnsi="仿宋" w:eastAsia="仿宋" w:cs="仿宋"/>
          <w:b/>
          <w:color w:val="auto"/>
          <w:sz w:val="24"/>
        </w:rPr>
        <w:t>4.供应商投诉</w:t>
      </w:r>
    </w:p>
    <w:p w14:paraId="2569217B">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4.1质疑供应商对采购人或采购代理机构的答复不满意或者采购人、采购代理机构</w:t>
      </w:r>
      <w:r>
        <w:rPr>
          <w:rFonts w:hint="eastAsia" w:ascii="仿宋" w:hAnsi="仿宋" w:eastAsia="仿宋" w:cs="仿宋"/>
          <w:color w:val="auto"/>
          <w:sz w:val="24"/>
        </w:rPr>
        <w:t>未在规定的时间内作出答复的，可以在答复期满后十五个工作日内向</w:t>
      </w:r>
      <w:r>
        <w:rPr>
          <w:rFonts w:hint="eastAsia" w:ascii="仿宋" w:hAnsi="仿宋" w:eastAsia="仿宋" w:cs="仿宋"/>
          <w:color w:val="auto"/>
          <w:sz w:val="24"/>
          <w:lang w:eastAsia="zh-CN"/>
        </w:rPr>
        <w:t>采购监督管理机构</w:t>
      </w:r>
      <w:r>
        <w:rPr>
          <w:rFonts w:hint="eastAsia" w:ascii="仿宋" w:hAnsi="仿宋" w:eastAsia="仿宋" w:cs="仿宋"/>
          <w:color w:val="auto"/>
          <w:sz w:val="24"/>
        </w:rPr>
        <w:t>提出投诉。</w:t>
      </w:r>
    </w:p>
    <w:p w14:paraId="5EA857FA">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4.2供应商投诉的事项不得超出已质疑事项的范围，基于质疑答复内容提出的投诉事项除外。</w:t>
      </w:r>
    </w:p>
    <w:p w14:paraId="2D8EAACF">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4.3供应商投诉应当有明确的请求和必要的证明材料。</w:t>
      </w:r>
    </w:p>
    <w:p w14:paraId="61132562">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4.4以联合体形式参加采购活动的，其投诉应当由组成联合体的所有供应商共同提出。</w:t>
      </w:r>
    </w:p>
    <w:p w14:paraId="30CA5880">
      <w:pPr>
        <w:pStyle w:val="33"/>
        <w:keepNext w:val="0"/>
        <w:keepLines w:val="0"/>
        <w:pageBreakBefore w:val="0"/>
        <w:kinsoku/>
        <w:wordWrap/>
        <w:overflowPunct/>
        <w:topLinePunct w:val="0"/>
        <w:bidi w:val="0"/>
        <w:adjustRightInd w:val="0"/>
        <w:spacing w:line="360" w:lineRule="auto"/>
        <w:ind w:firstLine="482" w:firstLineChars="200"/>
        <w:textAlignment w:val="auto"/>
        <w:rPr>
          <w:rFonts w:ascii="仿宋" w:hAnsi="仿宋" w:eastAsia="仿宋" w:cs="仿宋"/>
          <w:b/>
          <w:color w:val="auto"/>
          <w:sz w:val="24"/>
        </w:rPr>
      </w:pPr>
      <w:r>
        <w:rPr>
          <w:rFonts w:hint="eastAsia" w:ascii="仿宋" w:hAnsi="仿宋" w:eastAsia="仿宋" w:cs="仿宋"/>
          <w:b/>
          <w:color w:val="auto"/>
          <w:sz w:val="24"/>
        </w:rPr>
        <w:t>投诉书范本及制作说明详见附件</w:t>
      </w:r>
      <w:r>
        <w:rPr>
          <w:rFonts w:ascii="仿宋" w:hAnsi="仿宋" w:eastAsia="仿宋" w:cs="仿宋"/>
          <w:b/>
          <w:color w:val="auto"/>
          <w:sz w:val="24"/>
        </w:rPr>
        <w:t>2。</w:t>
      </w:r>
    </w:p>
    <w:bookmarkEnd w:id="8"/>
    <w:p w14:paraId="7088800F">
      <w:pPr>
        <w:rPr>
          <w:rFonts w:hint="eastAsia" w:ascii="仿宋" w:hAnsi="仿宋" w:eastAsia="仿宋" w:cs="仿宋"/>
          <w:b/>
          <w:color w:val="auto"/>
          <w:kern w:val="2"/>
          <w:sz w:val="36"/>
          <w:szCs w:val="36"/>
          <w:lang w:val="en-US" w:eastAsia="zh-CN" w:bidi="ar-SA"/>
        </w:rPr>
      </w:pPr>
      <w:bookmarkStart w:id="54" w:name="_Hlt75236011"/>
      <w:bookmarkEnd w:id="54"/>
      <w:bookmarkStart w:id="55" w:name="_Hlt68057669"/>
      <w:bookmarkEnd w:id="55"/>
      <w:bookmarkStart w:id="56" w:name="_Hlt74729768"/>
      <w:bookmarkEnd w:id="56"/>
      <w:bookmarkStart w:id="57" w:name="_Hlt74730295"/>
      <w:bookmarkEnd w:id="57"/>
      <w:bookmarkStart w:id="58" w:name="_Hlt68072990"/>
      <w:bookmarkEnd w:id="58"/>
      <w:bookmarkStart w:id="59" w:name="_Hlt74714665"/>
      <w:bookmarkEnd w:id="59"/>
      <w:bookmarkStart w:id="60" w:name="_Hlt75236101"/>
      <w:bookmarkEnd w:id="60"/>
      <w:bookmarkStart w:id="61" w:name="_Hlt74707468"/>
      <w:bookmarkEnd w:id="61"/>
      <w:bookmarkStart w:id="62" w:name="_Hlt75236290"/>
      <w:bookmarkEnd w:id="62"/>
      <w:bookmarkStart w:id="63" w:name="第三部分"/>
      <w:bookmarkStart w:id="64" w:name="_Toc164416483"/>
      <w:r>
        <w:rPr>
          <w:rFonts w:hint="eastAsia" w:ascii="仿宋" w:hAnsi="仿宋" w:eastAsia="仿宋" w:cs="仿宋"/>
          <w:b/>
          <w:color w:val="auto"/>
          <w:kern w:val="2"/>
          <w:sz w:val="36"/>
          <w:szCs w:val="36"/>
          <w:lang w:val="en-US" w:eastAsia="zh-CN" w:bidi="ar-SA"/>
        </w:rPr>
        <w:br w:type="page"/>
      </w:r>
    </w:p>
    <w:p w14:paraId="4FDCB4F5">
      <w:pPr>
        <w:tabs>
          <w:tab w:val="left" w:pos="0"/>
        </w:tabs>
        <w:spacing w:line="336" w:lineRule="auto"/>
        <w:jc w:val="center"/>
        <w:rPr>
          <w:rFonts w:hint="eastAsia" w:ascii="仿宋" w:hAnsi="仿宋" w:eastAsia="仿宋" w:cs="仿宋"/>
          <w:b/>
          <w:color w:val="auto"/>
          <w:sz w:val="36"/>
          <w:szCs w:val="36"/>
        </w:rPr>
      </w:pPr>
      <w:r>
        <w:rPr>
          <w:rFonts w:hint="eastAsia" w:ascii="仿宋" w:hAnsi="仿宋" w:eastAsia="仿宋" w:cs="仿宋"/>
          <w:b/>
          <w:color w:val="auto"/>
          <w:kern w:val="2"/>
          <w:sz w:val="36"/>
          <w:szCs w:val="36"/>
          <w:lang w:val="en-US" w:eastAsia="zh-CN" w:bidi="ar-SA"/>
        </w:rPr>
        <w:t xml:space="preserve">第三部分 </w:t>
      </w:r>
      <w:r>
        <w:rPr>
          <w:rFonts w:hint="eastAsia" w:ascii="仿宋" w:hAnsi="仿宋" w:eastAsia="仿宋" w:cs="仿宋"/>
          <w:b/>
          <w:color w:val="auto"/>
          <w:sz w:val="36"/>
          <w:szCs w:val="36"/>
        </w:rPr>
        <w:t>采购需求</w:t>
      </w:r>
      <w:bookmarkStart w:id="65" w:name="_Toc4026"/>
      <w:bookmarkStart w:id="66" w:name="_Toc28356"/>
      <w:bookmarkStart w:id="67" w:name="_Toc11847"/>
      <w:bookmarkStart w:id="68" w:name="_Toc383522968"/>
    </w:p>
    <w:bookmarkEnd w:id="65"/>
    <w:bookmarkEnd w:id="66"/>
    <w:bookmarkEnd w:id="67"/>
    <w:bookmarkEnd w:id="68"/>
    <w:p w14:paraId="49257459">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1"/>
        <w:rPr>
          <w:rFonts w:hint="eastAsia" w:ascii="仿宋" w:hAnsi="仿宋" w:eastAsia="仿宋" w:cs="仿宋"/>
          <w:color w:val="auto"/>
          <w:sz w:val="24"/>
        </w:rPr>
      </w:pPr>
      <w:r>
        <w:rPr>
          <w:rFonts w:hint="eastAsia" w:ascii="仿宋" w:hAnsi="仿宋" w:eastAsia="仿宋" w:cs="仿宋"/>
          <w:b/>
          <w:bCs/>
          <w:color w:val="auto"/>
          <w:sz w:val="24"/>
        </w:rPr>
        <w:t>一、</w:t>
      </w:r>
      <w:r>
        <w:rPr>
          <w:rFonts w:hint="eastAsia" w:ascii="仿宋" w:hAnsi="仿宋" w:eastAsia="仿宋" w:cs="仿宋"/>
          <w:b/>
          <w:bCs w:val="0"/>
          <w:color w:val="auto"/>
          <w:sz w:val="24"/>
          <w:szCs w:val="24"/>
          <w:lang w:eastAsia="zh-CN"/>
        </w:rPr>
        <w:t>概述</w:t>
      </w:r>
    </w:p>
    <w:p w14:paraId="5B41279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1"/>
        <w:rPr>
          <w:rFonts w:hint="eastAsia" w:ascii="仿宋" w:hAnsi="仿宋" w:eastAsia="仿宋" w:cs="仿宋"/>
          <w:color w:val="auto"/>
          <w:sz w:val="24"/>
        </w:rPr>
      </w:pPr>
      <w:r>
        <w:rPr>
          <w:rFonts w:hint="eastAsia" w:ascii="仿宋" w:hAnsi="仿宋" w:eastAsia="仿宋" w:cs="仿宋"/>
          <w:color w:val="auto"/>
          <w:sz w:val="24"/>
          <w:szCs w:val="24"/>
        </w:rPr>
        <w:t>本次采购内容为</w:t>
      </w:r>
      <w:r>
        <w:rPr>
          <w:rFonts w:hint="eastAsia" w:ascii="仿宋" w:hAnsi="仿宋" w:eastAsia="仿宋" w:cs="仿宋"/>
          <w:color w:val="auto"/>
          <w:sz w:val="24"/>
          <w:szCs w:val="24"/>
          <w:lang w:eastAsia="zh-CN"/>
        </w:rPr>
        <w:t>嵊州市广电信息网络有限公司电源电缆采购项目（第二次）</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磋商响应</w:t>
      </w:r>
      <w:r>
        <w:rPr>
          <w:rFonts w:hint="eastAsia" w:ascii="仿宋" w:hAnsi="仿宋" w:eastAsia="仿宋" w:cs="仿宋"/>
          <w:color w:val="auto"/>
          <w:sz w:val="24"/>
          <w:szCs w:val="24"/>
        </w:rPr>
        <w:t>方应根据</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文件所提出的设备技术规格、产品、数量和服务要求，综合考虑选择具有最佳性能价格比的</w:t>
      </w:r>
      <w:r>
        <w:rPr>
          <w:rFonts w:hint="eastAsia" w:ascii="仿宋" w:hAnsi="仿宋" w:eastAsia="仿宋" w:cs="仿宋"/>
          <w:color w:val="auto"/>
          <w:sz w:val="24"/>
          <w:szCs w:val="24"/>
          <w:lang w:eastAsia="zh-CN"/>
        </w:rPr>
        <w:t>产品</w:t>
      </w:r>
      <w:r>
        <w:rPr>
          <w:rFonts w:hint="eastAsia" w:ascii="仿宋" w:hAnsi="仿宋" w:eastAsia="仿宋" w:cs="仿宋"/>
          <w:color w:val="auto"/>
          <w:sz w:val="24"/>
          <w:szCs w:val="24"/>
        </w:rPr>
        <w:t>前来</w:t>
      </w:r>
      <w:r>
        <w:rPr>
          <w:rFonts w:hint="eastAsia" w:ascii="仿宋" w:hAnsi="仿宋" w:eastAsia="仿宋" w:cs="仿宋"/>
          <w:color w:val="auto"/>
          <w:sz w:val="24"/>
          <w:szCs w:val="24"/>
          <w:lang w:eastAsia="zh-CN"/>
        </w:rPr>
        <w:t>参加磋商</w:t>
      </w:r>
      <w:r>
        <w:rPr>
          <w:rFonts w:hint="eastAsia" w:ascii="仿宋" w:hAnsi="仿宋" w:eastAsia="仿宋" w:cs="仿宋"/>
          <w:color w:val="auto"/>
          <w:sz w:val="24"/>
          <w:szCs w:val="24"/>
        </w:rPr>
        <w:t>。希望</w:t>
      </w:r>
      <w:r>
        <w:rPr>
          <w:rFonts w:hint="eastAsia" w:ascii="仿宋" w:hAnsi="仿宋" w:eastAsia="仿宋" w:cs="仿宋"/>
          <w:color w:val="auto"/>
          <w:sz w:val="24"/>
          <w:szCs w:val="24"/>
          <w:lang w:eastAsia="zh-CN"/>
        </w:rPr>
        <w:t>磋商响应方</w:t>
      </w:r>
      <w:r>
        <w:rPr>
          <w:rFonts w:hint="eastAsia" w:ascii="仿宋" w:hAnsi="仿宋" w:eastAsia="仿宋" w:cs="仿宋"/>
          <w:color w:val="auto"/>
          <w:sz w:val="24"/>
          <w:szCs w:val="24"/>
        </w:rPr>
        <w:t>以精良的设备、优良的服务和优惠的价格，充分显示投标人的竞争实力</w:t>
      </w:r>
      <w:r>
        <w:rPr>
          <w:rFonts w:hint="eastAsia" w:ascii="仿宋" w:hAnsi="仿宋" w:eastAsia="仿宋" w:cs="仿宋"/>
          <w:color w:val="auto"/>
          <w:sz w:val="24"/>
        </w:rPr>
        <w:t>。</w:t>
      </w:r>
    </w:p>
    <w:p w14:paraId="7E8FB63B">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b/>
          <w:bCs/>
          <w:snapToGrid w:val="0"/>
          <w:color w:val="auto"/>
          <w:kern w:val="0"/>
          <w:sz w:val="24"/>
          <w:szCs w:val="24"/>
        </w:rPr>
      </w:pPr>
      <w:r>
        <w:rPr>
          <w:rFonts w:hint="eastAsia" w:ascii="仿宋" w:hAnsi="仿宋" w:eastAsia="仿宋" w:cs="仿宋"/>
          <w:b w:val="0"/>
          <w:bCs w:val="0"/>
          <w:snapToGrid w:val="0"/>
          <w:color w:val="auto"/>
          <w:kern w:val="0"/>
          <w:sz w:val="24"/>
        </w:rPr>
        <w:t>供应商产品与本技术要求不一致时，供应商应在</w:t>
      </w:r>
      <w:r>
        <w:rPr>
          <w:rFonts w:hint="eastAsia" w:ascii="仿宋" w:hAnsi="仿宋" w:eastAsia="仿宋" w:cs="仿宋"/>
          <w:b w:val="0"/>
          <w:bCs w:val="0"/>
          <w:snapToGrid w:val="0"/>
          <w:color w:val="auto"/>
          <w:kern w:val="0"/>
          <w:sz w:val="24"/>
          <w:lang w:val="en-US" w:eastAsia="zh-CN"/>
        </w:rPr>
        <w:t>响应</w:t>
      </w:r>
      <w:r>
        <w:rPr>
          <w:rFonts w:hint="eastAsia" w:ascii="仿宋" w:hAnsi="仿宋" w:eastAsia="仿宋" w:cs="仿宋"/>
          <w:b w:val="0"/>
          <w:bCs w:val="0"/>
          <w:snapToGrid w:val="0"/>
          <w:color w:val="auto"/>
          <w:kern w:val="0"/>
          <w:sz w:val="24"/>
        </w:rPr>
        <w:t>文件中予以说明，并由评标委员会鉴定供应商产品能否达到要求。如供应商没有在</w:t>
      </w:r>
      <w:r>
        <w:rPr>
          <w:rFonts w:hint="eastAsia" w:ascii="仿宋" w:hAnsi="仿宋" w:eastAsia="仿宋" w:cs="仿宋"/>
          <w:b w:val="0"/>
          <w:bCs w:val="0"/>
          <w:snapToGrid w:val="0"/>
          <w:color w:val="auto"/>
          <w:kern w:val="0"/>
          <w:sz w:val="24"/>
          <w:lang w:val="en-US" w:eastAsia="zh-CN"/>
        </w:rPr>
        <w:t>响应</w:t>
      </w:r>
      <w:r>
        <w:rPr>
          <w:rFonts w:hint="eastAsia" w:ascii="仿宋" w:hAnsi="仿宋" w:eastAsia="仿宋" w:cs="仿宋"/>
          <w:b w:val="0"/>
          <w:bCs w:val="0"/>
          <w:snapToGrid w:val="0"/>
          <w:color w:val="auto"/>
          <w:kern w:val="0"/>
          <w:sz w:val="24"/>
        </w:rPr>
        <w:t>文件中提出异议，则视为供应商提供的产品完全按照本</w:t>
      </w:r>
      <w:r>
        <w:rPr>
          <w:rFonts w:hint="eastAsia" w:ascii="仿宋" w:hAnsi="仿宋" w:eastAsia="仿宋" w:cs="仿宋"/>
          <w:b w:val="0"/>
          <w:bCs w:val="0"/>
          <w:snapToGrid w:val="0"/>
          <w:color w:val="auto"/>
          <w:kern w:val="0"/>
          <w:sz w:val="24"/>
          <w:lang w:val="en-US" w:eastAsia="zh-CN"/>
        </w:rPr>
        <w:t>采购</w:t>
      </w:r>
      <w:r>
        <w:rPr>
          <w:rFonts w:hint="eastAsia" w:ascii="仿宋" w:hAnsi="仿宋" w:eastAsia="仿宋" w:cs="仿宋"/>
          <w:b w:val="0"/>
          <w:bCs w:val="0"/>
          <w:snapToGrid w:val="0"/>
          <w:color w:val="auto"/>
          <w:kern w:val="0"/>
          <w:sz w:val="24"/>
        </w:rPr>
        <w:t>文件要求。</w:t>
      </w:r>
    </w:p>
    <w:p w14:paraId="7A51E811">
      <w:pPr>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color w:val="auto"/>
          <w:sz w:val="24"/>
          <w:szCs w:val="24"/>
          <w:lang w:val="zh-CN"/>
        </w:rPr>
      </w:pPr>
      <w:r>
        <w:rPr>
          <w:rFonts w:hint="eastAsia" w:ascii="仿宋" w:hAnsi="仿宋" w:eastAsia="仿宋" w:cs="仿宋"/>
          <w:b/>
          <w:bCs/>
          <w:snapToGrid w:val="0"/>
          <w:color w:val="auto"/>
          <w:kern w:val="0"/>
          <w:sz w:val="24"/>
          <w:szCs w:val="24"/>
        </w:rPr>
        <w:t>二、采购要求</w:t>
      </w:r>
    </w:p>
    <w:p w14:paraId="20A6D721">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color w:val="auto"/>
          <w:sz w:val="24"/>
          <w:szCs w:val="24"/>
        </w:rPr>
      </w:pPr>
      <w:bookmarkStart w:id="69" w:name="_Toc491267217"/>
      <w:bookmarkStart w:id="70" w:name="_Toc496021912"/>
      <w:r>
        <w:rPr>
          <w:rFonts w:hint="eastAsia" w:ascii="仿宋" w:hAnsi="仿宋" w:eastAsia="仿宋" w:cs="仿宋"/>
          <w:b/>
          <w:color w:val="auto"/>
          <w:sz w:val="24"/>
          <w:szCs w:val="24"/>
        </w:rPr>
        <w:t>（一）电源线</w:t>
      </w:r>
      <w:bookmarkEnd w:id="69"/>
      <w:bookmarkEnd w:id="70"/>
    </w:p>
    <w:p w14:paraId="7CA6DA7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1.概述</w:t>
      </w:r>
    </w:p>
    <w:p w14:paraId="459B0BF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2.执行标准</w:t>
      </w:r>
    </w:p>
    <w:tbl>
      <w:tblPr>
        <w:tblStyle w:val="61"/>
        <w:tblW w:w="0" w:type="auto"/>
        <w:jc w:val="center"/>
        <w:tblLayout w:type="fixed"/>
        <w:tblCellMar>
          <w:top w:w="0" w:type="dxa"/>
          <w:left w:w="108" w:type="dxa"/>
          <w:bottom w:w="0" w:type="dxa"/>
          <w:right w:w="108" w:type="dxa"/>
        </w:tblCellMar>
      </w:tblPr>
      <w:tblGrid>
        <w:gridCol w:w="2785"/>
        <w:gridCol w:w="6283"/>
      </w:tblGrid>
      <w:tr w14:paraId="61692F77">
        <w:tblPrEx>
          <w:tblCellMar>
            <w:top w:w="0" w:type="dxa"/>
            <w:left w:w="108" w:type="dxa"/>
            <w:bottom w:w="0" w:type="dxa"/>
            <w:right w:w="108" w:type="dxa"/>
          </w:tblCellMar>
        </w:tblPrEx>
        <w:trPr>
          <w:trHeight w:val="70" w:hRule="atLeast"/>
          <w:jc w:val="center"/>
        </w:trPr>
        <w:tc>
          <w:tcPr>
            <w:tcW w:w="2785" w:type="dxa"/>
            <w:tcBorders>
              <w:top w:val="single" w:color="000000" w:sz="4" w:space="0"/>
              <w:left w:val="single" w:color="000000" w:sz="4" w:space="0"/>
              <w:bottom w:val="single" w:color="000000" w:sz="6" w:space="0"/>
              <w:right w:val="single" w:color="000000" w:sz="6" w:space="0"/>
            </w:tcBorders>
            <w:noWrap w:val="0"/>
            <w:vAlign w:val="top"/>
          </w:tcPr>
          <w:p w14:paraId="379AF5C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GB5023-1997</w:t>
            </w:r>
          </w:p>
        </w:tc>
        <w:tc>
          <w:tcPr>
            <w:tcW w:w="6283" w:type="dxa"/>
            <w:tcBorders>
              <w:top w:val="single" w:color="000000" w:sz="4" w:space="0"/>
              <w:left w:val="single" w:color="000000" w:sz="6" w:space="0"/>
              <w:bottom w:val="single" w:color="000000" w:sz="6" w:space="0"/>
              <w:right w:val="single" w:color="000000" w:sz="4" w:space="0"/>
            </w:tcBorders>
            <w:noWrap w:val="0"/>
            <w:vAlign w:val="top"/>
          </w:tcPr>
          <w:p w14:paraId="7CD0B40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额定电压450/750V及以下聚氯乙稀绝缘电缆</w:t>
            </w:r>
          </w:p>
        </w:tc>
      </w:tr>
      <w:tr w14:paraId="2CEA3969">
        <w:tblPrEx>
          <w:tblCellMar>
            <w:top w:w="0" w:type="dxa"/>
            <w:left w:w="108" w:type="dxa"/>
            <w:bottom w:w="0" w:type="dxa"/>
            <w:right w:w="108" w:type="dxa"/>
          </w:tblCellMar>
        </w:tblPrEx>
        <w:trPr>
          <w:jc w:val="center"/>
        </w:trPr>
        <w:tc>
          <w:tcPr>
            <w:tcW w:w="2785" w:type="dxa"/>
            <w:tcBorders>
              <w:top w:val="single" w:color="000000" w:sz="6" w:space="0"/>
              <w:left w:val="single" w:color="000000" w:sz="4" w:space="0"/>
              <w:bottom w:val="single" w:color="000000" w:sz="6" w:space="0"/>
              <w:right w:val="single" w:color="000000" w:sz="6" w:space="0"/>
            </w:tcBorders>
            <w:noWrap w:val="0"/>
            <w:vAlign w:val="top"/>
          </w:tcPr>
          <w:p w14:paraId="29BF29AE">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JB/T8734-2016</w:t>
            </w:r>
          </w:p>
        </w:tc>
        <w:tc>
          <w:tcPr>
            <w:tcW w:w="6283" w:type="dxa"/>
            <w:tcBorders>
              <w:top w:val="single" w:color="000000" w:sz="6" w:space="0"/>
              <w:left w:val="single" w:color="000000" w:sz="6" w:space="0"/>
              <w:bottom w:val="single" w:color="000000" w:sz="6" w:space="0"/>
              <w:right w:val="single" w:color="000000" w:sz="4" w:space="0"/>
            </w:tcBorders>
            <w:noWrap w:val="0"/>
            <w:vAlign w:val="top"/>
          </w:tcPr>
          <w:p w14:paraId="3ABC1FA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额定电压450/750V及以下聚氯乙稀绝缘电缆电线和软线</w:t>
            </w:r>
          </w:p>
        </w:tc>
      </w:tr>
      <w:tr w14:paraId="436309AF">
        <w:tblPrEx>
          <w:tblCellMar>
            <w:top w:w="0" w:type="dxa"/>
            <w:left w:w="108" w:type="dxa"/>
            <w:bottom w:w="0" w:type="dxa"/>
            <w:right w:w="108" w:type="dxa"/>
          </w:tblCellMar>
        </w:tblPrEx>
        <w:trPr>
          <w:jc w:val="center"/>
        </w:trPr>
        <w:tc>
          <w:tcPr>
            <w:tcW w:w="2785" w:type="dxa"/>
            <w:tcBorders>
              <w:top w:val="single" w:color="000000" w:sz="6" w:space="0"/>
              <w:left w:val="single" w:color="000000" w:sz="4" w:space="0"/>
              <w:bottom w:val="single" w:color="000000" w:sz="6" w:space="0"/>
              <w:right w:val="single" w:color="000000" w:sz="6" w:space="0"/>
            </w:tcBorders>
            <w:noWrap w:val="0"/>
            <w:vAlign w:val="top"/>
          </w:tcPr>
          <w:p w14:paraId="2984896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GB/T3956-2008</w:t>
            </w:r>
          </w:p>
        </w:tc>
        <w:tc>
          <w:tcPr>
            <w:tcW w:w="6283" w:type="dxa"/>
            <w:tcBorders>
              <w:top w:val="single" w:color="000000" w:sz="6" w:space="0"/>
              <w:left w:val="single" w:color="000000" w:sz="6" w:space="0"/>
              <w:bottom w:val="single" w:color="000000" w:sz="6" w:space="0"/>
              <w:right w:val="single" w:color="000000" w:sz="4" w:space="0"/>
            </w:tcBorders>
            <w:noWrap w:val="0"/>
            <w:vAlign w:val="top"/>
          </w:tcPr>
          <w:p w14:paraId="14B6124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电缆的导体</w:t>
            </w:r>
          </w:p>
        </w:tc>
      </w:tr>
      <w:tr w14:paraId="7FFEAD45">
        <w:tblPrEx>
          <w:tblCellMar>
            <w:top w:w="0" w:type="dxa"/>
            <w:left w:w="108" w:type="dxa"/>
            <w:bottom w:w="0" w:type="dxa"/>
            <w:right w:w="108" w:type="dxa"/>
          </w:tblCellMar>
        </w:tblPrEx>
        <w:trPr>
          <w:jc w:val="center"/>
        </w:trPr>
        <w:tc>
          <w:tcPr>
            <w:tcW w:w="2785" w:type="dxa"/>
            <w:tcBorders>
              <w:top w:val="single" w:color="000000" w:sz="6" w:space="0"/>
              <w:left w:val="single" w:color="000000" w:sz="4" w:space="0"/>
              <w:bottom w:val="single" w:color="000000" w:sz="6" w:space="0"/>
              <w:right w:val="single" w:color="000000" w:sz="6" w:space="0"/>
            </w:tcBorders>
            <w:noWrap w:val="0"/>
            <w:vAlign w:val="top"/>
          </w:tcPr>
          <w:p w14:paraId="3904B9C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GBT2951</w:t>
            </w:r>
          </w:p>
        </w:tc>
        <w:tc>
          <w:tcPr>
            <w:tcW w:w="6283" w:type="dxa"/>
            <w:tcBorders>
              <w:top w:val="single" w:color="000000" w:sz="6" w:space="0"/>
              <w:left w:val="single" w:color="000000" w:sz="6" w:space="0"/>
              <w:bottom w:val="single" w:color="000000" w:sz="6" w:space="0"/>
              <w:right w:val="single" w:color="000000" w:sz="4" w:space="0"/>
            </w:tcBorders>
            <w:noWrap w:val="0"/>
            <w:vAlign w:val="top"/>
          </w:tcPr>
          <w:p w14:paraId="346D3DA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电缆和光缆绝缘和护套材料通用试验方法</w:t>
            </w:r>
          </w:p>
        </w:tc>
      </w:tr>
      <w:tr w14:paraId="67FB3478">
        <w:tblPrEx>
          <w:tblCellMar>
            <w:top w:w="0" w:type="dxa"/>
            <w:left w:w="108" w:type="dxa"/>
            <w:bottom w:w="0" w:type="dxa"/>
            <w:right w:w="108" w:type="dxa"/>
          </w:tblCellMar>
        </w:tblPrEx>
        <w:trPr>
          <w:jc w:val="center"/>
        </w:trPr>
        <w:tc>
          <w:tcPr>
            <w:tcW w:w="2785" w:type="dxa"/>
            <w:tcBorders>
              <w:top w:val="single" w:color="000000" w:sz="6" w:space="0"/>
              <w:left w:val="single" w:color="000000" w:sz="4" w:space="0"/>
              <w:bottom w:val="single" w:color="000000" w:sz="6" w:space="0"/>
              <w:right w:val="single" w:color="000000" w:sz="6" w:space="0"/>
            </w:tcBorders>
            <w:noWrap w:val="0"/>
            <w:vAlign w:val="top"/>
          </w:tcPr>
          <w:p w14:paraId="4E94E93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GBT18380</w:t>
            </w:r>
          </w:p>
        </w:tc>
        <w:tc>
          <w:tcPr>
            <w:tcW w:w="6283" w:type="dxa"/>
            <w:tcBorders>
              <w:top w:val="single" w:color="000000" w:sz="6" w:space="0"/>
              <w:left w:val="single" w:color="000000" w:sz="6" w:space="0"/>
              <w:bottom w:val="single" w:color="000000" w:sz="6" w:space="0"/>
              <w:right w:val="single" w:color="000000" w:sz="4" w:space="0"/>
            </w:tcBorders>
            <w:noWrap w:val="0"/>
            <w:vAlign w:val="top"/>
          </w:tcPr>
          <w:p w14:paraId="29022C8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电缆和光缆在火焰条件下的燃烧试验</w:t>
            </w:r>
          </w:p>
        </w:tc>
      </w:tr>
      <w:tr w14:paraId="66A7F1D8">
        <w:tblPrEx>
          <w:tblCellMar>
            <w:top w:w="0" w:type="dxa"/>
            <w:left w:w="108" w:type="dxa"/>
            <w:bottom w:w="0" w:type="dxa"/>
            <w:right w:w="108" w:type="dxa"/>
          </w:tblCellMar>
        </w:tblPrEx>
        <w:trPr>
          <w:jc w:val="center"/>
        </w:trPr>
        <w:tc>
          <w:tcPr>
            <w:tcW w:w="2785" w:type="dxa"/>
            <w:tcBorders>
              <w:top w:val="single" w:color="000000" w:sz="6" w:space="0"/>
              <w:left w:val="single" w:color="000000" w:sz="4" w:space="0"/>
              <w:bottom w:val="single" w:color="000000" w:sz="4" w:space="0"/>
              <w:right w:val="single" w:color="000000" w:sz="6" w:space="0"/>
            </w:tcBorders>
            <w:noWrap w:val="0"/>
            <w:vAlign w:val="top"/>
          </w:tcPr>
          <w:p w14:paraId="59757FE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GB6995-2008</w:t>
            </w:r>
          </w:p>
        </w:tc>
        <w:tc>
          <w:tcPr>
            <w:tcW w:w="6283" w:type="dxa"/>
            <w:tcBorders>
              <w:top w:val="single" w:color="000000" w:sz="6" w:space="0"/>
              <w:left w:val="single" w:color="000000" w:sz="6" w:space="0"/>
              <w:bottom w:val="single" w:color="000000" w:sz="4" w:space="0"/>
              <w:right w:val="single" w:color="000000" w:sz="4" w:space="0"/>
            </w:tcBorders>
            <w:noWrap w:val="0"/>
            <w:vAlign w:val="top"/>
          </w:tcPr>
          <w:p w14:paraId="1E399F2F">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电线电缆识别标志</w:t>
            </w:r>
          </w:p>
        </w:tc>
      </w:tr>
    </w:tbl>
    <w:p w14:paraId="283F50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本技术规范未规定的其它技术要求应不劣于中国国家标准的要求。</w:t>
      </w:r>
    </w:p>
    <w:p w14:paraId="0643E4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本技术规范书未标明日期的中国国家标准均使用最新版本（截至到发标日）。</w:t>
      </w:r>
    </w:p>
    <w:p w14:paraId="2389723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投标方至少应提供包括以下内容的技术文件：</w:t>
      </w:r>
    </w:p>
    <w:p w14:paraId="232A8EC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投标产品制造厂家的名称和投标产品制造地点。</w:t>
      </w:r>
    </w:p>
    <w:p w14:paraId="19FDA7B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投标产品的技术标准、生产工艺、制造方法、检测设备及质量保证措施。特别必须注明针对本项目的生产设备是进口设备还是国产设备。</w:t>
      </w:r>
    </w:p>
    <w:p w14:paraId="268372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投标产品的的结构尺寸及误差范围，包括截面图及各部分的详细尺寸。</w:t>
      </w:r>
    </w:p>
    <w:p w14:paraId="6E5D7F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投标产品所用主要原材料（包括但不限于内外护套、铜芯）的技术标准、生产厂家、产地。报出针对本次入围选型所采用的原材料，不可同时列出两种同类材料或不同产地待选。</w:t>
      </w:r>
    </w:p>
    <w:p w14:paraId="753AE5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投标产品的电性能指标。</w:t>
      </w:r>
    </w:p>
    <w:p w14:paraId="36C3982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投标产品气候及机械耐久性能。</w:t>
      </w:r>
    </w:p>
    <w:p w14:paraId="232071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投标产品使用寿命，投标方应说明保证投标产品寿命的有关技术措施。</w:t>
      </w:r>
    </w:p>
    <w:p w14:paraId="06E438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权威机构鉴定测试报告。</w:t>
      </w:r>
    </w:p>
    <w:p w14:paraId="1099D9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投标产品必须参与由</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组织的测试检验。</w:t>
      </w:r>
    </w:p>
    <w:p w14:paraId="6CB2F0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投标方需要说明的其它事宜。</w:t>
      </w:r>
    </w:p>
    <w:p w14:paraId="4A956FE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BVVB结构描述</w:t>
      </w:r>
    </w:p>
    <w:p w14:paraId="17B5AAD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名称</w:t>
      </w:r>
    </w:p>
    <w:p w14:paraId="697B0BD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铜芯聚氯乙烯绝缘聚氯乙烯护套扁型电缆 </w:t>
      </w:r>
    </w:p>
    <w:p w14:paraId="696F3B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结构图</w:t>
      </w:r>
    </w:p>
    <w:p w14:paraId="6D8F754D">
      <w:pPr>
        <w:adjustRightInd/>
        <w:rPr>
          <w:rFonts w:hint="eastAsia" w:ascii="仿宋" w:hAnsi="仿宋" w:eastAsia="仿宋" w:cs="仿宋"/>
          <w:color w:val="auto"/>
          <w:sz w:val="24"/>
          <w:szCs w:val="24"/>
        </w:rPr>
      </w:pPr>
      <w:r>
        <w:rPr>
          <w:rFonts w:hint="eastAsia" w:ascii="仿宋" w:hAnsi="仿宋" w:eastAsia="仿宋" w:cs="仿宋"/>
          <w:color w:val="auto"/>
          <w:sz w:val="24"/>
          <w:szCs w:val="24"/>
        </w:rPr>
        <w:drawing>
          <wp:inline distT="0" distB="0" distL="114300" distR="114300">
            <wp:extent cx="5622925" cy="1637030"/>
            <wp:effectExtent l="0" t="0" r="15875" b="127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3"/>
                    <a:stretch>
                      <a:fillRect/>
                    </a:stretch>
                  </pic:blipFill>
                  <pic:spPr>
                    <a:xfrm>
                      <a:off x="0" y="0"/>
                      <a:ext cx="5622925" cy="1637030"/>
                    </a:xfrm>
                    <a:prstGeom prst="rect">
                      <a:avLst/>
                    </a:prstGeom>
                    <a:noFill/>
                    <a:ln>
                      <a:noFill/>
                    </a:ln>
                  </pic:spPr>
                </pic:pic>
              </a:graphicData>
            </a:graphic>
          </wp:inline>
        </w:drawing>
      </w:r>
    </w:p>
    <w:p w14:paraId="6B852E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外护套标志要求：</w:t>
      </w:r>
    </w:p>
    <w:p w14:paraId="21C8298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需印有用户指定标志(如有特殊需求，会在订单上说明)</w:t>
      </w:r>
    </w:p>
    <w:p w14:paraId="4BBCE7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制造厂名或商标；</w:t>
      </w:r>
    </w:p>
    <w:p w14:paraId="57AE039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电缆型号及规格；</w:t>
      </w:r>
    </w:p>
    <w:p w14:paraId="5245014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长度，m；</w:t>
      </w:r>
    </w:p>
    <w:p w14:paraId="6CDED6C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制造日期： 年  月；</w:t>
      </w:r>
    </w:p>
    <w:p w14:paraId="3EB5548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技术要求：</w:t>
      </w:r>
    </w:p>
    <w:p w14:paraId="75B1BFE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导体</w:t>
      </w:r>
    </w:p>
    <w:p w14:paraId="53153AB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导体应符合GB/T3956-2008中第1种导体规定的要求</w:t>
      </w:r>
    </w:p>
    <w:p w14:paraId="2B26783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绝缘</w:t>
      </w:r>
    </w:p>
    <w:p w14:paraId="3C97915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挤包在每芯导体上的绝缘应是PVC/C型聚氯乙烯混合物。</w:t>
      </w:r>
    </w:p>
    <w:p w14:paraId="05EA59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护套</w:t>
      </w:r>
    </w:p>
    <w:p w14:paraId="033580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挤包在绝缘线芯上的护套应是PVC/ST4型聚氯乙烯混合物</w:t>
      </w:r>
    </w:p>
    <w:p w14:paraId="4535534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规格尺寸：</w:t>
      </w:r>
    </w:p>
    <w:tbl>
      <w:tblPr>
        <w:tblStyle w:val="61"/>
        <w:tblW w:w="0" w:type="auto"/>
        <w:jc w:val="center"/>
        <w:tblLayout w:type="fixed"/>
        <w:tblCellMar>
          <w:top w:w="0" w:type="dxa"/>
          <w:left w:w="108" w:type="dxa"/>
          <w:bottom w:w="0" w:type="dxa"/>
          <w:right w:w="108" w:type="dxa"/>
        </w:tblCellMar>
      </w:tblPr>
      <w:tblGrid>
        <w:gridCol w:w="1634"/>
        <w:gridCol w:w="1376"/>
        <w:gridCol w:w="1326"/>
        <w:gridCol w:w="1352"/>
        <w:gridCol w:w="1203"/>
        <w:gridCol w:w="2150"/>
      </w:tblGrid>
      <w:tr w14:paraId="372FE08E">
        <w:tblPrEx>
          <w:tblCellMar>
            <w:top w:w="0" w:type="dxa"/>
            <w:left w:w="108" w:type="dxa"/>
            <w:bottom w:w="0" w:type="dxa"/>
            <w:right w:w="108" w:type="dxa"/>
          </w:tblCellMar>
        </w:tblPrEx>
        <w:trPr>
          <w:trHeight w:val="517" w:hRule="atLeast"/>
          <w:jc w:val="center"/>
        </w:trPr>
        <w:tc>
          <w:tcPr>
            <w:tcW w:w="16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C4B635E">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导体芯数和标称截面积/mm²</w:t>
            </w:r>
          </w:p>
        </w:tc>
        <w:tc>
          <w:tcPr>
            <w:tcW w:w="1376" w:type="dxa"/>
            <w:vMerge w:val="restart"/>
            <w:tcBorders>
              <w:top w:val="single" w:color="000000" w:sz="4" w:space="0"/>
              <w:left w:val="nil"/>
              <w:bottom w:val="single" w:color="000000" w:sz="4" w:space="0"/>
              <w:right w:val="single" w:color="000000" w:sz="4" w:space="0"/>
            </w:tcBorders>
            <w:noWrap w:val="0"/>
            <w:vAlign w:val="center"/>
          </w:tcPr>
          <w:p w14:paraId="58A872FE">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绝缘厚度规定值/mm</w:t>
            </w:r>
          </w:p>
        </w:tc>
        <w:tc>
          <w:tcPr>
            <w:tcW w:w="1326" w:type="dxa"/>
            <w:vMerge w:val="restart"/>
            <w:tcBorders>
              <w:top w:val="single" w:color="000000" w:sz="4" w:space="0"/>
              <w:left w:val="nil"/>
              <w:bottom w:val="single" w:color="000000" w:sz="4" w:space="0"/>
              <w:right w:val="single" w:color="000000" w:sz="4" w:space="0"/>
            </w:tcBorders>
            <w:noWrap w:val="0"/>
            <w:vAlign w:val="center"/>
          </w:tcPr>
          <w:p w14:paraId="5C3BE9C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护套厚度规定值/mm</w:t>
            </w:r>
          </w:p>
        </w:tc>
        <w:tc>
          <w:tcPr>
            <w:tcW w:w="2555" w:type="dxa"/>
            <w:gridSpan w:val="2"/>
            <w:tcBorders>
              <w:top w:val="single" w:color="000000" w:sz="4" w:space="0"/>
              <w:left w:val="nil"/>
              <w:bottom w:val="single" w:color="000000" w:sz="4" w:space="0"/>
              <w:right w:val="single" w:color="000000" w:sz="4" w:space="0"/>
            </w:tcBorders>
            <w:noWrap w:val="0"/>
            <w:vAlign w:val="center"/>
          </w:tcPr>
          <w:p w14:paraId="49AAD989">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平均外形尺寸/mm</w:t>
            </w:r>
          </w:p>
        </w:tc>
        <w:tc>
          <w:tcPr>
            <w:tcW w:w="2150" w:type="dxa"/>
            <w:vMerge w:val="restart"/>
            <w:tcBorders>
              <w:top w:val="single" w:color="000000" w:sz="4" w:space="0"/>
              <w:left w:val="nil"/>
              <w:bottom w:val="single" w:color="000000" w:sz="4" w:space="0"/>
              <w:right w:val="single" w:color="000000" w:sz="4" w:space="0"/>
            </w:tcBorders>
            <w:noWrap w:val="0"/>
            <w:vAlign w:val="center"/>
          </w:tcPr>
          <w:p w14:paraId="1828136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70℃时最小绝缘电阻/（MΩ·km）</w:t>
            </w:r>
          </w:p>
        </w:tc>
      </w:tr>
      <w:tr w14:paraId="3E67AB06">
        <w:tblPrEx>
          <w:tblCellMar>
            <w:top w:w="0" w:type="dxa"/>
            <w:left w:w="108" w:type="dxa"/>
            <w:bottom w:w="0" w:type="dxa"/>
            <w:right w:w="108" w:type="dxa"/>
          </w:tblCellMar>
        </w:tblPrEx>
        <w:trPr>
          <w:trHeight w:val="411" w:hRule="atLeast"/>
          <w:jc w:val="center"/>
        </w:trPr>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4BCD2">
            <w:pPr>
              <w:adjustRightInd/>
              <w:spacing w:line="400" w:lineRule="exact"/>
              <w:jc w:val="center"/>
              <w:rPr>
                <w:rFonts w:hint="eastAsia" w:ascii="仿宋" w:hAnsi="仿宋" w:eastAsia="仿宋" w:cs="仿宋"/>
                <w:color w:val="auto"/>
                <w:sz w:val="24"/>
                <w:szCs w:val="24"/>
              </w:rPr>
            </w:pPr>
          </w:p>
        </w:tc>
        <w:tc>
          <w:tcPr>
            <w:tcW w:w="1376" w:type="dxa"/>
            <w:vMerge w:val="continue"/>
            <w:tcBorders>
              <w:top w:val="single" w:color="000000" w:sz="4" w:space="0"/>
              <w:left w:val="nil"/>
              <w:bottom w:val="single" w:color="000000" w:sz="4" w:space="0"/>
              <w:right w:val="single" w:color="000000" w:sz="4" w:space="0"/>
            </w:tcBorders>
            <w:noWrap w:val="0"/>
            <w:vAlign w:val="center"/>
          </w:tcPr>
          <w:p w14:paraId="363CB00D">
            <w:pPr>
              <w:adjustRightInd/>
              <w:spacing w:line="400" w:lineRule="exact"/>
              <w:jc w:val="center"/>
              <w:rPr>
                <w:rFonts w:hint="eastAsia" w:ascii="仿宋" w:hAnsi="仿宋" w:eastAsia="仿宋" w:cs="仿宋"/>
                <w:color w:val="auto"/>
                <w:sz w:val="24"/>
                <w:szCs w:val="24"/>
              </w:rPr>
            </w:pPr>
          </w:p>
        </w:tc>
        <w:tc>
          <w:tcPr>
            <w:tcW w:w="1326" w:type="dxa"/>
            <w:vMerge w:val="continue"/>
            <w:tcBorders>
              <w:top w:val="single" w:color="000000" w:sz="4" w:space="0"/>
              <w:left w:val="nil"/>
              <w:bottom w:val="single" w:color="000000" w:sz="4" w:space="0"/>
              <w:right w:val="single" w:color="000000" w:sz="4" w:space="0"/>
            </w:tcBorders>
            <w:noWrap w:val="0"/>
            <w:vAlign w:val="center"/>
          </w:tcPr>
          <w:p w14:paraId="3376409F">
            <w:pPr>
              <w:adjustRightInd/>
              <w:spacing w:line="400" w:lineRule="exact"/>
              <w:jc w:val="center"/>
              <w:rPr>
                <w:rFonts w:hint="eastAsia" w:ascii="仿宋" w:hAnsi="仿宋" w:eastAsia="仿宋" w:cs="仿宋"/>
                <w:color w:val="auto"/>
                <w:sz w:val="24"/>
                <w:szCs w:val="24"/>
              </w:rPr>
            </w:pPr>
          </w:p>
        </w:tc>
        <w:tc>
          <w:tcPr>
            <w:tcW w:w="1352" w:type="dxa"/>
            <w:tcBorders>
              <w:top w:val="single" w:color="000000" w:sz="4" w:space="0"/>
              <w:left w:val="nil"/>
              <w:bottom w:val="single" w:color="000000" w:sz="4" w:space="0"/>
              <w:right w:val="single" w:color="000000" w:sz="4" w:space="0"/>
            </w:tcBorders>
            <w:noWrap w:val="0"/>
            <w:vAlign w:val="center"/>
          </w:tcPr>
          <w:p w14:paraId="4DBEBA1A">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下限</w:t>
            </w:r>
          </w:p>
        </w:tc>
        <w:tc>
          <w:tcPr>
            <w:tcW w:w="1203" w:type="dxa"/>
            <w:tcBorders>
              <w:top w:val="single" w:color="000000" w:sz="4" w:space="0"/>
              <w:left w:val="nil"/>
              <w:bottom w:val="single" w:color="000000" w:sz="4" w:space="0"/>
              <w:right w:val="single" w:color="000000" w:sz="4" w:space="0"/>
            </w:tcBorders>
            <w:noWrap w:val="0"/>
            <w:vAlign w:val="center"/>
          </w:tcPr>
          <w:p w14:paraId="7D806251">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上限</w:t>
            </w:r>
          </w:p>
        </w:tc>
        <w:tc>
          <w:tcPr>
            <w:tcW w:w="2150" w:type="dxa"/>
            <w:vMerge w:val="continue"/>
            <w:tcBorders>
              <w:top w:val="single" w:color="000000" w:sz="4" w:space="0"/>
              <w:left w:val="nil"/>
              <w:bottom w:val="single" w:color="000000" w:sz="4" w:space="0"/>
              <w:right w:val="single" w:color="000000" w:sz="4" w:space="0"/>
            </w:tcBorders>
            <w:noWrap w:val="0"/>
            <w:vAlign w:val="center"/>
          </w:tcPr>
          <w:p w14:paraId="1ACE0E85">
            <w:pPr>
              <w:adjustRightInd/>
              <w:spacing w:line="400" w:lineRule="exact"/>
              <w:jc w:val="center"/>
              <w:rPr>
                <w:rFonts w:hint="eastAsia" w:ascii="仿宋" w:hAnsi="仿宋" w:eastAsia="仿宋" w:cs="仿宋"/>
                <w:color w:val="auto"/>
                <w:sz w:val="24"/>
                <w:szCs w:val="24"/>
              </w:rPr>
            </w:pPr>
          </w:p>
        </w:tc>
      </w:tr>
      <w:tr w14:paraId="3CA84615">
        <w:tblPrEx>
          <w:tblCellMar>
            <w:top w:w="0" w:type="dxa"/>
            <w:left w:w="108" w:type="dxa"/>
            <w:bottom w:w="0" w:type="dxa"/>
            <w:right w:w="108" w:type="dxa"/>
          </w:tblCellMar>
        </w:tblPrEx>
        <w:trPr>
          <w:jc w:val="center"/>
        </w:trPr>
        <w:tc>
          <w:tcPr>
            <w:tcW w:w="1634" w:type="dxa"/>
            <w:tcBorders>
              <w:top w:val="single" w:color="000000" w:sz="4" w:space="0"/>
              <w:left w:val="single" w:color="000000" w:sz="4" w:space="0"/>
              <w:bottom w:val="single" w:color="000000" w:sz="4" w:space="0"/>
              <w:right w:val="single" w:color="000000" w:sz="4" w:space="0"/>
            </w:tcBorders>
            <w:noWrap w:val="0"/>
            <w:vAlign w:val="center"/>
          </w:tcPr>
          <w:p w14:paraId="0AAE8E1A">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2*1.5</w:t>
            </w:r>
          </w:p>
        </w:tc>
        <w:tc>
          <w:tcPr>
            <w:tcW w:w="1376" w:type="dxa"/>
            <w:tcBorders>
              <w:top w:val="single" w:color="000000" w:sz="4" w:space="0"/>
              <w:left w:val="nil"/>
              <w:bottom w:val="single" w:color="000000" w:sz="4" w:space="0"/>
              <w:right w:val="single" w:color="000000" w:sz="4" w:space="0"/>
            </w:tcBorders>
            <w:noWrap w:val="0"/>
            <w:vAlign w:val="center"/>
          </w:tcPr>
          <w:p w14:paraId="77BE150C">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0.7</w:t>
            </w:r>
          </w:p>
        </w:tc>
        <w:tc>
          <w:tcPr>
            <w:tcW w:w="1326" w:type="dxa"/>
            <w:tcBorders>
              <w:top w:val="single" w:color="000000" w:sz="4" w:space="0"/>
              <w:left w:val="nil"/>
              <w:bottom w:val="single" w:color="000000" w:sz="4" w:space="0"/>
              <w:right w:val="single" w:color="000000" w:sz="4" w:space="0"/>
            </w:tcBorders>
            <w:noWrap w:val="0"/>
            <w:vAlign w:val="center"/>
          </w:tcPr>
          <w:p w14:paraId="205A3D9B">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0.9</w:t>
            </w:r>
          </w:p>
        </w:tc>
        <w:tc>
          <w:tcPr>
            <w:tcW w:w="1352" w:type="dxa"/>
            <w:tcBorders>
              <w:top w:val="single" w:color="000000" w:sz="4" w:space="0"/>
              <w:left w:val="nil"/>
              <w:bottom w:val="single" w:color="000000" w:sz="4" w:space="0"/>
              <w:right w:val="single" w:color="000000" w:sz="4" w:space="0"/>
            </w:tcBorders>
            <w:noWrap w:val="0"/>
            <w:vAlign w:val="center"/>
          </w:tcPr>
          <w:p w14:paraId="40A0947A">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4.4*7.0</w:t>
            </w:r>
          </w:p>
        </w:tc>
        <w:tc>
          <w:tcPr>
            <w:tcW w:w="1203" w:type="dxa"/>
            <w:tcBorders>
              <w:top w:val="single" w:color="000000" w:sz="4" w:space="0"/>
              <w:left w:val="nil"/>
              <w:bottom w:val="single" w:color="000000" w:sz="4" w:space="0"/>
              <w:right w:val="single" w:color="000000" w:sz="4" w:space="0"/>
            </w:tcBorders>
            <w:noWrap w:val="0"/>
            <w:vAlign w:val="center"/>
          </w:tcPr>
          <w:p w14:paraId="0225E09A">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5.3*8.5</w:t>
            </w:r>
          </w:p>
        </w:tc>
        <w:tc>
          <w:tcPr>
            <w:tcW w:w="2150" w:type="dxa"/>
            <w:tcBorders>
              <w:top w:val="single" w:color="000000" w:sz="4" w:space="0"/>
              <w:left w:val="nil"/>
              <w:bottom w:val="single" w:color="000000" w:sz="4" w:space="0"/>
              <w:right w:val="single" w:color="000000" w:sz="4" w:space="0"/>
            </w:tcBorders>
            <w:noWrap w:val="0"/>
            <w:vAlign w:val="center"/>
          </w:tcPr>
          <w:p w14:paraId="2113E2B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0.011</w:t>
            </w:r>
          </w:p>
        </w:tc>
      </w:tr>
    </w:tbl>
    <w:p w14:paraId="02E436B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color w:val="auto"/>
          <w:sz w:val="24"/>
          <w:szCs w:val="24"/>
        </w:rPr>
      </w:pPr>
      <w:bookmarkStart w:id="71" w:name="_Toc491267218"/>
      <w:bookmarkStart w:id="72" w:name="_Toc496021913"/>
      <w:r>
        <w:rPr>
          <w:rFonts w:hint="eastAsia" w:ascii="仿宋" w:hAnsi="仿宋" w:eastAsia="仿宋" w:cs="仿宋"/>
          <w:b/>
          <w:color w:val="auto"/>
          <w:sz w:val="24"/>
          <w:szCs w:val="24"/>
        </w:rPr>
        <w:t>（二）电力电缆</w:t>
      </w:r>
      <w:bookmarkEnd w:id="71"/>
      <w:bookmarkEnd w:id="72"/>
    </w:p>
    <w:p w14:paraId="6DB839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1.概述</w:t>
      </w:r>
    </w:p>
    <w:p w14:paraId="374D5D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2.执行标准</w:t>
      </w:r>
    </w:p>
    <w:tbl>
      <w:tblPr>
        <w:tblStyle w:val="61"/>
        <w:tblW w:w="0" w:type="auto"/>
        <w:jc w:val="center"/>
        <w:tblLayout w:type="fixed"/>
        <w:tblCellMar>
          <w:top w:w="0" w:type="dxa"/>
          <w:left w:w="108" w:type="dxa"/>
          <w:bottom w:w="0" w:type="dxa"/>
          <w:right w:w="108" w:type="dxa"/>
        </w:tblCellMar>
      </w:tblPr>
      <w:tblGrid>
        <w:gridCol w:w="2223"/>
        <w:gridCol w:w="6743"/>
      </w:tblGrid>
      <w:tr w14:paraId="174E0F94">
        <w:tblPrEx>
          <w:tblCellMar>
            <w:top w:w="0" w:type="dxa"/>
            <w:left w:w="108" w:type="dxa"/>
            <w:bottom w:w="0" w:type="dxa"/>
            <w:right w:w="108" w:type="dxa"/>
          </w:tblCellMar>
        </w:tblPrEx>
        <w:trPr>
          <w:trHeight w:val="58" w:hRule="atLeast"/>
          <w:jc w:val="center"/>
        </w:trPr>
        <w:tc>
          <w:tcPr>
            <w:tcW w:w="2223" w:type="dxa"/>
            <w:tcBorders>
              <w:top w:val="single" w:color="000000" w:sz="4" w:space="0"/>
              <w:left w:val="single" w:color="000000" w:sz="4" w:space="0"/>
              <w:bottom w:val="single" w:color="000000" w:sz="6" w:space="0"/>
              <w:right w:val="single" w:color="000000" w:sz="6" w:space="0"/>
            </w:tcBorders>
            <w:noWrap w:val="0"/>
            <w:vAlign w:val="center"/>
          </w:tcPr>
          <w:p w14:paraId="0ACB90B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GB/T12706.1-2008</w:t>
            </w:r>
          </w:p>
        </w:tc>
        <w:tc>
          <w:tcPr>
            <w:tcW w:w="6743" w:type="dxa"/>
            <w:tcBorders>
              <w:top w:val="single" w:color="000000" w:sz="4" w:space="0"/>
              <w:left w:val="single" w:color="000000" w:sz="6" w:space="0"/>
              <w:bottom w:val="single" w:color="000000" w:sz="6" w:space="0"/>
              <w:right w:val="single" w:color="000000" w:sz="4" w:space="0"/>
            </w:tcBorders>
            <w:noWrap w:val="0"/>
            <w:vAlign w:val="top"/>
          </w:tcPr>
          <w:p w14:paraId="23108B7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额定电压1kV(Um=1.2kV)到35kV(Um=40.5kV)挤包绝缘电力电缆及附件</w:t>
            </w:r>
          </w:p>
          <w:p w14:paraId="49AA5C9F">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第1部分额定电压1kV(Um=1.2kV)和3kV(Um=3.6kV)电缆</w:t>
            </w:r>
          </w:p>
        </w:tc>
      </w:tr>
      <w:tr w14:paraId="0255CEBD">
        <w:tblPrEx>
          <w:tblCellMar>
            <w:top w:w="0" w:type="dxa"/>
            <w:left w:w="108" w:type="dxa"/>
            <w:bottom w:w="0" w:type="dxa"/>
            <w:right w:w="108" w:type="dxa"/>
          </w:tblCellMar>
        </w:tblPrEx>
        <w:trPr>
          <w:jc w:val="center"/>
        </w:trPr>
        <w:tc>
          <w:tcPr>
            <w:tcW w:w="2223" w:type="dxa"/>
            <w:tcBorders>
              <w:top w:val="single" w:color="000000" w:sz="6" w:space="0"/>
              <w:left w:val="single" w:color="000000" w:sz="4" w:space="0"/>
              <w:bottom w:val="single" w:color="000000" w:sz="6" w:space="0"/>
              <w:right w:val="single" w:color="000000" w:sz="6" w:space="0"/>
            </w:tcBorders>
            <w:noWrap w:val="0"/>
            <w:vAlign w:val="center"/>
          </w:tcPr>
          <w:p w14:paraId="75A0F35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GB/T2951-2008</w:t>
            </w:r>
          </w:p>
        </w:tc>
        <w:tc>
          <w:tcPr>
            <w:tcW w:w="6743" w:type="dxa"/>
            <w:tcBorders>
              <w:top w:val="single" w:color="000000" w:sz="6" w:space="0"/>
              <w:left w:val="single" w:color="000000" w:sz="6" w:space="0"/>
              <w:bottom w:val="single" w:color="000000" w:sz="6" w:space="0"/>
              <w:right w:val="single" w:color="000000" w:sz="4" w:space="0"/>
            </w:tcBorders>
            <w:noWrap w:val="0"/>
            <w:vAlign w:val="top"/>
          </w:tcPr>
          <w:p w14:paraId="5105989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电缆绝缘和护套材料通用试验方法</w:t>
            </w:r>
          </w:p>
        </w:tc>
      </w:tr>
      <w:tr w14:paraId="30F3957F">
        <w:tblPrEx>
          <w:tblCellMar>
            <w:top w:w="0" w:type="dxa"/>
            <w:left w:w="108" w:type="dxa"/>
            <w:bottom w:w="0" w:type="dxa"/>
            <w:right w:w="108" w:type="dxa"/>
          </w:tblCellMar>
        </w:tblPrEx>
        <w:trPr>
          <w:jc w:val="center"/>
        </w:trPr>
        <w:tc>
          <w:tcPr>
            <w:tcW w:w="2223" w:type="dxa"/>
            <w:tcBorders>
              <w:top w:val="single" w:color="000000" w:sz="6" w:space="0"/>
              <w:left w:val="single" w:color="000000" w:sz="4" w:space="0"/>
              <w:bottom w:val="single" w:color="000000" w:sz="6" w:space="0"/>
              <w:right w:val="single" w:color="000000" w:sz="6" w:space="0"/>
            </w:tcBorders>
            <w:noWrap w:val="0"/>
            <w:vAlign w:val="center"/>
          </w:tcPr>
          <w:p w14:paraId="2F7BE17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GB/T3048-2007</w:t>
            </w:r>
          </w:p>
        </w:tc>
        <w:tc>
          <w:tcPr>
            <w:tcW w:w="6743" w:type="dxa"/>
            <w:tcBorders>
              <w:top w:val="single" w:color="000000" w:sz="6" w:space="0"/>
              <w:left w:val="single" w:color="000000" w:sz="6" w:space="0"/>
              <w:bottom w:val="single" w:color="000000" w:sz="6" w:space="0"/>
              <w:right w:val="single" w:color="000000" w:sz="4" w:space="0"/>
            </w:tcBorders>
            <w:noWrap w:val="0"/>
            <w:vAlign w:val="top"/>
          </w:tcPr>
          <w:p w14:paraId="7435240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电线电缆电性能试验方法</w:t>
            </w:r>
          </w:p>
        </w:tc>
      </w:tr>
      <w:tr w14:paraId="66DDF9FA">
        <w:tblPrEx>
          <w:tblCellMar>
            <w:top w:w="0" w:type="dxa"/>
            <w:left w:w="108" w:type="dxa"/>
            <w:bottom w:w="0" w:type="dxa"/>
            <w:right w:w="108" w:type="dxa"/>
          </w:tblCellMar>
        </w:tblPrEx>
        <w:trPr>
          <w:jc w:val="center"/>
        </w:trPr>
        <w:tc>
          <w:tcPr>
            <w:tcW w:w="2223" w:type="dxa"/>
            <w:tcBorders>
              <w:top w:val="single" w:color="000000" w:sz="6" w:space="0"/>
              <w:left w:val="single" w:color="000000" w:sz="4" w:space="0"/>
              <w:bottom w:val="single" w:color="000000" w:sz="6" w:space="0"/>
              <w:right w:val="single" w:color="000000" w:sz="6" w:space="0"/>
            </w:tcBorders>
            <w:noWrap w:val="0"/>
            <w:vAlign w:val="center"/>
          </w:tcPr>
          <w:p w14:paraId="4678238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GB/T3956-2008</w:t>
            </w:r>
          </w:p>
        </w:tc>
        <w:tc>
          <w:tcPr>
            <w:tcW w:w="6743" w:type="dxa"/>
            <w:tcBorders>
              <w:top w:val="single" w:color="000000" w:sz="6" w:space="0"/>
              <w:left w:val="single" w:color="000000" w:sz="6" w:space="0"/>
              <w:bottom w:val="single" w:color="000000" w:sz="6" w:space="0"/>
              <w:right w:val="single" w:color="000000" w:sz="4" w:space="0"/>
            </w:tcBorders>
            <w:noWrap w:val="0"/>
            <w:vAlign w:val="top"/>
          </w:tcPr>
          <w:p w14:paraId="3009861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电缆的导体</w:t>
            </w:r>
          </w:p>
        </w:tc>
      </w:tr>
      <w:tr w14:paraId="4477EBD4">
        <w:tblPrEx>
          <w:tblCellMar>
            <w:top w:w="0" w:type="dxa"/>
            <w:left w:w="108" w:type="dxa"/>
            <w:bottom w:w="0" w:type="dxa"/>
            <w:right w:w="108" w:type="dxa"/>
          </w:tblCellMar>
        </w:tblPrEx>
        <w:trPr>
          <w:jc w:val="center"/>
        </w:trPr>
        <w:tc>
          <w:tcPr>
            <w:tcW w:w="2223" w:type="dxa"/>
            <w:tcBorders>
              <w:top w:val="single" w:color="000000" w:sz="6" w:space="0"/>
              <w:left w:val="single" w:color="000000" w:sz="4" w:space="0"/>
              <w:bottom w:val="single" w:color="000000" w:sz="6" w:space="0"/>
              <w:right w:val="single" w:color="000000" w:sz="6" w:space="0"/>
            </w:tcBorders>
            <w:noWrap w:val="0"/>
            <w:vAlign w:val="center"/>
          </w:tcPr>
          <w:p w14:paraId="2063BB6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JB/T8137-1999</w:t>
            </w:r>
          </w:p>
        </w:tc>
        <w:tc>
          <w:tcPr>
            <w:tcW w:w="6743" w:type="dxa"/>
            <w:tcBorders>
              <w:top w:val="single" w:color="000000" w:sz="6" w:space="0"/>
              <w:left w:val="single" w:color="000000" w:sz="6" w:space="0"/>
              <w:bottom w:val="single" w:color="000000" w:sz="6" w:space="0"/>
              <w:right w:val="single" w:color="000000" w:sz="4" w:space="0"/>
            </w:tcBorders>
            <w:noWrap w:val="0"/>
            <w:vAlign w:val="top"/>
          </w:tcPr>
          <w:p w14:paraId="66C025F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电线电缆交货盘</w:t>
            </w:r>
          </w:p>
        </w:tc>
      </w:tr>
      <w:tr w14:paraId="73CBE8F4">
        <w:tblPrEx>
          <w:tblCellMar>
            <w:top w:w="0" w:type="dxa"/>
            <w:left w:w="108" w:type="dxa"/>
            <w:bottom w:w="0" w:type="dxa"/>
            <w:right w:w="108" w:type="dxa"/>
          </w:tblCellMar>
        </w:tblPrEx>
        <w:trPr>
          <w:jc w:val="center"/>
        </w:trPr>
        <w:tc>
          <w:tcPr>
            <w:tcW w:w="2223" w:type="dxa"/>
            <w:tcBorders>
              <w:top w:val="single" w:color="000000" w:sz="6" w:space="0"/>
              <w:left w:val="single" w:color="000000" w:sz="4" w:space="0"/>
              <w:bottom w:val="single" w:color="000000" w:sz="6" w:space="0"/>
              <w:right w:val="single" w:color="000000" w:sz="6" w:space="0"/>
            </w:tcBorders>
            <w:noWrap w:val="0"/>
            <w:vAlign w:val="center"/>
          </w:tcPr>
          <w:p w14:paraId="46A82960">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GB6995-2008</w:t>
            </w:r>
          </w:p>
        </w:tc>
        <w:tc>
          <w:tcPr>
            <w:tcW w:w="6743" w:type="dxa"/>
            <w:tcBorders>
              <w:top w:val="single" w:color="000000" w:sz="6" w:space="0"/>
              <w:left w:val="single" w:color="000000" w:sz="6" w:space="0"/>
              <w:bottom w:val="single" w:color="000000" w:sz="6" w:space="0"/>
              <w:right w:val="single" w:color="000000" w:sz="4" w:space="0"/>
            </w:tcBorders>
            <w:noWrap w:val="0"/>
            <w:vAlign w:val="top"/>
          </w:tcPr>
          <w:p w14:paraId="2D968CF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电线电缆识别标志</w:t>
            </w:r>
          </w:p>
        </w:tc>
      </w:tr>
      <w:tr w14:paraId="5ED43869">
        <w:tblPrEx>
          <w:tblCellMar>
            <w:top w:w="0" w:type="dxa"/>
            <w:left w:w="108" w:type="dxa"/>
            <w:bottom w:w="0" w:type="dxa"/>
            <w:right w:w="108" w:type="dxa"/>
          </w:tblCellMar>
        </w:tblPrEx>
        <w:trPr>
          <w:jc w:val="center"/>
        </w:trPr>
        <w:tc>
          <w:tcPr>
            <w:tcW w:w="2223" w:type="dxa"/>
            <w:tcBorders>
              <w:top w:val="single" w:color="000000" w:sz="6" w:space="0"/>
              <w:left w:val="single" w:color="000000" w:sz="4" w:space="0"/>
              <w:bottom w:val="single" w:color="000000" w:sz="4" w:space="0"/>
              <w:right w:val="single" w:color="000000" w:sz="6" w:space="0"/>
            </w:tcBorders>
            <w:noWrap w:val="0"/>
            <w:vAlign w:val="center"/>
          </w:tcPr>
          <w:p w14:paraId="487A85A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GB/T18380.1-2001</w:t>
            </w:r>
          </w:p>
        </w:tc>
        <w:tc>
          <w:tcPr>
            <w:tcW w:w="6743" w:type="dxa"/>
            <w:tcBorders>
              <w:top w:val="single" w:color="000000" w:sz="6" w:space="0"/>
              <w:left w:val="single" w:color="000000" w:sz="6" w:space="0"/>
              <w:bottom w:val="single" w:color="000000" w:sz="4" w:space="0"/>
              <w:right w:val="single" w:color="000000" w:sz="4" w:space="0"/>
            </w:tcBorders>
            <w:noWrap w:val="0"/>
            <w:vAlign w:val="top"/>
          </w:tcPr>
          <w:p w14:paraId="38936E0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电缆在火焰条件下燃烧试验  </w:t>
            </w:r>
          </w:p>
          <w:p w14:paraId="026CEFC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第1部分： 单根绝缘电线或电缆的垂直燃烧试验方法 </w:t>
            </w:r>
          </w:p>
        </w:tc>
      </w:tr>
    </w:tbl>
    <w:p w14:paraId="274D2B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本技术规范未规定的其它技术要求应不劣于中国国家标准的要求。</w:t>
      </w:r>
    </w:p>
    <w:p w14:paraId="1EF3AF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本技术规范书未标明日期的中国国家标准均使用最新版本（截至到发标日）。 </w:t>
      </w:r>
    </w:p>
    <w:p w14:paraId="6AD906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投标方至少应提供包括以下内容的技术文件：</w:t>
      </w:r>
    </w:p>
    <w:p w14:paraId="38367D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投标产品制造厂家的名称和投标产品制造地点。</w:t>
      </w:r>
    </w:p>
    <w:p w14:paraId="2840E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投标产品的技术标准、生产工艺、制造方法、检测设备及质量保证措施。</w:t>
      </w:r>
    </w:p>
    <w:p w14:paraId="0B32D4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各种规格的结构尺寸及误差范围，包括截面图及各部分的详细尺寸。</w:t>
      </w:r>
    </w:p>
    <w:p w14:paraId="4F6457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投标产品所用主要原材料（包括但不限于内外护套、铜芯）的技术标准、生产厂家、产地。必须报出针对本次入围选型所采用的原材料，不可同时列出两种同类材料或不同产地待选。</w:t>
      </w:r>
    </w:p>
    <w:p w14:paraId="318126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投标产品的电性能指标。</w:t>
      </w:r>
    </w:p>
    <w:p w14:paraId="015091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投标产品气候及机械耐久性能。</w:t>
      </w:r>
    </w:p>
    <w:p w14:paraId="23087D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投标产品使用寿命，投标方应说明保证投标产品寿命的有关技术措施。</w:t>
      </w:r>
    </w:p>
    <w:p w14:paraId="2A306B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权威机构鉴定测试报告。</w:t>
      </w:r>
    </w:p>
    <w:p w14:paraId="12B153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投标产品必须参与由</w:t>
      </w:r>
      <w:r>
        <w:rPr>
          <w:rFonts w:hint="eastAsia" w:ascii="仿宋" w:hAnsi="仿宋" w:eastAsia="仿宋" w:cs="仿宋"/>
          <w:color w:val="auto"/>
          <w:sz w:val="24"/>
          <w:lang w:val="en-US" w:eastAsia="zh-CN"/>
        </w:rPr>
        <w:t>采购人</w:t>
      </w:r>
      <w:r>
        <w:rPr>
          <w:rFonts w:hint="eastAsia" w:ascii="仿宋" w:hAnsi="仿宋" w:eastAsia="仿宋" w:cs="仿宋"/>
          <w:color w:val="auto"/>
          <w:sz w:val="24"/>
        </w:rPr>
        <w:t>组织的测试检验。</w:t>
      </w:r>
    </w:p>
    <w:p w14:paraId="676B26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投标方需要说明的其它事宜。</w:t>
      </w:r>
    </w:p>
    <w:p w14:paraId="5C4E20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VV22铠装电源线描述：</w:t>
      </w:r>
    </w:p>
    <w:p w14:paraId="10901B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结构图</w:t>
      </w:r>
    </w:p>
    <w:p w14:paraId="17AA3F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  0.6/1kv ，二芯铠装电力电缆</w:t>
      </w:r>
    </w:p>
    <w:p w14:paraId="1CC55B19">
      <w:pPr>
        <w:adjustRightInd/>
        <w:rPr>
          <w:rFonts w:ascii="宋体" w:hAnsi="宋体" w:cs="Times New Roman"/>
          <w:color w:val="auto"/>
          <w:sz w:val="24"/>
        </w:rPr>
      </w:pPr>
      <w:r>
        <w:rPr>
          <w:rFonts w:ascii="宋体" w:hAnsi="宋体" w:cs="Times New Roman"/>
          <w:color w:val="auto"/>
          <w:sz w:val="24"/>
        </w:rPr>
        <w:drawing>
          <wp:inline distT="0" distB="0" distL="114300" distR="114300">
            <wp:extent cx="3839845" cy="1097280"/>
            <wp:effectExtent l="0" t="0" r="8255" b="762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4"/>
                    <a:stretch>
                      <a:fillRect/>
                    </a:stretch>
                  </pic:blipFill>
                  <pic:spPr>
                    <a:xfrm>
                      <a:off x="0" y="0"/>
                      <a:ext cx="3839845" cy="1097280"/>
                    </a:xfrm>
                    <a:prstGeom prst="rect">
                      <a:avLst/>
                    </a:prstGeom>
                    <a:noFill/>
                    <a:ln>
                      <a:noFill/>
                    </a:ln>
                  </pic:spPr>
                </pic:pic>
              </a:graphicData>
            </a:graphic>
          </wp:inline>
        </w:drawing>
      </w:r>
      <w:r>
        <w:rPr>
          <w:rFonts w:hint="eastAsia" w:ascii="宋体" w:hAnsi="宋体" w:cs="Times New Roman"/>
          <w:color w:val="auto"/>
          <w:sz w:val="24"/>
        </w:rPr>
        <w:t xml:space="preserve"> </w:t>
      </w:r>
    </w:p>
    <w:p w14:paraId="030EA48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主要用材信息：</w:t>
      </w:r>
    </w:p>
    <w:tbl>
      <w:tblPr>
        <w:tblStyle w:val="61"/>
        <w:tblW w:w="9087" w:type="dxa"/>
        <w:tblInd w:w="20" w:type="dxa"/>
        <w:tblLayout w:type="fixed"/>
        <w:tblCellMar>
          <w:top w:w="0" w:type="dxa"/>
          <w:left w:w="0" w:type="dxa"/>
          <w:bottom w:w="0" w:type="dxa"/>
          <w:right w:w="0" w:type="dxa"/>
        </w:tblCellMar>
      </w:tblPr>
      <w:tblGrid>
        <w:gridCol w:w="1136"/>
        <w:gridCol w:w="2794"/>
        <w:gridCol w:w="1135"/>
        <w:gridCol w:w="4022"/>
      </w:tblGrid>
      <w:tr w14:paraId="772F9A46">
        <w:tblPrEx>
          <w:tblCellMar>
            <w:top w:w="0" w:type="dxa"/>
            <w:left w:w="0" w:type="dxa"/>
            <w:bottom w:w="0" w:type="dxa"/>
            <w:right w:w="0" w:type="dxa"/>
          </w:tblCellMar>
        </w:tblPrEx>
        <w:trPr>
          <w:trHeight w:val="315" w:hRule="atLeast"/>
        </w:trPr>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9C937">
            <w:pPr>
              <w:adjustRightInd/>
              <w:spacing w:line="400" w:lineRule="exact"/>
              <w:rPr>
                <w:rFonts w:hint="eastAsia" w:ascii="仿宋" w:hAnsi="仿宋" w:eastAsia="仿宋" w:cs="仿宋"/>
                <w:bCs/>
                <w:color w:val="auto"/>
                <w:sz w:val="24"/>
                <w:szCs w:val="24"/>
              </w:rPr>
            </w:pPr>
            <w:r>
              <w:rPr>
                <w:rFonts w:hint="eastAsia" w:ascii="仿宋" w:hAnsi="仿宋" w:eastAsia="仿宋" w:cs="仿宋"/>
                <w:color w:val="auto"/>
                <w:sz w:val="24"/>
                <w:szCs w:val="24"/>
              </w:rPr>
              <w:t>导体</w:t>
            </w:r>
          </w:p>
        </w:tc>
        <w:tc>
          <w:tcPr>
            <w:tcW w:w="279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ED0968F">
            <w:pPr>
              <w:adjustRightInd/>
              <w:spacing w:line="400" w:lineRule="exact"/>
              <w:rPr>
                <w:rFonts w:hint="eastAsia" w:ascii="仿宋" w:hAnsi="仿宋" w:eastAsia="仿宋" w:cs="仿宋"/>
                <w:bCs/>
                <w:color w:val="auto"/>
                <w:sz w:val="24"/>
                <w:szCs w:val="24"/>
              </w:rPr>
            </w:pPr>
            <w:r>
              <w:rPr>
                <w:rFonts w:hint="eastAsia" w:ascii="仿宋" w:hAnsi="仿宋" w:eastAsia="仿宋" w:cs="仿宋"/>
                <w:color w:val="auto"/>
                <w:sz w:val="24"/>
                <w:szCs w:val="24"/>
              </w:rPr>
              <w:t>电工铜</w:t>
            </w:r>
          </w:p>
        </w:tc>
        <w:tc>
          <w:tcPr>
            <w:tcW w:w="11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4F71268">
            <w:pPr>
              <w:adjustRightInd/>
              <w:spacing w:line="400" w:lineRule="exact"/>
              <w:rPr>
                <w:rFonts w:hint="eastAsia" w:ascii="仿宋" w:hAnsi="仿宋" w:eastAsia="仿宋" w:cs="仿宋"/>
                <w:bCs/>
                <w:color w:val="auto"/>
                <w:sz w:val="24"/>
                <w:szCs w:val="24"/>
              </w:rPr>
            </w:pPr>
            <w:r>
              <w:rPr>
                <w:rFonts w:hint="eastAsia" w:ascii="仿宋" w:hAnsi="仿宋" w:eastAsia="仿宋" w:cs="仿宋"/>
                <w:color w:val="auto"/>
                <w:sz w:val="24"/>
                <w:szCs w:val="24"/>
              </w:rPr>
              <w:t>外护套</w:t>
            </w:r>
          </w:p>
        </w:tc>
        <w:tc>
          <w:tcPr>
            <w:tcW w:w="402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17A005A">
            <w:pPr>
              <w:adjustRightInd/>
              <w:spacing w:line="400" w:lineRule="exact"/>
              <w:rPr>
                <w:rFonts w:hint="eastAsia" w:ascii="仿宋" w:hAnsi="仿宋" w:eastAsia="仿宋" w:cs="仿宋"/>
                <w:bCs/>
                <w:color w:val="auto"/>
                <w:sz w:val="24"/>
                <w:szCs w:val="24"/>
              </w:rPr>
            </w:pPr>
            <w:r>
              <w:rPr>
                <w:rFonts w:hint="eastAsia" w:ascii="仿宋" w:hAnsi="仿宋" w:eastAsia="仿宋" w:cs="仿宋"/>
                <w:color w:val="auto"/>
                <w:sz w:val="24"/>
                <w:szCs w:val="24"/>
              </w:rPr>
              <w:t>聚氯乙烯</w:t>
            </w:r>
          </w:p>
        </w:tc>
      </w:tr>
      <w:tr w14:paraId="74B72088">
        <w:tblPrEx>
          <w:tblCellMar>
            <w:top w:w="0" w:type="dxa"/>
            <w:left w:w="0" w:type="dxa"/>
            <w:bottom w:w="0" w:type="dxa"/>
            <w:right w:w="0" w:type="dxa"/>
          </w:tblCellMar>
        </w:tblPrEx>
        <w:trPr>
          <w:trHeight w:val="315" w:hRule="atLeast"/>
        </w:trPr>
        <w:tc>
          <w:tcPr>
            <w:tcW w:w="11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0A3518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绝缘</w:t>
            </w:r>
          </w:p>
        </w:tc>
        <w:tc>
          <w:tcPr>
            <w:tcW w:w="2794" w:type="dxa"/>
            <w:tcBorders>
              <w:top w:val="nil"/>
              <w:left w:val="nil"/>
              <w:bottom w:val="single" w:color="000000" w:sz="4" w:space="0"/>
              <w:right w:val="single" w:color="000000" w:sz="4" w:space="0"/>
            </w:tcBorders>
            <w:noWrap w:val="0"/>
            <w:tcMar>
              <w:top w:w="15" w:type="dxa"/>
              <w:left w:w="15" w:type="dxa"/>
              <w:right w:w="15" w:type="dxa"/>
            </w:tcMar>
            <w:vAlign w:val="center"/>
          </w:tcPr>
          <w:p w14:paraId="03B6B24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w:t>
            </w:r>
          </w:p>
        </w:tc>
        <w:tc>
          <w:tcPr>
            <w:tcW w:w="1135" w:type="dxa"/>
            <w:tcBorders>
              <w:top w:val="nil"/>
              <w:left w:val="nil"/>
              <w:bottom w:val="single" w:color="000000" w:sz="4" w:space="0"/>
              <w:right w:val="single" w:color="000000" w:sz="4" w:space="0"/>
            </w:tcBorders>
            <w:noWrap w:val="0"/>
            <w:tcMar>
              <w:top w:w="15" w:type="dxa"/>
              <w:left w:w="15" w:type="dxa"/>
              <w:right w:w="15" w:type="dxa"/>
            </w:tcMar>
            <w:vAlign w:val="center"/>
          </w:tcPr>
          <w:p w14:paraId="1E8FF0C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钢带铠装</w:t>
            </w:r>
          </w:p>
        </w:tc>
        <w:tc>
          <w:tcPr>
            <w:tcW w:w="4022" w:type="dxa"/>
            <w:tcBorders>
              <w:top w:val="nil"/>
              <w:left w:val="nil"/>
              <w:bottom w:val="single" w:color="000000" w:sz="4" w:space="0"/>
              <w:right w:val="single" w:color="000000" w:sz="4" w:space="0"/>
            </w:tcBorders>
            <w:noWrap w:val="0"/>
            <w:tcMar>
              <w:top w:w="15" w:type="dxa"/>
              <w:left w:w="15" w:type="dxa"/>
              <w:right w:w="15" w:type="dxa"/>
            </w:tcMar>
            <w:vAlign w:val="center"/>
          </w:tcPr>
          <w:p w14:paraId="61E9CA3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镀锌钢带</w:t>
            </w:r>
          </w:p>
        </w:tc>
      </w:tr>
    </w:tbl>
    <w:p w14:paraId="5B09C5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外护套标志要求及包装</w:t>
      </w:r>
    </w:p>
    <w:p w14:paraId="7DF76E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电缆妥善包装在符合JB/T8137-1999规定要求的电缆盘上交货。电缆端头可靠密封，伸出盘外的电缆端头加保护罩，伸出的长度不小于300mm。</w:t>
      </w:r>
    </w:p>
    <w:p w14:paraId="2DA4CF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电缆外护套上应印出以下中文标识：需印有用户指定标志(如有特殊需求，会在订单上说明)</w:t>
      </w:r>
    </w:p>
    <w:p w14:paraId="251F40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制造厂名或商标；</w:t>
      </w:r>
    </w:p>
    <w:p w14:paraId="7BE357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电缆型号及规格；</w:t>
      </w:r>
    </w:p>
    <w:p w14:paraId="5F01A8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长度，m；</w:t>
      </w:r>
    </w:p>
    <w:p w14:paraId="33C134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毛重，kg；</w:t>
      </w:r>
    </w:p>
    <w:p w14:paraId="2DD99C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制造日期： 年  月；</w:t>
      </w:r>
    </w:p>
    <w:p w14:paraId="6D84DC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表示电缆盘正确滚动方向的符号；</w:t>
      </w:r>
    </w:p>
    <w:p w14:paraId="50983C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标准编号</w:t>
      </w:r>
    </w:p>
    <w:p w14:paraId="14224B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运输和保管应符合下列要求：</w:t>
      </w:r>
    </w:p>
    <w:p w14:paraId="7C940F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电缆应避免露天存放，电缆盘不允许平放</w:t>
      </w:r>
    </w:p>
    <w:p w14:paraId="34C0E6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运输中严禁从高处扔下装有电缆的电缆盘，严禁机械损伤电缆；</w:t>
      </w:r>
    </w:p>
    <w:p w14:paraId="3B0C40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吊装包装件时，严禁几盘同时吊装。在车辆、船舶等运输工具上，电缆盘必须放稳，并用合适方法固定，防止互撞或翻倒。</w:t>
      </w:r>
    </w:p>
    <w:p w14:paraId="432F18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VV22铠装电源线技术要求</w:t>
      </w:r>
    </w:p>
    <w:p w14:paraId="34FEBF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导体</w:t>
      </w:r>
    </w:p>
    <w:p w14:paraId="4D60C4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导体结构、性能及外观符合GB/T3956-2008的规定。</w:t>
      </w:r>
    </w:p>
    <w:p w14:paraId="2635E8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导体表面光洁、无油污、无损伤绝缘的毛刺、锐边以及凸起或断裂的单线。</w:t>
      </w:r>
    </w:p>
    <w:p w14:paraId="62625D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绝缘</w:t>
      </w:r>
    </w:p>
    <w:p w14:paraId="3220E0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 绝缘紧密挤包在导体上，且容易剥离而不损伤导体。绝缘表面平整，色泽均匀。绝缘层的横断面上无目力可见的气泡和砂眼等缺陷。</w:t>
      </w:r>
    </w:p>
    <w:p w14:paraId="0CD8D9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 绝缘采用PVC/A型聚氯乙烯混和物，绝缘的最薄点厚度不小于标称值的90%-0.1mm。</w:t>
      </w:r>
    </w:p>
    <w:p w14:paraId="570B2B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额定电压0.6/1kV的聚氯乙烯绝缘钢带铠装聚氯乙烯护套电力电缆的绝缘标称厚度(VV)</w:t>
      </w:r>
    </w:p>
    <w:p w14:paraId="5DF78F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绝缘线芯采用颜色识别，分色规则符合GB6995-2008的规定。</w:t>
      </w:r>
    </w:p>
    <w:p w14:paraId="0A1596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缆芯、填充及内衬层</w:t>
      </w:r>
    </w:p>
    <w:p w14:paraId="426397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电缆绝缘线芯成缆方向为右向。</w:t>
      </w:r>
    </w:p>
    <w:p w14:paraId="6C0A0F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电缆的缆芯中用非吸湿性材料填充。 </w:t>
      </w:r>
    </w:p>
    <w:p w14:paraId="7A7C26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VV22型电缆成缆线芯外绕包两层PVC黑带作为内衬层，其厚度符合GB/T12706.1-2008的规定。</w:t>
      </w:r>
    </w:p>
    <w:p w14:paraId="68868A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铠装</w:t>
      </w:r>
    </w:p>
    <w:p w14:paraId="7FA432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单芯电缆采用双层不锈钢带铠装，多芯电缆铠装采用双层镀锌钢带铠装。</w:t>
      </w:r>
    </w:p>
    <w:p w14:paraId="2879BC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钢带螺旋式绕包，绕包间隔不超过钢带宽度的50%。</w:t>
      </w:r>
    </w:p>
    <w:p w14:paraId="1A038D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钢带厚度符合GB/T12706.1-2008的规定，钢带绕包圆整光滑。</w:t>
      </w:r>
    </w:p>
    <w:p w14:paraId="4FF681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外护套</w:t>
      </w:r>
    </w:p>
    <w:p w14:paraId="404B46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电缆外护套紧密挤包在成缆线芯或铠装层上，护套表面光洁，色泽均匀。</w:t>
      </w:r>
    </w:p>
    <w:p w14:paraId="1CC5B8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电缆外护套材料采用PVC/ST1聚氯乙烯混和物；护套厚度符合GB/T12706.1-2008的规定，铠装电缆护套上任一处最小厚度不小于标称值的80%-0.2mm，非铠装电缆护套上任一处最小厚度不小于标称值的85%-0.1mm。</w:t>
      </w:r>
    </w:p>
    <w:p w14:paraId="323315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VV电缆结构描述</w:t>
      </w:r>
    </w:p>
    <w:p w14:paraId="1B0A3A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名称</w:t>
      </w:r>
    </w:p>
    <w:p w14:paraId="434101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铜芯聚氯乙烯绝缘聚氯乙烯护套电力电缆</w:t>
      </w:r>
    </w:p>
    <w:p w14:paraId="0443CC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结构图</w:t>
      </w:r>
    </w:p>
    <w:p w14:paraId="7D4DAF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drawing>
          <wp:inline distT="0" distB="0" distL="114300" distR="114300">
            <wp:extent cx="4573905" cy="2011045"/>
            <wp:effectExtent l="0" t="0" r="17145" b="825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5"/>
                    <a:stretch>
                      <a:fillRect/>
                    </a:stretch>
                  </pic:blipFill>
                  <pic:spPr>
                    <a:xfrm>
                      <a:off x="0" y="0"/>
                      <a:ext cx="4573905" cy="2011045"/>
                    </a:xfrm>
                    <a:prstGeom prst="rect">
                      <a:avLst/>
                    </a:prstGeom>
                    <a:noFill/>
                    <a:ln>
                      <a:noFill/>
                    </a:ln>
                  </pic:spPr>
                </pic:pic>
              </a:graphicData>
            </a:graphic>
          </wp:inline>
        </w:drawing>
      </w:r>
    </w:p>
    <w:p w14:paraId="3ADDEA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外护套标志要求</w:t>
      </w:r>
    </w:p>
    <w:p w14:paraId="59A905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需印有用户指定标志(如有特殊需求，会在订单上说明)</w:t>
      </w:r>
    </w:p>
    <w:p w14:paraId="30CEF5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制造厂名或商标；</w:t>
      </w:r>
    </w:p>
    <w:p w14:paraId="6D2581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电缆型号及规格；</w:t>
      </w:r>
    </w:p>
    <w:p w14:paraId="42ADA0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长度，m；</w:t>
      </w:r>
    </w:p>
    <w:p w14:paraId="1D580F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制造日期： 年  月；</w:t>
      </w:r>
    </w:p>
    <w:p w14:paraId="07634F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技术要求</w:t>
      </w:r>
    </w:p>
    <w:p w14:paraId="42A1C2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导体</w:t>
      </w:r>
    </w:p>
    <w:p w14:paraId="195799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导体应符合GB/T3956-2008中第1种导体规定的要求。</w:t>
      </w:r>
    </w:p>
    <w:p w14:paraId="063DEE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绝缘</w:t>
      </w:r>
    </w:p>
    <w:p w14:paraId="4DCB39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sz w:val="24"/>
        </w:rPr>
        <w:t>挤包在每芯导体上的绝缘应是PVC/D型聚氯乙烯混合物。</w:t>
      </w:r>
    </w:p>
    <w:p w14:paraId="2AE060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内衬层</w:t>
      </w:r>
    </w:p>
    <w:p w14:paraId="7790A3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内衬层可以采用挤包。所用材料应适合电缆的运行温度并和电缆绝缘材料相容。</w:t>
      </w:r>
    </w:p>
    <w:p w14:paraId="78DFEA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护套</w:t>
      </w:r>
    </w:p>
    <w:p w14:paraId="4578F9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护套为黑色热塑性聚氯乙烯材料。</w:t>
      </w:r>
    </w:p>
    <w:p w14:paraId="1989FB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bookmarkStart w:id="73" w:name="_Toc496021914"/>
      <w:r>
        <w:rPr>
          <w:rFonts w:hint="eastAsia" w:ascii="仿宋" w:hAnsi="仿宋" w:eastAsia="仿宋" w:cs="仿宋"/>
          <w:color w:val="auto"/>
          <w:sz w:val="24"/>
        </w:rPr>
        <w:t>其他要求</w:t>
      </w:r>
      <w:bookmarkEnd w:id="73"/>
    </w:p>
    <w:p w14:paraId="667555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成品电缆</w:t>
      </w:r>
    </w:p>
    <w:p w14:paraId="140014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成品电缆的机械物理性能等技术指标符合表1的规定。</w:t>
      </w:r>
    </w:p>
    <w:p w14:paraId="339F9E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成品电缆经受3500V交流电压，时间5min的试验而不击穿。</w:t>
      </w:r>
    </w:p>
    <w:p w14:paraId="2FD4D7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电缆的绝缘电阻常数：20℃时，不小于36.7MΩ·km；70℃时，不小于0.037MΩ·km。</w:t>
      </w:r>
    </w:p>
    <w:p w14:paraId="1D942C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电缆导体20℃时直流电阻符合GB/T3956-2008的规定。</w:t>
      </w:r>
    </w:p>
    <w:p w14:paraId="6932C5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成品电缆的不圆度不大于10%。</w:t>
      </w:r>
    </w:p>
    <w:p w14:paraId="70995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成品电缆的外护套能通过GB/T18380.1-2001的不延燃试验。</w:t>
      </w:r>
    </w:p>
    <w:p w14:paraId="0A77B3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成品电缆表面连续印有电缆型号、电压、厂名、尺码等标志。标志字迹清楚，容易辨认、耐擦，并符合GB6995.3-2008规定。</w:t>
      </w:r>
    </w:p>
    <w:p w14:paraId="23AD85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表1  额定电压0.6/1KV聚氯乙烯绝缘钢带铠装聚氯乙烯护套电力电缆(VV22)主要性能指标</w:t>
      </w:r>
    </w:p>
    <w:tbl>
      <w:tblPr>
        <w:tblStyle w:val="61"/>
        <w:tblW w:w="0" w:type="auto"/>
        <w:jc w:val="center"/>
        <w:tblLayout w:type="fixed"/>
        <w:tblCellMar>
          <w:top w:w="0" w:type="dxa"/>
          <w:left w:w="108" w:type="dxa"/>
          <w:bottom w:w="0" w:type="dxa"/>
          <w:right w:w="108" w:type="dxa"/>
        </w:tblCellMar>
      </w:tblPr>
      <w:tblGrid>
        <w:gridCol w:w="734"/>
        <w:gridCol w:w="735"/>
        <w:gridCol w:w="919"/>
        <w:gridCol w:w="78"/>
        <w:gridCol w:w="2494"/>
        <w:gridCol w:w="1152"/>
        <w:gridCol w:w="2861"/>
      </w:tblGrid>
      <w:tr w14:paraId="6C261671">
        <w:tblPrEx>
          <w:tblCellMar>
            <w:top w:w="0" w:type="dxa"/>
            <w:left w:w="108" w:type="dxa"/>
            <w:bottom w:w="0" w:type="dxa"/>
            <w:right w:w="108" w:type="dxa"/>
          </w:tblCellMar>
        </w:tblPrEx>
        <w:trPr>
          <w:trHeight w:val="368" w:hRule="atLeast"/>
          <w:jc w:val="center"/>
        </w:trPr>
        <w:tc>
          <w:tcPr>
            <w:tcW w:w="734" w:type="dxa"/>
            <w:tcBorders>
              <w:top w:val="single" w:color="000000" w:sz="4" w:space="0"/>
              <w:left w:val="single" w:color="000000" w:sz="4" w:space="0"/>
              <w:bottom w:val="single" w:color="000000" w:sz="6" w:space="0"/>
              <w:right w:val="single" w:color="000000" w:sz="6" w:space="0"/>
            </w:tcBorders>
            <w:noWrap w:val="0"/>
            <w:vAlign w:val="center"/>
          </w:tcPr>
          <w:p w14:paraId="72BF8BF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4226" w:type="dxa"/>
            <w:gridSpan w:val="4"/>
            <w:tcBorders>
              <w:top w:val="single" w:color="000000" w:sz="4" w:space="0"/>
              <w:left w:val="single" w:color="000000" w:sz="6" w:space="0"/>
              <w:bottom w:val="single" w:color="000000" w:sz="6" w:space="0"/>
              <w:right w:val="single" w:color="000000" w:sz="6" w:space="0"/>
            </w:tcBorders>
            <w:noWrap w:val="0"/>
            <w:vAlign w:val="center"/>
          </w:tcPr>
          <w:p w14:paraId="0CEFE775">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      目</w:t>
            </w:r>
          </w:p>
        </w:tc>
        <w:tc>
          <w:tcPr>
            <w:tcW w:w="1152" w:type="dxa"/>
            <w:tcBorders>
              <w:top w:val="single" w:color="000000" w:sz="4" w:space="0"/>
              <w:left w:val="single" w:color="000000" w:sz="6" w:space="0"/>
              <w:bottom w:val="single" w:color="000000" w:sz="6" w:space="0"/>
              <w:right w:val="single" w:color="000000" w:sz="6" w:space="0"/>
            </w:tcBorders>
            <w:noWrap w:val="0"/>
            <w:vAlign w:val="center"/>
          </w:tcPr>
          <w:p w14:paraId="258168D9">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单  位</w:t>
            </w:r>
          </w:p>
        </w:tc>
        <w:tc>
          <w:tcPr>
            <w:tcW w:w="2861" w:type="dxa"/>
            <w:tcBorders>
              <w:top w:val="single" w:color="000000" w:sz="4" w:space="0"/>
              <w:left w:val="single" w:color="000000" w:sz="6" w:space="0"/>
              <w:bottom w:val="single" w:color="000000" w:sz="6" w:space="0"/>
              <w:right w:val="single" w:color="000000" w:sz="4" w:space="0"/>
            </w:tcBorders>
            <w:noWrap w:val="0"/>
            <w:vAlign w:val="center"/>
          </w:tcPr>
          <w:p w14:paraId="0BC17791">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技术指标</w:t>
            </w:r>
          </w:p>
        </w:tc>
      </w:tr>
      <w:tr w14:paraId="1BB963B8">
        <w:tblPrEx>
          <w:tblCellMar>
            <w:top w:w="0" w:type="dxa"/>
            <w:left w:w="108" w:type="dxa"/>
            <w:bottom w:w="0" w:type="dxa"/>
            <w:right w:w="108" w:type="dxa"/>
          </w:tblCellMar>
        </w:tblPrEx>
        <w:trPr>
          <w:trHeight w:val="368" w:hRule="atLeast"/>
          <w:jc w:val="center"/>
        </w:trPr>
        <w:tc>
          <w:tcPr>
            <w:tcW w:w="734" w:type="dxa"/>
            <w:tcBorders>
              <w:top w:val="single" w:color="000000" w:sz="6" w:space="0"/>
              <w:left w:val="single" w:color="000000" w:sz="4" w:space="0"/>
              <w:bottom w:val="single" w:color="000000" w:sz="6" w:space="0"/>
              <w:right w:val="single" w:color="000000" w:sz="6" w:space="0"/>
            </w:tcBorders>
            <w:noWrap w:val="0"/>
            <w:vAlign w:val="center"/>
          </w:tcPr>
          <w:p w14:paraId="59D72666">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3C9DD99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导体直流电阻(20℃)</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2D83D8D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Ω/km</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5F5E2CE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符合GB/T3956-2008规定</w:t>
            </w:r>
          </w:p>
        </w:tc>
      </w:tr>
      <w:tr w14:paraId="234CB941">
        <w:tblPrEx>
          <w:tblCellMar>
            <w:top w:w="0" w:type="dxa"/>
            <w:left w:w="108" w:type="dxa"/>
            <w:bottom w:w="0" w:type="dxa"/>
            <w:right w:w="108" w:type="dxa"/>
          </w:tblCellMar>
        </w:tblPrEx>
        <w:trPr>
          <w:trHeight w:val="368" w:hRule="atLeast"/>
          <w:jc w:val="center"/>
        </w:trPr>
        <w:tc>
          <w:tcPr>
            <w:tcW w:w="734" w:type="dxa"/>
            <w:tcBorders>
              <w:top w:val="single" w:color="000000" w:sz="6" w:space="0"/>
              <w:left w:val="single" w:color="000000" w:sz="4" w:space="0"/>
              <w:bottom w:val="single" w:color="000000" w:sz="6" w:space="0"/>
              <w:right w:val="single" w:color="000000" w:sz="6" w:space="0"/>
            </w:tcBorders>
            <w:noWrap w:val="0"/>
            <w:vAlign w:val="center"/>
          </w:tcPr>
          <w:p w14:paraId="22A87EC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307C08D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交流电压试验</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627E2855">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kV/min</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0D8FAD40">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3.5/5,  不击穿</w:t>
            </w:r>
          </w:p>
        </w:tc>
      </w:tr>
      <w:tr w14:paraId="2F82F0F1">
        <w:tblPrEx>
          <w:tblCellMar>
            <w:top w:w="0" w:type="dxa"/>
            <w:left w:w="108" w:type="dxa"/>
            <w:bottom w:w="0" w:type="dxa"/>
            <w:right w:w="108" w:type="dxa"/>
          </w:tblCellMar>
        </w:tblPrEx>
        <w:trPr>
          <w:trHeight w:val="368" w:hRule="atLeast"/>
          <w:jc w:val="center"/>
        </w:trPr>
        <w:tc>
          <w:tcPr>
            <w:tcW w:w="734" w:type="dxa"/>
            <w:tcBorders>
              <w:top w:val="single" w:color="000000" w:sz="6" w:space="0"/>
              <w:left w:val="single" w:color="000000" w:sz="4" w:space="0"/>
              <w:bottom w:val="single" w:color="000000" w:sz="6" w:space="0"/>
              <w:right w:val="single" w:color="000000" w:sz="6" w:space="0"/>
            </w:tcBorders>
            <w:noWrap w:val="0"/>
            <w:vAlign w:val="center"/>
          </w:tcPr>
          <w:p w14:paraId="63018420">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24C104F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4小时交流电压试验(4U</w:t>
            </w:r>
            <w:r>
              <w:rPr>
                <w:rFonts w:hint="eastAsia" w:ascii="仿宋" w:hAnsi="仿宋" w:eastAsia="仿宋" w:cs="仿宋"/>
                <w:color w:val="auto"/>
                <w:sz w:val="24"/>
                <w:szCs w:val="24"/>
                <w:vertAlign w:val="subscript"/>
              </w:rPr>
              <w:t>0</w:t>
            </w:r>
            <w:r>
              <w:rPr>
                <w:rFonts w:hint="eastAsia" w:ascii="仿宋" w:hAnsi="仿宋" w:eastAsia="仿宋" w:cs="仿宋"/>
                <w:color w:val="auto"/>
                <w:sz w:val="24"/>
                <w:szCs w:val="24"/>
              </w:rPr>
              <w:t>）</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3630767F">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kV</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63BAB85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2.4,  不击穿</w:t>
            </w:r>
          </w:p>
        </w:tc>
      </w:tr>
      <w:tr w14:paraId="72E3B2F0">
        <w:tblPrEx>
          <w:tblCellMar>
            <w:top w:w="0" w:type="dxa"/>
            <w:left w:w="108" w:type="dxa"/>
            <w:bottom w:w="0" w:type="dxa"/>
            <w:right w:w="108" w:type="dxa"/>
          </w:tblCellMar>
        </w:tblPrEx>
        <w:trPr>
          <w:trHeight w:val="368" w:hRule="atLeast"/>
          <w:jc w:val="center"/>
        </w:trPr>
        <w:tc>
          <w:tcPr>
            <w:tcW w:w="734" w:type="dxa"/>
            <w:tcBorders>
              <w:top w:val="single" w:color="000000" w:sz="6" w:space="0"/>
              <w:left w:val="single" w:color="000000" w:sz="4" w:space="0"/>
              <w:bottom w:val="single" w:color="000000" w:sz="6" w:space="0"/>
              <w:right w:val="single" w:color="000000" w:sz="6" w:space="0"/>
            </w:tcBorders>
            <w:noWrap w:val="0"/>
            <w:vAlign w:val="center"/>
          </w:tcPr>
          <w:p w14:paraId="185A8222">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7BAC1E5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20℃绝缘电阻常数Ki</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0CCE64EF">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MΩ.km</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6B44E42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36.7</w:t>
            </w:r>
          </w:p>
        </w:tc>
      </w:tr>
      <w:tr w14:paraId="33170DD7">
        <w:tblPrEx>
          <w:tblCellMar>
            <w:top w:w="0" w:type="dxa"/>
            <w:left w:w="108" w:type="dxa"/>
            <w:bottom w:w="0" w:type="dxa"/>
            <w:right w:w="108" w:type="dxa"/>
          </w:tblCellMar>
        </w:tblPrEx>
        <w:trPr>
          <w:trHeight w:val="368" w:hRule="atLeast"/>
          <w:jc w:val="center"/>
        </w:trPr>
        <w:tc>
          <w:tcPr>
            <w:tcW w:w="734" w:type="dxa"/>
            <w:tcBorders>
              <w:top w:val="single" w:color="000000" w:sz="6" w:space="0"/>
              <w:left w:val="single" w:color="000000" w:sz="4" w:space="0"/>
              <w:bottom w:val="single" w:color="000000" w:sz="6" w:space="0"/>
              <w:right w:val="single" w:color="000000" w:sz="6" w:space="0"/>
            </w:tcBorders>
            <w:noWrap w:val="0"/>
            <w:vAlign w:val="center"/>
          </w:tcPr>
          <w:p w14:paraId="63A2F124">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3ECA976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70℃绝缘电阻常数Ki</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4156F33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MΩ.km</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49BDB29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0.037</w:t>
            </w:r>
          </w:p>
        </w:tc>
      </w:tr>
      <w:tr w14:paraId="4D4CBB5F">
        <w:tblPrEx>
          <w:tblCellMar>
            <w:top w:w="0" w:type="dxa"/>
            <w:left w:w="108" w:type="dxa"/>
            <w:bottom w:w="0" w:type="dxa"/>
            <w:right w:w="108" w:type="dxa"/>
          </w:tblCellMar>
        </w:tblPrEx>
        <w:trPr>
          <w:trHeight w:val="368" w:hRule="atLeast"/>
          <w:jc w:val="center"/>
        </w:trPr>
        <w:tc>
          <w:tcPr>
            <w:tcW w:w="734" w:type="dxa"/>
            <w:vMerge w:val="restart"/>
            <w:tcBorders>
              <w:top w:val="single" w:color="000000" w:sz="6" w:space="0"/>
              <w:left w:val="single" w:color="000000" w:sz="4" w:space="0"/>
              <w:bottom w:val="single" w:color="000000" w:sz="6" w:space="0"/>
              <w:right w:val="single" w:color="000000" w:sz="6" w:space="0"/>
            </w:tcBorders>
            <w:noWrap w:val="0"/>
            <w:vAlign w:val="center"/>
          </w:tcPr>
          <w:p w14:paraId="1DB3A396">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735" w:type="dxa"/>
            <w:vMerge w:val="restart"/>
            <w:tcBorders>
              <w:top w:val="single" w:color="000000" w:sz="6" w:space="0"/>
              <w:left w:val="single" w:color="000000" w:sz="6" w:space="0"/>
              <w:bottom w:val="single" w:color="000000" w:sz="6" w:space="0"/>
              <w:right w:val="single" w:color="000000" w:sz="6" w:space="0"/>
            </w:tcBorders>
            <w:noWrap w:val="0"/>
            <w:vAlign w:val="center"/>
          </w:tcPr>
          <w:p w14:paraId="30B4D3C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绝缘</w:t>
            </w:r>
          </w:p>
          <w:p w14:paraId="537640B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机械</w:t>
            </w:r>
          </w:p>
          <w:p w14:paraId="78C38CA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物理</w:t>
            </w:r>
          </w:p>
          <w:p w14:paraId="14D152B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性能</w:t>
            </w:r>
          </w:p>
        </w:tc>
        <w:tc>
          <w:tcPr>
            <w:tcW w:w="997" w:type="dxa"/>
            <w:gridSpan w:val="2"/>
            <w:vMerge w:val="restart"/>
            <w:tcBorders>
              <w:top w:val="single" w:color="000000" w:sz="6" w:space="0"/>
              <w:left w:val="single" w:color="000000" w:sz="6" w:space="0"/>
              <w:bottom w:val="single" w:color="000000" w:sz="6" w:space="0"/>
              <w:right w:val="single" w:color="000000" w:sz="6" w:space="0"/>
            </w:tcBorders>
            <w:noWrap w:val="0"/>
            <w:vAlign w:val="center"/>
          </w:tcPr>
          <w:p w14:paraId="1BA60ED0">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老化前</w:t>
            </w: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59CD790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抗张强度</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3D896D6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N/mm</w:t>
            </w:r>
            <w:r>
              <w:rPr>
                <w:rFonts w:hint="eastAsia" w:ascii="仿宋" w:hAnsi="仿宋" w:eastAsia="仿宋" w:cs="仿宋"/>
                <w:color w:val="auto"/>
                <w:sz w:val="24"/>
                <w:szCs w:val="24"/>
                <w:vertAlign w:val="superscript"/>
              </w:rPr>
              <w:t>2</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49E8A55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≥12.5</w:t>
            </w:r>
          </w:p>
        </w:tc>
      </w:tr>
      <w:tr w14:paraId="39B714CC">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1E2EEF87">
            <w:pPr>
              <w:adjustRightInd/>
              <w:spacing w:line="400" w:lineRule="exact"/>
              <w:jc w:val="center"/>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34084832">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13165076">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6A72DE4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断裂伸长率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64BE7F0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13BFD55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≥150</w:t>
            </w:r>
          </w:p>
        </w:tc>
      </w:tr>
      <w:tr w14:paraId="7D5F367F">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043825C7">
            <w:pPr>
              <w:adjustRightInd/>
              <w:spacing w:line="400" w:lineRule="exact"/>
              <w:jc w:val="center"/>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3248C9EF">
            <w:pPr>
              <w:adjustRightInd/>
              <w:spacing w:line="400" w:lineRule="exact"/>
              <w:rPr>
                <w:rFonts w:hint="eastAsia" w:ascii="仿宋" w:hAnsi="仿宋" w:eastAsia="仿宋" w:cs="仿宋"/>
                <w:color w:val="auto"/>
                <w:sz w:val="24"/>
                <w:szCs w:val="24"/>
              </w:rPr>
            </w:pPr>
          </w:p>
        </w:tc>
        <w:tc>
          <w:tcPr>
            <w:tcW w:w="997" w:type="dxa"/>
            <w:gridSpan w:val="2"/>
            <w:vMerge w:val="restart"/>
            <w:tcBorders>
              <w:top w:val="single" w:color="000000" w:sz="6" w:space="0"/>
              <w:left w:val="single" w:color="000000" w:sz="6" w:space="0"/>
              <w:bottom w:val="single" w:color="000000" w:sz="6" w:space="0"/>
              <w:right w:val="single" w:color="000000" w:sz="6" w:space="0"/>
            </w:tcBorders>
            <w:noWrap w:val="0"/>
            <w:vAlign w:val="center"/>
          </w:tcPr>
          <w:p w14:paraId="7303A0C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老化后</w:t>
            </w: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225B3970">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抗张强度</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4A181B4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N/mm</w:t>
            </w:r>
            <w:r>
              <w:rPr>
                <w:rFonts w:hint="eastAsia" w:ascii="仿宋" w:hAnsi="仿宋" w:eastAsia="仿宋" w:cs="仿宋"/>
                <w:color w:val="auto"/>
                <w:sz w:val="24"/>
                <w:szCs w:val="24"/>
                <w:vertAlign w:val="superscript"/>
              </w:rPr>
              <w:t>2</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16D62A7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≥12.5</w:t>
            </w:r>
          </w:p>
        </w:tc>
      </w:tr>
      <w:tr w14:paraId="3959A891">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6C54166D">
            <w:pPr>
              <w:adjustRightInd/>
              <w:spacing w:line="400" w:lineRule="exact"/>
              <w:jc w:val="center"/>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4391ADDD">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5EFF9B3C">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5FCA9B4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断裂伸长率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779B95B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13BFC4F0">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≥150</w:t>
            </w:r>
          </w:p>
        </w:tc>
      </w:tr>
      <w:tr w14:paraId="5084220B">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04EC5A6F">
            <w:pPr>
              <w:adjustRightInd/>
              <w:spacing w:line="400" w:lineRule="exact"/>
              <w:jc w:val="center"/>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1B893824">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560339FA">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704B385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抗张强度变化率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5D09C0E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2AD6829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≤±25</w:t>
            </w:r>
          </w:p>
        </w:tc>
      </w:tr>
      <w:tr w14:paraId="13097B13">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04A992F9">
            <w:pPr>
              <w:adjustRightInd/>
              <w:spacing w:line="400" w:lineRule="exact"/>
              <w:jc w:val="center"/>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3395C0D7">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61457375">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52D3E7A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断裂伸长率变化率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076346E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65850900">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≤±25</w:t>
            </w:r>
          </w:p>
        </w:tc>
      </w:tr>
      <w:tr w14:paraId="6FF40A5B">
        <w:tblPrEx>
          <w:tblCellMar>
            <w:top w:w="0" w:type="dxa"/>
            <w:left w:w="108" w:type="dxa"/>
            <w:bottom w:w="0" w:type="dxa"/>
            <w:right w:w="108" w:type="dxa"/>
          </w:tblCellMar>
        </w:tblPrEx>
        <w:trPr>
          <w:trHeight w:val="368" w:hRule="atLeast"/>
          <w:jc w:val="center"/>
        </w:trPr>
        <w:tc>
          <w:tcPr>
            <w:tcW w:w="734" w:type="dxa"/>
            <w:vMerge w:val="restart"/>
            <w:tcBorders>
              <w:top w:val="single" w:color="000000" w:sz="6" w:space="0"/>
              <w:left w:val="single" w:color="000000" w:sz="4" w:space="0"/>
              <w:bottom w:val="single" w:color="000000" w:sz="6" w:space="0"/>
              <w:right w:val="single" w:color="000000" w:sz="6" w:space="0"/>
            </w:tcBorders>
            <w:noWrap w:val="0"/>
            <w:vAlign w:val="center"/>
          </w:tcPr>
          <w:p w14:paraId="7C6E535B">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39D24C0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聚氯乙烯绝缘高温压力试验</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0EB69C3A">
            <w:pPr>
              <w:adjustRightInd/>
              <w:spacing w:line="400" w:lineRule="exact"/>
              <w:rPr>
                <w:rFonts w:hint="eastAsia" w:ascii="仿宋" w:hAnsi="仿宋" w:eastAsia="仿宋" w:cs="仿宋"/>
                <w:color w:val="auto"/>
                <w:sz w:val="24"/>
                <w:szCs w:val="24"/>
              </w:rPr>
            </w:pP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39362063">
            <w:pPr>
              <w:adjustRightInd/>
              <w:spacing w:line="400" w:lineRule="exact"/>
              <w:rPr>
                <w:rFonts w:hint="eastAsia" w:ascii="仿宋" w:hAnsi="仿宋" w:eastAsia="仿宋" w:cs="仿宋"/>
                <w:color w:val="auto"/>
                <w:sz w:val="24"/>
                <w:szCs w:val="24"/>
              </w:rPr>
            </w:pPr>
          </w:p>
        </w:tc>
      </w:tr>
      <w:tr w14:paraId="63CF140F">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669D41FE">
            <w:pPr>
              <w:adjustRightInd/>
              <w:spacing w:line="400" w:lineRule="exact"/>
              <w:jc w:val="center"/>
              <w:rPr>
                <w:rFonts w:hint="eastAsia" w:ascii="仿宋" w:hAnsi="仿宋" w:eastAsia="仿宋" w:cs="仿宋"/>
                <w:color w:val="auto"/>
                <w:sz w:val="24"/>
                <w:szCs w:val="24"/>
              </w:rPr>
            </w:pP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5BD85E4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试验温度(偏差±2℃)</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3D47239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155D3E2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80</w:t>
            </w:r>
          </w:p>
        </w:tc>
      </w:tr>
      <w:tr w14:paraId="118AEB9A">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7E54574D">
            <w:pPr>
              <w:adjustRightInd/>
              <w:spacing w:line="400" w:lineRule="exact"/>
              <w:jc w:val="center"/>
              <w:rPr>
                <w:rFonts w:hint="eastAsia" w:ascii="仿宋" w:hAnsi="仿宋" w:eastAsia="仿宋" w:cs="仿宋"/>
                <w:color w:val="auto"/>
                <w:sz w:val="24"/>
                <w:szCs w:val="24"/>
              </w:rPr>
            </w:pP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5586BDB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压痕深度  最大</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07D7E37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68C8ABE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50</w:t>
            </w:r>
          </w:p>
        </w:tc>
      </w:tr>
      <w:tr w14:paraId="76F74D96">
        <w:tblPrEx>
          <w:tblCellMar>
            <w:top w:w="0" w:type="dxa"/>
            <w:left w:w="108" w:type="dxa"/>
            <w:bottom w:w="0" w:type="dxa"/>
            <w:right w:w="108" w:type="dxa"/>
          </w:tblCellMar>
        </w:tblPrEx>
        <w:trPr>
          <w:trHeight w:val="368" w:hRule="atLeast"/>
          <w:jc w:val="center"/>
        </w:trPr>
        <w:tc>
          <w:tcPr>
            <w:tcW w:w="734" w:type="dxa"/>
            <w:vMerge w:val="restart"/>
            <w:tcBorders>
              <w:top w:val="single" w:color="000000" w:sz="6" w:space="0"/>
              <w:left w:val="single" w:color="000000" w:sz="4" w:space="0"/>
              <w:bottom w:val="single" w:color="000000" w:sz="6" w:space="0"/>
              <w:right w:val="single" w:color="000000" w:sz="6" w:space="0"/>
            </w:tcBorders>
            <w:noWrap w:val="0"/>
            <w:vAlign w:val="center"/>
          </w:tcPr>
          <w:p w14:paraId="3D21B512">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654" w:type="dxa"/>
            <w:gridSpan w:val="2"/>
            <w:vMerge w:val="restart"/>
            <w:tcBorders>
              <w:top w:val="single" w:color="000000" w:sz="6" w:space="0"/>
              <w:left w:val="single" w:color="000000" w:sz="6" w:space="0"/>
              <w:bottom w:val="single" w:color="000000" w:sz="6" w:space="0"/>
              <w:right w:val="single" w:color="000000" w:sz="6" w:space="0"/>
            </w:tcBorders>
            <w:noWrap w:val="0"/>
            <w:vAlign w:val="center"/>
          </w:tcPr>
          <w:p w14:paraId="4E2C088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聚氯乙烯绝缘</w:t>
            </w:r>
          </w:p>
          <w:p w14:paraId="4852C44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低温试验</w:t>
            </w:r>
          </w:p>
        </w:tc>
        <w:tc>
          <w:tcPr>
            <w:tcW w:w="2572" w:type="dxa"/>
            <w:gridSpan w:val="2"/>
            <w:tcBorders>
              <w:top w:val="single" w:color="000000" w:sz="6" w:space="0"/>
              <w:left w:val="single" w:color="000000" w:sz="6" w:space="0"/>
              <w:bottom w:val="single" w:color="000000" w:sz="6" w:space="0"/>
              <w:right w:val="single" w:color="000000" w:sz="6" w:space="0"/>
            </w:tcBorders>
            <w:noWrap w:val="0"/>
            <w:vAlign w:val="center"/>
          </w:tcPr>
          <w:p w14:paraId="1C20797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聚氯乙烯绝缘卷绕试验</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576AAFF0">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405829A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不开裂</w:t>
            </w:r>
          </w:p>
        </w:tc>
      </w:tr>
      <w:tr w14:paraId="24BE63FF">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66B45F50">
            <w:pPr>
              <w:adjustRightInd/>
              <w:spacing w:line="400" w:lineRule="exact"/>
              <w:jc w:val="center"/>
              <w:rPr>
                <w:rFonts w:hint="eastAsia" w:ascii="仿宋" w:hAnsi="仿宋" w:eastAsia="仿宋" w:cs="仿宋"/>
                <w:color w:val="auto"/>
                <w:sz w:val="24"/>
                <w:szCs w:val="24"/>
              </w:rPr>
            </w:pPr>
          </w:p>
        </w:tc>
        <w:tc>
          <w:tcPr>
            <w:tcW w:w="1654"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329CF332">
            <w:pPr>
              <w:adjustRightInd/>
              <w:spacing w:line="400" w:lineRule="exact"/>
              <w:rPr>
                <w:rFonts w:hint="eastAsia" w:ascii="仿宋" w:hAnsi="仿宋" w:eastAsia="仿宋" w:cs="仿宋"/>
                <w:color w:val="auto"/>
                <w:sz w:val="24"/>
                <w:szCs w:val="24"/>
              </w:rPr>
            </w:pPr>
          </w:p>
        </w:tc>
        <w:tc>
          <w:tcPr>
            <w:tcW w:w="2572" w:type="dxa"/>
            <w:gridSpan w:val="2"/>
            <w:tcBorders>
              <w:top w:val="single" w:color="000000" w:sz="6" w:space="0"/>
              <w:left w:val="single" w:color="000000" w:sz="6" w:space="0"/>
              <w:bottom w:val="single" w:color="000000" w:sz="6" w:space="0"/>
              <w:right w:val="single" w:color="000000" w:sz="6" w:space="0"/>
            </w:tcBorders>
            <w:noWrap w:val="0"/>
            <w:vAlign w:val="center"/>
          </w:tcPr>
          <w:p w14:paraId="5B0F4EF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聚氯乙烯绝缘拉伸试验</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1B011AD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0647C8F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≥20</w:t>
            </w:r>
          </w:p>
        </w:tc>
      </w:tr>
      <w:tr w14:paraId="4A5D030D">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660159FD">
            <w:pPr>
              <w:adjustRightInd/>
              <w:spacing w:line="400" w:lineRule="exact"/>
              <w:jc w:val="center"/>
              <w:rPr>
                <w:rFonts w:hint="eastAsia" w:ascii="仿宋" w:hAnsi="仿宋" w:eastAsia="仿宋" w:cs="仿宋"/>
                <w:color w:val="auto"/>
                <w:sz w:val="24"/>
                <w:szCs w:val="24"/>
              </w:rPr>
            </w:pPr>
          </w:p>
        </w:tc>
        <w:tc>
          <w:tcPr>
            <w:tcW w:w="1654"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6783E0E1">
            <w:pPr>
              <w:adjustRightInd/>
              <w:spacing w:line="400" w:lineRule="exact"/>
              <w:rPr>
                <w:rFonts w:hint="eastAsia" w:ascii="仿宋" w:hAnsi="仿宋" w:eastAsia="仿宋" w:cs="仿宋"/>
                <w:color w:val="auto"/>
                <w:sz w:val="24"/>
                <w:szCs w:val="24"/>
              </w:rPr>
            </w:pPr>
          </w:p>
        </w:tc>
        <w:tc>
          <w:tcPr>
            <w:tcW w:w="2572" w:type="dxa"/>
            <w:gridSpan w:val="2"/>
            <w:tcBorders>
              <w:top w:val="single" w:color="000000" w:sz="6" w:space="0"/>
              <w:left w:val="single" w:color="000000" w:sz="6" w:space="0"/>
              <w:bottom w:val="single" w:color="000000" w:sz="6" w:space="0"/>
              <w:right w:val="single" w:color="000000" w:sz="6" w:space="0"/>
            </w:tcBorders>
            <w:noWrap w:val="0"/>
            <w:vAlign w:val="center"/>
          </w:tcPr>
          <w:p w14:paraId="788A9735">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聚氯乙烯绝缘冲击试验</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5C5BAFE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5CDB373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不开裂</w:t>
            </w:r>
          </w:p>
        </w:tc>
      </w:tr>
      <w:tr w14:paraId="4D260B11">
        <w:tblPrEx>
          <w:tblCellMar>
            <w:top w:w="0" w:type="dxa"/>
            <w:left w:w="108" w:type="dxa"/>
            <w:bottom w:w="0" w:type="dxa"/>
            <w:right w:w="108" w:type="dxa"/>
          </w:tblCellMar>
        </w:tblPrEx>
        <w:trPr>
          <w:trHeight w:val="368" w:hRule="atLeast"/>
          <w:jc w:val="center"/>
        </w:trPr>
        <w:tc>
          <w:tcPr>
            <w:tcW w:w="734" w:type="dxa"/>
            <w:tcBorders>
              <w:top w:val="single" w:color="000000" w:sz="6" w:space="0"/>
              <w:left w:val="single" w:color="000000" w:sz="4" w:space="0"/>
              <w:bottom w:val="single" w:color="000000" w:sz="6" w:space="0"/>
              <w:right w:val="single" w:color="000000" w:sz="6" w:space="0"/>
            </w:tcBorders>
            <w:noWrap w:val="0"/>
            <w:vAlign w:val="center"/>
          </w:tcPr>
          <w:p w14:paraId="35F2EB77">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20764ED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聚氯乙烯绝缘抗开裂试验</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1BB7B8F5">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67B76CF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不开裂</w:t>
            </w:r>
          </w:p>
        </w:tc>
      </w:tr>
      <w:tr w14:paraId="7EBB8F3F">
        <w:tblPrEx>
          <w:tblCellMar>
            <w:top w:w="0" w:type="dxa"/>
            <w:left w:w="108" w:type="dxa"/>
            <w:bottom w:w="0" w:type="dxa"/>
            <w:right w:w="108" w:type="dxa"/>
          </w:tblCellMar>
        </w:tblPrEx>
        <w:trPr>
          <w:trHeight w:val="368" w:hRule="atLeast"/>
          <w:jc w:val="center"/>
        </w:trPr>
        <w:tc>
          <w:tcPr>
            <w:tcW w:w="734" w:type="dxa"/>
            <w:vMerge w:val="restart"/>
            <w:tcBorders>
              <w:top w:val="single" w:color="000000" w:sz="6" w:space="0"/>
              <w:left w:val="single" w:color="000000" w:sz="4" w:space="0"/>
              <w:bottom w:val="single" w:color="000000" w:sz="6" w:space="0"/>
              <w:right w:val="single" w:color="000000" w:sz="6" w:space="0"/>
            </w:tcBorders>
            <w:noWrap w:val="0"/>
            <w:vAlign w:val="center"/>
          </w:tcPr>
          <w:p w14:paraId="07AEA355">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735" w:type="dxa"/>
            <w:vMerge w:val="restart"/>
            <w:tcBorders>
              <w:top w:val="single" w:color="000000" w:sz="6" w:space="0"/>
              <w:left w:val="single" w:color="000000" w:sz="6" w:space="0"/>
              <w:bottom w:val="single" w:color="000000" w:sz="6" w:space="0"/>
              <w:right w:val="single" w:color="000000" w:sz="6" w:space="0"/>
            </w:tcBorders>
            <w:noWrap w:val="0"/>
            <w:vAlign w:val="center"/>
          </w:tcPr>
          <w:p w14:paraId="1F41717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护套</w:t>
            </w:r>
          </w:p>
          <w:p w14:paraId="47CFE53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机械</w:t>
            </w:r>
          </w:p>
          <w:p w14:paraId="4F3768B5">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物理</w:t>
            </w:r>
          </w:p>
          <w:p w14:paraId="6EE07EB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性能</w:t>
            </w:r>
          </w:p>
        </w:tc>
        <w:tc>
          <w:tcPr>
            <w:tcW w:w="997" w:type="dxa"/>
            <w:gridSpan w:val="2"/>
            <w:vMerge w:val="restart"/>
            <w:tcBorders>
              <w:top w:val="single" w:color="000000" w:sz="6" w:space="0"/>
              <w:left w:val="single" w:color="000000" w:sz="6" w:space="0"/>
              <w:bottom w:val="single" w:color="000000" w:sz="6" w:space="0"/>
              <w:right w:val="single" w:color="000000" w:sz="6" w:space="0"/>
            </w:tcBorders>
            <w:noWrap w:val="0"/>
            <w:vAlign w:val="center"/>
          </w:tcPr>
          <w:p w14:paraId="39212FF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老化前</w:t>
            </w: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5FDB1B3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抗张强度</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018740A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N/mm</w:t>
            </w:r>
            <w:r>
              <w:rPr>
                <w:rFonts w:hint="eastAsia" w:ascii="仿宋" w:hAnsi="仿宋" w:eastAsia="仿宋" w:cs="仿宋"/>
                <w:color w:val="auto"/>
                <w:sz w:val="24"/>
                <w:szCs w:val="24"/>
                <w:vertAlign w:val="superscript"/>
              </w:rPr>
              <w:t>2</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389ADD4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≥12.5</w:t>
            </w:r>
          </w:p>
        </w:tc>
      </w:tr>
      <w:tr w14:paraId="4E59624B">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10BAA907">
            <w:pPr>
              <w:adjustRightInd/>
              <w:spacing w:line="400" w:lineRule="exact"/>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73EC547F">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6615B7A5">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1AEA0CC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断裂伸长率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74A06C1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1116210F">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≥150</w:t>
            </w:r>
          </w:p>
        </w:tc>
      </w:tr>
      <w:tr w14:paraId="51991C3D">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2172E3F0">
            <w:pPr>
              <w:adjustRightInd/>
              <w:spacing w:line="400" w:lineRule="exact"/>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64239BA1">
            <w:pPr>
              <w:adjustRightInd/>
              <w:spacing w:line="400" w:lineRule="exact"/>
              <w:rPr>
                <w:rFonts w:hint="eastAsia" w:ascii="仿宋" w:hAnsi="仿宋" w:eastAsia="仿宋" w:cs="仿宋"/>
                <w:color w:val="auto"/>
                <w:sz w:val="24"/>
                <w:szCs w:val="24"/>
              </w:rPr>
            </w:pPr>
          </w:p>
        </w:tc>
        <w:tc>
          <w:tcPr>
            <w:tcW w:w="997" w:type="dxa"/>
            <w:gridSpan w:val="2"/>
            <w:vMerge w:val="restart"/>
            <w:tcBorders>
              <w:top w:val="single" w:color="000000" w:sz="6" w:space="0"/>
              <w:left w:val="single" w:color="000000" w:sz="6" w:space="0"/>
              <w:bottom w:val="single" w:color="000000" w:sz="6" w:space="0"/>
              <w:right w:val="single" w:color="000000" w:sz="6" w:space="0"/>
            </w:tcBorders>
            <w:noWrap w:val="0"/>
            <w:vAlign w:val="center"/>
          </w:tcPr>
          <w:p w14:paraId="3D63A72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老化后</w:t>
            </w: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334C7CD5">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抗张强度</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3D8EED2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N/mm</w:t>
            </w:r>
            <w:r>
              <w:rPr>
                <w:rFonts w:hint="eastAsia" w:ascii="仿宋" w:hAnsi="仿宋" w:eastAsia="仿宋" w:cs="仿宋"/>
                <w:color w:val="auto"/>
                <w:sz w:val="24"/>
                <w:szCs w:val="24"/>
                <w:vertAlign w:val="superscript"/>
              </w:rPr>
              <w:t>2</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4C8B60D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≥12.5</w:t>
            </w:r>
          </w:p>
        </w:tc>
      </w:tr>
      <w:tr w14:paraId="0448B5B7">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6FCF74CD">
            <w:pPr>
              <w:adjustRightInd/>
              <w:spacing w:line="400" w:lineRule="exact"/>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029732B6">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3EE106A9">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43E579C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抗张强度变化率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45682765">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4CAEA73E">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≤±25</w:t>
            </w:r>
          </w:p>
        </w:tc>
      </w:tr>
      <w:tr w14:paraId="42D2DF77">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3675B2E9">
            <w:pPr>
              <w:adjustRightInd/>
              <w:spacing w:line="400" w:lineRule="exact"/>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4D408905">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066CC1C5">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3EF3164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断裂伸长率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07DE719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104C78A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≥150</w:t>
            </w:r>
          </w:p>
        </w:tc>
      </w:tr>
      <w:tr w14:paraId="5E7A8093">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164F6DBE">
            <w:pPr>
              <w:adjustRightInd/>
              <w:spacing w:line="400" w:lineRule="exact"/>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27065999">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7269C865">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01DCA59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断裂伸长率变化率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571015B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7B339DC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≤±25</w:t>
            </w:r>
          </w:p>
        </w:tc>
      </w:tr>
      <w:tr w14:paraId="00129700">
        <w:tblPrEx>
          <w:tblCellMar>
            <w:top w:w="0" w:type="dxa"/>
            <w:left w:w="108" w:type="dxa"/>
            <w:bottom w:w="0" w:type="dxa"/>
            <w:right w:w="108" w:type="dxa"/>
          </w:tblCellMar>
        </w:tblPrEx>
        <w:trPr>
          <w:trHeight w:val="368" w:hRule="atLeast"/>
          <w:jc w:val="center"/>
        </w:trPr>
        <w:tc>
          <w:tcPr>
            <w:tcW w:w="734" w:type="dxa"/>
            <w:vMerge w:val="restart"/>
            <w:tcBorders>
              <w:top w:val="single" w:color="000000" w:sz="6" w:space="0"/>
              <w:left w:val="single" w:color="000000" w:sz="4" w:space="0"/>
              <w:bottom w:val="single" w:color="000000" w:sz="6" w:space="0"/>
              <w:right w:val="single" w:color="000000" w:sz="6" w:space="0"/>
            </w:tcBorders>
            <w:noWrap w:val="0"/>
            <w:vAlign w:val="center"/>
          </w:tcPr>
          <w:p w14:paraId="162A7B6A">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656A492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聚氯乙烯护套高温压力试验</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530C3A55">
            <w:pPr>
              <w:adjustRightInd/>
              <w:spacing w:line="400" w:lineRule="exact"/>
              <w:rPr>
                <w:rFonts w:hint="eastAsia" w:ascii="仿宋" w:hAnsi="仿宋" w:eastAsia="仿宋" w:cs="仿宋"/>
                <w:color w:val="auto"/>
                <w:sz w:val="24"/>
                <w:szCs w:val="24"/>
              </w:rPr>
            </w:pP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77A298A3">
            <w:pPr>
              <w:adjustRightInd/>
              <w:spacing w:line="400" w:lineRule="exact"/>
              <w:rPr>
                <w:rFonts w:hint="eastAsia" w:ascii="仿宋" w:hAnsi="仿宋" w:eastAsia="仿宋" w:cs="仿宋"/>
                <w:color w:val="auto"/>
                <w:sz w:val="24"/>
                <w:szCs w:val="24"/>
              </w:rPr>
            </w:pPr>
          </w:p>
        </w:tc>
      </w:tr>
      <w:tr w14:paraId="1531DCF2">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6F5EFF68">
            <w:pPr>
              <w:adjustRightInd/>
              <w:spacing w:line="400" w:lineRule="exact"/>
              <w:jc w:val="center"/>
              <w:rPr>
                <w:rFonts w:hint="eastAsia" w:ascii="仿宋" w:hAnsi="仿宋" w:eastAsia="仿宋" w:cs="仿宋"/>
                <w:color w:val="auto"/>
                <w:sz w:val="24"/>
                <w:szCs w:val="24"/>
              </w:rPr>
            </w:pP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3DBD966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试验温度(偏差±2℃)</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6761FE4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2121F0A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80</w:t>
            </w:r>
          </w:p>
        </w:tc>
      </w:tr>
      <w:tr w14:paraId="2B2EA23B">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auto" w:sz="4" w:space="0"/>
              <w:right w:val="single" w:color="000000" w:sz="6" w:space="0"/>
            </w:tcBorders>
            <w:noWrap w:val="0"/>
            <w:vAlign w:val="center"/>
          </w:tcPr>
          <w:p w14:paraId="23A1026D">
            <w:pPr>
              <w:adjustRightInd/>
              <w:spacing w:line="400" w:lineRule="exact"/>
              <w:jc w:val="center"/>
              <w:rPr>
                <w:rFonts w:hint="eastAsia" w:ascii="仿宋" w:hAnsi="仿宋" w:eastAsia="仿宋" w:cs="仿宋"/>
                <w:color w:val="auto"/>
                <w:sz w:val="24"/>
                <w:szCs w:val="24"/>
              </w:rPr>
            </w:pPr>
          </w:p>
        </w:tc>
        <w:tc>
          <w:tcPr>
            <w:tcW w:w="4226" w:type="dxa"/>
            <w:gridSpan w:val="4"/>
            <w:tcBorders>
              <w:top w:val="single" w:color="000000" w:sz="6" w:space="0"/>
              <w:left w:val="single" w:color="000000" w:sz="6" w:space="0"/>
              <w:bottom w:val="single" w:color="auto" w:sz="4" w:space="0"/>
              <w:right w:val="single" w:color="000000" w:sz="6" w:space="0"/>
            </w:tcBorders>
            <w:noWrap w:val="0"/>
            <w:vAlign w:val="center"/>
          </w:tcPr>
          <w:p w14:paraId="3604A35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压痕深度  最大</w:t>
            </w:r>
          </w:p>
        </w:tc>
        <w:tc>
          <w:tcPr>
            <w:tcW w:w="1152" w:type="dxa"/>
            <w:tcBorders>
              <w:top w:val="single" w:color="000000" w:sz="6" w:space="0"/>
              <w:left w:val="single" w:color="000000" w:sz="6" w:space="0"/>
              <w:bottom w:val="single" w:color="auto" w:sz="4" w:space="0"/>
              <w:right w:val="single" w:color="000000" w:sz="6" w:space="0"/>
            </w:tcBorders>
            <w:noWrap w:val="0"/>
            <w:vAlign w:val="center"/>
          </w:tcPr>
          <w:p w14:paraId="52041FB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auto" w:sz="4" w:space="0"/>
              <w:right w:val="single" w:color="000000" w:sz="4" w:space="0"/>
            </w:tcBorders>
            <w:noWrap w:val="0"/>
            <w:vAlign w:val="center"/>
          </w:tcPr>
          <w:p w14:paraId="4FF19E8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50</w:t>
            </w:r>
          </w:p>
        </w:tc>
      </w:tr>
      <w:tr w14:paraId="5E5FD56C">
        <w:tblPrEx>
          <w:tblCellMar>
            <w:top w:w="0" w:type="dxa"/>
            <w:left w:w="108" w:type="dxa"/>
            <w:bottom w:w="0" w:type="dxa"/>
            <w:right w:w="108" w:type="dxa"/>
          </w:tblCellMar>
        </w:tblPrEx>
        <w:trPr>
          <w:trHeight w:val="368" w:hRule="atLeast"/>
          <w:jc w:val="center"/>
        </w:trPr>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14:paraId="4C088CC5">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65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C371D3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聚氯乙烯护套</w:t>
            </w:r>
          </w:p>
          <w:p w14:paraId="52645B2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低温试验</w:t>
            </w:r>
          </w:p>
        </w:tc>
        <w:tc>
          <w:tcPr>
            <w:tcW w:w="2572" w:type="dxa"/>
            <w:gridSpan w:val="2"/>
            <w:tcBorders>
              <w:top w:val="single" w:color="auto" w:sz="4" w:space="0"/>
              <w:left w:val="single" w:color="auto" w:sz="4" w:space="0"/>
              <w:bottom w:val="single" w:color="auto" w:sz="4" w:space="0"/>
              <w:right w:val="single" w:color="auto" w:sz="4" w:space="0"/>
            </w:tcBorders>
            <w:noWrap w:val="0"/>
            <w:vAlign w:val="center"/>
          </w:tcPr>
          <w:p w14:paraId="0825B82E">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聚氯乙烯护套卷绕试验</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D2C2B7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1F68B68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不开裂</w:t>
            </w:r>
          </w:p>
        </w:tc>
      </w:tr>
      <w:tr w14:paraId="23470C12">
        <w:tblPrEx>
          <w:tblCellMar>
            <w:top w:w="0" w:type="dxa"/>
            <w:left w:w="108" w:type="dxa"/>
            <w:bottom w:w="0" w:type="dxa"/>
            <w:right w:w="108" w:type="dxa"/>
          </w:tblCellMar>
        </w:tblPrEx>
        <w:trPr>
          <w:trHeight w:val="368"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14:paraId="7DB798C6">
            <w:pPr>
              <w:adjustRightInd/>
              <w:spacing w:line="400" w:lineRule="exact"/>
              <w:jc w:val="center"/>
              <w:rPr>
                <w:rFonts w:hint="eastAsia" w:ascii="仿宋" w:hAnsi="仿宋" w:eastAsia="仿宋" w:cs="仿宋"/>
                <w:color w:val="auto"/>
                <w:sz w:val="24"/>
                <w:szCs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5508E24">
            <w:pPr>
              <w:adjustRightInd/>
              <w:spacing w:line="400" w:lineRule="exact"/>
              <w:rPr>
                <w:rFonts w:hint="eastAsia" w:ascii="仿宋" w:hAnsi="仿宋" w:eastAsia="仿宋" w:cs="仿宋"/>
                <w:color w:val="auto"/>
                <w:sz w:val="24"/>
                <w:szCs w:val="24"/>
              </w:rPr>
            </w:pPr>
          </w:p>
        </w:tc>
        <w:tc>
          <w:tcPr>
            <w:tcW w:w="2572" w:type="dxa"/>
            <w:gridSpan w:val="2"/>
            <w:tcBorders>
              <w:top w:val="single" w:color="auto" w:sz="4" w:space="0"/>
              <w:left w:val="single" w:color="auto" w:sz="4" w:space="0"/>
              <w:bottom w:val="single" w:color="auto" w:sz="4" w:space="0"/>
              <w:right w:val="single" w:color="auto" w:sz="4" w:space="0"/>
            </w:tcBorders>
            <w:noWrap w:val="0"/>
            <w:vAlign w:val="center"/>
          </w:tcPr>
          <w:p w14:paraId="215E640E">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聚氯乙烯护套拉伸试验</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BC5D6C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5C5BC7C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≥20</w:t>
            </w:r>
          </w:p>
        </w:tc>
      </w:tr>
      <w:tr w14:paraId="6C03545F">
        <w:tblPrEx>
          <w:tblCellMar>
            <w:top w:w="0" w:type="dxa"/>
            <w:left w:w="108" w:type="dxa"/>
            <w:bottom w:w="0" w:type="dxa"/>
            <w:right w:w="108" w:type="dxa"/>
          </w:tblCellMar>
        </w:tblPrEx>
        <w:trPr>
          <w:trHeight w:val="368"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14:paraId="0ACCC642">
            <w:pPr>
              <w:adjustRightInd/>
              <w:spacing w:line="400" w:lineRule="exact"/>
              <w:jc w:val="center"/>
              <w:rPr>
                <w:rFonts w:hint="eastAsia" w:ascii="仿宋" w:hAnsi="仿宋" w:eastAsia="仿宋" w:cs="仿宋"/>
                <w:color w:val="auto"/>
                <w:sz w:val="24"/>
                <w:szCs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FA2CBD5">
            <w:pPr>
              <w:adjustRightInd/>
              <w:spacing w:line="400" w:lineRule="exact"/>
              <w:rPr>
                <w:rFonts w:hint="eastAsia" w:ascii="仿宋" w:hAnsi="仿宋" w:eastAsia="仿宋" w:cs="仿宋"/>
                <w:color w:val="auto"/>
                <w:sz w:val="24"/>
                <w:szCs w:val="24"/>
              </w:rPr>
            </w:pPr>
          </w:p>
        </w:tc>
        <w:tc>
          <w:tcPr>
            <w:tcW w:w="2572" w:type="dxa"/>
            <w:gridSpan w:val="2"/>
            <w:tcBorders>
              <w:top w:val="single" w:color="auto" w:sz="4" w:space="0"/>
              <w:left w:val="single" w:color="auto" w:sz="4" w:space="0"/>
              <w:bottom w:val="single" w:color="auto" w:sz="4" w:space="0"/>
              <w:right w:val="single" w:color="auto" w:sz="4" w:space="0"/>
            </w:tcBorders>
            <w:noWrap w:val="0"/>
            <w:vAlign w:val="center"/>
          </w:tcPr>
          <w:p w14:paraId="0BF4077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聚氯乙烯护套冲击试验</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2154F1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4C1187F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不开裂</w:t>
            </w:r>
          </w:p>
        </w:tc>
      </w:tr>
      <w:tr w14:paraId="5713570C">
        <w:tblPrEx>
          <w:tblCellMar>
            <w:top w:w="0" w:type="dxa"/>
            <w:left w:w="108" w:type="dxa"/>
            <w:bottom w:w="0" w:type="dxa"/>
            <w:right w:w="108" w:type="dxa"/>
          </w:tblCellMar>
        </w:tblPrEx>
        <w:trPr>
          <w:trHeight w:val="36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CDB1F0E">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4226" w:type="dxa"/>
            <w:gridSpan w:val="4"/>
            <w:tcBorders>
              <w:top w:val="single" w:color="auto" w:sz="4" w:space="0"/>
              <w:left w:val="single" w:color="auto" w:sz="4" w:space="0"/>
              <w:bottom w:val="single" w:color="auto" w:sz="4" w:space="0"/>
              <w:right w:val="single" w:color="auto" w:sz="4" w:space="0"/>
            </w:tcBorders>
            <w:noWrap w:val="0"/>
            <w:vAlign w:val="center"/>
          </w:tcPr>
          <w:p w14:paraId="4F534CC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聚氯乙烯护套抗开裂试验</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03693D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2EFD7C9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不开裂</w:t>
            </w:r>
          </w:p>
        </w:tc>
      </w:tr>
      <w:tr w14:paraId="33B5BCE2">
        <w:tblPrEx>
          <w:tblCellMar>
            <w:top w:w="0" w:type="dxa"/>
            <w:left w:w="108" w:type="dxa"/>
            <w:bottom w:w="0" w:type="dxa"/>
            <w:right w:w="108" w:type="dxa"/>
          </w:tblCellMar>
        </w:tblPrEx>
        <w:trPr>
          <w:trHeight w:val="36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44F98283">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4226" w:type="dxa"/>
            <w:gridSpan w:val="4"/>
            <w:tcBorders>
              <w:top w:val="single" w:color="auto" w:sz="4" w:space="0"/>
              <w:left w:val="single" w:color="auto" w:sz="4" w:space="0"/>
              <w:bottom w:val="single" w:color="auto" w:sz="4" w:space="0"/>
              <w:right w:val="single" w:color="auto" w:sz="4" w:space="0"/>
            </w:tcBorders>
            <w:noWrap w:val="0"/>
            <w:vAlign w:val="center"/>
          </w:tcPr>
          <w:p w14:paraId="1E6C7FD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聚氯乙烯护套的不延燃试验</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5F5CB4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45BEC9E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通过</w:t>
            </w:r>
          </w:p>
        </w:tc>
      </w:tr>
    </w:tbl>
    <w:p w14:paraId="1F190FC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供货随货文件要求</w:t>
      </w:r>
    </w:p>
    <w:p w14:paraId="3193B9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中标单位送货时需提供产品合格证，产品质量的自检证明文件及送货单等相关文件，同时在送货时确保可根据</w:t>
      </w:r>
      <w:r>
        <w:rPr>
          <w:rFonts w:hint="eastAsia" w:ascii="仿宋" w:hAnsi="仿宋" w:eastAsia="仿宋" w:cs="仿宋"/>
          <w:color w:val="auto"/>
          <w:sz w:val="24"/>
          <w:lang w:eastAsia="zh-CN"/>
        </w:rPr>
        <w:t>采购人</w:t>
      </w:r>
      <w:r>
        <w:rPr>
          <w:rFonts w:hint="eastAsia" w:ascii="仿宋" w:hAnsi="仿宋" w:eastAsia="仿宋" w:cs="仿宋"/>
          <w:color w:val="auto"/>
          <w:sz w:val="24"/>
        </w:rPr>
        <w:t>仓库人员要求，卸货到指定位置。</w:t>
      </w:r>
    </w:p>
    <w:p w14:paraId="6AB3224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lang w:val="en-US" w:eastAsia="zh-CN"/>
        </w:rPr>
        <w:t>三</w:t>
      </w:r>
      <w:r>
        <w:rPr>
          <w:rFonts w:hint="eastAsia" w:ascii="仿宋" w:hAnsi="仿宋" w:eastAsia="仿宋" w:cs="仿宋"/>
          <w:b/>
          <w:bCs/>
          <w:color w:val="auto"/>
          <w:sz w:val="24"/>
        </w:rPr>
        <w:t>、招标产品规格、名称一览表</w:t>
      </w:r>
    </w:p>
    <w:tbl>
      <w:tblPr>
        <w:tblStyle w:val="61"/>
        <w:tblW w:w="8985"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20"/>
        <w:gridCol w:w="1581"/>
        <w:gridCol w:w="948"/>
        <w:gridCol w:w="1107"/>
        <w:gridCol w:w="3094"/>
      </w:tblGrid>
      <w:tr w14:paraId="26D1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35" w:type="dxa"/>
            <w:noWrap w:val="0"/>
            <w:vAlign w:val="center"/>
          </w:tcPr>
          <w:p w14:paraId="57A33EDE">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520" w:type="dxa"/>
            <w:noWrap w:val="0"/>
            <w:vAlign w:val="center"/>
          </w:tcPr>
          <w:p w14:paraId="331B3ADF">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名称</w:t>
            </w:r>
          </w:p>
        </w:tc>
        <w:tc>
          <w:tcPr>
            <w:tcW w:w="1581" w:type="dxa"/>
            <w:noWrap w:val="0"/>
            <w:vAlign w:val="center"/>
          </w:tcPr>
          <w:p w14:paraId="01B777AC">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规格</w:t>
            </w:r>
          </w:p>
        </w:tc>
        <w:tc>
          <w:tcPr>
            <w:tcW w:w="948" w:type="dxa"/>
            <w:noWrap w:val="0"/>
            <w:vAlign w:val="center"/>
          </w:tcPr>
          <w:p w14:paraId="4C2BAB7F">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单位</w:t>
            </w:r>
          </w:p>
        </w:tc>
        <w:tc>
          <w:tcPr>
            <w:tcW w:w="1107" w:type="dxa"/>
            <w:noWrap w:val="0"/>
            <w:vAlign w:val="center"/>
          </w:tcPr>
          <w:p w14:paraId="6DF49643">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60000元/吨基础铜价时的</w:t>
            </w:r>
            <w:r>
              <w:rPr>
                <w:rFonts w:hint="eastAsia" w:ascii="仿宋" w:hAnsi="仿宋" w:eastAsia="仿宋" w:cs="仿宋"/>
                <w:b/>
                <w:bCs/>
                <w:color w:val="auto"/>
                <w:sz w:val="24"/>
                <w:szCs w:val="24"/>
              </w:rPr>
              <w:t>单价</w:t>
            </w:r>
            <w:r>
              <w:rPr>
                <w:rFonts w:hint="eastAsia" w:ascii="仿宋" w:hAnsi="仿宋" w:eastAsia="仿宋" w:cs="仿宋"/>
                <w:b/>
                <w:bCs/>
                <w:color w:val="auto"/>
                <w:sz w:val="24"/>
                <w:szCs w:val="24"/>
                <w:lang w:val="en-US" w:eastAsia="zh-CN"/>
              </w:rPr>
              <w:t>最高限价</w:t>
            </w:r>
            <w:r>
              <w:rPr>
                <w:rFonts w:hint="eastAsia" w:ascii="仿宋" w:hAnsi="仿宋" w:eastAsia="仿宋" w:cs="仿宋"/>
                <w:b/>
                <w:bCs/>
                <w:color w:val="auto"/>
                <w:sz w:val="24"/>
                <w:szCs w:val="24"/>
              </w:rPr>
              <w:t>（元）</w:t>
            </w:r>
          </w:p>
        </w:tc>
        <w:tc>
          <w:tcPr>
            <w:tcW w:w="3094" w:type="dxa"/>
            <w:noWrap w:val="0"/>
            <w:vAlign w:val="center"/>
          </w:tcPr>
          <w:p w14:paraId="12BDEC36">
            <w:pPr>
              <w:adjustRightInd/>
              <w:rPr>
                <w:rFonts w:hint="eastAsia" w:ascii="仿宋" w:hAnsi="仿宋" w:eastAsia="仿宋" w:cs="仿宋"/>
                <w:b/>
                <w:bCs/>
                <w:color w:val="auto"/>
                <w:sz w:val="24"/>
                <w:szCs w:val="24"/>
              </w:rPr>
            </w:pPr>
            <w:r>
              <w:rPr>
                <w:rFonts w:hint="eastAsia" w:ascii="仿宋" w:hAnsi="仿宋" w:eastAsia="仿宋" w:cs="仿宋"/>
                <w:color w:val="auto"/>
                <w:kern w:val="0"/>
                <w:sz w:val="24"/>
                <w:szCs w:val="24"/>
              </w:rPr>
              <w:t>以基础铜价为基准，在铜价每</w:t>
            </w:r>
            <w:r>
              <w:rPr>
                <w:rFonts w:hint="eastAsia" w:ascii="仿宋" w:hAnsi="仿宋" w:eastAsia="仿宋" w:cs="仿宋"/>
                <w:color w:val="auto"/>
                <w:kern w:val="0"/>
                <w:sz w:val="24"/>
                <w:szCs w:val="24"/>
                <w:highlight w:val="none"/>
              </w:rPr>
              <w:t>上</w:t>
            </w:r>
            <w:r>
              <w:rPr>
                <w:rFonts w:hint="eastAsia" w:ascii="仿宋" w:hAnsi="仿宋" w:eastAsia="仿宋" w:cs="仿宋"/>
                <w:color w:val="auto"/>
                <w:kern w:val="0"/>
                <w:sz w:val="24"/>
                <w:szCs w:val="24"/>
                <w:highlight w:val="none"/>
                <w:lang w:val="en-US" w:eastAsia="zh-CN"/>
              </w:rPr>
              <w:t>下</w:t>
            </w:r>
            <w:r>
              <w:rPr>
                <w:rFonts w:hint="eastAsia" w:ascii="仿宋" w:hAnsi="仿宋" w:eastAsia="仿宋" w:cs="仿宋"/>
                <w:color w:val="auto"/>
                <w:kern w:val="0"/>
                <w:sz w:val="24"/>
                <w:szCs w:val="24"/>
                <w:highlight w:val="none"/>
              </w:rPr>
              <w:t>浮</w:t>
            </w:r>
            <w:r>
              <w:rPr>
                <w:rFonts w:hint="eastAsia" w:ascii="仿宋" w:hAnsi="仿宋" w:eastAsia="仿宋" w:cs="仿宋"/>
                <w:color w:val="auto"/>
                <w:kern w:val="0"/>
                <w:sz w:val="24"/>
                <w:szCs w:val="24"/>
              </w:rPr>
              <w:t>1000元/吨（含）时，每</w:t>
            </w:r>
            <w:r>
              <w:rPr>
                <w:rFonts w:hint="eastAsia" w:ascii="仿宋" w:hAnsi="仿宋" w:eastAsia="仿宋" w:cs="仿宋"/>
                <w:color w:val="auto"/>
                <w:kern w:val="0"/>
                <w:sz w:val="24"/>
                <w:szCs w:val="24"/>
                <w:lang w:val="en-US" w:eastAsia="zh-CN"/>
              </w:rPr>
              <w:t>千</w:t>
            </w:r>
            <w:r>
              <w:rPr>
                <w:rFonts w:hint="eastAsia" w:ascii="仿宋" w:hAnsi="仿宋" w:eastAsia="仿宋" w:cs="仿宋"/>
                <w:color w:val="auto"/>
                <w:kern w:val="0"/>
                <w:sz w:val="24"/>
                <w:szCs w:val="24"/>
              </w:rPr>
              <w:t>米电源线对应浮</w:t>
            </w:r>
            <w:r>
              <w:rPr>
                <w:rFonts w:hint="eastAsia" w:ascii="仿宋" w:hAnsi="仿宋" w:eastAsia="仿宋" w:cs="仿宋"/>
                <w:color w:val="auto"/>
                <w:kern w:val="0"/>
                <w:sz w:val="24"/>
                <w:szCs w:val="24"/>
                <w:lang w:val="en-US" w:eastAsia="zh-CN"/>
              </w:rPr>
              <w:t>动</w:t>
            </w:r>
            <w:r>
              <w:rPr>
                <w:rFonts w:hint="eastAsia" w:ascii="仿宋" w:hAnsi="仿宋" w:eastAsia="仿宋" w:cs="仿宋"/>
                <w:color w:val="auto"/>
                <w:kern w:val="0"/>
                <w:sz w:val="24"/>
                <w:szCs w:val="24"/>
              </w:rPr>
              <w:t>价格不超过（元）</w:t>
            </w:r>
          </w:p>
        </w:tc>
      </w:tr>
      <w:tr w14:paraId="69CC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5D5A728A">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1520" w:type="dxa"/>
            <w:noWrap w:val="0"/>
            <w:vAlign w:val="center"/>
          </w:tcPr>
          <w:p w14:paraId="4A2D8997">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51147BB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BVVB 2*1.5</w:t>
            </w:r>
          </w:p>
        </w:tc>
        <w:tc>
          <w:tcPr>
            <w:tcW w:w="948" w:type="dxa"/>
            <w:noWrap w:val="0"/>
            <w:vAlign w:val="center"/>
          </w:tcPr>
          <w:p w14:paraId="34209CCA">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544B4EA0">
            <w:pPr>
              <w:adjustRightIn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369</w:t>
            </w:r>
            <w:r>
              <w:rPr>
                <w:rFonts w:hint="eastAsia" w:ascii="仿宋" w:hAnsi="仿宋" w:eastAsia="仿宋" w:cs="仿宋"/>
                <w:color w:val="auto"/>
                <w:sz w:val="24"/>
                <w:szCs w:val="24"/>
                <w:lang w:val="en-US" w:eastAsia="zh-CN"/>
              </w:rPr>
              <w:t>0</w:t>
            </w:r>
          </w:p>
        </w:tc>
        <w:tc>
          <w:tcPr>
            <w:tcW w:w="3094" w:type="dxa"/>
            <w:noWrap w:val="0"/>
            <w:vAlign w:val="center"/>
          </w:tcPr>
          <w:p w14:paraId="04B59D6B">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±22</w:t>
            </w:r>
          </w:p>
        </w:tc>
      </w:tr>
      <w:tr w14:paraId="3FEC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35" w:type="dxa"/>
            <w:noWrap w:val="0"/>
            <w:vAlign w:val="center"/>
          </w:tcPr>
          <w:p w14:paraId="2B6CFB07">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1520" w:type="dxa"/>
            <w:noWrap w:val="0"/>
            <w:vAlign w:val="center"/>
          </w:tcPr>
          <w:p w14:paraId="6F4CA107">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1E12F115">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BVVB 2*2.5</w:t>
            </w:r>
          </w:p>
        </w:tc>
        <w:tc>
          <w:tcPr>
            <w:tcW w:w="948" w:type="dxa"/>
            <w:noWrap w:val="0"/>
            <w:vAlign w:val="center"/>
          </w:tcPr>
          <w:p w14:paraId="49608FDE">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43D50C7B">
            <w:pPr>
              <w:adjustRightIn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534</w:t>
            </w:r>
            <w:r>
              <w:rPr>
                <w:rFonts w:hint="eastAsia" w:ascii="仿宋" w:hAnsi="仿宋" w:eastAsia="仿宋" w:cs="仿宋"/>
                <w:color w:val="auto"/>
                <w:sz w:val="24"/>
                <w:szCs w:val="24"/>
                <w:lang w:val="en-US" w:eastAsia="zh-CN"/>
              </w:rPr>
              <w:t>0</w:t>
            </w:r>
          </w:p>
        </w:tc>
        <w:tc>
          <w:tcPr>
            <w:tcW w:w="3094" w:type="dxa"/>
            <w:noWrap w:val="0"/>
            <w:vAlign w:val="center"/>
          </w:tcPr>
          <w:p w14:paraId="6EA46862">
            <w:pPr>
              <w:adjustRightInd/>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±28</w:t>
            </w:r>
          </w:p>
        </w:tc>
      </w:tr>
      <w:tr w14:paraId="0816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5" w:type="dxa"/>
            <w:noWrap w:val="0"/>
            <w:vAlign w:val="center"/>
          </w:tcPr>
          <w:p w14:paraId="158D363F">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3</w:t>
            </w:r>
          </w:p>
        </w:tc>
        <w:tc>
          <w:tcPr>
            <w:tcW w:w="1520" w:type="dxa"/>
            <w:noWrap w:val="0"/>
            <w:vAlign w:val="center"/>
          </w:tcPr>
          <w:p w14:paraId="15E3E117">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7CF5349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VV  2*1.5</w:t>
            </w:r>
          </w:p>
        </w:tc>
        <w:tc>
          <w:tcPr>
            <w:tcW w:w="948" w:type="dxa"/>
            <w:noWrap w:val="0"/>
            <w:vAlign w:val="center"/>
          </w:tcPr>
          <w:p w14:paraId="65937576">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6C4AF5F0">
            <w:pPr>
              <w:widowControl/>
              <w:adjustRightInd/>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bidi="ar"/>
              </w:rPr>
              <w:t>538</w:t>
            </w:r>
            <w:r>
              <w:rPr>
                <w:rFonts w:hint="eastAsia" w:ascii="仿宋" w:hAnsi="仿宋" w:eastAsia="仿宋" w:cs="仿宋"/>
                <w:color w:val="auto"/>
                <w:kern w:val="0"/>
                <w:sz w:val="24"/>
                <w:szCs w:val="24"/>
                <w:lang w:val="en-US" w:eastAsia="zh-CN" w:bidi="ar"/>
              </w:rPr>
              <w:t>0</w:t>
            </w:r>
          </w:p>
        </w:tc>
        <w:tc>
          <w:tcPr>
            <w:tcW w:w="3094" w:type="dxa"/>
            <w:noWrap w:val="0"/>
            <w:vAlign w:val="center"/>
          </w:tcPr>
          <w:p w14:paraId="0CACC106">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±88</w:t>
            </w:r>
          </w:p>
        </w:tc>
      </w:tr>
      <w:tr w14:paraId="7936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5" w:type="dxa"/>
            <w:noWrap w:val="0"/>
            <w:vAlign w:val="center"/>
          </w:tcPr>
          <w:p w14:paraId="00A4DDA6">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4</w:t>
            </w:r>
          </w:p>
        </w:tc>
        <w:tc>
          <w:tcPr>
            <w:tcW w:w="1520" w:type="dxa"/>
            <w:noWrap w:val="0"/>
            <w:vAlign w:val="center"/>
          </w:tcPr>
          <w:p w14:paraId="06429D92">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2F5957A6">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VV  2*2.5</w:t>
            </w:r>
          </w:p>
        </w:tc>
        <w:tc>
          <w:tcPr>
            <w:tcW w:w="948" w:type="dxa"/>
            <w:noWrap w:val="0"/>
            <w:vAlign w:val="center"/>
          </w:tcPr>
          <w:p w14:paraId="3A597E12">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536DE1D0">
            <w:pPr>
              <w:widowControl/>
              <w:adjustRightInd/>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bidi="ar"/>
              </w:rPr>
              <w:t>649</w:t>
            </w:r>
            <w:r>
              <w:rPr>
                <w:rFonts w:hint="eastAsia" w:ascii="仿宋" w:hAnsi="仿宋" w:eastAsia="仿宋" w:cs="仿宋"/>
                <w:color w:val="auto"/>
                <w:kern w:val="0"/>
                <w:sz w:val="24"/>
                <w:szCs w:val="24"/>
                <w:lang w:val="en-US" w:eastAsia="zh-CN" w:bidi="ar"/>
              </w:rPr>
              <w:t>0</w:t>
            </w:r>
          </w:p>
        </w:tc>
        <w:tc>
          <w:tcPr>
            <w:tcW w:w="3094" w:type="dxa"/>
            <w:noWrap w:val="0"/>
            <w:vAlign w:val="center"/>
          </w:tcPr>
          <w:p w14:paraId="41AC42BB">
            <w:pPr>
              <w:adjustRightInd/>
              <w:spacing w:line="40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±11</w:t>
            </w:r>
            <w:r>
              <w:rPr>
                <w:rFonts w:hint="eastAsia" w:ascii="仿宋" w:hAnsi="仿宋" w:eastAsia="仿宋" w:cs="仿宋"/>
                <w:color w:val="auto"/>
                <w:kern w:val="0"/>
                <w:sz w:val="24"/>
                <w:szCs w:val="24"/>
                <w:lang w:val="en-US" w:eastAsia="zh-CN"/>
              </w:rPr>
              <w:t>0</w:t>
            </w:r>
          </w:p>
        </w:tc>
      </w:tr>
      <w:tr w14:paraId="7D7D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5F5225A6">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5</w:t>
            </w:r>
          </w:p>
        </w:tc>
        <w:tc>
          <w:tcPr>
            <w:tcW w:w="1520" w:type="dxa"/>
            <w:noWrap w:val="0"/>
            <w:vAlign w:val="center"/>
          </w:tcPr>
          <w:p w14:paraId="25508072">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0941C37E">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2*1.5</w:t>
            </w:r>
          </w:p>
        </w:tc>
        <w:tc>
          <w:tcPr>
            <w:tcW w:w="948" w:type="dxa"/>
            <w:noWrap w:val="0"/>
            <w:vAlign w:val="center"/>
          </w:tcPr>
          <w:p w14:paraId="073C8818">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77E87508">
            <w:pPr>
              <w:widowControl/>
              <w:adjustRightInd/>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bidi="ar"/>
              </w:rPr>
              <w:t>598</w:t>
            </w:r>
            <w:r>
              <w:rPr>
                <w:rFonts w:hint="eastAsia" w:ascii="仿宋" w:hAnsi="仿宋" w:eastAsia="仿宋" w:cs="仿宋"/>
                <w:color w:val="auto"/>
                <w:kern w:val="0"/>
                <w:sz w:val="24"/>
                <w:szCs w:val="24"/>
                <w:lang w:val="en-US" w:eastAsia="zh-CN" w:bidi="ar"/>
              </w:rPr>
              <w:t>0</w:t>
            </w:r>
          </w:p>
        </w:tc>
        <w:tc>
          <w:tcPr>
            <w:tcW w:w="3094" w:type="dxa"/>
            <w:noWrap w:val="0"/>
            <w:vAlign w:val="center"/>
          </w:tcPr>
          <w:p w14:paraId="31524996">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±88</w:t>
            </w:r>
          </w:p>
        </w:tc>
      </w:tr>
      <w:tr w14:paraId="3BC7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15C1A05F">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6</w:t>
            </w:r>
          </w:p>
        </w:tc>
        <w:tc>
          <w:tcPr>
            <w:tcW w:w="1520" w:type="dxa"/>
            <w:noWrap w:val="0"/>
            <w:vAlign w:val="center"/>
          </w:tcPr>
          <w:p w14:paraId="75A21C5F">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44D3D555">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2*2.5</w:t>
            </w:r>
          </w:p>
        </w:tc>
        <w:tc>
          <w:tcPr>
            <w:tcW w:w="948" w:type="dxa"/>
            <w:noWrap w:val="0"/>
            <w:vAlign w:val="center"/>
          </w:tcPr>
          <w:p w14:paraId="18F1090E">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0768031B">
            <w:pPr>
              <w:widowControl/>
              <w:adjustRightInd/>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bidi="ar"/>
              </w:rPr>
              <w:t>759</w:t>
            </w:r>
            <w:r>
              <w:rPr>
                <w:rFonts w:hint="eastAsia" w:ascii="仿宋" w:hAnsi="仿宋" w:eastAsia="仿宋" w:cs="仿宋"/>
                <w:color w:val="auto"/>
                <w:kern w:val="0"/>
                <w:sz w:val="24"/>
                <w:szCs w:val="24"/>
                <w:lang w:val="en-US" w:eastAsia="zh-CN" w:bidi="ar"/>
              </w:rPr>
              <w:t>0</w:t>
            </w:r>
          </w:p>
        </w:tc>
        <w:tc>
          <w:tcPr>
            <w:tcW w:w="3094" w:type="dxa"/>
            <w:noWrap w:val="0"/>
            <w:vAlign w:val="center"/>
          </w:tcPr>
          <w:p w14:paraId="033F55E5">
            <w:pPr>
              <w:adjustRightInd/>
              <w:spacing w:line="40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±11</w:t>
            </w:r>
            <w:r>
              <w:rPr>
                <w:rFonts w:hint="eastAsia" w:ascii="仿宋" w:hAnsi="仿宋" w:eastAsia="仿宋" w:cs="仿宋"/>
                <w:color w:val="auto"/>
                <w:kern w:val="0"/>
                <w:sz w:val="24"/>
                <w:szCs w:val="24"/>
                <w:lang w:val="en-US" w:eastAsia="zh-CN"/>
              </w:rPr>
              <w:t>0</w:t>
            </w:r>
          </w:p>
        </w:tc>
      </w:tr>
      <w:tr w14:paraId="61CB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6D2BFE4E">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7</w:t>
            </w:r>
          </w:p>
        </w:tc>
        <w:tc>
          <w:tcPr>
            <w:tcW w:w="1520" w:type="dxa"/>
            <w:noWrap w:val="0"/>
            <w:vAlign w:val="center"/>
          </w:tcPr>
          <w:p w14:paraId="5A3F5000">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22833764">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2*4</w:t>
            </w:r>
          </w:p>
        </w:tc>
        <w:tc>
          <w:tcPr>
            <w:tcW w:w="948" w:type="dxa"/>
            <w:noWrap w:val="0"/>
            <w:vAlign w:val="center"/>
          </w:tcPr>
          <w:p w14:paraId="46C8D332">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3A9591BC">
            <w:pPr>
              <w:widowControl/>
              <w:adjustRightInd/>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bidi="ar"/>
              </w:rPr>
              <w:t>1086</w:t>
            </w:r>
            <w:r>
              <w:rPr>
                <w:rFonts w:hint="eastAsia" w:ascii="仿宋" w:hAnsi="仿宋" w:eastAsia="仿宋" w:cs="仿宋"/>
                <w:color w:val="auto"/>
                <w:kern w:val="0"/>
                <w:sz w:val="24"/>
                <w:szCs w:val="24"/>
                <w:lang w:val="en-US" w:eastAsia="zh-CN" w:bidi="ar"/>
              </w:rPr>
              <w:t>0</w:t>
            </w:r>
          </w:p>
        </w:tc>
        <w:tc>
          <w:tcPr>
            <w:tcW w:w="3094" w:type="dxa"/>
            <w:noWrap w:val="0"/>
            <w:vAlign w:val="center"/>
          </w:tcPr>
          <w:p w14:paraId="57ED12E8">
            <w:pPr>
              <w:adjustRightIn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rPr>
              <w:t>±15</w:t>
            </w:r>
            <w:r>
              <w:rPr>
                <w:rFonts w:hint="eastAsia" w:ascii="仿宋" w:hAnsi="仿宋" w:eastAsia="仿宋" w:cs="仿宋"/>
                <w:color w:val="auto"/>
                <w:kern w:val="0"/>
                <w:sz w:val="24"/>
                <w:szCs w:val="24"/>
                <w:lang w:val="en-US" w:eastAsia="zh-CN"/>
              </w:rPr>
              <w:t>0</w:t>
            </w:r>
          </w:p>
        </w:tc>
      </w:tr>
      <w:tr w14:paraId="79AF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3DA75377">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8</w:t>
            </w:r>
          </w:p>
        </w:tc>
        <w:tc>
          <w:tcPr>
            <w:tcW w:w="1520" w:type="dxa"/>
            <w:noWrap w:val="0"/>
            <w:vAlign w:val="center"/>
          </w:tcPr>
          <w:p w14:paraId="361BE6AD">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27F6CEBC">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2*6</w:t>
            </w:r>
          </w:p>
        </w:tc>
        <w:tc>
          <w:tcPr>
            <w:tcW w:w="948" w:type="dxa"/>
            <w:noWrap w:val="0"/>
            <w:vAlign w:val="center"/>
          </w:tcPr>
          <w:p w14:paraId="4652ADAC">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1528F514">
            <w:pPr>
              <w:widowControl/>
              <w:adjustRightInd/>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bidi="ar"/>
              </w:rPr>
              <w:t>1498</w:t>
            </w:r>
            <w:r>
              <w:rPr>
                <w:rFonts w:hint="eastAsia" w:ascii="仿宋" w:hAnsi="仿宋" w:eastAsia="仿宋" w:cs="仿宋"/>
                <w:color w:val="auto"/>
                <w:kern w:val="0"/>
                <w:sz w:val="24"/>
                <w:szCs w:val="24"/>
                <w:lang w:val="en-US" w:eastAsia="zh-CN" w:bidi="ar"/>
              </w:rPr>
              <w:t>0</w:t>
            </w:r>
          </w:p>
        </w:tc>
        <w:tc>
          <w:tcPr>
            <w:tcW w:w="3094" w:type="dxa"/>
            <w:noWrap w:val="0"/>
            <w:vAlign w:val="center"/>
          </w:tcPr>
          <w:p w14:paraId="21ED2056">
            <w:pPr>
              <w:adjustRightIn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rPr>
              <w:t>±24</w:t>
            </w:r>
            <w:r>
              <w:rPr>
                <w:rFonts w:hint="eastAsia" w:ascii="仿宋" w:hAnsi="仿宋" w:eastAsia="仿宋" w:cs="仿宋"/>
                <w:color w:val="auto"/>
                <w:kern w:val="0"/>
                <w:sz w:val="24"/>
                <w:szCs w:val="24"/>
                <w:lang w:val="en-US" w:eastAsia="zh-CN"/>
              </w:rPr>
              <w:t>0</w:t>
            </w:r>
          </w:p>
        </w:tc>
      </w:tr>
      <w:tr w14:paraId="48D5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075CB872">
            <w:pPr>
              <w:adjustRightInd/>
              <w:spacing w:line="400" w:lineRule="exact"/>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9</w:t>
            </w:r>
          </w:p>
        </w:tc>
        <w:tc>
          <w:tcPr>
            <w:tcW w:w="1520" w:type="dxa"/>
            <w:noWrap w:val="0"/>
            <w:vAlign w:val="center"/>
          </w:tcPr>
          <w:p w14:paraId="27F1AD19">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28C994FF">
            <w:pPr>
              <w:adjustRightInd/>
              <w:spacing w:line="400" w:lineRule="exact"/>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RVV</w:t>
            </w:r>
            <w:r>
              <w:rPr>
                <w:rFonts w:hint="eastAsia" w:ascii="仿宋" w:hAnsi="仿宋" w:eastAsia="仿宋" w:cs="仿宋"/>
                <w:color w:val="auto"/>
                <w:kern w:val="0"/>
                <w:sz w:val="24"/>
                <w:szCs w:val="24"/>
              </w:rPr>
              <w:t xml:space="preserve"> 2*1.5</w:t>
            </w:r>
          </w:p>
        </w:tc>
        <w:tc>
          <w:tcPr>
            <w:tcW w:w="948" w:type="dxa"/>
            <w:noWrap w:val="0"/>
            <w:vAlign w:val="center"/>
          </w:tcPr>
          <w:p w14:paraId="2135D9EA">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49D8EBD5">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369</w:t>
            </w:r>
            <w:r>
              <w:rPr>
                <w:rFonts w:hint="eastAsia" w:ascii="仿宋" w:hAnsi="仿宋" w:eastAsia="仿宋" w:cs="仿宋"/>
                <w:color w:val="auto"/>
                <w:sz w:val="24"/>
                <w:szCs w:val="24"/>
                <w:lang w:val="en-US" w:eastAsia="zh-CN"/>
              </w:rPr>
              <w:t>0</w:t>
            </w:r>
          </w:p>
        </w:tc>
        <w:tc>
          <w:tcPr>
            <w:tcW w:w="3094" w:type="dxa"/>
            <w:noWrap w:val="0"/>
            <w:vAlign w:val="center"/>
          </w:tcPr>
          <w:p w14:paraId="122D7C2E">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±22</w:t>
            </w:r>
          </w:p>
        </w:tc>
      </w:tr>
      <w:tr w14:paraId="18AE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4A7031BF">
            <w:pPr>
              <w:adjustRightInd/>
              <w:spacing w:line="400" w:lineRule="exact"/>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w:t>
            </w:r>
          </w:p>
        </w:tc>
        <w:tc>
          <w:tcPr>
            <w:tcW w:w="1520" w:type="dxa"/>
            <w:noWrap w:val="0"/>
            <w:vAlign w:val="center"/>
          </w:tcPr>
          <w:p w14:paraId="38CBAF6C">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551711EE">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RVV</w:t>
            </w:r>
            <w:r>
              <w:rPr>
                <w:rFonts w:hint="eastAsia" w:ascii="仿宋" w:hAnsi="仿宋" w:eastAsia="仿宋" w:cs="仿宋"/>
                <w:color w:val="auto"/>
                <w:kern w:val="0"/>
                <w:sz w:val="24"/>
                <w:szCs w:val="24"/>
              </w:rPr>
              <w:t xml:space="preserve"> 2*2.5</w:t>
            </w:r>
          </w:p>
        </w:tc>
        <w:tc>
          <w:tcPr>
            <w:tcW w:w="948" w:type="dxa"/>
            <w:noWrap w:val="0"/>
            <w:vAlign w:val="center"/>
          </w:tcPr>
          <w:p w14:paraId="09D141F7">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2E5A1A62">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534</w:t>
            </w:r>
            <w:r>
              <w:rPr>
                <w:rFonts w:hint="eastAsia" w:ascii="仿宋" w:hAnsi="仿宋" w:eastAsia="仿宋" w:cs="仿宋"/>
                <w:color w:val="auto"/>
                <w:sz w:val="24"/>
                <w:szCs w:val="24"/>
                <w:lang w:val="en-US" w:eastAsia="zh-CN"/>
              </w:rPr>
              <w:t>0</w:t>
            </w:r>
          </w:p>
        </w:tc>
        <w:tc>
          <w:tcPr>
            <w:tcW w:w="3094" w:type="dxa"/>
            <w:noWrap w:val="0"/>
            <w:vAlign w:val="center"/>
          </w:tcPr>
          <w:p w14:paraId="79204E98">
            <w:pPr>
              <w:adjustRightInd/>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±28</w:t>
            </w:r>
          </w:p>
        </w:tc>
      </w:tr>
    </w:tbl>
    <w:p w14:paraId="4816B02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bCs w:val="0"/>
          <w:color w:val="auto"/>
          <w:sz w:val="24"/>
          <w:lang w:val="en-US" w:eastAsia="zh-CN"/>
        </w:rPr>
        <w:t>注：本次采购的VV、VV22系列电缆如若供应商提供YJV、YJV22系列的本次采购同样适用，但最高限价按VV、VV22限价不变，超过最高限价投标无效。</w:t>
      </w:r>
    </w:p>
    <w:p w14:paraId="4AF6F4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本次采购包含：</w:t>
      </w:r>
    </w:p>
    <w:p w14:paraId="3B912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1.铜芯聚氯乙烯绝缘聚氯乙烯护套扁型电缆；</w:t>
      </w:r>
    </w:p>
    <w:p w14:paraId="2EACB4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2.铜芯聚氯乙烯绝缘聚氯乙烯护套电力电缆；</w:t>
      </w:r>
    </w:p>
    <w:p w14:paraId="569545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3.聚氯乙烯绝缘钢带铠装聚氯乙烯护套铜芯电力电缆。</w:t>
      </w:r>
    </w:p>
    <w:p w14:paraId="69A420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4.</w:t>
      </w:r>
      <w:r>
        <w:rPr>
          <w:rFonts w:hint="eastAsia" w:ascii="仿宋" w:hAnsi="仿宋" w:eastAsia="仿宋" w:cs="仿宋"/>
          <w:b w:val="0"/>
          <w:bCs/>
          <w:color w:val="auto"/>
          <w:sz w:val="24"/>
        </w:rPr>
        <w:t>电源电缆（基础铜价</w:t>
      </w:r>
      <w:r>
        <w:rPr>
          <w:rFonts w:hint="eastAsia" w:ascii="仿宋" w:hAnsi="仿宋" w:eastAsia="仿宋" w:cs="仿宋"/>
          <w:b w:val="0"/>
          <w:bCs/>
          <w:color w:val="auto"/>
          <w:sz w:val="24"/>
          <w:lang w:val="en-US" w:eastAsia="zh-CN"/>
        </w:rPr>
        <w:t>6</w:t>
      </w:r>
      <w:r>
        <w:rPr>
          <w:rFonts w:hint="eastAsia" w:ascii="仿宋" w:hAnsi="仿宋" w:eastAsia="仿宋" w:cs="仿宋"/>
          <w:b w:val="0"/>
          <w:bCs/>
          <w:color w:val="auto"/>
          <w:sz w:val="24"/>
        </w:rPr>
        <w:t>0000元/吨，每上下浮动超过1000元/吨（含）进行调价。）参照网站上海有色金属网</w:t>
      </w:r>
      <w:r>
        <w:rPr>
          <w:rFonts w:hint="eastAsia" w:ascii="仿宋" w:hAnsi="仿宋" w:eastAsia="仿宋" w:cs="仿宋"/>
          <w:b w:val="0"/>
          <w:bCs/>
          <w:color w:val="auto"/>
          <w:sz w:val="24"/>
        </w:rPr>
        <w:fldChar w:fldCharType="begin"/>
      </w:r>
      <w:r>
        <w:rPr>
          <w:rFonts w:hint="eastAsia" w:ascii="仿宋" w:hAnsi="仿宋" w:eastAsia="仿宋" w:cs="仿宋"/>
          <w:b w:val="0"/>
          <w:bCs/>
          <w:color w:val="auto"/>
          <w:sz w:val="24"/>
        </w:rPr>
        <w:instrText xml:space="preserve"> HYPERLINK </w:instrText>
      </w:r>
      <w:r>
        <w:rPr>
          <w:rFonts w:hint="eastAsia" w:ascii="仿宋" w:hAnsi="仿宋" w:eastAsia="仿宋" w:cs="仿宋"/>
          <w:b w:val="0"/>
          <w:bCs/>
          <w:color w:val="auto"/>
          <w:sz w:val="24"/>
        </w:rPr>
        <w:fldChar w:fldCharType="separate"/>
      </w:r>
      <w:r>
        <w:rPr>
          <w:rFonts w:hint="eastAsia" w:ascii="仿宋" w:hAnsi="仿宋" w:eastAsia="仿宋" w:cs="仿宋"/>
          <w:b w:val="0"/>
          <w:bCs/>
          <w:color w:val="auto"/>
          <w:sz w:val="24"/>
        </w:rPr>
        <w:t>http://ww</w:t>
      </w:r>
      <w:bookmarkStart w:id="74" w:name="_Hlt527385158"/>
      <w:bookmarkStart w:id="75" w:name="_Hlt527385157"/>
      <w:r>
        <w:rPr>
          <w:rFonts w:hint="eastAsia" w:ascii="仿宋" w:hAnsi="仿宋" w:eastAsia="仿宋" w:cs="仿宋"/>
          <w:b w:val="0"/>
          <w:bCs/>
          <w:color w:val="auto"/>
          <w:sz w:val="24"/>
        </w:rPr>
        <w:t>w</w:t>
      </w:r>
      <w:bookmarkEnd w:id="74"/>
      <w:bookmarkEnd w:id="75"/>
      <w:r>
        <w:rPr>
          <w:rFonts w:hint="eastAsia" w:ascii="仿宋" w:hAnsi="仿宋" w:eastAsia="仿宋" w:cs="仿宋"/>
          <w:b w:val="0"/>
          <w:bCs/>
          <w:color w:val="auto"/>
          <w:sz w:val="24"/>
        </w:rPr>
        <w:t xml:space="preserve">.smm.cn </w:t>
      </w:r>
      <w:r>
        <w:rPr>
          <w:rFonts w:hint="eastAsia" w:ascii="仿宋" w:hAnsi="仿宋" w:eastAsia="仿宋" w:cs="仿宋"/>
          <w:b w:val="0"/>
          <w:bCs/>
          <w:color w:val="auto"/>
          <w:sz w:val="24"/>
        </w:rPr>
        <w:fldChar w:fldCharType="end"/>
      </w:r>
      <w:r>
        <w:rPr>
          <w:rFonts w:hint="eastAsia" w:ascii="仿宋" w:hAnsi="仿宋" w:eastAsia="仿宋" w:cs="仿宋"/>
          <w:b w:val="0"/>
          <w:bCs/>
          <w:color w:val="auto"/>
          <w:sz w:val="24"/>
        </w:rPr>
        <w:t>下订单当日1#电解铜价进行调价）</w:t>
      </w:r>
    </w:p>
    <w:p w14:paraId="223634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5.</w:t>
      </w:r>
      <w:r>
        <w:rPr>
          <w:rFonts w:hint="eastAsia" w:ascii="仿宋" w:hAnsi="仿宋" w:eastAsia="仿宋" w:cs="仿宋"/>
          <w:b w:val="0"/>
          <w:bCs/>
          <w:color w:val="auto"/>
          <w:sz w:val="24"/>
        </w:rPr>
        <w:t>在合同期内，具体采购数量以采购人日常下单为准。</w:t>
      </w:r>
    </w:p>
    <w:p w14:paraId="69D1AB16">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1"/>
        <w:rPr>
          <w:rFonts w:hint="default"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四、样品</w:t>
      </w:r>
    </w:p>
    <w:p w14:paraId="06A40CC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1"/>
        <w:rPr>
          <w:rFonts w:hint="eastAsia" w:ascii="仿宋" w:hAnsi="仿宋" w:eastAsia="仿宋" w:cs="仿宋"/>
          <w:b/>
          <w:bCs w:val="0"/>
          <w:color w:val="auto"/>
          <w:sz w:val="24"/>
          <w:lang w:val="en-US" w:eastAsia="zh-CN"/>
        </w:rPr>
      </w:pPr>
      <w:r>
        <w:rPr>
          <w:rFonts w:hint="eastAsia" w:ascii="仿宋" w:hAnsi="仿宋" w:eastAsia="仿宋" w:cs="仿宋"/>
          <w:b w:val="0"/>
          <w:bCs/>
          <w:color w:val="auto"/>
          <w:sz w:val="24"/>
          <w:szCs w:val="24"/>
          <w:highlight w:val="none"/>
          <w:lang w:val="en-US" w:eastAsia="zh-CN"/>
        </w:rPr>
        <w:t>1.投标单位按下表所列提供样品，相关要求如下：</w:t>
      </w:r>
    </w:p>
    <w:tbl>
      <w:tblPr>
        <w:tblStyle w:val="61"/>
        <w:tblW w:w="8966"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10"/>
        <w:gridCol w:w="2366"/>
        <w:gridCol w:w="3480"/>
      </w:tblGrid>
      <w:tr w14:paraId="10EA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0" w:type="dxa"/>
            <w:noWrap w:val="0"/>
            <w:vAlign w:val="center"/>
          </w:tcPr>
          <w:p w14:paraId="19F3BF59">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
                <w:bCs/>
                <w:color w:val="auto"/>
                <w:sz w:val="24"/>
                <w:szCs w:val="24"/>
              </w:rPr>
              <w:t>序号</w:t>
            </w:r>
          </w:p>
        </w:tc>
        <w:tc>
          <w:tcPr>
            <w:tcW w:w="2310" w:type="dxa"/>
            <w:noWrap w:val="0"/>
            <w:vAlign w:val="center"/>
          </w:tcPr>
          <w:p w14:paraId="1AF2D963">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名称</w:t>
            </w:r>
          </w:p>
        </w:tc>
        <w:tc>
          <w:tcPr>
            <w:tcW w:w="2366" w:type="dxa"/>
            <w:noWrap w:val="0"/>
            <w:vAlign w:val="center"/>
          </w:tcPr>
          <w:p w14:paraId="31A24655">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规格</w:t>
            </w:r>
          </w:p>
        </w:tc>
        <w:tc>
          <w:tcPr>
            <w:tcW w:w="3480" w:type="dxa"/>
            <w:noWrap w:val="0"/>
            <w:vAlign w:val="center"/>
          </w:tcPr>
          <w:p w14:paraId="6019ADC4">
            <w:pPr>
              <w:adjustRightInd/>
              <w:spacing w:line="40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备注</w:t>
            </w:r>
          </w:p>
        </w:tc>
      </w:tr>
      <w:tr w14:paraId="1FB7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0" w:type="dxa"/>
            <w:shd w:val="clear" w:color="auto" w:fill="auto"/>
            <w:noWrap w:val="0"/>
            <w:vAlign w:val="center"/>
          </w:tcPr>
          <w:p w14:paraId="748B68E1">
            <w:pPr>
              <w:adjustRightInd/>
              <w:spacing w:line="4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1</w:t>
            </w:r>
          </w:p>
        </w:tc>
        <w:tc>
          <w:tcPr>
            <w:tcW w:w="2310" w:type="dxa"/>
            <w:shd w:val="clear" w:color="auto" w:fill="auto"/>
            <w:noWrap w:val="0"/>
            <w:vAlign w:val="center"/>
          </w:tcPr>
          <w:p w14:paraId="46933BFD">
            <w:pPr>
              <w:adjustRightInd/>
              <w:spacing w:line="4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铜芯电源线</w:t>
            </w:r>
          </w:p>
        </w:tc>
        <w:tc>
          <w:tcPr>
            <w:tcW w:w="2366" w:type="dxa"/>
            <w:shd w:val="clear" w:color="auto" w:fill="auto"/>
            <w:noWrap w:val="0"/>
            <w:vAlign w:val="center"/>
          </w:tcPr>
          <w:p w14:paraId="23D0A03F">
            <w:pPr>
              <w:adjustRightInd/>
              <w:spacing w:line="4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BVVB 2*1.5</w:t>
            </w:r>
          </w:p>
        </w:tc>
        <w:tc>
          <w:tcPr>
            <w:tcW w:w="3480" w:type="dxa"/>
            <w:vMerge w:val="restart"/>
            <w:shd w:val="clear" w:color="auto" w:fill="auto"/>
            <w:noWrap w:val="0"/>
            <w:vAlign w:val="center"/>
          </w:tcPr>
          <w:p w14:paraId="52A9B633">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b/>
                <w:bCs w:val="0"/>
                <w:color w:val="auto"/>
                <w:sz w:val="24"/>
              </w:rPr>
              <w:t>本项目提供样品部分需剥出内部结构展示（提供长度不小于0.</w:t>
            </w:r>
            <w:r>
              <w:rPr>
                <w:rFonts w:hint="eastAsia" w:ascii="仿宋" w:hAnsi="仿宋" w:eastAsia="仿宋" w:cs="仿宋"/>
                <w:b/>
                <w:bCs w:val="0"/>
                <w:color w:val="auto"/>
                <w:sz w:val="24"/>
                <w:lang w:val="en-US" w:eastAsia="zh-CN"/>
              </w:rPr>
              <w:t>15</w:t>
            </w:r>
            <w:r>
              <w:rPr>
                <w:rFonts w:hint="eastAsia" w:ascii="仿宋" w:hAnsi="仿宋" w:eastAsia="仿宋" w:cs="仿宋"/>
                <w:b/>
                <w:bCs w:val="0"/>
                <w:color w:val="auto"/>
                <w:sz w:val="24"/>
              </w:rPr>
              <w:t>米）</w:t>
            </w:r>
          </w:p>
        </w:tc>
      </w:tr>
      <w:tr w14:paraId="064D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0" w:type="dxa"/>
            <w:shd w:val="clear" w:color="auto" w:fill="auto"/>
            <w:noWrap w:val="0"/>
            <w:vAlign w:val="center"/>
          </w:tcPr>
          <w:p w14:paraId="2F7F6D28">
            <w:pPr>
              <w:adjustRightInd/>
              <w:spacing w:line="4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4</w:t>
            </w:r>
          </w:p>
        </w:tc>
        <w:tc>
          <w:tcPr>
            <w:tcW w:w="2310" w:type="dxa"/>
            <w:shd w:val="clear" w:color="auto" w:fill="auto"/>
            <w:noWrap w:val="0"/>
            <w:vAlign w:val="center"/>
          </w:tcPr>
          <w:p w14:paraId="221B6FD8">
            <w:pPr>
              <w:adjustRightInd/>
              <w:spacing w:line="4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铜芯电源线</w:t>
            </w:r>
          </w:p>
        </w:tc>
        <w:tc>
          <w:tcPr>
            <w:tcW w:w="2366" w:type="dxa"/>
            <w:shd w:val="clear" w:color="auto" w:fill="auto"/>
            <w:noWrap w:val="0"/>
            <w:vAlign w:val="center"/>
          </w:tcPr>
          <w:p w14:paraId="1F3200A7">
            <w:pPr>
              <w:adjustRightInd/>
              <w:spacing w:line="4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VV  2*2.5</w:t>
            </w:r>
          </w:p>
        </w:tc>
        <w:tc>
          <w:tcPr>
            <w:tcW w:w="3480" w:type="dxa"/>
            <w:vMerge w:val="continue"/>
            <w:shd w:val="clear" w:color="auto" w:fill="auto"/>
            <w:noWrap w:val="0"/>
            <w:vAlign w:val="center"/>
          </w:tcPr>
          <w:p w14:paraId="7F497DF9">
            <w:pPr>
              <w:adjustRightInd/>
              <w:spacing w:line="400" w:lineRule="exact"/>
              <w:jc w:val="center"/>
              <w:rPr>
                <w:rFonts w:hint="eastAsia" w:ascii="仿宋" w:hAnsi="仿宋" w:eastAsia="仿宋" w:cs="仿宋"/>
                <w:color w:val="auto"/>
                <w:kern w:val="0"/>
                <w:sz w:val="24"/>
                <w:szCs w:val="24"/>
              </w:rPr>
            </w:pPr>
          </w:p>
        </w:tc>
      </w:tr>
      <w:tr w14:paraId="3961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0" w:type="dxa"/>
            <w:shd w:val="clear" w:color="auto" w:fill="auto"/>
            <w:noWrap w:val="0"/>
            <w:vAlign w:val="center"/>
          </w:tcPr>
          <w:p w14:paraId="3781052B">
            <w:pPr>
              <w:adjustRightInd/>
              <w:spacing w:line="4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7</w:t>
            </w:r>
          </w:p>
        </w:tc>
        <w:tc>
          <w:tcPr>
            <w:tcW w:w="2310" w:type="dxa"/>
            <w:shd w:val="clear" w:color="auto" w:fill="auto"/>
            <w:noWrap w:val="0"/>
            <w:vAlign w:val="center"/>
          </w:tcPr>
          <w:p w14:paraId="52778932">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铠装电源线</w:t>
            </w:r>
          </w:p>
        </w:tc>
        <w:tc>
          <w:tcPr>
            <w:tcW w:w="2366" w:type="dxa"/>
            <w:shd w:val="clear" w:color="auto" w:fill="auto"/>
            <w:noWrap w:val="0"/>
            <w:vAlign w:val="center"/>
          </w:tcPr>
          <w:p w14:paraId="52CC9395">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VV22 2*4</w:t>
            </w:r>
          </w:p>
        </w:tc>
        <w:tc>
          <w:tcPr>
            <w:tcW w:w="3480" w:type="dxa"/>
            <w:vMerge w:val="continue"/>
            <w:shd w:val="clear" w:color="auto" w:fill="auto"/>
            <w:noWrap w:val="0"/>
            <w:vAlign w:val="center"/>
          </w:tcPr>
          <w:p w14:paraId="5ED7A6C0">
            <w:pPr>
              <w:adjustRightInd/>
              <w:spacing w:line="400" w:lineRule="exact"/>
              <w:jc w:val="center"/>
              <w:rPr>
                <w:rFonts w:hint="eastAsia" w:ascii="仿宋" w:hAnsi="仿宋" w:eastAsia="仿宋" w:cs="仿宋"/>
                <w:color w:val="auto"/>
                <w:kern w:val="0"/>
                <w:sz w:val="24"/>
                <w:szCs w:val="24"/>
              </w:rPr>
            </w:pPr>
          </w:p>
        </w:tc>
      </w:tr>
      <w:tr w14:paraId="0EC2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0" w:type="dxa"/>
            <w:shd w:val="clear" w:color="auto" w:fill="auto"/>
            <w:noWrap w:val="0"/>
            <w:vAlign w:val="center"/>
          </w:tcPr>
          <w:p w14:paraId="0C35568D">
            <w:pPr>
              <w:adjustRightInd/>
              <w:spacing w:line="4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10</w:t>
            </w:r>
          </w:p>
        </w:tc>
        <w:tc>
          <w:tcPr>
            <w:tcW w:w="2310" w:type="dxa"/>
            <w:shd w:val="clear" w:color="auto" w:fill="auto"/>
            <w:noWrap w:val="0"/>
            <w:vAlign w:val="center"/>
          </w:tcPr>
          <w:p w14:paraId="2B691C3F">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铜芯电源线</w:t>
            </w:r>
          </w:p>
        </w:tc>
        <w:tc>
          <w:tcPr>
            <w:tcW w:w="2366" w:type="dxa"/>
            <w:shd w:val="clear" w:color="auto" w:fill="auto"/>
            <w:noWrap w:val="0"/>
            <w:vAlign w:val="center"/>
          </w:tcPr>
          <w:p w14:paraId="2C4667C3">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RVV</w:t>
            </w:r>
            <w:r>
              <w:rPr>
                <w:rFonts w:hint="eastAsia" w:ascii="仿宋" w:hAnsi="仿宋" w:eastAsia="仿宋" w:cs="仿宋"/>
                <w:color w:val="auto"/>
                <w:kern w:val="0"/>
                <w:sz w:val="24"/>
                <w:szCs w:val="24"/>
              </w:rPr>
              <w:t xml:space="preserve"> 2*2.5</w:t>
            </w:r>
          </w:p>
        </w:tc>
        <w:tc>
          <w:tcPr>
            <w:tcW w:w="3480" w:type="dxa"/>
            <w:vMerge w:val="continue"/>
            <w:shd w:val="clear" w:color="auto" w:fill="auto"/>
            <w:noWrap w:val="0"/>
            <w:vAlign w:val="center"/>
          </w:tcPr>
          <w:p w14:paraId="795537F9">
            <w:pPr>
              <w:adjustRightInd/>
              <w:spacing w:line="400" w:lineRule="exact"/>
              <w:jc w:val="center"/>
              <w:rPr>
                <w:rFonts w:hint="eastAsia" w:ascii="仿宋" w:hAnsi="仿宋" w:eastAsia="仿宋" w:cs="仿宋"/>
                <w:color w:val="auto"/>
                <w:kern w:val="0"/>
                <w:sz w:val="24"/>
                <w:szCs w:val="24"/>
                <w:lang w:val="en-US" w:eastAsia="zh-CN"/>
              </w:rPr>
            </w:pPr>
          </w:p>
        </w:tc>
      </w:tr>
    </w:tbl>
    <w:p w14:paraId="5E65BA11">
      <w:pPr>
        <w:keepNext w:val="0"/>
        <w:keepLines w:val="0"/>
        <w:pageBreakBefore w:val="0"/>
        <w:tabs>
          <w:tab w:val="left" w:pos="517"/>
        </w:tabs>
        <w:kinsoku/>
        <w:wordWrap/>
        <w:overflowPunct/>
        <w:topLinePunct w:val="0"/>
        <w:autoSpaceDE/>
        <w:autoSpaceDN/>
        <w:bidi w:val="0"/>
        <w:adjustRightInd/>
        <w:snapToGrid/>
        <w:spacing w:line="430" w:lineRule="exact"/>
        <w:ind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2.样品递交地点和时间：绍兴平准招标代理有限公司（嵊州市三江街道官河南路333号商会大厦十四层1407室）；2024年12月12日09时00</w:t>
      </w:r>
      <w:bookmarkStart w:id="80" w:name="_GoBack"/>
      <w:bookmarkEnd w:id="80"/>
      <w:r>
        <w:rPr>
          <w:rFonts w:hint="eastAsia" w:ascii="仿宋" w:hAnsi="仿宋" w:eastAsia="仿宋" w:cs="仿宋"/>
          <w:b w:val="0"/>
          <w:bCs/>
          <w:color w:val="auto"/>
          <w:sz w:val="24"/>
          <w:szCs w:val="24"/>
          <w:highlight w:val="none"/>
          <w:lang w:val="en-US" w:eastAsia="zh-CN"/>
        </w:rPr>
        <w:t>分前送至指定地点，逾期不接受样品。</w:t>
      </w:r>
    </w:p>
    <w:p w14:paraId="3820001F">
      <w:pPr>
        <w:keepNext w:val="0"/>
        <w:keepLines w:val="0"/>
        <w:pageBreakBefore w:val="0"/>
        <w:tabs>
          <w:tab w:val="left" w:pos="517"/>
        </w:tabs>
        <w:kinsoku/>
        <w:wordWrap/>
        <w:overflowPunct/>
        <w:topLinePunct w:val="0"/>
        <w:autoSpaceDE/>
        <w:autoSpaceDN/>
        <w:bidi w:val="0"/>
        <w:adjustRightInd/>
        <w:snapToGrid/>
        <w:spacing w:line="430" w:lineRule="exact"/>
        <w:ind w:right="0" w:rightChars="0" w:firstLine="480" w:firstLineChars="200"/>
        <w:jc w:val="left"/>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所有提供的样品不能出现投标人名称或与投标人有关的商标和标记等信息，不能去除商标的应进行遮挡。投标人须对送达的样品进行遮蔽，若因样品未有效遮蔽而导致样品信息泄露，投标人样品分按零分处理。样品未提供、样品不齐全的样品得分为零分。但样品中需有</w:t>
      </w:r>
      <w:r>
        <w:rPr>
          <w:rFonts w:hint="eastAsia" w:ascii="仿宋" w:hAnsi="仿宋" w:eastAsia="仿宋" w:cs="仿宋"/>
          <w:color w:val="auto"/>
          <w:sz w:val="24"/>
          <w:szCs w:val="24"/>
          <w:highlight w:val="none"/>
        </w:rPr>
        <w:t>电缆型号、电压、尺码</w:t>
      </w:r>
      <w:r>
        <w:rPr>
          <w:rFonts w:hint="eastAsia" w:ascii="仿宋" w:hAnsi="仿宋" w:eastAsia="仿宋" w:cs="仿宋"/>
          <w:color w:val="auto"/>
          <w:sz w:val="24"/>
          <w:szCs w:val="24"/>
          <w:highlight w:val="none"/>
          <w:lang w:val="en-US" w:eastAsia="zh-CN"/>
        </w:rPr>
        <w:t>等</w:t>
      </w:r>
      <w:r>
        <w:rPr>
          <w:rFonts w:hint="eastAsia" w:ascii="仿宋" w:hAnsi="仿宋" w:eastAsia="仿宋" w:cs="仿宋"/>
          <w:b w:val="0"/>
          <w:bCs/>
          <w:color w:val="auto"/>
          <w:sz w:val="24"/>
          <w:szCs w:val="24"/>
          <w:highlight w:val="none"/>
          <w:lang w:val="en-US" w:eastAsia="zh-CN"/>
        </w:rPr>
        <w:t>除厂商名称标志外的标识。无标识的，样品分中关于标识部分不得分。</w:t>
      </w:r>
    </w:p>
    <w:p w14:paraId="1A73BC11">
      <w:pPr>
        <w:keepNext w:val="0"/>
        <w:keepLines w:val="0"/>
        <w:pageBreakBefore w:val="0"/>
        <w:widowControl w:val="0"/>
        <w:kinsoku/>
        <w:wordWrap/>
        <w:overflowPunct/>
        <w:topLinePunct w:val="0"/>
        <w:bidi w:val="0"/>
        <w:snapToGrid w:val="0"/>
        <w:spacing w:line="440" w:lineRule="exact"/>
        <w:ind w:firstLine="480" w:firstLineChars="200"/>
        <w:outlineLvl w:val="1"/>
        <w:rPr>
          <w:rFonts w:ascii="仿宋" w:hAnsi="仿宋" w:eastAsia="仿宋" w:cs="仿宋"/>
          <w:b/>
          <w:bCs/>
          <w:color w:val="auto"/>
          <w:sz w:val="24"/>
        </w:rPr>
      </w:pPr>
      <w:r>
        <w:rPr>
          <w:rFonts w:hint="eastAsia" w:ascii="仿宋" w:hAnsi="仿宋" w:eastAsia="仿宋" w:cs="仿宋"/>
          <w:b w:val="0"/>
          <w:bCs/>
          <w:color w:val="auto"/>
          <w:sz w:val="24"/>
          <w:szCs w:val="24"/>
          <w:highlight w:val="none"/>
          <w:lang w:val="en-US" w:eastAsia="zh-CN"/>
        </w:rPr>
        <w:t>4.“样品”的退返：开标结束后，预中标单位的样品将由采购人封存作为以后验收的标准和依据；未中标投标人的样品须在评标结束三个工作日内自行取回。若未在规定时间内取回，视为自动放弃，采购人、代理机构自行处置未取回的样品，不承担损坏、遗失等保管责任。样品的制作、运输和保管样品所发生的一切费用由投标人自理。</w:t>
      </w:r>
    </w:p>
    <w:p w14:paraId="7B6C22F6">
      <w:pPr>
        <w:keepNext w:val="0"/>
        <w:keepLines w:val="0"/>
        <w:pageBreakBefore w:val="0"/>
        <w:widowControl w:val="0"/>
        <w:kinsoku/>
        <w:wordWrap/>
        <w:overflowPunct/>
        <w:topLinePunct w:val="0"/>
        <w:bidi w:val="0"/>
        <w:snapToGrid w:val="0"/>
        <w:spacing w:line="440" w:lineRule="exact"/>
        <w:ind w:firstLine="482" w:firstLineChars="200"/>
        <w:outlineLvl w:val="1"/>
        <w:rPr>
          <w:rFonts w:hint="default" w:ascii="仿宋" w:hAnsi="仿宋" w:eastAsia="仿宋" w:cs="仿宋"/>
          <w:b/>
          <w:color w:val="auto"/>
          <w:sz w:val="24"/>
          <w:szCs w:val="24"/>
          <w:lang w:val="en-US" w:eastAsia="zh-CN"/>
        </w:rPr>
      </w:pPr>
      <w:r>
        <w:rPr>
          <w:rFonts w:ascii="仿宋" w:hAnsi="仿宋" w:eastAsia="仿宋" w:cs="仿宋"/>
          <w:b/>
          <w:bCs/>
          <w:color w:val="auto"/>
          <w:sz w:val="24"/>
        </w:rPr>
        <w:t>★</w:t>
      </w:r>
      <w:r>
        <w:rPr>
          <w:rFonts w:hint="eastAsia" w:ascii="仿宋" w:hAnsi="仿宋" w:eastAsia="仿宋" w:cs="仿宋"/>
          <w:b/>
          <w:bCs/>
          <w:color w:val="auto"/>
          <w:sz w:val="24"/>
          <w:lang w:val="en-US" w:eastAsia="zh-CN"/>
        </w:rPr>
        <w:t>五</w:t>
      </w:r>
      <w:r>
        <w:rPr>
          <w:rFonts w:hint="eastAsia" w:ascii="仿宋" w:hAnsi="仿宋" w:eastAsia="仿宋" w:cs="仿宋"/>
          <w:b/>
          <w:bCs/>
          <w:color w:val="auto"/>
          <w:sz w:val="24"/>
          <w:szCs w:val="24"/>
          <w:lang w:val="en-US" w:eastAsia="zh-CN"/>
        </w:rPr>
        <w:t>、商务条款</w:t>
      </w:r>
    </w:p>
    <w:tbl>
      <w:tblPr>
        <w:tblStyle w:val="61"/>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7876"/>
      </w:tblGrid>
      <w:tr w14:paraId="62E9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5" w:type="dxa"/>
            <w:noWrap w:val="0"/>
            <w:vAlign w:val="center"/>
          </w:tcPr>
          <w:p w14:paraId="169B565D">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供货要求</w:t>
            </w:r>
          </w:p>
        </w:tc>
        <w:tc>
          <w:tcPr>
            <w:tcW w:w="7876" w:type="dxa"/>
            <w:noWrap w:val="0"/>
            <w:vAlign w:val="top"/>
          </w:tcPr>
          <w:p w14:paraId="7F14E4BB">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1.供货期限为签订协议之日起一年。</w:t>
            </w:r>
          </w:p>
          <w:p w14:paraId="504BCD05">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2.成交供应商在接到采购人电话或书面通知十日内，货物按照其与采购人事先直接联系约定（使用单位地址、联系人等），将所供货物运至需方指定地点，交采购人数量外观验收。</w:t>
            </w:r>
          </w:p>
          <w:p w14:paraId="7CC06024">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3.在所供货物交付使用时，成交供应商必须向采购人提供质量保证书、保修卡等必须具备的相关资料和必备的附件。</w:t>
            </w:r>
          </w:p>
        </w:tc>
      </w:tr>
      <w:tr w14:paraId="2967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25" w:type="dxa"/>
            <w:noWrap w:val="0"/>
            <w:vAlign w:val="center"/>
          </w:tcPr>
          <w:p w14:paraId="62C94618">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验收</w:t>
            </w:r>
          </w:p>
        </w:tc>
        <w:tc>
          <w:tcPr>
            <w:tcW w:w="7876" w:type="dxa"/>
            <w:noWrap w:val="0"/>
            <w:vAlign w:val="center"/>
          </w:tcPr>
          <w:p w14:paraId="388BE376">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1.成交供应商将所供货物运至交货地点后，由采购人当场清点数量。货到后，采购人需在五个工作日内验收数量，签收到货单。该等验收仅确认数量，产品的内在质量以实际使用为准。</w:t>
            </w:r>
          </w:p>
          <w:p w14:paraId="72889294">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2.验收产生的所有费用由成交供应商承担。</w:t>
            </w:r>
          </w:p>
        </w:tc>
      </w:tr>
      <w:tr w14:paraId="350C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25" w:type="dxa"/>
            <w:noWrap w:val="0"/>
            <w:vAlign w:val="center"/>
          </w:tcPr>
          <w:p w14:paraId="0FECA478">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质保期</w:t>
            </w:r>
          </w:p>
        </w:tc>
        <w:tc>
          <w:tcPr>
            <w:tcW w:w="7876" w:type="dxa"/>
            <w:noWrap w:val="0"/>
            <w:vAlign w:val="center"/>
          </w:tcPr>
          <w:p w14:paraId="56A6E4E6">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3年。从收货验收合格之日起计算。</w:t>
            </w:r>
          </w:p>
        </w:tc>
      </w:tr>
      <w:tr w14:paraId="7996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25" w:type="dxa"/>
            <w:shd w:val="clear" w:color="auto" w:fill="auto"/>
            <w:noWrap w:val="0"/>
            <w:vAlign w:val="center"/>
          </w:tcPr>
          <w:p w14:paraId="243CFC11">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付款方式</w:t>
            </w:r>
          </w:p>
        </w:tc>
        <w:tc>
          <w:tcPr>
            <w:tcW w:w="7876" w:type="dxa"/>
            <w:shd w:val="clear" w:color="auto" w:fill="auto"/>
            <w:noWrap w:val="0"/>
            <w:vAlign w:val="center"/>
          </w:tcPr>
          <w:p w14:paraId="11A3879E">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成交供应商按采购单位的采购清单和供货时间供货，并送达指定地点，到货验收后第二个月支付货款100%。</w:t>
            </w:r>
          </w:p>
          <w:p w14:paraId="42C8187D">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成交供应商未开具发票的，采购单位有权不予付款，且不视该行为为违约。</w:t>
            </w:r>
          </w:p>
        </w:tc>
      </w:tr>
      <w:tr w14:paraId="52DB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25" w:type="dxa"/>
            <w:noWrap w:val="0"/>
            <w:vAlign w:val="center"/>
          </w:tcPr>
          <w:p w14:paraId="158396D5">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质量保证</w:t>
            </w:r>
          </w:p>
        </w:tc>
        <w:tc>
          <w:tcPr>
            <w:tcW w:w="7876" w:type="dxa"/>
            <w:noWrap w:val="0"/>
            <w:vAlign w:val="center"/>
          </w:tcPr>
          <w:p w14:paraId="1981FBB8">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成交供应商保证本合同中所供应的国产商品是2024年8月份后生产的符合国家技术规格和质量标准的全新出厂合格产品；如发生所供商品与合同不符，质量不合格的，采购人有权拒收或退货，如收货后使用过程中才发现该情形的，采购人有权拒绝支付该批次货款或者要求成交供应商归还该批次的全部货款，由此产生的一切责任和后果由成交供应商承担。上述供货情况出现二次的，采购人可单方面解除合同，要求成交供应商按总货值的30%支付违约金。</w:t>
            </w:r>
          </w:p>
        </w:tc>
      </w:tr>
      <w:tr w14:paraId="387B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25" w:type="dxa"/>
            <w:noWrap w:val="0"/>
            <w:vAlign w:val="center"/>
          </w:tcPr>
          <w:p w14:paraId="32264302">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售后服务</w:t>
            </w:r>
          </w:p>
        </w:tc>
        <w:tc>
          <w:tcPr>
            <w:tcW w:w="7876" w:type="dxa"/>
            <w:noWrap w:val="0"/>
            <w:vAlign w:val="center"/>
          </w:tcPr>
          <w:p w14:paraId="48D91727">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1.由</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提供的设备，符合国家颁布的质量认证标准和</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的产品技术标准，并符合采购人的技术规范书要求和国家、行业标准要求，经检验合格后出厂。</w:t>
            </w:r>
          </w:p>
          <w:p w14:paraId="13A043ED">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接到客户采购单之日起，立即组织发货，保证在采购人要求时间内把货送到采购人指定地点。</w:t>
            </w:r>
          </w:p>
          <w:p w14:paraId="549303A6">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3.设备质保期为收货之日起3年，在质保期内对不合格或存在质量问题的产品予以免费更换，直到采购人满意为止。调换后产品的质保期从调换之日起重新计算。</w:t>
            </w:r>
          </w:p>
          <w:p w14:paraId="30E50C94">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竭诚为客户服务，24小时中均有服务人员接听服务电话。</w:t>
            </w:r>
          </w:p>
          <w:p w14:paraId="1AB183F1">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无偿为采购人和施工方提供技术服务。</w:t>
            </w:r>
          </w:p>
          <w:p w14:paraId="03263751">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6.质保期内</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未履行质保义务或未能实质性解决问题的，采购人有权另请他人维修，所产生的费用由</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加倍赔偿。质保期满后，若有附件出现问题，则由</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负责成本价更换。</w:t>
            </w:r>
          </w:p>
          <w:p w14:paraId="55B5CE42">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7.质保期满后，应采购人要求，</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以此次招标价格为基准向采购人提供所需配件，配件价格不得高于当时的市场价格。</w:t>
            </w:r>
          </w:p>
          <w:p w14:paraId="5658A297">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8.质量保证期外的售后服务由</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销售部下的售后服务机构负责，</w:t>
            </w:r>
            <w:r>
              <w:rPr>
                <w:rFonts w:hint="eastAsia" w:ascii="仿宋" w:hAnsi="仿宋" w:eastAsia="仿宋" w:cs="仿宋"/>
                <w:b w:val="0"/>
                <w:bCs/>
                <w:color w:val="auto"/>
                <w:sz w:val="24"/>
                <w:szCs w:val="24"/>
                <w:highlight w:val="none"/>
                <w:lang w:val="en-US" w:eastAsia="zh-CN"/>
              </w:rPr>
              <w:t>成交供应商有</w:t>
            </w:r>
            <w:r>
              <w:rPr>
                <w:rFonts w:hint="eastAsia" w:ascii="仿宋" w:hAnsi="仿宋" w:eastAsia="仿宋" w:cs="仿宋"/>
                <w:color w:val="auto"/>
                <w:kern w:val="2"/>
                <w:sz w:val="24"/>
                <w:szCs w:val="24"/>
                <w:highlight w:val="none"/>
                <w:lang w:val="en-US" w:eastAsia="zh-CN" w:bidi="ar-SA"/>
              </w:rPr>
              <w:t>专人24小时内接听服务电话，并在短时间内反馈给相应的部门。</w:t>
            </w:r>
          </w:p>
          <w:p w14:paraId="27656E6F">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9.接到采购人故障电话后，</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立即响应，并在两天之内把采购人急需的材料免运费送到采购人指定地点。</w:t>
            </w:r>
          </w:p>
          <w:p w14:paraId="5C299DA8">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为采购人免费提供终身的产品技术支持。</w:t>
            </w:r>
          </w:p>
        </w:tc>
      </w:tr>
      <w:tr w14:paraId="54FB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25" w:type="dxa"/>
            <w:noWrap w:val="0"/>
            <w:vAlign w:val="center"/>
          </w:tcPr>
          <w:p w14:paraId="43C2460D">
            <w:pPr>
              <w:pStyle w:val="28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bidi="ar-SA"/>
              </w:rPr>
              <w:t>安全责任</w:t>
            </w:r>
          </w:p>
        </w:tc>
        <w:tc>
          <w:tcPr>
            <w:tcW w:w="7876" w:type="dxa"/>
            <w:noWrap w:val="0"/>
            <w:vAlign w:val="top"/>
          </w:tcPr>
          <w:p w14:paraId="3B00985F">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1.现场作业人员安全由成交供应商负责。必须保证人员安全，做好预防保护工作，供应商中标后必须为本项目所招用的每一个工人办好人身意外保险。</w:t>
            </w:r>
          </w:p>
          <w:p w14:paraId="5E1DBC68">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2.在项目实施期间，发生的一切与本项目相关的安全责任均由供应商承担，与采购人无关。</w:t>
            </w:r>
          </w:p>
        </w:tc>
      </w:tr>
      <w:tr w14:paraId="3CF0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25" w:type="dxa"/>
            <w:noWrap w:val="0"/>
            <w:vAlign w:val="center"/>
          </w:tcPr>
          <w:p w14:paraId="3C09AFCB">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报价要求</w:t>
            </w:r>
          </w:p>
        </w:tc>
        <w:tc>
          <w:tcPr>
            <w:tcW w:w="7876" w:type="dxa"/>
            <w:noWrap w:val="0"/>
            <w:vAlign w:val="center"/>
          </w:tcPr>
          <w:p w14:paraId="5F1B143B">
            <w:pPr>
              <w:keepNext w:val="0"/>
              <w:keepLines w:val="0"/>
              <w:pageBreakBefore w:val="0"/>
              <w:widowControl/>
              <w:kinsoku/>
              <w:wordWrap/>
              <w:overflowPunct/>
              <w:topLinePunct w:val="0"/>
              <w:autoSpaceDE/>
              <w:autoSpaceDN/>
              <w:bidi w:val="0"/>
              <w:spacing w:line="42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所有产品成交单价均包含货款、运输、包装、税费、保险、保修、招标代理服务费及相关服务等费用。</w:t>
            </w:r>
          </w:p>
        </w:tc>
      </w:tr>
      <w:tr w14:paraId="2787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25" w:type="dxa"/>
            <w:noWrap w:val="0"/>
            <w:vAlign w:val="center"/>
          </w:tcPr>
          <w:p w14:paraId="409DD10C">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定点采购期限</w:t>
            </w:r>
          </w:p>
        </w:tc>
        <w:tc>
          <w:tcPr>
            <w:tcW w:w="7876" w:type="dxa"/>
            <w:noWrap w:val="0"/>
            <w:vAlign w:val="center"/>
          </w:tcPr>
          <w:p w14:paraId="5257CF2B">
            <w:pPr>
              <w:keepNext w:val="0"/>
              <w:keepLines w:val="0"/>
              <w:pageBreakBefore w:val="0"/>
              <w:widowControl/>
              <w:kinsoku/>
              <w:wordWrap/>
              <w:overflowPunct/>
              <w:topLinePunct w:val="0"/>
              <w:autoSpaceDE/>
              <w:autoSpaceDN/>
              <w:bidi w:val="0"/>
              <w:spacing w:line="42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自签订协议之日起一年，若遇重大政策调整，则需按政策相应调整，或重新招标。到期未重新招标则本合同顺延到新的招标结果生效且首批供货验收合格入库之日止。</w:t>
            </w:r>
          </w:p>
        </w:tc>
      </w:tr>
      <w:tr w14:paraId="7533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25" w:type="dxa"/>
            <w:noWrap w:val="0"/>
            <w:vAlign w:val="center"/>
          </w:tcPr>
          <w:p w14:paraId="6D20F70B">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其他</w:t>
            </w:r>
          </w:p>
        </w:tc>
        <w:tc>
          <w:tcPr>
            <w:tcW w:w="7876" w:type="dxa"/>
            <w:noWrap w:val="0"/>
            <w:vAlign w:val="center"/>
          </w:tcPr>
          <w:p w14:paraId="2B4CED91">
            <w:pPr>
              <w:keepNext w:val="0"/>
              <w:keepLines w:val="0"/>
              <w:pageBreakBefore w:val="0"/>
              <w:widowControl/>
              <w:kinsoku/>
              <w:wordWrap/>
              <w:overflowPunct/>
              <w:topLinePunct w:val="0"/>
              <w:autoSpaceDE/>
              <w:autoSpaceDN/>
              <w:bidi w:val="0"/>
              <w:spacing w:line="42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成交供应商对采购人下达的任何一项任务必须无条件接受，不得推托，如果无故推托3次以上，则采购人有权解除合同。</w:t>
            </w:r>
          </w:p>
        </w:tc>
      </w:tr>
    </w:tbl>
    <w:p w14:paraId="514DA0AE">
      <w:pPr>
        <w:snapToGrid w:val="0"/>
        <w:spacing w:line="360" w:lineRule="auto"/>
        <w:ind w:firstLine="420" w:firstLineChars="200"/>
        <w:outlineLvl w:val="1"/>
        <w:rPr>
          <w:rFonts w:hint="default"/>
          <w:color w:val="auto"/>
          <w:lang w:val="en-US" w:eastAsia="zh-CN"/>
        </w:rPr>
      </w:pPr>
    </w:p>
    <w:p w14:paraId="24EC655E">
      <w:pPr>
        <w:jc w:val="center"/>
        <w:rPr>
          <w:rFonts w:ascii="仿宋" w:hAnsi="仿宋" w:eastAsia="仿宋" w:cs="仿宋"/>
          <w:b/>
          <w:color w:val="auto"/>
          <w:sz w:val="36"/>
          <w:szCs w:val="36"/>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四</w:t>
      </w:r>
      <w:r>
        <w:rPr>
          <w:rFonts w:hint="eastAsia" w:ascii="仿宋" w:hAnsi="仿宋" w:eastAsia="仿宋" w:cs="仿宋"/>
          <w:b/>
          <w:color w:val="auto"/>
          <w:sz w:val="36"/>
          <w:szCs w:val="36"/>
        </w:rPr>
        <w:t>部分</w:t>
      </w:r>
      <w:r>
        <w:rPr>
          <w:rFonts w:hint="eastAsia" w:ascii="仿宋" w:hAnsi="仿宋" w:eastAsia="仿宋" w:cs="仿宋"/>
          <w:b/>
          <w:color w:val="auto"/>
          <w:sz w:val="36"/>
          <w:szCs w:val="36"/>
          <w:lang w:val="en-US" w:eastAsia="zh-CN"/>
        </w:rPr>
        <w:t xml:space="preserve"> </w:t>
      </w:r>
      <w:r>
        <w:rPr>
          <w:rFonts w:hint="eastAsia" w:ascii="仿宋" w:hAnsi="仿宋" w:eastAsia="仿宋" w:cs="仿宋"/>
          <w:b/>
          <w:color w:val="auto"/>
          <w:sz w:val="36"/>
          <w:szCs w:val="36"/>
        </w:rPr>
        <w:t>评审方法及评审标准</w:t>
      </w:r>
    </w:p>
    <w:p w14:paraId="4A0BC84C">
      <w:pPr>
        <w:keepNext w:val="0"/>
        <w:keepLines w:val="0"/>
        <w:pageBreakBefore w:val="0"/>
        <w:widowControl w:val="0"/>
        <w:kinsoku/>
        <w:wordWrap/>
        <w:overflowPunct/>
        <w:topLinePunct w:val="0"/>
        <w:autoSpaceDE/>
        <w:autoSpaceDN/>
        <w:bidi w:val="0"/>
        <w:adjustRightInd w:val="0"/>
        <w:snapToGrid/>
        <w:spacing w:line="430" w:lineRule="exact"/>
        <w:jc w:val="left"/>
        <w:textAlignment w:val="auto"/>
        <w:rPr>
          <w:rFonts w:ascii="仿宋" w:hAnsi="仿宋" w:eastAsia="仿宋" w:cs="仿宋"/>
          <w:b/>
          <w:color w:val="auto"/>
          <w:sz w:val="24"/>
        </w:rPr>
      </w:pPr>
      <w:r>
        <w:rPr>
          <w:rFonts w:hint="eastAsia" w:ascii="仿宋" w:hAnsi="仿宋" w:eastAsia="仿宋" w:cs="仿宋"/>
          <w:b/>
          <w:color w:val="auto"/>
          <w:sz w:val="24"/>
          <w:lang w:val="en-US" w:eastAsia="zh-CN"/>
        </w:rPr>
        <w:t>1.</w:t>
      </w:r>
      <w:r>
        <w:rPr>
          <w:rFonts w:ascii="仿宋" w:hAnsi="仿宋" w:eastAsia="仿宋" w:cs="仿宋"/>
          <w:b/>
          <w:color w:val="auto"/>
          <w:sz w:val="24"/>
        </w:rPr>
        <w:t>磋商方法：</w:t>
      </w:r>
    </w:p>
    <w:p w14:paraId="251FA853">
      <w:pPr>
        <w:keepNext w:val="0"/>
        <w:keepLines w:val="0"/>
        <w:pageBreakBefore w:val="0"/>
        <w:widowControl w:val="0"/>
        <w:kinsoku/>
        <w:wordWrap/>
        <w:overflowPunct/>
        <w:topLinePunct w:val="0"/>
        <w:autoSpaceDE/>
        <w:autoSpaceDN/>
        <w:bidi w:val="0"/>
        <w:adjustRightInd w:val="0"/>
        <w:snapToGrid/>
        <w:spacing w:line="43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4C116C16">
      <w:pPr>
        <w:keepNext w:val="0"/>
        <w:keepLines w:val="0"/>
        <w:pageBreakBefore w:val="0"/>
        <w:widowControl w:val="0"/>
        <w:kinsoku/>
        <w:wordWrap/>
        <w:overflowPunct/>
        <w:topLinePunct w:val="0"/>
        <w:autoSpaceDE/>
        <w:autoSpaceDN/>
        <w:bidi w:val="0"/>
        <w:adjustRightInd w:val="0"/>
        <w:snapToGrid/>
        <w:spacing w:line="430" w:lineRule="exact"/>
        <w:ind w:firstLine="480" w:firstLineChars="200"/>
        <w:jc w:val="left"/>
        <w:textAlignment w:val="auto"/>
        <w:rPr>
          <w:rFonts w:ascii="仿宋" w:hAnsi="仿宋" w:eastAsia="仿宋" w:cs="仿宋"/>
          <w:color w:val="auto"/>
          <w:sz w:val="24"/>
        </w:rPr>
      </w:pPr>
      <w:r>
        <w:rPr>
          <w:rFonts w:hint="eastAsia" w:ascii="仿宋" w:hAnsi="仿宋" w:eastAsia="仿宋" w:cs="仿宋"/>
          <w:b w:val="0"/>
          <w:bCs/>
          <w:color w:val="auto"/>
          <w:sz w:val="24"/>
        </w:rPr>
        <w:t>评标结束后，采购人根据评标委员会提交的评审报告和推荐意见，对进入候选的</w:t>
      </w:r>
      <w:r>
        <w:rPr>
          <w:rFonts w:hint="eastAsia" w:ascii="仿宋" w:hAnsi="仿宋" w:eastAsia="仿宋" w:cs="仿宋"/>
          <w:b w:val="0"/>
          <w:bCs/>
          <w:color w:val="auto"/>
          <w:sz w:val="24"/>
          <w:lang w:val="en-US" w:eastAsia="zh-CN"/>
        </w:rPr>
        <w:t>供应商</w:t>
      </w:r>
      <w:r>
        <w:rPr>
          <w:rFonts w:hint="eastAsia" w:ascii="仿宋" w:hAnsi="仿宋" w:eastAsia="仿宋" w:cs="仿宋"/>
          <w:b w:val="0"/>
          <w:bCs/>
          <w:color w:val="auto"/>
          <w:sz w:val="24"/>
        </w:rPr>
        <w:t>进行最终审查。终审后根据推荐的候选</w:t>
      </w:r>
      <w:r>
        <w:rPr>
          <w:rFonts w:hint="eastAsia" w:ascii="仿宋" w:hAnsi="仿宋" w:eastAsia="仿宋" w:cs="仿宋"/>
          <w:b w:val="0"/>
          <w:bCs/>
          <w:color w:val="auto"/>
          <w:sz w:val="24"/>
          <w:lang w:val="en-US" w:eastAsia="zh-CN"/>
        </w:rPr>
        <w:t>成交供应商</w:t>
      </w:r>
      <w:r>
        <w:rPr>
          <w:rFonts w:hint="eastAsia" w:ascii="仿宋" w:hAnsi="仿宋" w:eastAsia="仿宋" w:cs="仿宋"/>
          <w:b w:val="0"/>
          <w:bCs/>
          <w:color w:val="auto"/>
          <w:sz w:val="24"/>
        </w:rPr>
        <w:t>情况确定</w:t>
      </w:r>
      <w:r>
        <w:rPr>
          <w:rFonts w:hint="eastAsia" w:ascii="仿宋" w:hAnsi="仿宋" w:eastAsia="仿宋" w:cs="仿宋"/>
          <w:b w:val="0"/>
          <w:bCs/>
          <w:color w:val="auto"/>
          <w:sz w:val="24"/>
          <w:lang w:val="en-US" w:eastAsia="zh-CN"/>
        </w:rPr>
        <w:t>成交</w:t>
      </w:r>
      <w:r>
        <w:rPr>
          <w:rFonts w:hint="eastAsia" w:ascii="仿宋" w:hAnsi="仿宋" w:eastAsia="仿宋" w:cs="仿宋"/>
          <w:b w:val="0"/>
          <w:bCs/>
          <w:color w:val="auto"/>
          <w:sz w:val="24"/>
        </w:rPr>
        <w:t>单位。最低报价不是中标的唯一保证。</w:t>
      </w:r>
      <w:r>
        <w:rPr>
          <w:rFonts w:hint="eastAsia" w:ascii="仿宋" w:hAnsi="仿宋" w:eastAsia="仿宋" w:cs="仿宋"/>
          <w:b w:val="0"/>
          <w:bCs/>
          <w:color w:val="auto"/>
          <w:sz w:val="24"/>
          <w:lang w:val="en-US" w:eastAsia="zh-CN"/>
        </w:rPr>
        <w:t>整个磋商</w:t>
      </w:r>
      <w:r>
        <w:rPr>
          <w:rFonts w:hint="eastAsia" w:ascii="仿宋" w:hAnsi="仿宋" w:eastAsia="仿宋" w:cs="仿宋"/>
          <w:b w:val="0"/>
          <w:bCs/>
          <w:color w:val="auto"/>
          <w:sz w:val="24"/>
          <w:highlight w:val="none"/>
          <w:lang w:val="en-US" w:eastAsia="zh-CN"/>
        </w:rPr>
        <w:t>过程应严格保密，磋商小组成员及工作人员应严格遵守纪律，不得泄漏任何评标信息。</w:t>
      </w:r>
    </w:p>
    <w:p w14:paraId="60736EF2">
      <w:pPr>
        <w:keepNext w:val="0"/>
        <w:keepLines w:val="0"/>
        <w:pageBreakBefore w:val="0"/>
        <w:widowControl w:val="0"/>
        <w:kinsoku/>
        <w:wordWrap/>
        <w:overflowPunct/>
        <w:topLinePunct w:val="0"/>
        <w:autoSpaceDE/>
        <w:autoSpaceDN/>
        <w:bidi w:val="0"/>
        <w:adjustRightInd w:val="0"/>
        <w:snapToGrid/>
        <w:spacing w:line="430" w:lineRule="exact"/>
        <w:textAlignment w:val="auto"/>
        <w:rPr>
          <w:rFonts w:ascii="仿宋" w:hAnsi="仿宋" w:eastAsia="仿宋" w:cs="仿宋"/>
          <w:color w:val="auto"/>
          <w:sz w:val="24"/>
        </w:rPr>
      </w:pPr>
      <w:r>
        <w:rPr>
          <w:rFonts w:ascii="仿宋" w:hAnsi="仿宋" w:eastAsia="仿宋" w:cs="仿宋"/>
          <w:b/>
          <w:color w:val="auto"/>
          <w:sz w:val="24"/>
        </w:rPr>
        <w:t>2.评审标准：</w:t>
      </w:r>
      <w:r>
        <w:rPr>
          <w:rFonts w:hint="eastAsia" w:ascii="仿宋" w:hAnsi="仿宋" w:eastAsia="仿宋" w:cs="仿宋"/>
          <w:color w:val="auto"/>
          <w:sz w:val="24"/>
        </w:rPr>
        <w:t>共</w:t>
      </w:r>
      <w:r>
        <w:rPr>
          <w:rFonts w:ascii="仿宋" w:hAnsi="仿宋" w:eastAsia="仿宋" w:cs="仿宋"/>
          <w:color w:val="auto"/>
          <w:sz w:val="24"/>
        </w:rPr>
        <w:t>100分，其中商务技术分</w:t>
      </w:r>
      <w:r>
        <w:rPr>
          <w:rFonts w:hint="eastAsia" w:ascii="仿宋" w:hAnsi="仿宋" w:eastAsia="仿宋" w:cs="仿宋"/>
          <w:color w:val="auto"/>
          <w:sz w:val="24"/>
          <w:lang w:val="en-US" w:eastAsia="zh-CN"/>
        </w:rPr>
        <w:t>50</w:t>
      </w:r>
      <w:r>
        <w:rPr>
          <w:rFonts w:hint="eastAsia" w:ascii="仿宋" w:hAnsi="仿宋" w:eastAsia="仿宋" w:cs="仿宋"/>
          <w:color w:val="auto"/>
          <w:sz w:val="24"/>
        </w:rPr>
        <w:t>分，价格分</w:t>
      </w:r>
      <w:r>
        <w:rPr>
          <w:rFonts w:hint="eastAsia" w:ascii="仿宋" w:hAnsi="仿宋" w:eastAsia="仿宋" w:cs="仿宋"/>
          <w:color w:val="auto"/>
          <w:sz w:val="24"/>
          <w:lang w:val="en-US" w:eastAsia="zh-CN"/>
        </w:rPr>
        <w:t>50</w:t>
      </w:r>
      <w:r>
        <w:rPr>
          <w:rFonts w:hint="eastAsia" w:ascii="仿宋" w:hAnsi="仿宋" w:eastAsia="仿宋" w:cs="仿宋"/>
          <w:color w:val="auto"/>
          <w:sz w:val="24"/>
        </w:rPr>
        <w:t>分。评分依下述所列为评审打分依据，分值如下（计算分值时，按其算术平均值保留小数</w:t>
      </w:r>
      <w:r>
        <w:rPr>
          <w:rFonts w:ascii="仿宋" w:hAnsi="仿宋" w:eastAsia="仿宋" w:cs="仿宋"/>
          <w:color w:val="auto"/>
          <w:sz w:val="24"/>
        </w:rPr>
        <w:t>2位）。</w:t>
      </w:r>
    </w:p>
    <w:p w14:paraId="4F0C0F2D">
      <w:pPr>
        <w:keepNext w:val="0"/>
        <w:keepLines w:val="0"/>
        <w:pageBreakBefore w:val="0"/>
        <w:widowControl w:val="0"/>
        <w:kinsoku/>
        <w:wordWrap/>
        <w:overflowPunct/>
        <w:topLinePunct w:val="0"/>
        <w:autoSpaceDE/>
        <w:autoSpaceDN/>
        <w:bidi w:val="0"/>
        <w:adjustRightInd w:val="0"/>
        <w:snapToGrid/>
        <w:spacing w:line="430" w:lineRule="exact"/>
        <w:ind w:firstLine="482" w:firstLineChars="200"/>
        <w:textAlignment w:val="auto"/>
        <w:rPr>
          <w:rFonts w:hint="eastAsia" w:ascii="仿宋" w:hAnsi="仿宋" w:eastAsia="仿宋" w:cs="仿宋"/>
          <w:b/>
          <w:bCs/>
          <w:iCs/>
          <w:color w:val="auto"/>
          <w:sz w:val="24"/>
        </w:rPr>
      </w:pPr>
      <w:r>
        <w:rPr>
          <w:rFonts w:ascii="仿宋" w:hAnsi="仿宋" w:eastAsia="仿宋" w:cs="仿宋"/>
          <w:b/>
          <w:bCs/>
          <w:iCs/>
          <w:color w:val="auto"/>
          <w:sz w:val="24"/>
        </w:rPr>
        <w:t>2.1商务技术分（</w:t>
      </w:r>
      <w:r>
        <w:rPr>
          <w:rFonts w:hint="eastAsia" w:ascii="仿宋" w:hAnsi="仿宋" w:eastAsia="仿宋" w:cs="仿宋"/>
          <w:b/>
          <w:bCs/>
          <w:iCs/>
          <w:color w:val="auto"/>
          <w:sz w:val="24"/>
          <w:lang w:val="en-US" w:eastAsia="zh-CN"/>
        </w:rPr>
        <w:t>50</w:t>
      </w:r>
      <w:r>
        <w:rPr>
          <w:rFonts w:hint="eastAsia" w:ascii="仿宋" w:hAnsi="仿宋" w:eastAsia="仿宋" w:cs="仿宋"/>
          <w:b/>
          <w:bCs/>
          <w:iCs/>
          <w:color w:val="auto"/>
          <w:sz w:val="24"/>
        </w:rPr>
        <w:t>分）</w:t>
      </w:r>
    </w:p>
    <w:tbl>
      <w:tblPr>
        <w:tblStyle w:val="61"/>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94"/>
        <w:gridCol w:w="6226"/>
        <w:gridCol w:w="716"/>
      </w:tblGrid>
      <w:tr w14:paraId="70DF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7" w:type="dxa"/>
            <w:noWrap w:val="0"/>
            <w:vAlign w:val="center"/>
          </w:tcPr>
          <w:p w14:paraId="12D74082">
            <w:pPr>
              <w:keepNext w:val="0"/>
              <w:keepLines w:val="0"/>
              <w:pageBreakBefore w:val="0"/>
              <w:widowControl w:val="0"/>
              <w:kinsoku/>
              <w:wordWrap/>
              <w:overflowPunct/>
              <w:topLinePunct w:val="0"/>
              <w:autoSpaceDE w:val="0"/>
              <w:autoSpaceDN w:val="0"/>
              <w:bidi w:val="0"/>
              <w:adjustRightInd/>
              <w:snapToGrid w:val="0"/>
              <w:spacing w:line="430" w:lineRule="exact"/>
              <w:ind w:left="0" w:leftChars="0" w:firstLine="0" w:firstLineChars="0"/>
              <w:jc w:val="center"/>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序号</w:t>
            </w:r>
          </w:p>
        </w:tc>
        <w:tc>
          <w:tcPr>
            <w:tcW w:w="1294" w:type="dxa"/>
            <w:noWrap w:val="0"/>
            <w:vAlign w:val="center"/>
          </w:tcPr>
          <w:p w14:paraId="3C2B8FDB">
            <w:pPr>
              <w:keepNext w:val="0"/>
              <w:keepLines w:val="0"/>
              <w:pageBreakBefore w:val="0"/>
              <w:widowControl w:val="0"/>
              <w:kinsoku/>
              <w:wordWrap/>
              <w:overflowPunct/>
              <w:topLinePunct w:val="0"/>
              <w:autoSpaceDE w:val="0"/>
              <w:autoSpaceDN w:val="0"/>
              <w:bidi w:val="0"/>
              <w:adjustRightInd/>
              <w:snapToGrid w:val="0"/>
              <w:spacing w:line="430" w:lineRule="exact"/>
              <w:ind w:left="0" w:leftChars="0" w:firstLine="0" w:firstLineChars="0"/>
              <w:jc w:val="center"/>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评分内容</w:t>
            </w:r>
          </w:p>
        </w:tc>
        <w:tc>
          <w:tcPr>
            <w:tcW w:w="6226" w:type="dxa"/>
            <w:noWrap w:val="0"/>
            <w:vAlign w:val="center"/>
          </w:tcPr>
          <w:p w14:paraId="118EE4B9">
            <w:pPr>
              <w:keepNext w:val="0"/>
              <w:keepLines w:val="0"/>
              <w:pageBreakBefore w:val="0"/>
              <w:widowControl w:val="0"/>
              <w:kinsoku/>
              <w:wordWrap/>
              <w:overflowPunct/>
              <w:topLinePunct w:val="0"/>
              <w:autoSpaceDE w:val="0"/>
              <w:autoSpaceDN w:val="0"/>
              <w:bidi w:val="0"/>
              <w:adjustRightInd/>
              <w:snapToGrid w:val="0"/>
              <w:spacing w:line="430" w:lineRule="exact"/>
              <w:ind w:left="0" w:leftChars="0" w:firstLine="0" w:firstLineChars="0"/>
              <w:jc w:val="center"/>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评分细则</w:t>
            </w:r>
          </w:p>
        </w:tc>
        <w:tc>
          <w:tcPr>
            <w:tcW w:w="716" w:type="dxa"/>
            <w:noWrap w:val="0"/>
            <w:vAlign w:val="center"/>
          </w:tcPr>
          <w:p w14:paraId="029465BF">
            <w:pPr>
              <w:keepNext w:val="0"/>
              <w:keepLines w:val="0"/>
              <w:pageBreakBefore w:val="0"/>
              <w:widowControl w:val="0"/>
              <w:kinsoku/>
              <w:wordWrap/>
              <w:overflowPunct/>
              <w:topLinePunct w:val="0"/>
              <w:autoSpaceDE w:val="0"/>
              <w:autoSpaceDN w:val="0"/>
              <w:bidi w:val="0"/>
              <w:adjustRightInd/>
              <w:snapToGrid w:val="0"/>
              <w:spacing w:line="430" w:lineRule="exact"/>
              <w:ind w:left="0" w:leftChars="0" w:firstLine="0" w:firstLineChars="0"/>
              <w:jc w:val="center"/>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分值</w:t>
            </w:r>
          </w:p>
        </w:tc>
      </w:tr>
      <w:tr w14:paraId="312F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restart"/>
            <w:noWrap w:val="0"/>
            <w:vAlign w:val="center"/>
          </w:tcPr>
          <w:p w14:paraId="5B35A4AF">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1294" w:type="dxa"/>
            <w:vMerge w:val="restart"/>
            <w:noWrap w:val="0"/>
            <w:vAlign w:val="center"/>
          </w:tcPr>
          <w:p w14:paraId="1A9964AD">
            <w:pPr>
              <w:spacing w:line="320" w:lineRule="exact"/>
              <w:ind w:left="-50" w:leftChars="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sz w:val="24"/>
                <w:szCs w:val="24"/>
              </w:rPr>
              <w:t>综合实力</w:t>
            </w:r>
          </w:p>
        </w:tc>
        <w:tc>
          <w:tcPr>
            <w:tcW w:w="6226" w:type="dxa"/>
            <w:noWrap w:val="0"/>
            <w:vAlign w:val="center"/>
          </w:tcPr>
          <w:p w14:paraId="07CC362E">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根据磋商响应方的专业年限、信誉、荣誉、资信状况等进行综合打分（0-3分）。</w:t>
            </w:r>
          </w:p>
        </w:tc>
        <w:tc>
          <w:tcPr>
            <w:tcW w:w="716" w:type="dxa"/>
            <w:noWrap w:val="0"/>
            <w:vAlign w:val="center"/>
          </w:tcPr>
          <w:p w14:paraId="1F88D105">
            <w:pPr>
              <w:spacing w:line="320" w:lineRule="exact"/>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w:t>
            </w:r>
          </w:p>
        </w:tc>
      </w:tr>
      <w:tr w14:paraId="5E4D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37" w:type="dxa"/>
            <w:vMerge w:val="continue"/>
            <w:noWrap w:val="0"/>
            <w:vAlign w:val="center"/>
          </w:tcPr>
          <w:p w14:paraId="1B2FFFE6">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294" w:type="dxa"/>
            <w:vMerge w:val="continue"/>
            <w:noWrap w:val="0"/>
            <w:vAlign w:val="center"/>
          </w:tcPr>
          <w:p w14:paraId="613FB73C">
            <w:pPr>
              <w:spacing w:line="320" w:lineRule="exact"/>
              <w:jc w:val="center"/>
              <w:rPr>
                <w:rFonts w:hint="eastAsia" w:ascii="仿宋" w:hAnsi="仿宋" w:eastAsia="仿宋" w:cs="仿宋"/>
                <w:color w:val="auto"/>
                <w:sz w:val="24"/>
                <w:szCs w:val="24"/>
              </w:rPr>
            </w:pPr>
          </w:p>
        </w:tc>
        <w:tc>
          <w:tcPr>
            <w:tcW w:w="6226" w:type="dxa"/>
            <w:noWrap w:val="0"/>
            <w:vAlign w:val="center"/>
          </w:tcPr>
          <w:p w14:paraId="4595D247">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磋商响应方通过</w:t>
            </w:r>
            <w:r>
              <w:rPr>
                <w:rFonts w:hint="default" w:ascii="仿宋" w:hAnsi="仿宋" w:eastAsia="仿宋" w:cs="仿宋"/>
                <w:b w:val="0"/>
                <w:bCs/>
                <w:color w:val="auto"/>
                <w:sz w:val="24"/>
                <w:szCs w:val="24"/>
                <w:highlight w:val="none"/>
                <w:lang w:val="en-US" w:eastAsia="zh-CN"/>
              </w:rPr>
              <w:t>质量管理体系认证</w:t>
            </w:r>
            <w:r>
              <w:rPr>
                <w:rFonts w:hint="eastAsia" w:ascii="仿宋" w:hAnsi="仿宋" w:eastAsia="仿宋" w:cs="仿宋"/>
                <w:b w:val="0"/>
                <w:bCs/>
                <w:color w:val="auto"/>
                <w:sz w:val="24"/>
                <w:szCs w:val="24"/>
                <w:highlight w:val="none"/>
                <w:lang w:val="en-US" w:eastAsia="zh-CN"/>
              </w:rPr>
              <w:t>、</w:t>
            </w:r>
            <w:r>
              <w:rPr>
                <w:rFonts w:hint="default" w:ascii="仿宋" w:hAnsi="仿宋" w:eastAsia="仿宋" w:cs="仿宋"/>
                <w:b w:val="0"/>
                <w:bCs/>
                <w:color w:val="auto"/>
                <w:sz w:val="24"/>
                <w:szCs w:val="24"/>
                <w:highlight w:val="none"/>
                <w:lang w:val="en-US" w:eastAsia="zh-CN"/>
              </w:rPr>
              <w:t>环境管理体系认证</w:t>
            </w:r>
            <w:r>
              <w:rPr>
                <w:rFonts w:hint="eastAsia" w:ascii="仿宋" w:hAnsi="仿宋" w:eastAsia="仿宋" w:cs="仿宋"/>
                <w:b w:val="0"/>
                <w:bCs/>
                <w:color w:val="auto"/>
                <w:sz w:val="24"/>
                <w:szCs w:val="24"/>
                <w:highlight w:val="none"/>
                <w:lang w:val="en-US" w:eastAsia="zh-CN"/>
              </w:rPr>
              <w:t>、职业</w:t>
            </w:r>
            <w:r>
              <w:rPr>
                <w:rFonts w:hint="default" w:ascii="仿宋" w:hAnsi="仿宋" w:eastAsia="仿宋" w:cs="仿宋"/>
                <w:b w:val="0"/>
                <w:bCs/>
                <w:color w:val="auto"/>
                <w:sz w:val="24"/>
                <w:szCs w:val="24"/>
                <w:highlight w:val="none"/>
                <w:lang w:val="en-US" w:eastAsia="zh-CN"/>
              </w:rPr>
              <w:t>健康安全管理体系认证</w:t>
            </w:r>
            <w:r>
              <w:rPr>
                <w:rFonts w:hint="eastAsia" w:ascii="仿宋" w:hAnsi="仿宋" w:eastAsia="仿宋" w:cs="仿宋"/>
                <w:b w:val="0"/>
                <w:bCs/>
                <w:color w:val="auto"/>
                <w:sz w:val="24"/>
                <w:szCs w:val="24"/>
                <w:highlight w:val="none"/>
                <w:lang w:val="en-US" w:eastAsia="zh-CN"/>
              </w:rPr>
              <w:t>的每个得1分，最高得3分。</w:t>
            </w:r>
          </w:p>
        </w:tc>
        <w:tc>
          <w:tcPr>
            <w:tcW w:w="716" w:type="dxa"/>
            <w:noWrap w:val="0"/>
            <w:vAlign w:val="center"/>
          </w:tcPr>
          <w:p w14:paraId="25C4C4DD">
            <w:pPr>
              <w:spacing w:line="320" w:lineRule="exact"/>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w:t>
            </w:r>
          </w:p>
        </w:tc>
      </w:tr>
      <w:tr w14:paraId="6068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37" w:type="dxa"/>
            <w:noWrap w:val="0"/>
            <w:vAlign w:val="center"/>
          </w:tcPr>
          <w:p w14:paraId="346C157D">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1294" w:type="dxa"/>
            <w:shd w:val="clear" w:color="auto" w:fill="auto"/>
            <w:noWrap w:val="0"/>
            <w:vAlign w:val="center"/>
          </w:tcPr>
          <w:p w14:paraId="49520064">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同类业绩</w:t>
            </w:r>
          </w:p>
        </w:tc>
        <w:tc>
          <w:tcPr>
            <w:tcW w:w="6226" w:type="dxa"/>
            <w:shd w:val="clear" w:color="auto" w:fill="auto"/>
            <w:noWrap w:val="0"/>
            <w:vAlign w:val="center"/>
          </w:tcPr>
          <w:p w14:paraId="1136F592">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磋商响应方自2021年10月1日起至今（以合同签订时间为准）所投产品同类项目业绩情况。每提供一个业绩得1分，最高得4分。提供合同原件扫描件并加盖CA签章。</w:t>
            </w:r>
          </w:p>
        </w:tc>
        <w:tc>
          <w:tcPr>
            <w:tcW w:w="716" w:type="dxa"/>
            <w:shd w:val="clear" w:color="auto" w:fill="auto"/>
            <w:noWrap w:val="0"/>
            <w:vAlign w:val="center"/>
          </w:tcPr>
          <w:p w14:paraId="48AE5124">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0-4</w:t>
            </w:r>
          </w:p>
        </w:tc>
      </w:tr>
      <w:tr w14:paraId="36A4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37" w:type="dxa"/>
            <w:noWrap w:val="0"/>
            <w:vAlign w:val="center"/>
          </w:tcPr>
          <w:p w14:paraId="6A810768">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p>
        </w:tc>
        <w:tc>
          <w:tcPr>
            <w:tcW w:w="1294" w:type="dxa"/>
            <w:shd w:val="clear" w:color="auto" w:fill="auto"/>
            <w:noWrap w:val="0"/>
            <w:vAlign w:val="center"/>
          </w:tcPr>
          <w:p w14:paraId="19FA804D">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用户</w:t>
            </w:r>
            <w:r>
              <w:rPr>
                <w:rFonts w:hint="eastAsia" w:ascii="仿宋" w:hAnsi="仿宋" w:eastAsia="仿宋" w:cs="仿宋"/>
                <w:color w:val="auto"/>
                <w:kern w:val="0"/>
                <w:sz w:val="24"/>
                <w:szCs w:val="24"/>
              </w:rPr>
              <w:t>反馈</w:t>
            </w:r>
          </w:p>
        </w:tc>
        <w:tc>
          <w:tcPr>
            <w:tcW w:w="6226" w:type="dxa"/>
            <w:shd w:val="clear" w:color="auto" w:fill="auto"/>
            <w:noWrap w:val="0"/>
            <w:vAlign w:val="center"/>
          </w:tcPr>
          <w:p w14:paraId="3D32BF51">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根据磋商响应方所投产品的使用情况综合打分（提供2021年10月1日-至今用户的使用情况反馈报告，</w:t>
            </w:r>
            <w:r>
              <w:rPr>
                <w:rFonts w:hint="eastAsia" w:ascii="仿宋" w:hAnsi="仿宋" w:eastAsia="仿宋" w:cs="仿宋"/>
                <w:color w:val="auto"/>
                <w:sz w:val="24"/>
                <w:szCs w:val="24"/>
                <w:lang w:eastAsia="zh-CN"/>
              </w:rPr>
              <w:t>磋商响应方每提供一份客户满意度调查表</w:t>
            </w:r>
            <w:r>
              <w:rPr>
                <w:rFonts w:hint="eastAsia" w:ascii="仿宋" w:hAnsi="仿宋" w:eastAsia="仿宋" w:cs="仿宋"/>
                <w:color w:val="auto"/>
                <w:sz w:val="24"/>
                <w:szCs w:val="24"/>
                <w:lang w:val="en-US" w:eastAsia="zh-CN"/>
              </w:rPr>
              <w:t>良好及以上</w:t>
            </w:r>
            <w:r>
              <w:rPr>
                <w:rFonts w:hint="eastAsia" w:ascii="仿宋" w:hAnsi="仿宋" w:eastAsia="仿宋" w:cs="仿宋"/>
                <w:color w:val="auto"/>
                <w:sz w:val="24"/>
                <w:szCs w:val="24"/>
                <w:lang w:eastAsia="zh-CN"/>
              </w:rPr>
              <w:t>的得</w:t>
            </w:r>
            <w:r>
              <w:rPr>
                <w:rFonts w:hint="eastAsia" w:ascii="仿宋" w:hAnsi="仿宋" w:eastAsia="仿宋" w:cs="仿宋"/>
                <w:color w:val="auto"/>
                <w:sz w:val="24"/>
                <w:szCs w:val="24"/>
                <w:lang w:val="en-US" w:eastAsia="zh-CN"/>
              </w:rPr>
              <w:t>0.5分</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同一客户只计一次</w:t>
            </w:r>
            <w:r>
              <w:rPr>
                <w:rFonts w:hint="eastAsia" w:ascii="仿宋" w:hAnsi="仿宋" w:eastAsia="仿宋" w:cs="仿宋"/>
                <w:color w:val="auto"/>
                <w:sz w:val="24"/>
                <w:szCs w:val="24"/>
                <w:lang w:eastAsia="zh-CN"/>
              </w:rPr>
              <w:t>）</w:t>
            </w:r>
            <w:r>
              <w:rPr>
                <w:rFonts w:hint="eastAsia" w:ascii="仿宋" w:hAnsi="仿宋" w:eastAsia="仿宋" w:cs="仿宋"/>
                <w:b w:val="0"/>
                <w:bCs/>
                <w:color w:val="auto"/>
                <w:sz w:val="24"/>
                <w:szCs w:val="24"/>
                <w:highlight w:val="none"/>
                <w:lang w:val="en-US" w:eastAsia="zh-CN"/>
              </w:rPr>
              <w:t>（0-3分）。</w:t>
            </w:r>
          </w:p>
        </w:tc>
        <w:tc>
          <w:tcPr>
            <w:tcW w:w="716" w:type="dxa"/>
            <w:shd w:val="clear" w:color="auto" w:fill="auto"/>
            <w:noWrap w:val="0"/>
            <w:vAlign w:val="center"/>
          </w:tcPr>
          <w:p w14:paraId="4AB2A752">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0-3</w:t>
            </w:r>
          </w:p>
        </w:tc>
      </w:tr>
      <w:tr w14:paraId="21C4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37" w:type="dxa"/>
            <w:noWrap w:val="0"/>
            <w:vAlign w:val="center"/>
          </w:tcPr>
          <w:p w14:paraId="45FAE1F7">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w:t>
            </w:r>
          </w:p>
        </w:tc>
        <w:tc>
          <w:tcPr>
            <w:tcW w:w="1294" w:type="dxa"/>
            <w:noWrap w:val="0"/>
            <w:vAlign w:val="center"/>
          </w:tcPr>
          <w:p w14:paraId="44ECDC33">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产品情况</w:t>
            </w:r>
          </w:p>
        </w:tc>
        <w:tc>
          <w:tcPr>
            <w:tcW w:w="6226" w:type="dxa"/>
            <w:noWrap w:val="0"/>
            <w:vAlign w:val="center"/>
          </w:tcPr>
          <w:p w14:paraId="67F788E0">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1.投标产品的技术标准、生产工艺、制造方法、检测设备及质量保证措施（0-3分）。</w:t>
            </w:r>
          </w:p>
          <w:p w14:paraId="23B086FD">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2.投标产品所用主要原材料（包括但不限于内外护套、铜芯）的技术标准、生产厂家、产地等（0-3分）。</w:t>
            </w:r>
          </w:p>
        </w:tc>
        <w:tc>
          <w:tcPr>
            <w:tcW w:w="716" w:type="dxa"/>
            <w:noWrap w:val="0"/>
            <w:vAlign w:val="center"/>
          </w:tcPr>
          <w:p w14:paraId="0DD0ED20">
            <w:pPr>
              <w:keepNext w:val="0"/>
              <w:keepLines w:val="0"/>
              <w:pageBreakBefore w:val="0"/>
              <w:widowControl w:val="0"/>
              <w:kinsoku/>
              <w:wordWrap/>
              <w:overflowPunct/>
              <w:topLinePunct w:val="0"/>
              <w:autoSpaceDE w:val="0"/>
              <w:autoSpaceDN w:val="0"/>
              <w:bidi w:val="0"/>
              <w:adjustRightInd/>
              <w:snapToGrid w:val="0"/>
              <w:spacing w:line="43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0-6</w:t>
            </w:r>
          </w:p>
        </w:tc>
      </w:tr>
      <w:tr w14:paraId="12CB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7" w:type="dxa"/>
            <w:noWrap w:val="0"/>
            <w:vAlign w:val="center"/>
          </w:tcPr>
          <w:p w14:paraId="65FBDE2D">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c>
          <w:tcPr>
            <w:tcW w:w="1294" w:type="dxa"/>
            <w:shd w:val="clear" w:color="auto" w:fill="auto"/>
            <w:noWrap w:val="0"/>
            <w:vAlign w:val="center"/>
          </w:tcPr>
          <w:p w14:paraId="19CF8CCD">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检测报告</w:t>
            </w:r>
          </w:p>
        </w:tc>
        <w:tc>
          <w:tcPr>
            <w:tcW w:w="6226" w:type="dxa"/>
            <w:shd w:val="clear" w:color="auto" w:fill="auto"/>
            <w:noWrap w:val="0"/>
            <w:vAlign w:val="center"/>
          </w:tcPr>
          <w:p w14:paraId="2BB81CE7">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zh-CN" w:eastAsia="zh-CN"/>
              </w:rPr>
              <w:t>磋商响应方</w:t>
            </w:r>
            <w:r>
              <w:rPr>
                <w:rFonts w:hint="eastAsia" w:ascii="仿宋" w:hAnsi="仿宋" w:eastAsia="仿宋" w:cs="仿宋"/>
                <w:b w:val="0"/>
                <w:bCs/>
                <w:color w:val="auto"/>
                <w:sz w:val="24"/>
                <w:szCs w:val="24"/>
                <w:highlight w:val="none"/>
                <w:lang w:val="en-US" w:eastAsia="zh-CN"/>
              </w:rPr>
              <w:t>根据投标产品经权威机构鉴定后的检测报告，</w:t>
            </w:r>
            <w:r>
              <w:rPr>
                <w:rFonts w:hint="eastAsia" w:ascii="仿宋" w:hAnsi="仿宋" w:eastAsia="仿宋" w:cs="仿宋"/>
                <w:color w:val="auto"/>
                <w:sz w:val="24"/>
                <w:szCs w:val="24"/>
              </w:rPr>
              <w:t>每提供一份得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lang w:val="zh-CN" w:eastAsia="zh-CN"/>
              </w:rPr>
              <w:t>不提供的不得分。</w:t>
            </w:r>
          </w:p>
        </w:tc>
        <w:tc>
          <w:tcPr>
            <w:tcW w:w="716" w:type="dxa"/>
            <w:shd w:val="clear" w:color="auto" w:fill="auto"/>
            <w:noWrap w:val="0"/>
            <w:vAlign w:val="center"/>
          </w:tcPr>
          <w:p w14:paraId="0A617CB7">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0-4</w:t>
            </w:r>
          </w:p>
        </w:tc>
      </w:tr>
      <w:tr w14:paraId="4720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7" w:type="dxa"/>
            <w:noWrap w:val="0"/>
            <w:vAlign w:val="center"/>
          </w:tcPr>
          <w:p w14:paraId="4201FF8C">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6</w:t>
            </w:r>
          </w:p>
        </w:tc>
        <w:tc>
          <w:tcPr>
            <w:tcW w:w="1294" w:type="dxa"/>
            <w:shd w:val="clear" w:color="auto" w:fill="auto"/>
            <w:noWrap w:val="0"/>
            <w:vAlign w:val="center"/>
          </w:tcPr>
          <w:p w14:paraId="394E45A5">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技术性能</w:t>
            </w:r>
          </w:p>
        </w:tc>
        <w:tc>
          <w:tcPr>
            <w:tcW w:w="6226" w:type="dxa"/>
            <w:shd w:val="clear" w:color="auto" w:fill="auto"/>
            <w:noWrap w:val="0"/>
            <w:vAlign w:val="center"/>
          </w:tcPr>
          <w:p w14:paraId="15529BCD">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zh-CN" w:eastAsia="zh-CN"/>
              </w:rPr>
            </w:pPr>
            <w:r>
              <w:rPr>
                <w:rFonts w:hint="eastAsia" w:ascii="仿宋" w:hAnsi="仿宋" w:eastAsia="仿宋" w:cs="仿宋"/>
                <w:bCs/>
                <w:color w:val="auto"/>
                <w:sz w:val="24"/>
                <w:szCs w:val="24"/>
              </w:rPr>
              <w:t>根据磋商响应方所投标产品电气性能指标满足采购需求的得5分；所投</w:t>
            </w:r>
            <w:r>
              <w:rPr>
                <w:rFonts w:hint="eastAsia" w:ascii="仿宋" w:hAnsi="仿宋" w:eastAsia="仿宋" w:cs="仿宋"/>
                <w:bCs/>
                <w:color w:val="auto"/>
                <w:sz w:val="24"/>
                <w:szCs w:val="24"/>
                <w:lang w:val="en-US" w:eastAsia="zh-CN"/>
              </w:rPr>
              <w:t>产品</w:t>
            </w:r>
            <w:r>
              <w:rPr>
                <w:rFonts w:hint="eastAsia" w:ascii="仿宋" w:hAnsi="仿宋" w:eastAsia="仿宋" w:cs="仿宋"/>
                <w:bCs/>
                <w:color w:val="auto"/>
                <w:sz w:val="24"/>
                <w:szCs w:val="24"/>
              </w:rPr>
              <w:t>指标出现低于采购需求的（负偏离）一般负偏离程度每项扣1分，扣完为止。</w:t>
            </w:r>
          </w:p>
        </w:tc>
        <w:tc>
          <w:tcPr>
            <w:tcW w:w="716" w:type="dxa"/>
            <w:shd w:val="clear" w:color="auto" w:fill="auto"/>
            <w:noWrap w:val="0"/>
            <w:vAlign w:val="center"/>
          </w:tcPr>
          <w:p w14:paraId="03C890B8">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0-5</w:t>
            </w:r>
          </w:p>
        </w:tc>
      </w:tr>
      <w:tr w14:paraId="3B83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7" w:type="dxa"/>
            <w:noWrap w:val="0"/>
            <w:vAlign w:val="center"/>
          </w:tcPr>
          <w:p w14:paraId="328B713B">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7</w:t>
            </w:r>
          </w:p>
        </w:tc>
        <w:tc>
          <w:tcPr>
            <w:tcW w:w="1294" w:type="dxa"/>
            <w:shd w:val="clear" w:color="auto" w:fill="auto"/>
            <w:noWrap w:val="0"/>
            <w:vAlign w:val="center"/>
          </w:tcPr>
          <w:p w14:paraId="616E7757">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0" w:firstLineChars="0"/>
              <w:jc w:val="center"/>
              <w:textAlignment w:val="auto"/>
              <w:outlineLvl w:val="9"/>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lang w:eastAsia="zh-CN"/>
              </w:rPr>
              <w:t>供货方案</w:t>
            </w:r>
          </w:p>
        </w:tc>
        <w:tc>
          <w:tcPr>
            <w:tcW w:w="6226" w:type="dxa"/>
            <w:shd w:val="clear" w:color="auto" w:fill="auto"/>
            <w:noWrap w:val="0"/>
            <w:vAlign w:val="center"/>
          </w:tcPr>
          <w:p w14:paraId="218B5BFE">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根据磋商响应方对本项目的了解程度，提出针对本项目的供货方案：</w:t>
            </w:r>
          </w:p>
          <w:p w14:paraId="0E17E023">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①产品供货方式（0-3分）；</w:t>
            </w:r>
          </w:p>
          <w:p w14:paraId="48045373">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en-US" w:eastAsia="zh-CN"/>
              </w:rPr>
              <w:t>②包装运输、装卸（0-3分）。</w:t>
            </w:r>
          </w:p>
        </w:tc>
        <w:tc>
          <w:tcPr>
            <w:tcW w:w="716" w:type="dxa"/>
            <w:shd w:val="clear" w:color="auto" w:fill="auto"/>
            <w:noWrap w:val="0"/>
            <w:vAlign w:val="center"/>
          </w:tcPr>
          <w:p w14:paraId="6B8B86C8">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0-6</w:t>
            </w:r>
          </w:p>
        </w:tc>
      </w:tr>
      <w:tr w14:paraId="1E4D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7" w:type="dxa"/>
            <w:noWrap w:val="0"/>
            <w:vAlign w:val="center"/>
          </w:tcPr>
          <w:p w14:paraId="1952FE4A">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8</w:t>
            </w:r>
          </w:p>
        </w:tc>
        <w:tc>
          <w:tcPr>
            <w:tcW w:w="1294" w:type="dxa"/>
            <w:shd w:val="clear" w:color="auto" w:fill="auto"/>
            <w:noWrap w:val="0"/>
            <w:vAlign w:val="center"/>
          </w:tcPr>
          <w:p w14:paraId="2CB8FA64">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0" w:firstLineChars="0"/>
              <w:jc w:val="center"/>
              <w:textAlignment w:val="auto"/>
              <w:outlineLvl w:val="9"/>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b w:val="0"/>
                <w:bCs/>
                <w:color w:val="auto"/>
                <w:sz w:val="24"/>
                <w:szCs w:val="24"/>
                <w:highlight w:val="none"/>
                <w:lang w:val="en-US" w:eastAsia="zh-CN"/>
              </w:rPr>
              <w:t>售后服务</w:t>
            </w:r>
          </w:p>
        </w:tc>
        <w:tc>
          <w:tcPr>
            <w:tcW w:w="6226" w:type="dxa"/>
            <w:shd w:val="clear" w:color="auto" w:fill="auto"/>
            <w:noWrap w:val="0"/>
            <w:vAlign w:val="center"/>
          </w:tcPr>
          <w:p w14:paraId="60313523">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根据磋商响应方提供的售后服务方案（服务响应时间、故障解决能力等）进行评分（0-4分）。</w:t>
            </w:r>
          </w:p>
        </w:tc>
        <w:tc>
          <w:tcPr>
            <w:tcW w:w="716" w:type="dxa"/>
            <w:shd w:val="clear" w:color="auto" w:fill="auto"/>
            <w:noWrap w:val="0"/>
            <w:vAlign w:val="center"/>
          </w:tcPr>
          <w:p w14:paraId="7BAF5B05">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r w14:paraId="74AE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7" w:type="dxa"/>
            <w:vMerge w:val="restart"/>
            <w:noWrap w:val="0"/>
            <w:vAlign w:val="center"/>
          </w:tcPr>
          <w:p w14:paraId="09FA23CA">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w:t>
            </w:r>
          </w:p>
        </w:tc>
        <w:tc>
          <w:tcPr>
            <w:tcW w:w="1294" w:type="dxa"/>
            <w:vMerge w:val="restart"/>
            <w:shd w:val="clear" w:color="auto" w:fill="auto"/>
            <w:noWrap w:val="0"/>
            <w:vAlign w:val="center"/>
          </w:tcPr>
          <w:p w14:paraId="3C69E43F">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0" w:firstLineChars="0"/>
              <w:jc w:val="center"/>
              <w:textAlignment w:val="auto"/>
              <w:outlineLvl w:val="9"/>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样品</w:t>
            </w:r>
          </w:p>
        </w:tc>
        <w:tc>
          <w:tcPr>
            <w:tcW w:w="6226" w:type="dxa"/>
            <w:shd w:val="clear" w:color="auto" w:fill="auto"/>
            <w:noWrap w:val="0"/>
            <w:vAlign w:val="center"/>
          </w:tcPr>
          <w:p w14:paraId="09971F43">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rPr>
              <w:t>导体和钢带：</w:t>
            </w:r>
            <w:r>
              <w:rPr>
                <w:rFonts w:hint="eastAsia" w:ascii="仿宋" w:hAnsi="仿宋" w:eastAsia="仿宋" w:cs="仿宋"/>
                <w:color w:val="auto"/>
                <w:sz w:val="24"/>
                <w:szCs w:val="24"/>
              </w:rPr>
              <w:t>导体表面光洁、无损伤绝缘的毛刺、锐边以及凸起或断裂的单线。铠装电缆钢带螺旋式绕包，绕包圆整光滑。根据现场看样情况打分（0-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716" w:type="dxa"/>
            <w:shd w:val="clear" w:color="auto" w:fill="auto"/>
            <w:noWrap w:val="0"/>
            <w:vAlign w:val="center"/>
          </w:tcPr>
          <w:p w14:paraId="6ECB2BFC">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r w14:paraId="485B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7" w:type="dxa"/>
            <w:vMerge w:val="continue"/>
            <w:noWrap w:val="0"/>
            <w:vAlign w:val="center"/>
          </w:tcPr>
          <w:p w14:paraId="08713C7C">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294" w:type="dxa"/>
            <w:vMerge w:val="continue"/>
            <w:shd w:val="clear" w:color="auto" w:fill="auto"/>
            <w:noWrap w:val="0"/>
            <w:vAlign w:val="center"/>
          </w:tcPr>
          <w:p w14:paraId="1AEF94E6">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0" w:firstLineChars="0"/>
              <w:jc w:val="center"/>
              <w:textAlignment w:val="auto"/>
              <w:outlineLvl w:val="9"/>
              <w:rPr>
                <w:rFonts w:hint="eastAsia" w:ascii="仿宋" w:hAnsi="仿宋" w:eastAsia="仿宋" w:cs="仿宋"/>
                <w:color w:val="auto"/>
                <w:sz w:val="24"/>
                <w:szCs w:val="24"/>
                <w:highlight w:val="none"/>
                <w:shd w:val="clear" w:color="auto" w:fill="auto"/>
                <w:lang w:val="en-US" w:eastAsia="zh-CN"/>
              </w:rPr>
            </w:pPr>
          </w:p>
        </w:tc>
        <w:tc>
          <w:tcPr>
            <w:tcW w:w="6226" w:type="dxa"/>
            <w:shd w:val="clear" w:color="auto" w:fill="auto"/>
            <w:noWrap w:val="0"/>
            <w:vAlign w:val="center"/>
          </w:tcPr>
          <w:p w14:paraId="6EE8C6E6">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rPr>
              <w:t>电缆标识：</w:t>
            </w:r>
            <w:r>
              <w:rPr>
                <w:rFonts w:hint="eastAsia" w:ascii="仿宋" w:hAnsi="仿宋" w:eastAsia="仿宋" w:cs="仿宋"/>
                <w:color w:val="auto"/>
                <w:sz w:val="24"/>
                <w:szCs w:val="24"/>
              </w:rPr>
              <w:t>成品电缆表面连续印有电缆型号、电压、尺码等标志。标志字迹清楚，容易辨认、耐擦。根据现场样品标识的清晰度和耐磨性进行打分（0-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716" w:type="dxa"/>
            <w:shd w:val="clear" w:color="auto" w:fill="auto"/>
            <w:noWrap w:val="0"/>
            <w:vAlign w:val="center"/>
          </w:tcPr>
          <w:p w14:paraId="6A7688A3">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r w14:paraId="7B41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7" w:type="dxa"/>
            <w:vMerge w:val="continue"/>
            <w:noWrap w:val="0"/>
            <w:vAlign w:val="center"/>
          </w:tcPr>
          <w:p w14:paraId="157CF055">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294" w:type="dxa"/>
            <w:vMerge w:val="continue"/>
            <w:shd w:val="clear" w:color="auto" w:fill="auto"/>
            <w:noWrap w:val="0"/>
            <w:vAlign w:val="center"/>
          </w:tcPr>
          <w:p w14:paraId="2A661A05">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0" w:firstLineChars="0"/>
              <w:jc w:val="center"/>
              <w:textAlignment w:val="auto"/>
              <w:outlineLvl w:val="9"/>
              <w:rPr>
                <w:rFonts w:hint="eastAsia" w:ascii="仿宋" w:hAnsi="仿宋" w:eastAsia="仿宋" w:cs="仿宋"/>
                <w:color w:val="auto"/>
                <w:sz w:val="24"/>
                <w:szCs w:val="24"/>
                <w:highlight w:val="none"/>
                <w:shd w:val="clear" w:color="auto" w:fill="auto"/>
                <w:lang w:val="en-US" w:eastAsia="zh-CN"/>
              </w:rPr>
            </w:pPr>
          </w:p>
        </w:tc>
        <w:tc>
          <w:tcPr>
            <w:tcW w:w="6226" w:type="dxa"/>
            <w:shd w:val="clear" w:color="auto" w:fill="auto"/>
            <w:noWrap w:val="0"/>
            <w:vAlign w:val="center"/>
          </w:tcPr>
          <w:p w14:paraId="7C9D772A">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rPr>
              <w:t>护套、绝缘层：</w:t>
            </w:r>
            <w:r>
              <w:rPr>
                <w:rFonts w:hint="eastAsia" w:ascii="仿宋" w:hAnsi="仿宋" w:eastAsia="仿宋" w:cs="仿宋"/>
                <w:color w:val="auto"/>
                <w:sz w:val="24"/>
                <w:szCs w:val="24"/>
              </w:rPr>
              <w:t>绝缘表面平整，色泽均匀。绝缘紧密挤包在导体上，且容易剥离而不损伤导体。绝缘层的横断面上无目力可见的气泡和砂眼等缺陷。绝缘线芯采用颜色识别。电缆外护套紧密挤包在成缆线芯或铠装层上，护套表面光洁，色泽均匀。根据现场看样情况打分（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716" w:type="dxa"/>
            <w:shd w:val="clear" w:color="auto" w:fill="auto"/>
            <w:noWrap w:val="0"/>
            <w:vAlign w:val="center"/>
          </w:tcPr>
          <w:p w14:paraId="088375E5">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bl>
    <w:p w14:paraId="55A844B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仿宋" w:hAnsi="仿宋" w:eastAsia="仿宋" w:cs="仿宋"/>
          <w:b/>
          <w:bCs/>
          <w:iCs/>
          <w:color w:val="auto"/>
          <w:sz w:val="24"/>
        </w:rPr>
      </w:pPr>
      <w:r>
        <w:rPr>
          <w:rFonts w:ascii="仿宋" w:hAnsi="仿宋" w:eastAsia="仿宋" w:cs="仿宋"/>
          <w:b/>
          <w:bCs/>
          <w:iCs/>
          <w:color w:val="auto"/>
          <w:sz w:val="24"/>
        </w:rPr>
        <w:t>2.2价格分（</w:t>
      </w:r>
      <w:r>
        <w:rPr>
          <w:rFonts w:hint="eastAsia" w:ascii="仿宋" w:hAnsi="仿宋" w:eastAsia="仿宋" w:cs="仿宋"/>
          <w:b/>
          <w:bCs/>
          <w:iCs/>
          <w:color w:val="auto"/>
          <w:sz w:val="24"/>
          <w:lang w:val="en-US" w:eastAsia="zh-CN"/>
        </w:rPr>
        <w:t>50</w:t>
      </w:r>
      <w:r>
        <w:rPr>
          <w:rFonts w:hint="eastAsia" w:ascii="仿宋" w:hAnsi="仿宋" w:eastAsia="仿宋" w:cs="仿宋"/>
          <w:b/>
          <w:bCs/>
          <w:iCs/>
          <w:color w:val="auto"/>
          <w:sz w:val="24"/>
        </w:rPr>
        <w:t>分）</w:t>
      </w:r>
    </w:p>
    <w:p w14:paraId="4DC289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rPr>
      </w:pPr>
      <w:r>
        <w:rPr>
          <w:rFonts w:ascii="仿宋" w:hAnsi="仿宋" w:eastAsia="仿宋" w:cs="仿宋"/>
          <w:bCs/>
          <w:iCs/>
          <w:color w:val="auto"/>
          <w:sz w:val="24"/>
        </w:rPr>
        <w:t>2.2.1评标基准价：即满足磋商文件要求且磋商价格最低的</w:t>
      </w:r>
      <w:r>
        <w:rPr>
          <w:rFonts w:hint="eastAsia" w:ascii="仿宋" w:hAnsi="仿宋" w:eastAsia="仿宋" w:cs="仿宋"/>
          <w:color w:val="auto"/>
          <w:sz w:val="24"/>
          <w:szCs w:val="24"/>
          <w:highlight w:val="none"/>
          <w:lang w:val="en-US" w:eastAsia="zh-CN"/>
        </w:rPr>
        <w:t>单价合计</w:t>
      </w:r>
      <w:r>
        <w:rPr>
          <w:rFonts w:ascii="仿宋" w:hAnsi="仿宋" w:eastAsia="仿宋" w:cs="仿宋"/>
          <w:bCs/>
          <w:iCs/>
          <w:color w:val="auto"/>
          <w:sz w:val="24"/>
        </w:rPr>
        <w:t>为评标基准价，其价格分为满分。</w:t>
      </w:r>
    </w:p>
    <w:p w14:paraId="177F778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rPr>
      </w:pPr>
      <w:r>
        <w:rPr>
          <w:rFonts w:ascii="仿宋" w:hAnsi="仿宋" w:eastAsia="仿宋" w:cs="仿宋"/>
          <w:bCs/>
          <w:iCs/>
          <w:color w:val="auto"/>
          <w:sz w:val="24"/>
        </w:rPr>
        <w:t>2.2.2其他供应商的价格分统一按照下列公式计算：</w:t>
      </w:r>
    </w:p>
    <w:p w14:paraId="7E169EF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仿宋" w:hAnsi="仿宋" w:eastAsia="仿宋" w:cs="仿宋"/>
          <w:bCs/>
          <w:iCs/>
          <w:color w:val="auto"/>
          <w:sz w:val="24"/>
          <w:lang w:val="en-US" w:eastAsia="zh-CN"/>
        </w:rPr>
      </w:pPr>
      <w:r>
        <w:rPr>
          <w:rFonts w:hint="eastAsia" w:ascii="仿宋" w:hAnsi="仿宋" w:eastAsia="仿宋" w:cs="仿宋"/>
          <w:bCs/>
          <w:iCs/>
          <w:color w:val="auto"/>
          <w:sz w:val="24"/>
        </w:rPr>
        <w:t>磋商报价得分</w:t>
      </w:r>
      <w:r>
        <w:rPr>
          <w:rFonts w:ascii="仿宋" w:hAnsi="仿宋" w:eastAsia="仿宋" w:cs="仿宋"/>
          <w:bCs/>
          <w:iCs/>
          <w:color w:val="auto"/>
          <w:sz w:val="24"/>
        </w:rPr>
        <w:t>=(评标基准价／</w:t>
      </w:r>
      <w:r>
        <w:rPr>
          <w:rFonts w:hint="eastAsia" w:ascii="仿宋" w:hAnsi="仿宋" w:eastAsia="仿宋" w:cs="仿宋"/>
          <w:bCs/>
          <w:iCs/>
          <w:color w:val="auto"/>
          <w:sz w:val="24"/>
          <w:lang w:val="en-US" w:eastAsia="zh-CN"/>
        </w:rPr>
        <w:t>单价合计</w:t>
      </w:r>
      <w:r>
        <w:rPr>
          <w:rFonts w:ascii="仿宋" w:hAnsi="仿宋" w:eastAsia="仿宋" w:cs="仿宋"/>
          <w:bCs/>
          <w:iCs/>
          <w:color w:val="auto"/>
          <w:sz w:val="24"/>
        </w:rPr>
        <w:t>)×</w:t>
      </w:r>
      <w:r>
        <w:rPr>
          <w:rFonts w:hint="eastAsia" w:ascii="仿宋" w:hAnsi="仿宋" w:eastAsia="仿宋" w:cs="仿宋"/>
          <w:bCs/>
          <w:iCs/>
          <w:color w:val="auto"/>
          <w:sz w:val="24"/>
          <w:lang w:val="en-US" w:eastAsia="zh-CN"/>
        </w:rPr>
        <w:t>50%</w:t>
      </w:r>
      <w:r>
        <w:rPr>
          <w:rFonts w:ascii="仿宋" w:hAnsi="仿宋" w:eastAsia="仿宋" w:cs="仿宋"/>
          <w:bCs/>
          <w:iCs/>
          <w:color w:val="auto"/>
          <w:sz w:val="24"/>
        </w:rPr>
        <w:t>×</w:t>
      </w:r>
      <w:r>
        <w:rPr>
          <w:rFonts w:hint="eastAsia" w:ascii="仿宋" w:hAnsi="仿宋" w:eastAsia="仿宋" w:cs="仿宋"/>
          <w:bCs/>
          <w:iCs/>
          <w:color w:val="auto"/>
          <w:sz w:val="24"/>
          <w:lang w:val="en-US" w:eastAsia="zh-CN"/>
        </w:rPr>
        <w:t>100</w:t>
      </w:r>
    </w:p>
    <w:p w14:paraId="6E05E5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yellow"/>
          <w:lang w:eastAsia="zh-CN"/>
        </w:rPr>
      </w:pPr>
      <w:r>
        <w:rPr>
          <w:rFonts w:hint="eastAsia" w:ascii="仿宋" w:hAnsi="仿宋" w:eastAsia="仿宋" w:cs="仿宋"/>
          <w:color w:val="auto"/>
          <w:sz w:val="24"/>
          <w:szCs w:val="24"/>
          <w:highlight w:val="none"/>
        </w:rPr>
        <w:t>本项目设风险控制价，风险控制价为</w:t>
      </w:r>
      <w:r>
        <w:rPr>
          <w:rFonts w:hint="eastAsia" w:ascii="仿宋" w:hAnsi="仿宋" w:eastAsia="仿宋" w:cs="仿宋"/>
          <w:color w:val="auto"/>
          <w:sz w:val="24"/>
          <w:szCs w:val="24"/>
          <w:highlight w:val="none"/>
          <w:lang w:val="en-US" w:eastAsia="zh-CN"/>
        </w:rPr>
        <w:t>单价最高限价合计</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0%；若成交供应商的成交价低于该风险控制价的，成交供应商必须在合同签订前额外补交成交价与风险控制价之差额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在风险控制价的基础上，每降低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，缴纳差额</w:t>
      </w:r>
      <w:r>
        <w:rPr>
          <w:rFonts w:hint="eastAsia" w:ascii="仿宋" w:hAnsi="仿宋" w:eastAsia="仿宋" w:cs="仿宋"/>
          <w:color w:val="auto"/>
          <w:sz w:val="24"/>
          <w:szCs w:val="24"/>
          <w:highlight w:val="none"/>
          <w:lang w:val="en-US" w:eastAsia="zh-CN"/>
        </w:rPr>
        <w:t>风险金5000</w:t>
      </w:r>
      <w:r>
        <w:rPr>
          <w:rFonts w:hint="eastAsia" w:ascii="仿宋" w:hAnsi="仿宋" w:eastAsia="仿宋" w:cs="仿宋"/>
          <w:color w:val="auto"/>
          <w:sz w:val="24"/>
          <w:szCs w:val="24"/>
          <w:highlight w:val="none"/>
        </w:rPr>
        <w:t>元，不足</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按1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计算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成交供应商不缴纳的视为放弃成交，</w:t>
      </w:r>
      <w:r>
        <w:rPr>
          <w:rFonts w:hint="eastAsia" w:ascii="仿宋" w:hAnsi="仿宋" w:eastAsia="仿宋" w:cs="仿宋"/>
          <w:color w:val="auto"/>
          <w:sz w:val="24"/>
          <w:szCs w:val="24"/>
          <w:highlight w:val="none"/>
          <w:lang w:val="en-US" w:eastAsia="zh-CN"/>
        </w:rPr>
        <w:t>投标保证金</w:t>
      </w:r>
      <w:r>
        <w:rPr>
          <w:rFonts w:hint="eastAsia" w:ascii="仿宋" w:hAnsi="仿宋" w:eastAsia="仿宋" w:cs="仿宋"/>
          <w:b w:val="0"/>
          <w:bCs/>
          <w:color w:val="auto"/>
          <w:sz w:val="24"/>
          <w:szCs w:val="24"/>
          <w:highlight w:val="none"/>
          <w:lang w:val="en-US" w:eastAsia="zh-CN"/>
        </w:rPr>
        <w:t>不予退还，</w:t>
      </w:r>
      <w:r>
        <w:rPr>
          <w:rFonts w:hint="eastAsia" w:ascii="仿宋" w:hAnsi="仿宋" w:eastAsia="仿宋" w:cs="仿宋"/>
          <w:color w:val="auto"/>
          <w:sz w:val="24"/>
          <w:szCs w:val="24"/>
          <w:highlight w:val="none"/>
        </w:rPr>
        <w:t>重新组织</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不得参与采购人同类项目招标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。差额</w:t>
      </w:r>
      <w:r>
        <w:rPr>
          <w:rFonts w:hint="eastAsia" w:ascii="仿宋" w:hAnsi="仿宋" w:eastAsia="仿宋" w:cs="仿宋"/>
          <w:color w:val="auto"/>
          <w:sz w:val="24"/>
          <w:szCs w:val="24"/>
          <w:highlight w:val="none"/>
          <w:lang w:val="en-US" w:eastAsia="zh-CN"/>
        </w:rPr>
        <w:t>风险金</w:t>
      </w:r>
      <w:r>
        <w:rPr>
          <w:rFonts w:hint="eastAsia" w:ascii="仿宋" w:hAnsi="仿宋" w:eastAsia="仿宋" w:cs="仿宋"/>
          <w:color w:val="auto"/>
          <w:sz w:val="24"/>
          <w:szCs w:val="24"/>
          <w:highlight w:val="none"/>
        </w:rPr>
        <w:t>在质保期满后无质量问题30日内无息退还</w:t>
      </w:r>
      <w:r>
        <w:rPr>
          <w:rFonts w:hint="eastAsia" w:ascii="仿宋" w:hAnsi="仿宋" w:eastAsia="仿宋" w:cs="仿宋"/>
          <w:color w:val="auto"/>
          <w:sz w:val="24"/>
          <w:szCs w:val="24"/>
          <w:highlight w:val="none"/>
          <w:lang w:eastAsia="zh-CN"/>
        </w:rPr>
        <w:t>。若成交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产品质量不达标的，差额</w:t>
      </w:r>
      <w:r>
        <w:rPr>
          <w:rFonts w:hint="eastAsia" w:ascii="仿宋" w:hAnsi="仿宋" w:eastAsia="仿宋" w:cs="仿宋"/>
          <w:color w:val="auto"/>
          <w:sz w:val="24"/>
          <w:szCs w:val="24"/>
          <w:highlight w:val="none"/>
          <w:lang w:val="en-US" w:eastAsia="zh-CN"/>
        </w:rPr>
        <w:t>风险金</w:t>
      </w:r>
      <w:r>
        <w:rPr>
          <w:rFonts w:hint="eastAsia" w:ascii="仿宋" w:hAnsi="仿宋" w:eastAsia="仿宋" w:cs="仿宋"/>
          <w:color w:val="auto"/>
          <w:sz w:val="24"/>
          <w:szCs w:val="24"/>
          <w:highlight w:val="none"/>
          <w:lang w:eastAsia="zh-CN"/>
        </w:rPr>
        <w:t>不予退还。</w:t>
      </w:r>
      <w:r>
        <w:rPr>
          <w:rFonts w:hint="eastAsia" w:ascii="仿宋" w:hAnsi="仿宋" w:eastAsia="仿宋" w:cs="仿宋"/>
          <w:color w:val="auto"/>
          <w:sz w:val="24"/>
          <w:szCs w:val="24"/>
          <w:highlight w:val="none"/>
        </w:rPr>
        <w:t>（差额</w:t>
      </w:r>
      <w:r>
        <w:rPr>
          <w:rFonts w:hint="eastAsia" w:ascii="仿宋" w:hAnsi="仿宋" w:eastAsia="仿宋" w:cs="仿宋"/>
          <w:color w:val="auto"/>
          <w:sz w:val="24"/>
          <w:szCs w:val="24"/>
          <w:highlight w:val="none"/>
          <w:lang w:val="en-US" w:eastAsia="zh-CN"/>
        </w:rPr>
        <w:t>风险金</w:t>
      </w:r>
      <w:r>
        <w:rPr>
          <w:rFonts w:hint="eastAsia" w:ascii="仿宋" w:hAnsi="仿宋" w:eastAsia="仿宋" w:cs="仿宋"/>
          <w:color w:val="auto"/>
          <w:sz w:val="24"/>
          <w:szCs w:val="24"/>
          <w:highlight w:val="none"/>
        </w:rPr>
        <w:t>以现金、电汇、转账方式交纳）</w:t>
      </w:r>
      <w:r>
        <w:rPr>
          <w:rFonts w:hint="eastAsia" w:ascii="仿宋" w:hAnsi="仿宋" w:eastAsia="仿宋" w:cs="仿宋"/>
          <w:color w:val="auto"/>
          <w:sz w:val="24"/>
          <w:szCs w:val="24"/>
          <w:highlight w:val="none"/>
          <w:lang w:eastAsia="zh-CN"/>
        </w:rPr>
        <w:t>。</w:t>
      </w:r>
    </w:p>
    <w:p w14:paraId="5E1553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default" w:ascii="仿宋" w:hAnsi="仿宋" w:eastAsia="仿宋" w:cs="仿宋"/>
          <w:b/>
          <w:color w:val="auto"/>
          <w:sz w:val="36"/>
          <w:szCs w:val="36"/>
          <w:lang w:val="en-US" w:eastAsia="zh-CN"/>
        </w:rPr>
      </w:pPr>
      <w:r>
        <w:rPr>
          <w:rFonts w:hint="eastAsia" w:ascii="仿宋" w:hAnsi="仿宋" w:eastAsia="仿宋" w:cs="仿宋"/>
          <w:color w:val="auto"/>
          <w:sz w:val="24"/>
          <w:szCs w:val="24"/>
          <w:highlight w:val="none"/>
          <w:lang w:val="en-US" w:eastAsia="zh-CN"/>
        </w:rPr>
        <w:t>磋商小组</w:t>
      </w:r>
      <w:r>
        <w:rPr>
          <w:rFonts w:hint="eastAsia" w:ascii="仿宋" w:hAnsi="仿宋" w:eastAsia="仿宋" w:cs="仿宋"/>
          <w:color w:val="auto"/>
          <w:sz w:val="24"/>
          <w:szCs w:val="24"/>
          <w:highlight w:val="none"/>
        </w:rPr>
        <w:t>认为</w:t>
      </w:r>
      <w:r>
        <w:rPr>
          <w:rFonts w:hint="eastAsia" w:ascii="仿宋" w:hAnsi="仿宋" w:eastAsia="仿宋" w:cs="仿宋"/>
          <w:color w:val="auto"/>
          <w:sz w:val="24"/>
          <w:szCs w:val="24"/>
          <w:highlight w:val="none"/>
          <w:lang w:val="en-US" w:eastAsia="zh-CN"/>
        </w:rPr>
        <w:t>响应方</w:t>
      </w:r>
      <w:r>
        <w:rPr>
          <w:rFonts w:hint="eastAsia" w:ascii="仿宋" w:hAnsi="仿宋" w:eastAsia="仿宋" w:cs="仿宋"/>
          <w:color w:val="auto"/>
          <w:sz w:val="24"/>
          <w:szCs w:val="24"/>
          <w:highlight w:val="none"/>
        </w:rPr>
        <w:t>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cs="仿宋"/>
          <w:color w:val="auto"/>
          <w:sz w:val="24"/>
          <w:szCs w:val="24"/>
          <w:highlight w:val="none"/>
          <w:lang w:val="en-US" w:eastAsia="zh-CN"/>
        </w:rPr>
        <w:t>响应方</w:t>
      </w:r>
      <w:r>
        <w:rPr>
          <w:rFonts w:hint="eastAsia" w:ascii="仿宋" w:hAnsi="仿宋" w:eastAsia="仿宋" w:cs="仿宋"/>
          <w:color w:val="auto"/>
          <w:sz w:val="24"/>
          <w:szCs w:val="24"/>
          <w:highlight w:val="none"/>
        </w:rPr>
        <w:t>不能证明其报价合理性的，</w:t>
      </w:r>
      <w:r>
        <w:rPr>
          <w:rFonts w:hint="eastAsia" w:ascii="仿宋" w:hAnsi="仿宋" w:eastAsia="仿宋" w:cs="仿宋"/>
          <w:color w:val="auto"/>
          <w:sz w:val="24"/>
          <w:szCs w:val="24"/>
          <w:highlight w:val="none"/>
          <w:lang w:val="en-US" w:eastAsia="zh-CN"/>
        </w:rPr>
        <w:t>磋商小组</w:t>
      </w:r>
      <w:r>
        <w:rPr>
          <w:rFonts w:hint="eastAsia" w:ascii="仿宋" w:hAnsi="仿宋" w:eastAsia="仿宋" w:cs="仿宋"/>
          <w:color w:val="auto"/>
          <w:sz w:val="24"/>
          <w:szCs w:val="24"/>
          <w:highlight w:val="none"/>
        </w:rPr>
        <w:t>应当将其作为无效投标处理。</w:t>
      </w:r>
    </w:p>
    <w:p w14:paraId="2474E120">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49372EA7">
      <w:pPr>
        <w:spacing w:line="336" w:lineRule="auto"/>
        <w:jc w:val="center"/>
        <w:outlineLvl w:val="0"/>
        <w:rPr>
          <w:rFonts w:ascii="仿宋" w:hAnsi="仿宋" w:eastAsia="仿宋" w:cs="仿宋"/>
          <w:b/>
          <w:color w:val="auto"/>
          <w:sz w:val="36"/>
          <w:szCs w:val="36"/>
        </w:rPr>
      </w:pPr>
      <w:bookmarkStart w:id="76" w:name="_Toc86217003"/>
      <w:bookmarkStart w:id="77" w:name="第五部分"/>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五</w:t>
      </w:r>
      <w:r>
        <w:rPr>
          <w:rFonts w:hint="eastAsia" w:ascii="仿宋" w:hAnsi="仿宋" w:eastAsia="仿宋" w:cs="仿宋"/>
          <w:b/>
          <w:color w:val="auto"/>
          <w:sz w:val="36"/>
          <w:szCs w:val="36"/>
        </w:rPr>
        <w:t>部分  拟签订的合同文本</w:t>
      </w:r>
    </w:p>
    <w:p w14:paraId="70CC17C1">
      <w:pPr>
        <w:spacing w:line="336" w:lineRule="auto"/>
        <w:rPr>
          <w:rFonts w:ascii="仿宋" w:hAnsi="仿宋" w:eastAsia="仿宋" w:cs="仿宋"/>
          <w:color w:val="auto"/>
          <w:sz w:val="24"/>
        </w:rPr>
      </w:pPr>
    </w:p>
    <w:p w14:paraId="6562D917">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331F87E8">
      <w:pPr>
        <w:pStyle w:val="73"/>
        <w:rPr>
          <w:rFonts w:hint="eastAsia" w:ascii="仿宋" w:hAnsi="仿宋" w:eastAsia="仿宋" w:cs="仿宋"/>
          <w:color w:val="auto"/>
          <w:sz w:val="24"/>
          <w:u w:val="single"/>
        </w:rPr>
      </w:pPr>
    </w:p>
    <w:p w14:paraId="10319929">
      <w:pPr>
        <w:pStyle w:val="74"/>
        <w:ind w:left="0" w:leftChars="0" w:firstLine="0" w:firstLineChars="0"/>
        <w:jc w:val="center"/>
        <w:rPr>
          <w:color w:val="auto"/>
        </w:rPr>
      </w:pPr>
      <w:r>
        <w:rPr>
          <w:rFonts w:hint="eastAsia" w:ascii="仿宋" w:hAnsi="仿宋" w:eastAsia="仿宋" w:cs="仿宋"/>
          <w:b/>
          <w:color w:val="auto"/>
          <w:sz w:val="24"/>
        </w:rPr>
        <w:t>（本合同为示范文本，具体以</w:t>
      </w:r>
      <w:r>
        <w:rPr>
          <w:rFonts w:hint="eastAsia" w:ascii="仿宋" w:hAnsi="仿宋" w:eastAsia="仿宋" w:cs="仿宋"/>
          <w:b/>
          <w:color w:val="auto"/>
          <w:sz w:val="24"/>
          <w:lang w:val="en-US" w:eastAsia="zh-CN"/>
        </w:rPr>
        <w:t>甲方与乙方</w:t>
      </w:r>
      <w:r>
        <w:rPr>
          <w:rFonts w:hint="eastAsia" w:ascii="仿宋" w:hAnsi="仿宋" w:eastAsia="仿宋" w:cs="仿宋"/>
          <w:b/>
          <w:color w:val="auto"/>
          <w:sz w:val="24"/>
        </w:rPr>
        <w:t>所签定正式合同为准）</w:t>
      </w:r>
    </w:p>
    <w:p w14:paraId="19CA21FE">
      <w:pPr>
        <w:spacing w:line="336" w:lineRule="auto"/>
        <w:rPr>
          <w:rFonts w:ascii="仿宋" w:hAnsi="仿宋" w:eastAsia="仿宋" w:cs="仿宋"/>
          <w:color w:val="auto"/>
          <w:sz w:val="24"/>
          <w:u w:val="single"/>
        </w:rPr>
      </w:pPr>
    </w:p>
    <w:p w14:paraId="631B3DB1">
      <w:pPr>
        <w:pStyle w:val="286"/>
        <w:spacing w:after="0" w:line="336" w:lineRule="auto"/>
        <w:ind w:left="0" w:leftChars="0" w:firstLine="0" w:firstLineChars="0"/>
        <w:jc w:val="center"/>
        <w:rPr>
          <w:rFonts w:ascii="仿宋" w:hAnsi="仿宋" w:eastAsia="仿宋" w:cs="仿宋"/>
          <w:b/>
          <w:color w:val="auto"/>
          <w:sz w:val="36"/>
          <w:szCs w:val="36"/>
        </w:rPr>
      </w:pPr>
      <w:r>
        <w:rPr>
          <w:rFonts w:hint="eastAsia" w:ascii="仿宋" w:hAnsi="仿宋" w:eastAsia="仿宋" w:cs="仿宋"/>
          <w:b/>
          <w:color w:val="auto"/>
          <w:sz w:val="36"/>
          <w:szCs w:val="36"/>
        </w:rPr>
        <w:t>采购合同书</w:t>
      </w:r>
    </w:p>
    <w:p w14:paraId="10FBA9D9">
      <w:pPr>
        <w:pStyle w:val="286"/>
        <w:spacing w:after="0" w:line="336" w:lineRule="auto"/>
        <w:ind w:left="0" w:leftChars="0"/>
        <w:jc w:val="center"/>
        <w:rPr>
          <w:rFonts w:ascii="仿宋" w:hAnsi="仿宋" w:eastAsia="仿宋" w:cs="仿宋"/>
          <w:color w:val="auto"/>
          <w:szCs w:val="24"/>
        </w:rPr>
      </w:pPr>
    </w:p>
    <w:p w14:paraId="64C4E484">
      <w:pPr>
        <w:pStyle w:val="286"/>
        <w:ind w:left="0" w:leftChars="0" w:firstLine="0" w:firstLineChars="0"/>
        <w:jc w:val="center"/>
        <w:rPr>
          <w:rFonts w:ascii="仿宋_GB2312" w:hAnsi="仿宋" w:eastAsia="仿宋_GB2312"/>
          <w:b/>
          <w:color w:val="auto"/>
          <w:szCs w:val="24"/>
        </w:rPr>
      </w:pPr>
      <w:r>
        <w:rPr>
          <w:rFonts w:hint="eastAsia" w:ascii="仿宋_GB2312" w:hAnsi="仿宋" w:eastAsia="仿宋_GB2312"/>
          <w:b/>
          <w:color w:val="auto"/>
          <w:szCs w:val="24"/>
        </w:rPr>
        <w:t>第一部分   合同书</w:t>
      </w:r>
    </w:p>
    <w:p w14:paraId="66808874">
      <w:pPr>
        <w:pStyle w:val="25"/>
        <w:rPr>
          <w:rFonts w:ascii="仿宋" w:hAnsi="仿宋" w:eastAsia="仿宋" w:cs="仿宋"/>
          <w:color w:val="auto"/>
          <w:szCs w:val="24"/>
        </w:rPr>
      </w:pPr>
    </w:p>
    <w:p w14:paraId="11C09AB3">
      <w:pPr>
        <w:pStyle w:val="25"/>
        <w:rPr>
          <w:rFonts w:ascii="仿宋" w:hAnsi="仿宋" w:eastAsia="仿宋" w:cs="仿宋"/>
          <w:color w:val="auto"/>
          <w:szCs w:val="24"/>
        </w:rPr>
      </w:pPr>
    </w:p>
    <w:p w14:paraId="702EA2D2">
      <w:pPr>
        <w:pStyle w:val="25"/>
        <w:ind w:left="0" w:leftChars="0" w:firstLine="0" w:firstLineChars="0"/>
        <w:rPr>
          <w:rFonts w:ascii="仿宋" w:hAnsi="仿宋" w:eastAsia="仿宋" w:cs="仿宋"/>
          <w:color w:val="auto"/>
          <w:szCs w:val="24"/>
        </w:rPr>
      </w:pPr>
    </w:p>
    <w:p w14:paraId="29EB300A">
      <w:pPr>
        <w:spacing w:line="336" w:lineRule="auto"/>
        <w:rPr>
          <w:rFonts w:ascii="仿宋" w:hAnsi="仿宋" w:eastAsia="仿宋" w:cs="仿宋"/>
          <w:color w:val="auto"/>
          <w:sz w:val="24"/>
        </w:rPr>
      </w:pPr>
    </w:p>
    <w:p w14:paraId="3CD0F2F1">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1AF304AA">
      <w:pPr>
        <w:pStyle w:val="621"/>
        <w:spacing w:line="336" w:lineRule="auto"/>
        <w:rPr>
          <w:rFonts w:ascii="仿宋" w:hAnsi="仿宋" w:eastAsia="仿宋" w:cs="仿宋"/>
          <w:color w:val="auto"/>
          <w:szCs w:val="24"/>
        </w:rPr>
      </w:pPr>
    </w:p>
    <w:p w14:paraId="0DB8B872">
      <w:pPr>
        <w:spacing w:line="336" w:lineRule="auto"/>
        <w:rPr>
          <w:rFonts w:ascii="仿宋" w:hAnsi="仿宋" w:eastAsia="仿宋" w:cs="仿宋"/>
          <w:color w:val="auto"/>
          <w:sz w:val="24"/>
        </w:rPr>
      </w:pPr>
    </w:p>
    <w:p w14:paraId="72F042C8">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0AF59305">
      <w:pPr>
        <w:spacing w:line="336" w:lineRule="auto"/>
        <w:rPr>
          <w:rFonts w:ascii="仿宋" w:hAnsi="仿宋" w:eastAsia="仿宋" w:cs="仿宋"/>
          <w:color w:val="auto"/>
          <w:sz w:val="24"/>
        </w:rPr>
      </w:pPr>
    </w:p>
    <w:p w14:paraId="3C5480C5">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7E8C427A">
      <w:pPr>
        <w:spacing w:line="336" w:lineRule="auto"/>
        <w:rPr>
          <w:rFonts w:ascii="仿宋" w:hAnsi="仿宋" w:eastAsia="仿宋" w:cs="仿宋"/>
          <w:color w:val="auto"/>
          <w:sz w:val="24"/>
        </w:rPr>
      </w:pPr>
    </w:p>
    <w:p w14:paraId="44FC02F3">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4A2DC322">
      <w:pPr>
        <w:spacing w:line="336"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w:t>
      </w:r>
    </w:p>
    <w:p w14:paraId="74BA98FB">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30A01D02">
      <w:pPr>
        <w:keepNext w:val="0"/>
        <w:keepLines w:val="0"/>
        <w:pageBreakBefore w:val="0"/>
        <w:widowControl/>
        <w:kinsoku/>
        <w:wordWrap/>
        <w:overflowPunct/>
        <w:topLinePunct w:val="0"/>
        <w:autoSpaceDE/>
        <w:autoSpaceDN/>
        <w:bidi w:val="0"/>
        <w:adjustRightInd/>
        <w:snapToGrid/>
        <w:spacing w:line="360" w:lineRule="auto"/>
        <w:ind w:firstLine="1205" w:firstLineChars="500"/>
        <w:jc w:val="left"/>
        <w:textAlignment w:val="auto"/>
        <w:rPr>
          <w:rFonts w:ascii="仿宋" w:hAnsi="仿宋" w:eastAsia="仿宋" w:cs="仿宋"/>
          <w:b/>
          <w:color w:val="auto"/>
          <w:sz w:val="24"/>
        </w:rPr>
      </w:pPr>
      <w:r>
        <w:rPr>
          <w:rFonts w:ascii="仿宋" w:hAnsi="仿宋" w:eastAsia="仿宋" w:cs="仿宋"/>
          <w:b/>
          <w:color w:val="auto"/>
          <w:sz w:val="24"/>
        </w:rPr>
        <w:br w:type="page"/>
      </w:r>
    </w:p>
    <w:p w14:paraId="16F6ACCD">
      <w:pPr>
        <w:pStyle w:val="33"/>
        <w:keepNext w:val="0"/>
        <w:keepLines w:val="0"/>
        <w:pageBreakBefore w:val="0"/>
        <w:kinsoku/>
        <w:wordWrap/>
        <w:overflowPunct/>
        <w:topLinePunct w:val="0"/>
        <w:bidi w:val="0"/>
        <w:adjustRightInd w:val="0"/>
        <w:snapToGrid w:val="0"/>
        <w:spacing w:beforeLines="0" w:afterLines="0" w:line="430" w:lineRule="exact"/>
        <w:jc w:val="center"/>
        <w:textAlignment w:val="auto"/>
        <w:outlineLvl w:val="0"/>
        <w:rPr>
          <w:rFonts w:hint="eastAsia" w:ascii="仿宋" w:hAnsi="仿宋" w:eastAsia="仿宋" w:cs="仿宋"/>
          <w:b/>
          <w:snapToGrid w:val="0"/>
          <w:color w:val="auto"/>
          <w:kern w:val="0"/>
          <w:sz w:val="24"/>
          <w:szCs w:val="24"/>
        </w:rPr>
      </w:pPr>
      <w:r>
        <w:rPr>
          <w:rFonts w:hint="eastAsia" w:ascii="仿宋" w:hAnsi="仿宋" w:eastAsia="仿宋" w:cs="仿宋"/>
          <w:b/>
          <w:snapToGrid w:val="0"/>
          <w:color w:val="auto"/>
          <w:kern w:val="0"/>
          <w:sz w:val="28"/>
          <w:szCs w:val="28"/>
        </w:rPr>
        <w:t>嵊州市广电信息网络有限公司采购合同</w:t>
      </w:r>
    </w:p>
    <w:p w14:paraId="6552297C">
      <w:pPr>
        <w:keepNext w:val="0"/>
        <w:keepLines w:val="0"/>
        <w:pageBreakBefore w:val="0"/>
        <w:kinsoku/>
        <w:wordWrap/>
        <w:overflowPunct/>
        <w:topLinePunct w:val="0"/>
        <w:autoSpaceDE w:val="0"/>
        <w:autoSpaceDN w:val="0"/>
        <w:bidi w:val="0"/>
        <w:adjustRightInd w:val="0"/>
        <w:spacing w:line="430" w:lineRule="exact"/>
        <w:jc w:val="righ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合同编号：</w:t>
      </w:r>
    </w:p>
    <w:p w14:paraId="60838FF5">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甲方（招标方）：</w:t>
      </w:r>
      <w:r>
        <w:rPr>
          <w:rFonts w:hint="eastAsia" w:ascii="仿宋" w:hAnsi="仿宋" w:eastAsia="仿宋" w:cs="仿宋"/>
          <w:snapToGrid w:val="0"/>
          <w:color w:val="auto"/>
          <w:kern w:val="0"/>
          <w:sz w:val="24"/>
          <w:szCs w:val="24"/>
        </w:rPr>
        <w:t>嵊州市广电信息网络有限公司</w:t>
      </w:r>
    </w:p>
    <w:p w14:paraId="6BF1B496">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乙方（中标方）：</w:t>
      </w:r>
      <w:r>
        <w:rPr>
          <w:rFonts w:hint="eastAsia" w:ascii="仿宋" w:hAnsi="仿宋" w:eastAsia="仿宋" w:cs="仿宋"/>
          <w:color w:val="auto"/>
          <w:kern w:val="0"/>
          <w:sz w:val="24"/>
          <w:szCs w:val="24"/>
          <w:u w:val="single"/>
          <w:lang w:val="zh-CN"/>
        </w:rPr>
        <w:t xml:space="preserve">                      公司</w:t>
      </w:r>
    </w:p>
    <w:p w14:paraId="3F07E24B">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经竞争性磋商招标，中标单位为</w:t>
      </w:r>
      <w:r>
        <w:rPr>
          <w:rFonts w:hint="eastAsia"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公司；根据《中华人民共和国民法典》</w:t>
      </w:r>
      <w:r>
        <w:rPr>
          <w:rFonts w:hint="eastAsia" w:ascii="仿宋" w:hAnsi="仿宋" w:eastAsia="仿宋" w:cs="仿宋"/>
          <w:color w:val="auto"/>
          <w:kern w:val="0"/>
          <w:sz w:val="24"/>
          <w:szCs w:val="24"/>
          <w:lang w:val="en-US" w:eastAsia="zh-CN"/>
        </w:rPr>
        <w:t>等</w:t>
      </w:r>
      <w:r>
        <w:rPr>
          <w:rFonts w:hint="eastAsia" w:ascii="仿宋" w:hAnsi="仿宋" w:eastAsia="仿宋" w:cs="仿宋"/>
          <w:color w:val="auto"/>
          <w:kern w:val="0"/>
          <w:sz w:val="24"/>
          <w:szCs w:val="24"/>
          <w:lang w:val="zh-CN"/>
        </w:rPr>
        <w:t>规定，本合同当事人在平等、自愿的基础上，经协商一致，同意按下述条款和条件签署本合同：</w:t>
      </w:r>
    </w:p>
    <w:p w14:paraId="6FE721C0">
      <w:pPr>
        <w:pStyle w:val="33"/>
        <w:keepNext w:val="0"/>
        <w:keepLines w:val="0"/>
        <w:pageBreakBefore w:val="0"/>
        <w:tabs>
          <w:tab w:val="left" w:pos="180"/>
        </w:tabs>
        <w:kinsoku/>
        <w:wordWrap/>
        <w:overflowPunct/>
        <w:topLinePunct w:val="0"/>
        <w:bidi w:val="0"/>
        <w:adjustRightInd w:val="0"/>
        <w:snapToGrid w:val="0"/>
        <w:spacing w:beforeLines="0" w:afterLines="0" w:line="360" w:lineRule="auto"/>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第一条：采购商品清单及合同价格</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单位：元</w:t>
      </w:r>
    </w:p>
    <w:tbl>
      <w:tblPr>
        <w:tblStyle w:val="61"/>
        <w:tblW w:w="0" w:type="auto"/>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875"/>
        <w:gridCol w:w="1635"/>
        <w:gridCol w:w="1856"/>
        <w:gridCol w:w="1599"/>
      </w:tblGrid>
      <w:tr w14:paraId="611B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95" w:type="dxa"/>
            <w:vAlign w:val="center"/>
          </w:tcPr>
          <w:p w14:paraId="32618E11">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序号</w:t>
            </w:r>
          </w:p>
        </w:tc>
        <w:tc>
          <w:tcPr>
            <w:tcW w:w="2875" w:type="dxa"/>
            <w:vAlign w:val="center"/>
          </w:tcPr>
          <w:p w14:paraId="04AC8EF2">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品名</w:t>
            </w:r>
          </w:p>
        </w:tc>
        <w:tc>
          <w:tcPr>
            <w:tcW w:w="1635" w:type="dxa"/>
            <w:vAlign w:val="center"/>
          </w:tcPr>
          <w:p w14:paraId="115CF6A8">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规格</w:t>
            </w:r>
          </w:p>
        </w:tc>
        <w:tc>
          <w:tcPr>
            <w:tcW w:w="1856" w:type="dxa"/>
            <w:vAlign w:val="center"/>
          </w:tcPr>
          <w:p w14:paraId="302127A3">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单位</w:t>
            </w:r>
          </w:p>
        </w:tc>
        <w:tc>
          <w:tcPr>
            <w:tcW w:w="1599" w:type="dxa"/>
            <w:vAlign w:val="center"/>
          </w:tcPr>
          <w:p w14:paraId="0FF46BEB">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单价（元）</w:t>
            </w:r>
          </w:p>
        </w:tc>
      </w:tr>
      <w:tr w14:paraId="449B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5" w:type="dxa"/>
            <w:vAlign w:val="center"/>
          </w:tcPr>
          <w:p w14:paraId="5FDCF7F7">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2875" w:type="dxa"/>
            <w:vAlign w:val="center"/>
          </w:tcPr>
          <w:p w14:paraId="6F215429">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635" w:type="dxa"/>
            <w:vAlign w:val="center"/>
          </w:tcPr>
          <w:p w14:paraId="1CDDF043">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856" w:type="dxa"/>
            <w:vAlign w:val="center"/>
          </w:tcPr>
          <w:p w14:paraId="5C4166BC">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599" w:type="dxa"/>
            <w:vAlign w:val="center"/>
          </w:tcPr>
          <w:p w14:paraId="5D47EBB0">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r>
      <w:tr w14:paraId="6A11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95" w:type="dxa"/>
            <w:vAlign w:val="center"/>
          </w:tcPr>
          <w:p w14:paraId="4CF43273">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2875" w:type="dxa"/>
            <w:vAlign w:val="center"/>
          </w:tcPr>
          <w:p w14:paraId="3545DBE0">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635" w:type="dxa"/>
            <w:vAlign w:val="center"/>
          </w:tcPr>
          <w:p w14:paraId="570D9618">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856" w:type="dxa"/>
            <w:vAlign w:val="center"/>
          </w:tcPr>
          <w:p w14:paraId="13429F7F">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599" w:type="dxa"/>
            <w:vAlign w:val="center"/>
          </w:tcPr>
          <w:p w14:paraId="3E934649">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r>
      <w:tr w14:paraId="1CD1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95" w:type="dxa"/>
            <w:vAlign w:val="center"/>
          </w:tcPr>
          <w:p w14:paraId="1216F6ED">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p>
        </w:tc>
        <w:tc>
          <w:tcPr>
            <w:tcW w:w="2875" w:type="dxa"/>
            <w:vAlign w:val="center"/>
          </w:tcPr>
          <w:p w14:paraId="11B46E61">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635" w:type="dxa"/>
            <w:vAlign w:val="center"/>
          </w:tcPr>
          <w:p w14:paraId="75806CE3">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856" w:type="dxa"/>
            <w:vAlign w:val="center"/>
          </w:tcPr>
          <w:p w14:paraId="67C1186B">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599" w:type="dxa"/>
            <w:vAlign w:val="center"/>
          </w:tcPr>
          <w:p w14:paraId="2F32B2CE">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r>
    </w:tbl>
    <w:p w14:paraId="5F93577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color w:val="auto"/>
          <w:sz w:val="24"/>
          <w:szCs w:val="24"/>
          <w:lang w:val="zh-CN"/>
        </w:rPr>
      </w:pPr>
      <w:r>
        <w:rPr>
          <w:rFonts w:hint="eastAsia" w:ascii="仿宋" w:hAnsi="仿宋" w:eastAsia="仿宋" w:cs="仿宋"/>
          <w:color w:val="auto"/>
          <w:sz w:val="24"/>
          <w:szCs w:val="24"/>
        </w:rPr>
        <w:t>注：所有投标价均是包含货款、运输、包装、税费、保险、保修、招标代理服务费及相关服务等费用。</w:t>
      </w:r>
    </w:p>
    <w:p w14:paraId="400A4801">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第二条：质量保证</w:t>
      </w:r>
    </w:p>
    <w:p w14:paraId="37F6A436">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乙方保证本合同中所供应的国产商品是</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 xml:space="preserve">4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份后生产的符合国家技术规格和质量标准的全新出厂合格产品；如发生所供商品与合同不符，质量不合格的，甲方有权拒收或退货，如收货后使用过程中才发现该情形的，甲方有权拒绝支付该批次货款或者要求乙方归还该批次的全部货款，由此产生的一切责任和后果由乙方承担。上述供货情况出现二次的，甲方可单方面解除合同，要求乙方按总货值的30%支付违约金。</w:t>
      </w:r>
    </w:p>
    <w:p w14:paraId="3E1CC76D">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第三条：交货时间、地点</w:t>
      </w:r>
    </w:p>
    <w:p w14:paraId="005B3944">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乙方在接到甲方电话或书面通知十日内，货物按照其与甲方事先直接联系约定（使用单位地址、联系人等），将所供货物运至需方指定地点，交甲方数量外观验收。</w:t>
      </w:r>
    </w:p>
    <w:p w14:paraId="1FA11D00">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在所供货物交付使用时，乙方必须向甲方提供质量保证书、保修卡等必须具备的相关资料和必备的附件。</w:t>
      </w:r>
    </w:p>
    <w:p w14:paraId="70D7DCB8">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w:t>
      </w:r>
      <w:r>
        <w:rPr>
          <w:rFonts w:hint="eastAsia" w:ascii="仿宋" w:hAnsi="仿宋" w:eastAsia="仿宋" w:cs="仿宋"/>
          <w:b/>
          <w:color w:val="auto"/>
          <w:sz w:val="24"/>
          <w:szCs w:val="24"/>
          <w:lang w:val="en-US" w:eastAsia="zh-CN"/>
        </w:rPr>
        <w:t>四</w:t>
      </w:r>
      <w:r>
        <w:rPr>
          <w:rFonts w:hint="eastAsia" w:ascii="仿宋" w:hAnsi="仿宋" w:eastAsia="仿宋" w:cs="仿宋"/>
          <w:b/>
          <w:color w:val="auto"/>
          <w:sz w:val="24"/>
          <w:szCs w:val="24"/>
        </w:rPr>
        <w:t>条：定点采购期限</w:t>
      </w:r>
    </w:p>
    <w:p w14:paraId="56F44F11">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自签订协议之日起一年，若遇重大政策调整，则需按政策相应调整，或重新招标。到期未重新招标则本合同顺延到新的招标结果生效且首批供货验收合格入库之日止。</w:t>
      </w:r>
    </w:p>
    <w:p w14:paraId="18C60CEC">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w:t>
      </w: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条：售后服务</w:t>
      </w:r>
    </w:p>
    <w:p w14:paraId="4C762C3B">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乙方郑重向甲方承诺，由乙方提供的设备，符合国家颁布的质量认证标准和乙方的产品技术标准，并符合甲方的技术规范书要求和国家、行业标准要求，经检验合格后出厂。</w:t>
      </w:r>
    </w:p>
    <w:p w14:paraId="1A3AABB7">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乙方承诺始接到客户采购单之日起，立即组织发货，保证在甲方要求时间内把货送到甲方指定地点。</w:t>
      </w:r>
    </w:p>
    <w:p w14:paraId="25307539">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trike w:val="0"/>
          <w:dstrike w:val="0"/>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设备质保期为收货之日起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年，在质保期内对不合格或存在质量问题的产品予</w:t>
      </w:r>
      <w:r>
        <w:rPr>
          <w:rFonts w:hint="eastAsia" w:ascii="仿宋" w:hAnsi="仿宋" w:eastAsia="仿宋" w:cs="仿宋"/>
          <w:strike w:val="0"/>
          <w:dstrike w:val="0"/>
          <w:color w:val="auto"/>
          <w:sz w:val="24"/>
          <w:szCs w:val="24"/>
        </w:rPr>
        <w:t>以免费更换，直到甲方满意为止。调换后产品的质保期从调换之日起重新计算。</w:t>
      </w:r>
    </w:p>
    <w:p w14:paraId="17A1EB00">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trike w:val="0"/>
          <w:dstrike w:val="0"/>
          <w:color w:val="auto"/>
          <w:sz w:val="24"/>
          <w:szCs w:val="24"/>
        </w:rPr>
      </w:pPr>
      <w:r>
        <w:rPr>
          <w:rFonts w:hint="eastAsia" w:ascii="仿宋" w:hAnsi="仿宋" w:eastAsia="仿宋" w:cs="仿宋"/>
          <w:strike w:val="0"/>
          <w:dstrike w:val="0"/>
          <w:color w:val="auto"/>
          <w:sz w:val="24"/>
          <w:szCs w:val="24"/>
        </w:rPr>
        <w:t>4</w:t>
      </w:r>
      <w:r>
        <w:rPr>
          <w:rFonts w:hint="eastAsia" w:ascii="仿宋" w:hAnsi="仿宋" w:eastAsia="仿宋" w:cs="仿宋"/>
          <w:strike w:val="0"/>
          <w:dstrike w:val="0"/>
          <w:color w:val="auto"/>
          <w:sz w:val="24"/>
          <w:szCs w:val="24"/>
          <w:lang w:val="en-US" w:eastAsia="zh-CN"/>
        </w:rPr>
        <w:t>.</w:t>
      </w:r>
      <w:r>
        <w:rPr>
          <w:rFonts w:hint="eastAsia" w:ascii="仿宋" w:hAnsi="仿宋" w:eastAsia="仿宋" w:cs="仿宋"/>
          <w:strike w:val="0"/>
          <w:dstrike w:val="0"/>
          <w:color w:val="auto"/>
          <w:sz w:val="24"/>
          <w:szCs w:val="24"/>
        </w:rPr>
        <w:t>乙方竭诚为客户服务，24小时中均有服务人员接听服务电话</w:t>
      </w:r>
      <w:r>
        <w:rPr>
          <w:rFonts w:hint="eastAsia" w:ascii="仿宋" w:hAnsi="仿宋" w:eastAsia="仿宋" w:cs="仿宋"/>
          <w:strike w:val="0"/>
          <w:dstrike w:val="0"/>
          <w:color w:val="auto"/>
          <w:sz w:val="24"/>
          <w:szCs w:val="24"/>
          <w:u w:val="single"/>
          <w:lang w:val="en-US" w:eastAsia="zh-CN"/>
        </w:rPr>
        <w:t xml:space="preserve">          </w:t>
      </w:r>
      <w:r>
        <w:rPr>
          <w:rFonts w:hint="eastAsia" w:ascii="仿宋" w:hAnsi="仿宋" w:eastAsia="仿宋" w:cs="仿宋"/>
          <w:strike w:val="0"/>
          <w:dstrike w:val="0"/>
          <w:color w:val="auto"/>
          <w:sz w:val="24"/>
          <w:szCs w:val="24"/>
        </w:rPr>
        <w:t>，接到用户投诉后</w:t>
      </w:r>
      <w:r>
        <w:rPr>
          <w:rFonts w:hint="eastAsia" w:ascii="仿宋" w:hAnsi="仿宋" w:eastAsia="仿宋" w:cs="仿宋"/>
          <w:strike w:val="0"/>
          <w:dstrike w:val="0"/>
          <w:color w:val="auto"/>
          <w:sz w:val="24"/>
          <w:szCs w:val="24"/>
          <w:lang w:val="en-US" w:eastAsia="zh-CN"/>
        </w:rPr>
        <w:t>60</w:t>
      </w:r>
      <w:r>
        <w:rPr>
          <w:rFonts w:hint="eastAsia" w:ascii="仿宋" w:hAnsi="仿宋" w:eastAsia="仿宋" w:cs="仿宋"/>
          <w:strike w:val="0"/>
          <w:dstrike w:val="0"/>
          <w:color w:val="auto"/>
          <w:sz w:val="24"/>
          <w:szCs w:val="24"/>
        </w:rPr>
        <w:t>分钟</w:t>
      </w:r>
      <w:r>
        <w:rPr>
          <w:rFonts w:hint="eastAsia" w:ascii="仿宋" w:hAnsi="仿宋" w:eastAsia="仿宋" w:cs="仿宋"/>
          <w:strike w:val="0"/>
          <w:dstrike w:val="0"/>
          <w:color w:val="auto"/>
          <w:sz w:val="24"/>
          <w:szCs w:val="24"/>
          <w:lang w:eastAsia="zh-CN"/>
        </w:rPr>
        <w:t>内</w:t>
      </w:r>
      <w:r>
        <w:rPr>
          <w:rFonts w:hint="eastAsia" w:ascii="仿宋" w:hAnsi="仿宋" w:eastAsia="仿宋" w:cs="仿宋"/>
          <w:strike w:val="0"/>
          <w:dstrike w:val="0"/>
          <w:color w:val="auto"/>
          <w:sz w:val="24"/>
          <w:szCs w:val="24"/>
        </w:rPr>
        <w:t>响应，1小时内</w:t>
      </w:r>
      <w:r>
        <w:rPr>
          <w:rFonts w:hint="eastAsia" w:ascii="仿宋" w:hAnsi="仿宋" w:eastAsia="仿宋" w:cs="仿宋"/>
          <w:strike w:val="0"/>
          <w:dstrike w:val="0"/>
          <w:color w:val="auto"/>
          <w:sz w:val="24"/>
          <w:szCs w:val="24"/>
          <w:lang w:eastAsia="zh-CN"/>
        </w:rPr>
        <w:t>修复</w:t>
      </w:r>
      <w:r>
        <w:rPr>
          <w:rFonts w:hint="eastAsia" w:ascii="仿宋" w:hAnsi="仿宋" w:eastAsia="仿宋" w:cs="仿宋"/>
          <w:strike w:val="0"/>
          <w:dstrike w:val="0"/>
          <w:color w:val="auto"/>
          <w:sz w:val="24"/>
          <w:szCs w:val="24"/>
        </w:rPr>
        <w:t>，</w:t>
      </w:r>
      <w:r>
        <w:rPr>
          <w:rFonts w:hint="eastAsia" w:ascii="仿宋" w:hAnsi="仿宋" w:eastAsia="仿宋" w:cs="仿宋"/>
          <w:strike w:val="0"/>
          <w:dstrike w:val="0"/>
          <w:color w:val="auto"/>
          <w:sz w:val="24"/>
          <w:szCs w:val="24"/>
          <w:lang w:eastAsia="zh-CN"/>
        </w:rPr>
        <w:t>特殊情况在</w:t>
      </w:r>
      <w:r>
        <w:rPr>
          <w:rFonts w:hint="eastAsia" w:ascii="仿宋" w:hAnsi="仿宋" w:eastAsia="仿宋" w:cs="仿宋"/>
          <w:strike w:val="0"/>
          <w:dstrike w:val="0"/>
          <w:color w:val="auto"/>
          <w:sz w:val="24"/>
          <w:szCs w:val="24"/>
        </w:rPr>
        <w:t>2小时内</w:t>
      </w:r>
      <w:r>
        <w:rPr>
          <w:rFonts w:hint="eastAsia" w:ascii="仿宋" w:hAnsi="仿宋" w:eastAsia="仿宋" w:cs="仿宋"/>
          <w:strike w:val="0"/>
          <w:dstrike w:val="0"/>
          <w:color w:val="auto"/>
          <w:sz w:val="24"/>
          <w:szCs w:val="24"/>
          <w:lang w:eastAsia="zh-CN"/>
        </w:rPr>
        <w:t>无法修复的，免费提供备用设备使用</w:t>
      </w:r>
      <w:r>
        <w:rPr>
          <w:rFonts w:hint="eastAsia" w:ascii="仿宋" w:hAnsi="仿宋" w:eastAsia="仿宋" w:cs="仿宋"/>
          <w:strike w:val="0"/>
          <w:dstrike w:val="0"/>
          <w:color w:val="auto"/>
          <w:sz w:val="24"/>
          <w:szCs w:val="24"/>
        </w:rPr>
        <w:t>。</w:t>
      </w:r>
    </w:p>
    <w:p w14:paraId="6584908C">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trike w:val="0"/>
          <w:dstrike w:val="0"/>
          <w:color w:val="auto"/>
          <w:sz w:val="24"/>
          <w:szCs w:val="24"/>
        </w:rPr>
      </w:pPr>
      <w:r>
        <w:rPr>
          <w:rFonts w:hint="eastAsia" w:ascii="仿宋" w:hAnsi="仿宋" w:eastAsia="仿宋" w:cs="仿宋"/>
          <w:strike w:val="0"/>
          <w:dstrike w:val="0"/>
          <w:color w:val="auto"/>
          <w:sz w:val="24"/>
          <w:szCs w:val="24"/>
        </w:rPr>
        <w:t>5</w:t>
      </w:r>
      <w:r>
        <w:rPr>
          <w:rFonts w:hint="eastAsia" w:ascii="仿宋" w:hAnsi="仿宋" w:eastAsia="仿宋" w:cs="仿宋"/>
          <w:strike w:val="0"/>
          <w:dstrike w:val="0"/>
          <w:color w:val="auto"/>
          <w:sz w:val="24"/>
          <w:szCs w:val="24"/>
          <w:lang w:val="en-US" w:eastAsia="zh-CN"/>
        </w:rPr>
        <w:t>.</w:t>
      </w:r>
      <w:r>
        <w:rPr>
          <w:rFonts w:hint="eastAsia" w:ascii="仿宋" w:hAnsi="仿宋" w:eastAsia="仿宋" w:cs="仿宋"/>
          <w:strike w:val="0"/>
          <w:dstrike w:val="0"/>
          <w:color w:val="auto"/>
          <w:sz w:val="24"/>
          <w:szCs w:val="24"/>
        </w:rPr>
        <w:t>乙方公司的售后服务由销售部主管负责，具有一支专业的售后服务维护队伍，具有丰富的安装及维护经验。并配备相应的维修材料，能够在接到用户单位的通知后4小时内赶到指定地点，并在6小时内维修完毕。常规产品在6小时内不能修复的，应免费提供备机或零用供用户单位使用；不能响应的，按合同有关条款处理；合同条款未作约定的，每天扣未修复设备采购金额的0.3%作为违约金。</w:t>
      </w:r>
    </w:p>
    <w:p w14:paraId="1AE0BDD5">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乙方公司愿意无偿为甲方和施工方提供技术服务，上门讲解进行安装和使用技术要求。</w:t>
      </w:r>
    </w:p>
    <w:p w14:paraId="3F03BDEF">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质保期内乙方未履行质保义务或未能实质性解决问题的，甲方有权另请他人维修，所产生的费用由乙方加倍赔偿。质保期满后，若有附件出现问题，则由乙方负责成本价更换。</w:t>
      </w:r>
    </w:p>
    <w:p w14:paraId="2A560503">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质保期满后，应甲方要求，乙方以此次招标价格为基准向甲方提供所需配件，配件价格不得高于当时的市场价格。</w:t>
      </w:r>
    </w:p>
    <w:p w14:paraId="5D711BA8">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质量保证期外的售后服务由乙方销售部下的售后服务机构负责，乙方由专人24小时内接听服务电话，并在短时间内反馈给相应的部门。</w:t>
      </w:r>
    </w:p>
    <w:p w14:paraId="7BB08383">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接到甲方故障电话后，乙方立即响应，并在两天之内把甲方急需的材料免运费送到甲方指定地点。</w:t>
      </w:r>
    </w:p>
    <w:p w14:paraId="77BD4E56">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乙方为甲方免费提供终身的产品技术支持。</w:t>
      </w:r>
    </w:p>
    <w:p w14:paraId="6B5D498F">
      <w:pPr>
        <w:pStyle w:val="33"/>
        <w:keepNext w:val="0"/>
        <w:keepLines w:val="0"/>
        <w:pageBreakBefore w:val="0"/>
        <w:widowControl w:val="0"/>
        <w:tabs>
          <w:tab w:val="center" w:pos="503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w:t>
      </w: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条：质保期</w:t>
      </w:r>
      <w:r>
        <w:rPr>
          <w:rFonts w:hint="eastAsia" w:ascii="仿宋" w:hAnsi="仿宋" w:eastAsia="仿宋" w:cs="仿宋"/>
          <w:b/>
          <w:color w:val="auto"/>
          <w:sz w:val="24"/>
          <w:szCs w:val="24"/>
        </w:rPr>
        <w:tab/>
      </w:r>
    </w:p>
    <w:p w14:paraId="1E324FF8">
      <w:pPr>
        <w:pStyle w:val="33"/>
        <w:keepNext w:val="0"/>
        <w:keepLines w:val="0"/>
        <w:pageBreakBefore w:val="0"/>
        <w:widowControl w:val="0"/>
        <w:kinsoku/>
        <w:wordWrap/>
        <w:overflowPunct/>
        <w:topLinePunct w:val="0"/>
        <w:autoSpaceDE/>
        <w:autoSpaceDN/>
        <w:bidi w:val="0"/>
        <w:adjustRightInd w:val="0"/>
        <w:snapToGrid w:val="0"/>
        <w:spacing w:line="360" w:lineRule="auto"/>
        <w:ind w:firstLine="511" w:firstLineChars="213"/>
        <w:textAlignment w:val="auto"/>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质保期：</w:t>
      </w:r>
      <w:r>
        <w:rPr>
          <w:rFonts w:hint="eastAsia" w:ascii="仿宋" w:hAnsi="仿宋" w:eastAsia="仿宋" w:cs="仿宋"/>
          <w:snapToGrid w:val="0"/>
          <w:color w:val="auto"/>
          <w:kern w:val="0"/>
          <w:sz w:val="24"/>
          <w:szCs w:val="24"/>
          <w:u w:val="single"/>
        </w:rPr>
        <w:t xml:space="preserve">    </w:t>
      </w:r>
      <w:r>
        <w:rPr>
          <w:rFonts w:hint="eastAsia" w:ascii="仿宋" w:hAnsi="仿宋" w:eastAsia="仿宋" w:cs="仿宋"/>
          <w:snapToGrid w:val="0"/>
          <w:color w:val="auto"/>
          <w:kern w:val="0"/>
          <w:sz w:val="24"/>
          <w:szCs w:val="24"/>
        </w:rPr>
        <w:t>年</w:t>
      </w:r>
      <w:r>
        <w:rPr>
          <w:rFonts w:hint="eastAsia" w:ascii="仿宋" w:hAnsi="仿宋" w:eastAsia="仿宋" w:cs="仿宋"/>
          <w:snapToGrid w:val="0"/>
          <w:color w:val="auto"/>
          <w:kern w:val="0"/>
          <w:sz w:val="24"/>
          <w:szCs w:val="24"/>
          <w:lang w:eastAsia="zh-CN"/>
        </w:rPr>
        <w:t>，</w:t>
      </w:r>
      <w:r>
        <w:rPr>
          <w:rFonts w:hint="eastAsia" w:ascii="仿宋" w:hAnsi="仿宋" w:eastAsia="仿宋" w:cs="仿宋"/>
          <w:snapToGrid w:val="0"/>
          <w:color w:val="auto"/>
          <w:kern w:val="0"/>
          <w:sz w:val="24"/>
          <w:szCs w:val="24"/>
        </w:rPr>
        <w:t>从收货验收合格之日起计算。</w:t>
      </w:r>
    </w:p>
    <w:p w14:paraId="3E7C7538">
      <w:pPr>
        <w:pStyle w:val="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b/>
          <w:color w:val="auto"/>
          <w:sz w:val="24"/>
          <w:szCs w:val="24"/>
        </w:rPr>
        <w:t>第</w:t>
      </w:r>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条：验收</w:t>
      </w:r>
    </w:p>
    <w:p w14:paraId="6FE990BA">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乙方将所供货物运至交货地点后，由甲方当场清点数量。货到后，甲方需在五个工作日内验收数量，签收到货单。该等验收仅确认数量，产品的内在质量以实际使用为准。</w:t>
      </w:r>
    </w:p>
    <w:p w14:paraId="36D3ACC2">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甲方对乙方提供的货物在使用前进行调试时，乙方需负责安装并培训甲方的使用操作人员，并协助甲方一起调试，直到符合技术要求。</w:t>
      </w:r>
    </w:p>
    <w:p w14:paraId="201B8BEC">
      <w:pPr>
        <w:pStyle w:val="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第八条：付款方式</w:t>
      </w:r>
    </w:p>
    <w:p w14:paraId="5AC5886A">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b w:val="0"/>
          <w:bCs w:val="0"/>
          <w:color w:val="auto"/>
          <w:sz w:val="24"/>
          <w:szCs w:val="24"/>
          <w:lang w:val="en-US" w:eastAsia="zh-CN"/>
        </w:rPr>
        <w:t>乙方</w:t>
      </w:r>
      <w:r>
        <w:rPr>
          <w:rFonts w:hint="eastAsia" w:ascii="仿宋" w:hAnsi="仿宋" w:eastAsia="仿宋" w:cs="仿宋"/>
          <w:b w:val="0"/>
          <w:bCs w:val="0"/>
          <w:color w:val="auto"/>
          <w:sz w:val="24"/>
          <w:szCs w:val="24"/>
        </w:rPr>
        <w:t>按</w:t>
      </w:r>
      <w:r>
        <w:rPr>
          <w:rFonts w:hint="eastAsia" w:ascii="仿宋" w:hAnsi="仿宋" w:eastAsia="仿宋" w:cs="仿宋"/>
          <w:b w:val="0"/>
          <w:bCs w:val="0"/>
          <w:color w:val="auto"/>
          <w:sz w:val="24"/>
          <w:szCs w:val="24"/>
          <w:lang w:val="en-US" w:eastAsia="zh-CN"/>
        </w:rPr>
        <w:t>甲方</w:t>
      </w:r>
      <w:r>
        <w:rPr>
          <w:rFonts w:hint="eastAsia" w:ascii="仿宋" w:hAnsi="仿宋" w:eastAsia="仿宋" w:cs="仿宋"/>
          <w:b w:val="0"/>
          <w:bCs w:val="0"/>
          <w:color w:val="auto"/>
          <w:sz w:val="24"/>
          <w:szCs w:val="24"/>
        </w:rPr>
        <w:t>的采购清单和供货时间供货，并送达指定地点，到货验收后第二个月支付货款100%</w:t>
      </w:r>
      <w:r>
        <w:rPr>
          <w:rFonts w:hint="eastAsia" w:ascii="仿宋" w:hAnsi="仿宋" w:eastAsia="仿宋" w:cs="仿宋"/>
          <w:b w:val="0"/>
          <w:bCs w:val="0"/>
          <w:color w:val="auto"/>
          <w:sz w:val="24"/>
          <w:szCs w:val="24"/>
          <w:lang w:eastAsia="zh-CN"/>
        </w:rPr>
        <w:t>。</w:t>
      </w:r>
    </w:p>
    <w:p w14:paraId="0704D5F7">
      <w:pPr>
        <w:pStyle w:val="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第</w:t>
      </w:r>
      <w:r>
        <w:rPr>
          <w:rFonts w:hint="eastAsia" w:ascii="仿宋" w:hAnsi="仿宋" w:eastAsia="仿宋" w:cs="仿宋"/>
          <w:b/>
          <w:color w:val="auto"/>
          <w:sz w:val="24"/>
          <w:szCs w:val="24"/>
          <w:lang w:val="en-US" w:eastAsia="zh-CN"/>
        </w:rPr>
        <w:t>九</w:t>
      </w:r>
      <w:r>
        <w:rPr>
          <w:rFonts w:hint="eastAsia" w:ascii="仿宋" w:hAnsi="仿宋" w:eastAsia="仿宋" w:cs="仿宋"/>
          <w:b/>
          <w:color w:val="auto"/>
          <w:sz w:val="24"/>
          <w:szCs w:val="24"/>
        </w:rPr>
        <w:t>条：违约责任</w:t>
      </w:r>
    </w:p>
    <w:p w14:paraId="27981ABC">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逾期履行合同的，自逾期之日起，向甲方每日偿付未供货款万分之二的违约金；乙方逾期30日不能交货的，违约金按逾期交货货值的万分之五计算，同时不解除乙方应当履行的交货责任，且甲方有权另向他人采购，采购价款与乙方供应价之间的差额由乙方据实赔偿，乙方并应支付该批货物价款30%的违约金；甲方也有权随时解除未交货部分的合同关系，乙方应当按未交货部分的货款总额的30%向甲方支付违约金，因此使甲方造成的损失大于违约金的，乙方还应当据实赔偿。</w:t>
      </w:r>
    </w:p>
    <w:p w14:paraId="049697CF">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2.因甲方原因逾期支付货款的，自逾期之日起，向乙方每日偿付应付款万分之二的违约金；甲方无正当理由拒付货款达三十天的，应向乙方偿付合同应付款万分之五的违约金，同时承担合同付款责任。</w:t>
      </w:r>
    </w:p>
    <w:p w14:paraId="1693EE45">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所交的货物品种、型号、规格、技术参数、质量不符合合同规定及招标文件规定标准的，甲方有权拒收该货物，已收货物有权拒付货款，已付货款有权要求乙方退还。乙方愿意更换货物因此导致逾期交货的，按乙方逾期交货处理并计算违约金。乙方拒绝更换货物的，甲方可单方面解除合同。因质量问题出现二次退（换）货的，甲方可单方面解除合同。并要求乙方支付所涉货物之货款总额30%的违约金，因此使甲方造成的损失大于违约金的，乙方还应当据实赔偿。</w:t>
      </w:r>
    </w:p>
    <w:p w14:paraId="656C398E">
      <w:pPr>
        <w:pStyle w:val="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w:t>
      </w:r>
      <w:r>
        <w:rPr>
          <w:rFonts w:hint="eastAsia" w:ascii="仿宋" w:hAnsi="仿宋" w:eastAsia="仿宋" w:cs="仿宋"/>
          <w:b/>
          <w:color w:val="auto"/>
          <w:sz w:val="24"/>
          <w:szCs w:val="24"/>
          <w:lang w:val="en-US" w:eastAsia="zh-CN"/>
        </w:rPr>
        <w:t>十</w:t>
      </w:r>
      <w:r>
        <w:rPr>
          <w:rFonts w:hint="eastAsia" w:ascii="仿宋" w:hAnsi="仿宋" w:eastAsia="仿宋" w:cs="仿宋"/>
          <w:b/>
          <w:color w:val="auto"/>
          <w:sz w:val="24"/>
          <w:szCs w:val="24"/>
        </w:rPr>
        <w:t>条：争议的解决</w:t>
      </w:r>
    </w:p>
    <w:p w14:paraId="1DDC51A5">
      <w:pPr>
        <w:pStyle w:val="172"/>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4"/>
          <w:szCs w:val="24"/>
          <w:highlight w:val="none"/>
          <w:u w:val="single"/>
          <w:lang w:val="en-US" w:eastAsia="zh-CN"/>
        </w:rPr>
        <w:t xml:space="preserve"> 2 </w:t>
      </w:r>
      <w:r>
        <w:rPr>
          <w:rFonts w:hint="eastAsia" w:ascii="仿宋" w:hAnsi="仿宋" w:eastAsia="仿宋" w:cs="仿宋"/>
          <w:color w:val="auto"/>
          <w:sz w:val="24"/>
          <w:szCs w:val="24"/>
          <w:highlight w:val="none"/>
        </w:rPr>
        <w:t>条款规定的方式解决：</w:t>
      </w:r>
    </w:p>
    <w:p w14:paraId="26A775C2">
      <w:pPr>
        <w:pStyle w:val="172"/>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将争议提交</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仲裁委员会依申请仲裁时其现行有效的仲裁规则裁决；</w:t>
      </w:r>
    </w:p>
    <w:p w14:paraId="5ABDC915">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u w:val="none"/>
          <w:lang w:val="en-US" w:eastAsia="zh-CN"/>
        </w:rPr>
        <w:t>甲方所在地</w:t>
      </w:r>
      <w:r>
        <w:rPr>
          <w:rFonts w:hint="eastAsia" w:ascii="仿宋" w:hAnsi="仿宋" w:eastAsia="仿宋" w:cs="仿宋"/>
          <w:color w:val="auto"/>
          <w:sz w:val="24"/>
          <w:szCs w:val="24"/>
          <w:highlight w:val="none"/>
        </w:rPr>
        <w:t>人民法院起诉。</w:t>
      </w:r>
    </w:p>
    <w:p w14:paraId="66D29AD5">
      <w:pPr>
        <w:pStyle w:val="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第十</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rPr>
        <w:t>条：合同有效期</w:t>
      </w:r>
    </w:p>
    <w:p w14:paraId="203B7BA2">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b w:val="0"/>
          <w:bCs/>
          <w:color w:val="auto"/>
          <w:sz w:val="24"/>
          <w:szCs w:val="24"/>
        </w:rPr>
        <w:t>自签订协议之日起一年。若遇重大政策调整，则需按政策相应调整，或重新招标。到期未重新招标则本合同顺延到新的招标结果生效且首批供货验收合格入库之日止。</w:t>
      </w:r>
    </w:p>
    <w:p w14:paraId="1F5322B4">
      <w:pPr>
        <w:pStyle w:val="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color w:val="auto"/>
          <w:sz w:val="24"/>
          <w:szCs w:val="24"/>
        </w:rPr>
        <w:t>第十</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rPr>
        <w:t>条：合同的生效</w:t>
      </w:r>
    </w:p>
    <w:p w14:paraId="30523D83">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1.本合同经甲方、乙方法定代表人或其委托人签字并加盖双方公章后生效。</w:t>
      </w:r>
    </w:p>
    <w:p w14:paraId="6909C92B">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2.本合同一式四份，甲、乙双方各执二份。</w:t>
      </w:r>
    </w:p>
    <w:p w14:paraId="245734EC">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color w:val="auto"/>
          <w:sz w:val="24"/>
          <w:szCs w:val="24"/>
        </w:rPr>
      </w:pPr>
      <w:r>
        <w:rPr>
          <w:rFonts w:hint="eastAsia" w:ascii="仿宋" w:hAnsi="仿宋" w:eastAsia="仿宋" w:cs="仿宋"/>
          <w:b w:val="0"/>
          <w:bCs/>
          <w:color w:val="auto"/>
          <w:sz w:val="24"/>
          <w:szCs w:val="24"/>
          <w:lang w:val="en-US" w:eastAsia="zh-CN"/>
        </w:rPr>
        <w:t>3.与本合同有关标书及记录同本合同具有同等法律效果。</w:t>
      </w:r>
    </w:p>
    <w:p w14:paraId="299F76CE">
      <w:pPr>
        <w:pStyle w:val="33"/>
        <w:keepNext w:val="0"/>
        <w:keepLines w:val="0"/>
        <w:pageBreakBefore w:val="0"/>
        <w:widowControl w:val="0"/>
        <w:kinsoku/>
        <w:wordWrap/>
        <w:overflowPunct/>
        <w:topLinePunct w:val="0"/>
        <w:bidi w:val="0"/>
        <w:snapToGrid w:val="0"/>
        <w:spacing w:beforeLines="0" w:afterLines="0" w:line="360" w:lineRule="auto"/>
        <w:ind w:firstLine="482" w:firstLineChars="200"/>
        <w:jc w:val="left"/>
        <w:textAlignment w:val="auto"/>
        <w:rPr>
          <w:rFonts w:hint="eastAsia" w:ascii="仿宋" w:hAnsi="仿宋" w:eastAsia="仿宋" w:cs="仿宋"/>
          <w:b/>
          <w:bCs/>
          <w:color w:val="auto"/>
          <w:sz w:val="24"/>
          <w:szCs w:val="24"/>
        </w:rPr>
      </w:pPr>
    </w:p>
    <w:p w14:paraId="5C1E0690">
      <w:pPr>
        <w:pStyle w:val="33"/>
        <w:keepNext w:val="0"/>
        <w:keepLines w:val="0"/>
        <w:pageBreakBefore w:val="0"/>
        <w:widowControl w:val="0"/>
        <w:kinsoku/>
        <w:wordWrap/>
        <w:overflowPunct/>
        <w:topLinePunct w:val="0"/>
        <w:bidi w:val="0"/>
        <w:snapToGrid w:val="0"/>
        <w:spacing w:beforeLines="0" w:afterLines="0" w:line="360" w:lineRule="auto"/>
        <w:ind w:firstLine="482" w:firstLineChars="200"/>
        <w:jc w:val="left"/>
        <w:textAlignment w:val="auto"/>
        <w:rPr>
          <w:rFonts w:hint="eastAsia" w:ascii="仿宋" w:hAnsi="仿宋" w:eastAsia="仿宋" w:cs="仿宋"/>
          <w:b/>
          <w:bCs/>
          <w:color w:val="auto"/>
          <w:sz w:val="24"/>
          <w:szCs w:val="24"/>
        </w:rPr>
      </w:pPr>
    </w:p>
    <w:p w14:paraId="5274C866">
      <w:pPr>
        <w:pStyle w:val="33"/>
        <w:keepNext w:val="0"/>
        <w:keepLines w:val="0"/>
        <w:pageBreakBefore w:val="0"/>
        <w:widowControl w:val="0"/>
        <w:kinsoku/>
        <w:wordWrap/>
        <w:overflowPunct/>
        <w:topLinePunct w:val="0"/>
        <w:bidi w:val="0"/>
        <w:adjustRightInd w:val="0"/>
        <w:snapToGrid w:val="0"/>
        <w:spacing w:beforeLines="0" w:afterLines="0" w:line="360" w:lineRule="auto"/>
        <w:ind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甲方：</w:t>
      </w:r>
      <w:r>
        <w:rPr>
          <w:rFonts w:hint="eastAsia" w:ascii="仿宋" w:hAnsi="仿宋" w:eastAsia="仿宋" w:cs="仿宋"/>
          <w:color w:val="auto"/>
          <w:sz w:val="24"/>
          <w:szCs w:val="24"/>
        </w:rPr>
        <w:t>嵊州市广电信息网络有限公司</w:t>
      </w:r>
      <w:r>
        <w:rPr>
          <w:rFonts w:hint="eastAsia" w:ascii="仿宋" w:hAnsi="仿宋" w:eastAsia="仿宋" w:cs="仿宋"/>
          <w:color w:val="auto"/>
          <w:kern w:val="0"/>
          <w:sz w:val="24"/>
          <w:szCs w:val="24"/>
          <w:lang w:val="zh-CN"/>
        </w:rPr>
        <w:t>公司</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b/>
          <w:bCs/>
          <w:color w:val="auto"/>
          <w:sz w:val="24"/>
          <w:szCs w:val="24"/>
        </w:rPr>
        <w:t>乙方</w:t>
      </w:r>
      <w:r>
        <w:rPr>
          <w:rFonts w:hint="eastAsia" w:ascii="仿宋" w:hAnsi="仿宋" w:eastAsia="仿宋" w:cs="仿宋"/>
          <w:b/>
          <w:bCs/>
          <w:color w:val="auto"/>
          <w:sz w:val="24"/>
          <w:szCs w:val="24"/>
          <w:lang w:eastAsia="zh-CN"/>
        </w:rPr>
        <w:t>：</w:t>
      </w:r>
    </w:p>
    <w:p w14:paraId="208EC902">
      <w:pPr>
        <w:pStyle w:val="33"/>
        <w:keepNext w:val="0"/>
        <w:keepLines w:val="0"/>
        <w:pageBreakBefore w:val="0"/>
        <w:widowControl w:val="0"/>
        <w:kinsoku/>
        <w:wordWrap/>
        <w:overflowPunct/>
        <w:topLinePunct w:val="0"/>
        <w:bidi w:val="0"/>
        <w:adjustRightInd w:val="0"/>
        <w:snapToGrid w:val="0"/>
        <w:spacing w:beforeLines="0" w:afterLines="0" w:line="360" w:lineRule="auto"/>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（盖章）</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（盖章）</w:t>
      </w:r>
    </w:p>
    <w:p w14:paraId="65D171CC">
      <w:pPr>
        <w:pStyle w:val="33"/>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法定代表人或受委托（签字）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法定代表人或受委托人（签字） </w:t>
      </w:r>
    </w:p>
    <w:p w14:paraId="48991BBB">
      <w:pPr>
        <w:pStyle w:val="33"/>
        <w:keepNext w:val="0"/>
        <w:keepLines w:val="0"/>
        <w:pageBreakBefore w:val="0"/>
        <w:widowControl w:val="0"/>
        <w:kinsoku/>
        <w:wordWrap/>
        <w:overflowPunct/>
        <w:topLinePunct w:val="0"/>
        <w:bidi w:val="0"/>
        <w:adjustRightInd w:val="0"/>
        <w:snapToGrid w:val="0"/>
        <w:spacing w:beforeLines="0" w:afterLines="0" w:line="360" w:lineRule="auto"/>
        <w:ind w:left="4799" w:leftChars="228" w:hanging="4320" w:hangingChars="1800"/>
        <w:jc w:val="left"/>
        <w:textAlignment w:val="auto"/>
        <w:rPr>
          <w:rFonts w:hint="eastAsia" w:ascii="仿宋" w:hAnsi="仿宋" w:eastAsia="仿宋" w:cs="仿宋"/>
          <w:color w:val="auto"/>
          <w:sz w:val="24"/>
          <w:szCs w:val="24"/>
        </w:rPr>
      </w:pPr>
    </w:p>
    <w:p w14:paraId="3D3DBCF1">
      <w:pPr>
        <w:pStyle w:val="33"/>
        <w:keepNext w:val="0"/>
        <w:keepLines w:val="0"/>
        <w:pageBreakBefore w:val="0"/>
        <w:widowControl w:val="0"/>
        <w:kinsoku/>
        <w:wordWrap/>
        <w:overflowPunct/>
        <w:topLinePunct w:val="0"/>
        <w:bidi w:val="0"/>
        <w:adjustRightInd w:val="0"/>
        <w:snapToGrid w:val="0"/>
        <w:spacing w:beforeLines="0" w:afterLines="0" w:line="360" w:lineRule="auto"/>
        <w:ind w:left="4799" w:leftChars="228" w:hanging="4320" w:hangingChars="18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地址：嵊州市三江街道杨港路801号       地址：</w:t>
      </w:r>
    </w:p>
    <w:p w14:paraId="441EB90E">
      <w:pPr>
        <w:pStyle w:val="33"/>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邮编：                                 邮编：</w:t>
      </w:r>
    </w:p>
    <w:p w14:paraId="4E47CD0B">
      <w:pPr>
        <w:pStyle w:val="33"/>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电话：0575-83228318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电话：</w:t>
      </w:r>
    </w:p>
    <w:p w14:paraId="34BF6090">
      <w:pPr>
        <w:pStyle w:val="33"/>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rPr>
        <w:t xml:space="preserve">传真：0575-83050205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传真：</w:t>
      </w:r>
    </w:p>
    <w:p w14:paraId="38547548">
      <w:pPr>
        <w:pStyle w:val="33"/>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开户银行：交通银行嵊州越州支行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开户银行：</w:t>
      </w:r>
    </w:p>
    <w:p w14:paraId="319EBAAE">
      <w:pPr>
        <w:pStyle w:val="33"/>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帐号：291026105018160094764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帐号：</w:t>
      </w:r>
    </w:p>
    <w:p w14:paraId="09FDE0FB">
      <w:pPr>
        <w:pStyle w:val="33"/>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Ansi="宋体"/>
          <w:color w:val="auto"/>
        </w:rPr>
      </w:pPr>
      <w:r>
        <w:rPr>
          <w:rFonts w:hint="eastAsia" w:ascii="仿宋" w:hAnsi="仿宋" w:eastAsia="仿宋" w:cs="仿宋"/>
          <w:color w:val="auto"/>
          <w:sz w:val="24"/>
          <w:szCs w:val="24"/>
        </w:rPr>
        <w:t xml:space="preserve">签约地点：   嵊州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日期：2</w:t>
      </w:r>
      <w:r>
        <w:rPr>
          <w:rFonts w:hint="eastAsia" w:ascii="仿宋" w:hAnsi="仿宋" w:eastAsia="仿宋" w:cs="仿宋"/>
          <w:color w:val="auto"/>
          <w:sz w:val="24"/>
          <w:szCs w:val="24"/>
          <w:u w:val="none"/>
        </w:rPr>
        <w:t>0</w:t>
      </w:r>
      <w:r>
        <w:rPr>
          <w:rFonts w:hint="eastAsia" w:ascii="仿宋" w:hAnsi="仿宋" w:eastAsia="仿宋" w:cs="仿宋"/>
          <w:color w:val="auto"/>
          <w:sz w:val="24"/>
          <w:szCs w:val="24"/>
          <w:u w:val="none"/>
          <w:lang w:val="en-US" w:eastAsia="zh-CN"/>
        </w:rPr>
        <w:t>24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14:paraId="3D26DE20">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480" w:firstLineChars="200"/>
        <w:textAlignment w:val="auto"/>
        <w:rPr>
          <w:rFonts w:hint="eastAsia" w:ascii="仿宋" w:hAnsi="仿宋" w:eastAsia="仿宋" w:cs="仿宋"/>
          <w:color w:val="auto"/>
          <w:sz w:val="24"/>
          <w:highlight w:val="none"/>
        </w:rPr>
      </w:pPr>
    </w:p>
    <w:p w14:paraId="37F84EB7">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br w:type="page"/>
      </w:r>
    </w:p>
    <w:bookmarkEnd w:id="63"/>
    <w:bookmarkEnd w:id="64"/>
    <w:bookmarkEnd w:id="76"/>
    <w:bookmarkEnd w:id="77"/>
    <w:p w14:paraId="00FCDF6D">
      <w:pPr>
        <w:spacing w:line="336" w:lineRule="auto"/>
        <w:jc w:val="center"/>
        <w:rPr>
          <w:rFonts w:ascii="仿宋" w:hAnsi="仿宋" w:eastAsia="仿宋" w:cs="仿宋"/>
          <w:b/>
          <w:color w:val="auto"/>
          <w:kern w:val="0"/>
          <w:sz w:val="24"/>
        </w:rPr>
      </w:pPr>
      <w:bookmarkStart w:id="78" w:name="第四部分"/>
      <w:r>
        <w:rPr>
          <w:rFonts w:hint="eastAsia" w:ascii="仿宋" w:hAnsi="仿宋" w:eastAsia="仿宋" w:cs="仿宋"/>
          <w:b/>
          <w:color w:val="auto"/>
          <w:sz w:val="36"/>
          <w:szCs w:val="20"/>
        </w:rPr>
        <w:t>第六部分</w:t>
      </w:r>
      <w:r>
        <w:rPr>
          <w:rFonts w:ascii="仿宋" w:hAnsi="仿宋" w:eastAsia="仿宋" w:cs="仿宋"/>
          <w:b/>
          <w:color w:val="auto"/>
          <w:sz w:val="36"/>
          <w:szCs w:val="20"/>
        </w:rPr>
        <w:t xml:space="preserve"> 磋商响应文件及其附件格式</w:t>
      </w:r>
    </w:p>
    <w:p w14:paraId="37628A9B">
      <w:pPr>
        <w:pStyle w:val="74"/>
        <w:spacing w:line="336" w:lineRule="auto"/>
        <w:ind w:left="0"/>
        <w:rPr>
          <w:rFonts w:ascii="仿宋" w:hAnsi="仿宋" w:eastAsia="仿宋" w:cs="仿宋"/>
          <w:b/>
          <w:color w:val="auto"/>
          <w:sz w:val="24"/>
        </w:rPr>
      </w:pPr>
    </w:p>
    <w:p w14:paraId="3F814081">
      <w:pPr>
        <w:spacing w:line="336" w:lineRule="auto"/>
        <w:rPr>
          <w:rFonts w:ascii="仿宋" w:hAnsi="仿宋" w:eastAsia="仿宋" w:cs="仿宋"/>
          <w:b/>
          <w:color w:val="auto"/>
          <w:kern w:val="0"/>
          <w:sz w:val="24"/>
        </w:rPr>
      </w:pPr>
    </w:p>
    <w:p w14:paraId="122DF24D">
      <w:pPr>
        <w:pStyle w:val="73"/>
        <w:spacing w:line="336" w:lineRule="auto"/>
        <w:rPr>
          <w:rFonts w:ascii="仿宋" w:hAnsi="仿宋" w:eastAsia="仿宋" w:cs="仿宋"/>
          <w:color w:val="auto"/>
        </w:rPr>
      </w:pPr>
    </w:p>
    <w:bookmarkEnd w:id="78"/>
    <w:p w14:paraId="423B0CD3">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2E054200">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595B35E7">
      <w:pPr>
        <w:spacing w:line="336" w:lineRule="auto"/>
        <w:jc w:val="center"/>
        <w:outlineLvl w:val="0"/>
        <w:rPr>
          <w:rFonts w:ascii="仿宋" w:hAnsi="仿宋" w:eastAsia="仿宋" w:cs="仿宋"/>
          <w:b/>
          <w:color w:val="auto"/>
          <w:kern w:val="0"/>
          <w:sz w:val="36"/>
          <w:szCs w:val="36"/>
        </w:rPr>
      </w:pPr>
    </w:p>
    <w:p w14:paraId="79CCDBB5">
      <w:pPr>
        <w:numPr>
          <w:ilvl w:val="0"/>
          <w:numId w:val="7"/>
        </w:numPr>
        <w:snapToGrid w:val="0"/>
        <w:spacing w:line="336"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营业执照(或事业法人登记证书</w:t>
      </w:r>
      <w:r>
        <w:rPr>
          <w:rFonts w:hint="eastAsia" w:ascii="仿宋" w:hAnsi="仿宋" w:eastAsia="仿宋" w:cs="仿宋"/>
          <w:color w:val="auto"/>
          <w:sz w:val="24"/>
          <w:szCs w:val="24"/>
          <w:highlight w:val="none"/>
          <w:lang w:eastAsia="zh-CN"/>
        </w:rPr>
        <w:t>或其他</w:t>
      </w:r>
      <w:r>
        <w:rPr>
          <w:rFonts w:hint="eastAsia" w:ascii="仿宋" w:hAnsi="仿宋" w:eastAsia="仿宋" w:cs="仿宋"/>
          <w:color w:val="auto"/>
          <w:sz w:val="24"/>
          <w:szCs w:val="24"/>
          <w:highlight w:val="none"/>
        </w:rPr>
        <w:t>工商等登记证明材料；自然人参与采购，提供身份证)扫描件</w:t>
      </w:r>
      <w:r>
        <w:rPr>
          <w:rFonts w:hint="eastAsia" w:ascii="仿宋" w:hAnsi="仿宋" w:eastAsia="仿宋" w:cs="仿宋"/>
          <w:color w:val="auto"/>
          <w:sz w:val="24"/>
          <w:szCs w:val="24"/>
        </w:rPr>
        <w:t>……………………………………………………………………（页码）</w:t>
      </w:r>
    </w:p>
    <w:p w14:paraId="568DE171">
      <w:pPr>
        <w:numPr>
          <w:ilvl w:val="0"/>
          <w:numId w:val="7"/>
        </w:numPr>
        <w:snapToGrid w:val="0"/>
        <w:spacing w:line="336"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法定代表人身份证明书</w:t>
      </w:r>
      <w:r>
        <w:rPr>
          <w:rFonts w:hint="eastAsia" w:ascii="仿宋" w:hAnsi="仿宋" w:eastAsia="仿宋" w:cs="仿宋"/>
          <w:color w:val="auto"/>
          <w:sz w:val="24"/>
          <w:szCs w:val="24"/>
        </w:rPr>
        <w:t>…………………………………………………………（页码）</w:t>
      </w:r>
    </w:p>
    <w:p w14:paraId="56B28151">
      <w:pPr>
        <w:numPr>
          <w:ilvl w:val="0"/>
          <w:numId w:val="7"/>
        </w:numPr>
        <w:snapToGrid w:val="0"/>
        <w:spacing w:line="336"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授权代表社保证明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……………………（页码）</w:t>
      </w:r>
    </w:p>
    <w:p w14:paraId="65697584">
      <w:pPr>
        <w:numPr>
          <w:ilvl w:val="0"/>
          <w:numId w:val="7"/>
        </w:numPr>
        <w:snapToGrid w:val="0"/>
        <w:spacing w:line="336" w:lineRule="auto"/>
        <w:rPr>
          <w:rFonts w:hint="eastAsia" w:ascii="仿宋" w:hAnsi="仿宋" w:eastAsia="仿宋" w:cs="仿宋"/>
          <w:color w:val="auto"/>
          <w:sz w:val="24"/>
          <w:szCs w:val="24"/>
        </w:rPr>
      </w:pPr>
      <w:r>
        <w:rPr>
          <w:rFonts w:ascii="仿宋" w:hAnsi="仿宋" w:eastAsia="仿宋" w:cs="仿宋"/>
          <w:color w:val="auto"/>
          <w:sz w:val="24"/>
        </w:rPr>
        <w:t>符合参加采购活动应当具备的一般条件的承诺函</w:t>
      </w:r>
      <w:r>
        <w:rPr>
          <w:rFonts w:hint="eastAsia" w:ascii="仿宋" w:hAnsi="仿宋" w:eastAsia="仿宋" w:cs="仿宋"/>
          <w:color w:val="auto"/>
          <w:sz w:val="24"/>
          <w:szCs w:val="24"/>
        </w:rPr>
        <w:t>……………………………（页码）</w:t>
      </w:r>
    </w:p>
    <w:p w14:paraId="75C18560">
      <w:pPr>
        <w:numPr>
          <w:ilvl w:val="0"/>
          <w:numId w:val="7"/>
        </w:numPr>
        <w:snapToGrid w:val="0"/>
        <w:spacing w:line="336" w:lineRule="auto"/>
        <w:rPr>
          <w:rFonts w:hint="eastAsia" w:ascii="仿宋" w:hAnsi="仿宋" w:eastAsia="仿宋" w:cs="仿宋"/>
          <w:color w:val="auto"/>
          <w:sz w:val="24"/>
          <w:szCs w:val="24"/>
        </w:rPr>
      </w:pPr>
      <w:r>
        <w:rPr>
          <w:rFonts w:hint="eastAsia" w:ascii="仿宋" w:hAnsi="仿宋" w:eastAsia="仿宋" w:cs="仿宋"/>
          <w:color w:val="auto"/>
          <w:sz w:val="24"/>
          <w:szCs w:val="24"/>
        </w:rPr>
        <w:t>自采购公告发布之日起至磋商响应文件递交截止日内任意时间的“信用中国”网站（www.creditchina.gov.cn）、</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中国政府采购网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（www.ccgp.gov.cn）响应方信用查询网页截图。（以磋商当日采购人或</w:t>
      </w:r>
      <w:r>
        <w:rPr>
          <w:rFonts w:hint="eastAsia" w:ascii="仿宋" w:hAnsi="仿宋" w:eastAsia="仿宋" w:cs="仿宋"/>
          <w:color w:val="auto"/>
          <w:sz w:val="24"/>
          <w:szCs w:val="24"/>
          <w:lang w:val="en-US" w:eastAsia="zh-CN"/>
        </w:rPr>
        <w:t>采购代理机构</w:t>
      </w:r>
      <w:r>
        <w:rPr>
          <w:rFonts w:hint="eastAsia" w:ascii="仿宋" w:hAnsi="仿宋" w:eastAsia="仿宋" w:cs="仿宋"/>
          <w:color w:val="auto"/>
          <w:sz w:val="24"/>
          <w:szCs w:val="24"/>
        </w:rPr>
        <w:t>核实的查询结果为准…（页码）</w:t>
      </w:r>
    </w:p>
    <w:p w14:paraId="647F1BC6">
      <w:pPr>
        <w:numPr>
          <w:ilvl w:val="0"/>
          <w:numId w:val="7"/>
        </w:numPr>
        <w:snapToGrid w:val="0"/>
        <w:spacing w:line="336" w:lineRule="auto"/>
        <w:rPr>
          <w:rFonts w:hint="eastAsia" w:ascii="仿宋" w:hAnsi="仿宋" w:eastAsia="仿宋" w:cs="仿宋"/>
          <w:color w:val="auto"/>
          <w:sz w:val="24"/>
          <w:szCs w:val="24"/>
        </w:rPr>
      </w:pPr>
      <w:r>
        <w:rPr>
          <w:rFonts w:ascii="仿宋" w:hAnsi="仿宋" w:eastAsia="仿宋" w:cs="仿宋"/>
          <w:color w:val="auto"/>
          <w:sz w:val="24"/>
        </w:rPr>
        <w:t>本项目的特定资格要求</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若有</w:t>
      </w:r>
      <w:r>
        <w:rPr>
          <w:rFonts w:hint="eastAsia" w:ascii="仿宋" w:hAnsi="仿宋" w:eastAsia="仿宋" w:cs="仿宋"/>
          <w:color w:val="auto"/>
          <w:sz w:val="24"/>
          <w:lang w:eastAsia="zh-CN"/>
        </w:rPr>
        <w:t>）</w:t>
      </w:r>
      <w:r>
        <w:rPr>
          <w:rFonts w:hint="eastAsia" w:ascii="仿宋" w:hAnsi="仿宋" w:eastAsia="仿宋" w:cs="仿宋"/>
          <w:color w:val="auto"/>
          <w:sz w:val="24"/>
          <w:szCs w:val="24"/>
        </w:rPr>
        <w:t>………………………………………………（页码）</w:t>
      </w:r>
    </w:p>
    <w:p w14:paraId="1C275CDA">
      <w:pPr>
        <w:pStyle w:val="119"/>
        <w:keepNext w:val="0"/>
        <w:pageBreakBefore w:val="0"/>
        <w:tabs>
          <w:tab w:val="clear" w:pos="720"/>
        </w:tabs>
        <w:spacing w:line="336" w:lineRule="auto"/>
        <w:jc w:val="both"/>
        <w:outlineLvl w:val="9"/>
        <w:rPr>
          <w:rFonts w:hint="eastAsia" w:ascii="仿宋" w:hAnsi="仿宋" w:eastAsia="仿宋" w:cs="仿宋"/>
          <w:b/>
          <w:bCs/>
          <w:color w:val="auto"/>
          <w:sz w:val="22"/>
          <w:szCs w:val="22"/>
          <w:highlight w:val="none"/>
          <w:lang w:val="en-US" w:eastAsia="zh-CN"/>
        </w:rPr>
      </w:pPr>
    </w:p>
    <w:p w14:paraId="0B4401A1">
      <w:pPr>
        <w:pStyle w:val="119"/>
        <w:keepNext w:val="0"/>
        <w:pageBreakBefore w:val="0"/>
        <w:tabs>
          <w:tab w:val="clear" w:pos="720"/>
        </w:tabs>
        <w:spacing w:line="336" w:lineRule="auto"/>
        <w:jc w:val="both"/>
        <w:outlineLvl w:val="9"/>
        <w:rPr>
          <w:rFonts w:ascii="仿宋" w:hAnsi="仿宋" w:eastAsia="仿宋" w:cs="仿宋"/>
          <w:color w:val="auto"/>
          <w:szCs w:val="36"/>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lang w:eastAsia="zh-CN"/>
        </w:rPr>
        <w:fldChar w:fldCharType="begin"/>
      </w:r>
      <w:r>
        <w:rPr>
          <w:rFonts w:hint="eastAsia" w:ascii="仿宋" w:hAnsi="仿宋" w:eastAsia="仿宋" w:cs="仿宋"/>
          <w:b/>
          <w:bCs/>
          <w:color w:val="auto"/>
          <w:sz w:val="24"/>
          <w:szCs w:val="24"/>
          <w:highlight w:val="none"/>
          <w:lang w:eastAsia="zh-CN"/>
        </w:rPr>
        <w:instrText xml:space="preserve"> HYPERLINK "mailto:在电子投标文件解密后，将《政府采购活动现场确认声明书》填写完成，通过邮箱554318517@qq.com以PDF格式传给代理公" </w:instrText>
      </w:r>
      <w:r>
        <w:rPr>
          <w:rFonts w:hint="eastAsia" w:ascii="仿宋" w:hAnsi="仿宋" w:eastAsia="仿宋" w:cs="仿宋"/>
          <w:b/>
          <w:bCs/>
          <w:color w:val="auto"/>
          <w:sz w:val="24"/>
          <w:szCs w:val="24"/>
          <w:highlight w:val="none"/>
          <w:lang w:eastAsia="zh-CN"/>
        </w:rPr>
        <w:fldChar w:fldCharType="separate"/>
      </w:r>
      <w:r>
        <w:rPr>
          <w:rStyle w:val="69"/>
          <w:rFonts w:hint="eastAsia" w:ascii="仿宋" w:hAnsi="仿宋" w:eastAsia="仿宋" w:cs="仿宋"/>
          <w:b/>
          <w:bCs/>
          <w:color w:val="auto"/>
          <w:sz w:val="24"/>
          <w:szCs w:val="24"/>
          <w:highlight w:val="none"/>
          <w:lang w:eastAsia="zh-CN"/>
        </w:rPr>
        <w:t>在电子</w:t>
      </w:r>
      <w:r>
        <w:rPr>
          <w:rStyle w:val="69"/>
          <w:rFonts w:hint="eastAsia" w:ascii="仿宋" w:hAnsi="仿宋" w:eastAsia="仿宋" w:cs="仿宋"/>
          <w:b/>
          <w:bCs/>
          <w:color w:val="auto"/>
          <w:sz w:val="24"/>
          <w:szCs w:val="24"/>
          <w:highlight w:val="none"/>
          <w:lang w:val="en-US" w:eastAsia="zh-CN"/>
        </w:rPr>
        <w:t>响应</w:t>
      </w:r>
      <w:r>
        <w:rPr>
          <w:rStyle w:val="69"/>
          <w:rFonts w:hint="eastAsia" w:ascii="仿宋" w:hAnsi="仿宋" w:eastAsia="仿宋" w:cs="仿宋"/>
          <w:b/>
          <w:bCs/>
          <w:color w:val="auto"/>
          <w:sz w:val="24"/>
          <w:szCs w:val="24"/>
          <w:highlight w:val="none"/>
          <w:lang w:eastAsia="zh-CN"/>
        </w:rPr>
        <w:t>文件解密后，</w:t>
      </w:r>
      <w:r>
        <w:rPr>
          <w:rStyle w:val="69"/>
          <w:rFonts w:hint="eastAsia" w:ascii="仿宋" w:hAnsi="仿宋" w:eastAsia="仿宋" w:cs="仿宋"/>
          <w:b/>
          <w:bCs/>
          <w:color w:val="auto"/>
          <w:sz w:val="24"/>
          <w:szCs w:val="24"/>
          <w:highlight w:val="none"/>
          <w:lang w:val="en-US" w:eastAsia="zh-CN"/>
        </w:rPr>
        <w:t>结合单位实际情况</w:t>
      </w:r>
      <w:r>
        <w:rPr>
          <w:rStyle w:val="69"/>
          <w:rFonts w:hint="eastAsia" w:ascii="仿宋" w:hAnsi="仿宋" w:eastAsia="仿宋" w:cs="仿宋"/>
          <w:b/>
          <w:bCs/>
          <w:color w:val="auto"/>
          <w:sz w:val="24"/>
          <w:szCs w:val="24"/>
          <w:highlight w:val="none"/>
          <w:lang w:eastAsia="zh-CN"/>
        </w:rPr>
        <w:t>将《政企采购活动现场确认声明书》填写完成</w:t>
      </w:r>
      <w:r>
        <w:rPr>
          <w:rStyle w:val="69"/>
          <w:rFonts w:hint="eastAsia" w:ascii="仿宋" w:hAnsi="仿宋" w:eastAsia="仿宋" w:cs="仿宋"/>
          <w:b/>
          <w:bCs/>
          <w:color w:val="auto"/>
          <w:sz w:val="24"/>
          <w:szCs w:val="24"/>
          <w:highlight w:val="none"/>
          <w:lang w:val="en-US" w:eastAsia="zh-CN"/>
        </w:rPr>
        <w:t>后</w:t>
      </w:r>
      <w:r>
        <w:rPr>
          <w:rStyle w:val="69"/>
          <w:rFonts w:hint="eastAsia" w:ascii="仿宋" w:hAnsi="仿宋" w:eastAsia="仿宋" w:cs="仿宋"/>
          <w:b/>
          <w:bCs/>
          <w:color w:val="auto"/>
          <w:sz w:val="24"/>
          <w:szCs w:val="24"/>
          <w:highlight w:val="none"/>
          <w:lang w:eastAsia="zh-CN"/>
        </w:rPr>
        <w:t>通过邮箱1132452991@qq.com传给代理</w:t>
      </w:r>
      <w:r>
        <w:rPr>
          <w:rFonts w:hint="eastAsia" w:ascii="仿宋" w:hAnsi="仿宋" w:eastAsia="仿宋" w:cs="仿宋"/>
          <w:b/>
          <w:bCs/>
          <w:color w:val="auto"/>
          <w:sz w:val="24"/>
          <w:szCs w:val="24"/>
          <w:highlight w:val="none"/>
          <w:lang w:val="en-US" w:eastAsia="zh-CN"/>
        </w:rPr>
        <w:t>机构</w:t>
      </w:r>
      <w:r>
        <w:rPr>
          <w:rFonts w:hint="eastAsia" w:ascii="仿宋" w:hAnsi="仿宋" w:eastAsia="仿宋" w:cs="仿宋"/>
          <w:b/>
          <w:bCs/>
          <w:color w:val="auto"/>
          <w:sz w:val="24"/>
          <w:szCs w:val="24"/>
          <w:highlight w:val="none"/>
          <w:lang w:eastAsia="zh-CN"/>
        </w:rPr>
        <w:fldChar w:fldCharType="end"/>
      </w:r>
      <w:r>
        <w:rPr>
          <w:rFonts w:hint="eastAsia" w:ascii="仿宋" w:hAnsi="仿宋" w:eastAsia="仿宋" w:cs="仿宋"/>
          <w:b/>
          <w:bCs/>
          <w:color w:val="auto"/>
          <w:sz w:val="24"/>
          <w:szCs w:val="24"/>
          <w:highlight w:val="none"/>
          <w:lang w:eastAsia="zh-CN"/>
        </w:rPr>
        <w:t>。</w:t>
      </w:r>
      <w:r>
        <w:rPr>
          <w:rFonts w:ascii="仿宋" w:hAnsi="仿宋" w:eastAsia="仿宋" w:cs="仿宋"/>
          <w:color w:val="auto"/>
          <w:szCs w:val="36"/>
        </w:rPr>
        <w:br w:type="page"/>
      </w:r>
    </w:p>
    <w:p w14:paraId="48A35EBD">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一、营业执照(或事业法人登记证书或其他工商等登记证明材料；自然人参与采购，提供身份证)扫描件</w:t>
      </w:r>
    </w:p>
    <w:p w14:paraId="1CB8D2CB">
      <w:pPr>
        <w:snapToGrid w:val="0"/>
        <w:spacing w:line="360" w:lineRule="auto"/>
        <w:ind w:right="480"/>
        <w:jc w:val="center"/>
        <w:rPr>
          <w:rFonts w:hint="eastAsia" w:ascii="仿宋" w:hAnsi="仿宋" w:eastAsia="仿宋" w:cs="仿宋"/>
          <w:b/>
          <w:color w:val="auto"/>
          <w:kern w:val="0"/>
          <w:sz w:val="32"/>
          <w:szCs w:val="32"/>
          <w:lang w:val="en-US" w:eastAsia="zh-CN"/>
        </w:rPr>
      </w:pPr>
    </w:p>
    <w:p w14:paraId="596C8B24">
      <w:pPr>
        <w:snapToGrid w:val="0"/>
        <w:spacing w:line="360" w:lineRule="auto"/>
        <w:ind w:right="480"/>
        <w:jc w:val="center"/>
        <w:rPr>
          <w:rFonts w:hint="eastAsia" w:ascii="仿宋" w:hAnsi="仿宋" w:eastAsia="仿宋" w:cs="仿宋"/>
          <w:b/>
          <w:color w:val="auto"/>
          <w:kern w:val="0"/>
          <w:sz w:val="32"/>
          <w:szCs w:val="32"/>
          <w:lang w:val="en-US" w:eastAsia="zh-CN"/>
        </w:rPr>
      </w:pPr>
    </w:p>
    <w:p w14:paraId="1FCDBF4B">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highlight w:val="none"/>
          <w:lang w:val="en-US" w:eastAsia="zh-CN"/>
        </w:rPr>
      </w:pPr>
    </w:p>
    <w:p w14:paraId="522E1A3D">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p>
    <w:p w14:paraId="2415C989">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二、法定代表人身份证明书</w:t>
      </w:r>
    </w:p>
    <w:p w14:paraId="7C83AEBE">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54969E8A">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42DAB0D3">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5BAF255C">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7966031D">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3B63F6DD">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（填写供应商名称名称）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的法定代表人。</w:t>
      </w:r>
    </w:p>
    <w:p w14:paraId="36566691">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7611CD5">
      <w:pPr>
        <w:keepNext w:val="0"/>
        <w:keepLines w:val="0"/>
        <w:pageBreakBefore w:val="0"/>
        <w:widowControl w:val="0"/>
        <w:kinsoku/>
        <w:wordWrap/>
        <w:overflowPunct/>
        <w:topLinePunct w:val="0"/>
        <w:autoSpaceDE/>
        <w:autoSpaceDN/>
        <w:bidi w:val="0"/>
        <w:adjustRightInd w:val="0"/>
        <w:spacing w:line="360" w:lineRule="auto"/>
        <w:ind w:firstLine="723" w:firstLineChars="300"/>
        <w:jc w:val="both"/>
        <w:textAlignment w:val="auto"/>
        <w:rPr>
          <w:rFonts w:hint="eastAsia" w:ascii="仿宋" w:hAnsi="仿宋" w:eastAsia="仿宋" w:cs="仿宋"/>
          <w:b/>
          <w:bCs/>
          <w:color w:val="auto"/>
          <w:sz w:val="24"/>
          <w:lang w:val="en-US" w:eastAsia="zh-CN"/>
        </w:rPr>
      </w:pPr>
    </w:p>
    <w:p w14:paraId="48A668E5">
      <w:pPr>
        <w:keepNext w:val="0"/>
        <w:keepLines w:val="0"/>
        <w:pageBreakBefore w:val="0"/>
        <w:widowControl w:val="0"/>
        <w:kinsoku/>
        <w:wordWrap/>
        <w:overflowPunct/>
        <w:topLinePunct w:val="0"/>
        <w:autoSpaceDE/>
        <w:autoSpaceDN/>
        <w:bidi w:val="0"/>
        <w:adjustRightInd w:val="0"/>
        <w:spacing w:line="360" w:lineRule="auto"/>
        <w:ind w:firstLine="723" w:firstLineChars="300"/>
        <w:jc w:val="both"/>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附：法人身份证复印件（正反面）</w:t>
      </w:r>
    </w:p>
    <w:p w14:paraId="4CA7BFDC">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27120ED6">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21F8959A">
      <w:pPr>
        <w:keepNext w:val="0"/>
        <w:keepLines w:val="0"/>
        <w:pageBreakBefore w:val="0"/>
        <w:widowControl w:val="0"/>
        <w:kinsoku/>
        <w:wordWrap/>
        <w:overflowPunct/>
        <w:topLinePunct w:val="0"/>
        <w:autoSpaceDE/>
        <w:autoSpaceDN/>
        <w:bidi w:val="0"/>
        <w:adjustRightInd w:val="0"/>
        <w:spacing w:line="360" w:lineRule="auto"/>
        <w:jc w:val="both"/>
        <w:textAlignment w:val="auto"/>
        <w:rPr>
          <w:rFonts w:hint="eastAsia" w:ascii="仿宋" w:hAnsi="仿宋" w:eastAsia="仿宋" w:cs="仿宋"/>
          <w:color w:val="auto"/>
          <w:sz w:val="24"/>
        </w:rPr>
      </w:pPr>
    </w:p>
    <w:p w14:paraId="2340BF36">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68640035">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73FC3A49">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rPr>
        <w:t>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4BCC8C4F">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法定代表人（签字或盖章）：        </w:t>
      </w:r>
    </w:p>
    <w:p w14:paraId="494A9715">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highlight w:val="none"/>
        </w:rPr>
        <w:t>年   月   日</w:t>
      </w:r>
    </w:p>
    <w:p w14:paraId="6C528DCB">
      <w:pPr>
        <w:pStyle w:val="119"/>
        <w:keepNext w:val="0"/>
        <w:pageBreakBefore w:val="0"/>
        <w:tabs>
          <w:tab w:val="clear" w:pos="720"/>
        </w:tabs>
        <w:spacing w:line="336" w:lineRule="auto"/>
        <w:jc w:val="center"/>
        <w:outlineLvl w:val="9"/>
        <w:rPr>
          <w:rFonts w:ascii="仿宋" w:hAnsi="仿宋" w:eastAsia="仿宋" w:cs="仿宋"/>
          <w:color w:val="auto"/>
          <w:szCs w:val="36"/>
        </w:rPr>
      </w:pPr>
    </w:p>
    <w:p w14:paraId="1A042516">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7847FDFB">
      <w:pPr>
        <w:jc w:val="center"/>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三、法定代表人授权委托书及授权代表社保证明（若委托）</w:t>
      </w:r>
    </w:p>
    <w:p w14:paraId="51E22C5A">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（填写姓名）</w:t>
      </w:r>
      <w:r>
        <w:rPr>
          <w:rFonts w:hint="eastAsia" w:ascii="仿宋" w:hAnsi="仿宋" w:eastAsia="仿宋" w:cs="仿宋"/>
          <w:color w:val="auto"/>
          <w:sz w:val="24"/>
        </w:rPr>
        <w:t>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1D0DF20A">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15675ED0">
      <w:pPr>
        <w:keepNext w:val="0"/>
        <w:keepLines w:val="0"/>
        <w:pageBreakBefore w:val="0"/>
        <w:widowControl w:val="0"/>
        <w:kinsoku/>
        <w:wordWrap/>
        <w:overflowPunct/>
        <w:topLinePunct w:val="0"/>
        <w:autoSpaceDE/>
        <w:autoSpaceDN/>
        <w:bidi w:val="0"/>
        <w:adjustRightInd w:val="0"/>
        <w:spacing w:line="5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63D323C5">
      <w:pPr>
        <w:snapToGrid w:val="0"/>
        <w:spacing w:line="600" w:lineRule="exact"/>
        <w:jc w:val="left"/>
        <w:rPr>
          <w:rFonts w:hint="eastAsia" w:ascii="仿宋" w:hAnsi="仿宋" w:eastAsia="仿宋" w:cs="仿宋"/>
          <w:color w:val="auto"/>
          <w:sz w:val="24"/>
        </w:rPr>
      </w:pPr>
    </w:p>
    <w:p w14:paraId="1EFAE3A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rPr>
        <w:t xml:space="preserve">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7FE51A52">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79AA4DD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1189251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rPr>
        <w:t>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00F552BB">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rPr>
        <w:t>或盖章）：</w:t>
      </w:r>
    </w:p>
    <w:p w14:paraId="4EF4D39A">
      <w:pPr>
        <w:spacing w:line="360" w:lineRule="exact"/>
        <w:rPr>
          <w:rFonts w:hint="eastAsia" w:ascii="仿宋" w:hAnsi="仿宋" w:eastAsia="仿宋" w:cs="仿宋"/>
          <w:color w:val="auto"/>
          <w:sz w:val="24"/>
          <w:highlight w:val="none"/>
        </w:rPr>
      </w:pPr>
    </w:p>
    <w:p w14:paraId="29AC9886">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1C5FB00A">
      <w:pPr>
        <w:snapToGrid w:val="0"/>
        <w:spacing w:line="360" w:lineRule="auto"/>
        <w:ind w:right="480"/>
        <w:jc w:val="both"/>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color w:val="auto"/>
          <w:sz w:val="24"/>
          <w:szCs w:val="24"/>
          <w:highlight w:val="none"/>
        </w:rPr>
        <w:t>附：授权人身份证复印件</w:t>
      </w:r>
      <w:r>
        <w:rPr>
          <w:rFonts w:hint="eastAsia" w:ascii="仿宋" w:hAnsi="仿宋" w:eastAsia="仿宋" w:cs="仿宋"/>
          <w:b/>
          <w:bCs/>
          <w:color w:val="auto"/>
          <w:sz w:val="24"/>
          <w:lang w:val="en-US" w:eastAsia="zh-CN"/>
        </w:rPr>
        <w:t>（正反面）</w:t>
      </w:r>
    </w:p>
    <w:p w14:paraId="01EE96C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42E1F3A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36514BD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203131F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0A7EAD3B">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eastAsia" w:ascii="仿宋" w:hAnsi="仿宋" w:eastAsia="仿宋" w:cs="仿宋"/>
          <w:b/>
          <w:bCs w:val="0"/>
          <w:color w:val="auto"/>
          <w:kern w:val="0"/>
          <w:sz w:val="24"/>
          <w:szCs w:val="24"/>
          <w:highlight w:val="none"/>
          <w:lang w:val="en-US" w:eastAsia="zh-CN"/>
        </w:rPr>
      </w:pPr>
    </w:p>
    <w:p w14:paraId="0545CCA6">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6E48F221">
      <w:pPr>
        <w:pStyle w:val="119"/>
        <w:keepNext w:val="0"/>
        <w:pageBreakBefore w:val="0"/>
        <w:tabs>
          <w:tab w:val="clear" w:pos="720"/>
        </w:tabs>
        <w:spacing w:line="336" w:lineRule="auto"/>
        <w:jc w:val="center"/>
        <w:outlineLvl w:val="9"/>
        <w:rPr>
          <w:rFonts w:ascii="仿宋" w:hAnsi="仿宋" w:eastAsia="仿宋" w:cs="仿宋"/>
          <w:color w:val="auto"/>
          <w:kern w:val="0"/>
          <w:sz w:val="32"/>
          <w:szCs w:val="32"/>
        </w:rPr>
      </w:pPr>
      <w:r>
        <w:rPr>
          <w:rFonts w:hint="eastAsia" w:ascii="仿宋" w:hAnsi="仿宋" w:eastAsia="仿宋" w:cs="仿宋"/>
          <w:color w:val="auto"/>
          <w:szCs w:val="36"/>
          <w:lang w:val="en-US" w:eastAsia="zh-CN"/>
        </w:rPr>
        <w:t>四</w:t>
      </w:r>
      <w:r>
        <w:rPr>
          <w:rFonts w:hint="eastAsia" w:ascii="仿宋" w:hAnsi="仿宋" w:eastAsia="仿宋" w:cs="仿宋"/>
          <w:color w:val="auto"/>
          <w:kern w:val="0"/>
          <w:sz w:val="32"/>
          <w:szCs w:val="32"/>
        </w:rPr>
        <w:t>、符合参加采购活动应当具备的一般条件的承诺函</w:t>
      </w:r>
    </w:p>
    <w:p w14:paraId="2E15C7CF">
      <w:pPr>
        <w:snapToGrid w:val="0"/>
        <w:spacing w:line="336" w:lineRule="auto"/>
        <w:rPr>
          <w:rFonts w:ascii="仿宋" w:hAnsi="仿宋" w:eastAsia="仿宋" w:cs="仿宋"/>
          <w:color w:val="auto"/>
          <w:sz w:val="24"/>
        </w:rPr>
      </w:pPr>
      <w:r>
        <w:rPr>
          <w:rFonts w:hint="eastAsia" w:ascii="仿宋" w:hAnsi="仿宋" w:eastAsia="仿宋" w:cs="仿宋"/>
          <w:color w:val="auto"/>
          <w:sz w:val="24"/>
          <w:lang w:eastAsia="zh-CN"/>
        </w:rPr>
        <w:t>嵊州市广电信息网络有限公司</w:t>
      </w:r>
      <w:r>
        <w:rPr>
          <w:rFonts w:hint="eastAsia" w:ascii="仿宋" w:hAnsi="仿宋" w:eastAsia="仿宋" w:cs="仿宋"/>
          <w:color w:val="auto"/>
          <w:sz w:val="24"/>
        </w:rPr>
        <w:t>、</w:t>
      </w:r>
      <w:r>
        <w:rPr>
          <w:rFonts w:hint="eastAsia" w:ascii="仿宋" w:hAnsi="仿宋" w:eastAsia="仿宋" w:cs="仿宋"/>
          <w:color w:val="auto"/>
          <w:sz w:val="24"/>
          <w:lang w:val="en-US" w:eastAsia="zh-CN"/>
        </w:rPr>
        <w:t>绍兴平准招标代理有限公司</w:t>
      </w:r>
      <w:r>
        <w:rPr>
          <w:rFonts w:hint="eastAsia" w:ascii="仿宋" w:hAnsi="仿宋" w:eastAsia="仿宋" w:cs="仿宋"/>
          <w:color w:val="auto"/>
          <w:sz w:val="24"/>
        </w:rPr>
        <w:t>：</w:t>
      </w:r>
    </w:p>
    <w:p w14:paraId="45673726">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嵊州市广电信息网络有限公司电源电缆采购项目（第二次）（</w:t>
      </w:r>
      <w:r>
        <w:rPr>
          <w:rFonts w:hint="eastAsia" w:ascii="仿宋" w:hAnsi="仿宋" w:eastAsia="仿宋" w:cs="仿宋"/>
          <w:color w:val="auto"/>
          <w:kern w:val="0"/>
          <w:sz w:val="24"/>
          <w:lang w:val="zh-CN"/>
        </w:rPr>
        <w:t>项目编号：SXPZ-H20241127CKY</w:t>
      </w:r>
      <w:r>
        <w:rPr>
          <w:rFonts w:hint="eastAsia" w:ascii="仿宋" w:hAnsi="仿宋" w:eastAsia="仿宋" w:cs="仿宋"/>
          <w:color w:val="auto"/>
          <w:sz w:val="24"/>
          <w:lang w:eastAsia="zh-CN"/>
        </w:rPr>
        <w:t>）</w:t>
      </w:r>
      <w:r>
        <w:rPr>
          <w:rFonts w:hint="eastAsia" w:ascii="仿宋" w:hAnsi="仿宋" w:eastAsia="仿宋" w:cs="仿宋"/>
          <w:color w:val="auto"/>
          <w:sz w:val="24"/>
        </w:rPr>
        <w:t>采购活动，郑重承诺：</w:t>
      </w:r>
    </w:p>
    <w:p w14:paraId="148E2FC1">
      <w:pPr>
        <w:snapToGrid w:val="0"/>
        <w:spacing w:line="336" w:lineRule="auto"/>
        <w:ind w:firstLine="360" w:firstLineChars="150"/>
        <w:rPr>
          <w:rFonts w:ascii="仿宋" w:hAnsi="仿宋" w:eastAsia="仿宋" w:cs="仿宋"/>
          <w:color w:val="auto"/>
          <w:sz w:val="24"/>
        </w:rPr>
      </w:pPr>
      <w:r>
        <w:rPr>
          <w:rFonts w:hint="eastAsia" w:ascii="仿宋" w:hAnsi="仿宋" w:eastAsia="仿宋" w:cs="仿宋"/>
          <w:color w:val="auto"/>
          <w:sz w:val="24"/>
        </w:rPr>
        <w:t>（一）具备《嵊州市市属国有企业货物和服务采购管理办法（试行）》第十七条规定的条件：</w:t>
      </w:r>
    </w:p>
    <w:p w14:paraId="7FC481DA">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1.具有独立承担民事责任的能力；</w:t>
      </w:r>
    </w:p>
    <w:p w14:paraId="467C4956">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2.具有良好的商业信誉；</w:t>
      </w:r>
    </w:p>
    <w:p w14:paraId="5E80EDBB">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3.具有履行合同所必需的设备和专业技术，售后保障等能力；</w:t>
      </w:r>
    </w:p>
    <w:p w14:paraId="130F053C">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4.有依法缴纳税收和社会保障资金的良好记录；</w:t>
      </w:r>
    </w:p>
    <w:p w14:paraId="4036D3D8">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5.参加采购活动前三年内，没有重大违法记录，严重失信行为和行贿记录；</w:t>
      </w:r>
    </w:p>
    <w:p w14:paraId="4FDD87A4">
      <w:pPr>
        <w:snapToGrid w:val="0"/>
        <w:spacing w:line="336"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kern w:val="0"/>
          <w:sz w:val="24"/>
        </w:rPr>
        <w:t>6.法律、行政法规规定的其他条件</w:t>
      </w:r>
      <w:r>
        <w:rPr>
          <w:rFonts w:hint="eastAsia" w:ascii="仿宋" w:hAnsi="仿宋" w:eastAsia="仿宋" w:cs="仿宋"/>
          <w:color w:val="auto"/>
          <w:kern w:val="0"/>
          <w:sz w:val="24"/>
          <w:lang w:eastAsia="zh-CN"/>
        </w:rPr>
        <w:t>。</w:t>
      </w:r>
    </w:p>
    <w:p w14:paraId="61B8A9DA">
      <w:pPr>
        <w:snapToGrid w:val="0"/>
        <w:spacing w:line="336" w:lineRule="auto"/>
        <w:ind w:firstLine="480" w:firstLineChars="200"/>
        <w:rPr>
          <w:rFonts w:ascii="仿宋" w:hAnsi="仿宋" w:eastAsia="仿宋" w:cs="仿宋"/>
          <w:color w:val="auto"/>
          <w:sz w:val="24"/>
        </w:rPr>
      </w:pPr>
      <w:r>
        <w:rPr>
          <w:rFonts w:ascii="仿宋" w:hAnsi="仿宋" w:eastAsia="仿宋" w:cs="仿宋"/>
          <w:color w:val="auto"/>
          <w:sz w:val="24"/>
        </w:rPr>
        <w:t>具有独立承担民事责任的能力</w:t>
      </w:r>
      <w:r>
        <w:rPr>
          <w:rFonts w:hint="eastAsia" w:ascii="仿宋_GB2312" w:hAnsi="仿宋" w:eastAsia="仿宋_GB2312" w:cs="仿宋_GB2312"/>
          <w:color w:val="auto"/>
          <w:sz w:val="24"/>
        </w:rPr>
        <w:t>（</w:t>
      </w:r>
      <w:r>
        <w:rPr>
          <w:rFonts w:hint="eastAsia" w:ascii="仿宋_GB2312" w:hAnsi="仿宋" w:eastAsia="仿宋_GB2312"/>
          <w:color w:val="auto"/>
          <w:sz w:val="24"/>
        </w:rPr>
        <w:t>如供应商为</w:t>
      </w:r>
      <w:r>
        <w:rPr>
          <w:rFonts w:hint="eastAsia" w:ascii="仿宋_GB2312" w:hAnsi="仿宋_GB2312" w:eastAsia="仿宋_GB2312" w:cs="仿宋_GB2312"/>
          <w:color w:val="auto"/>
          <w:sz w:val="24"/>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42AE4431">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（二）未被信用中国（</w:t>
      </w:r>
      <w:r>
        <w:rPr>
          <w:rFonts w:ascii="仿宋" w:hAnsi="仿宋" w:eastAsia="仿宋" w:cs="仿宋"/>
          <w:color w:val="auto"/>
          <w:sz w:val="24"/>
        </w:rPr>
        <w:t>www.creditchina.gov.cn)、中国政府采购网（www.ccgp.gov.cn）列入失信被执行人、重大税收违法案件当事人名单、政府采购严重违法失信行为记录名单。</w:t>
      </w:r>
    </w:p>
    <w:p w14:paraId="6454467F">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（三）不存在以下情况：</w:t>
      </w:r>
    </w:p>
    <w:p w14:paraId="192B7C55">
      <w:pPr>
        <w:snapToGrid w:val="0"/>
        <w:spacing w:line="336" w:lineRule="auto"/>
        <w:ind w:firstLine="480" w:firstLineChars="200"/>
        <w:rPr>
          <w:rFonts w:ascii="仿宋" w:hAnsi="仿宋" w:eastAsia="仿宋" w:cs="仿宋"/>
          <w:color w:val="auto"/>
          <w:sz w:val="24"/>
        </w:rPr>
      </w:pPr>
      <w:r>
        <w:rPr>
          <w:rFonts w:ascii="仿宋" w:hAnsi="仿宋" w:eastAsia="仿宋" w:cs="仿宋"/>
          <w:color w:val="auto"/>
          <w:sz w:val="24"/>
        </w:rPr>
        <w:t>1、单位负责人为同一人或者存在直接控股、管理关系的不同供应商参加同一合同项下的采购活动的；</w:t>
      </w:r>
    </w:p>
    <w:p w14:paraId="74B77942">
      <w:pPr>
        <w:snapToGrid w:val="0"/>
        <w:spacing w:line="336" w:lineRule="auto"/>
        <w:ind w:firstLine="480" w:firstLineChars="200"/>
        <w:rPr>
          <w:rFonts w:ascii="仿宋" w:hAnsi="仿宋" w:eastAsia="仿宋" w:cs="仿宋"/>
          <w:color w:val="auto"/>
          <w:sz w:val="24"/>
        </w:rPr>
      </w:pPr>
      <w:r>
        <w:rPr>
          <w:rFonts w:ascii="仿宋" w:hAnsi="仿宋" w:eastAsia="仿宋" w:cs="仿宋"/>
          <w:color w:val="auto"/>
          <w:sz w:val="24"/>
        </w:rPr>
        <w:t>2、为采购项目提供整体设计、规范编制或者项目管理、监理、检测等服务后再参加该采购项目的其他采购活动的。</w:t>
      </w:r>
    </w:p>
    <w:p w14:paraId="0E0CE86E">
      <w:pPr>
        <w:keepNext w:val="0"/>
        <w:keepLines w:val="0"/>
        <w:pageBreakBefore w:val="0"/>
        <w:widowControl w:val="0"/>
        <w:kinsoku/>
        <w:wordWrap/>
        <w:overflowPunct/>
        <w:topLinePunct w:val="0"/>
        <w:autoSpaceDE/>
        <w:autoSpaceDN/>
        <w:bidi w:val="0"/>
        <w:adjustRightInd w:val="0"/>
        <w:snapToGrid/>
        <w:spacing w:before="313" w:beforeLines="100" w:line="336" w:lineRule="auto"/>
        <w:jc w:val="right"/>
        <w:textAlignment w:val="auto"/>
        <w:rPr>
          <w:rFonts w:ascii="仿宋" w:hAnsi="仿宋" w:eastAsia="仿宋" w:cs="仿宋"/>
          <w:color w:val="auto"/>
          <w:sz w:val="24"/>
        </w:rPr>
      </w:pPr>
      <w:r>
        <w:rPr>
          <w:rFonts w:hint="eastAsia" w:ascii="仿宋" w:hAnsi="仿宋" w:eastAsia="仿宋" w:cs="仿宋"/>
          <w:color w:val="auto"/>
          <w:sz w:val="24"/>
        </w:rPr>
        <w:t>供应商名称（电子签名）：</w:t>
      </w:r>
    </w:p>
    <w:p w14:paraId="1A97975F">
      <w:pPr>
        <w:spacing w:line="336" w:lineRule="auto"/>
        <w:jc w:val="right"/>
        <w:rPr>
          <w:rFonts w:ascii="仿宋" w:hAnsi="仿宋" w:eastAsia="仿宋" w:cs="仿宋"/>
          <w:color w:val="auto"/>
          <w:sz w:val="24"/>
        </w:rPr>
      </w:pP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期：</w:t>
      </w:r>
      <w:r>
        <w:rPr>
          <w:rFonts w:hint="eastAsia" w:ascii="仿宋" w:hAnsi="仿宋" w:eastAsia="仿宋" w:cs="仿宋"/>
          <w:color w:val="auto"/>
          <w:sz w:val="24"/>
          <w:highlight w:val="none"/>
        </w:rPr>
        <w:t xml:space="preserve">    年   月   日</w:t>
      </w:r>
    </w:p>
    <w:p w14:paraId="1779A9C3">
      <w:pPr>
        <w:snapToGrid w:val="0"/>
        <w:spacing w:line="336" w:lineRule="auto"/>
        <w:jc w:val="center"/>
        <w:rPr>
          <w:rFonts w:ascii="仿宋" w:hAnsi="仿宋" w:eastAsia="仿宋" w:cs="仿宋"/>
          <w:b/>
          <w:color w:val="auto"/>
          <w:kern w:val="0"/>
          <w:sz w:val="32"/>
          <w:szCs w:val="32"/>
        </w:rPr>
      </w:pPr>
    </w:p>
    <w:p w14:paraId="1925CF06">
      <w:pPr>
        <w:widowControl/>
        <w:adjustRightInd/>
        <w:spacing w:line="336" w:lineRule="auto"/>
        <w:jc w:val="left"/>
        <w:rPr>
          <w:rFonts w:ascii="仿宋" w:hAnsi="仿宋" w:eastAsia="仿宋" w:cs="仿宋"/>
          <w:b/>
          <w:color w:val="auto"/>
          <w:sz w:val="32"/>
          <w:szCs w:val="32"/>
        </w:rPr>
      </w:pPr>
      <w:r>
        <w:rPr>
          <w:rFonts w:ascii="仿宋" w:hAnsi="仿宋" w:eastAsia="仿宋" w:cs="仿宋"/>
          <w:b/>
          <w:color w:val="auto"/>
          <w:sz w:val="32"/>
          <w:szCs w:val="32"/>
        </w:rPr>
        <w:br w:type="page"/>
      </w:r>
    </w:p>
    <w:p w14:paraId="742EC741">
      <w:pPr>
        <w:spacing w:line="336" w:lineRule="auto"/>
        <w:jc w:val="cente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五、采购公告发布之日起至磋商响应文件递交截止日内任意时间的“信用中国”和“中国政府采购网”响应方信用查询网页截图</w:t>
      </w:r>
    </w:p>
    <w:p w14:paraId="27142D25">
      <w:pPr>
        <w:jc w:val="center"/>
        <w:rPr>
          <w:rFonts w:ascii="仿宋" w:hAnsi="仿宋" w:eastAsia="仿宋" w:cs="仿宋"/>
          <w:color w:val="auto"/>
          <w:sz w:val="24"/>
          <w:szCs w:val="24"/>
        </w:rPr>
      </w:pPr>
      <w:r>
        <w:rPr>
          <w:rFonts w:hint="eastAsia" w:ascii="仿宋" w:hAnsi="仿宋" w:eastAsia="仿宋" w:cs="仿宋"/>
          <w:color w:val="auto"/>
          <w:sz w:val="24"/>
          <w:szCs w:val="24"/>
        </w:rPr>
        <w:t>www.creditchina.gov.cn</w:t>
      </w:r>
      <w:r>
        <w:rPr>
          <w:rFonts w:hint="eastAsia" w:ascii="仿宋" w:hAnsi="仿宋" w:eastAsia="仿宋" w:cs="仿宋"/>
          <w:color w:val="auto"/>
          <w:sz w:val="24"/>
          <w:szCs w:val="24"/>
          <w:lang w:bidi="ar"/>
        </w:rPr>
        <w:t>截图示例</w:t>
      </w:r>
    </w:p>
    <w:p w14:paraId="41365915">
      <w:pPr>
        <w:snapToGrid w:val="0"/>
        <w:spacing w:line="72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drawing>
          <wp:inline distT="0" distB="0" distL="114300" distR="114300">
            <wp:extent cx="4705350" cy="3422015"/>
            <wp:effectExtent l="0" t="0" r="0" b="6985"/>
            <wp:docPr id="3" name="图片 3" descr="C:/Users/12/Desktop/信用中国.jpg信用中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2/Desktop/信用中国.jpg信用中国"/>
                    <pic:cNvPicPr>
                      <a:picLocks noChangeAspect="1"/>
                    </pic:cNvPicPr>
                  </pic:nvPicPr>
                  <pic:blipFill>
                    <a:blip r:embed="rId16"/>
                    <a:srcRect l="2505" r="2505"/>
                    <a:stretch>
                      <a:fillRect/>
                    </a:stretch>
                  </pic:blipFill>
                  <pic:spPr>
                    <a:xfrm>
                      <a:off x="0" y="0"/>
                      <a:ext cx="4705350" cy="3422015"/>
                    </a:xfrm>
                    <a:prstGeom prst="rect">
                      <a:avLst/>
                    </a:prstGeom>
                  </pic:spPr>
                </pic:pic>
              </a:graphicData>
            </a:graphic>
          </wp:inline>
        </w:drawing>
      </w:r>
    </w:p>
    <w:p w14:paraId="61BD4400">
      <w:pPr>
        <w:snapToGrid w:val="0"/>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lang w:bidi="ar"/>
        </w:rPr>
        <w:t>www.ccgp.gov.cn截图示例</w:t>
      </w:r>
    </w:p>
    <w:p w14:paraId="7BFA5845">
      <w:pPr>
        <w:spacing w:line="336" w:lineRule="auto"/>
        <w:jc w:val="center"/>
        <w:rPr>
          <w:rFonts w:hint="eastAsia" w:ascii="仿宋" w:hAnsi="仿宋" w:eastAsia="仿宋" w:cs="仿宋"/>
          <w:b/>
          <w:color w:val="auto"/>
          <w:kern w:val="0"/>
          <w:sz w:val="32"/>
          <w:szCs w:val="32"/>
          <w:lang w:eastAsia="zh-CN"/>
        </w:rPr>
      </w:pPr>
      <w:r>
        <w:rPr>
          <w:rFonts w:hint="eastAsia" w:ascii="仿宋" w:hAnsi="仿宋" w:eastAsia="仿宋" w:cs="仿宋"/>
          <w:b/>
          <w:color w:val="auto"/>
          <w:kern w:val="0"/>
          <w:sz w:val="32"/>
          <w:szCs w:val="32"/>
          <w:lang w:eastAsia="zh-CN"/>
        </w:rPr>
        <w:drawing>
          <wp:inline distT="0" distB="0" distL="114300" distR="114300">
            <wp:extent cx="4933950" cy="3037205"/>
            <wp:effectExtent l="0" t="0" r="0" b="10795"/>
            <wp:docPr id="5" name="图片 5" descr="C:/Users/12/Desktop/中国政府采购网.jpg中国政府采购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2/Desktop/中国政府采购网.jpg中国政府采购网"/>
                    <pic:cNvPicPr>
                      <a:picLocks noChangeAspect="1"/>
                    </pic:cNvPicPr>
                  </pic:nvPicPr>
                  <pic:blipFill>
                    <a:blip r:embed="rId17"/>
                    <a:srcRect t="5129" b="5129"/>
                    <a:stretch>
                      <a:fillRect/>
                    </a:stretch>
                  </pic:blipFill>
                  <pic:spPr>
                    <a:xfrm>
                      <a:off x="0" y="0"/>
                      <a:ext cx="4933950" cy="3037205"/>
                    </a:xfrm>
                    <a:prstGeom prst="rect">
                      <a:avLst/>
                    </a:prstGeom>
                  </pic:spPr>
                </pic:pic>
              </a:graphicData>
            </a:graphic>
          </wp:inline>
        </w:drawing>
      </w:r>
    </w:p>
    <w:p w14:paraId="5F8B9C4A">
      <w:pPr>
        <w:widowControl/>
        <w:spacing w:line="360" w:lineRule="auto"/>
        <w:ind w:left="150"/>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、本项目的特定资格要求</w:t>
      </w:r>
      <w:r>
        <w:rPr>
          <w:rFonts w:hint="eastAsia" w:ascii="仿宋" w:hAnsi="仿宋" w:eastAsia="仿宋" w:cs="仿宋"/>
          <w:b/>
          <w:color w:val="auto"/>
          <w:kern w:val="0"/>
          <w:sz w:val="32"/>
          <w:szCs w:val="32"/>
          <w:highlight w:val="none"/>
          <w:lang w:eastAsia="zh-CN"/>
        </w:rPr>
        <w:t>（</w:t>
      </w:r>
      <w:r>
        <w:rPr>
          <w:rFonts w:hint="eastAsia" w:ascii="仿宋" w:hAnsi="仿宋" w:eastAsia="仿宋" w:cs="仿宋"/>
          <w:b/>
          <w:color w:val="auto"/>
          <w:kern w:val="0"/>
          <w:sz w:val="32"/>
          <w:szCs w:val="32"/>
          <w:highlight w:val="none"/>
          <w:lang w:val="en-US" w:eastAsia="zh-CN"/>
        </w:rPr>
        <w:t>若有</w:t>
      </w:r>
      <w:r>
        <w:rPr>
          <w:rFonts w:hint="eastAsia" w:ascii="仿宋" w:hAnsi="仿宋" w:eastAsia="仿宋" w:cs="仿宋"/>
          <w:b/>
          <w:color w:val="auto"/>
          <w:kern w:val="0"/>
          <w:sz w:val="32"/>
          <w:szCs w:val="32"/>
          <w:highlight w:val="none"/>
          <w:lang w:eastAsia="zh-CN"/>
        </w:rPr>
        <w:t>）</w:t>
      </w:r>
    </w:p>
    <w:p w14:paraId="7B3AE9AA">
      <w:pPr>
        <w:spacing w:line="336"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4"/>
          <w:highlight w:val="none"/>
        </w:rPr>
        <w:t>（根据招标公告本项目的特定资格要求提供相应的材料</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若未要求的则无须提供</w:t>
      </w:r>
      <w:r>
        <w:rPr>
          <w:rFonts w:hint="eastAsia" w:ascii="仿宋" w:hAnsi="仿宋" w:eastAsia="仿宋" w:cs="仿宋"/>
          <w:b/>
          <w:bCs/>
          <w:color w:val="auto"/>
          <w:sz w:val="24"/>
          <w:highlight w:val="none"/>
        </w:rPr>
        <w:t>）</w:t>
      </w:r>
    </w:p>
    <w:p w14:paraId="6124E379">
      <w:pPr>
        <w:spacing w:line="336" w:lineRule="auto"/>
        <w:jc w:val="center"/>
        <w:rPr>
          <w:rFonts w:hint="eastAsia" w:ascii="仿宋" w:hAnsi="仿宋" w:eastAsia="仿宋" w:cs="仿宋"/>
          <w:b/>
          <w:bCs/>
          <w:color w:val="auto"/>
          <w:sz w:val="28"/>
          <w:szCs w:val="28"/>
        </w:rPr>
      </w:pPr>
    </w:p>
    <w:p w14:paraId="3EB2AC2A">
      <w:pPr>
        <w:spacing w:line="336" w:lineRule="auto"/>
        <w:jc w:val="center"/>
        <w:rPr>
          <w:rFonts w:hint="eastAsia" w:ascii="仿宋" w:hAnsi="仿宋" w:eastAsia="仿宋" w:cs="仿宋"/>
          <w:b/>
          <w:bCs/>
          <w:color w:val="auto"/>
          <w:sz w:val="28"/>
          <w:szCs w:val="28"/>
        </w:rPr>
      </w:pPr>
    </w:p>
    <w:p w14:paraId="24BDFEF0">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14:paraId="60AC5B65">
      <w:pPr>
        <w:spacing w:line="336" w:lineRule="auto"/>
        <w:jc w:val="center"/>
        <w:rPr>
          <w:rFonts w:ascii="仿宋" w:hAnsi="仿宋" w:eastAsia="仿宋" w:cs="仿宋"/>
          <w:b/>
          <w:bCs/>
          <w:color w:val="auto"/>
          <w:sz w:val="28"/>
          <w:szCs w:val="28"/>
        </w:rPr>
      </w:pPr>
      <w:r>
        <w:rPr>
          <w:rFonts w:hint="eastAsia" w:ascii="仿宋" w:hAnsi="仿宋" w:eastAsia="仿宋" w:cs="仿宋"/>
          <w:b/>
          <w:bCs/>
          <w:color w:val="auto"/>
          <w:sz w:val="28"/>
          <w:szCs w:val="28"/>
        </w:rPr>
        <w:t>政企采购活动现场确认声明书</w:t>
      </w:r>
    </w:p>
    <w:p w14:paraId="276584B6">
      <w:pPr>
        <w:pStyle w:val="636"/>
        <w:widowControl w:val="0"/>
        <w:snapToGrid w:val="0"/>
        <w:spacing w:line="440" w:lineRule="exact"/>
        <w:jc w:val="both"/>
        <w:rPr>
          <w:rFonts w:ascii="仿宋" w:hAnsi="仿宋" w:eastAsia="仿宋" w:cs="仿宋"/>
          <w:b/>
          <w:color w:val="auto"/>
          <w:sz w:val="24"/>
          <w:szCs w:val="24"/>
        </w:rPr>
      </w:pPr>
      <w:r>
        <w:rPr>
          <w:rFonts w:hint="eastAsia" w:ascii="仿宋" w:hAnsi="仿宋" w:eastAsia="仿宋" w:cs="仿宋"/>
          <w:color w:val="auto"/>
          <w:kern w:val="0"/>
          <w:sz w:val="24"/>
          <w:szCs w:val="24"/>
          <w:u w:val="single"/>
          <w:lang w:eastAsia="zh-CN"/>
        </w:rPr>
        <w:t>绍兴平准招标代理有限公司</w:t>
      </w:r>
      <w:r>
        <w:rPr>
          <w:rFonts w:hint="eastAsia" w:ascii="仿宋" w:hAnsi="仿宋" w:eastAsia="仿宋" w:cs="仿宋"/>
          <w:color w:val="auto"/>
          <w:kern w:val="0"/>
          <w:sz w:val="24"/>
          <w:szCs w:val="24"/>
        </w:rPr>
        <w:t>：</w:t>
      </w:r>
    </w:p>
    <w:p w14:paraId="7E12951B">
      <w:pPr>
        <w:pStyle w:val="636"/>
        <w:widowControl w:val="0"/>
        <w:snapToGrid w:val="0"/>
        <w:spacing w:line="440" w:lineRule="exact"/>
        <w:ind w:firstLine="504" w:firstLineChars="200"/>
        <w:jc w:val="both"/>
        <w:rPr>
          <w:rFonts w:ascii="仿宋" w:hAnsi="仿宋" w:eastAsia="仿宋" w:cs="仿宋"/>
          <w:color w:val="auto"/>
          <w:spacing w:val="6"/>
          <w:sz w:val="24"/>
          <w:szCs w:val="24"/>
        </w:rPr>
      </w:pPr>
      <w:r>
        <w:rPr>
          <w:rFonts w:hint="eastAsia" w:ascii="仿宋" w:hAnsi="仿宋" w:eastAsia="仿宋" w:cs="仿宋"/>
          <w:color w:val="auto"/>
          <w:spacing w:val="6"/>
          <w:sz w:val="24"/>
          <w:szCs w:val="24"/>
        </w:rPr>
        <w:t>本人</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w:t>
      </w:r>
      <w:r>
        <w:rPr>
          <w:rFonts w:hint="eastAsia" w:ascii="仿宋" w:hAnsi="仿宋" w:eastAsia="仿宋" w:cs="仿宋"/>
          <w:i/>
          <w:iCs/>
          <w:color w:val="auto"/>
          <w:spacing w:val="6"/>
          <w:sz w:val="24"/>
          <w:szCs w:val="24"/>
          <w:u w:val="single"/>
        </w:rPr>
        <w:t xml:space="preserve">    </w:t>
      </w:r>
      <w:r>
        <w:rPr>
          <w:rFonts w:hint="eastAsia" w:ascii="仿宋" w:hAnsi="仿宋" w:eastAsia="仿宋" w:cs="仿宋"/>
          <w:color w:val="auto"/>
          <w:spacing w:val="6"/>
          <w:sz w:val="24"/>
          <w:szCs w:val="24"/>
          <w:u w:val="single"/>
        </w:rPr>
        <w:t>（姓名）</w:t>
      </w:r>
      <w:r>
        <w:rPr>
          <w:rFonts w:hint="eastAsia" w:ascii="仿宋" w:hAnsi="仿宋" w:eastAsia="仿宋" w:cs="仿宋"/>
          <w:color w:val="auto"/>
          <w:spacing w:val="6"/>
          <w:sz w:val="24"/>
          <w:szCs w:val="24"/>
        </w:rPr>
        <w:t xml:space="preserve">合法授权参加 </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 xml:space="preserve">）采购活动，经与本单位法人代表（负责人）联系确认，现就有关公平竞争事项郑重声明如下： </w:t>
      </w:r>
    </w:p>
    <w:p w14:paraId="7BA4FEF3">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p>
    <w:p w14:paraId="0853D282">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不存在利害关系;   □存在下列利害关系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579AE151">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A.投资关系    B.行政隶属关系    C.业务指导关系</w:t>
      </w:r>
    </w:p>
    <w:p w14:paraId="68654B72">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1BF47D0B">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p>
    <w:p w14:paraId="623E57A9">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 xml:space="preserve">与其他所有供应商之间均不存在利害关系 </w:t>
      </w:r>
    </w:p>
    <w:p w14:paraId="5164859D">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475D8460">
      <w:pPr>
        <w:pStyle w:val="636"/>
        <w:widowControl w:val="0"/>
        <w:snapToGrid w:val="0"/>
        <w:spacing w:line="440" w:lineRule="exact"/>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3C0C8404">
      <w:pPr>
        <w:pStyle w:val="636"/>
        <w:widowControl w:val="0"/>
        <w:snapToGrid w:val="0"/>
        <w:spacing w:line="440" w:lineRule="exact"/>
        <w:jc w:val="both"/>
        <w:rPr>
          <w:rFonts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50D618EE">
      <w:pPr>
        <w:pStyle w:val="636"/>
        <w:widowControl w:val="0"/>
        <w:snapToGrid w:val="0"/>
        <w:spacing w:line="440" w:lineRule="exact"/>
        <w:jc w:val="both"/>
        <w:rPr>
          <w:rFonts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4C8F3F33">
      <w:pPr>
        <w:pStyle w:val="636"/>
        <w:widowControl w:val="0"/>
        <w:snapToGrid w:val="0"/>
        <w:spacing w:line="440" w:lineRule="exact"/>
        <w:jc w:val="both"/>
        <w:rPr>
          <w:rFonts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2DDB1E73">
      <w:pPr>
        <w:pStyle w:val="636"/>
        <w:widowControl w:val="0"/>
        <w:snapToGrid w:val="0"/>
        <w:spacing w:line="440" w:lineRule="exact"/>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2139E608">
      <w:pPr>
        <w:pStyle w:val="636"/>
        <w:widowControl w:val="0"/>
        <w:snapToGrid w:val="0"/>
        <w:spacing w:line="440" w:lineRule="exact"/>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6B943556">
      <w:pPr>
        <w:pStyle w:val="636"/>
        <w:widowControl w:val="0"/>
        <w:snapToGrid w:val="0"/>
        <w:spacing w:line="440" w:lineRule="exact"/>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G.存在共同直接或间接投资设立子公司、联营企业和合营企业情况</w:t>
      </w:r>
    </w:p>
    <w:p w14:paraId="6BD56E9D">
      <w:pPr>
        <w:pStyle w:val="636"/>
        <w:widowControl w:val="0"/>
        <w:snapToGrid w:val="0"/>
        <w:spacing w:line="440" w:lineRule="exact"/>
        <w:jc w:val="both"/>
        <w:rPr>
          <w:rFonts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7E101B84">
      <w:pPr>
        <w:pStyle w:val="636"/>
        <w:widowControl w:val="0"/>
        <w:snapToGrid w:val="0"/>
        <w:spacing w:line="440" w:lineRule="exact"/>
        <w:jc w:val="both"/>
        <w:rPr>
          <w:rFonts w:ascii="仿宋" w:hAnsi="仿宋" w:eastAsia="仿宋" w:cs="仿宋"/>
          <w:color w:val="auto"/>
          <w:spacing w:val="6"/>
          <w:sz w:val="24"/>
          <w:szCs w:val="24"/>
        </w:rPr>
      </w:pPr>
      <w:r>
        <w:rPr>
          <w:rFonts w:hint="eastAsia" w:ascii="仿宋" w:hAnsi="仿宋" w:eastAsia="仿宋" w:cs="仿宋"/>
          <w:color w:val="auto"/>
          <w:sz w:val="24"/>
          <w:szCs w:val="24"/>
        </w:rPr>
        <w:t xml:space="preserve">  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6976C1A0">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sz w:val="24"/>
          <w:szCs w:val="24"/>
        </w:rPr>
        <w:t>三、现已清楚知道并</w:t>
      </w:r>
      <w:r>
        <w:rPr>
          <w:rFonts w:hint="eastAsia" w:ascii="仿宋" w:hAnsi="仿宋" w:eastAsia="仿宋" w:cs="仿宋"/>
          <w:color w:val="auto"/>
          <w:kern w:val="0"/>
          <w:sz w:val="24"/>
          <w:szCs w:val="24"/>
        </w:rPr>
        <w:t>严格遵守采购法律法规和现场纪律。</w:t>
      </w:r>
    </w:p>
    <w:p w14:paraId="46F01FFC">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四、我发现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233725BC">
      <w:pPr>
        <w:jc w:val="right"/>
        <w:rPr>
          <w:rFonts w:ascii="仿宋" w:hAnsi="仿宋" w:eastAsia="仿宋" w:cs="仿宋"/>
          <w:color w:val="auto"/>
          <w:sz w:val="24"/>
          <w:szCs w:val="24"/>
        </w:rPr>
      </w:pPr>
    </w:p>
    <w:p w14:paraId="01D81DB9">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（供应商代表签名）                                </w:t>
      </w:r>
    </w:p>
    <w:p w14:paraId="14852FF4">
      <w:pPr>
        <w:spacing w:line="336" w:lineRule="auto"/>
        <w:jc w:val="both"/>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年  月   日</w:t>
      </w:r>
    </w:p>
    <w:p w14:paraId="509B933C">
      <w:pPr>
        <w:spacing w:line="336" w:lineRule="auto"/>
        <w:jc w:val="center"/>
        <w:rPr>
          <w:rFonts w:hint="eastAsia" w:ascii="仿宋" w:hAnsi="仿宋" w:eastAsia="仿宋" w:cs="仿宋"/>
          <w:b/>
          <w:color w:val="auto"/>
          <w:kern w:val="0"/>
          <w:sz w:val="32"/>
          <w:szCs w:val="32"/>
        </w:rPr>
      </w:pPr>
    </w:p>
    <w:p w14:paraId="3B8E61DD">
      <w:pPr>
        <w:spacing w:line="336" w:lineRule="auto"/>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0CA3D4A3">
      <w:pPr>
        <w:spacing w:line="336" w:lineRule="auto"/>
        <w:jc w:val="center"/>
        <w:outlineLvl w:val="0"/>
        <w:rPr>
          <w:rFonts w:ascii="仿宋" w:hAnsi="仿宋" w:eastAsia="仿宋" w:cs="仿宋"/>
          <w:b/>
          <w:color w:val="auto"/>
          <w:kern w:val="0"/>
          <w:sz w:val="24"/>
        </w:rPr>
      </w:pPr>
    </w:p>
    <w:p w14:paraId="014FC31B">
      <w:pPr>
        <w:spacing w:line="336" w:lineRule="auto"/>
        <w:jc w:val="center"/>
        <w:outlineLvl w:val="0"/>
        <w:rPr>
          <w:rFonts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25C572EE">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highlight w:val="none"/>
        </w:rPr>
        <w:t>营业执照(或事业法人登记证书</w:t>
      </w:r>
      <w:r>
        <w:rPr>
          <w:rFonts w:hint="eastAsia" w:ascii="仿宋" w:hAnsi="仿宋" w:eastAsia="仿宋" w:cs="仿宋"/>
          <w:color w:val="auto"/>
          <w:sz w:val="24"/>
          <w:szCs w:val="24"/>
          <w:highlight w:val="none"/>
          <w:lang w:eastAsia="zh-CN"/>
        </w:rPr>
        <w:t>或其他</w:t>
      </w:r>
      <w:r>
        <w:rPr>
          <w:rFonts w:hint="eastAsia" w:ascii="仿宋" w:hAnsi="仿宋" w:eastAsia="仿宋" w:cs="仿宋"/>
          <w:color w:val="auto"/>
          <w:sz w:val="24"/>
          <w:szCs w:val="24"/>
          <w:highlight w:val="none"/>
        </w:rPr>
        <w:t>工商等登记证明材料；自然人参与采购，提供身份证)扫描件</w:t>
      </w:r>
      <w:r>
        <w:rPr>
          <w:rFonts w:hint="eastAsia" w:ascii="仿宋" w:eastAsia="仿宋" w:cs="仿宋"/>
          <w:color w:val="auto"/>
        </w:rPr>
        <w:t>……………………………………………………………………（页码）</w:t>
      </w:r>
    </w:p>
    <w:p w14:paraId="7CD0569B">
      <w:pPr>
        <w:pStyle w:val="188"/>
        <w:numPr>
          <w:ilvl w:val="0"/>
          <w:numId w:val="8"/>
        </w:numPr>
        <w:spacing w:line="336" w:lineRule="auto"/>
        <w:ind w:left="0" w:firstLine="0" w:firstLineChars="0"/>
        <w:rPr>
          <w:rFonts w:hint="eastAsia" w:ascii="仿宋" w:eastAsia="仿宋" w:cs="仿宋"/>
          <w:color w:val="auto"/>
        </w:rPr>
      </w:pPr>
      <w:r>
        <w:rPr>
          <w:rFonts w:ascii="仿宋" w:hAnsi="仿宋" w:eastAsia="仿宋" w:cs="仿宋"/>
          <w:color w:val="auto"/>
          <w:sz w:val="24"/>
        </w:rPr>
        <w:t>响应函</w:t>
      </w:r>
      <w:r>
        <w:rPr>
          <w:rFonts w:hint="eastAsia" w:ascii="仿宋" w:eastAsia="仿宋" w:cs="仿宋"/>
          <w:color w:val="auto"/>
        </w:rPr>
        <w:t>……………………………………………………………………………（页码）</w:t>
      </w:r>
    </w:p>
    <w:p w14:paraId="48F64536">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lang w:eastAsia="zh-CN"/>
        </w:rPr>
        <w:t>法定代表人身份证明书</w:t>
      </w:r>
      <w:r>
        <w:rPr>
          <w:rFonts w:hint="eastAsia" w:ascii="仿宋" w:eastAsia="仿宋" w:cs="仿宋"/>
          <w:color w:val="auto"/>
        </w:rPr>
        <w:t>…………………………………………………………（页码）</w:t>
      </w:r>
    </w:p>
    <w:p w14:paraId="42F5E2F9">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lang w:eastAsia="zh-CN"/>
        </w:rPr>
        <w:t>法定代表人授权委托书</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lang w:eastAsia="zh-CN"/>
        </w:rPr>
        <w:t>授权代表社保证明（</w:t>
      </w:r>
      <w:r>
        <w:rPr>
          <w:rFonts w:hint="eastAsia" w:ascii="仿宋" w:hAnsi="仿宋" w:eastAsia="仿宋" w:cs="仿宋"/>
          <w:color w:val="auto"/>
          <w:sz w:val="24"/>
          <w:szCs w:val="24"/>
          <w:lang w:val="en-US" w:eastAsia="zh-CN"/>
        </w:rPr>
        <w:t>若委托</w:t>
      </w:r>
      <w:r>
        <w:rPr>
          <w:rFonts w:hint="eastAsia" w:ascii="仿宋" w:hAnsi="仿宋" w:eastAsia="仿宋" w:cs="仿宋"/>
          <w:color w:val="auto"/>
          <w:sz w:val="24"/>
          <w:szCs w:val="24"/>
          <w:lang w:eastAsia="zh-CN"/>
        </w:rPr>
        <w:t>）</w:t>
      </w:r>
      <w:r>
        <w:rPr>
          <w:rFonts w:hint="eastAsia" w:ascii="仿宋" w:eastAsia="仿宋" w:cs="仿宋"/>
          <w:color w:val="auto"/>
        </w:rPr>
        <w:t>……………………（页码）</w:t>
      </w:r>
    </w:p>
    <w:p w14:paraId="7010853D">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rPr>
        <w:t>评分索引表</w:t>
      </w:r>
      <w:r>
        <w:rPr>
          <w:rFonts w:hint="eastAsia" w:ascii="仿宋" w:eastAsia="仿宋" w:cs="仿宋"/>
          <w:color w:val="auto"/>
        </w:rPr>
        <w:t>………………………………………………………………………（页码）</w:t>
      </w:r>
    </w:p>
    <w:p w14:paraId="63767DE0">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lang w:val="en-US" w:eastAsia="zh-CN"/>
        </w:rPr>
        <w:t>采购供应商廉洁自律承诺书</w:t>
      </w:r>
      <w:r>
        <w:rPr>
          <w:rFonts w:hint="eastAsia" w:ascii="仿宋" w:eastAsia="仿宋" w:cs="仿宋"/>
          <w:color w:val="auto"/>
        </w:rPr>
        <w:t>……………………………………………………（页码）</w:t>
      </w:r>
    </w:p>
    <w:p w14:paraId="053F2363">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highlight w:val="none"/>
          <w:lang w:val="en-US" w:eastAsia="zh-CN"/>
        </w:rPr>
        <w:t>资信及商务响应表</w:t>
      </w:r>
      <w:r>
        <w:rPr>
          <w:rFonts w:hint="eastAsia" w:ascii="仿宋" w:eastAsia="仿宋" w:cs="仿宋"/>
          <w:color w:val="auto"/>
        </w:rPr>
        <w:t>………………………………………………………………（页码）</w:t>
      </w:r>
    </w:p>
    <w:p w14:paraId="1255C574">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rPr>
        <w:t>综合实力</w:t>
      </w:r>
      <w:r>
        <w:rPr>
          <w:rFonts w:hint="eastAsia" w:ascii="仿宋" w:eastAsia="仿宋" w:cs="仿宋"/>
          <w:color w:val="auto"/>
        </w:rPr>
        <w:t>…………………………………………………………………………（页码）</w:t>
      </w:r>
    </w:p>
    <w:p w14:paraId="4E293249">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kern w:val="0"/>
          <w:sz w:val="24"/>
          <w:szCs w:val="24"/>
          <w:lang w:val="en-US" w:eastAsia="zh-CN"/>
        </w:rPr>
        <w:t>同类业绩</w:t>
      </w:r>
      <w:r>
        <w:rPr>
          <w:rFonts w:hint="eastAsia" w:ascii="仿宋" w:eastAsia="仿宋" w:cs="仿宋"/>
          <w:color w:val="auto"/>
        </w:rPr>
        <w:t>…………………………………………………………………………（页码）</w:t>
      </w:r>
    </w:p>
    <w:p w14:paraId="7331D17E">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kern w:val="0"/>
          <w:sz w:val="24"/>
          <w:szCs w:val="24"/>
          <w:lang w:val="en-US" w:eastAsia="zh-CN"/>
        </w:rPr>
        <w:t>用户</w:t>
      </w:r>
      <w:r>
        <w:rPr>
          <w:rFonts w:hint="eastAsia" w:ascii="仿宋" w:hAnsi="仿宋" w:eastAsia="仿宋" w:cs="仿宋"/>
          <w:color w:val="auto"/>
          <w:kern w:val="0"/>
          <w:sz w:val="24"/>
          <w:szCs w:val="24"/>
        </w:rPr>
        <w:t>反馈</w:t>
      </w:r>
      <w:r>
        <w:rPr>
          <w:rFonts w:hint="eastAsia" w:ascii="仿宋" w:eastAsia="仿宋" w:cs="仿宋"/>
          <w:color w:val="auto"/>
        </w:rPr>
        <w:t>………………………………………………………………………（页码）</w:t>
      </w:r>
    </w:p>
    <w:p w14:paraId="38974886">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kern w:val="0"/>
          <w:sz w:val="24"/>
          <w:szCs w:val="24"/>
          <w:lang w:val="en-US" w:eastAsia="zh-CN"/>
        </w:rPr>
        <w:t>产品情况</w:t>
      </w:r>
      <w:r>
        <w:rPr>
          <w:rFonts w:hint="eastAsia" w:ascii="仿宋" w:eastAsia="仿宋" w:cs="仿宋"/>
          <w:color w:val="auto"/>
        </w:rPr>
        <w:t>………………………………………………………………………（页码）</w:t>
      </w:r>
    </w:p>
    <w:p w14:paraId="42420739">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b w:val="0"/>
          <w:bCs/>
          <w:color w:val="auto"/>
          <w:kern w:val="2"/>
          <w:sz w:val="24"/>
          <w:szCs w:val="24"/>
          <w:highlight w:val="none"/>
          <w:lang w:val="en-US" w:eastAsia="zh-CN" w:bidi="ar-SA"/>
        </w:rPr>
        <w:t>检测报告</w:t>
      </w:r>
      <w:r>
        <w:rPr>
          <w:rFonts w:hint="eastAsia" w:ascii="仿宋" w:eastAsia="仿宋" w:cs="仿宋"/>
          <w:color w:val="auto"/>
        </w:rPr>
        <w:t>………………………………………………………………………（页码）</w:t>
      </w:r>
    </w:p>
    <w:p w14:paraId="2EC655E9">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响应表</w:t>
      </w:r>
      <w:r>
        <w:rPr>
          <w:rFonts w:hint="eastAsia" w:ascii="仿宋" w:eastAsia="仿宋" w:cs="仿宋"/>
          <w:color w:val="auto"/>
        </w:rPr>
        <w:t>……………………………………………………………………（页码）</w:t>
      </w:r>
    </w:p>
    <w:p w14:paraId="57652004">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highlight w:val="none"/>
          <w:shd w:val="clear" w:color="auto" w:fill="auto"/>
          <w:lang w:eastAsia="zh-CN"/>
        </w:rPr>
        <w:t>供货方案</w:t>
      </w:r>
      <w:r>
        <w:rPr>
          <w:rFonts w:hint="eastAsia" w:ascii="仿宋" w:eastAsia="仿宋" w:cs="仿宋"/>
          <w:color w:val="auto"/>
        </w:rPr>
        <w:t>………………………………………………………………………（页码）</w:t>
      </w:r>
    </w:p>
    <w:p w14:paraId="33F64A72">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b w:val="0"/>
          <w:bCs/>
          <w:color w:val="auto"/>
          <w:sz w:val="24"/>
          <w:szCs w:val="24"/>
          <w:highlight w:val="none"/>
          <w:lang w:val="en-US" w:eastAsia="zh-CN"/>
        </w:rPr>
        <w:t>售后服务</w:t>
      </w:r>
      <w:r>
        <w:rPr>
          <w:rFonts w:hint="eastAsia" w:ascii="仿宋" w:eastAsia="仿宋" w:cs="仿宋"/>
          <w:color w:val="auto"/>
        </w:rPr>
        <w:t>………………………………………………………………………（页码）</w:t>
      </w:r>
    </w:p>
    <w:p w14:paraId="77CA8DC8">
      <w:pPr>
        <w:pStyle w:val="188"/>
        <w:numPr>
          <w:ilvl w:val="0"/>
          <w:numId w:val="8"/>
        </w:numPr>
        <w:spacing w:line="336" w:lineRule="auto"/>
        <w:ind w:left="0" w:firstLine="0" w:firstLineChars="0"/>
        <w:rPr>
          <w:rFonts w:hint="eastAsia" w:ascii="仿宋" w:eastAsia="仿宋" w:cs="仿宋"/>
          <w:color w:val="auto"/>
        </w:rPr>
      </w:pPr>
      <w:r>
        <w:rPr>
          <w:rFonts w:hint="eastAsia" w:ascii="仿宋" w:eastAsia="仿宋" w:cs="仿宋"/>
          <w:color w:val="auto"/>
        </w:rPr>
        <w:t>供应商需要说明的其他文件和说明</w:t>
      </w:r>
      <w:r>
        <w:rPr>
          <w:rFonts w:hint="eastAsia" w:ascii="仿宋" w:eastAsia="仿宋" w:cs="仿宋"/>
          <w:color w:val="auto"/>
          <w:lang w:eastAsia="zh-CN"/>
        </w:rPr>
        <w:t>（</w:t>
      </w:r>
      <w:r>
        <w:rPr>
          <w:rFonts w:hint="eastAsia" w:ascii="仿宋" w:eastAsia="仿宋" w:cs="仿宋"/>
          <w:color w:val="auto"/>
          <w:lang w:val="en-US" w:eastAsia="zh-CN"/>
        </w:rPr>
        <w:t>如果有</w:t>
      </w:r>
      <w:r>
        <w:rPr>
          <w:rFonts w:hint="eastAsia" w:ascii="仿宋" w:eastAsia="仿宋" w:cs="仿宋"/>
          <w:color w:val="auto"/>
          <w:lang w:eastAsia="zh-CN"/>
        </w:rPr>
        <w:t>）</w:t>
      </w:r>
      <w:r>
        <w:rPr>
          <w:rFonts w:hint="eastAsia" w:ascii="仿宋" w:eastAsia="仿宋" w:cs="仿宋"/>
          <w:color w:val="auto"/>
        </w:rPr>
        <w:t>……………………………（页码）</w:t>
      </w:r>
    </w:p>
    <w:p w14:paraId="747B4F46">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3AF98D04">
      <w:pPr>
        <w:spacing w:line="440" w:lineRule="exact"/>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highlight w:val="none"/>
          <w:lang w:val="en-US" w:eastAsia="zh-CN"/>
        </w:rPr>
        <w:t>一、</w:t>
      </w:r>
      <w:r>
        <w:rPr>
          <w:rFonts w:hint="eastAsia" w:ascii="仿宋" w:hAnsi="仿宋" w:eastAsia="仿宋" w:cs="仿宋"/>
          <w:b/>
          <w:color w:val="auto"/>
          <w:kern w:val="0"/>
          <w:sz w:val="32"/>
          <w:szCs w:val="32"/>
          <w:highlight w:val="none"/>
          <w:lang w:eastAsia="zh-CN"/>
        </w:rPr>
        <w:t>营业执照(或事业法人登记证书或其他工商等登记证明材料；自然人参与采购，提供身份证)扫描件</w:t>
      </w:r>
    </w:p>
    <w:p w14:paraId="3ABA2566">
      <w:pPr>
        <w:spacing w:line="440" w:lineRule="exact"/>
        <w:jc w:val="center"/>
        <w:rPr>
          <w:rFonts w:hint="eastAsia" w:ascii="仿宋" w:hAnsi="仿宋" w:eastAsia="仿宋" w:cs="仿宋"/>
          <w:b/>
          <w:color w:val="auto"/>
          <w:kern w:val="0"/>
          <w:sz w:val="32"/>
          <w:szCs w:val="32"/>
        </w:rPr>
      </w:pPr>
    </w:p>
    <w:p w14:paraId="7FCB14B0">
      <w:pPr>
        <w:spacing w:line="440" w:lineRule="exact"/>
        <w:jc w:val="center"/>
        <w:rPr>
          <w:rFonts w:hint="eastAsia" w:ascii="仿宋" w:hAnsi="仿宋" w:eastAsia="仿宋" w:cs="仿宋"/>
          <w:b/>
          <w:color w:val="auto"/>
          <w:kern w:val="0"/>
          <w:sz w:val="32"/>
          <w:szCs w:val="32"/>
        </w:rPr>
      </w:pPr>
    </w:p>
    <w:p w14:paraId="3418CDFD">
      <w:pPr>
        <w:spacing w:line="440" w:lineRule="exact"/>
        <w:jc w:val="center"/>
        <w:rPr>
          <w:rFonts w:hint="eastAsia" w:ascii="仿宋" w:hAnsi="仿宋" w:eastAsia="仿宋" w:cs="仿宋"/>
          <w:b/>
          <w:color w:val="auto"/>
          <w:kern w:val="0"/>
          <w:sz w:val="32"/>
          <w:szCs w:val="32"/>
        </w:rPr>
      </w:pPr>
    </w:p>
    <w:p w14:paraId="629920D6">
      <w:pPr>
        <w:spacing w:line="440" w:lineRule="exact"/>
        <w:jc w:val="center"/>
        <w:rPr>
          <w:rFonts w:hint="eastAsia" w:ascii="仿宋" w:hAnsi="仿宋" w:eastAsia="仿宋" w:cs="仿宋"/>
          <w:b/>
          <w:color w:val="auto"/>
          <w:kern w:val="0"/>
          <w:sz w:val="32"/>
          <w:szCs w:val="32"/>
        </w:rPr>
      </w:pPr>
    </w:p>
    <w:p w14:paraId="00A0E565">
      <w:pPr>
        <w:spacing w:line="440" w:lineRule="exact"/>
        <w:jc w:val="center"/>
        <w:rPr>
          <w:rFonts w:hint="eastAsia" w:ascii="仿宋" w:hAnsi="仿宋" w:eastAsia="仿宋" w:cs="仿宋"/>
          <w:b/>
          <w:color w:val="auto"/>
          <w:kern w:val="0"/>
          <w:sz w:val="32"/>
          <w:szCs w:val="32"/>
        </w:rPr>
      </w:pPr>
    </w:p>
    <w:p w14:paraId="3D5379D7">
      <w:pPr>
        <w:spacing w:line="440" w:lineRule="exact"/>
        <w:jc w:val="center"/>
        <w:rPr>
          <w:rFonts w:ascii="仿宋" w:hAnsi="仿宋" w:eastAsia="仿宋" w:cs="仿宋"/>
          <w:b/>
          <w:bCs/>
          <w:color w:val="auto"/>
          <w:sz w:val="32"/>
          <w:szCs w:val="32"/>
        </w:rPr>
      </w:pPr>
      <w:r>
        <w:rPr>
          <w:rFonts w:hint="eastAsia" w:ascii="仿宋" w:hAnsi="仿宋" w:eastAsia="仿宋" w:cs="仿宋"/>
          <w:b/>
          <w:color w:val="auto"/>
          <w:kern w:val="0"/>
          <w:sz w:val="32"/>
          <w:szCs w:val="32"/>
          <w:lang w:val="en-US" w:eastAsia="zh-CN"/>
        </w:rPr>
        <w:t>二</w:t>
      </w:r>
      <w:r>
        <w:rPr>
          <w:rFonts w:hint="eastAsia" w:ascii="仿宋" w:hAnsi="仿宋" w:eastAsia="仿宋" w:cs="仿宋"/>
          <w:b/>
          <w:color w:val="auto"/>
          <w:kern w:val="0"/>
          <w:sz w:val="32"/>
          <w:szCs w:val="32"/>
        </w:rPr>
        <w:t>、响应</w:t>
      </w:r>
      <w:r>
        <w:rPr>
          <w:rFonts w:hint="eastAsia" w:ascii="仿宋" w:hAnsi="仿宋" w:eastAsia="仿宋" w:cs="仿宋"/>
          <w:b/>
          <w:color w:val="auto"/>
          <w:sz w:val="32"/>
          <w:szCs w:val="32"/>
        </w:rPr>
        <w:t>函</w:t>
      </w:r>
    </w:p>
    <w:p w14:paraId="63676827">
      <w:pPr>
        <w:pStyle w:val="335"/>
        <w:spacing w:afterLines="0" w:line="440" w:lineRule="exact"/>
        <w:ind w:firstLine="0" w:firstLineChars="0"/>
        <w:rPr>
          <w:rFonts w:ascii="仿宋_GB2312" w:hAnsi="宋体" w:eastAsia="仿宋_GB2312"/>
          <w:color w:val="auto"/>
          <w:szCs w:val="24"/>
        </w:rPr>
      </w:pPr>
      <w:r>
        <w:rPr>
          <w:rFonts w:hint="eastAsia" w:ascii="仿宋_GB2312" w:hAnsi="宋体" w:eastAsia="仿宋_GB2312"/>
          <w:color w:val="auto"/>
          <w:szCs w:val="24"/>
        </w:rPr>
        <w:t>致：</w:t>
      </w:r>
      <w:r>
        <w:rPr>
          <w:rFonts w:hint="eastAsia" w:ascii="仿宋" w:hAnsi="仿宋" w:eastAsia="仿宋" w:cs="仿宋"/>
          <w:color w:val="auto"/>
          <w:sz w:val="24"/>
          <w:lang w:eastAsia="zh-CN"/>
        </w:rPr>
        <w:t>嵊州市广电信息网络有限公司</w:t>
      </w:r>
      <w:r>
        <w:rPr>
          <w:rFonts w:hint="eastAsia" w:ascii="仿宋" w:hAnsi="仿宋" w:eastAsia="仿宋" w:cs="仿宋"/>
          <w:color w:val="auto"/>
          <w:sz w:val="24"/>
        </w:rPr>
        <w:t>、</w:t>
      </w:r>
      <w:r>
        <w:rPr>
          <w:rFonts w:hint="eastAsia" w:ascii="仿宋" w:hAnsi="仿宋" w:eastAsia="仿宋" w:cs="仿宋"/>
          <w:color w:val="auto"/>
          <w:sz w:val="24"/>
          <w:lang w:val="en-US" w:eastAsia="zh-CN"/>
        </w:rPr>
        <w:t>绍兴平准招标代理有限公司</w:t>
      </w:r>
    </w:p>
    <w:p w14:paraId="4B66CEA8">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根据贵方磋商文件（</w:t>
      </w:r>
      <w:r>
        <w:rPr>
          <w:rFonts w:hint="eastAsia" w:ascii="仿宋_GB2312" w:hAnsi="宋体" w:eastAsia="仿宋_GB2312"/>
          <w:color w:val="auto"/>
          <w:szCs w:val="24"/>
          <w:lang w:eastAsia="zh-CN"/>
        </w:rPr>
        <w:t>SXPZ-H20241127CKY</w:t>
      </w:r>
      <w:r>
        <w:rPr>
          <w:rFonts w:hint="eastAsia" w:ascii="仿宋_GB2312" w:hAnsi="宋体" w:eastAsia="仿宋_GB2312"/>
          <w:color w:val="auto"/>
          <w:szCs w:val="24"/>
        </w:rPr>
        <w:t>）的要求，正式授权</w:t>
      </w:r>
      <w:r>
        <w:rPr>
          <w:rFonts w:hint="eastAsia" w:ascii="仿宋_GB2312" w:hAnsi="宋体" w:eastAsia="仿宋_GB2312"/>
          <w:b/>
          <w:color w:val="auto"/>
          <w:szCs w:val="24"/>
          <w:u w:val="single"/>
        </w:rPr>
        <w:t>（全权代表姓名、单位、职务）</w:t>
      </w:r>
      <w:r>
        <w:rPr>
          <w:rFonts w:hint="eastAsia" w:ascii="仿宋_GB2312" w:hAnsi="宋体" w:eastAsia="仿宋_GB2312"/>
          <w:color w:val="auto"/>
          <w:szCs w:val="24"/>
        </w:rPr>
        <w:t>代表供应商</w:t>
      </w:r>
      <w:r>
        <w:rPr>
          <w:rFonts w:hint="eastAsia" w:ascii="仿宋_GB2312" w:hAnsi="宋体" w:eastAsia="仿宋_GB2312"/>
          <w:color w:val="auto"/>
          <w:szCs w:val="24"/>
          <w:u w:val="single"/>
        </w:rPr>
        <w:t>（</w:t>
      </w:r>
      <w:r>
        <w:rPr>
          <w:rFonts w:hint="eastAsia" w:ascii="仿宋_GB2312" w:hAnsi="宋体" w:eastAsia="仿宋_GB2312"/>
          <w:b/>
          <w:color w:val="auto"/>
          <w:szCs w:val="24"/>
          <w:u w:val="single"/>
        </w:rPr>
        <w:t>填写单位</w:t>
      </w:r>
      <w:r>
        <w:rPr>
          <w:rFonts w:ascii="仿宋_GB2312" w:hAnsi="宋体" w:eastAsia="仿宋_GB2312"/>
          <w:b/>
          <w:color w:val="auto"/>
          <w:szCs w:val="24"/>
          <w:u w:val="single"/>
        </w:rPr>
        <w:t xml:space="preserve">    、地址   </w:t>
      </w:r>
      <w:r>
        <w:rPr>
          <w:rFonts w:hint="eastAsia" w:ascii="仿宋_GB2312" w:hAnsi="宋体" w:eastAsia="仿宋_GB2312"/>
          <w:color w:val="auto"/>
          <w:szCs w:val="24"/>
          <w:u w:val="single"/>
        </w:rPr>
        <w:t>）</w:t>
      </w:r>
      <w:r>
        <w:rPr>
          <w:rFonts w:hint="eastAsia" w:ascii="仿宋_GB2312" w:hAnsi="宋体" w:eastAsia="仿宋_GB2312"/>
          <w:color w:val="auto"/>
          <w:szCs w:val="24"/>
        </w:rPr>
        <w:t>提交磋商响应文件。</w:t>
      </w:r>
    </w:p>
    <w:p w14:paraId="06870950">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我方已完全明白磋商文件的所有条款要求，兹声明同意如下：</w:t>
      </w:r>
    </w:p>
    <w:p w14:paraId="133D0293">
      <w:pPr>
        <w:pStyle w:val="12"/>
        <w:tabs>
          <w:tab w:val="clear" w:pos="1697"/>
        </w:tabs>
        <w:spacing w:afterLines="0" w:line="440" w:lineRule="exact"/>
        <w:ind w:left="0" w:firstLine="480" w:firstLineChars="200"/>
        <w:rPr>
          <w:rFonts w:ascii="仿宋_GB2312" w:hAnsi="宋体" w:eastAsia="仿宋_GB2312"/>
          <w:color w:val="auto"/>
          <w:szCs w:val="24"/>
        </w:rPr>
      </w:pPr>
      <w:r>
        <w:rPr>
          <w:rFonts w:ascii="仿宋_GB2312" w:hAnsi="宋体" w:eastAsia="仿宋_GB2312"/>
          <w:color w:val="auto"/>
          <w:szCs w:val="24"/>
        </w:rPr>
        <w:t>1.</w:t>
      </w:r>
      <w:r>
        <w:rPr>
          <w:rFonts w:ascii="仿宋_GB2312" w:hAnsi="仿宋" w:eastAsia="仿宋_GB2312" w:cs="仿宋_GB2312"/>
          <w:color w:val="auto"/>
        </w:rPr>
        <w:t xml:space="preserve"> 我方同意在供应商</w:t>
      </w:r>
      <w:r>
        <w:rPr>
          <w:rFonts w:hint="eastAsia" w:ascii="仿宋_GB2312" w:hAnsi="仿宋" w:eastAsia="仿宋_GB2312" w:cs="仿宋_GB2312"/>
          <w:color w:val="auto"/>
          <w:kern w:val="44"/>
        </w:rPr>
        <w:t>须知</w:t>
      </w:r>
      <w:r>
        <w:rPr>
          <w:rFonts w:hint="eastAsia" w:ascii="仿宋_GB2312" w:hAnsi="仿宋" w:eastAsia="仿宋_GB2312" w:cs="仿宋_GB2312"/>
          <w:color w:val="auto"/>
        </w:rPr>
        <w:t>规定的响应日期起遵守本磋商响应文件中的承诺且在响应有效期满之前均具有约束力</w:t>
      </w:r>
      <w:r>
        <w:rPr>
          <w:rFonts w:hint="eastAsia" w:ascii="仿宋_GB2312" w:hAnsi="宋体" w:eastAsia="仿宋_GB2312"/>
          <w:color w:val="auto"/>
          <w:szCs w:val="24"/>
        </w:rPr>
        <w:t>。</w:t>
      </w:r>
    </w:p>
    <w:p w14:paraId="1A01A514">
      <w:pPr>
        <w:pStyle w:val="335"/>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2.我方承诺已经具备</w:t>
      </w:r>
      <w:r>
        <w:rPr>
          <w:rFonts w:hint="eastAsia" w:ascii="仿宋_GB2312" w:hAnsi="宋体" w:eastAsia="仿宋_GB2312"/>
          <w:color w:val="auto"/>
          <w:szCs w:val="24"/>
        </w:rPr>
        <w:t>《嵊州市市属国有企业货物和服务采购管理办法（试行）》第十七条规定的</w:t>
      </w:r>
      <w:r>
        <w:rPr>
          <w:rFonts w:ascii="仿宋_GB2312" w:hAnsi="宋体" w:eastAsia="仿宋_GB2312"/>
          <w:color w:val="auto"/>
          <w:szCs w:val="24"/>
        </w:rPr>
        <w:t>参加采购活动的供应商应当具备的条件。</w:t>
      </w:r>
    </w:p>
    <w:p w14:paraId="7A099037">
      <w:pPr>
        <w:pStyle w:val="335"/>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3.</w:t>
      </w:r>
      <w:r>
        <w:rPr>
          <w:rFonts w:hint="eastAsia" w:ascii="仿宋_GB2312" w:eastAsia="仿宋_GB2312"/>
          <w:color w:val="auto"/>
        </w:rPr>
        <w:t>本公司磋商响应文件中填列的技术参数、配置、服务、数量等相关内容都是真实、准确的。保证在本次项目中所提供的资料全部真实和合法。</w:t>
      </w:r>
      <w:r>
        <w:rPr>
          <w:rFonts w:hint="eastAsia" w:ascii="仿宋_GB2312" w:hAnsi="宋体" w:eastAsia="仿宋_GB2312"/>
          <w:color w:val="auto"/>
          <w:szCs w:val="24"/>
        </w:rPr>
        <w:t>同意向采购代理机构提供可能另外要求的与磋商有关的任何数据或资料；</w:t>
      </w:r>
    </w:p>
    <w:p w14:paraId="4A753218">
      <w:pPr>
        <w:pStyle w:val="335"/>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4.我方理解贵方将不受你们所收到的最低报价的约束。</w:t>
      </w:r>
    </w:p>
    <w:p w14:paraId="5AE24030">
      <w:pPr>
        <w:pStyle w:val="12"/>
        <w:tabs>
          <w:tab w:val="clear" w:pos="1697"/>
        </w:tabs>
        <w:spacing w:afterLines="0" w:line="440" w:lineRule="exact"/>
        <w:ind w:left="0" w:firstLine="480" w:firstLineChars="200"/>
        <w:rPr>
          <w:rFonts w:ascii="仿宋_GB2312" w:hAnsi="宋体" w:eastAsia="仿宋_GB2312"/>
          <w:color w:val="auto"/>
          <w:szCs w:val="24"/>
        </w:rPr>
      </w:pPr>
      <w:r>
        <w:rPr>
          <w:rFonts w:ascii="仿宋_GB2312" w:hAnsi="宋体" w:eastAsia="仿宋_GB2312"/>
          <w:color w:val="auto"/>
        </w:rPr>
        <w:t>5.</w:t>
      </w:r>
      <w:r>
        <w:rPr>
          <w:rFonts w:hint="eastAsia" w:ascii="仿宋_GB2312" w:hAnsi="仿宋" w:eastAsia="仿宋_GB2312" w:cs="仿宋_GB2312"/>
          <w:color w:val="auto"/>
        </w:rPr>
        <w:t>磋商有效期为从提交磋商响应文件的截止之日起</w:t>
      </w:r>
      <w:r>
        <w:rPr>
          <w:rFonts w:ascii="仿宋_GB2312" w:hAnsi="仿宋" w:eastAsia="仿宋_GB2312" w:cs="仿宋_GB2312"/>
          <w:color w:val="auto"/>
        </w:rPr>
        <w:t>90天。</w:t>
      </w:r>
    </w:p>
    <w:p w14:paraId="563CAAFD">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6.我方将严格遵守《中华人民共和国政府采购法》第七十七条规定，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3621D464">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a)提供虚假材料谋取中标、成交的；</w:t>
      </w:r>
    </w:p>
    <w:p w14:paraId="166293D1">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b)采取不正当手段诋毁、排挤其他供应商的；</w:t>
      </w:r>
    </w:p>
    <w:p w14:paraId="142FBFC4">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c)与采购人、其它供应商或者采购代理机构恶意串通的；</w:t>
      </w:r>
    </w:p>
    <w:p w14:paraId="0DBDEAEA">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d)向采购人、采购代理机构行贿或者提供其他不正当利益的；</w:t>
      </w:r>
    </w:p>
    <w:p w14:paraId="104B16FB">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e)在采购过程中与采购人进行协商谈判的；</w:t>
      </w:r>
    </w:p>
    <w:p w14:paraId="7C109420">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f)拒绝有关部门监督检查或提供虚假情况的。</w:t>
      </w:r>
    </w:p>
    <w:p w14:paraId="4C8461F0">
      <w:pPr>
        <w:snapToGrid w:val="0"/>
        <w:spacing w:line="44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供应商有前款第</w:t>
      </w:r>
      <w:r>
        <w:rPr>
          <w:rFonts w:ascii="仿宋_GB2312" w:hAnsi="仿宋_GB2312" w:eastAsia="仿宋_GB2312" w:cs="仿宋_GB2312"/>
          <w:color w:val="auto"/>
          <w:sz w:val="24"/>
        </w:rPr>
        <w:t>a)至e)项情形之一的，中标、成交无效。</w:t>
      </w:r>
    </w:p>
    <w:p w14:paraId="43686D4B">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地址：　　　　　　　　　　　　　　　邮政编码：</w:t>
      </w:r>
    </w:p>
    <w:p w14:paraId="2477AD2C">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电话：</w:t>
      </w:r>
      <w:r>
        <w:rPr>
          <w:rFonts w:hint="eastAsia" w:ascii="仿宋_GB2312" w:hAnsi="宋体" w:eastAsia="仿宋_GB2312"/>
          <w:color w:val="auto"/>
          <w:szCs w:val="24"/>
          <w:lang w:val="en-US" w:eastAsia="zh-CN"/>
        </w:rPr>
        <w:t xml:space="preserve">                              </w:t>
      </w:r>
      <w:r>
        <w:rPr>
          <w:rFonts w:hint="eastAsia" w:ascii="仿宋_GB2312" w:hAnsi="宋体" w:eastAsia="仿宋_GB2312"/>
          <w:color w:val="auto"/>
          <w:szCs w:val="24"/>
        </w:rPr>
        <w:t>传真：</w:t>
      </w:r>
    </w:p>
    <w:p w14:paraId="29889911">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开户银行：</w:t>
      </w:r>
      <w:r>
        <w:rPr>
          <w:rFonts w:hint="eastAsia" w:ascii="仿宋_GB2312" w:hAnsi="宋体" w:eastAsia="仿宋_GB2312"/>
          <w:color w:val="auto"/>
          <w:szCs w:val="24"/>
          <w:lang w:val="en-US" w:eastAsia="zh-CN"/>
        </w:rPr>
        <w:t xml:space="preserve">                          </w:t>
      </w:r>
      <w:r>
        <w:rPr>
          <w:rFonts w:hint="eastAsia" w:ascii="仿宋_GB2312" w:hAnsi="宋体" w:eastAsia="仿宋_GB2312"/>
          <w:color w:val="auto"/>
          <w:szCs w:val="24"/>
        </w:rPr>
        <w:t>账号：</w:t>
      </w:r>
    </w:p>
    <w:p w14:paraId="6462E253">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法定代表人或其授权代表</w:t>
      </w:r>
      <w:r>
        <w:rPr>
          <w:rFonts w:hint="eastAsia" w:ascii="仿宋" w:hAnsi="仿宋" w:eastAsia="仿宋" w:cs="仿宋"/>
          <w:color w:val="auto"/>
        </w:rPr>
        <w:t>（签</w:t>
      </w:r>
      <w:r>
        <w:rPr>
          <w:rFonts w:hint="eastAsia" w:ascii="仿宋" w:hAnsi="仿宋" w:eastAsia="仿宋" w:cs="仿宋"/>
          <w:color w:val="auto"/>
          <w:lang w:eastAsia="zh-CN"/>
        </w:rPr>
        <w:t>名</w:t>
      </w:r>
      <w:r>
        <w:rPr>
          <w:rFonts w:hint="eastAsia" w:ascii="仿宋" w:hAnsi="仿宋" w:eastAsia="仿宋" w:cs="仿宋"/>
          <w:color w:val="auto"/>
        </w:rPr>
        <w:t>或盖章）</w:t>
      </w:r>
      <w:r>
        <w:rPr>
          <w:rFonts w:hint="eastAsia" w:ascii="仿宋_GB2312" w:hAnsi="宋体" w:eastAsia="仿宋_GB2312"/>
          <w:color w:val="auto"/>
          <w:szCs w:val="24"/>
        </w:rPr>
        <w:t>：</w:t>
      </w:r>
    </w:p>
    <w:p w14:paraId="5E1C08E3">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供应商名称（电子签名）：</w:t>
      </w:r>
    </w:p>
    <w:p w14:paraId="7CFB78F2">
      <w:pPr>
        <w:spacing w:line="440" w:lineRule="exact"/>
        <w:ind w:firstLine="480" w:firstLineChars="200"/>
        <w:rPr>
          <w:rFonts w:hint="eastAsia" w:ascii="仿宋" w:hAnsi="仿宋" w:eastAsia="仿宋" w:cs="仿宋"/>
          <w:color w:val="auto"/>
          <w:sz w:val="24"/>
          <w:szCs w:val="32"/>
        </w:rPr>
      </w:pPr>
      <w:r>
        <w:rPr>
          <w:rFonts w:hint="eastAsia" w:ascii="仿宋" w:hAnsi="仿宋" w:eastAsia="仿宋" w:cs="仿宋"/>
          <w:color w:val="auto"/>
          <w:sz w:val="24"/>
          <w:szCs w:val="32"/>
        </w:rPr>
        <w:t>日期：</w:t>
      </w:r>
    </w:p>
    <w:p w14:paraId="333F5145">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p>
    <w:p w14:paraId="6CD28709">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p>
    <w:p w14:paraId="6C95D8F6">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highlight w:val="none"/>
          <w:lang w:val="en-US" w:eastAsia="zh-CN"/>
        </w:rPr>
      </w:pPr>
    </w:p>
    <w:p w14:paraId="3D757591">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三、法定代表人身份证明书</w:t>
      </w:r>
    </w:p>
    <w:p w14:paraId="27796A01">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1404DBE4">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0BA3E399">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755E73EE">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0271E832">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1A41BC1F">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（填写供应商</w:t>
      </w:r>
      <w:r>
        <w:rPr>
          <w:rFonts w:hint="eastAsia" w:ascii="仿宋" w:hAnsi="仿宋" w:eastAsia="仿宋" w:cs="仿宋"/>
          <w:color w:val="auto"/>
          <w:sz w:val="24"/>
          <w:highlight w:val="none"/>
          <w:u w:val="single"/>
          <w:lang w:eastAsia="zh-CN"/>
        </w:rPr>
        <w:t>名称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的法定代表人。</w:t>
      </w:r>
    </w:p>
    <w:p w14:paraId="671C6174">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6CF105E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p>
    <w:p w14:paraId="2EFEB4F3">
      <w:pPr>
        <w:keepNext w:val="0"/>
        <w:keepLines w:val="0"/>
        <w:pageBreakBefore w:val="0"/>
        <w:widowControl w:val="0"/>
        <w:kinsoku/>
        <w:wordWrap/>
        <w:overflowPunct/>
        <w:topLinePunct w:val="0"/>
        <w:autoSpaceDE/>
        <w:autoSpaceDN/>
        <w:bidi w:val="0"/>
        <w:adjustRightInd w:val="0"/>
        <w:spacing w:line="360" w:lineRule="auto"/>
        <w:ind w:firstLine="723" w:firstLineChars="300"/>
        <w:jc w:val="both"/>
        <w:textAlignment w:val="auto"/>
        <w:rPr>
          <w:rFonts w:hint="eastAsia" w:ascii="仿宋" w:hAnsi="仿宋" w:eastAsia="仿宋" w:cs="仿宋"/>
          <w:color w:val="auto"/>
          <w:sz w:val="24"/>
          <w:lang w:val="en-US" w:eastAsia="zh-CN"/>
        </w:rPr>
      </w:pPr>
      <w:r>
        <w:rPr>
          <w:rFonts w:hint="eastAsia" w:ascii="仿宋" w:hAnsi="仿宋" w:eastAsia="仿宋" w:cs="仿宋"/>
          <w:b/>
          <w:bCs/>
          <w:color w:val="auto"/>
          <w:sz w:val="24"/>
          <w:lang w:val="en-US" w:eastAsia="zh-CN"/>
        </w:rPr>
        <w:t>附：法人身份证复印件（正反面）</w:t>
      </w:r>
    </w:p>
    <w:p w14:paraId="3D20396B">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42176614">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50D4B6DA">
      <w:pPr>
        <w:keepNext w:val="0"/>
        <w:keepLines w:val="0"/>
        <w:pageBreakBefore w:val="0"/>
        <w:widowControl w:val="0"/>
        <w:kinsoku/>
        <w:wordWrap/>
        <w:overflowPunct/>
        <w:topLinePunct w:val="0"/>
        <w:autoSpaceDE/>
        <w:autoSpaceDN/>
        <w:bidi w:val="0"/>
        <w:adjustRightInd w:val="0"/>
        <w:spacing w:line="360" w:lineRule="auto"/>
        <w:jc w:val="both"/>
        <w:textAlignment w:val="auto"/>
        <w:rPr>
          <w:rFonts w:hint="eastAsia" w:ascii="仿宋" w:hAnsi="仿宋" w:eastAsia="仿宋" w:cs="仿宋"/>
          <w:color w:val="auto"/>
          <w:sz w:val="24"/>
        </w:rPr>
      </w:pPr>
    </w:p>
    <w:p w14:paraId="11D9A3B4">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rPr>
        <w:t>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373324D3">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法定代表人（签名或盖章）：        </w:t>
      </w:r>
    </w:p>
    <w:p w14:paraId="76506CFD">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highlight w:val="none"/>
        </w:rPr>
        <w:t>年   月   日</w:t>
      </w:r>
    </w:p>
    <w:p w14:paraId="58E7F09C">
      <w:pPr>
        <w:jc w:val="center"/>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四、法定代表人授权委托书及授权代表社保证明（若委托）</w:t>
      </w:r>
    </w:p>
    <w:p w14:paraId="1EFA93B0">
      <w:pPr>
        <w:keepNext w:val="0"/>
        <w:keepLines w:val="0"/>
        <w:pageBreakBefore w:val="0"/>
        <w:widowControl w:val="0"/>
        <w:kinsoku/>
        <w:wordWrap/>
        <w:overflowPunct/>
        <w:topLinePunct w:val="0"/>
        <w:autoSpaceDE/>
        <w:autoSpaceDN/>
        <w:bidi w:val="0"/>
        <w:adjustRightInd w:val="0"/>
        <w:snapToGrid w:val="0"/>
        <w:spacing w:before="313" w:beforeLines="100" w:line="5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（填写姓名）</w:t>
      </w:r>
      <w:r>
        <w:rPr>
          <w:rFonts w:hint="eastAsia" w:ascii="仿宋" w:hAnsi="仿宋" w:eastAsia="仿宋" w:cs="仿宋"/>
          <w:color w:val="auto"/>
          <w:sz w:val="24"/>
        </w:rPr>
        <w:t>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2496C7D6">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735A6118">
      <w:pPr>
        <w:keepNext w:val="0"/>
        <w:keepLines w:val="0"/>
        <w:pageBreakBefore w:val="0"/>
        <w:widowControl w:val="0"/>
        <w:kinsoku/>
        <w:wordWrap/>
        <w:overflowPunct/>
        <w:topLinePunct w:val="0"/>
        <w:autoSpaceDE/>
        <w:autoSpaceDN/>
        <w:bidi w:val="0"/>
        <w:adjustRightInd w:val="0"/>
        <w:spacing w:line="5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2CA3767C">
      <w:pPr>
        <w:snapToGrid w:val="0"/>
        <w:spacing w:line="600" w:lineRule="exact"/>
        <w:jc w:val="left"/>
        <w:rPr>
          <w:rFonts w:hint="eastAsia" w:ascii="仿宋" w:hAnsi="仿宋" w:eastAsia="仿宋" w:cs="仿宋"/>
          <w:color w:val="auto"/>
          <w:sz w:val="24"/>
        </w:rPr>
      </w:pPr>
    </w:p>
    <w:p w14:paraId="6EAD7F97">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rPr>
        <w:t xml:space="preserve">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48F8A0CD">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63BF2B0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1257750C">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rPr>
        <w:t>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2936128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rPr>
        <w:t>或盖章）：</w:t>
      </w:r>
    </w:p>
    <w:p w14:paraId="3DDFC73E">
      <w:pPr>
        <w:spacing w:line="360" w:lineRule="exact"/>
        <w:rPr>
          <w:rFonts w:hint="eastAsia" w:ascii="仿宋" w:hAnsi="仿宋" w:eastAsia="仿宋" w:cs="仿宋"/>
          <w:color w:val="auto"/>
          <w:sz w:val="24"/>
          <w:highlight w:val="none"/>
        </w:rPr>
      </w:pPr>
    </w:p>
    <w:p w14:paraId="22C32BCB">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40505B8A">
      <w:pPr>
        <w:snapToGrid w:val="0"/>
        <w:spacing w:line="360" w:lineRule="auto"/>
        <w:ind w:right="480"/>
        <w:jc w:val="both"/>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color w:val="auto"/>
          <w:sz w:val="24"/>
          <w:szCs w:val="24"/>
          <w:highlight w:val="none"/>
        </w:rPr>
        <w:t>附：授权人身份证复印件</w:t>
      </w:r>
      <w:r>
        <w:rPr>
          <w:rFonts w:hint="eastAsia" w:ascii="仿宋" w:hAnsi="仿宋" w:eastAsia="仿宋" w:cs="仿宋"/>
          <w:b/>
          <w:bCs/>
          <w:color w:val="auto"/>
          <w:sz w:val="24"/>
          <w:lang w:val="en-US" w:eastAsia="zh-CN"/>
        </w:rPr>
        <w:t>（正反面）</w:t>
      </w:r>
    </w:p>
    <w:p w14:paraId="35BBEA8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5996E08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0D32DAC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631C757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408A49FD">
      <w:pPr>
        <w:pStyle w:val="74"/>
        <w:keepNext w:val="0"/>
        <w:keepLines w:val="0"/>
        <w:pageBreakBefore w:val="0"/>
        <w:widowControl/>
        <w:kinsoku/>
        <w:wordWrap w:val="0"/>
        <w:overflowPunct/>
        <w:topLinePunct w:val="0"/>
        <w:autoSpaceDE/>
        <w:autoSpaceDN/>
        <w:bidi w:val="0"/>
        <w:adjustRightInd/>
        <w:snapToGrid/>
        <w:spacing w:line="360" w:lineRule="auto"/>
        <w:ind w:left="0"/>
        <w:textAlignment w:val="auto"/>
        <w:rPr>
          <w:rFonts w:ascii="仿宋" w:hAnsi="仿宋" w:eastAsia="仿宋" w:cs="仿宋"/>
          <w:b/>
          <w:color w:val="auto"/>
          <w:sz w:val="24"/>
        </w:rPr>
      </w:pPr>
      <w:r>
        <w:rPr>
          <w:rFonts w:hint="eastAsia" w:ascii="仿宋" w:hAnsi="仿宋" w:eastAsia="仿宋" w:cs="仿宋"/>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33E302E5">
      <w:pPr>
        <w:jc w:val="center"/>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val="0"/>
          <w:color w:val="auto"/>
          <w:kern w:val="0"/>
          <w:sz w:val="32"/>
          <w:szCs w:val="32"/>
          <w:highlight w:val="none"/>
          <w:lang w:val="en-US" w:eastAsia="zh-CN"/>
        </w:rPr>
        <w:t>五、评分索引表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127"/>
        <w:gridCol w:w="992"/>
        <w:gridCol w:w="1276"/>
        <w:gridCol w:w="1134"/>
      </w:tblGrid>
      <w:tr w14:paraId="55C3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384" w:type="dxa"/>
            <w:noWrap w:val="0"/>
            <w:vAlign w:val="center"/>
          </w:tcPr>
          <w:p w14:paraId="5395EF6A">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59" w:type="dxa"/>
            <w:noWrap w:val="0"/>
            <w:vAlign w:val="center"/>
          </w:tcPr>
          <w:p w14:paraId="511BBD1B">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2127" w:type="dxa"/>
            <w:noWrap w:val="0"/>
            <w:vAlign w:val="center"/>
          </w:tcPr>
          <w:p w14:paraId="4DBF2EDE">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评分细则及要求</w:t>
            </w:r>
          </w:p>
        </w:tc>
        <w:tc>
          <w:tcPr>
            <w:tcW w:w="992" w:type="dxa"/>
            <w:noWrap w:val="0"/>
            <w:vAlign w:val="center"/>
          </w:tcPr>
          <w:p w14:paraId="07CB50EA">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1276" w:type="dxa"/>
            <w:noWrap w:val="0"/>
            <w:vAlign w:val="center"/>
          </w:tcPr>
          <w:p w14:paraId="08F346A0">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对应页码</w:t>
            </w:r>
          </w:p>
        </w:tc>
        <w:tc>
          <w:tcPr>
            <w:tcW w:w="1134" w:type="dxa"/>
            <w:noWrap w:val="0"/>
            <w:vAlign w:val="center"/>
          </w:tcPr>
          <w:p w14:paraId="33545E30">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自评分</w:t>
            </w:r>
          </w:p>
        </w:tc>
      </w:tr>
      <w:tr w14:paraId="7DD7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50868562">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4195BBC8">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3870ABAD">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6E94BB0D">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48839E80">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2FB3CDD7">
            <w:pPr>
              <w:adjustRightInd/>
              <w:spacing w:line="380" w:lineRule="exact"/>
              <w:jc w:val="center"/>
              <w:outlineLvl w:val="9"/>
              <w:rPr>
                <w:rFonts w:hint="eastAsia" w:ascii="仿宋" w:hAnsi="仿宋" w:eastAsia="仿宋" w:cs="仿宋"/>
                <w:color w:val="auto"/>
                <w:sz w:val="24"/>
                <w:szCs w:val="24"/>
                <w:highlight w:val="none"/>
              </w:rPr>
            </w:pPr>
          </w:p>
        </w:tc>
      </w:tr>
      <w:tr w14:paraId="36E3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7F66E57C">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7EED1CBD">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597026B3">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4FFA8752">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5FC4EAEC">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4E0DC585">
            <w:pPr>
              <w:adjustRightInd/>
              <w:spacing w:line="380" w:lineRule="exact"/>
              <w:jc w:val="center"/>
              <w:outlineLvl w:val="9"/>
              <w:rPr>
                <w:rFonts w:hint="eastAsia" w:ascii="仿宋" w:hAnsi="仿宋" w:eastAsia="仿宋" w:cs="仿宋"/>
                <w:color w:val="auto"/>
                <w:sz w:val="24"/>
                <w:szCs w:val="24"/>
                <w:highlight w:val="none"/>
              </w:rPr>
            </w:pPr>
          </w:p>
        </w:tc>
      </w:tr>
      <w:tr w14:paraId="7C2D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23C22A93">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7E4FC54E">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72102616">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12AC0AB2">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0912296B">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61310AF6">
            <w:pPr>
              <w:adjustRightInd/>
              <w:spacing w:line="380" w:lineRule="exact"/>
              <w:jc w:val="center"/>
              <w:outlineLvl w:val="9"/>
              <w:rPr>
                <w:rFonts w:hint="eastAsia" w:ascii="仿宋" w:hAnsi="仿宋" w:eastAsia="仿宋" w:cs="仿宋"/>
                <w:color w:val="auto"/>
                <w:sz w:val="24"/>
                <w:szCs w:val="24"/>
                <w:highlight w:val="none"/>
              </w:rPr>
            </w:pPr>
          </w:p>
        </w:tc>
      </w:tr>
      <w:tr w14:paraId="391D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1DD919AB">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6F136027">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789B1D01">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35E90E77">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0BF83EA7">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768771B0">
            <w:pPr>
              <w:adjustRightInd/>
              <w:spacing w:line="380" w:lineRule="exact"/>
              <w:jc w:val="center"/>
              <w:outlineLvl w:val="9"/>
              <w:rPr>
                <w:rFonts w:hint="eastAsia" w:ascii="仿宋" w:hAnsi="仿宋" w:eastAsia="仿宋" w:cs="仿宋"/>
                <w:color w:val="auto"/>
                <w:sz w:val="24"/>
                <w:szCs w:val="24"/>
                <w:highlight w:val="none"/>
              </w:rPr>
            </w:pPr>
          </w:p>
        </w:tc>
      </w:tr>
      <w:tr w14:paraId="48C2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42E60215">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440F4E16">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52DA6C97">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1B2545F1">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1FB3E691">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1ABE07F6">
            <w:pPr>
              <w:adjustRightInd/>
              <w:spacing w:line="380" w:lineRule="exact"/>
              <w:jc w:val="center"/>
              <w:outlineLvl w:val="9"/>
              <w:rPr>
                <w:rFonts w:hint="eastAsia" w:ascii="仿宋" w:hAnsi="仿宋" w:eastAsia="仿宋" w:cs="仿宋"/>
                <w:color w:val="auto"/>
                <w:sz w:val="24"/>
                <w:szCs w:val="24"/>
                <w:highlight w:val="none"/>
              </w:rPr>
            </w:pPr>
          </w:p>
        </w:tc>
      </w:tr>
    </w:tbl>
    <w:p w14:paraId="774047BF">
      <w:pPr>
        <w:ind w:firstLine="240" w:firstLineChars="100"/>
        <w:rPr>
          <w:color w:val="auto"/>
        </w:rPr>
      </w:pPr>
      <w:r>
        <w:rPr>
          <w:rFonts w:hint="eastAsia" w:ascii="仿宋" w:hAnsi="仿宋" w:eastAsia="仿宋" w:cs="仿宋"/>
          <w:b w:val="0"/>
          <w:bCs/>
          <w:color w:val="auto"/>
          <w:kern w:val="0"/>
          <w:sz w:val="24"/>
          <w:szCs w:val="24"/>
          <w:lang w:val="en-US" w:eastAsia="zh-CN"/>
        </w:rPr>
        <w:t>对应第四部分评审方法及评审标准（报价除外）</w:t>
      </w:r>
    </w:p>
    <w:p w14:paraId="5D96B57C">
      <w:pPr>
        <w:spacing w:line="336" w:lineRule="auto"/>
        <w:jc w:val="center"/>
        <w:rPr>
          <w:rFonts w:hint="eastAsia" w:ascii="仿宋" w:hAnsi="仿宋" w:eastAsia="仿宋" w:cs="仿宋"/>
          <w:b/>
          <w:color w:val="auto"/>
          <w:sz w:val="30"/>
          <w:szCs w:val="30"/>
        </w:rPr>
      </w:pPr>
    </w:p>
    <w:p w14:paraId="656E2439">
      <w:pPr>
        <w:spacing w:line="336" w:lineRule="auto"/>
        <w:jc w:val="center"/>
        <w:rPr>
          <w:rFonts w:hint="eastAsia" w:ascii="仿宋" w:hAnsi="仿宋" w:eastAsia="仿宋" w:cs="仿宋"/>
          <w:b/>
          <w:color w:val="auto"/>
          <w:sz w:val="30"/>
          <w:szCs w:val="30"/>
        </w:rPr>
      </w:pPr>
    </w:p>
    <w:p w14:paraId="07A9D02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br w:type="page"/>
      </w: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采购供应商廉洁自律承诺书</w:t>
      </w:r>
    </w:p>
    <w:p w14:paraId="6D92BBB5">
      <w:pPr>
        <w:snapToGrid w:val="0"/>
        <w:spacing w:line="360" w:lineRule="auto"/>
        <w:rPr>
          <w:rFonts w:hint="eastAsia" w:ascii="仿宋" w:hAnsi="仿宋" w:eastAsia="仿宋" w:cs="仿宋"/>
          <w:color w:val="auto"/>
          <w:sz w:val="24"/>
          <w:highlight w:val="none"/>
        </w:rPr>
      </w:pPr>
    </w:p>
    <w:p w14:paraId="2291887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嵊州市广电信息网络有限公司、绍兴平准招标代理有限公司：</w:t>
      </w:r>
    </w:p>
    <w:p w14:paraId="769B63F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我单位响应你单位项目磋商要求参加磋商。在这次磋商过程中和中标后，我们将严格遵守国家法律法规要求，并郑重承诺：</w:t>
      </w:r>
    </w:p>
    <w:p w14:paraId="545CE2F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14:paraId="64F53F0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14:paraId="253D6F9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14:paraId="1192831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E3A6FB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54A66F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C76320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六、严格遵守《嵊州市市属国有企业货物和服务采购管理办法（试行）》、《中华人民共和国招标投标法》、《中华人民共和国民法典》等法律法规，诚实守信，合法经营，坚决抵制各种违法违纪行为。 </w:t>
      </w:r>
    </w:p>
    <w:p w14:paraId="790ECE1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有权立即取消我单位磋商、中标或在建项目的建设资格，有权拒绝我单位在一定时期内进入你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r>
        <w:rPr>
          <w:rFonts w:hint="eastAsia" w:ascii="仿宋" w:hAnsi="仿宋" w:eastAsia="仿宋" w:cs="仿宋"/>
          <w:color w:val="auto"/>
          <w:kern w:val="0"/>
          <w:sz w:val="24"/>
          <w:highlight w:val="none"/>
          <w:lang w:val="zh-CN"/>
        </w:rPr>
        <w:t>。</w:t>
      </w:r>
    </w:p>
    <w:p w14:paraId="694A021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3B043E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C91F49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604D074">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630FDCE">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74B8992">
      <w:pPr>
        <w:spacing w:line="360" w:lineRule="auto"/>
        <w:jc w:val="center"/>
        <w:rPr>
          <w:rFonts w:hint="eastAsia" w:ascii="仿宋" w:hAnsi="仿宋" w:eastAsia="仿宋" w:cs="仿宋"/>
          <w:b/>
          <w:bCs/>
          <w:color w:val="auto"/>
          <w:sz w:val="24"/>
          <w:highlight w:val="none"/>
        </w:rPr>
      </w:pPr>
    </w:p>
    <w:p w14:paraId="4BCD16E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F84F60F">
      <w:pPr>
        <w:spacing w:line="360" w:lineRule="auto"/>
        <w:jc w:val="center"/>
        <w:rPr>
          <w:rFonts w:hint="eastAsia" w:ascii="仿宋" w:hAnsi="仿宋" w:eastAsia="仿宋" w:cs="仿宋"/>
          <w:b/>
          <w:bCs/>
          <w:color w:val="auto"/>
          <w:sz w:val="24"/>
          <w:highlight w:val="none"/>
        </w:rPr>
      </w:pPr>
    </w:p>
    <w:p w14:paraId="7E9B18E2">
      <w:pPr>
        <w:rPr>
          <w:rFonts w:hint="eastAsia" w:ascii="仿宋" w:hAnsi="仿宋" w:eastAsia="仿宋" w:cs="仿宋"/>
          <w:b/>
          <w:color w:val="auto"/>
          <w:kern w:val="0"/>
          <w:sz w:val="32"/>
          <w:szCs w:val="32"/>
          <w:highlight w:val="none"/>
          <w:lang w:val="en-US" w:eastAsia="zh-CN"/>
        </w:rPr>
      </w:pPr>
    </w:p>
    <w:p w14:paraId="13B2638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6922340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资信及商务响应表</w:t>
      </w:r>
    </w:p>
    <w:p w14:paraId="46499EB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_GB2312" w:hAnsi="仿宋_GB2312" w:eastAsia="仿宋_GB2312" w:cs="仿宋_GB2312"/>
          <w:color w:val="auto"/>
          <w:sz w:val="24"/>
          <w:highlight w:val="none"/>
        </w:rPr>
        <w:t>（由</w:t>
      </w:r>
      <w:r>
        <w:rPr>
          <w:rFonts w:hint="eastAsia" w:ascii="仿宋_GB2312" w:hAnsi="仿宋_GB2312" w:eastAsia="仿宋_GB2312" w:cs="仿宋_GB2312"/>
          <w:color w:val="auto"/>
          <w:sz w:val="24"/>
          <w:highlight w:val="none"/>
          <w:lang w:val="en-US" w:eastAsia="zh-CN"/>
        </w:rPr>
        <w:t>供应商</w:t>
      </w:r>
      <w:r>
        <w:rPr>
          <w:rFonts w:hint="eastAsia" w:ascii="仿宋_GB2312" w:hAnsi="仿宋_GB2312" w:eastAsia="仿宋_GB2312" w:cs="仿宋_GB2312"/>
          <w:color w:val="auto"/>
          <w:sz w:val="24"/>
          <w:highlight w:val="none"/>
        </w:rPr>
        <w:t>根据采购需求及</w:t>
      </w:r>
      <w:r>
        <w:rPr>
          <w:rFonts w:hint="eastAsia" w:ascii="仿宋_GB2312" w:hAnsi="仿宋_GB2312" w:eastAsia="仿宋_GB2312" w:cs="仿宋_GB2312"/>
          <w:color w:val="auto"/>
          <w:sz w:val="24"/>
          <w:highlight w:val="none"/>
          <w:lang w:val="en-US" w:eastAsia="zh-CN"/>
        </w:rPr>
        <w:t>磋商</w:t>
      </w:r>
      <w:r>
        <w:rPr>
          <w:rFonts w:hint="eastAsia" w:ascii="仿宋_GB2312" w:hAnsi="仿宋_GB2312" w:eastAsia="仿宋_GB2312" w:cs="仿宋_GB2312"/>
          <w:color w:val="auto"/>
          <w:sz w:val="24"/>
          <w:highlight w:val="none"/>
        </w:rPr>
        <w:t>文件要求编制）</w:t>
      </w:r>
    </w:p>
    <w:tbl>
      <w:tblPr>
        <w:tblStyle w:val="62"/>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71"/>
        <w:gridCol w:w="2481"/>
        <w:gridCol w:w="2835"/>
        <w:gridCol w:w="1260"/>
      </w:tblGrid>
      <w:tr w14:paraId="4732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5BEB5AE">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71" w:type="dxa"/>
            <w:vAlign w:val="center"/>
          </w:tcPr>
          <w:p w14:paraId="4FD2B30C">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481" w:type="dxa"/>
            <w:vAlign w:val="center"/>
          </w:tcPr>
          <w:p w14:paraId="43F51B23">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要求</w:t>
            </w:r>
          </w:p>
        </w:tc>
        <w:tc>
          <w:tcPr>
            <w:tcW w:w="2835" w:type="dxa"/>
            <w:vAlign w:val="center"/>
          </w:tcPr>
          <w:p w14:paraId="4B2584AB">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响应</w:t>
            </w:r>
          </w:p>
        </w:tc>
        <w:tc>
          <w:tcPr>
            <w:tcW w:w="1260" w:type="dxa"/>
            <w:vAlign w:val="center"/>
          </w:tcPr>
          <w:p w14:paraId="4C6895BF">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3408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273A4DA">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71" w:type="dxa"/>
            <w:vAlign w:val="center"/>
          </w:tcPr>
          <w:p w14:paraId="54FA0B5B">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磋商有效期</w:t>
            </w:r>
          </w:p>
        </w:tc>
        <w:tc>
          <w:tcPr>
            <w:tcW w:w="2481" w:type="dxa"/>
            <w:vAlign w:val="center"/>
          </w:tcPr>
          <w:p w14:paraId="50A006E7">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465BC558">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7949F969">
            <w:pPr>
              <w:adjustRightInd/>
              <w:spacing w:line="380" w:lineRule="exact"/>
              <w:jc w:val="center"/>
              <w:outlineLvl w:val="9"/>
              <w:rPr>
                <w:rFonts w:hint="eastAsia" w:ascii="仿宋" w:hAnsi="仿宋" w:eastAsia="仿宋" w:cs="仿宋"/>
                <w:color w:val="auto"/>
                <w:sz w:val="24"/>
                <w:szCs w:val="24"/>
                <w:highlight w:val="none"/>
              </w:rPr>
            </w:pPr>
          </w:p>
        </w:tc>
      </w:tr>
      <w:tr w14:paraId="671E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64B6F38">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71" w:type="dxa"/>
            <w:vAlign w:val="center"/>
          </w:tcPr>
          <w:p w14:paraId="22AD47FF">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供货要求</w:t>
            </w:r>
          </w:p>
        </w:tc>
        <w:tc>
          <w:tcPr>
            <w:tcW w:w="2481" w:type="dxa"/>
            <w:vAlign w:val="center"/>
          </w:tcPr>
          <w:p w14:paraId="64995325">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05A6A9C0">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4A1EBAAB">
            <w:pPr>
              <w:adjustRightInd/>
              <w:spacing w:line="380" w:lineRule="exact"/>
              <w:jc w:val="center"/>
              <w:outlineLvl w:val="9"/>
              <w:rPr>
                <w:rFonts w:hint="eastAsia" w:ascii="仿宋" w:hAnsi="仿宋" w:eastAsia="仿宋" w:cs="仿宋"/>
                <w:color w:val="auto"/>
                <w:sz w:val="24"/>
                <w:szCs w:val="24"/>
                <w:highlight w:val="none"/>
              </w:rPr>
            </w:pPr>
          </w:p>
        </w:tc>
      </w:tr>
      <w:tr w14:paraId="6C0E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61F296B">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71" w:type="dxa"/>
            <w:vAlign w:val="center"/>
          </w:tcPr>
          <w:p w14:paraId="681CCA10">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验收</w:t>
            </w:r>
          </w:p>
        </w:tc>
        <w:tc>
          <w:tcPr>
            <w:tcW w:w="2481" w:type="dxa"/>
            <w:vAlign w:val="center"/>
          </w:tcPr>
          <w:p w14:paraId="7DFD74C0">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1A3AC0D4">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6D3850E6">
            <w:pPr>
              <w:adjustRightInd/>
              <w:spacing w:line="380" w:lineRule="exact"/>
              <w:jc w:val="center"/>
              <w:outlineLvl w:val="9"/>
              <w:rPr>
                <w:rFonts w:hint="eastAsia" w:ascii="仿宋" w:hAnsi="仿宋" w:eastAsia="仿宋" w:cs="仿宋"/>
                <w:color w:val="auto"/>
                <w:sz w:val="24"/>
                <w:szCs w:val="24"/>
                <w:highlight w:val="none"/>
              </w:rPr>
            </w:pPr>
          </w:p>
        </w:tc>
      </w:tr>
      <w:tr w14:paraId="7F6C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68047D4">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71" w:type="dxa"/>
            <w:vAlign w:val="center"/>
          </w:tcPr>
          <w:p w14:paraId="4747F1BF">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质保期</w:t>
            </w:r>
          </w:p>
        </w:tc>
        <w:tc>
          <w:tcPr>
            <w:tcW w:w="2481" w:type="dxa"/>
            <w:vAlign w:val="center"/>
          </w:tcPr>
          <w:p w14:paraId="71719E56">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55C3ACC4">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15C58006">
            <w:pPr>
              <w:adjustRightInd/>
              <w:spacing w:line="380" w:lineRule="exact"/>
              <w:jc w:val="center"/>
              <w:outlineLvl w:val="9"/>
              <w:rPr>
                <w:rFonts w:hint="eastAsia" w:ascii="仿宋" w:hAnsi="仿宋" w:eastAsia="仿宋" w:cs="仿宋"/>
                <w:color w:val="auto"/>
                <w:sz w:val="24"/>
                <w:szCs w:val="24"/>
                <w:highlight w:val="none"/>
              </w:rPr>
            </w:pPr>
          </w:p>
        </w:tc>
      </w:tr>
      <w:tr w14:paraId="7312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7C31E19">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71" w:type="dxa"/>
            <w:vAlign w:val="center"/>
          </w:tcPr>
          <w:p w14:paraId="5F414CBE">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付款方式</w:t>
            </w:r>
          </w:p>
        </w:tc>
        <w:tc>
          <w:tcPr>
            <w:tcW w:w="2481" w:type="dxa"/>
            <w:vAlign w:val="center"/>
          </w:tcPr>
          <w:p w14:paraId="1F687FBF">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5D7A4C10">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7099B580">
            <w:pPr>
              <w:adjustRightInd/>
              <w:spacing w:line="380" w:lineRule="exact"/>
              <w:jc w:val="center"/>
              <w:outlineLvl w:val="9"/>
              <w:rPr>
                <w:rFonts w:hint="eastAsia" w:ascii="仿宋" w:hAnsi="仿宋" w:eastAsia="仿宋" w:cs="仿宋"/>
                <w:color w:val="auto"/>
                <w:sz w:val="24"/>
                <w:szCs w:val="24"/>
                <w:highlight w:val="none"/>
              </w:rPr>
            </w:pPr>
          </w:p>
        </w:tc>
      </w:tr>
      <w:tr w14:paraId="5BB0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B2667DA">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71" w:type="dxa"/>
            <w:vAlign w:val="center"/>
          </w:tcPr>
          <w:p w14:paraId="3B9D3328">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质量保证</w:t>
            </w:r>
          </w:p>
        </w:tc>
        <w:tc>
          <w:tcPr>
            <w:tcW w:w="2481" w:type="dxa"/>
            <w:vAlign w:val="center"/>
          </w:tcPr>
          <w:p w14:paraId="610F922B">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6515B372">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03483216">
            <w:pPr>
              <w:adjustRightInd/>
              <w:spacing w:line="380" w:lineRule="exact"/>
              <w:jc w:val="center"/>
              <w:outlineLvl w:val="9"/>
              <w:rPr>
                <w:rFonts w:hint="eastAsia" w:ascii="仿宋" w:hAnsi="仿宋" w:eastAsia="仿宋" w:cs="仿宋"/>
                <w:color w:val="auto"/>
                <w:sz w:val="24"/>
                <w:szCs w:val="24"/>
                <w:highlight w:val="none"/>
              </w:rPr>
            </w:pPr>
          </w:p>
        </w:tc>
      </w:tr>
      <w:tr w14:paraId="72D9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4024D1E">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771" w:type="dxa"/>
            <w:vAlign w:val="center"/>
          </w:tcPr>
          <w:p w14:paraId="0A13D261">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售后服务</w:t>
            </w:r>
          </w:p>
        </w:tc>
        <w:tc>
          <w:tcPr>
            <w:tcW w:w="2481" w:type="dxa"/>
            <w:vAlign w:val="center"/>
          </w:tcPr>
          <w:p w14:paraId="385A9D1A">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124D6828">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02AC2B8E">
            <w:pPr>
              <w:adjustRightInd/>
              <w:spacing w:line="380" w:lineRule="exact"/>
              <w:jc w:val="center"/>
              <w:outlineLvl w:val="9"/>
              <w:rPr>
                <w:rFonts w:hint="eastAsia" w:ascii="仿宋" w:hAnsi="仿宋" w:eastAsia="仿宋" w:cs="仿宋"/>
                <w:color w:val="auto"/>
                <w:sz w:val="24"/>
                <w:szCs w:val="24"/>
                <w:highlight w:val="none"/>
              </w:rPr>
            </w:pPr>
          </w:p>
        </w:tc>
      </w:tr>
      <w:tr w14:paraId="25BA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C61D852">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771" w:type="dxa"/>
            <w:vAlign w:val="center"/>
          </w:tcPr>
          <w:p w14:paraId="0C9F9F04">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bidi="ar-SA"/>
              </w:rPr>
              <w:t>安全责任</w:t>
            </w:r>
          </w:p>
        </w:tc>
        <w:tc>
          <w:tcPr>
            <w:tcW w:w="2481" w:type="dxa"/>
            <w:vAlign w:val="center"/>
          </w:tcPr>
          <w:p w14:paraId="2A2A06D5">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28512D06">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7212BEFD">
            <w:pPr>
              <w:adjustRightInd/>
              <w:spacing w:line="380" w:lineRule="exact"/>
              <w:jc w:val="center"/>
              <w:outlineLvl w:val="9"/>
              <w:rPr>
                <w:rFonts w:hint="eastAsia" w:ascii="仿宋" w:hAnsi="仿宋" w:eastAsia="仿宋" w:cs="仿宋"/>
                <w:color w:val="auto"/>
                <w:sz w:val="24"/>
                <w:szCs w:val="24"/>
                <w:highlight w:val="none"/>
              </w:rPr>
            </w:pPr>
          </w:p>
        </w:tc>
      </w:tr>
      <w:tr w14:paraId="091B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1EDFA90">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771" w:type="dxa"/>
            <w:vAlign w:val="center"/>
          </w:tcPr>
          <w:p w14:paraId="1375C473">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报价要求</w:t>
            </w:r>
          </w:p>
        </w:tc>
        <w:tc>
          <w:tcPr>
            <w:tcW w:w="2481" w:type="dxa"/>
            <w:vAlign w:val="center"/>
          </w:tcPr>
          <w:p w14:paraId="6182CB1C">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34E3C092">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66BFED04">
            <w:pPr>
              <w:adjustRightInd/>
              <w:spacing w:line="380" w:lineRule="exact"/>
              <w:jc w:val="center"/>
              <w:outlineLvl w:val="9"/>
              <w:rPr>
                <w:rFonts w:hint="eastAsia" w:ascii="仿宋" w:hAnsi="仿宋" w:eastAsia="仿宋" w:cs="仿宋"/>
                <w:color w:val="auto"/>
                <w:sz w:val="24"/>
                <w:szCs w:val="24"/>
                <w:highlight w:val="none"/>
              </w:rPr>
            </w:pPr>
          </w:p>
        </w:tc>
      </w:tr>
      <w:tr w14:paraId="23DC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AAA691C">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771" w:type="dxa"/>
            <w:vAlign w:val="center"/>
          </w:tcPr>
          <w:p w14:paraId="2A7E3ECD">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定点采购期限</w:t>
            </w:r>
          </w:p>
        </w:tc>
        <w:tc>
          <w:tcPr>
            <w:tcW w:w="2481" w:type="dxa"/>
            <w:vAlign w:val="center"/>
          </w:tcPr>
          <w:p w14:paraId="59A92613">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71C3CDEC">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130B1419">
            <w:pPr>
              <w:adjustRightInd/>
              <w:spacing w:line="380" w:lineRule="exact"/>
              <w:jc w:val="center"/>
              <w:outlineLvl w:val="9"/>
              <w:rPr>
                <w:rFonts w:hint="eastAsia" w:ascii="仿宋" w:hAnsi="仿宋" w:eastAsia="仿宋" w:cs="仿宋"/>
                <w:color w:val="auto"/>
                <w:sz w:val="24"/>
                <w:szCs w:val="24"/>
                <w:highlight w:val="none"/>
              </w:rPr>
            </w:pPr>
          </w:p>
        </w:tc>
      </w:tr>
      <w:tr w14:paraId="4B0F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950D6AC">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771" w:type="dxa"/>
            <w:vAlign w:val="center"/>
          </w:tcPr>
          <w:p w14:paraId="712795CF">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其他</w:t>
            </w:r>
          </w:p>
        </w:tc>
        <w:tc>
          <w:tcPr>
            <w:tcW w:w="2481" w:type="dxa"/>
            <w:vAlign w:val="center"/>
          </w:tcPr>
          <w:p w14:paraId="1A6E4FB0">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1749934A">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58AFE320">
            <w:pPr>
              <w:adjustRightInd/>
              <w:spacing w:line="380" w:lineRule="exact"/>
              <w:jc w:val="center"/>
              <w:outlineLvl w:val="9"/>
              <w:rPr>
                <w:rFonts w:hint="eastAsia" w:ascii="仿宋" w:hAnsi="仿宋" w:eastAsia="仿宋" w:cs="仿宋"/>
                <w:color w:val="auto"/>
                <w:sz w:val="24"/>
                <w:szCs w:val="24"/>
                <w:highlight w:val="none"/>
              </w:rPr>
            </w:pPr>
          </w:p>
        </w:tc>
      </w:tr>
    </w:tbl>
    <w:p w14:paraId="0BAA5FE3">
      <w:pPr>
        <w:autoSpaceDE w:val="0"/>
        <w:autoSpaceDN w:val="0"/>
        <w:spacing w:line="360" w:lineRule="auto"/>
        <w:ind w:right="1120"/>
        <w:jc w:val="left"/>
        <w:rPr>
          <w:rFonts w:hint="eastAsia" w:ascii="仿宋" w:hAnsi="仿宋" w:eastAsia="仿宋" w:cs="仿宋"/>
          <w:color w:val="auto"/>
          <w:sz w:val="24"/>
        </w:rPr>
      </w:pPr>
    </w:p>
    <w:p w14:paraId="0814A525">
      <w:pPr>
        <w:autoSpaceDE w:val="0"/>
        <w:autoSpaceDN w:val="0"/>
        <w:spacing w:line="360" w:lineRule="auto"/>
        <w:ind w:left="2" w:leftChars="1" w:right="1120" w:firstLine="4560" w:firstLineChars="1900"/>
        <w:jc w:val="left"/>
        <w:rPr>
          <w:rFonts w:hint="eastAsia" w:ascii="仿宋" w:hAnsi="仿宋" w:eastAsia="仿宋" w:cs="仿宋"/>
          <w:color w:val="auto"/>
          <w:sz w:val="24"/>
        </w:rPr>
      </w:pPr>
    </w:p>
    <w:p w14:paraId="3A812F3A">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rPr>
        <w:t>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3E22AE7">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2FB31B0">
      <w:pPr>
        <w:keepNext w:val="0"/>
        <w:keepLines w:val="0"/>
        <w:pageBreakBefore w:val="0"/>
        <w:widowControl w:val="0"/>
        <w:kinsoku/>
        <w:wordWrap/>
        <w:overflowPunct/>
        <w:topLinePunct w:val="0"/>
        <w:autoSpaceDE/>
        <w:autoSpaceDN/>
        <w:bidi w:val="0"/>
        <w:adjustRightInd w:val="0"/>
        <w:snapToGrid/>
        <w:spacing w:line="430" w:lineRule="exact"/>
        <w:jc w:val="left"/>
        <w:textAlignment w:val="auto"/>
        <w:rPr>
          <w:rFonts w:hint="eastAsia" w:ascii="仿宋" w:hAnsi="仿宋" w:eastAsia="仿宋" w:cs="仿宋"/>
          <w:color w:val="auto"/>
          <w:kern w:val="0"/>
          <w:sz w:val="24"/>
          <w:highlight w:val="none"/>
        </w:rPr>
      </w:pPr>
    </w:p>
    <w:p w14:paraId="077BDC29">
      <w:pPr>
        <w:keepNext w:val="0"/>
        <w:keepLines w:val="0"/>
        <w:pageBreakBefore w:val="0"/>
        <w:widowControl w:val="0"/>
        <w:kinsoku/>
        <w:wordWrap/>
        <w:overflowPunct/>
        <w:topLinePunct w:val="0"/>
        <w:autoSpaceDE/>
        <w:autoSpaceDN/>
        <w:bidi w:val="0"/>
        <w:adjustRightInd w:val="0"/>
        <w:snapToGrid/>
        <w:spacing w:line="430" w:lineRule="exact"/>
        <w:jc w:val="left"/>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1.结合磋商文件相比较且对应真实填写，在“偏离说明”栏注明“正偏离”、“负偏离”或“无偏离”。</w:t>
      </w:r>
      <w:r>
        <w:rPr>
          <w:rFonts w:hint="eastAsia" w:ascii="仿宋" w:hAnsi="仿宋" w:eastAsia="仿宋" w:cs="仿宋"/>
          <w:b/>
          <w:bCs/>
          <w:color w:val="auto"/>
          <w:kern w:val="0"/>
          <w:sz w:val="24"/>
          <w:highlight w:val="none"/>
          <w:lang w:val="en-US" w:eastAsia="zh-CN"/>
        </w:rPr>
        <w:t>以上内容为实质性条款，“负偏离”做无效响应处理。</w:t>
      </w:r>
    </w:p>
    <w:p w14:paraId="73CF5B56">
      <w:pPr>
        <w:keepNext w:val="0"/>
        <w:keepLines w:val="0"/>
        <w:pageBreakBefore w:val="0"/>
        <w:widowControl w:val="0"/>
        <w:kinsoku/>
        <w:wordWrap/>
        <w:overflowPunct/>
        <w:topLinePunct w:val="0"/>
        <w:autoSpaceDE/>
        <w:autoSpaceDN/>
        <w:bidi w:val="0"/>
        <w:adjustRightInd w:val="0"/>
        <w:snapToGrid/>
        <w:spacing w:line="430" w:lineRule="exact"/>
        <w:jc w:val="left"/>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color w:val="auto"/>
          <w:kern w:val="0"/>
          <w:sz w:val="24"/>
          <w:highlight w:val="none"/>
        </w:rPr>
        <w:t>2.不提供此表或注明“无偏离”均将视为完全响应及满足磋商文件要求。</w:t>
      </w:r>
    </w:p>
    <w:p w14:paraId="2D8FD31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5B48FC0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 w:hAnsi="仿宋" w:eastAsia="仿宋" w:cs="仿宋"/>
          <w:b/>
          <w:color w:val="auto"/>
          <w:kern w:val="0"/>
          <w:sz w:val="32"/>
          <w:szCs w:val="32"/>
          <w:highlight w:val="none"/>
          <w:lang w:val="en-US" w:eastAsia="zh-CN"/>
        </w:rPr>
        <w:br w:type="page"/>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、综合实力</w:t>
      </w:r>
    </w:p>
    <w:p w14:paraId="4B02881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0D29E5ED">
      <w:pPr>
        <w:spacing w:line="336" w:lineRule="auto"/>
        <w:ind w:firstLine="3600" w:firstLineChars="1500"/>
        <w:rPr>
          <w:rFonts w:hint="eastAsia" w:ascii="仿宋" w:hAnsi="仿宋" w:eastAsia="仿宋" w:cs="仿宋"/>
          <w:color w:val="auto"/>
          <w:sz w:val="24"/>
        </w:rPr>
      </w:pPr>
    </w:p>
    <w:p w14:paraId="1807FCAC">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46D82F96">
      <w:pPr>
        <w:spacing w:line="360" w:lineRule="auto"/>
        <w:jc w:val="center"/>
        <w:rPr>
          <w:color w:val="auto"/>
        </w:rPr>
      </w:pPr>
      <w:r>
        <w:rPr>
          <w:rFonts w:ascii="仿宋" w:hAnsi="仿宋" w:eastAsia="仿宋" w:cs="仿宋"/>
          <w:color w:val="auto"/>
          <w:sz w:val="24"/>
        </w:rPr>
        <w:t xml:space="preserve">     日期：  年   月   日</w:t>
      </w:r>
    </w:p>
    <w:p w14:paraId="0D862D1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3711128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7CFB63C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、同类业绩</w:t>
      </w:r>
    </w:p>
    <w:p w14:paraId="5A267CF5">
      <w:pPr>
        <w:pStyle w:val="48"/>
        <w:keepNext w:val="0"/>
        <w:keepLines w:val="0"/>
        <w:pageBreakBefore w:val="0"/>
        <w:widowControl w:val="0"/>
        <w:kinsoku/>
        <w:wordWrap/>
        <w:overflowPunct/>
        <w:topLinePunct w:val="0"/>
        <w:autoSpaceDE/>
        <w:autoSpaceDN/>
        <w:bidi w:val="0"/>
        <w:adjustRightInd/>
        <w:snapToGrid w:val="0"/>
        <w:spacing w:before="313" w:beforeLines="100" w:line="360" w:lineRule="auto"/>
        <w:ind w:left="479" w:leftChars="228" w:firstLine="240" w:firstLineChars="100"/>
        <w:textAlignment w:val="auto"/>
        <w:outlineLvl w:val="9"/>
        <w:rPr>
          <w:rFonts w:hint="eastAsia" w:ascii="仿宋" w:hAnsi="仿宋" w:eastAsia="仿宋" w:cs="仿宋"/>
          <w:b/>
          <w:color w:val="auto"/>
          <w:sz w:val="24"/>
        </w:rPr>
      </w:pPr>
      <w:r>
        <w:rPr>
          <w:rFonts w:hint="eastAsia" w:ascii="仿宋" w:hAnsi="仿宋" w:eastAsia="仿宋" w:cs="仿宋"/>
          <w:color w:val="auto"/>
          <w:sz w:val="24"/>
        </w:rPr>
        <w:t xml:space="preserve">项目名称：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项目编号：                               </w:t>
      </w:r>
    </w:p>
    <w:tbl>
      <w:tblPr>
        <w:tblStyle w:val="61"/>
        <w:tblW w:w="91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3"/>
        <w:gridCol w:w="1576"/>
        <w:gridCol w:w="1350"/>
        <w:gridCol w:w="1545"/>
        <w:gridCol w:w="1650"/>
        <w:gridCol w:w="1923"/>
      </w:tblGrid>
      <w:tr w14:paraId="2BBD2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14:paraId="37610B67">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采购单位名称</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14:paraId="152BB2B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项目名称</w:t>
            </w:r>
          </w:p>
        </w:tc>
        <w:tc>
          <w:tcPr>
            <w:tcW w:w="1350" w:type="dxa"/>
            <w:vMerge w:val="restart"/>
            <w:tcBorders>
              <w:top w:val="single" w:color="auto" w:sz="4" w:space="0"/>
              <w:left w:val="single" w:color="auto" w:sz="4" w:space="0"/>
              <w:right w:val="single" w:color="auto" w:sz="4" w:space="0"/>
            </w:tcBorders>
            <w:noWrap w:val="0"/>
            <w:vAlign w:val="center"/>
          </w:tcPr>
          <w:p w14:paraId="49D9630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合同签订时间</w:t>
            </w:r>
          </w:p>
        </w:tc>
        <w:tc>
          <w:tcPr>
            <w:tcW w:w="1545" w:type="dxa"/>
            <w:vMerge w:val="restart"/>
            <w:tcBorders>
              <w:top w:val="single" w:color="auto" w:sz="4" w:space="0"/>
              <w:left w:val="single" w:color="auto" w:sz="4" w:space="0"/>
              <w:bottom w:val="single" w:color="auto" w:sz="4" w:space="0"/>
              <w:right w:val="single" w:color="auto" w:sz="4" w:space="0"/>
            </w:tcBorders>
            <w:noWrap w:val="0"/>
            <w:vAlign w:val="center"/>
          </w:tcPr>
          <w:p w14:paraId="0DBF9B3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合同金额</w:t>
            </w:r>
          </w:p>
          <w:p w14:paraId="6FFDEDC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（万元）</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1BF409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附件页码</w:t>
            </w:r>
          </w:p>
        </w:tc>
        <w:tc>
          <w:tcPr>
            <w:tcW w:w="1923" w:type="dxa"/>
            <w:vMerge w:val="restart"/>
            <w:tcBorders>
              <w:top w:val="single" w:color="auto" w:sz="4" w:space="0"/>
              <w:left w:val="single" w:color="auto" w:sz="4" w:space="0"/>
              <w:bottom w:val="single" w:color="auto" w:sz="4" w:space="0"/>
              <w:right w:val="single" w:color="auto" w:sz="4" w:space="0"/>
            </w:tcBorders>
            <w:noWrap w:val="0"/>
            <w:vAlign w:val="center"/>
          </w:tcPr>
          <w:p w14:paraId="488F8E20">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采购单位联系人及联系电话</w:t>
            </w:r>
          </w:p>
        </w:tc>
      </w:tr>
      <w:tr w14:paraId="3AFF6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1" w:hRule="atLeast"/>
          <w:jc w:val="center"/>
        </w:trPr>
        <w:tc>
          <w:tcPr>
            <w:tcW w:w="1083" w:type="dxa"/>
            <w:vMerge w:val="continue"/>
            <w:tcBorders>
              <w:top w:val="single" w:color="auto" w:sz="4" w:space="0"/>
              <w:left w:val="single" w:color="auto" w:sz="4" w:space="0"/>
              <w:bottom w:val="single" w:color="auto" w:sz="4" w:space="0"/>
              <w:right w:val="single" w:color="auto" w:sz="4" w:space="0"/>
            </w:tcBorders>
            <w:noWrap w:val="0"/>
            <w:vAlign w:val="center"/>
          </w:tcPr>
          <w:p w14:paraId="6CE01FFD">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center"/>
          </w:tcPr>
          <w:p w14:paraId="75BC342B">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1350" w:type="dxa"/>
            <w:vMerge w:val="continue"/>
            <w:tcBorders>
              <w:left w:val="single" w:color="auto" w:sz="4" w:space="0"/>
              <w:bottom w:val="single" w:color="auto" w:sz="4" w:space="0"/>
              <w:right w:val="single" w:color="auto" w:sz="4" w:space="0"/>
            </w:tcBorders>
            <w:noWrap w:val="0"/>
            <w:vAlign w:val="center"/>
          </w:tcPr>
          <w:p w14:paraId="6DE634FF">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1545" w:type="dxa"/>
            <w:vMerge w:val="continue"/>
            <w:tcBorders>
              <w:top w:val="single" w:color="auto" w:sz="4" w:space="0"/>
              <w:left w:val="single" w:color="auto" w:sz="4" w:space="0"/>
              <w:bottom w:val="single" w:color="auto" w:sz="4" w:space="0"/>
              <w:right w:val="single" w:color="auto" w:sz="4" w:space="0"/>
            </w:tcBorders>
            <w:noWrap w:val="0"/>
            <w:vAlign w:val="center"/>
          </w:tcPr>
          <w:p w14:paraId="50111D42">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3779414">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w:t>
            </w:r>
          </w:p>
        </w:tc>
        <w:tc>
          <w:tcPr>
            <w:tcW w:w="1923" w:type="dxa"/>
            <w:vMerge w:val="continue"/>
            <w:tcBorders>
              <w:top w:val="single" w:color="auto" w:sz="4" w:space="0"/>
              <w:left w:val="single" w:color="auto" w:sz="4" w:space="0"/>
              <w:bottom w:val="single" w:color="auto" w:sz="4" w:space="0"/>
              <w:right w:val="single" w:color="auto" w:sz="4" w:space="0"/>
            </w:tcBorders>
            <w:noWrap w:val="0"/>
            <w:vAlign w:val="center"/>
          </w:tcPr>
          <w:p w14:paraId="62321B02">
            <w:pPr>
              <w:widowControl/>
              <w:spacing w:line="360" w:lineRule="auto"/>
              <w:ind w:firstLine="480" w:firstLineChars="200"/>
              <w:jc w:val="left"/>
              <w:outlineLvl w:val="9"/>
              <w:rPr>
                <w:rFonts w:hint="eastAsia" w:ascii="仿宋" w:hAnsi="仿宋" w:eastAsia="仿宋" w:cs="仿宋"/>
                <w:color w:val="auto"/>
                <w:sz w:val="24"/>
                <w:szCs w:val="24"/>
                <w:highlight w:val="none"/>
              </w:rPr>
            </w:pPr>
          </w:p>
        </w:tc>
      </w:tr>
      <w:tr w14:paraId="38B6A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7F7EE741">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C19B2F1">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E321D0B">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BA5467B">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5CEF35F">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01BAC94">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346F1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0C577ED0">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AD9C63D">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5E94242">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0DA41BAB">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C8C2406">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C8EE946">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6404B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651E77EE">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6E8F14F">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ACCD531">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8DFB94D">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2AB7C5C">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78719CD2">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2589A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628F3DF1">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D80BF92">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B07032D">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EAEF022">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CEAFA88">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7D31B393">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422A5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05D87E4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备注</w:t>
            </w:r>
          </w:p>
        </w:tc>
        <w:tc>
          <w:tcPr>
            <w:tcW w:w="8044" w:type="dxa"/>
            <w:gridSpan w:val="5"/>
            <w:tcBorders>
              <w:top w:val="single" w:color="auto" w:sz="4" w:space="0"/>
              <w:left w:val="single" w:color="auto" w:sz="4" w:space="0"/>
              <w:bottom w:val="single" w:color="auto" w:sz="4" w:space="0"/>
              <w:right w:val="single" w:color="auto" w:sz="4" w:space="0"/>
            </w:tcBorders>
            <w:noWrap w:val="0"/>
            <w:vAlign w:val="center"/>
          </w:tcPr>
          <w:p w14:paraId="38259E08">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根据评分标准提供相关资料附后</w:t>
            </w:r>
          </w:p>
        </w:tc>
      </w:tr>
    </w:tbl>
    <w:p w14:paraId="180215D4">
      <w:pPr>
        <w:pStyle w:val="16"/>
        <w:snapToGrid w:val="0"/>
        <w:outlineLvl w:val="9"/>
        <w:rPr>
          <w:rFonts w:hint="eastAsia" w:ascii="仿宋" w:hAnsi="仿宋" w:eastAsia="仿宋" w:cs="仿宋"/>
          <w:color w:val="auto"/>
          <w:sz w:val="24"/>
          <w:szCs w:val="24"/>
        </w:rPr>
      </w:pPr>
    </w:p>
    <w:p w14:paraId="74CFE853">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磋商响应方全称（公章）：</w:t>
      </w:r>
    </w:p>
    <w:p w14:paraId="4B41D11D">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法定代表或委托代理人（签字或盖章）：</w:t>
      </w:r>
    </w:p>
    <w:p w14:paraId="68B4DFD4">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_GB2312" w:hAnsi="仿宋_GB2312" w:eastAsia="仿宋_GB2312" w:cs="仿宋_GB2312"/>
          <w:b/>
          <w:bCs/>
          <w:color w:val="auto"/>
          <w:sz w:val="32"/>
          <w:szCs w:val="32"/>
          <w:lang w:val="en-US" w:eastAsia="zh-CN"/>
        </w:rPr>
      </w:pPr>
      <w:r>
        <w:rPr>
          <w:rFonts w:hint="eastAsia" w:ascii="仿宋" w:hAnsi="仿宋" w:eastAsia="仿宋" w:cs="仿宋"/>
          <w:color w:val="auto"/>
          <w:sz w:val="24"/>
          <w:szCs w:val="24"/>
        </w:rPr>
        <w:t>日期：</w:t>
      </w:r>
    </w:p>
    <w:p w14:paraId="748E38C6">
      <w:p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br w:type="page"/>
      </w:r>
    </w:p>
    <w:p w14:paraId="7804C6B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7C4C6BF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rPr>
        <w:t>、用户反馈</w:t>
      </w:r>
    </w:p>
    <w:p w14:paraId="2E25BD3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1F2B66F9">
      <w:pPr>
        <w:spacing w:line="336" w:lineRule="auto"/>
        <w:ind w:firstLine="3600" w:firstLineChars="1500"/>
        <w:rPr>
          <w:rFonts w:hint="eastAsia" w:ascii="仿宋" w:hAnsi="仿宋" w:eastAsia="仿宋" w:cs="仿宋"/>
          <w:color w:val="auto"/>
          <w:sz w:val="24"/>
        </w:rPr>
      </w:pPr>
    </w:p>
    <w:p w14:paraId="508AFDF1">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6DFA559F">
      <w:pPr>
        <w:spacing w:line="360" w:lineRule="auto"/>
        <w:jc w:val="center"/>
        <w:rPr>
          <w:color w:val="auto"/>
        </w:rPr>
      </w:pPr>
      <w:r>
        <w:rPr>
          <w:rFonts w:ascii="仿宋" w:hAnsi="仿宋" w:eastAsia="仿宋" w:cs="仿宋"/>
          <w:color w:val="auto"/>
          <w:sz w:val="24"/>
        </w:rPr>
        <w:t xml:space="preserve">     日期：  年   月   日</w:t>
      </w:r>
    </w:p>
    <w:p w14:paraId="3456950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5E893B1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76C3EE4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3511EFF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十一</w:t>
      </w:r>
      <w:r>
        <w:rPr>
          <w:rFonts w:hint="eastAsia" w:ascii="仿宋_GB2312" w:hAnsi="仿宋_GB2312" w:eastAsia="仿宋_GB2312" w:cs="仿宋_GB2312"/>
          <w:b/>
          <w:bCs/>
          <w:color w:val="auto"/>
          <w:sz w:val="32"/>
          <w:szCs w:val="32"/>
        </w:rPr>
        <w:t>、产品情况</w:t>
      </w:r>
    </w:p>
    <w:p w14:paraId="7085F02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3E6C44E8">
      <w:pPr>
        <w:spacing w:line="336" w:lineRule="auto"/>
        <w:ind w:firstLine="3600" w:firstLineChars="1500"/>
        <w:rPr>
          <w:rFonts w:hint="eastAsia" w:ascii="仿宋" w:hAnsi="仿宋" w:eastAsia="仿宋" w:cs="仿宋"/>
          <w:color w:val="auto"/>
          <w:sz w:val="24"/>
        </w:rPr>
      </w:pPr>
    </w:p>
    <w:p w14:paraId="3B6F8729">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67A874B2">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r>
        <w:rPr>
          <w:rFonts w:ascii="仿宋" w:hAnsi="仿宋" w:eastAsia="仿宋" w:cs="仿宋"/>
          <w:color w:val="auto"/>
          <w:sz w:val="24"/>
        </w:rPr>
        <w:t xml:space="preserve">     日期：  年   月   日</w:t>
      </w:r>
    </w:p>
    <w:p w14:paraId="204BCAF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3D779C3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532D7D2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1D108DA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十二</w:t>
      </w:r>
      <w:r>
        <w:rPr>
          <w:rFonts w:hint="eastAsia" w:ascii="仿宋_GB2312" w:hAnsi="仿宋_GB2312" w:eastAsia="仿宋_GB2312" w:cs="仿宋_GB2312"/>
          <w:b/>
          <w:bCs/>
          <w:color w:val="auto"/>
          <w:sz w:val="32"/>
          <w:szCs w:val="32"/>
        </w:rPr>
        <w:t>、检测报告</w:t>
      </w:r>
    </w:p>
    <w:p w14:paraId="47F3C89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76E5BFAE">
      <w:pPr>
        <w:spacing w:line="336" w:lineRule="auto"/>
        <w:ind w:firstLine="3600" w:firstLineChars="1500"/>
        <w:rPr>
          <w:rFonts w:hint="eastAsia" w:ascii="仿宋" w:hAnsi="仿宋" w:eastAsia="仿宋" w:cs="仿宋"/>
          <w:color w:val="auto"/>
          <w:sz w:val="24"/>
        </w:rPr>
      </w:pPr>
    </w:p>
    <w:p w14:paraId="45C36ACE">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63457CFA">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r>
        <w:rPr>
          <w:rFonts w:ascii="仿宋" w:hAnsi="仿宋" w:eastAsia="仿宋" w:cs="仿宋"/>
          <w:color w:val="auto"/>
          <w:sz w:val="24"/>
        </w:rPr>
        <w:t xml:space="preserve">     日期：  年   月   日</w:t>
      </w:r>
    </w:p>
    <w:p w14:paraId="6C16079A">
      <w:pPr>
        <w:rPr>
          <w:rFonts w:hint="eastAsia" w:ascii="仿宋" w:hAnsi="仿宋" w:eastAsia="仿宋" w:cs="仿宋"/>
          <w:b/>
          <w:color w:val="auto"/>
          <w:kern w:val="0"/>
          <w:sz w:val="32"/>
          <w:szCs w:val="32"/>
          <w:highlight w:val="none"/>
          <w:lang w:val="en-US" w:eastAsia="zh-CN"/>
        </w:rPr>
      </w:pPr>
    </w:p>
    <w:p w14:paraId="3EC4B2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0A058D1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35C02C2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十三、技术</w:t>
      </w:r>
      <w:r>
        <w:rPr>
          <w:rFonts w:hint="eastAsia" w:ascii="仿宋" w:hAnsi="仿宋" w:eastAsia="仿宋" w:cs="仿宋"/>
          <w:b/>
          <w:color w:val="auto"/>
          <w:kern w:val="0"/>
          <w:sz w:val="32"/>
          <w:szCs w:val="32"/>
          <w:highlight w:val="none"/>
        </w:rPr>
        <w:t>响应表</w:t>
      </w:r>
    </w:p>
    <w:p w14:paraId="3A76475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_GB2312" w:hAnsi="仿宋_GB2312" w:eastAsia="仿宋_GB2312" w:cs="仿宋_GB2312"/>
          <w:color w:val="auto"/>
          <w:sz w:val="24"/>
          <w:highlight w:val="none"/>
        </w:rPr>
        <w:t>（由</w:t>
      </w:r>
      <w:r>
        <w:rPr>
          <w:rFonts w:hint="eastAsia" w:ascii="仿宋_GB2312" w:hAnsi="仿宋_GB2312" w:eastAsia="仿宋_GB2312" w:cs="仿宋_GB2312"/>
          <w:color w:val="auto"/>
          <w:sz w:val="24"/>
          <w:highlight w:val="none"/>
          <w:lang w:val="en-US" w:eastAsia="zh-CN"/>
        </w:rPr>
        <w:t>供应商</w:t>
      </w:r>
      <w:r>
        <w:rPr>
          <w:rFonts w:hint="eastAsia" w:ascii="仿宋_GB2312" w:hAnsi="仿宋_GB2312" w:eastAsia="仿宋_GB2312" w:cs="仿宋_GB2312"/>
          <w:color w:val="auto"/>
          <w:sz w:val="24"/>
          <w:highlight w:val="none"/>
        </w:rPr>
        <w:t>根据采购需求及</w:t>
      </w:r>
      <w:r>
        <w:rPr>
          <w:rFonts w:hint="eastAsia" w:ascii="仿宋_GB2312" w:hAnsi="仿宋_GB2312" w:eastAsia="仿宋_GB2312" w:cs="仿宋_GB2312"/>
          <w:color w:val="auto"/>
          <w:sz w:val="24"/>
          <w:highlight w:val="none"/>
          <w:lang w:val="en-US" w:eastAsia="zh-CN"/>
        </w:rPr>
        <w:t>磋商</w:t>
      </w:r>
      <w:r>
        <w:rPr>
          <w:rFonts w:hint="eastAsia" w:ascii="仿宋_GB2312" w:hAnsi="仿宋_GB2312" w:eastAsia="仿宋_GB2312" w:cs="仿宋_GB2312"/>
          <w:color w:val="auto"/>
          <w:sz w:val="24"/>
          <w:highlight w:val="none"/>
        </w:rPr>
        <w:t>文件要求编制）</w:t>
      </w:r>
    </w:p>
    <w:tbl>
      <w:tblPr>
        <w:tblStyle w:val="62"/>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5C1F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F9310C8">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7" w:type="dxa"/>
            <w:vAlign w:val="center"/>
          </w:tcPr>
          <w:p w14:paraId="402BE854">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835" w:type="dxa"/>
            <w:vAlign w:val="center"/>
          </w:tcPr>
          <w:p w14:paraId="5B9A70F2">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要求</w:t>
            </w:r>
          </w:p>
        </w:tc>
        <w:tc>
          <w:tcPr>
            <w:tcW w:w="2835" w:type="dxa"/>
            <w:vAlign w:val="center"/>
          </w:tcPr>
          <w:p w14:paraId="2062CE3B">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响应</w:t>
            </w:r>
          </w:p>
        </w:tc>
        <w:tc>
          <w:tcPr>
            <w:tcW w:w="1260" w:type="dxa"/>
            <w:vAlign w:val="center"/>
          </w:tcPr>
          <w:p w14:paraId="7DBF8ACE">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5529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2D6D870">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17" w:type="dxa"/>
            <w:vAlign w:val="center"/>
          </w:tcPr>
          <w:p w14:paraId="672B74E8">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0E01B8EA">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5923A78F">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12583314">
            <w:pPr>
              <w:adjustRightInd/>
              <w:spacing w:line="380" w:lineRule="exact"/>
              <w:jc w:val="center"/>
              <w:outlineLvl w:val="9"/>
              <w:rPr>
                <w:rFonts w:hint="eastAsia" w:ascii="仿宋" w:hAnsi="仿宋" w:eastAsia="仿宋" w:cs="仿宋"/>
                <w:color w:val="auto"/>
                <w:sz w:val="24"/>
                <w:szCs w:val="24"/>
                <w:highlight w:val="none"/>
              </w:rPr>
            </w:pPr>
          </w:p>
        </w:tc>
      </w:tr>
      <w:tr w14:paraId="220D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F43B125">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17" w:type="dxa"/>
            <w:vAlign w:val="center"/>
          </w:tcPr>
          <w:p w14:paraId="004BA644">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4F9B58E1">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345C04BC">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721113FE">
            <w:pPr>
              <w:adjustRightInd/>
              <w:spacing w:line="380" w:lineRule="exact"/>
              <w:jc w:val="center"/>
              <w:outlineLvl w:val="9"/>
              <w:rPr>
                <w:rFonts w:hint="eastAsia" w:ascii="仿宋" w:hAnsi="仿宋" w:eastAsia="仿宋" w:cs="仿宋"/>
                <w:color w:val="auto"/>
                <w:sz w:val="24"/>
                <w:szCs w:val="24"/>
                <w:highlight w:val="none"/>
              </w:rPr>
            </w:pPr>
          </w:p>
        </w:tc>
      </w:tr>
      <w:tr w14:paraId="560F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0E8DF5C">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417" w:type="dxa"/>
            <w:vAlign w:val="center"/>
          </w:tcPr>
          <w:p w14:paraId="4D11127D">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75AA9DD7">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790328C6">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0DC6AA1D">
            <w:pPr>
              <w:adjustRightInd/>
              <w:spacing w:line="380" w:lineRule="exact"/>
              <w:jc w:val="center"/>
              <w:outlineLvl w:val="9"/>
              <w:rPr>
                <w:rFonts w:hint="eastAsia" w:ascii="仿宋" w:hAnsi="仿宋" w:eastAsia="仿宋" w:cs="仿宋"/>
                <w:color w:val="auto"/>
                <w:sz w:val="24"/>
                <w:szCs w:val="24"/>
                <w:highlight w:val="none"/>
              </w:rPr>
            </w:pPr>
          </w:p>
        </w:tc>
      </w:tr>
    </w:tbl>
    <w:p w14:paraId="35933390">
      <w:pPr>
        <w:jc w:val="left"/>
        <w:rPr>
          <w:rFonts w:hint="eastAsia" w:ascii="仿宋" w:hAnsi="仿宋" w:eastAsia="仿宋" w:cs="仿宋"/>
          <w:color w:val="auto"/>
          <w:kern w:val="0"/>
          <w:sz w:val="24"/>
          <w:highlight w:val="none"/>
        </w:rPr>
      </w:pPr>
    </w:p>
    <w:p w14:paraId="114CC6B8">
      <w:pPr>
        <w:spacing w:line="360" w:lineRule="auto"/>
        <w:ind w:right="420"/>
        <w:rPr>
          <w:rFonts w:hint="eastAsia" w:ascii="仿宋" w:hAnsi="仿宋" w:eastAsia="仿宋" w:cs="仿宋"/>
          <w:b/>
          <w:bCs/>
          <w:color w:val="auto"/>
          <w:sz w:val="32"/>
          <w:szCs w:val="32"/>
          <w:highlight w:val="none"/>
        </w:rPr>
      </w:pPr>
    </w:p>
    <w:p w14:paraId="075839F9">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rPr>
        <w:t>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325F37C">
      <w:pPr>
        <w:ind w:firstLine="4560" w:firstLineChars="1900"/>
        <w:rPr>
          <w:rFonts w:hint="eastAsia" w:ascii="仿宋" w:hAnsi="仿宋" w:eastAsia="仿宋" w:cs="仿宋"/>
          <w:b/>
          <w:bCs/>
          <w:color w:val="auto"/>
          <w:sz w:val="32"/>
          <w:szCs w:val="32"/>
          <w:highlight w:val="none"/>
          <w:lang w:eastAsia="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2047097">
      <w:pPr>
        <w:widowControl/>
        <w:adjustRightInd/>
        <w:jc w:val="center"/>
        <w:rPr>
          <w:rFonts w:hint="eastAsia" w:ascii="仿宋" w:hAnsi="仿宋" w:eastAsia="仿宋" w:cs="仿宋"/>
          <w:b/>
          <w:bCs/>
          <w:color w:val="auto"/>
          <w:sz w:val="32"/>
          <w:szCs w:val="32"/>
          <w:highlight w:val="none"/>
          <w:lang w:val="en-US" w:eastAsia="zh-CN"/>
        </w:rPr>
      </w:pPr>
    </w:p>
    <w:p w14:paraId="5A45376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val="0"/>
          <w:bCs w:val="0"/>
          <w:color w:val="auto"/>
          <w:sz w:val="24"/>
          <w:szCs w:val="24"/>
          <w:highlight w:val="none"/>
          <w:lang w:val="en-US" w:eastAsia="zh-CN"/>
        </w:rPr>
        <w:t>注：1.结合磋商文件“采购需求”的要求相比较且对应真实填写，在“偏离说明”栏注明“正偏离”、“负偏离”或“无偏离”。</w:t>
      </w:r>
      <w:r>
        <w:rPr>
          <w:rFonts w:hint="eastAsia" w:ascii="仿宋" w:hAnsi="仿宋" w:eastAsia="仿宋" w:cs="仿宋"/>
          <w:b/>
          <w:bCs/>
          <w:color w:val="auto"/>
          <w:sz w:val="32"/>
          <w:szCs w:val="32"/>
          <w:highlight w:val="none"/>
          <w:lang w:val="en-US" w:eastAsia="zh-CN"/>
        </w:rPr>
        <w:br w:type="page"/>
      </w:r>
    </w:p>
    <w:p w14:paraId="02FAF633">
      <w:pPr>
        <w:pStyle w:val="73"/>
        <w:jc w:val="center"/>
        <w:rPr>
          <w:rFonts w:hint="eastAsia" w:ascii="仿宋" w:hAnsi="仿宋" w:eastAsia="仿宋" w:cs="仿宋"/>
          <w:b/>
          <w:bCs/>
          <w:color w:val="auto"/>
          <w:sz w:val="24"/>
          <w:highlight w:val="none"/>
        </w:rPr>
      </w:pPr>
    </w:p>
    <w:p w14:paraId="132DDCB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十四</w:t>
      </w:r>
      <w:r>
        <w:rPr>
          <w:rFonts w:hint="eastAsia" w:ascii="仿宋_GB2312" w:hAnsi="仿宋_GB2312" w:eastAsia="仿宋_GB2312" w:cs="仿宋_GB2312"/>
          <w:b/>
          <w:bCs/>
          <w:color w:val="auto"/>
          <w:sz w:val="32"/>
          <w:szCs w:val="32"/>
        </w:rPr>
        <w:t>、供货方案</w:t>
      </w:r>
    </w:p>
    <w:p w14:paraId="640641B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3568B04D">
      <w:pPr>
        <w:spacing w:line="336" w:lineRule="auto"/>
        <w:ind w:firstLine="3600" w:firstLineChars="1500"/>
        <w:rPr>
          <w:rFonts w:hint="eastAsia" w:ascii="仿宋" w:hAnsi="仿宋" w:eastAsia="仿宋" w:cs="仿宋"/>
          <w:color w:val="auto"/>
          <w:sz w:val="24"/>
        </w:rPr>
      </w:pPr>
    </w:p>
    <w:p w14:paraId="1B7A62B0">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5E7B4B70">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r>
        <w:rPr>
          <w:rFonts w:ascii="仿宋" w:hAnsi="仿宋" w:eastAsia="仿宋" w:cs="仿宋"/>
          <w:color w:val="auto"/>
          <w:sz w:val="24"/>
        </w:rPr>
        <w:t xml:space="preserve">     日期：  年   月   日</w:t>
      </w:r>
    </w:p>
    <w:p w14:paraId="2DE4C08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07B82D8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40AD5F8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十五</w:t>
      </w:r>
      <w:r>
        <w:rPr>
          <w:rFonts w:hint="eastAsia" w:ascii="仿宋_GB2312" w:hAnsi="仿宋_GB2312" w:eastAsia="仿宋_GB2312" w:cs="仿宋_GB2312"/>
          <w:b/>
          <w:bCs/>
          <w:color w:val="auto"/>
          <w:sz w:val="32"/>
          <w:szCs w:val="32"/>
        </w:rPr>
        <w:t>、售后服务</w:t>
      </w:r>
    </w:p>
    <w:p w14:paraId="7F5BF0C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3B80BE07">
      <w:pPr>
        <w:spacing w:line="336" w:lineRule="auto"/>
        <w:ind w:firstLine="3600" w:firstLineChars="1500"/>
        <w:rPr>
          <w:rFonts w:hint="eastAsia" w:ascii="仿宋" w:hAnsi="仿宋" w:eastAsia="仿宋" w:cs="仿宋"/>
          <w:color w:val="auto"/>
          <w:sz w:val="24"/>
        </w:rPr>
      </w:pPr>
    </w:p>
    <w:p w14:paraId="03F7E744">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09AABEEE">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r>
        <w:rPr>
          <w:rFonts w:ascii="仿宋" w:hAnsi="仿宋" w:eastAsia="仿宋" w:cs="仿宋"/>
          <w:color w:val="auto"/>
          <w:sz w:val="24"/>
        </w:rPr>
        <w:t xml:space="preserve">     日期：  年   月   日</w:t>
      </w:r>
    </w:p>
    <w:p w14:paraId="1645C47A">
      <w:pPr>
        <w:numPr>
          <w:ilvl w:val="0"/>
          <w:numId w:val="0"/>
        </w:numPr>
        <w:spacing w:line="336" w:lineRule="auto"/>
        <w:jc w:val="both"/>
        <w:outlineLvl w:val="0"/>
        <w:rPr>
          <w:rFonts w:hint="eastAsia" w:ascii="仿宋_GB2312" w:hAnsi="仿宋_GB2312" w:eastAsia="仿宋_GB2312" w:cs="仿宋_GB2312"/>
          <w:b/>
          <w:color w:val="auto"/>
          <w:kern w:val="2"/>
          <w:sz w:val="30"/>
          <w:szCs w:val="30"/>
          <w:lang w:val="en-US" w:eastAsia="zh-CN" w:bidi="ar-SA"/>
        </w:rPr>
      </w:pPr>
    </w:p>
    <w:p w14:paraId="56B967D3">
      <w:pPr>
        <w:numPr>
          <w:ilvl w:val="0"/>
          <w:numId w:val="0"/>
        </w:numPr>
        <w:spacing w:line="336" w:lineRule="auto"/>
        <w:jc w:val="center"/>
        <w:outlineLvl w:val="0"/>
        <w:rPr>
          <w:rFonts w:hint="eastAsia" w:ascii="仿宋_GB2312" w:hAnsi="仿宋_GB2312" w:eastAsia="仿宋_GB2312" w:cs="仿宋_GB2312"/>
          <w:b/>
          <w:color w:val="auto"/>
          <w:kern w:val="2"/>
          <w:sz w:val="30"/>
          <w:szCs w:val="30"/>
          <w:lang w:val="en-US" w:eastAsia="zh-CN" w:bidi="ar-SA"/>
        </w:rPr>
      </w:pPr>
    </w:p>
    <w:p w14:paraId="31D340AC">
      <w:pPr>
        <w:numPr>
          <w:ilvl w:val="0"/>
          <w:numId w:val="0"/>
        </w:numPr>
        <w:spacing w:line="336" w:lineRule="auto"/>
        <w:jc w:val="center"/>
        <w:outlineLvl w:val="0"/>
        <w:rPr>
          <w:rFonts w:hint="eastAsia" w:ascii="仿宋" w:hAnsi="仿宋" w:eastAsia="仿宋" w:cs="仿宋"/>
          <w:color w:val="auto"/>
          <w:sz w:val="24"/>
          <w:szCs w:val="24"/>
          <w:lang w:val="en-US" w:eastAsia="zh-CN"/>
        </w:rPr>
      </w:pPr>
      <w:r>
        <w:rPr>
          <w:rFonts w:hint="eastAsia" w:ascii="仿宋_GB2312" w:hAnsi="仿宋_GB2312" w:eastAsia="仿宋_GB2312" w:cs="仿宋_GB2312"/>
          <w:b/>
          <w:color w:val="auto"/>
          <w:kern w:val="2"/>
          <w:sz w:val="30"/>
          <w:szCs w:val="30"/>
          <w:lang w:val="en-US" w:eastAsia="zh-CN" w:bidi="ar-SA"/>
        </w:rPr>
        <w:t>十六、供应商需要说明的其他文件和说明（如果有）</w:t>
      </w:r>
    </w:p>
    <w:p w14:paraId="39E17E04">
      <w:pPr>
        <w:spacing w:line="360" w:lineRule="auto"/>
        <w:jc w:val="center"/>
        <w:rPr>
          <w:rFonts w:ascii="仿宋_GB2312" w:hAnsi="仿宋_GB2312" w:eastAsia="仿宋_GB2312" w:cs="仿宋_GB2312"/>
          <w:color w:val="auto"/>
          <w:sz w:val="24"/>
        </w:rPr>
      </w:pPr>
    </w:p>
    <w:p w14:paraId="7AC6393A">
      <w:pPr>
        <w:spacing w:line="336" w:lineRule="auto"/>
        <w:ind w:firstLine="3600" w:firstLineChars="1500"/>
        <w:rPr>
          <w:rFonts w:ascii="仿宋" w:hAnsi="仿宋" w:eastAsia="仿宋" w:cs="仿宋"/>
          <w:color w:val="auto"/>
          <w:sz w:val="24"/>
        </w:rPr>
      </w:pPr>
    </w:p>
    <w:p w14:paraId="3C32E929">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52405342">
      <w:pPr>
        <w:spacing w:line="336" w:lineRule="auto"/>
        <w:jc w:val="center"/>
        <w:rPr>
          <w:rFonts w:ascii="仿宋" w:hAnsi="仿宋" w:eastAsia="仿宋" w:cs="仿宋"/>
          <w:color w:val="auto"/>
          <w:sz w:val="24"/>
        </w:rPr>
      </w:pPr>
      <w:r>
        <w:rPr>
          <w:rFonts w:ascii="仿宋" w:hAnsi="仿宋" w:eastAsia="仿宋" w:cs="仿宋"/>
          <w:color w:val="auto"/>
          <w:sz w:val="24"/>
        </w:rPr>
        <w:t xml:space="preserve">     日期：  年   月   日</w:t>
      </w:r>
    </w:p>
    <w:p w14:paraId="380A9054">
      <w:pPr>
        <w:spacing w:line="336" w:lineRule="auto"/>
        <w:jc w:val="center"/>
        <w:outlineLvl w:val="0"/>
        <w:rPr>
          <w:rFonts w:hint="eastAsia" w:ascii="仿宋" w:hAnsi="仿宋" w:eastAsia="仿宋" w:cs="仿宋"/>
          <w:b/>
          <w:color w:val="auto"/>
          <w:kern w:val="0"/>
          <w:sz w:val="36"/>
          <w:szCs w:val="36"/>
        </w:rPr>
      </w:pPr>
    </w:p>
    <w:p w14:paraId="122E74F7">
      <w:pPr>
        <w:spacing w:line="336" w:lineRule="auto"/>
        <w:jc w:val="center"/>
        <w:outlineLvl w:val="0"/>
        <w:rPr>
          <w:rFonts w:hint="eastAsia" w:ascii="仿宋" w:hAnsi="仿宋" w:eastAsia="仿宋" w:cs="仿宋"/>
          <w:b/>
          <w:color w:val="auto"/>
          <w:kern w:val="0"/>
          <w:sz w:val="36"/>
          <w:szCs w:val="36"/>
        </w:rPr>
      </w:pPr>
    </w:p>
    <w:p w14:paraId="27549F9C">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18A0588A">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4155562C">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1DB46DBC">
      <w:pPr>
        <w:spacing w:line="336" w:lineRule="auto"/>
        <w:jc w:val="center"/>
        <w:outlineLvl w:val="0"/>
        <w:rPr>
          <w:rFonts w:ascii="仿宋" w:hAnsi="仿宋" w:eastAsia="仿宋" w:cs="仿宋"/>
          <w:b/>
          <w:color w:val="auto"/>
          <w:kern w:val="0"/>
          <w:sz w:val="36"/>
          <w:szCs w:val="36"/>
        </w:rPr>
      </w:pPr>
    </w:p>
    <w:p w14:paraId="52E4770B">
      <w:pPr>
        <w:snapToGrid w:val="0"/>
        <w:spacing w:line="336" w:lineRule="auto"/>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1）磋商一览表………………………………………………………………………（页码）</w:t>
      </w:r>
    </w:p>
    <w:p w14:paraId="26CDADBD">
      <w:pPr>
        <w:snapToGrid w:val="0"/>
        <w:spacing w:line="336" w:lineRule="auto"/>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ascii="仿宋" w:hAnsi="仿宋" w:eastAsia="仿宋" w:cs="仿宋"/>
          <w:color w:val="auto"/>
          <w:sz w:val="24"/>
        </w:rPr>
        <w:t>）</w:t>
      </w:r>
      <w:r>
        <w:rPr>
          <w:rFonts w:hint="eastAsia" w:ascii="仿宋" w:hAnsi="仿宋" w:eastAsia="仿宋" w:cs="仿宋"/>
          <w:color w:val="auto"/>
          <w:sz w:val="24"/>
          <w:highlight w:val="none"/>
          <w:lang w:val="en-US" w:eastAsia="zh-CN"/>
        </w:rPr>
        <w:t>磋商响应方针对报价需要说明的其他文件和说明（如果有）</w:t>
      </w:r>
      <w:r>
        <w:rPr>
          <w:rFonts w:ascii="仿宋" w:hAnsi="仿宋" w:eastAsia="仿宋" w:cs="仿宋"/>
          <w:color w:val="auto"/>
          <w:sz w:val="24"/>
        </w:rPr>
        <w:t>………………（页码）</w:t>
      </w:r>
    </w:p>
    <w:p w14:paraId="3499CDEB">
      <w:pPr>
        <w:pStyle w:val="73"/>
        <w:rPr>
          <w:color w:val="auto"/>
        </w:rPr>
      </w:pPr>
    </w:p>
    <w:p w14:paraId="5CBD7725">
      <w:pPr>
        <w:snapToGrid w:val="0"/>
        <w:spacing w:line="336" w:lineRule="auto"/>
        <w:jc w:val="center"/>
        <w:rPr>
          <w:rFonts w:ascii="仿宋" w:hAnsi="仿宋" w:eastAsia="仿宋" w:cs="仿宋"/>
          <w:b/>
          <w:color w:val="auto"/>
          <w:kern w:val="0"/>
          <w:sz w:val="32"/>
          <w:szCs w:val="32"/>
        </w:rPr>
      </w:pPr>
    </w:p>
    <w:p w14:paraId="352910B8">
      <w:pPr>
        <w:spacing w:line="336" w:lineRule="auto"/>
        <w:jc w:val="center"/>
        <w:rPr>
          <w:rFonts w:ascii="仿宋" w:hAnsi="仿宋" w:eastAsia="仿宋" w:cs="仿宋"/>
          <w:b/>
          <w:bCs/>
          <w:color w:val="auto"/>
          <w:sz w:val="32"/>
          <w:szCs w:val="32"/>
        </w:rPr>
      </w:pPr>
    </w:p>
    <w:p w14:paraId="7D53D5A4">
      <w:pPr>
        <w:widowControl/>
        <w:adjustRightInd/>
        <w:spacing w:line="336" w:lineRule="auto"/>
        <w:jc w:val="left"/>
        <w:rPr>
          <w:rFonts w:ascii="仿宋" w:hAnsi="仿宋" w:eastAsia="仿宋" w:cs="仿宋"/>
          <w:b/>
          <w:bCs/>
          <w:color w:val="auto"/>
          <w:sz w:val="30"/>
          <w:szCs w:val="30"/>
        </w:rPr>
      </w:pPr>
    </w:p>
    <w:p w14:paraId="5A967FE7">
      <w:pPr>
        <w:widowControl/>
        <w:adjustRightInd/>
        <w:spacing w:line="336" w:lineRule="auto"/>
        <w:jc w:val="left"/>
        <w:rPr>
          <w:rFonts w:ascii="仿宋" w:hAnsi="仿宋" w:eastAsia="仿宋" w:cs="仿宋"/>
          <w:color w:val="auto"/>
          <w:sz w:val="32"/>
          <w:szCs w:val="32"/>
        </w:rPr>
        <w:sectPr>
          <w:headerReference r:id="rId8" w:type="first"/>
          <w:footerReference r:id="rId11" w:type="first"/>
          <w:headerReference r:id="rId7" w:type="default"/>
          <w:footerReference r:id="rId9" w:type="default"/>
          <w:footerReference r:id="rId10" w:type="even"/>
          <w:pgSz w:w="11906" w:h="16838"/>
          <w:pgMar w:top="1814" w:right="1474" w:bottom="1814" w:left="1474" w:header="851" w:footer="992" w:gutter="0"/>
          <w:pgNumType w:fmt="decimal" w:start="1"/>
          <w:cols w:space="720" w:num="1"/>
          <w:titlePg/>
          <w:docGrid w:linePitch="312" w:charSpace="0"/>
        </w:sectPr>
      </w:pPr>
      <w:r>
        <w:rPr>
          <w:rFonts w:ascii="仿宋" w:hAnsi="仿宋" w:eastAsia="仿宋" w:cs="仿宋"/>
          <w:b/>
          <w:color w:val="auto"/>
          <w:sz w:val="36"/>
          <w:szCs w:val="36"/>
        </w:rPr>
        <w:br w:type="page"/>
      </w:r>
    </w:p>
    <w:p w14:paraId="5393DE4E">
      <w:pPr>
        <w:snapToGrid w:val="0"/>
        <w:spacing w:before="50" w:after="120" w:afterLines="50"/>
        <w:jc w:val="center"/>
        <w:rPr>
          <w:rFonts w:ascii="仿宋" w:hAnsi="仿宋" w:eastAsia="仿宋" w:cs="仿宋"/>
          <w:b/>
          <w:bCs/>
          <w:color w:val="auto"/>
          <w:sz w:val="28"/>
          <w:szCs w:val="28"/>
        </w:rPr>
      </w:pPr>
      <w:bookmarkStart w:id="79" w:name="_Toc465665161"/>
      <w:r>
        <w:rPr>
          <w:rFonts w:hint="eastAsia" w:ascii="仿宋_GB2312" w:hAnsi="仿宋_GB2312" w:eastAsia="仿宋_GB2312" w:cs="仿宋_GB2312"/>
          <w:b/>
          <w:color w:val="auto"/>
          <w:kern w:val="2"/>
          <w:sz w:val="30"/>
          <w:szCs w:val="30"/>
          <w:lang w:val="en-US" w:eastAsia="zh-CN" w:bidi="ar-SA"/>
        </w:rPr>
        <w:t>一、磋商一览表</w:t>
      </w:r>
    </w:p>
    <w:p w14:paraId="6328E5E9">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项目名称：                                        项目编号：   </w:t>
      </w:r>
    </w:p>
    <w:p w14:paraId="709865B9">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jc w:val="right"/>
        <w:textAlignment w:val="auto"/>
        <w:rPr>
          <w:rFonts w:ascii="仿宋" w:hAnsi="仿宋" w:eastAsia="仿宋" w:cs="仿宋"/>
          <w:b/>
          <w:bCs/>
          <w:color w:val="auto"/>
          <w:sz w:val="24"/>
          <w:szCs w:val="24"/>
        </w:rPr>
      </w:pPr>
      <w:r>
        <w:rPr>
          <w:rFonts w:hint="eastAsia" w:ascii="仿宋" w:hAnsi="仿宋" w:eastAsia="仿宋" w:cs="仿宋"/>
          <w:color w:val="auto"/>
          <w:sz w:val="24"/>
          <w:szCs w:val="24"/>
        </w:rPr>
        <w:t xml:space="preserve">单位：元                </w:t>
      </w:r>
      <w:r>
        <w:rPr>
          <w:rFonts w:hint="eastAsia" w:ascii="仿宋" w:hAnsi="仿宋" w:eastAsia="仿宋" w:cs="仿宋"/>
          <w:b/>
          <w:bCs/>
          <w:color w:val="auto"/>
          <w:sz w:val="24"/>
          <w:szCs w:val="24"/>
        </w:rPr>
        <w:t xml:space="preserve"> </w:t>
      </w:r>
    </w:p>
    <w:tbl>
      <w:tblPr>
        <w:tblStyle w:val="61"/>
        <w:tblW w:w="9261"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20"/>
        <w:gridCol w:w="1581"/>
        <w:gridCol w:w="775"/>
        <w:gridCol w:w="1460"/>
        <w:gridCol w:w="1245"/>
        <w:gridCol w:w="1945"/>
      </w:tblGrid>
      <w:tr w14:paraId="3422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35" w:type="dxa"/>
            <w:noWrap w:val="0"/>
            <w:vAlign w:val="center"/>
          </w:tcPr>
          <w:p w14:paraId="49E73EE3">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520" w:type="dxa"/>
            <w:noWrap w:val="0"/>
            <w:vAlign w:val="center"/>
          </w:tcPr>
          <w:p w14:paraId="270CE697">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名称</w:t>
            </w:r>
          </w:p>
        </w:tc>
        <w:tc>
          <w:tcPr>
            <w:tcW w:w="1581" w:type="dxa"/>
            <w:noWrap w:val="0"/>
            <w:vAlign w:val="center"/>
          </w:tcPr>
          <w:p w14:paraId="69D61AFB">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规格</w:t>
            </w:r>
          </w:p>
        </w:tc>
        <w:tc>
          <w:tcPr>
            <w:tcW w:w="775" w:type="dxa"/>
            <w:noWrap w:val="0"/>
            <w:vAlign w:val="center"/>
          </w:tcPr>
          <w:p w14:paraId="6E298443">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单位</w:t>
            </w:r>
          </w:p>
        </w:tc>
        <w:tc>
          <w:tcPr>
            <w:tcW w:w="1460" w:type="dxa"/>
            <w:noWrap w:val="0"/>
            <w:vAlign w:val="center"/>
          </w:tcPr>
          <w:p w14:paraId="2048EF7A">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60000元/吨基础铜价时的单价最高限价（元）</w:t>
            </w:r>
          </w:p>
        </w:tc>
        <w:tc>
          <w:tcPr>
            <w:tcW w:w="1245" w:type="dxa"/>
            <w:noWrap w:val="0"/>
            <w:vAlign w:val="center"/>
          </w:tcPr>
          <w:p w14:paraId="6536A78B">
            <w:pPr>
              <w:adjustRightInd/>
              <w:spacing w:line="400" w:lineRule="exact"/>
              <w:jc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60000元/吨基础铜价时的单价报价（元）</w:t>
            </w:r>
          </w:p>
        </w:tc>
        <w:tc>
          <w:tcPr>
            <w:tcW w:w="1945" w:type="dxa"/>
            <w:noWrap w:val="0"/>
            <w:vAlign w:val="center"/>
          </w:tcPr>
          <w:p w14:paraId="0D557122">
            <w:pPr>
              <w:adjustRightInd/>
              <w:jc w:val="center"/>
              <w:rPr>
                <w:rFonts w:hint="eastAsia" w:ascii="仿宋" w:hAnsi="仿宋" w:eastAsia="仿宋" w:cs="仿宋"/>
                <w:b/>
                <w:bCs/>
                <w:color w:val="auto"/>
                <w:sz w:val="24"/>
                <w:szCs w:val="24"/>
              </w:rPr>
            </w:pPr>
            <w:r>
              <w:rPr>
                <w:rFonts w:hint="eastAsia" w:ascii="仿宋" w:hAnsi="仿宋" w:eastAsia="仿宋" w:cs="仿宋"/>
                <w:color w:val="auto"/>
                <w:kern w:val="0"/>
                <w:sz w:val="24"/>
                <w:szCs w:val="24"/>
              </w:rPr>
              <w:t>以基础铜价为基准，在铜价每</w:t>
            </w:r>
            <w:r>
              <w:rPr>
                <w:rFonts w:hint="eastAsia" w:ascii="仿宋" w:hAnsi="仿宋" w:eastAsia="仿宋" w:cs="仿宋"/>
                <w:color w:val="auto"/>
                <w:kern w:val="0"/>
                <w:sz w:val="24"/>
                <w:szCs w:val="24"/>
                <w:highlight w:val="none"/>
              </w:rPr>
              <w:t>上</w:t>
            </w:r>
            <w:r>
              <w:rPr>
                <w:rFonts w:hint="eastAsia" w:ascii="仿宋" w:hAnsi="仿宋" w:eastAsia="仿宋" w:cs="仿宋"/>
                <w:color w:val="auto"/>
                <w:kern w:val="0"/>
                <w:sz w:val="24"/>
                <w:szCs w:val="24"/>
                <w:highlight w:val="none"/>
                <w:lang w:val="en-US" w:eastAsia="zh-CN"/>
              </w:rPr>
              <w:t>下</w:t>
            </w:r>
            <w:r>
              <w:rPr>
                <w:rFonts w:hint="eastAsia" w:ascii="仿宋" w:hAnsi="仿宋" w:eastAsia="仿宋" w:cs="仿宋"/>
                <w:color w:val="auto"/>
                <w:kern w:val="0"/>
                <w:sz w:val="24"/>
                <w:szCs w:val="24"/>
                <w:highlight w:val="none"/>
              </w:rPr>
              <w:t>浮</w:t>
            </w:r>
            <w:r>
              <w:rPr>
                <w:rFonts w:hint="eastAsia" w:ascii="仿宋" w:hAnsi="仿宋" w:eastAsia="仿宋" w:cs="仿宋"/>
                <w:color w:val="auto"/>
                <w:kern w:val="0"/>
                <w:sz w:val="24"/>
                <w:szCs w:val="24"/>
              </w:rPr>
              <w:t>1000元/吨（含）时，每</w:t>
            </w:r>
            <w:r>
              <w:rPr>
                <w:rFonts w:hint="eastAsia" w:ascii="仿宋" w:hAnsi="仿宋" w:eastAsia="仿宋" w:cs="仿宋"/>
                <w:color w:val="auto"/>
                <w:kern w:val="0"/>
                <w:sz w:val="24"/>
                <w:szCs w:val="24"/>
                <w:lang w:val="en-US" w:eastAsia="zh-CN"/>
              </w:rPr>
              <w:t>千</w:t>
            </w:r>
            <w:r>
              <w:rPr>
                <w:rFonts w:hint="eastAsia" w:ascii="仿宋" w:hAnsi="仿宋" w:eastAsia="仿宋" w:cs="仿宋"/>
                <w:color w:val="auto"/>
                <w:kern w:val="0"/>
                <w:sz w:val="24"/>
                <w:szCs w:val="24"/>
              </w:rPr>
              <w:t>米电源线对应浮</w:t>
            </w:r>
            <w:r>
              <w:rPr>
                <w:rFonts w:hint="eastAsia" w:ascii="仿宋" w:hAnsi="仿宋" w:eastAsia="仿宋" w:cs="仿宋"/>
                <w:color w:val="auto"/>
                <w:kern w:val="0"/>
                <w:sz w:val="24"/>
                <w:szCs w:val="24"/>
                <w:lang w:val="en-US" w:eastAsia="zh-CN"/>
              </w:rPr>
              <w:t>动</w:t>
            </w:r>
            <w:r>
              <w:rPr>
                <w:rFonts w:hint="eastAsia" w:ascii="仿宋" w:hAnsi="仿宋" w:eastAsia="仿宋" w:cs="仿宋"/>
                <w:color w:val="auto"/>
                <w:kern w:val="0"/>
                <w:sz w:val="24"/>
                <w:szCs w:val="24"/>
              </w:rPr>
              <w:t>价格不超过（元）</w:t>
            </w:r>
          </w:p>
        </w:tc>
      </w:tr>
      <w:tr w14:paraId="401F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59303F0C">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1520" w:type="dxa"/>
            <w:noWrap w:val="0"/>
            <w:vAlign w:val="center"/>
          </w:tcPr>
          <w:p w14:paraId="0641AF96">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2F2BF8A0">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BVVB 2*1.5</w:t>
            </w:r>
          </w:p>
        </w:tc>
        <w:tc>
          <w:tcPr>
            <w:tcW w:w="775" w:type="dxa"/>
            <w:noWrap w:val="0"/>
            <w:vAlign w:val="center"/>
          </w:tcPr>
          <w:p w14:paraId="4289CF6D">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千米</w:t>
            </w:r>
          </w:p>
        </w:tc>
        <w:tc>
          <w:tcPr>
            <w:tcW w:w="1460" w:type="dxa"/>
            <w:noWrap w:val="0"/>
            <w:vAlign w:val="center"/>
          </w:tcPr>
          <w:p w14:paraId="7F47C2E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3690</w:t>
            </w:r>
          </w:p>
        </w:tc>
        <w:tc>
          <w:tcPr>
            <w:tcW w:w="1245" w:type="dxa"/>
            <w:noWrap w:val="0"/>
            <w:vAlign w:val="center"/>
          </w:tcPr>
          <w:p w14:paraId="4D8BB8D5">
            <w:pPr>
              <w:adjustRightInd/>
              <w:spacing w:line="400" w:lineRule="exact"/>
              <w:jc w:val="both"/>
              <w:rPr>
                <w:rFonts w:hint="eastAsia" w:ascii="仿宋" w:hAnsi="仿宋" w:eastAsia="仿宋" w:cs="仿宋"/>
                <w:color w:val="auto"/>
                <w:sz w:val="24"/>
                <w:szCs w:val="24"/>
              </w:rPr>
            </w:pPr>
          </w:p>
        </w:tc>
        <w:tc>
          <w:tcPr>
            <w:tcW w:w="1945" w:type="dxa"/>
            <w:noWrap w:val="0"/>
            <w:vAlign w:val="center"/>
          </w:tcPr>
          <w:p w14:paraId="61F598F9">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±22</w:t>
            </w:r>
          </w:p>
        </w:tc>
      </w:tr>
      <w:tr w14:paraId="077F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35" w:type="dxa"/>
            <w:noWrap w:val="0"/>
            <w:vAlign w:val="center"/>
          </w:tcPr>
          <w:p w14:paraId="30F0FFEE">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1520" w:type="dxa"/>
            <w:noWrap w:val="0"/>
            <w:vAlign w:val="center"/>
          </w:tcPr>
          <w:p w14:paraId="3D0DAD0D">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17871782">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BVVB 2*2.5</w:t>
            </w:r>
          </w:p>
        </w:tc>
        <w:tc>
          <w:tcPr>
            <w:tcW w:w="775" w:type="dxa"/>
            <w:noWrap w:val="0"/>
            <w:vAlign w:val="center"/>
          </w:tcPr>
          <w:p w14:paraId="23C4A349">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千米</w:t>
            </w:r>
          </w:p>
        </w:tc>
        <w:tc>
          <w:tcPr>
            <w:tcW w:w="1460" w:type="dxa"/>
            <w:noWrap w:val="0"/>
            <w:vAlign w:val="center"/>
          </w:tcPr>
          <w:p w14:paraId="1280554E">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5340</w:t>
            </w:r>
          </w:p>
        </w:tc>
        <w:tc>
          <w:tcPr>
            <w:tcW w:w="1245" w:type="dxa"/>
            <w:noWrap w:val="0"/>
            <w:vAlign w:val="center"/>
          </w:tcPr>
          <w:p w14:paraId="2BB8259F">
            <w:pPr>
              <w:adjustRightInd/>
              <w:spacing w:line="400" w:lineRule="exact"/>
              <w:jc w:val="center"/>
              <w:rPr>
                <w:rFonts w:hint="eastAsia" w:ascii="仿宋" w:hAnsi="仿宋" w:eastAsia="仿宋" w:cs="仿宋"/>
                <w:color w:val="auto"/>
                <w:sz w:val="24"/>
                <w:szCs w:val="24"/>
              </w:rPr>
            </w:pPr>
          </w:p>
        </w:tc>
        <w:tc>
          <w:tcPr>
            <w:tcW w:w="1945" w:type="dxa"/>
            <w:noWrap w:val="0"/>
            <w:vAlign w:val="center"/>
          </w:tcPr>
          <w:p w14:paraId="6DEE0CE8">
            <w:pPr>
              <w:adjustRightInd/>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±28</w:t>
            </w:r>
          </w:p>
        </w:tc>
      </w:tr>
      <w:tr w14:paraId="5994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5" w:type="dxa"/>
            <w:noWrap w:val="0"/>
            <w:vAlign w:val="center"/>
          </w:tcPr>
          <w:p w14:paraId="122B186F">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3</w:t>
            </w:r>
          </w:p>
        </w:tc>
        <w:tc>
          <w:tcPr>
            <w:tcW w:w="1520" w:type="dxa"/>
            <w:noWrap w:val="0"/>
            <w:vAlign w:val="center"/>
          </w:tcPr>
          <w:p w14:paraId="20389D78">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613B56BC">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VV  2*1.5</w:t>
            </w:r>
          </w:p>
        </w:tc>
        <w:tc>
          <w:tcPr>
            <w:tcW w:w="775" w:type="dxa"/>
            <w:noWrap w:val="0"/>
            <w:vAlign w:val="center"/>
          </w:tcPr>
          <w:p w14:paraId="1D77C4BA">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千米</w:t>
            </w:r>
          </w:p>
        </w:tc>
        <w:tc>
          <w:tcPr>
            <w:tcW w:w="1460" w:type="dxa"/>
            <w:noWrap w:val="0"/>
            <w:vAlign w:val="center"/>
          </w:tcPr>
          <w:p w14:paraId="311A8448">
            <w:pPr>
              <w:widowControl/>
              <w:adjustRightInd/>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5380</w:t>
            </w:r>
          </w:p>
        </w:tc>
        <w:tc>
          <w:tcPr>
            <w:tcW w:w="1245" w:type="dxa"/>
            <w:noWrap w:val="0"/>
            <w:vAlign w:val="center"/>
          </w:tcPr>
          <w:p w14:paraId="0C5C5B2A">
            <w:pPr>
              <w:widowControl/>
              <w:adjustRightInd/>
              <w:jc w:val="center"/>
              <w:textAlignment w:val="center"/>
              <w:rPr>
                <w:rFonts w:hint="eastAsia" w:ascii="仿宋" w:hAnsi="仿宋" w:eastAsia="仿宋" w:cs="仿宋"/>
                <w:color w:val="auto"/>
                <w:kern w:val="0"/>
                <w:sz w:val="24"/>
                <w:szCs w:val="24"/>
                <w:lang w:bidi="ar"/>
              </w:rPr>
            </w:pPr>
          </w:p>
        </w:tc>
        <w:tc>
          <w:tcPr>
            <w:tcW w:w="1945" w:type="dxa"/>
            <w:noWrap w:val="0"/>
            <w:vAlign w:val="center"/>
          </w:tcPr>
          <w:p w14:paraId="47EDC634">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±88</w:t>
            </w:r>
          </w:p>
        </w:tc>
      </w:tr>
      <w:tr w14:paraId="22F3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5" w:type="dxa"/>
            <w:noWrap w:val="0"/>
            <w:vAlign w:val="center"/>
          </w:tcPr>
          <w:p w14:paraId="675732FC">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4</w:t>
            </w:r>
          </w:p>
        </w:tc>
        <w:tc>
          <w:tcPr>
            <w:tcW w:w="1520" w:type="dxa"/>
            <w:noWrap w:val="0"/>
            <w:vAlign w:val="center"/>
          </w:tcPr>
          <w:p w14:paraId="1528E7C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3FC73F16">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VV  2*2.5</w:t>
            </w:r>
          </w:p>
        </w:tc>
        <w:tc>
          <w:tcPr>
            <w:tcW w:w="775" w:type="dxa"/>
            <w:noWrap w:val="0"/>
            <w:vAlign w:val="center"/>
          </w:tcPr>
          <w:p w14:paraId="0D8FFFD9">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千米</w:t>
            </w:r>
          </w:p>
        </w:tc>
        <w:tc>
          <w:tcPr>
            <w:tcW w:w="1460" w:type="dxa"/>
            <w:noWrap w:val="0"/>
            <w:vAlign w:val="center"/>
          </w:tcPr>
          <w:p w14:paraId="24DEE242">
            <w:pPr>
              <w:widowControl/>
              <w:adjustRightInd/>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6490</w:t>
            </w:r>
          </w:p>
        </w:tc>
        <w:tc>
          <w:tcPr>
            <w:tcW w:w="1245" w:type="dxa"/>
            <w:noWrap w:val="0"/>
            <w:vAlign w:val="center"/>
          </w:tcPr>
          <w:p w14:paraId="73A8C9F2">
            <w:pPr>
              <w:widowControl/>
              <w:adjustRightInd/>
              <w:jc w:val="center"/>
              <w:textAlignment w:val="center"/>
              <w:rPr>
                <w:rFonts w:hint="eastAsia" w:ascii="仿宋" w:hAnsi="仿宋" w:eastAsia="仿宋" w:cs="仿宋"/>
                <w:color w:val="auto"/>
                <w:kern w:val="0"/>
                <w:sz w:val="24"/>
                <w:szCs w:val="24"/>
                <w:lang w:bidi="ar"/>
              </w:rPr>
            </w:pPr>
          </w:p>
        </w:tc>
        <w:tc>
          <w:tcPr>
            <w:tcW w:w="1945" w:type="dxa"/>
            <w:noWrap w:val="0"/>
            <w:vAlign w:val="center"/>
          </w:tcPr>
          <w:p w14:paraId="1EF16E58">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w:t>
            </w:r>
            <w:r>
              <w:rPr>
                <w:rFonts w:hint="eastAsia" w:ascii="仿宋" w:hAnsi="仿宋" w:eastAsia="仿宋" w:cs="仿宋"/>
                <w:color w:val="auto"/>
                <w:kern w:val="0"/>
                <w:sz w:val="24"/>
                <w:szCs w:val="24"/>
                <w:lang w:val="en-US" w:eastAsia="zh-CN"/>
              </w:rPr>
              <w:t>0</w:t>
            </w:r>
          </w:p>
        </w:tc>
      </w:tr>
      <w:tr w14:paraId="53CD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29727C17">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5</w:t>
            </w:r>
          </w:p>
        </w:tc>
        <w:tc>
          <w:tcPr>
            <w:tcW w:w="1520" w:type="dxa"/>
            <w:noWrap w:val="0"/>
            <w:vAlign w:val="center"/>
          </w:tcPr>
          <w:p w14:paraId="64C01DEB">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4B566EF0">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2*1.5</w:t>
            </w:r>
          </w:p>
        </w:tc>
        <w:tc>
          <w:tcPr>
            <w:tcW w:w="775" w:type="dxa"/>
            <w:noWrap w:val="0"/>
            <w:vAlign w:val="center"/>
          </w:tcPr>
          <w:p w14:paraId="248E67DE">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千米</w:t>
            </w:r>
          </w:p>
        </w:tc>
        <w:tc>
          <w:tcPr>
            <w:tcW w:w="1460" w:type="dxa"/>
            <w:noWrap w:val="0"/>
            <w:vAlign w:val="center"/>
          </w:tcPr>
          <w:p w14:paraId="491F8A7A">
            <w:pPr>
              <w:widowControl/>
              <w:adjustRightInd/>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5980</w:t>
            </w:r>
          </w:p>
        </w:tc>
        <w:tc>
          <w:tcPr>
            <w:tcW w:w="1245" w:type="dxa"/>
            <w:noWrap w:val="0"/>
            <w:vAlign w:val="center"/>
          </w:tcPr>
          <w:p w14:paraId="10071221">
            <w:pPr>
              <w:widowControl/>
              <w:adjustRightInd/>
              <w:jc w:val="center"/>
              <w:textAlignment w:val="center"/>
              <w:rPr>
                <w:rFonts w:hint="eastAsia" w:ascii="仿宋" w:hAnsi="仿宋" w:eastAsia="仿宋" w:cs="仿宋"/>
                <w:color w:val="auto"/>
                <w:kern w:val="0"/>
                <w:sz w:val="24"/>
                <w:szCs w:val="24"/>
                <w:lang w:bidi="ar"/>
              </w:rPr>
            </w:pPr>
          </w:p>
        </w:tc>
        <w:tc>
          <w:tcPr>
            <w:tcW w:w="1945" w:type="dxa"/>
            <w:noWrap w:val="0"/>
            <w:vAlign w:val="center"/>
          </w:tcPr>
          <w:p w14:paraId="0F8BE9E1">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±88</w:t>
            </w:r>
          </w:p>
        </w:tc>
      </w:tr>
      <w:tr w14:paraId="57AA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70016CA7">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6</w:t>
            </w:r>
          </w:p>
        </w:tc>
        <w:tc>
          <w:tcPr>
            <w:tcW w:w="1520" w:type="dxa"/>
            <w:noWrap w:val="0"/>
            <w:vAlign w:val="center"/>
          </w:tcPr>
          <w:p w14:paraId="09C3787F">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5903010F">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2*2.5</w:t>
            </w:r>
          </w:p>
        </w:tc>
        <w:tc>
          <w:tcPr>
            <w:tcW w:w="775" w:type="dxa"/>
            <w:noWrap w:val="0"/>
            <w:vAlign w:val="center"/>
          </w:tcPr>
          <w:p w14:paraId="0FFA40F2">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千米</w:t>
            </w:r>
          </w:p>
        </w:tc>
        <w:tc>
          <w:tcPr>
            <w:tcW w:w="1460" w:type="dxa"/>
            <w:noWrap w:val="0"/>
            <w:vAlign w:val="center"/>
          </w:tcPr>
          <w:p w14:paraId="1AF7AEBC">
            <w:pPr>
              <w:widowControl/>
              <w:adjustRightInd/>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7590</w:t>
            </w:r>
          </w:p>
        </w:tc>
        <w:tc>
          <w:tcPr>
            <w:tcW w:w="1245" w:type="dxa"/>
            <w:noWrap w:val="0"/>
            <w:vAlign w:val="center"/>
          </w:tcPr>
          <w:p w14:paraId="7D2361F3">
            <w:pPr>
              <w:widowControl/>
              <w:adjustRightInd/>
              <w:jc w:val="center"/>
              <w:textAlignment w:val="center"/>
              <w:rPr>
                <w:rFonts w:hint="eastAsia" w:ascii="仿宋" w:hAnsi="仿宋" w:eastAsia="仿宋" w:cs="仿宋"/>
                <w:color w:val="auto"/>
                <w:kern w:val="0"/>
                <w:sz w:val="24"/>
                <w:szCs w:val="24"/>
                <w:lang w:bidi="ar"/>
              </w:rPr>
            </w:pPr>
          </w:p>
        </w:tc>
        <w:tc>
          <w:tcPr>
            <w:tcW w:w="1945" w:type="dxa"/>
            <w:noWrap w:val="0"/>
            <w:vAlign w:val="center"/>
          </w:tcPr>
          <w:p w14:paraId="31385E7D">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w:t>
            </w:r>
            <w:r>
              <w:rPr>
                <w:rFonts w:hint="eastAsia" w:ascii="仿宋" w:hAnsi="仿宋" w:eastAsia="仿宋" w:cs="仿宋"/>
                <w:color w:val="auto"/>
                <w:kern w:val="0"/>
                <w:sz w:val="24"/>
                <w:szCs w:val="24"/>
                <w:lang w:val="en-US" w:eastAsia="zh-CN"/>
              </w:rPr>
              <w:t>0</w:t>
            </w:r>
          </w:p>
        </w:tc>
      </w:tr>
      <w:tr w14:paraId="268B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13DC3DFD">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7</w:t>
            </w:r>
          </w:p>
        </w:tc>
        <w:tc>
          <w:tcPr>
            <w:tcW w:w="1520" w:type="dxa"/>
            <w:noWrap w:val="0"/>
            <w:vAlign w:val="center"/>
          </w:tcPr>
          <w:p w14:paraId="08054A88">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0E44CA3B">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2*4</w:t>
            </w:r>
          </w:p>
        </w:tc>
        <w:tc>
          <w:tcPr>
            <w:tcW w:w="775" w:type="dxa"/>
            <w:noWrap w:val="0"/>
            <w:vAlign w:val="center"/>
          </w:tcPr>
          <w:p w14:paraId="58363BD9">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千米</w:t>
            </w:r>
          </w:p>
        </w:tc>
        <w:tc>
          <w:tcPr>
            <w:tcW w:w="1460" w:type="dxa"/>
            <w:noWrap w:val="0"/>
            <w:vAlign w:val="center"/>
          </w:tcPr>
          <w:p w14:paraId="3CAF33F7">
            <w:pPr>
              <w:widowControl/>
              <w:adjustRightInd/>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10860</w:t>
            </w:r>
          </w:p>
        </w:tc>
        <w:tc>
          <w:tcPr>
            <w:tcW w:w="1245" w:type="dxa"/>
            <w:noWrap w:val="0"/>
            <w:vAlign w:val="center"/>
          </w:tcPr>
          <w:p w14:paraId="1B4EC4FF">
            <w:pPr>
              <w:widowControl/>
              <w:adjustRightInd/>
              <w:jc w:val="center"/>
              <w:textAlignment w:val="center"/>
              <w:rPr>
                <w:rFonts w:hint="eastAsia" w:ascii="仿宋" w:hAnsi="仿宋" w:eastAsia="仿宋" w:cs="仿宋"/>
                <w:color w:val="auto"/>
                <w:kern w:val="0"/>
                <w:sz w:val="24"/>
                <w:szCs w:val="24"/>
                <w:lang w:bidi="ar"/>
              </w:rPr>
            </w:pPr>
          </w:p>
        </w:tc>
        <w:tc>
          <w:tcPr>
            <w:tcW w:w="1945" w:type="dxa"/>
            <w:noWrap w:val="0"/>
            <w:vAlign w:val="center"/>
          </w:tcPr>
          <w:p w14:paraId="55E39A8C">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±15</w:t>
            </w:r>
            <w:r>
              <w:rPr>
                <w:rFonts w:hint="eastAsia" w:ascii="仿宋" w:hAnsi="仿宋" w:eastAsia="仿宋" w:cs="仿宋"/>
                <w:color w:val="auto"/>
                <w:kern w:val="0"/>
                <w:sz w:val="24"/>
                <w:szCs w:val="24"/>
                <w:lang w:val="en-US" w:eastAsia="zh-CN"/>
              </w:rPr>
              <w:t>0</w:t>
            </w:r>
          </w:p>
        </w:tc>
      </w:tr>
      <w:tr w14:paraId="69AC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02F705BB">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8</w:t>
            </w:r>
          </w:p>
        </w:tc>
        <w:tc>
          <w:tcPr>
            <w:tcW w:w="1520" w:type="dxa"/>
            <w:noWrap w:val="0"/>
            <w:vAlign w:val="center"/>
          </w:tcPr>
          <w:p w14:paraId="58594750">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5ED154F0">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2*6</w:t>
            </w:r>
          </w:p>
        </w:tc>
        <w:tc>
          <w:tcPr>
            <w:tcW w:w="775" w:type="dxa"/>
            <w:noWrap w:val="0"/>
            <w:vAlign w:val="center"/>
          </w:tcPr>
          <w:p w14:paraId="3946564C">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千米</w:t>
            </w:r>
          </w:p>
        </w:tc>
        <w:tc>
          <w:tcPr>
            <w:tcW w:w="1460" w:type="dxa"/>
            <w:noWrap w:val="0"/>
            <w:vAlign w:val="center"/>
          </w:tcPr>
          <w:p w14:paraId="1B16F886">
            <w:pPr>
              <w:widowControl/>
              <w:adjustRightInd/>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14980</w:t>
            </w:r>
          </w:p>
        </w:tc>
        <w:tc>
          <w:tcPr>
            <w:tcW w:w="1245" w:type="dxa"/>
            <w:noWrap w:val="0"/>
            <w:vAlign w:val="center"/>
          </w:tcPr>
          <w:p w14:paraId="01455607">
            <w:pPr>
              <w:widowControl/>
              <w:adjustRightInd/>
              <w:jc w:val="center"/>
              <w:textAlignment w:val="center"/>
              <w:rPr>
                <w:rFonts w:hint="eastAsia" w:ascii="仿宋" w:hAnsi="仿宋" w:eastAsia="仿宋" w:cs="仿宋"/>
                <w:color w:val="auto"/>
                <w:kern w:val="0"/>
                <w:sz w:val="24"/>
                <w:szCs w:val="24"/>
                <w:lang w:bidi="ar"/>
              </w:rPr>
            </w:pPr>
          </w:p>
        </w:tc>
        <w:tc>
          <w:tcPr>
            <w:tcW w:w="1945" w:type="dxa"/>
            <w:noWrap w:val="0"/>
            <w:vAlign w:val="center"/>
          </w:tcPr>
          <w:p w14:paraId="12BB6246">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±24</w:t>
            </w:r>
            <w:r>
              <w:rPr>
                <w:rFonts w:hint="eastAsia" w:ascii="仿宋" w:hAnsi="仿宋" w:eastAsia="仿宋" w:cs="仿宋"/>
                <w:color w:val="auto"/>
                <w:kern w:val="0"/>
                <w:sz w:val="24"/>
                <w:szCs w:val="24"/>
                <w:lang w:val="en-US" w:eastAsia="zh-CN"/>
              </w:rPr>
              <w:t>0</w:t>
            </w:r>
          </w:p>
        </w:tc>
      </w:tr>
      <w:tr w14:paraId="09B8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319DCE88">
            <w:pPr>
              <w:adjustRightInd/>
              <w:spacing w:line="400" w:lineRule="exact"/>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9</w:t>
            </w:r>
          </w:p>
        </w:tc>
        <w:tc>
          <w:tcPr>
            <w:tcW w:w="1520" w:type="dxa"/>
            <w:noWrap w:val="0"/>
            <w:vAlign w:val="center"/>
          </w:tcPr>
          <w:p w14:paraId="42EF8E4F">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2AC9AC1E">
            <w:pPr>
              <w:adjustRightInd/>
              <w:spacing w:line="400" w:lineRule="exact"/>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RVV</w:t>
            </w:r>
            <w:r>
              <w:rPr>
                <w:rFonts w:hint="eastAsia" w:ascii="仿宋" w:hAnsi="仿宋" w:eastAsia="仿宋" w:cs="仿宋"/>
                <w:color w:val="auto"/>
                <w:kern w:val="0"/>
                <w:sz w:val="24"/>
                <w:szCs w:val="24"/>
              </w:rPr>
              <w:t xml:space="preserve"> 2*1.5</w:t>
            </w:r>
          </w:p>
        </w:tc>
        <w:tc>
          <w:tcPr>
            <w:tcW w:w="775" w:type="dxa"/>
            <w:noWrap w:val="0"/>
            <w:vAlign w:val="center"/>
          </w:tcPr>
          <w:p w14:paraId="73CCAD5E">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千米</w:t>
            </w:r>
          </w:p>
        </w:tc>
        <w:tc>
          <w:tcPr>
            <w:tcW w:w="1460" w:type="dxa"/>
            <w:noWrap w:val="0"/>
            <w:vAlign w:val="center"/>
          </w:tcPr>
          <w:p w14:paraId="0A52145B">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3690</w:t>
            </w:r>
          </w:p>
        </w:tc>
        <w:tc>
          <w:tcPr>
            <w:tcW w:w="1245" w:type="dxa"/>
            <w:noWrap w:val="0"/>
            <w:vAlign w:val="center"/>
          </w:tcPr>
          <w:p w14:paraId="1D1870A7">
            <w:pPr>
              <w:adjustRightInd/>
              <w:spacing w:line="400" w:lineRule="exact"/>
              <w:jc w:val="center"/>
              <w:rPr>
                <w:rFonts w:hint="eastAsia" w:ascii="仿宋" w:hAnsi="仿宋" w:eastAsia="仿宋" w:cs="仿宋"/>
                <w:color w:val="auto"/>
                <w:sz w:val="24"/>
                <w:szCs w:val="24"/>
              </w:rPr>
            </w:pPr>
          </w:p>
        </w:tc>
        <w:tc>
          <w:tcPr>
            <w:tcW w:w="1945" w:type="dxa"/>
            <w:noWrap w:val="0"/>
            <w:vAlign w:val="center"/>
          </w:tcPr>
          <w:p w14:paraId="3DE744B7">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±22</w:t>
            </w:r>
          </w:p>
        </w:tc>
      </w:tr>
      <w:tr w14:paraId="6851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65065DDA">
            <w:pPr>
              <w:adjustRightInd/>
              <w:spacing w:line="400" w:lineRule="exact"/>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w:t>
            </w:r>
          </w:p>
        </w:tc>
        <w:tc>
          <w:tcPr>
            <w:tcW w:w="1520" w:type="dxa"/>
            <w:noWrap w:val="0"/>
            <w:vAlign w:val="center"/>
          </w:tcPr>
          <w:p w14:paraId="6137889D">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216542B6">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RVV</w:t>
            </w:r>
            <w:r>
              <w:rPr>
                <w:rFonts w:hint="eastAsia" w:ascii="仿宋" w:hAnsi="仿宋" w:eastAsia="仿宋" w:cs="仿宋"/>
                <w:color w:val="auto"/>
                <w:kern w:val="0"/>
                <w:sz w:val="24"/>
                <w:szCs w:val="24"/>
              </w:rPr>
              <w:t xml:space="preserve"> 2*2.5</w:t>
            </w:r>
          </w:p>
        </w:tc>
        <w:tc>
          <w:tcPr>
            <w:tcW w:w="775" w:type="dxa"/>
            <w:noWrap w:val="0"/>
            <w:vAlign w:val="center"/>
          </w:tcPr>
          <w:p w14:paraId="3E6D8E59">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千米</w:t>
            </w:r>
          </w:p>
        </w:tc>
        <w:tc>
          <w:tcPr>
            <w:tcW w:w="1460" w:type="dxa"/>
            <w:noWrap w:val="0"/>
            <w:vAlign w:val="center"/>
          </w:tcPr>
          <w:p w14:paraId="147C8A0C">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5340</w:t>
            </w:r>
          </w:p>
        </w:tc>
        <w:tc>
          <w:tcPr>
            <w:tcW w:w="1245" w:type="dxa"/>
            <w:noWrap w:val="0"/>
            <w:vAlign w:val="center"/>
          </w:tcPr>
          <w:p w14:paraId="7D393565">
            <w:pPr>
              <w:adjustRightInd/>
              <w:spacing w:line="400" w:lineRule="exact"/>
              <w:jc w:val="center"/>
              <w:rPr>
                <w:rFonts w:hint="eastAsia" w:ascii="仿宋" w:hAnsi="仿宋" w:eastAsia="仿宋" w:cs="仿宋"/>
                <w:color w:val="auto"/>
                <w:sz w:val="24"/>
                <w:szCs w:val="24"/>
              </w:rPr>
            </w:pPr>
          </w:p>
        </w:tc>
        <w:tc>
          <w:tcPr>
            <w:tcW w:w="1945" w:type="dxa"/>
            <w:noWrap w:val="0"/>
            <w:vAlign w:val="center"/>
          </w:tcPr>
          <w:p w14:paraId="7A6BBCCB">
            <w:pPr>
              <w:adjustRightInd/>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±28</w:t>
            </w:r>
          </w:p>
        </w:tc>
      </w:tr>
      <w:tr w14:paraId="12D1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071" w:type="dxa"/>
            <w:gridSpan w:val="5"/>
            <w:noWrap w:val="0"/>
            <w:vAlign w:val="center"/>
          </w:tcPr>
          <w:p w14:paraId="6271DE69">
            <w:pPr>
              <w:adjustRightInd/>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单价合计</w:t>
            </w:r>
            <w:r>
              <w:rPr>
                <w:rFonts w:hint="eastAsia" w:ascii="仿宋" w:hAnsi="仿宋" w:eastAsia="仿宋" w:cs="仿宋"/>
                <w:color w:val="auto"/>
                <w:kern w:val="0"/>
                <w:sz w:val="24"/>
                <w:szCs w:val="24"/>
                <w:lang w:val="en-US" w:eastAsia="zh-CN"/>
              </w:rPr>
              <w:t>（小写）：</w:t>
            </w:r>
          </w:p>
        </w:tc>
        <w:tc>
          <w:tcPr>
            <w:tcW w:w="3190" w:type="dxa"/>
            <w:gridSpan w:val="2"/>
            <w:noWrap w:val="0"/>
            <w:vAlign w:val="center"/>
          </w:tcPr>
          <w:p w14:paraId="56C8EEDE">
            <w:pPr>
              <w:adjustRightInd/>
              <w:jc w:val="center"/>
              <w:rPr>
                <w:rFonts w:hint="eastAsia" w:ascii="仿宋" w:hAnsi="仿宋" w:eastAsia="仿宋" w:cs="仿宋"/>
                <w:color w:val="auto"/>
                <w:kern w:val="0"/>
                <w:sz w:val="24"/>
                <w:szCs w:val="24"/>
              </w:rPr>
            </w:pPr>
          </w:p>
        </w:tc>
      </w:tr>
      <w:tr w14:paraId="108C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071" w:type="dxa"/>
            <w:gridSpan w:val="5"/>
            <w:noWrap w:val="0"/>
            <w:vAlign w:val="center"/>
          </w:tcPr>
          <w:p w14:paraId="2F814E53">
            <w:pPr>
              <w:adjustRightInd/>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单价合计</w:t>
            </w:r>
            <w:r>
              <w:rPr>
                <w:rFonts w:hint="eastAsia" w:ascii="仿宋" w:hAnsi="仿宋" w:eastAsia="仿宋" w:cs="仿宋"/>
                <w:color w:val="auto"/>
                <w:kern w:val="0"/>
                <w:sz w:val="24"/>
                <w:szCs w:val="24"/>
                <w:lang w:val="en-US" w:eastAsia="zh-CN"/>
              </w:rPr>
              <w:t>（大写）：</w:t>
            </w:r>
          </w:p>
        </w:tc>
        <w:tc>
          <w:tcPr>
            <w:tcW w:w="3190" w:type="dxa"/>
            <w:gridSpan w:val="2"/>
            <w:noWrap w:val="0"/>
            <w:vAlign w:val="center"/>
          </w:tcPr>
          <w:p w14:paraId="0F7B67C4">
            <w:pPr>
              <w:adjustRightInd/>
              <w:jc w:val="center"/>
              <w:rPr>
                <w:rFonts w:hint="eastAsia" w:ascii="仿宋" w:hAnsi="仿宋" w:eastAsia="仿宋" w:cs="仿宋"/>
                <w:color w:val="auto"/>
                <w:kern w:val="0"/>
                <w:sz w:val="24"/>
                <w:szCs w:val="24"/>
              </w:rPr>
            </w:pPr>
          </w:p>
        </w:tc>
      </w:tr>
    </w:tbl>
    <w:p w14:paraId="66937A7A">
      <w:pPr>
        <w:pStyle w:val="76"/>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注：1.报价一经涂改，应在涂改处加盖单位公章或者由法定代表人或授权委托人签字或盖章，否则其投标作无效标处理。</w:t>
      </w:r>
    </w:p>
    <w:p w14:paraId="1B1D4C3D">
      <w:pPr>
        <w:pStyle w:val="76"/>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磋商响应报价是完成本项目服务内容和要求所产生的所有费用，包括但不限于提供服务所需的检测试验费、技术工作费、交通费、人员费、仪器设备采购和使用费、服务费、标准附件、备品备件、验收、质保期内的维护费、专用工具、包装、运输、装卸、培训、保修、企业管理费、保险费、招标代理费、税金等完成合同所需的一切本身和不可或缺的所有工作开支、政策性文件规定计合同包含的所有风险、责任等各项全部费用。</w:t>
      </w:r>
    </w:p>
    <w:p w14:paraId="6D8B1ACC">
      <w:pPr>
        <w:pStyle w:val="638"/>
        <w:tabs>
          <w:tab w:val="left" w:pos="900"/>
        </w:tabs>
        <w:spacing w:after="0" w:afterLines="0"/>
        <w:ind w:left="0" w:firstLine="48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highlight w:val="none"/>
          <w:lang w:val="en-US" w:eastAsia="zh-CN"/>
        </w:rPr>
        <w:t>投标人报价不得超过单价最高限价，否则作无效标处理。</w:t>
      </w:r>
    </w:p>
    <w:p w14:paraId="5A820540">
      <w:pPr>
        <w:pStyle w:val="638"/>
        <w:tabs>
          <w:tab w:val="left" w:pos="900"/>
        </w:tabs>
        <w:spacing w:after="0" w:afterLines="0"/>
        <w:ind w:left="0" w:firstLine="482"/>
        <w:rPr>
          <w:rFonts w:ascii="仿宋" w:hAnsi="仿宋" w:eastAsia="仿宋" w:cs="仿宋"/>
          <w:color w:val="auto"/>
          <w:szCs w:val="24"/>
        </w:rPr>
      </w:pPr>
      <w:r>
        <w:rPr>
          <w:rFonts w:hint="eastAsia" w:ascii="仿宋" w:hAnsi="仿宋" w:eastAsia="仿宋" w:cs="仿宋"/>
          <w:color w:val="auto"/>
          <w:sz w:val="24"/>
          <w:szCs w:val="24"/>
          <w:lang w:val="en-US" w:eastAsia="zh-CN"/>
        </w:rPr>
        <w:t>4.按国家规定由中标人缴纳的各种税收已包含在投标总价内，由中标人向税务机关缴纳。</w:t>
      </w:r>
    </w:p>
    <w:p w14:paraId="529D2D2B">
      <w:pPr>
        <w:snapToGrid w:val="0"/>
        <w:spacing w:before="50" w:after="120" w:afterLines="50" w:line="460" w:lineRule="exact"/>
        <w:jc w:val="left"/>
        <w:rPr>
          <w:rFonts w:ascii="仿宋" w:hAnsi="仿宋" w:eastAsia="仿宋" w:cs="仿宋"/>
          <w:color w:val="auto"/>
          <w:sz w:val="24"/>
          <w:szCs w:val="24"/>
        </w:rPr>
      </w:pPr>
    </w:p>
    <w:p w14:paraId="1285C1A9">
      <w:pPr>
        <w:snapToGrid w:val="0"/>
        <w:spacing w:before="50" w:after="120" w:afterLines="50" w:line="460" w:lineRule="exact"/>
        <w:jc w:val="right"/>
        <w:rPr>
          <w:rFonts w:ascii="仿宋" w:hAnsi="仿宋" w:eastAsia="仿宋" w:cs="仿宋"/>
          <w:color w:val="auto"/>
          <w:sz w:val="24"/>
          <w:szCs w:val="24"/>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全称（</w:t>
      </w:r>
      <w:r>
        <w:rPr>
          <w:rFonts w:hint="eastAsia" w:ascii="仿宋" w:hAnsi="仿宋" w:eastAsia="仿宋" w:cs="仿宋"/>
          <w:color w:val="auto"/>
          <w:sz w:val="24"/>
        </w:rPr>
        <w:t>电子签名</w:t>
      </w:r>
      <w:r>
        <w:rPr>
          <w:rFonts w:hint="eastAsia" w:ascii="仿宋" w:hAnsi="仿宋" w:eastAsia="仿宋" w:cs="仿宋"/>
          <w:color w:val="auto"/>
          <w:sz w:val="24"/>
          <w:szCs w:val="24"/>
        </w:rPr>
        <w:t>）：</w:t>
      </w:r>
    </w:p>
    <w:p w14:paraId="5331660B">
      <w:pPr>
        <w:snapToGrid w:val="0"/>
        <w:spacing w:before="50" w:after="120" w:afterLines="50" w:line="460" w:lineRule="exact"/>
        <w:jc w:val="right"/>
        <w:rPr>
          <w:rFonts w:ascii="仿宋" w:hAnsi="仿宋" w:eastAsia="仿宋" w:cs="仿宋"/>
          <w:color w:val="auto"/>
          <w:sz w:val="24"/>
          <w:szCs w:val="24"/>
        </w:rPr>
      </w:pPr>
      <w:r>
        <w:rPr>
          <w:rFonts w:hint="eastAsia" w:ascii="仿宋" w:hAnsi="仿宋" w:eastAsia="仿宋" w:cs="仿宋"/>
          <w:color w:val="auto"/>
          <w:sz w:val="24"/>
          <w:szCs w:val="24"/>
        </w:rPr>
        <w:t>法定代表或委托代理人（签</w:t>
      </w:r>
      <w:r>
        <w:rPr>
          <w:rFonts w:hint="eastAsia" w:ascii="仿宋" w:hAnsi="仿宋" w:eastAsia="仿宋" w:cs="仿宋"/>
          <w:color w:val="auto"/>
          <w:sz w:val="24"/>
          <w:szCs w:val="24"/>
          <w:lang w:eastAsia="zh-CN"/>
        </w:rPr>
        <w:t>名</w:t>
      </w:r>
      <w:r>
        <w:rPr>
          <w:rFonts w:hint="eastAsia" w:ascii="仿宋" w:hAnsi="仿宋" w:eastAsia="仿宋" w:cs="仿宋"/>
          <w:color w:val="auto"/>
          <w:sz w:val="24"/>
          <w:szCs w:val="24"/>
        </w:rPr>
        <w:t>或盖章）：</w:t>
      </w:r>
    </w:p>
    <w:p w14:paraId="11B58F8C">
      <w:pPr>
        <w:snapToGrid w:val="0"/>
        <w:spacing w:before="50" w:after="120" w:afterLines="50" w:line="460" w:lineRule="exact"/>
        <w:jc w:val="right"/>
        <w:rPr>
          <w:rFonts w:ascii="仿宋" w:hAnsi="仿宋" w:eastAsia="仿宋" w:cs="仿宋"/>
          <w:color w:val="auto"/>
          <w:sz w:val="24"/>
          <w:szCs w:val="24"/>
        </w:rPr>
      </w:pPr>
      <w:r>
        <w:rPr>
          <w:rFonts w:hint="eastAsia" w:ascii="仿宋" w:hAnsi="仿宋" w:eastAsia="仿宋" w:cs="仿宋"/>
          <w:color w:val="auto"/>
          <w:sz w:val="24"/>
          <w:szCs w:val="24"/>
        </w:rPr>
        <w:t>日期：</w:t>
      </w:r>
    </w:p>
    <w:p w14:paraId="2D989C7E">
      <w:pPr>
        <w:widowControl/>
        <w:adjustRightInd/>
        <w:spacing w:line="336" w:lineRule="auto"/>
        <w:jc w:val="left"/>
        <w:rPr>
          <w:rFonts w:ascii="仿宋" w:hAnsi="仿宋" w:eastAsia="仿宋" w:cs="仿宋"/>
          <w:b/>
          <w:color w:val="auto"/>
          <w:sz w:val="32"/>
          <w:szCs w:val="32"/>
        </w:rPr>
      </w:pPr>
    </w:p>
    <w:p w14:paraId="09709006">
      <w:pPr>
        <w:widowControl/>
        <w:adjustRightInd/>
        <w:spacing w:line="336" w:lineRule="auto"/>
        <w:jc w:val="left"/>
        <w:rPr>
          <w:rFonts w:ascii="仿宋" w:hAnsi="仿宋" w:eastAsia="仿宋" w:cs="仿宋"/>
          <w:b/>
          <w:color w:val="auto"/>
          <w:sz w:val="32"/>
          <w:szCs w:val="32"/>
        </w:rPr>
      </w:pPr>
    </w:p>
    <w:p w14:paraId="7DFB9016">
      <w:pPr>
        <w:widowControl/>
        <w:adjustRightInd/>
        <w:spacing w:line="336" w:lineRule="auto"/>
        <w:jc w:val="left"/>
        <w:rPr>
          <w:rFonts w:ascii="仿宋" w:hAnsi="仿宋" w:eastAsia="仿宋" w:cs="仿宋"/>
          <w:b/>
          <w:color w:val="auto"/>
          <w:sz w:val="32"/>
          <w:szCs w:val="32"/>
        </w:rPr>
      </w:pPr>
    </w:p>
    <w:p w14:paraId="79F9339E">
      <w:pPr>
        <w:jc w:val="center"/>
        <w:rPr>
          <w:rFonts w:hint="eastAsia" w:ascii="仿宋_GB2312" w:hAnsi="仿宋_GB2312" w:eastAsia="仿宋_GB2312" w:cs="仿宋_GB2312"/>
          <w:b/>
          <w:color w:val="auto"/>
          <w:kern w:val="2"/>
          <w:sz w:val="30"/>
          <w:szCs w:val="30"/>
          <w:lang w:val="en-US" w:eastAsia="zh-CN" w:bidi="ar-SA"/>
        </w:rPr>
      </w:pPr>
    </w:p>
    <w:p w14:paraId="5FE60DCE">
      <w:pPr>
        <w:jc w:val="center"/>
        <w:rPr>
          <w:rFonts w:hint="eastAsia" w:ascii="仿宋_GB2312" w:hAnsi="仿宋_GB2312" w:eastAsia="仿宋_GB2312" w:cs="仿宋_GB2312"/>
          <w:b/>
          <w:color w:val="auto"/>
          <w:kern w:val="2"/>
          <w:sz w:val="30"/>
          <w:szCs w:val="30"/>
          <w:lang w:val="en-US" w:eastAsia="zh-CN" w:bidi="ar-SA"/>
        </w:rPr>
      </w:pPr>
      <w:r>
        <w:rPr>
          <w:rFonts w:hint="eastAsia" w:ascii="仿宋_GB2312" w:hAnsi="仿宋_GB2312" w:eastAsia="仿宋_GB2312" w:cs="仿宋_GB2312"/>
          <w:b/>
          <w:color w:val="auto"/>
          <w:kern w:val="2"/>
          <w:sz w:val="30"/>
          <w:szCs w:val="30"/>
          <w:lang w:val="en-US" w:eastAsia="zh-CN" w:bidi="ar-SA"/>
        </w:rPr>
        <w:t>二、磋商响应方针对报价需要说明的其他文件和说明（如果有）</w:t>
      </w:r>
    </w:p>
    <w:p w14:paraId="7CF3CC85">
      <w:pPr>
        <w:spacing w:line="336" w:lineRule="auto"/>
        <w:ind w:firstLine="3600" w:firstLineChars="1500"/>
        <w:rPr>
          <w:rFonts w:hint="eastAsia" w:ascii="仿宋" w:hAnsi="仿宋" w:eastAsia="仿宋" w:cs="仿宋"/>
          <w:color w:val="auto"/>
          <w:sz w:val="24"/>
        </w:rPr>
      </w:pPr>
    </w:p>
    <w:p w14:paraId="50AABE4A">
      <w:pPr>
        <w:spacing w:line="336" w:lineRule="auto"/>
        <w:ind w:firstLine="3600" w:firstLineChars="1500"/>
        <w:rPr>
          <w:rFonts w:hint="eastAsia" w:ascii="仿宋" w:hAnsi="仿宋" w:eastAsia="仿宋" w:cs="仿宋"/>
          <w:color w:val="auto"/>
          <w:sz w:val="24"/>
        </w:rPr>
      </w:pPr>
    </w:p>
    <w:p w14:paraId="16813E73">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180E7CD0">
      <w:pPr>
        <w:spacing w:line="336" w:lineRule="auto"/>
        <w:jc w:val="center"/>
        <w:rPr>
          <w:rFonts w:ascii="仿宋" w:hAnsi="仿宋" w:eastAsia="仿宋" w:cs="仿宋"/>
          <w:color w:val="auto"/>
          <w:sz w:val="24"/>
        </w:rPr>
      </w:pPr>
      <w:r>
        <w:rPr>
          <w:rFonts w:ascii="仿宋" w:hAnsi="仿宋" w:eastAsia="仿宋" w:cs="仿宋"/>
          <w:color w:val="auto"/>
          <w:sz w:val="24"/>
        </w:rPr>
        <w:t xml:space="preserve">     日期：  年   月   日</w:t>
      </w:r>
    </w:p>
    <w:p w14:paraId="15C816B2">
      <w:pPr>
        <w:pStyle w:val="2"/>
        <w:numPr>
          <w:ilvl w:val="0"/>
          <w:numId w:val="0"/>
        </w:numPr>
        <w:ind w:leftChars="0"/>
        <w:rPr>
          <w:color w:val="auto"/>
        </w:rPr>
      </w:pPr>
    </w:p>
    <w:p w14:paraId="5F8D1B05">
      <w:pPr>
        <w:pStyle w:val="2"/>
        <w:keepNext w:val="0"/>
        <w:keepLines w:val="0"/>
        <w:pageBreakBefore/>
        <w:widowControl/>
        <w:numPr>
          <w:ilvl w:val="0"/>
          <w:numId w:val="0"/>
        </w:numPr>
        <w:adjustRightInd/>
        <w:spacing w:before="0" w:after="0" w:line="336" w:lineRule="auto"/>
        <w:jc w:val="center"/>
        <w:rPr>
          <w:rFonts w:ascii="仿宋" w:hAnsi="仿宋" w:eastAsia="仿宋" w:cs="仿宋"/>
          <w:color w:val="auto"/>
        </w:rPr>
      </w:pPr>
      <w:r>
        <w:rPr>
          <w:rFonts w:hint="eastAsia" w:ascii="仿宋" w:hAnsi="仿宋" w:eastAsia="仿宋" w:cs="仿宋"/>
          <w:color w:val="auto"/>
        </w:rPr>
        <w:t>附件</w:t>
      </w:r>
      <w:bookmarkEnd w:id="79"/>
    </w:p>
    <w:p w14:paraId="04B4E5DD">
      <w:pPr>
        <w:spacing w:line="336"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ascii="仿宋" w:hAnsi="仿宋" w:eastAsia="仿宋" w:cs="仿宋"/>
          <w:b/>
          <w:color w:val="auto"/>
          <w:spacing w:val="6"/>
          <w:sz w:val="32"/>
          <w:szCs w:val="32"/>
        </w:rPr>
        <w:t>1：质疑函范本及制作说明</w:t>
      </w:r>
    </w:p>
    <w:p w14:paraId="11A625C3">
      <w:pPr>
        <w:spacing w:line="336"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0FC33383">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14:paraId="14CEED1F">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质疑供应商：</w:t>
      </w:r>
    </w:p>
    <w:p w14:paraId="267C83C6">
      <w:pPr>
        <w:snapToGrid w:val="0"/>
        <w:spacing w:line="336" w:lineRule="auto"/>
        <w:rPr>
          <w:rFonts w:ascii="仿宋" w:hAnsi="仿宋" w:eastAsia="仿宋" w:cs="仿宋"/>
          <w:color w:val="auto"/>
          <w:sz w:val="24"/>
        </w:rPr>
      </w:pPr>
      <w:r>
        <w:rPr>
          <w:rFonts w:hint="eastAsia" w:ascii="仿宋" w:hAnsi="仿宋" w:eastAsia="仿宋" w:cs="仿宋"/>
          <w:color w:val="auto"/>
          <w:sz w:val="24"/>
        </w:rPr>
        <w:t>地址：邮编：</w:t>
      </w:r>
    </w:p>
    <w:p w14:paraId="3006A1E6">
      <w:pPr>
        <w:snapToGrid w:val="0"/>
        <w:spacing w:line="336" w:lineRule="auto"/>
        <w:rPr>
          <w:rFonts w:ascii="仿宋" w:hAnsi="仿宋" w:eastAsia="仿宋" w:cs="仿宋"/>
          <w:color w:val="auto"/>
          <w:sz w:val="24"/>
        </w:rPr>
      </w:pPr>
      <w:r>
        <w:rPr>
          <w:rFonts w:hint="eastAsia" w:ascii="仿宋" w:hAnsi="仿宋" w:eastAsia="仿宋" w:cs="仿宋"/>
          <w:color w:val="auto"/>
          <w:sz w:val="24"/>
        </w:rPr>
        <w:t>联系人：联系电话：</w:t>
      </w:r>
    </w:p>
    <w:p w14:paraId="2A69E96C">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授权代表：</w:t>
      </w:r>
    </w:p>
    <w:p w14:paraId="0A74F848">
      <w:pPr>
        <w:snapToGrid w:val="0"/>
        <w:spacing w:line="336" w:lineRule="auto"/>
        <w:rPr>
          <w:rFonts w:ascii="仿宋" w:hAnsi="仿宋" w:eastAsia="仿宋" w:cs="仿宋"/>
          <w:color w:val="auto"/>
          <w:sz w:val="24"/>
        </w:rPr>
      </w:pPr>
      <w:r>
        <w:rPr>
          <w:rFonts w:hint="eastAsia" w:ascii="仿宋" w:hAnsi="仿宋" w:eastAsia="仿宋" w:cs="仿宋"/>
          <w:color w:val="auto"/>
          <w:sz w:val="24"/>
        </w:rPr>
        <w:t>联系电话：</w:t>
      </w:r>
    </w:p>
    <w:p w14:paraId="1FE340CE">
      <w:pPr>
        <w:snapToGrid w:val="0"/>
        <w:spacing w:line="336" w:lineRule="auto"/>
        <w:rPr>
          <w:rFonts w:ascii="仿宋" w:hAnsi="仿宋" w:eastAsia="仿宋" w:cs="仿宋"/>
          <w:color w:val="auto"/>
          <w:sz w:val="24"/>
        </w:rPr>
      </w:pPr>
      <w:r>
        <w:rPr>
          <w:rFonts w:hint="eastAsia" w:ascii="仿宋" w:hAnsi="仿宋" w:eastAsia="仿宋" w:cs="仿宋"/>
          <w:color w:val="auto"/>
          <w:sz w:val="24"/>
        </w:rPr>
        <w:t>地址：邮编：</w:t>
      </w:r>
    </w:p>
    <w:p w14:paraId="4CCA53A2">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14:paraId="2D11AC5B">
      <w:pPr>
        <w:snapToGrid w:val="0"/>
        <w:spacing w:line="336" w:lineRule="auto"/>
        <w:rPr>
          <w:rFonts w:ascii="仿宋" w:hAnsi="仿宋" w:eastAsia="仿宋" w:cs="仿宋"/>
          <w:color w:val="auto"/>
          <w:sz w:val="24"/>
        </w:rPr>
      </w:pPr>
      <w:r>
        <w:rPr>
          <w:rFonts w:hint="eastAsia" w:ascii="仿宋" w:hAnsi="仿宋" w:eastAsia="仿宋" w:cs="仿宋"/>
          <w:color w:val="auto"/>
          <w:sz w:val="24"/>
        </w:rPr>
        <w:t>质疑项目的名称：</w:t>
      </w:r>
    </w:p>
    <w:p w14:paraId="5EA25E91">
      <w:pPr>
        <w:snapToGrid w:val="0"/>
        <w:spacing w:line="336" w:lineRule="auto"/>
        <w:rPr>
          <w:rFonts w:ascii="仿宋" w:hAnsi="仿宋" w:eastAsia="仿宋" w:cs="仿宋"/>
          <w:color w:val="auto"/>
          <w:sz w:val="24"/>
        </w:rPr>
      </w:pPr>
      <w:r>
        <w:rPr>
          <w:rFonts w:hint="eastAsia" w:ascii="仿宋" w:hAnsi="仿宋" w:eastAsia="仿宋" w:cs="仿宋"/>
          <w:color w:val="auto"/>
          <w:sz w:val="24"/>
        </w:rPr>
        <w:t>质疑项目的编号：包号：</w:t>
      </w:r>
    </w:p>
    <w:p w14:paraId="702FED06">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采购人名称：</w:t>
      </w:r>
    </w:p>
    <w:p w14:paraId="55C254B3">
      <w:pPr>
        <w:snapToGrid w:val="0"/>
        <w:spacing w:line="336" w:lineRule="auto"/>
        <w:rPr>
          <w:rFonts w:ascii="仿宋" w:hAnsi="仿宋" w:eastAsia="仿宋" w:cs="仿宋"/>
          <w:color w:val="auto"/>
          <w:sz w:val="24"/>
        </w:rPr>
      </w:pPr>
      <w:r>
        <w:rPr>
          <w:rFonts w:hint="eastAsia" w:ascii="仿宋" w:hAnsi="仿宋" w:eastAsia="仿宋" w:cs="仿宋"/>
          <w:color w:val="auto"/>
          <w:sz w:val="24"/>
        </w:rPr>
        <w:t>采购文件获取日期：</w:t>
      </w:r>
    </w:p>
    <w:p w14:paraId="749335C7">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14:paraId="1FB50A9B">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质疑事项</w:t>
      </w:r>
      <w:r>
        <w:rPr>
          <w:rFonts w:ascii="仿宋" w:hAnsi="仿宋" w:eastAsia="仿宋" w:cs="仿宋"/>
          <w:color w:val="auto"/>
          <w:sz w:val="24"/>
        </w:rPr>
        <w:t>1：</w:t>
      </w:r>
    </w:p>
    <w:p w14:paraId="76A52577">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事实依据：</w:t>
      </w:r>
    </w:p>
    <w:p w14:paraId="0B979CAA">
      <w:pPr>
        <w:snapToGrid w:val="0"/>
        <w:spacing w:line="336" w:lineRule="auto"/>
        <w:rPr>
          <w:rFonts w:ascii="仿宋" w:hAnsi="仿宋" w:eastAsia="仿宋" w:cs="仿宋"/>
          <w:color w:val="auto"/>
          <w:sz w:val="24"/>
        </w:rPr>
      </w:pPr>
    </w:p>
    <w:p w14:paraId="7DBE9995">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法律依据：</w:t>
      </w:r>
    </w:p>
    <w:p w14:paraId="3EE1AE0F">
      <w:pPr>
        <w:snapToGrid w:val="0"/>
        <w:spacing w:line="336" w:lineRule="auto"/>
        <w:rPr>
          <w:rFonts w:ascii="仿宋" w:hAnsi="仿宋" w:eastAsia="仿宋" w:cs="仿宋"/>
          <w:color w:val="auto"/>
          <w:sz w:val="24"/>
          <w:u w:val="dotted"/>
        </w:rPr>
      </w:pPr>
    </w:p>
    <w:p w14:paraId="67407291">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质疑事项</w:t>
      </w:r>
      <w:r>
        <w:rPr>
          <w:rFonts w:ascii="仿宋" w:hAnsi="仿宋" w:eastAsia="仿宋" w:cs="仿宋"/>
          <w:color w:val="auto"/>
          <w:sz w:val="24"/>
        </w:rPr>
        <w:t>2</w:t>
      </w:r>
    </w:p>
    <w:p w14:paraId="19FE31DC">
      <w:pPr>
        <w:snapToGrid w:val="0"/>
        <w:spacing w:line="336" w:lineRule="auto"/>
        <w:rPr>
          <w:rFonts w:ascii="仿宋" w:hAnsi="仿宋" w:eastAsia="仿宋" w:cs="仿宋"/>
          <w:color w:val="auto"/>
          <w:sz w:val="24"/>
        </w:rPr>
      </w:pPr>
      <w:r>
        <w:rPr>
          <w:rFonts w:hint="eastAsia" w:ascii="仿宋" w:hAnsi="仿宋" w:eastAsia="仿宋" w:cs="仿宋"/>
          <w:color w:val="auto"/>
          <w:sz w:val="24"/>
        </w:rPr>
        <w:t>……</w:t>
      </w:r>
    </w:p>
    <w:p w14:paraId="3D074E2A">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14:paraId="316B4A14">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请求：</w:t>
      </w:r>
    </w:p>
    <w:p w14:paraId="49D1A758">
      <w:pPr>
        <w:spacing w:line="336" w:lineRule="auto"/>
        <w:rPr>
          <w:rFonts w:ascii="仿宋" w:hAnsi="仿宋" w:eastAsia="仿宋" w:cs="仿宋"/>
          <w:color w:val="auto"/>
          <w:sz w:val="24"/>
        </w:rPr>
      </w:pPr>
    </w:p>
    <w:p w14:paraId="419431CA">
      <w:pPr>
        <w:spacing w:line="336" w:lineRule="auto"/>
        <w:rPr>
          <w:rFonts w:ascii="仿宋" w:hAnsi="仿宋" w:eastAsia="仿宋" w:cs="仿宋"/>
          <w:color w:val="auto"/>
          <w:sz w:val="24"/>
        </w:rPr>
      </w:pPr>
      <w:r>
        <w:rPr>
          <w:rFonts w:hint="eastAsia" w:ascii="仿宋" w:hAnsi="仿宋" w:eastAsia="仿宋" w:cs="仿宋"/>
          <w:color w:val="auto"/>
          <w:sz w:val="24"/>
        </w:rPr>
        <w:t>签</w:t>
      </w:r>
      <w:r>
        <w:rPr>
          <w:rFonts w:hint="eastAsia" w:ascii="仿宋" w:hAnsi="仿宋" w:eastAsia="仿宋" w:cs="仿宋"/>
          <w:color w:val="auto"/>
          <w:sz w:val="24"/>
          <w:lang w:eastAsia="zh-CN"/>
        </w:rPr>
        <w:t>名</w:t>
      </w:r>
      <w:r>
        <w:rPr>
          <w:rFonts w:ascii="仿宋" w:hAnsi="仿宋" w:eastAsia="仿宋" w:cs="仿宋"/>
          <w:color w:val="auto"/>
          <w:sz w:val="24"/>
        </w:rPr>
        <w:t xml:space="preserve">(签章)：                   公章：                      </w:t>
      </w:r>
    </w:p>
    <w:p w14:paraId="301EC489">
      <w:pPr>
        <w:spacing w:line="336" w:lineRule="auto"/>
        <w:rPr>
          <w:rFonts w:ascii="仿宋" w:hAnsi="仿宋" w:eastAsia="仿宋" w:cs="仿宋"/>
          <w:color w:val="auto"/>
          <w:sz w:val="24"/>
        </w:rPr>
      </w:pPr>
      <w:r>
        <w:rPr>
          <w:rFonts w:hint="eastAsia" w:ascii="仿宋" w:hAnsi="仿宋" w:eastAsia="仿宋" w:cs="仿宋"/>
          <w:color w:val="auto"/>
          <w:sz w:val="24"/>
        </w:rPr>
        <w:t>日期：</w:t>
      </w:r>
    </w:p>
    <w:p w14:paraId="5A6E6234">
      <w:pPr>
        <w:spacing w:line="336" w:lineRule="auto"/>
        <w:rPr>
          <w:rFonts w:ascii="仿宋" w:hAnsi="仿宋" w:eastAsia="仿宋" w:cs="仿宋"/>
          <w:b/>
          <w:color w:val="auto"/>
          <w:sz w:val="24"/>
        </w:rPr>
      </w:pPr>
      <w:r>
        <w:rPr>
          <w:rFonts w:hint="eastAsia" w:ascii="仿宋" w:hAnsi="仿宋" w:eastAsia="仿宋" w:cs="仿宋"/>
          <w:b/>
          <w:color w:val="auto"/>
          <w:sz w:val="24"/>
        </w:rPr>
        <w:t>质疑函制作说明：</w:t>
      </w:r>
    </w:p>
    <w:p w14:paraId="156B6097">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1.供应商提出质疑时，应提交质疑函和必要的证明材料。</w:t>
      </w:r>
    </w:p>
    <w:p w14:paraId="118F929F">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2150ED3A">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3.质疑供应商若对项目的某一分包进行质疑，质疑函中应列明具体分包号。</w:t>
      </w:r>
    </w:p>
    <w:p w14:paraId="4DFF91E0">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4.质疑函的质疑事项应具体、明确，并有必要的事实依据和法律依据。</w:t>
      </w:r>
    </w:p>
    <w:p w14:paraId="7B6D4119">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5.质疑函的质疑请求应与质疑事项相关。</w:t>
      </w:r>
    </w:p>
    <w:p w14:paraId="1A89E3DE">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6.质疑供应商为自然人的，质疑函应由本人签</w:t>
      </w:r>
      <w:r>
        <w:rPr>
          <w:rFonts w:hint="eastAsia" w:ascii="仿宋" w:hAnsi="仿宋" w:eastAsia="仿宋" w:cs="仿宋"/>
          <w:color w:val="auto"/>
          <w:sz w:val="24"/>
          <w:lang w:eastAsia="zh-CN"/>
        </w:rPr>
        <w:t>名</w:t>
      </w:r>
      <w:r>
        <w:rPr>
          <w:rFonts w:ascii="仿宋" w:hAnsi="仿宋" w:eastAsia="仿宋" w:cs="仿宋"/>
          <w:color w:val="auto"/>
          <w:sz w:val="24"/>
        </w:rPr>
        <w:t>；质疑供应商为法人或者其他组织的，质疑函应由法定代表人、主要负责人，或者其授权代表签</w:t>
      </w:r>
      <w:r>
        <w:rPr>
          <w:rFonts w:hint="eastAsia" w:ascii="仿宋" w:hAnsi="仿宋" w:eastAsia="仿宋" w:cs="仿宋"/>
          <w:color w:val="auto"/>
          <w:sz w:val="24"/>
          <w:lang w:eastAsia="zh-CN"/>
        </w:rPr>
        <w:t>名</w:t>
      </w:r>
      <w:r>
        <w:rPr>
          <w:rFonts w:ascii="仿宋" w:hAnsi="仿宋" w:eastAsia="仿宋" w:cs="仿宋"/>
          <w:color w:val="auto"/>
          <w:sz w:val="24"/>
        </w:rPr>
        <w:t>或者盖章，并加盖公章。</w:t>
      </w:r>
    </w:p>
    <w:p w14:paraId="6DEECA53">
      <w:pPr>
        <w:widowControl/>
        <w:spacing w:line="336" w:lineRule="auto"/>
        <w:ind w:firstLine="600" w:firstLineChars="200"/>
        <w:jc w:val="left"/>
        <w:rPr>
          <w:rFonts w:ascii="仿宋" w:hAnsi="仿宋" w:eastAsia="仿宋" w:cs="仿宋"/>
          <w:color w:val="auto"/>
          <w:sz w:val="30"/>
          <w:szCs w:val="30"/>
        </w:rPr>
      </w:pPr>
    </w:p>
    <w:p w14:paraId="1F9BE429">
      <w:pPr>
        <w:spacing w:line="336" w:lineRule="auto"/>
        <w:jc w:val="left"/>
        <w:rPr>
          <w:rFonts w:ascii="仿宋" w:hAnsi="仿宋" w:eastAsia="仿宋" w:cs="仿宋"/>
          <w:b/>
          <w:color w:val="auto"/>
          <w:spacing w:val="6"/>
          <w:sz w:val="32"/>
          <w:szCs w:val="32"/>
        </w:rPr>
      </w:pPr>
      <w:r>
        <w:rPr>
          <w:rFonts w:ascii="仿宋" w:hAnsi="仿宋" w:eastAsia="仿宋" w:cs="仿宋"/>
          <w:b/>
          <w:color w:val="auto"/>
          <w:sz w:val="24"/>
        </w:rPr>
        <w:br w:type="page"/>
      </w:r>
      <w:r>
        <w:rPr>
          <w:rFonts w:hint="eastAsia" w:ascii="仿宋" w:hAnsi="仿宋" w:eastAsia="仿宋" w:cs="仿宋"/>
          <w:b/>
          <w:color w:val="auto"/>
          <w:spacing w:val="6"/>
          <w:sz w:val="32"/>
          <w:szCs w:val="32"/>
        </w:rPr>
        <w:t>附件</w:t>
      </w:r>
      <w:r>
        <w:rPr>
          <w:rFonts w:ascii="仿宋" w:hAnsi="仿宋" w:eastAsia="仿宋" w:cs="仿宋"/>
          <w:b/>
          <w:color w:val="auto"/>
          <w:spacing w:val="6"/>
          <w:sz w:val="32"/>
          <w:szCs w:val="32"/>
        </w:rPr>
        <w:t>2：投诉书范本及制作说明</w:t>
      </w:r>
    </w:p>
    <w:p w14:paraId="48EF6184">
      <w:pPr>
        <w:spacing w:line="336" w:lineRule="auto"/>
        <w:jc w:val="center"/>
        <w:rPr>
          <w:rFonts w:ascii="仿宋" w:hAnsi="仿宋" w:eastAsia="仿宋" w:cs="仿宋"/>
          <w:b/>
          <w:color w:val="auto"/>
          <w:sz w:val="24"/>
        </w:rPr>
      </w:pPr>
    </w:p>
    <w:p w14:paraId="40A84563">
      <w:pPr>
        <w:spacing w:line="336"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78C55165">
      <w:pPr>
        <w:spacing w:line="336" w:lineRule="auto"/>
        <w:rPr>
          <w:rFonts w:ascii="仿宋" w:hAnsi="仿宋" w:eastAsia="仿宋" w:cs="仿宋"/>
          <w:color w:val="auto"/>
          <w:sz w:val="24"/>
        </w:rPr>
      </w:pPr>
      <w:r>
        <w:rPr>
          <w:rFonts w:hint="eastAsia" w:ascii="仿宋" w:hAnsi="仿宋" w:eastAsia="仿宋" w:cs="仿宋"/>
          <w:color w:val="auto"/>
          <w:sz w:val="24"/>
        </w:rPr>
        <w:t>一、投诉相关主体基本情况</w:t>
      </w:r>
    </w:p>
    <w:p w14:paraId="02D7570C">
      <w:pPr>
        <w:spacing w:line="336" w:lineRule="auto"/>
        <w:rPr>
          <w:rFonts w:ascii="仿宋" w:hAnsi="仿宋" w:eastAsia="仿宋" w:cs="仿宋"/>
          <w:color w:val="auto"/>
          <w:sz w:val="24"/>
          <w:u w:val="dotted"/>
        </w:rPr>
      </w:pPr>
      <w:r>
        <w:rPr>
          <w:rFonts w:hint="eastAsia" w:ascii="仿宋" w:hAnsi="仿宋" w:eastAsia="仿宋" w:cs="仿宋"/>
          <w:color w:val="auto"/>
          <w:sz w:val="24"/>
        </w:rPr>
        <w:t>投诉人：</w:t>
      </w:r>
    </w:p>
    <w:p w14:paraId="3F6ABED6">
      <w:pPr>
        <w:spacing w:line="336" w:lineRule="auto"/>
        <w:rPr>
          <w:rFonts w:ascii="仿宋" w:hAnsi="仿宋" w:eastAsia="仿宋" w:cs="仿宋"/>
          <w:color w:val="auto"/>
          <w:sz w:val="24"/>
          <w:u w:val="single"/>
        </w:rPr>
      </w:pPr>
      <w:r>
        <w:rPr>
          <w:rFonts w:hint="eastAsia" w:ascii="仿宋" w:hAnsi="仿宋" w:eastAsia="仿宋" w:cs="仿宋"/>
          <w:color w:val="auto"/>
          <w:sz w:val="24"/>
        </w:rPr>
        <w:t>地址：邮编：</w:t>
      </w:r>
    </w:p>
    <w:p w14:paraId="6ED8FDF1">
      <w:pPr>
        <w:tabs>
          <w:tab w:val="left" w:pos="6510"/>
        </w:tabs>
        <w:spacing w:line="336" w:lineRule="auto"/>
        <w:jc w:val="left"/>
        <w:rPr>
          <w:rFonts w:ascii="仿宋" w:hAnsi="仿宋" w:eastAsia="仿宋" w:cs="仿宋"/>
          <w:color w:val="auto"/>
          <w:sz w:val="24"/>
        </w:rPr>
      </w:pPr>
      <w:r>
        <w:rPr>
          <w:rFonts w:hint="eastAsia" w:ascii="仿宋" w:hAnsi="仿宋" w:eastAsia="仿宋" w:cs="仿宋"/>
          <w:color w:val="auto"/>
          <w:sz w:val="24"/>
        </w:rPr>
        <w:t>法定代表人</w:t>
      </w:r>
      <w:r>
        <w:rPr>
          <w:rFonts w:ascii="仿宋" w:hAnsi="仿宋" w:eastAsia="仿宋" w:cs="仿宋"/>
          <w:color w:val="auto"/>
          <w:sz w:val="24"/>
        </w:rPr>
        <w:t>/主要负责人：</w:t>
      </w:r>
    </w:p>
    <w:p w14:paraId="39169827">
      <w:pPr>
        <w:tabs>
          <w:tab w:val="left" w:pos="6510"/>
        </w:tabs>
        <w:spacing w:line="336" w:lineRule="auto"/>
        <w:rPr>
          <w:rFonts w:ascii="仿宋" w:hAnsi="仿宋" w:eastAsia="仿宋" w:cs="仿宋"/>
          <w:color w:val="auto"/>
          <w:sz w:val="24"/>
          <w:u w:val="dotted"/>
        </w:rPr>
      </w:pPr>
      <w:r>
        <w:rPr>
          <w:rFonts w:hint="eastAsia" w:ascii="仿宋" w:hAnsi="仿宋" w:eastAsia="仿宋" w:cs="仿宋"/>
          <w:color w:val="auto"/>
          <w:sz w:val="24"/>
        </w:rPr>
        <w:t>联系电话：</w:t>
      </w:r>
    </w:p>
    <w:p w14:paraId="7C717189">
      <w:pPr>
        <w:spacing w:line="336" w:lineRule="auto"/>
        <w:rPr>
          <w:rFonts w:ascii="仿宋" w:hAnsi="仿宋" w:eastAsia="仿宋" w:cs="仿宋"/>
          <w:color w:val="auto"/>
          <w:sz w:val="24"/>
          <w:u w:val="dotted"/>
        </w:rPr>
      </w:pPr>
      <w:r>
        <w:rPr>
          <w:rFonts w:hint="eastAsia" w:ascii="仿宋" w:hAnsi="仿宋" w:eastAsia="仿宋" w:cs="仿宋"/>
          <w:color w:val="auto"/>
          <w:sz w:val="24"/>
        </w:rPr>
        <w:t>授权代表：联系电话</w:t>
      </w:r>
      <w:r>
        <w:rPr>
          <w:rFonts w:hint="eastAsia" w:ascii="仿宋" w:hAnsi="仿宋" w:eastAsia="仿宋" w:cs="仿宋"/>
          <w:color w:val="auto"/>
          <w:sz w:val="24"/>
          <w:u w:val="dotted"/>
        </w:rPr>
        <w:t>：</w:t>
      </w:r>
    </w:p>
    <w:p w14:paraId="4F60CAE6">
      <w:pPr>
        <w:spacing w:line="336" w:lineRule="auto"/>
        <w:rPr>
          <w:rFonts w:ascii="仿宋" w:hAnsi="仿宋" w:eastAsia="仿宋" w:cs="仿宋"/>
          <w:color w:val="auto"/>
          <w:sz w:val="24"/>
          <w:u w:val="dotted"/>
        </w:rPr>
      </w:pPr>
      <w:r>
        <w:rPr>
          <w:rFonts w:hint="eastAsia" w:ascii="仿宋" w:hAnsi="仿宋" w:eastAsia="仿宋" w:cs="仿宋"/>
          <w:color w:val="auto"/>
          <w:sz w:val="24"/>
        </w:rPr>
        <w:t>地址：邮编：</w:t>
      </w:r>
    </w:p>
    <w:p w14:paraId="1532A924">
      <w:pPr>
        <w:spacing w:line="336" w:lineRule="auto"/>
        <w:rPr>
          <w:rFonts w:ascii="仿宋" w:hAnsi="仿宋" w:eastAsia="仿宋" w:cs="仿宋"/>
          <w:color w:val="auto"/>
          <w:sz w:val="24"/>
          <w:u w:val="single"/>
        </w:rPr>
      </w:pPr>
      <w:r>
        <w:rPr>
          <w:rFonts w:hint="eastAsia" w:ascii="仿宋" w:hAnsi="仿宋" w:eastAsia="仿宋" w:cs="仿宋"/>
          <w:color w:val="auto"/>
          <w:sz w:val="24"/>
        </w:rPr>
        <w:t>被投诉人</w:t>
      </w:r>
      <w:r>
        <w:rPr>
          <w:rFonts w:ascii="仿宋" w:hAnsi="仿宋" w:eastAsia="仿宋" w:cs="仿宋"/>
          <w:color w:val="auto"/>
          <w:sz w:val="24"/>
        </w:rPr>
        <w:t>1：</w:t>
      </w:r>
    </w:p>
    <w:p w14:paraId="60A77362">
      <w:pPr>
        <w:spacing w:line="336" w:lineRule="auto"/>
        <w:rPr>
          <w:rFonts w:ascii="仿宋" w:hAnsi="仿宋" w:eastAsia="仿宋" w:cs="仿宋"/>
          <w:color w:val="auto"/>
          <w:sz w:val="24"/>
          <w:u w:val="single"/>
        </w:rPr>
      </w:pPr>
      <w:r>
        <w:rPr>
          <w:rFonts w:hint="eastAsia" w:ascii="仿宋" w:hAnsi="仿宋" w:eastAsia="仿宋" w:cs="仿宋"/>
          <w:color w:val="auto"/>
          <w:sz w:val="24"/>
        </w:rPr>
        <w:t>地址：邮编：</w:t>
      </w:r>
    </w:p>
    <w:p w14:paraId="016AC22E">
      <w:pPr>
        <w:spacing w:line="336" w:lineRule="auto"/>
        <w:rPr>
          <w:rFonts w:ascii="仿宋" w:hAnsi="仿宋" w:eastAsia="仿宋" w:cs="仿宋"/>
          <w:color w:val="auto"/>
          <w:sz w:val="24"/>
          <w:u w:val="single"/>
        </w:rPr>
      </w:pPr>
      <w:r>
        <w:rPr>
          <w:rFonts w:hint="eastAsia" w:ascii="仿宋" w:hAnsi="仿宋" w:eastAsia="仿宋" w:cs="仿宋"/>
          <w:color w:val="auto"/>
          <w:sz w:val="24"/>
        </w:rPr>
        <w:t>联系人：联系电话：</w:t>
      </w:r>
    </w:p>
    <w:p w14:paraId="143C86B6">
      <w:pPr>
        <w:spacing w:line="336" w:lineRule="auto"/>
        <w:rPr>
          <w:rFonts w:ascii="仿宋" w:hAnsi="仿宋" w:eastAsia="仿宋" w:cs="仿宋"/>
          <w:color w:val="auto"/>
          <w:sz w:val="24"/>
        </w:rPr>
      </w:pPr>
      <w:r>
        <w:rPr>
          <w:rFonts w:hint="eastAsia" w:ascii="仿宋" w:hAnsi="仿宋" w:eastAsia="仿宋" w:cs="仿宋"/>
          <w:color w:val="auto"/>
          <w:sz w:val="24"/>
        </w:rPr>
        <w:t>被投诉人</w:t>
      </w:r>
      <w:r>
        <w:rPr>
          <w:rFonts w:ascii="仿宋" w:hAnsi="仿宋" w:eastAsia="仿宋" w:cs="仿宋"/>
          <w:color w:val="auto"/>
          <w:sz w:val="24"/>
        </w:rPr>
        <w:t>2</w:t>
      </w:r>
    </w:p>
    <w:p w14:paraId="3DDE911D">
      <w:pPr>
        <w:spacing w:line="336" w:lineRule="auto"/>
        <w:rPr>
          <w:rFonts w:ascii="仿宋" w:hAnsi="仿宋" w:eastAsia="仿宋" w:cs="仿宋"/>
          <w:color w:val="auto"/>
          <w:sz w:val="24"/>
          <w:u w:val="dotted"/>
        </w:rPr>
      </w:pPr>
      <w:r>
        <w:rPr>
          <w:rFonts w:hint="eastAsia" w:ascii="仿宋" w:hAnsi="仿宋" w:eastAsia="仿宋" w:cs="仿宋"/>
          <w:color w:val="auto"/>
          <w:sz w:val="24"/>
        </w:rPr>
        <w:t>……</w:t>
      </w:r>
    </w:p>
    <w:p w14:paraId="5875F6E4">
      <w:pPr>
        <w:spacing w:line="336" w:lineRule="auto"/>
        <w:rPr>
          <w:rFonts w:ascii="仿宋" w:hAnsi="仿宋" w:eastAsia="仿宋" w:cs="仿宋"/>
          <w:color w:val="auto"/>
          <w:sz w:val="24"/>
          <w:u w:val="single"/>
        </w:rPr>
      </w:pPr>
      <w:r>
        <w:rPr>
          <w:rFonts w:hint="eastAsia" w:ascii="仿宋" w:hAnsi="仿宋" w:eastAsia="仿宋" w:cs="仿宋"/>
          <w:color w:val="auto"/>
          <w:sz w:val="24"/>
        </w:rPr>
        <w:t>相关供应商：</w:t>
      </w:r>
    </w:p>
    <w:p w14:paraId="394D5072">
      <w:pPr>
        <w:spacing w:line="336" w:lineRule="auto"/>
        <w:rPr>
          <w:rFonts w:ascii="仿宋" w:hAnsi="仿宋" w:eastAsia="仿宋" w:cs="仿宋"/>
          <w:color w:val="auto"/>
          <w:sz w:val="24"/>
          <w:u w:val="single"/>
        </w:rPr>
      </w:pPr>
      <w:r>
        <w:rPr>
          <w:rFonts w:hint="eastAsia" w:ascii="仿宋" w:hAnsi="仿宋" w:eastAsia="仿宋" w:cs="仿宋"/>
          <w:color w:val="auto"/>
          <w:sz w:val="24"/>
        </w:rPr>
        <w:t>地址：邮编：</w:t>
      </w:r>
    </w:p>
    <w:p w14:paraId="40215548">
      <w:pPr>
        <w:spacing w:line="336" w:lineRule="auto"/>
        <w:rPr>
          <w:rFonts w:ascii="仿宋" w:hAnsi="仿宋" w:eastAsia="仿宋" w:cs="仿宋"/>
          <w:color w:val="auto"/>
          <w:sz w:val="24"/>
          <w:u w:val="single"/>
        </w:rPr>
      </w:pPr>
      <w:r>
        <w:rPr>
          <w:rFonts w:hint="eastAsia" w:ascii="仿宋" w:hAnsi="仿宋" w:eastAsia="仿宋" w:cs="仿宋"/>
          <w:color w:val="auto"/>
          <w:sz w:val="24"/>
        </w:rPr>
        <w:t>联系人：联系电话：</w:t>
      </w:r>
    </w:p>
    <w:p w14:paraId="245F6A59">
      <w:pPr>
        <w:spacing w:line="336" w:lineRule="auto"/>
        <w:rPr>
          <w:rFonts w:ascii="仿宋" w:hAnsi="仿宋" w:eastAsia="仿宋" w:cs="仿宋"/>
          <w:color w:val="auto"/>
          <w:sz w:val="24"/>
        </w:rPr>
      </w:pPr>
      <w:r>
        <w:rPr>
          <w:rFonts w:hint="eastAsia" w:ascii="仿宋" w:hAnsi="仿宋" w:eastAsia="仿宋" w:cs="仿宋"/>
          <w:color w:val="auto"/>
          <w:sz w:val="24"/>
        </w:rPr>
        <w:t>二、投诉项目基本情况</w:t>
      </w:r>
    </w:p>
    <w:p w14:paraId="67226E6E">
      <w:pPr>
        <w:spacing w:line="336" w:lineRule="auto"/>
        <w:rPr>
          <w:rFonts w:ascii="仿宋" w:hAnsi="仿宋" w:eastAsia="仿宋" w:cs="仿宋"/>
          <w:color w:val="auto"/>
          <w:sz w:val="24"/>
          <w:u w:val="dotted"/>
        </w:rPr>
      </w:pPr>
      <w:r>
        <w:rPr>
          <w:rFonts w:hint="eastAsia" w:ascii="仿宋" w:hAnsi="仿宋" w:eastAsia="仿宋" w:cs="仿宋"/>
          <w:color w:val="auto"/>
          <w:sz w:val="24"/>
        </w:rPr>
        <w:t>采购项目名称：</w:t>
      </w:r>
    </w:p>
    <w:p w14:paraId="676128A9">
      <w:pPr>
        <w:spacing w:line="336" w:lineRule="auto"/>
        <w:rPr>
          <w:rFonts w:ascii="仿宋" w:hAnsi="仿宋" w:eastAsia="仿宋" w:cs="仿宋"/>
          <w:color w:val="auto"/>
          <w:sz w:val="24"/>
          <w:u w:val="single"/>
        </w:rPr>
      </w:pPr>
      <w:r>
        <w:rPr>
          <w:rFonts w:hint="eastAsia" w:ascii="仿宋" w:hAnsi="仿宋" w:eastAsia="仿宋" w:cs="仿宋"/>
          <w:color w:val="auto"/>
          <w:sz w:val="24"/>
        </w:rPr>
        <w:t>采购项目编号：包号：</w:t>
      </w:r>
    </w:p>
    <w:p w14:paraId="1B249E11">
      <w:pPr>
        <w:spacing w:line="336" w:lineRule="auto"/>
        <w:rPr>
          <w:rFonts w:ascii="仿宋" w:hAnsi="仿宋" w:eastAsia="仿宋" w:cs="仿宋"/>
          <w:color w:val="auto"/>
          <w:sz w:val="24"/>
        </w:rPr>
      </w:pPr>
      <w:r>
        <w:rPr>
          <w:rFonts w:hint="eastAsia" w:ascii="仿宋" w:hAnsi="仿宋" w:eastAsia="仿宋" w:cs="仿宋"/>
          <w:color w:val="auto"/>
          <w:sz w:val="24"/>
        </w:rPr>
        <w:t>采购人名称：</w:t>
      </w:r>
    </w:p>
    <w:p w14:paraId="6CC1C118">
      <w:pPr>
        <w:spacing w:line="336" w:lineRule="auto"/>
        <w:rPr>
          <w:rFonts w:ascii="仿宋" w:hAnsi="仿宋" w:eastAsia="仿宋" w:cs="仿宋"/>
          <w:color w:val="auto"/>
          <w:sz w:val="24"/>
          <w:u w:val="single"/>
        </w:rPr>
      </w:pPr>
      <w:r>
        <w:rPr>
          <w:rFonts w:hint="eastAsia" w:ascii="仿宋" w:hAnsi="仿宋" w:eastAsia="仿宋" w:cs="仿宋"/>
          <w:color w:val="auto"/>
          <w:sz w:val="24"/>
        </w:rPr>
        <w:t>代理机构名称：</w:t>
      </w:r>
    </w:p>
    <w:p w14:paraId="47364C0D">
      <w:pPr>
        <w:spacing w:line="336" w:lineRule="auto"/>
        <w:rPr>
          <w:rFonts w:ascii="仿宋" w:hAnsi="仿宋" w:eastAsia="仿宋" w:cs="仿宋"/>
          <w:color w:val="auto"/>
          <w:sz w:val="24"/>
          <w:u w:val="dotted"/>
        </w:rPr>
      </w:pPr>
      <w:r>
        <w:rPr>
          <w:rFonts w:hint="eastAsia" w:ascii="仿宋" w:hAnsi="仿宋" w:eastAsia="仿宋" w:cs="仿宋"/>
          <w:color w:val="auto"/>
          <w:sz w:val="24"/>
        </w:rPr>
        <w:t>采购文件公告</w:t>
      </w:r>
      <w:r>
        <w:rPr>
          <w:rFonts w:ascii="仿宋" w:hAnsi="仿宋" w:eastAsia="仿宋" w:cs="仿宋"/>
          <w:color w:val="auto"/>
          <w:sz w:val="24"/>
        </w:rPr>
        <w:t>:</w:t>
      </w:r>
      <w:r>
        <w:rPr>
          <w:rFonts w:hint="eastAsia" w:ascii="仿宋" w:hAnsi="仿宋" w:eastAsia="仿宋" w:cs="仿宋"/>
          <w:color w:val="auto"/>
          <w:sz w:val="24"/>
          <w:u w:val="dotted"/>
        </w:rPr>
        <w:t>是</w:t>
      </w:r>
      <w:r>
        <w:rPr>
          <w:rFonts w:ascii="仿宋" w:hAnsi="仿宋" w:eastAsia="仿宋" w:cs="仿宋"/>
          <w:color w:val="auto"/>
          <w:sz w:val="24"/>
          <w:u w:val="dotted"/>
        </w:rPr>
        <w:t xml:space="preserve">/否 </w:t>
      </w:r>
      <w:r>
        <w:rPr>
          <w:rFonts w:hint="eastAsia" w:ascii="仿宋" w:hAnsi="仿宋" w:eastAsia="仿宋" w:cs="仿宋"/>
          <w:color w:val="auto"/>
          <w:sz w:val="24"/>
        </w:rPr>
        <w:t>公告期限：</w:t>
      </w:r>
    </w:p>
    <w:p w14:paraId="6473AAE6">
      <w:pPr>
        <w:spacing w:line="336" w:lineRule="auto"/>
        <w:rPr>
          <w:rFonts w:ascii="仿宋" w:hAnsi="仿宋" w:eastAsia="仿宋" w:cs="仿宋"/>
          <w:color w:val="auto"/>
          <w:sz w:val="24"/>
          <w:u w:val="single"/>
        </w:rPr>
      </w:pPr>
      <w:r>
        <w:rPr>
          <w:rFonts w:hint="eastAsia" w:ascii="仿宋" w:hAnsi="仿宋" w:eastAsia="仿宋" w:cs="仿宋"/>
          <w:color w:val="auto"/>
          <w:sz w:val="24"/>
        </w:rPr>
        <w:t>采购结果公告</w:t>
      </w:r>
      <w:r>
        <w:rPr>
          <w:rFonts w:ascii="仿宋" w:hAnsi="仿宋" w:eastAsia="仿宋" w:cs="仿宋"/>
          <w:color w:val="auto"/>
          <w:sz w:val="24"/>
        </w:rPr>
        <w:t>:</w:t>
      </w:r>
      <w:r>
        <w:rPr>
          <w:rFonts w:hint="eastAsia" w:ascii="仿宋" w:hAnsi="仿宋" w:eastAsia="仿宋" w:cs="仿宋"/>
          <w:color w:val="auto"/>
          <w:sz w:val="24"/>
          <w:u w:val="dotted"/>
        </w:rPr>
        <w:t>是</w:t>
      </w:r>
      <w:r>
        <w:rPr>
          <w:rFonts w:ascii="仿宋" w:hAnsi="仿宋" w:eastAsia="仿宋" w:cs="仿宋"/>
          <w:color w:val="auto"/>
          <w:sz w:val="24"/>
          <w:u w:val="dotted"/>
        </w:rPr>
        <w:t xml:space="preserve">/否 </w:t>
      </w:r>
      <w:r>
        <w:rPr>
          <w:rFonts w:hint="eastAsia" w:ascii="仿宋" w:hAnsi="仿宋" w:eastAsia="仿宋" w:cs="仿宋"/>
          <w:color w:val="auto"/>
          <w:sz w:val="24"/>
        </w:rPr>
        <w:t>公告期限：</w:t>
      </w:r>
    </w:p>
    <w:p w14:paraId="63E13A21">
      <w:pPr>
        <w:spacing w:line="336" w:lineRule="auto"/>
        <w:rPr>
          <w:rFonts w:ascii="仿宋" w:hAnsi="仿宋" w:eastAsia="仿宋" w:cs="仿宋"/>
          <w:color w:val="auto"/>
          <w:sz w:val="24"/>
        </w:rPr>
      </w:pPr>
      <w:r>
        <w:rPr>
          <w:rFonts w:hint="eastAsia" w:ascii="仿宋" w:hAnsi="仿宋" w:eastAsia="仿宋" w:cs="仿宋"/>
          <w:color w:val="auto"/>
          <w:sz w:val="24"/>
        </w:rPr>
        <w:t>三、质疑基本情况</w:t>
      </w:r>
    </w:p>
    <w:p w14:paraId="2202F848">
      <w:pPr>
        <w:spacing w:line="336" w:lineRule="auto"/>
        <w:ind w:firstLine="480" w:firstLineChars="200"/>
        <w:rPr>
          <w:rFonts w:ascii="仿宋" w:hAnsi="仿宋" w:eastAsia="仿宋" w:cs="仿宋"/>
          <w:color w:val="auto"/>
          <w:sz w:val="24"/>
          <w:u w:val="dotted"/>
        </w:rPr>
      </w:pPr>
      <w:r>
        <w:rPr>
          <w:rFonts w:hint="eastAsia" w:ascii="仿宋" w:hAnsi="仿宋" w:eastAsia="仿宋" w:cs="仿宋"/>
          <w:color w:val="auto"/>
          <w:sz w:val="24"/>
        </w:rPr>
        <w:t>投诉人于年月日</w:t>
      </w:r>
      <w:r>
        <w:rPr>
          <w:rFonts w:ascii="仿宋" w:hAnsi="仿宋" w:eastAsia="仿宋" w:cs="仿宋"/>
          <w:color w:val="auto"/>
          <w:sz w:val="24"/>
        </w:rPr>
        <w:t>,向提出质疑，质疑事项为：</w:t>
      </w:r>
    </w:p>
    <w:p w14:paraId="0BDAFD47">
      <w:pPr>
        <w:spacing w:line="336" w:lineRule="auto"/>
        <w:rPr>
          <w:rFonts w:ascii="仿宋" w:hAnsi="仿宋" w:eastAsia="仿宋" w:cs="仿宋"/>
          <w:color w:val="auto"/>
          <w:sz w:val="24"/>
          <w:u w:val="dotted"/>
        </w:rPr>
      </w:pPr>
    </w:p>
    <w:p w14:paraId="7F239132">
      <w:pPr>
        <w:spacing w:line="336" w:lineRule="auto"/>
        <w:ind w:firstLine="360" w:firstLineChars="150"/>
        <w:rPr>
          <w:rFonts w:ascii="仿宋" w:hAnsi="仿宋" w:eastAsia="仿宋" w:cs="仿宋"/>
          <w:color w:val="auto"/>
          <w:sz w:val="24"/>
        </w:rPr>
      </w:pPr>
      <w:r>
        <w:rPr>
          <w:rFonts w:hint="eastAsia" w:ascii="仿宋" w:hAnsi="仿宋" w:eastAsia="仿宋" w:cs="仿宋"/>
          <w:color w:val="auto"/>
          <w:sz w:val="24"/>
          <w:u w:val="dotted"/>
        </w:rPr>
        <w:t>采购人</w:t>
      </w:r>
      <w:r>
        <w:rPr>
          <w:rFonts w:ascii="仿宋" w:hAnsi="仿宋" w:eastAsia="仿宋" w:cs="仿宋"/>
          <w:color w:val="auto"/>
          <w:sz w:val="24"/>
          <w:u w:val="dotted"/>
        </w:rPr>
        <w:t>/代理机构</w:t>
      </w:r>
      <w:r>
        <w:rPr>
          <w:rFonts w:hint="eastAsia" w:ascii="仿宋" w:hAnsi="仿宋" w:eastAsia="仿宋" w:cs="仿宋"/>
          <w:color w:val="auto"/>
          <w:sz w:val="24"/>
        </w:rPr>
        <w:t>于年月日</w:t>
      </w:r>
      <w:r>
        <w:rPr>
          <w:rFonts w:ascii="仿宋" w:hAnsi="仿宋" w:eastAsia="仿宋" w:cs="仿宋"/>
          <w:color w:val="auto"/>
          <w:sz w:val="24"/>
        </w:rPr>
        <w:t>,就质疑事项作出了答复/没有在法定期限内作出答复。</w:t>
      </w:r>
    </w:p>
    <w:p w14:paraId="4E49E50C">
      <w:pPr>
        <w:spacing w:line="336" w:lineRule="auto"/>
        <w:rPr>
          <w:rFonts w:ascii="仿宋" w:hAnsi="仿宋" w:eastAsia="仿宋" w:cs="仿宋"/>
          <w:color w:val="auto"/>
          <w:sz w:val="24"/>
        </w:rPr>
      </w:pPr>
      <w:r>
        <w:rPr>
          <w:rFonts w:hint="eastAsia" w:ascii="仿宋" w:hAnsi="仿宋" w:eastAsia="仿宋" w:cs="仿宋"/>
          <w:color w:val="auto"/>
          <w:sz w:val="24"/>
        </w:rPr>
        <w:t>四、投诉事项具体内容</w:t>
      </w:r>
    </w:p>
    <w:p w14:paraId="3B582DEB">
      <w:pPr>
        <w:spacing w:line="336" w:lineRule="auto"/>
        <w:rPr>
          <w:rFonts w:ascii="仿宋" w:hAnsi="仿宋" w:eastAsia="仿宋" w:cs="仿宋"/>
          <w:color w:val="auto"/>
          <w:sz w:val="24"/>
          <w:u w:val="single"/>
        </w:rPr>
      </w:pPr>
      <w:r>
        <w:rPr>
          <w:rFonts w:hint="eastAsia" w:ascii="仿宋" w:hAnsi="仿宋" w:eastAsia="仿宋" w:cs="仿宋"/>
          <w:color w:val="auto"/>
          <w:sz w:val="24"/>
        </w:rPr>
        <w:t>投诉事项</w:t>
      </w:r>
      <w:r>
        <w:rPr>
          <w:rFonts w:ascii="仿宋" w:hAnsi="仿宋" w:eastAsia="仿宋" w:cs="仿宋"/>
          <w:color w:val="auto"/>
          <w:sz w:val="24"/>
        </w:rPr>
        <w:t xml:space="preserve"> 1：</w:t>
      </w:r>
    </w:p>
    <w:p w14:paraId="448DE418">
      <w:pPr>
        <w:spacing w:line="336" w:lineRule="auto"/>
        <w:rPr>
          <w:rFonts w:ascii="仿宋" w:hAnsi="仿宋" w:eastAsia="仿宋" w:cs="仿宋"/>
          <w:color w:val="auto"/>
          <w:sz w:val="24"/>
        </w:rPr>
      </w:pPr>
      <w:r>
        <w:rPr>
          <w:rFonts w:hint="eastAsia" w:ascii="仿宋" w:hAnsi="仿宋" w:eastAsia="仿宋" w:cs="仿宋"/>
          <w:color w:val="auto"/>
          <w:sz w:val="24"/>
        </w:rPr>
        <w:t>事实依据：</w:t>
      </w:r>
    </w:p>
    <w:p w14:paraId="60E70373">
      <w:pPr>
        <w:spacing w:line="336" w:lineRule="auto"/>
        <w:rPr>
          <w:rFonts w:ascii="仿宋" w:hAnsi="仿宋" w:eastAsia="仿宋" w:cs="仿宋"/>
          <w:color w:val="auto"/>
          <w:sz w:val="24"/>
          <w:u w:val="dotted"/>
        </w:rPr>
      </w:pPr>
    </w:p>
    <w:p w14:paraId="7FA3C8EB">
      <w:pPr>
        <w:spacing w:line="336" w:lineRule="auto"/>
        <w:rPr>
          <w:rFonts w:ascii="仿宋" w:hAnsi="仿宋" w:eastAsia="仿宋" w:cs="仿宋"/>
          <w:color w:val="auto"/>
          <w:sz w:val="24"/>
          <w:u w:val="single"/>
        </w:rPr>
      </w:pPr>
      <w:r>
        <w:rPr>
          <w:rFonts w:hint="eastAsia" w:ascii="仿宋" w:hAnsi="仿宋" w:eastAsia="仿宋" w:cs="仿宋"/>
          <w:color w:val="auto"/>
          <w:sz w:val="24"/>
        </w:rPr>
        <w:t>法律依据：</w:t>
      </w:r>
    </w:p>
    <w:p w14:paraId="473C1FAD">
      <w:pPr>
        <w:spacing w:line="336" w:lineRule="auto"/>
        <w:rPr>
          <w:rFonts w:ascii="仿宋" w:hAnsi="仿宋" w:eastAsia="仿宋" w:cs="仿宋"/>
          <w:color w:val="auto"/>
          <w:sz w:val="24"/>
          <w:u w:val="dotted"/>
        </w:rPr>
      </w:pPr>
    </w:p>
    <w:p w14:paraId="625442D5">
      <w:pPr>
        <w:spacing w:line="336" w:lineRule="auto"/>
        <w:rPr>
          <w:rFonts w:ascii="仿宋" w:hAnsi="仿宋" w:eastAsia="仿宋" w:cs="仿宋"/>
          <w:color w:val="auto"/>
          <w:sz w:val="24"/>
        </w:rPr>
      </w:pPr>
      <w:r>
        <w:rPr>
          <w:rFonts w:hint="eastAsia" w:ascii="仿宋" w:hAnsi="仿宋" w:eastAsia="仿宋" w:cs="仿宋"/>
          <w:color w:val="auto"/>
          <w:sz w:val="24"/>
        </w:rPr>
        <w:t>投诉事项</w:t>
      </w:r>
      <w:r>
        <w:rPr>
          <w:rFonts w:ascii="仿宋" w:hAnsi="仿宋" w:eastAsia="仿宋" w:cs="仿宋"/>
          <w:color w:val="auto"/>
          <w:sz w:val="24"/>
        </w:rPr>
        <w:t>2</w:t>
      </w:r>
    </w:p>
    <w:p w14:paraId="36EEEF50">
      <w:pPr>
        <w:spacing w:line="336" w:lineRule="auto"/>
        <w:rPr>
          <w:rFonts w:ascii="仿宋" w:hAnsi="仿宋" w:eastAsia="仿宋" w:cs="仿宋"/>
          <w:color w:val="auto"/>
          <w:sz w:val="24"/>
          <w:u w:val="dotted"/>
        </w:rPr>
      </w:pPr>
      <w:r>
        <w:rPr>
          <w:rFonts w:hint="eastAsia" w:ascii="仿宋" w:hAnsi="仿宋" w:eastAsia="仿宋" w:cs="仿宋"/>
          <w:color w:val="auto"/>
          <w:sz w:val="24"/>
        </w:rPr>
        <w:t>……</w:t>
      </w:r>
    </w:p>
    <w:p w14:paraId="58FAC8BD">
      <w:pPr>
        <w:spacing w:line="336" w:lineRule="auto"/>
        <w:rPr>
          <w:rFonts w:ascii="仿宋" w:hAnsi="仿宋" w:eastAsia="仿宋" w:cs="仿宋"/>
          <w:color w:val="auto"/>
          <w:sz w:val="24"/>
        </w:rPr>
      </w:pPr>
      <w:r>
        <w:rPr>
          <w:rFonts w:hint="eastAsia" w:ascii="仿宋" w:hAnsi="仿宋" w:eastAsia="仿宋" w:cs="仿宋"/>
          <w:color w:val="auto"/>
          <w:sz w:val="24"/>
        </w:rPr>
        <w:t>五、与投诉事项相关的投诉请求</w:t>
      </w:r>
    </w:p>
    <w:p w14:paraId="793F2735">
      <w:pPr>
        <w:spacing w:line="336" w:lineRule="auto"/>
        <w:rPr>
          <w:rFonts w:ascii="仿宋" w:hAnsi="仿宋" w:eastAsia="仿宋" w:cs="仿宋"/>
          <w:color w:val="auto"/>
          <w:sz w:val="24"/>
        </w:rPr>
      </w:pPr>
      <w:r>
        <w:rPr>
          <w:rFonts w:hint="eastAsia" w:ascii="仿宋" w:hAnsi="仿宋" w:eastAsia="仿宋" w:cs="仿宋"/>
          <w:color w:val="auto"/>
          <w:sz w:val="24"/>
        </w:rPr>
        <w:t>请求：</w:t>
      </w:r>
    </w:p>
    <w:p w14:paraId="7A787EDE">
      <w:pPr>
        <w:spacing w:line="336" w:lineRule="auto"/>
        <w:rPr>
          <w:rFonts w:ascii="仿宋" w:hAnsi="仿宋" w:eastAsia="仿宋" w:cs="仿宋"/>
          <w:color w:val="auto"/>
          <w:sz w:val="24"/>
          <w:u w:val="single"/>
        </w:rPr>
      </w:pPr>
    </w:p>
    <w:p w14:paraId="25855632">
      <w:pPr>
        <w:spacing w:line="336" w:lineRule="auto"/>
        <w:rPr>
          <w:rFonts w:ascii="仿宋" w:hAnsi="仿宋" w:eastAsia="仿宋" w:cs="仿宋"/>
          <w:color w:val="auto"/>
          <w:sz w:val="24"/>
        </w:rPr>
      </w:pPr>
      <w:r>
        <w:rPr>
          <w:rFonts w:hint="eastAsia" w:ascii="仿宋" w:hAnsi="仿宋" w:eastAsia="仿宋" w:cs="仿宋"/>
          <w:color w:val="auto"/>
          <w:sz w:val="24"/>
        </w:rPr>
        <w:t>签</w:t>
      </w:r>
      <w:r>
        <w:rPr>
          <w:rFonts w:hint="eastAsia" w:ascii="仿宋" w:hAnsi="仿宋" w:eastAsia="仿宋" w:cs="仿宋"/>
          <w:color w:val="auto"/>
          <w:sz w:val="24"/>
          <w:lang w:eastAsia="zh-CN"/>
        </w:rPr>
        <w:t>名</w:t>
      </w:r>
      <w:r>
        <w:rPr>
          <w:rFonts w:ascii="仿宋" w:hAnsi="仿宋" w:eastAsia="仿宋" w:cs="仿宋"/>
          <w:color w:val="auto"/>
          <w:sz w:val="24"/>
        </w:rPr>
        <w:t xml:space="preserve">(签章)：                   公章：                      </w:t>
      </w:r>
    </w:p>
    <w:p w14:paraId="608FF5C6">
      <w:pPr>
        <w:spacing w:line="336" w:lineRule="auto"/>
        <w:rPr>
          <w:rFonts w:ascii="仿宋" w:hAnsi="仿宋" w:eastAsia="仿宋" w:cs="仿宋"/>
          <w:color w:val="auto"/>
          <w:sz w:val="24"/>
        </w:rPr>
      </w:pPr>
      <w:r>
        <w:rPr>
          <w:rFonts w:hint="eastAsia" w:ascii="仿宋" w:hAnsi="仿宋" w:eastAsia="仿宋" w:cs="仿宋"/>
          <w:color w:val="auto"/>
          <w:sz w:val="24"/>
        </w:rPr>
        <w:t>日期：</w:t>
      </w:r>
    </w:p>
    <w:p w14:paraId="31573919">
      <w:pPr>
        <w:spacing w:line="336" w:lineRule="auto"/>
        <w:rPr>
          <w:rFonts w:ascii="仿宋" w:hAnsi="仿宋" w:eastAsia="仿宋" w:cs="仿宋"/>
          <w:b/>
          <w:color w:val="auto"/>
          <w:sz w:val="24"/>
        </w:rPr>
      </w:pPr>
    </w:p>
    <w:p w14:paraId="3CA67677">
      <w:pPr>
        <w:spacing w:line="336" w:lineRule="auto"/>
        <w:rPr>
          <w:rFonts w:ascii="仿宋" w:hAnsi="仿宋" w:eastAsia="仿宋" w:cs="仿宋"/>
          <w:b/>
          <w:color w:val="auto"/>
          <w:sz w:val="24"/>
        </w:rPr>
      </w:pPr>
    </w:p>
    <w:p w14:paraId="3FB72958">
      <w:pPr>
        <w:spacing w:line="336" w:lineRule="auto"/>
        <w:rPr>
          <w:rFonts w:ascii="仿宋" w:hAnsi="仿宋" w:eastAsia="仿宋" w:cs="仿宋"/>
          <w:b/>
          <w:color w:val="auto"/>
          <w:sz w:val="24"/>
        </w:rPr>
      </w:pPr>
      <w:r>
        <w:rPr>
          <w:rFonts w:hint="eastAsia" w:ascii="仿宋" w:hAnsi="仿宋" w:eastAsia="仿宋" w:cs="仿宋"/>
          <w:b/>
          <w:color w:val="auto"/>
          <w:sz w:val="24"/>
        </w:rPr>
        <w:t>投诉书制作说明：</w:t>
      </w:r>
    </w:p>
    <w:p w14:paraId="1C25A355">
      <w:pPr>
        <w:widowControl/>
        <w:spacing w:line="336" w:lineRule="auto"/>
        <w:ind w:firstLine="480" w:firstLineChars="200"/>
        <w:rPr>
          <w:rFonts w:ascii="仿宋" w:hAnsi="仿宋" w:eastAsia="仿宋" w:cs="仿宋"/>
          <w:color w:val="auto"/>
          <w:kern w:val="0"/>
          <w:sz w:val="24"/>
        </w:rPr>
      </w:pPr>
      <w:r>
        <w:rPr>
          <w:rFonts w:ascii="仿宋" w:hAnsi="仿宋" w:eastAsia="仿宋" w:cs="仿宋"/>
          <w:color w:val="auto"/>
          <w:sz w:val="24"/>
        </w:rPr>
        <w:t>1.投诉人提起投诉时，应当提交投诉书和必要的证明材料，并按照被投诉人和与投诉事项有关的供应商数量提供投诉书副本。</w:t>
      </w:r>
    </w:p>
    <w:p w14:paraId="070ADF1C">
      <w:pPr>
        <w:widowControl/>
        <w:spacing w:line="336" w:lineRule="auto"/>
        <w:ind w:firstLine="480" w:firstLineChars="200"/>
        <w:jc w:val="left"/>
        <w:rPr>
          <w:rFonts w:ascii="仿宋" w:hAnsi="仿宋" w:eastAsia="仿宋" w:cs="仿宋"/>
          <w:color w:val="auto"/>
          <w:kern w:val="0"/>
          <w:sz w:val="24"/>
        </w:rPr>
      </w:pPr>
      <w:r>
        <w:rPr>
          <w:rFonts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7BAB1121">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3.投诉人若对项目的某一分包进行投诉，投诉书应列明具体分包号。</w:t>
      </w:r>
    </w:p>
    <w:p w14:paraId="3ADD5D32">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4.投诉书应简要列明质疑事项，质疑函、质疑答复等作为附件材料提供。</w:t>
      </w:r>
    </w:p>
    <w:p w14:paraId="3D923251">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5.投诉书的投诉事项应具体、明确，并有必要的事实依据和法律依据。</w:t>
      </w:r>
    </w:p>
    <w:p w14:paraId="4CCFFA58">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6.投诉书的投诉请求应与投诉事项相关。</w:t>
      </w:r>
    </w:p>
    <w:p w14:paraId="1AD08784">
      <w:pPr>
        <w:widowControl/>
        <w:spacing w:line="336" w:lineRule="auto"/>
        <w:ind w:firstLine="480" w:firstLineChars="200"/>
        <w:jc w:val="left"/>
        <w:rPr>
          <w:rFonts w:ascii="仿宋" w:hAnsi="仿宋" w:eastAsia="仿宋" w:cs="仿宋"/>
          <w:color w:val="auto"/>
          <w:kern w:val="0"/>
          <w:sz w:val="24"/>
        </w:rPr>
      </w:pPr>
      <w:r>
        <w:rPr>
          <w:rFonts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04891074">
      <w:pPr>
        <w:spacing w:line="336" w:lineRule="auto"/>
        <w:rPr>
          <w:rFonts w:ascii="仿宋" w:hAnsi="仿宋" w:eastAsia="仿宋" w:cs="仿宋"/>
          <w:b/>
          <w:color w:val="auto"/>
          <w:sz w:val="24"/>
        </w:rPr>
      </w:pPr>
    </w:p>
    <w:p w14:paraId="0723A4FE">
      <w:pPr>
        <w:widowControl/>
        <w:adjustRightInd/>
        <w:spacing w:line="336" w:lineRule="auto"/>
        <w:jc w:val="left"/>
        <w:rPr>
          <w:rFonts w:ascii="仿宋" w:hAnsi="仿宋" w:eastAsia="仿宋" w:cs="仿宋"/>
          <w:b/>
          <w:color w:val="auto"/>
          <w:sz w:val="24"/>
        </w:rPr>
      </w:pPr>
      <w:r>
        <w:rPr>
          <w:rFonts w:ascii="仿宋" w:hAnsi="仿宋" w:eastAsia="仿宋" w:cs="仿宋"/>
          <w:b/>
          <w:color w:val="auto"/>
          <w:sz w:val="24"/>
        </w:rPr>
        <w:br w:type="page"/>
      </w:r>
    </w:p>
    <w:p w14:paraId="2515F6ED">
      <w:pPr>
        <w:autoSpaceDE w:val="0"/>
        <w:autoSpaceDN w:val="0"/>
        <w:spacing w:line="336" w:lineRule="auto"/>
        <w:jc w:val="center"/>
        <w:rPr>
          <w:rFonts w:ascii="仿宋" w:hAnsi="仿宋" w:eastAsia="仿宋" w:cs="仿宋"/>
          <w:b/>
          <w:bCs/>
          <w:color w:val="auto"/>
          <w:sz w:val="32"/>
          <w:szCs w:val="32"/>
        </w:rPr>
      </w:pPr>
      <w:r>
        <w:rPr>
          <w:rFonts w:hint="eastAsia" w:ascii="仿宋" w:hAnsi="仿宋" w:eastAsia="仿宋" w:cs="仿宋"/>
          <w:b/>
          <w:color w:val="auto"/>
          <w:sz w:val="32"/>
          <w:szCs w:val="32"/>
        </w:rPr>
        <w:t>附件</w:t>
      </w:r>
      <w:r>
        <w:rPr>
          <w:rFonts w:ascii="仿宋" w:hAnsi="仿宋" w:eastAsia="仿宋" w:cs="仿宋"/>
          <w:b/>
          <w:color w:val="auto"/>
          <w:sz w:val="32"/>
          <w:szCs w:val="32"/>
        </w:rPr>
        <w:t>3：</w:t>
      </w:r>
      <w:r>
        <w:rPr>
          <w:rFonts w:hint="eastAsia" w:ascii="仿宋" w:hAnsi="仿宋" w:eastAsia="仿宋" w:cs="仿宋"/>
          <w:b/>
          <w:bCs/>
          <w:color w:val="auto"/>
          <w:sz w:val="32"/>
          <w:szCs w:val="32"/>
        </w:rPr>
        <w:t>业务专用章使用说明函</w:t>
      </w:r>
    </w:p>
    <w:p w14:paraId="170EC57F">
      <w:pPr>
        <w:autoSpaceDE w:val="0"/>
        <w:autoSpaceDN w:val="0"/>
        <w:spacing w:line="336" w:lineRule="auto"/>
        <w:jc w:val="center"/>
        <w:rPr>
          <w:rFonts w:ascii="仿宋" w:hAnsi="仿宋" w:eastAsia="仿宋" w:cs="仿宋"/>
          <w:b/>
          <w:bCs/>
          <w:color w:val="auto"/>
          <w:sz w:val="32"/>
          <w:szCs w:val="32"/>
        </w:rPr>
      </w:pPr>
    </w:p>
    <w:p w14:paraId="1635D1B9">
      <w:pPr>
        <w:spacing w:line="336" w:lineRule="auto"/>
        <w:rPr>
          <w:rFonts w:ascii="仿宋" w:hAnsi="仿宋" w:eastAsia="仿宋" w:cs="仿宋"/>
          <w:color w:val="auto"/>
          <w:sz w:val="24"/>
        </w:rPr>
      </w:pPr>
      <w:r>
        <w:rPr>
          <w:rFonts w:hint="eastAsia" w:ascii="仿宋" w:hAnsi="仿宋" w:eastAsia="仿宋" w:cs="仿宋"/>
          <w:color w:val="auto"/>
          <w:sz w:val="24"/>
        </w:rPr>
        <w:t>（采购人）、（采购代理机构）：</w:t>
      </w:r>
    </w:p>
    <w:p w14:paraId="62FDAFFC">
      <w:pPr>
        <w:spacing w:line="336"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我方</w:t>
      </w:r>
      <w:r>
        <w:rPr>
          <w:rFonts w:ascii="仿宋" w:hAnsi="仿宋" w:eastAsia="仿宋" w:cs="仿宋"/>
          <w:color w:val="auto"/>
          <w:sz w:val="24"/>
        </w:rPr>
        <w:t>(供应商全称)是中华人民共和国依法登记注册的合法企业，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贵方组织的（项目名称）【项目编号：（采购编号）】</w:t>
      </w:r>
      <w:r>
        <w:rPr>
          <w:rFonts w:hint="eastAsia" w:ascii="仿宋" w:hAnsi="仿宋" w:eastAsia="仿宋" w:cs="仿宋"/>
          <w:bCs/>
          <w:color w:val="auto"/>
          <w:sz w:val="24"/>
        </w:rPr>
        <w:t>采购活动中作如下说明：</w:t>
      </w:r>
      <w:r>
        <w:rPr>
          <w:rFonts w:hint="eastAsia" w:ascii="仿宋" w:hAnsi="仿宋" w:eastAsia="仿宋" w:cs="仿宋"/>
          <w:color w:val="auto"/>
          <w:sz w:val="24"/>
        </w:rPr>
        <w:t>我方所使用的“</w:t>
      </w:r>
      <w:r>
        <w:rPr>
          <w:rFonts w:ascii="仿宋" w:hAnsi="仿宋" w:eastAsia="仿宋" w:cs="仿宋"/>
          <w:color w:val="auto"/>
          <w:sz w:val="24"/>
        </w:rPr>
        <w:t xml:space="preserve">XX专用章”与法定名称章具有同等的法律效力，对使用“XX专用章”的行为予以完全承认，并愿意承担相应责任。   </w:t>
      </w:r>
    </w:p>
    <w:p w14:paraId="3E65BA5A">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特此说明。</w:t>
      </w:r>
    </w:p>
    <w:p w14:paraId="3E84D312">
      <w:pPr>
        <w:spacing w:line="336" w:lineRule="auto"/>
        <w:ind w:firstLine="494"/>
        <w:rPr>
          <w:rFonts w:ascii="仿宋" w:hAnsi="仿宋" w:eastAsia="仿宋" w:cs="仿宋"/>
          <w:color w:val="auto"/>
          <w:sz w:val="24"/>
        </w:rPr>
      </w:pPr>
    </w:p>
    <w:p w14:paraId="3E90DB13">
      <w:pPr>
        <w:spacing w:line="336" w:lineRule="auto"/>
        <w:ind w:firstLine="494"/>
        <w:rPr>
          <w:rFonts w:ascii="仿宋" w:hAnsi="仿宋" w:eastAsia="仿宋" w:cs="仿宋"/>
          <w:color w:val="auto"/>
          <w:sz w:val="24"/>
        </w:rPr>
      </w:pPr>
    </w:p>
    <w:p w14:paraId="5441474C">
      <w:pPr>
        <w:spacing w:line="336" w:lineRule="auto"/>
        <w:ind w:firstLine="494"/>
        <w:rPr>
          <w:rFonts w:ascii="仿宋" w:hAnsi="仿宋" w:eastAsia="仿宋" w:cs="仿宋"/>
          <w:color w:val="auto"/>
          <w:sz w:val="24"/>
        </w:rPr>
      </w:pPr>
    </w:p>
    <w:p w14:paraId="0A36EFE8">
      <w:pPr>
        <w:spacing w:line="336" w:lineRule="auto"/>
        <w:ind w:firstLine="494"/>
        <w:rPr>
          <w:rFonts w:ascii="仿宋" w:hAnsi="仿宋" w:eastAsia="仿宋" w:cs="仿宋"/>
          <w:color w:val="auto"/>
          <w:sz w:val="24"/>
        </w:rPr>
      </w:pPr>
    </w:p>
    <w:p w14:paraId="1B185F38">
      <w:pPr>
        <w:spacing w:line="336" w:lineRule="auto"/>
        <w:jc w:val="right"/>
        <w:rPr>
          <w:rFonts w:ascii="仿宋" w:hAnsi="仿宋" w:eastAsia="仿宋" w:cs="仿宋"/>
          <w:color w:val="auto"/>
          <w:sz w:val="24"/>
        </w:rPr>
      </w:pPr>
      <w:r>
        <w:rPr>
          <w:rFonts w:hint="eastAsia" w:ascii="仿宋" w:hAnsi="仿宋" w:eastAsia="仿宋" w:cs="仿宋"/>
          <w:color w:val="auto"/>
          <w:sz w:val="24"/>
        </w:rPr>
        <w:t>供应商名称（电子签名）：</w:t>
      </w:r>
    </w:p>
    <w:p w14:paraId="55A3FC53">
      <w:pPr>
        <w:spacing w:line="336" w:lineRule="auto"/>
        <w:ind w:firstLine="6120" w:firstLineChars="2550"/>
        <w:rPr>
          <w:rFonts w:ascii="仿宋" w:hAnsi="仿宋" w:eastAsia="仿宋" w:cs="仿宋"/>
          <w:color w:val="auto"/>
          <w:sz w:val="24"/>
        </w:rPr>
      </w:pP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期：</w:t>
      </w:r>
    </w:p>
    <w:p w14:paraId="02B12D0B">
      <w:pPr>
        <w:spacing w:line="336" w:lineRule="auto"/>
        <w:rPr>
          <w:rFonts w:ascii="仿宋" w:hAnsi="仿宋" w:eastAsia="仿宋" w:cs="仿宋"/>
          <w:color w:val="auto"/>
          <w:sz w:val="24"/>
        </w:rPr>
      </w:pPr>
      <w:r>
        <w:rPr>
          <w:rFonts w:hint="eastAsia" w:ascii="仿宋" w:hAnsi="仿宋" w:eastAsia="仿宋" w:cs="仿宋"/>
          <w:b/>
          <w:bCs/>
          <w:color w:val="auto"/>
          <w:sz w:val="24"/>
        </w:rPr>
        <w:t>附：</w:t>
      </w:r>
    </w:p>
    <w:p w14:paraId="7E9E77AA">
      <w:pPr>
        <w:spacing w:line="336" w:lineRule="auto"/>
        <w:rPr>
          <w:rFonts w:ascii="仿宋" w:hAnsi="仿宋" w:eastAsia="仿宋" w:cs="仿宋"/>
          <w:bCs/>
          <w:color w:val="auto"/>
          <w:sz w:val="24"/>
        </w:rPr>
      </w:pPr>
      <w:r>
        <w:rPr>
          <w:rFonts w:ascii="仿宋" w:hAnsi="仿宋" w:eastAsia="仿宋" w:cs="仿宋"/>
          <w:color w:val="auto"/>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13335" r="5080" b="9525"/>
                <wp:wrapNone/>
                <wp:docPr id="2" name="1026"/>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HP+MHYAAAACgEAAA8AAAAAAAAAAQAgAAAAIgAAAGRycy9kb3ducmV2LnhtbFBLAQIUABQAAAAI&#10;AIdO4kA0uP3cJgIAAGwEAAAOAAAAAAAAAAEAIAAAACcBAABkcnMvZTJvRG9jLnhtbFBLBQYAAAAA&#10;BgAGAFkBAAC/BQAAAAA=&#10;">
                <v:fill on="t" focussize="0,0"/>
                <v:stroke color="#000000" miterlimit="8" joinstyle="miter"/>
                <v:imagedata o:title=""/>
                <o:lock v:ext="edit" aspectratio="f"/>
              </v:rect>
            </w:pict>
          </mc:Fallback>
        </mc:AlternateContent>
      </w:r>
      <w:r>
        <w:rPr>
          <w:rFonts w:ascii="仿宋" w:hAnsi="仿宋" w:eastAsia="仿宋" w:cs="仿宋"/>
          <w:color w:val="auto"/>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13335" t="13335" r="5715" b="9525"/>
                <wp:wrapNone/>
                <wp:docPr id="1" name="102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1027"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3TsFjYAAAACgEAAA8AAAAAAAAAAQAgAAAAIgAAAGRycy9kb3ducmV2LnhtbFBLAQIUABQAAAAI&#10;AIdO4kBcwuE4JgIAAGwEAAAOAAAAAAAAAAEAIAAAACcBAABkcnMvZTJvRG9jLnhtbFBLBQYAAAAA&#10;BgAGAFkBAAC/BQAAAAA=&#10;">
                <v:fill on="t" focussize="0,0"/>
                <v:stroke color="#000000" miterlimit="8" joinstyle="miter"/>
                <v:imagedata o:title=""/>
                <o:lock v:ext="edit" aspectratio="f"/>
              </v:rect>
            </w:pict>
          </mc:Fallback>
        </mc:AlternateContent>
      </w:r>
      <w:r>
        <w:rPr>
          <w:rFonts w:hint="eastAsia" w:ascii="仿宋" w:hAnsi="仿宋" w:eastAsia="仿宋" w:cs="仿宋"/>
          <w:color w:val="auto"/>
          <w:sz w:val="24"/>
        </w:rPr>
        <w:t>供应商法定名称章（印模）供应商“</w:t>
      </w:r>
      <w:r>
        <w:rPr>
          <w:rFonts w:ascii="仿宋" w:hAnsi="仿宋" w:eastAsia="仿宋" w:cs="仿宋"/>
          <w:color w:val="auto"/>
          <w:sz w:val="24"/>
        </w:rPr>
        <w:t>XX专用章”（印模）</w:t>
      </w:r>
    </w:p>
    <w:p w14:paraId="164B4C71">
      <w:pPr>
        <w:widowControl/>
        <w:spacing w:line="336" w:lineRule="auto"/>
        <w:ind w:firstLine="480" w:firstLineChars="200"/>
        <w:jc w:val="left"/>
        <w:rPr>
          <w:rFonts w:ascii="仿宋" w:hAnsi="仿宋" w:eastAsia="仿宋" w:cs="仿宋"/>
          <w:color w:val="auto"/>
          <w:kern w:val="0"/>
          <w:sz w:val="24"/>
        </w:rPr>
      </w:pPr>
    </w:p>
    <w:p w14:paraId="7099D7E8">
      <w:pPr>
        <w:snapToGrid w:val="0"/>
        <w:spacing w:line="336" w:lineRule="auto"/>
        <w:jc w:val="center"/>
        <w:rPr>
          <w:rFonts w:ascii="仿宋" w:hAnsi="仿宋" w:eastAsia="仿宋" w:cs="仿宋"/>
          <w:b/>
          <w:color w:val="auto"/>
          <w:sz w:val="24"/>
        </w:rPr>
      </w:pPr>
    </w:p>
    <w:p w14:paraId="579C361C">
      <w:pPr>
        <w:widowControl/>
        <w:adjustRightInd/>
        <w:spacing w:line="336" w:lineRule="auto"/>
        <w:jc w:val="left"/>
        <w:rPr>
          <w:rFonts w:ascii="宋体" w:hAnsi="宋体" w:cs="仿宋_GB2312"/>
          <w:b/>
          <w:color w:val="auto"/>
          <w:sz w:val="24"/>
        </w:rPr>
      </w:pP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微软雅黑"/>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F053">
    <w:pPr>
      <w:pStyle w:val="39"/>
      <w:framePr w:wrap="around" w:vAnchor="text" w:hAnchor="margin" w:xAlign="right" w:y="1"/>
      <w:rPr>
        <w:rStyle w:val="65"/>
      </w:rPr>
    </w:pPr>
    <w:r>
      <w:fldChar w:fldCharType="begin"/>
    </w:r>
    <w:r>
      <w:rPr>
        <w:rStyle w:val="65"/>
      </w:rPr>
      <w:instrText xml:space="preserve">PAGE  </w:instrText>
    </w:r>
    <w:r>
      <w:fldChar w:fldCharType="end"/>
    </w:r>
  </w:p>
  <w:p w14:paraId="7DAEC701">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3E77E">
    <w:pPr>
      <w:pStyle w:val="39"/>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68DA6">
    <w:pPr>
      <w:pStyle w:val="39"/>
      <w:jc w:val="center"/>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C4764">
                          <w:pPr>
                            <w:pStyle w:val="39"/>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BEC4764">
                    <w:pPr>
                      <w:pStyle w:val="3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0E3EC">
    <w:pPr>
      <w:pStyle w:val="39"/>
      <w:framePr w:wrap="around" w:vAnchor="text" w:hAnchor="margin" w:xAlign="right" w:y="1"/>
      <w:rPr>
        <w:rStyle w:val="65"/>
      </w:rPr>
    </w:pPr>
    <w:r>
      <w:fldChar w:fldCharType="begin"/>
    </w:r>
    <w:r>
      <w:rPr>
        <w:rStyle w:val="65"/>
      </w:rPr>
      <w:instrText xml:space="preserve">PAGE  </w:instrText>
    </w:r>
    <w:r>
      <w:fldChar w:fldCharType="end"/>
    </w:r>
  </w:p>
  <w:p w14:paraId="6239DAD0">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D63A3">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83253">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4783253">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CC5F5">
    <w:pPr>
      <w:pStyle w:val="4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62CE4">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584E3">
    <w:pPr>
      <w:pStyle w:val="4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0F97">
    <w:pPr>
      <w:pStyle w:val="40"/>
      <w:pBdr>
        <w:bottom w:val="single" w:color="auto" w:sz="4"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6CBCE"/>
    <w:multiLevelType w:val="singleLevel"/>
    <w:tmpl w:val="DC76CBCE"/>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3"/>
    <w:multiLevelType w:val="multilevel"/>
    <w:tmpl w:val="00000003"/>
    <w:lvl w:ilvl="0" w:tentative="0">
      <w:start w:val="1"/>
      <w:numFmt w:val="bullet"/>
      <w:pStyle w:val="413"/>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4">
    <w:nsid w:val="00000004"/>
    <w:multiLevelType w:val="multilevel"/>
    <w:tmpl w:val="00000004"/>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5"/>
    <w:multiLevelType w:val="multilevel"/>
    <w:tmpl w:val="00000005"/>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00000007"/>
    <w:multiLevelType w:val="multilevel"/>
    <w:tmpl w:val="00000007"/>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00000008"/>
    <w:multiLevelType w:val="multilevel"/>
    <w:tmpl w:val="00000008"/>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YWJmNGE5NWNmMDFiMWRlYTJiMmMxOWVjNDMzMTYifQ=="/>
  </w:docVars>
  <w:rsids>
    <w:rsidRoot w:val="00B80AE6"/>
    <w:rsid w:val="0003277C"/>
    <w:rsid w:val="00072CAE"/>
    <w:rsid w:val="00082FC0"/>
    <w:rsid w:val="0009557D"/>
    <w:rsid w:val="000B02CC"/>
    <w:rsid w:val="000B44D3"/>
    <w:rsid w:val="000B76D8"/>
    <w:rsid w:val="000C675E"/>
    <w:rsid w:val="00103B9B"/>
    <w:rsid w:val="0011053E"/>
    <w:rsid w:val="00124656"/>
    <w:rsid w:val="00134D75"/>
    <w:rsid w:val="00135135"/>
    <w:rsid w:val="001679C8"/>
    <w:rsid w:val="00180E7B"/>
    <w:rsid w:val="001A2968"/>
    <w:rsid w:val="001A57F2"/>
    <w:rsid w:val="001A6399"/>
    <w:rsid w:val="001C183C"/>
    <w:rsid w:val="001D693E"/>
    <w:rsid w:val="001F323C"/>
    <w:rsid w:val="00200DAF"/>
    <w:rsid w:val="002048DB"/>
    <w:rsid w:val="00215AA4"/>
    <w:rsid w:val="002177FA"/>
    <w:rsid w:val="002257C5"/>
    <w:rsid w:val="00231849"/>
    <w:rsid w:val="00231BC6"/>
    <w:rsid w:val="00285E6B"/>
    <w:rsid w:val="00287B2E"/>
    <w:rsid w:val="00290DD8"/>
    <w:rsid w:val="00294959"/>
    <w:rsid w:val="002A4E3E"/>
    <w:rsid w:val="002F0C1F"/>
    <w:rsid w:val="00302044"/>
    <w:rsid w:val="00307394"/>
    <w:rsid w:val="003421FA"/>
    <w:rsid w:val="00357770"/>
    <w:rsid w:val="003746D2"/>
    <w:rsid w:val="003B01AB"/>
    <w:rsid w:val="00417CC1"/>
    <w:rsid w:val="004250A5"/>
    <w:rsid w:val="00427E65"/>
    <w:rsid w:val="00430E31"/>
    <w:rsid w:val="00436176"/>
    <w:rsid w:val="00456328"/>
    <w:rsid w:val="00474171"/>
    <w:rsid w:val="00481283"/>
    <w:rsid w:val="004C19CA"/>
    <w:rsid w:val="004F2ABA"/>
    <w:rsid w:val="004F496D"/>
    <w:rsid w:val="004F7369"/>
    <w:rsid w:val="00503B61"/>
    <w:rsid w:val="005202C0"/>
    <w:rsid w:val="00536C5D"/>
    <w:rsid w:val="00543216"/>
    <w:rsid w:val="0056464F"/>
    <w:rsid w:val="005800E1"/>
    <w:rsid w:val="005D56B5"/>
    <w:rsid w:val="00612890"/>
    <w:rsid w:val="00612FD4"/>
    <w:rsid w:val="006620C6"/>
    <w:rsid w:val="00664E4D"/>
    <w:rsid w:val="00674E30"/>
    <w:rsid w:val="006A1EF7"/>
    <w:rsid w:val="006C48D4"/>
    <w:rsid w:val="006C7400"/>
    <w:rsid w:val="006D2231"/>
    <w:rsid w:val="006E60F2"/>
    <w:rsid w:val="00746954"/>
    <w:rsid w:val="00746A54"/>
    <w:rsid w:val="00771ABB"/>
    <w:rsid w:val="00773156"/>
    <w:rsid w:val="00776F79"/>
    <w:rsid w:val="00783531"/>
    <w:rsid w:val="00786138"/>
    <w:rsid w:val="007921EB"/>
    <w:rsid w:val="007964B1"/>
    <w:rsid w:val="007B02F2"/>
    <w:rsid w:val="007C17AD"/>
    <w:rsid w:val="007D312B"/>
    <w:rsid w:val="007F080F"/>
    <w:rsid w:val="0083212A"/>
    <w:rsid w:val="00833A58"/>
    <w:rsid w:val="00835C0E"/>
    <w:rsid w:val="00846BDC"/>
    <w:rsid w:val="00873BA0"/>
    <w:rsid w:val="00885CCB"/>
    <w:rsid w:val="008A68FE"/>
    <w:rsid w:val="008A75EB"/>
    <w:rsid w:val="008B4349"/>
    <w:rsid w:val="008E489F"/>
    <w:rsid w:val="009303CA"/>
    <w:rsid w:val="00934BDA"/>
    <w:rsid w:val="009436A8"/>
    <w:rsid w:val="009444C8"/>
    <w:rsid w:val="00950AE8"/>
    <w:rsid w:val="00971D32"/>
    <w:rsid w:val="00980BA3"/>
    <w:rsid w:val="009C3E66"/>
    <w:rsid w:val="009D0AB4"/>
    <w:rsid w:val="009D2D0A"/>
    <w:rsid w:val="009D6E05"/>
    <w:rsid w:val="009E026B"/>
    <w:rsid w:val="009E6B15"/>
    <w:rsid w:val="009E703A"/>
    <w:rsid w:val="009F6957"/>
    <w:rsid w:val="00A1257A"/>
    <w:rsid w:val="00A4222D"/>
    <w:rsid w:val="00A65B8D"/>
    <w:rsid w:val="00AB6655"/>
    <w:rsid w:val="00AC446E"/>
    <w:rsid w:val="00AD2EAD"/>
    <w:rsid w:val="00AE27E3"/>
    <w:rsid w:val="00AE7467"/>
    <w:rsid w:val="00B245EF"/>
    <w:rsid w:val="00B30D4D"/>
    <w:rsid w:val="00B3193C"/>
    <w:rsid w:val="00B4549D"/>
    <w:rsid w:val="00B56C12"/>
    <w:rsid w:val="00B57C18"/>
    <w:rsid w:val="00B64BF2"/>
    <w:rsid w:val="00B71539"/>
    <w:rsid w:val="00B7173C"/>
    <w:rsid w:val="00B7392B"/>
    <w:rsid w:val="00B80AE6"/>
    <w:rsid w:val="00B8551B"/>
    <w:rsid w:val="00BC62B8"/>
    <w:rsid w:val="00BD678F"/>
    <w:rsid w:val="00BE7797"/>
    <w:rsid w:val="00C06802"/>
    <w:rsid w:val="00C17354"/>
    <w:rsid w:val="00C50E45"/>
    <w:rsid w:val="00C5195E"/>
    <w:rsid w:val="00C62D43"/>
    <w:rsid w:val="00C76C1F"/>
    <w:rsid w:val="00C81B83"/>
    <w:rsid w:val="00CA1D8D"/>
    <w:rsid w:val="00CA6E74"/>
    <w:rsid w:val="00CA709E"/>
    <w:rsid w:val="00CB5A07"/>
    <w:rsid w:val="00CC0574"/>
    <w:rsid w:val="00CD1A63"/>
    <w:rsid w:val="00CD5D92"/>
    <w:rsid w:val="00CE256F"/>
    <w:rsid w:val="00D0767D"/>
    <w:rsid w:val="00D47243"/>
    <w:rsid w:val="00D56C5A"/>
    <w:rsid w:val="00D65D6C"/>
    <w:rsid w:val="00DC511F"/>
    <w:rsid w:val="00DD5EE0"/>
    <w:rsid w:val="00DE2BF0"/>
    <w:rsid w:val="00E02836"/>
    <w:rsid w:val="00E31D42"/>
    <w:rsid w:val="00E359B3"/>
    <w:rsid w:val="00E6202E"/>
    <w:rsid w:val="00E65FE7"/>
    <w:rsid w:val="00EA72A0"/>
    <w:rsid w:val="00ED3733"/>
    <w:rsid w:val="00EF1E19"/>
    <w:rsid w:val="00EF5BA2"/>
    <w:rsid w:val="00F10091"/>
    <w:rsid w:val="00F1191B"/>
    <w:rsid w:val="00F265DF"/>
    <w:rsid w:val="00F77C0C"/>
    <w:rsid w:val="00F91662"/>
    <w:rsid w:val="00FB29F4"/>
    <w:rsid w:val="00FC0D5E"/>
    <w:rsid w:val="00FF26F9"/>
    <w:rsid w:val="00FF52C8"/>
    <w:rsid w:val="011C44BE"/>
    <w:rsid w:val="012313A8"/>
    <w:rsid w:val="01284C10"/>
    <w:rsid w:val="012A2737"/>
    <w:rsid w:val="01311D17"/>
    <w:rsid w:val="013435B5"/>
    <w:rsid w:val="01361A05"/>
    <w:rsid w:val="0136557F"/>
    <w:rsid w:val="0143677F"/>
    <w:rsid w:val="0148378D"/>
    <w:rsid w:val="014F6641"/>
    <w:rsid w:val="0156352C"/>
    <w:rsid w:val="015C2B0C"/>
    <w:rsid w:val="016F43BB"/>
    <w:rsid w:val="0196605B"/>
    <w:rsid w:val="01A06E9D"/>
    <w:rsid w:val="01B70EF5"/>
    <w:rsid w:val="01C505B5"/>
    <w:rsid w:val="01C979DB"/>
    <w:rsid w:val="01D408F4"/>
    <w:rsid w:val="01E925F2"/>
    <w:rsid w:val="01FF0067"/>
    <w:rsid w:val="020866C9"/>
    <w:rsid w:val="023D46EC"/>
    <w:rsid w:val="02A23DA7"/>
    <w:rsid w:val="02A84D7F"/>
    <w:rsid w:val="02B349AE"/>
    <w:rsid w:val="02C848FD"/>
    <w:rsid w:val="02C941D1"/>
    <w:rsid w:val="02F456F2"/>
    <w:rsid w:val="030B2A3C"/>
    <w:rsid w:val="03157416"/>
    <w:rsid w:val="031713E0"/>
    <w:rsid w:val="0324119F"/>
    <w:rsid w:val="03282B7E"/>
    <w:rsid w:val="033A0B8B"/>
    <w:rsid w:val="03443858"/>
    <w:rsid w:val="03465822"/>
    <w:rsid w:val="038A1BB2"/>
    <w:rsid w:val="03912F64"/>
    <w:rsid w:val="0397607D"/>
    <w:rsid w:val="03991DF6"/>
    <w:rsid w:val="03AE3AF3"/>
    <w:rsid w:val="03B2781F"/>
    <w:rsid w:val="03B86720"/>
    <w:rsid w:val="03E7444B"/>
    <w:rsid w:val="03EF1A15"/>
    <w:rsid w:val="03F4527E"/>
    <w:rsid w:val="03F558D8"/>
    <w:rsid w:val="04372FD3"/>
    <w:rsid w:val="044153C6"/>
    <w:rsid w:val="04455AD9"/>
    <w:rsid w:val="044B1342"/>
    <w:rsid w:val="045301F6"/>
    <w:rsid w:val="045B70AB"/>
    <w:rsid w:val="048E4711"/>
    <w:rsid w:val="04C904B8"/>
    <w:rsid w:val="04C97A85"/>
    <w:rsid w:val="04CE20BF"/>
    <w:rsid w:val="04E56C83"/>
    <w:rsid w:val="0510733D"/>
    <w:rsid w:val="05263B5D"/>
    <w:rsid w:val="05281683"/>
    <w:rsid w:val="0532605E"/>
    <w:rsid w:val="05357BF8"/>
    <w:rsid w:val="054A15F9"/>
    <w:rsid w:val="05706B86"/>
    <w:rsid w:val="05733BB8"/>
    <w:rsid w:val="05783516"/>
    <w:rsid w:val="05957B96"/>
    <w:rsid w:val="05980437"/>
    <w:rsid w:val="05BE78F1"/>
    <w:rsid w:val="05C23886"/>
    <w:rsid w:val="05DE0E4B"/>
    <w:rsid w:val="05E21783"/>
    <w:rsid w:val="0602610F"/>
    <w:rsid w:val="06175254"/>
    <w:rsid w:val="0619721E"/>
    <w:rsid w:val="06255BC2"/>
    <w:rsid w:val="06523DD1"/>
    <w:rsid w:val="06557AF2"/>
    <w:rsid w:val="0661350E"/>
    <w:rsid w:val="066A1827"/>
    <w:rsid w:val="066A7A79"/>
    <w:rsid w:val="066E57BB"/>
    <w:rsid w:val="069A65B0"/>
    <w:rsid w:val="069B0773"/>
    <w:rsid w:val="06BF7DC5"/>
    <w:rsid w:val="06C90DC4"/>
    <w:rsid w:val="06D373CC"/>
    <w:rsid w:val="06DA4BFF"/>
    <w:rsid w:val="06DF2215"/>
    <w:rsid w:val="06F01EEF"/>
    <w:rsid w:val="06FF6413"/>
    <w:rsid w:val="07044910"/>
    <w:rsid w:val="07100621"/>
    <w:rsid w:val="071874D5"/>
    <w:rsid w:val="071A4FFB"/>
    <w:rsid w:val="072B7F2A"/>
    <w:rsid w:val="074402CA"/>
    <w:rsid w:val="074B1659"/>
    <w:rsid w:val="075926EA"/>
    <w:rsid w:val="07594547"/>
    <w:rsid w:val="07601EE6"/>
    <w:rsid w:val="076F7104"/>
    <w:rsid w:val="079E4577"/>
    <w:rsid w:val="07B05960"/>
    <w:rsid w:val="07B33DBE"/>
    <w:rsid w:val="07B74F40"/>
    <w:rsid w:val="07CA4C73"/>
    <w:rsid w:val="07DB49A4"/>
    <w:rsid w:val="081604A6"/>
    <w:rsid w:val="081D1247"/>
    <w:rsid w:val="082223BA"/>
    <w:rsid w:val="08320BD9"/>
    <w:rsid w:val="084367D4"/>
    <w:rsid w:val="08492130"/>
    <w:rsid w:val="084F6F27"/>
    <w:rsid w:val="086D3F47"/>
    <w:rsid w:val="086D5ABE"/>
    <w:rsid w:val="08892894"/>
    <w:rsid w:val="089D7C92"/>
    <w:rsid w:val="08A41020"/>
    <w:rsid w:val="08A454C4"/>
    <w:rsid w:val="08AB4062"/>
    <w:rsid w:val="08D91077"/>
    <w:rsid w:val="08E13A59"/>
    <w:rsid w:val="08EE5E26"/>
    <w:rsid w:val="08F024B8"/>
    <w:rsid w:val="08F50301"/>
    <w:rsid w:val="09063A89"/>
    <w:rsid w:val="09265ED9"/>
    <w:rsid w:val="092B7994"/>
    <w:rsid w:val="092C3269"/>
    <w:rsid w:val="095F763D"/>
    <w:rsid w:val="0966277A"/>
    <w:rsid w:val="0973310E"/>
    <w:rsid w:val="097A2EEF"/>
    <w:rsid w:val="097F383C"/>
    <w:rsid w:val="098749AC"/>
    <w:rsid w:val="098764CD"/>
    <w:rsid w:val="0992356F"/>
    <w:rsid w:val="099C263F"/>
    <w:rsid w:val="099C619C"/>
    <w:rsid w:val="09A60DC8"/>
    <w:rsid w:val="09BB0D18"/>
    <w:rsid w:val="09D26B6B"/>
    <w:rsid w:val="09D41128"/>
    <w:rsid w:val="0A0334A7"/>
    <w:rsid w:val="0A051F93"/>
    <w:rsid w:val="0A344626"/>
    <w:rsid w:val="0A6E5D8A"/>
    <w:rsid w:val="0A79350F"/>
    <w:rsid w:val="0AA277E2"/>
    <w:rsid w:val="0AA97C2F"/>
    <w:rsid w:val="0AAE6186"/>
    <w:rsid w:val="0AB45767"/>
    <w:rsid w:val="0AB67731"/>
    <w:rsid w:val="0AB85257"/>
    <w:rsid w:val="0AE61DC4"/>
    <w:rsid w:val="0AEC6CAF"/>
    <w:rsid w:val="0AF83246"/>
    <w:rsid w:val="0B266665"/>
    <w:rsid w:val="0B300AA7"/>
    <w:rsid w:val="0B45498C"/>
    <w:rsid w:val="0B7B7D63"/>
    <w:rsid w:val="0B8C18E5"/>
    <w:rsid w:val="0BB55B0D"/>
    <w:rsid w:val="0BD5582F"/>
    <w:rsid w:val="0C047CB1"/>
    <w:rsid w:val="0C0B7609"/>
    <w:rsid w:val="0C0D3730"/>
    <w:rsid w:val="0C321AB2"/>
    <w:rsid w:val="0C3D3FF4"/>
    <w:rsid w:val="0C557747"/>
    <w:rsid w:val="0C590374"/>
    <w:rsid w:val="0C664B78"/>
    <w:rsid w:val="0C694A9D"/>
    <w:rsid w:val="0C787EA6"/>
    <w:rsid w:val="0C831895"/>
    <w:rsid w:val="0C9C3BF1"/>
    <w:rsid w:val="0CB0724F"/>
    <w:rsid w:val="0CB36F22"/>
    <w:rsid w:val="0CC714ED"/>
    <w:rsid w:val="0CD3157A"/>
    <w:rsid w:val="0CE40585"/>
    <w:rsid w:val="0CF25558"/>
    <w:rsid w:val="0CF813CA"/>
    <w:rsid w:val="0CF85DDF"/>
    <w:rsid w:val="0D1E5CB6"/>
    <w:rsid w:val="0D215336"/>
    <w:rsid w:val="0D283592"/>
    <w:rsid w:val="0D3037CB"/>
    <w:rsid w:val="0D4074FB"/>
    <w:rsid w:val="0D43731A"/>
    <w:rsid w:val="0D5D4F39"/>
    <w:rsid w:val="0D6945E7"/>
    <w:rsid w:val="0D6E689D"/>
    <w:rsid w:val="0D705608"/>
    <w:rsid w:val="0D7F205C"/>
    <w:rsid w:val="0DB37F58"/>
    <w:rsid w:val="0DB4650E"/>
    <w:rsid w:val="0DC363ED"/>
    <w:rsid w:val="0DC62738"/>
    <w:rsid w:val="0DEA3B74"/>
    <w:rsid w:val="0E140D02"/>
    <w:rsid w:val="0E2624D8"/>
    <w:rsid w:val="0E3E5A73"/>
    <w:rsid w:val="0E4A09D7"/>
    <w:rsid w:val="0E567261"/>
    <w:rsid w:val="0E6000E3"/>
    <w:rsid w:val="0E707BF7"/>
    <w:rsid w:val="0E8A3A31"/>
    <w:rsid w:val="0EB61AAE"/>
    <w:rsid w:val="0EC95C85"/>
    <w:rsid w:val="0ED02F14"/>
    <w:rsid w:val="0ED42B4E"/>
    <w:rsid w:val="0ED662BA"/>
    <w:rsid w:val="0EDD34DE"/>
    <w:rsid w:val="0EEF6D6E"/>
    <w:rsid w:val="0EF56A7A"/>
    <w:rsid w:val="0F040A6B"/>
    <w:rsid w:val="0F0740B7"/>
    <w:rsid w:val="0F0C791F"/>
    <w:rsid w:val="0F134C17"/>
    <w:rsid w:val="0F1E22AD"/>
    <w:rsid w:val="0F20786F"/>
    <w:rsid w:val="0F3D1107"/>
    <w:rsid w:val="0F423341"/>
    <w:rsid w:val="0F4672D5"/>
    <w:rsid w:val="0F476BAA"/>
    <w:rsid w:val="0F53554E"/>
    <w:rsid w:val="0F5F2145"/>
    <w:rsid w:val="0F841BAC"/>
    <w:rsid w:val="0F882744"/>
    <w:rsid w:val="0F966EB6"/>
    <w:rsid w:val="0F9F2542"/>
    <w:rsid w:val="0FA43FFC"/>
    <w:rsid w:val="0FBD1A3F"/>
    <w:rsid w:val="0FBF4992"/>
    <w:rsid w:val="0FCE2BD0"/>
    <w:rsid w:val="1008458B"/>
    <w:rsid w:val="101747CE"/>
    <w:rsid w:val="101D790A"/>
    <w:rsid w:val="102748C3"/>
    <w:rsid w:val="102B5FD8"/>
    <w:rsid w:val="102E0E8F"/>
    <w:rsid w:val="10392996"/>
    <w:rsid w:val="10484987"/>
    <w:rsid w:val="105461D5"/>
    <w:rsid w:val="105E23FD"/>
    <w:rsid w:val="10674519"/>
    <w:rsid w:val="10771710"/>
    <w:rsid w:val="107C0AD5"/>
    <w:rsid w:val="108160EB"/>
    <w:rsid w:val="10817EF0"/>
    <w:rsid w:val="108F3EB7"/>
    <w:rsid w:val="109E0A4B"/>
    <w:rsid w:val="10A51DDA"/>
    <w:rsid w:val="10B86591"/>
    <w:rsid w:val="10BE6ECD"/>
    <w:rsid w:val="10CA4DA9"/>
    <w:rsid w:val="10D12BCF"/>
    <w:rsid w:val="10E36DA6"/>
    <w:rsid w:val="10F92125"/>
    <w:rsid w:val="11001706"/>
    <w:rsid w:val="110C1E59"/>
    <w:rsid w:val="112371A2"/>
    <w:rsid w:val="1125308E"/>
    <w:rsid w:val="11333889"/>
    <w:rsid w:val="114B682E"/>
    <w:rsid w:val="117874EE"/>
    <w:rsid w:val="118E0AC0"/>
    <w:rsid w:val="11956E17"/>
    <w:rsid w:val="11AE2F10"/>
    <w:rsid w:val="11E06E41"/>
    <w:rsid w:val="11EB7CC0"/>
    <w:rsid w:val="11F20974"/>
    <w:rsid w:val="12011292"/>
    <w:rsid w:val="12046FD4"/>
    <w:rsid w:val="12064AFA"/>
    <w:rsid w:val="120E7E53"/>
    <w:rsid w:val="121D5308"/>
    <w:rsid w:val="122907E8"/>
    <w:rsid w:val="12312130"/>
    <w:rsid w:val="123C5456"/>
    <w:rsid w:val="123E21E9"/>
    <w:rsid w:val="12506B92"/>
    <w:rsid w:val="125D0492"/>
    <w:rsid w:val="125F420A"/>
    <w:rsid w:val="12A84323"/>
    <w:rsid w:val="12A8795F"/>
    <w:rsid w:val="12D83268"/>
    <w:rsid w:val="12ED5FF3"/>
    <w:rsid w:val="12EF558E"/>
    <w:rsid w:val="13047F9F"/>
    <w:rsid w:val="130726B8"/>
    <w:rsid w:val="130D3782"/>
    <w:rsid w:val="1332191F"/>
    <w:rsid w:val="133F3A40"/>
    <w:rsid w:val="13516249"/>
    <w:rsid w:val="1360648C"/>
    <w:rsid w:val="136A10B9"/>
    <w:rsid w:val="136F6EA1"/>
    <w:rsid w:val="137C26CF"/>
    <w:rsid w:val="13C609E5"/>
    <w:rsid w:val="13CE33F5"/>
    <w:rsid w:val="13E250F3"/>
    <w:rsid w:val="13E9022F"/>
    <w:rsid w:val="13F51A75"/>
    <w:rsid w:val="14301281"/>
    <w:rsid w:val="14342773"/>
    <w:rsid w:val="143B794B"/>
    <w:rsid w:val="14506500"/>
    <w:rsid w:val="146975C2"/>
    <w:rsid w:val="148F527B"/>
    <w:rsid w:val="14961BDF"/>
    <w:rsid w:val="149C1746"/>
    <w:rsid w:val="149F4479"/>
    <w:rsid w:val="14AF0A8B"/>
    <w:rsid w:val="14BE16BC"/>
    <w:rsid w:val="14C33176"/>
    <w:rsid w:val="14C6158D"/>
    <w:rsid w:val="14F21366"/>
    <w:rsid w:val="14F35BC7"/>
    <w:rsid w:val="14FA3EE2"/>
    <w:rsid w:val="152D05F0"/>
    <w:rsid w:val="156A53A0"/>
    <w:rsid w:val="157E6A6B"/>
    <w:rsid w:val="158227E0"/>
    <w:rsid w:val="15A84456"/>
    <w:rsid w:val="15C54CCC"/>
    <w:rsid w:val="15E11B06"/>
    <w:rsid w:val="160D5B6E"/>
    <w:rsid w:val="16112265"/>
    <w:rsid w:val="16264111"/>
    <w:rsid w:val="162A607A"/>
    <w:rsid w:val="162B2D81"/>
    <w:rsid w:val="16300397"/>
    <w:rsid w:val="163C4DDE"/>
    <w:rsid w:val="16481B85"/>
    <w:rsid w:val="165322D8"/>
    <w:rsid w:val="16563ED5"/>
    <w:rsid w:val="16573B76"/>
    <w:rsid w:val="165B5812"/>
    <w:rsid w:val="16685D83"/>
    <w:rsid w:val="16841A81"/>
    <w:rsid w:val="16893F4C"/>
    <w:rsid w:val="16AC30DF"/>
    <w:rsid w:val="16B8213B"/>
    <w:rsid w:val="16D451C7"/>
    <w:rsid w:val="16D5087F"/>
    <w:rsid w:val="17205F01"/>
    <w:rsid w:val="173D7210"/>
    <w:rsid w:val="174D4F79"/>
    <w:rsid w:val="177841EC"/>
    <w:rsid w:val="17966920"/>
    <w:rsid w:val="17E7717C"/>
    <w:rsid w:val="18326475"/>
    <w:rsid w:val="185D2675"/>
    <w:rsid w:val="1864257A"/>
    <w:rsid w:val="18763F46"/>
    <w:rsid w:val="18826EA4"/>
    <w:rsid w:val="188350F6"/>
    <w:rsid w:val="18891FE1"/>
    <w:rsid w:val="188E5849"/>
    <w:rsid w:val="18AB2A89"/>
    <w:rsid w:val="18B54B84"/>
    <w:rsid w:val="18EE62E8"/>
    <w:rsid w:val="18F97167"/>
    <w:rsid w:val="19197809"/>
    <w:rsid w:val="191E0979"/>
    <w:rsid w:val="19292616"/>
    <w:rsid w:val="193059E0"/>
    <w:rsid w:val="195728BE"/>
    <w:rsid w:val="19650358"/>
    <w:rsid w:val="19662322"/>
    <w:rsid w:val="19690607"/>
    <w:rsid w:val="197131A1"/>
    <w:rsid w:val="19AF5A77"/>
    <w:rsid w:val="19AF7825"/>
    <w:rsid w:val="19B4308D"/>
    <w:rsid w:val="19C77265"/>
    <w:rsid w:val="19CB3F48"/>
    <w:rsid w:val="19CE05F3"/>
    <w:rsid w:val="19E41BC5"/>
    <w:rsid w:val="19E51499"/>
    <w:rsid w:val="19E74BB9"/>
    <w:rsid w:val="19EC6CCB"/>
    <w:rsid w:val="19F65454"/>
    <w:rsid w:val="1A192827"/>
    <w:rsid w:val="1A197CDF"/>
    <w:rsid w:val="1A1B135F"/>
    <w:rsid w:val="1A2024D1"/>
    <w:rsid w:val="1A2D13C0"/>
    <w:rsid w:val="1A315637"/>
    <w:rsid w:val="1A3D1F3A"/>
    <w:rsid w:val="1A50725A"/>
    <w:rsid w:val="1A62027E"/>
    <w:rsid w:val="1A667FFB"/>
    <w:rsid w:val="1A7C55D5"/>
    <w:rsid w:val="1A83719D"/>
    <w:rsid w:val="1A840CB2"/>
    <w:rsid w:val="1A8C400A"/>
    <w:rsid w:val="1A9A12C1"/>
    <w:rsid w:val="1AC612CA"/>
    <w:rsid w:val="1ACB68E1"/>
    <w:rsid w:val="1ACF50CC"/>
    <w:rsid w:val="1AD00105"/>
    <w:rsid w:val="1AD8315F"/>
    <w:rsid w:val="1AF5395E"/>
    <w:rsid w:val="1AF57E02"/>
    <w:rsid w:val="1B041DF3"/>
    <w:rsid w:val="1B156231"/>
    <w:rsid w:val="1B271B34"/>
    <w:rsid w:val="1B285AE1"/>
    <w:rsid w:val="1B746F78"/>
    <w:rsid w:val="1B770817"/>
    <w:rsid w:val="1B8371BB"/>
    <w:rsid w:val="1B9237FE"/>
    <w:rsid w:val="1BB13D28"/>
    <w:rsid w:val="1BD87F5A"/>
    <w:rsid w:val="1BEE6D2B"/>
    <w:rsid w:val="1C05597E"/>
    <w:rsid w:val="1C0A3439"/>
    <w:rsid w:val="1C2A5889"/>
    <w:rsid w:val="1C311D77"/>
    <w:rsid w:val="1C5F19D6"/>
    <w:rsid w:val="1C735482"/>
    <w:rsid w:val="1C817B9F"/>
    <w:rsid w:val="1CA0458E"/>
    <w:rsid w:val="1CBB2985"/>
    <w:rsid w:val="1CC1486F"/>
    <w:rsid w:val="1CC950A2"/>
    <w:rsid w:val="1CCB2BC8"/>
    <w:rsid w:val="1CCE090A"/>
    <w:rsid w:val="1CD13F56"/>
    <w:rsid w:val="1CE912A0"/>
    <w:rsid w:val="1D167BBB"/>
    <w:rsid w:val="1D5030CD"/>
    <w:rsid w:val="1D750D86"/>
    <w:rsid w:val="1D7758B3"/>
    <w:rsid w:val="1D7C0366"/>
    <w:rsid w:val="1D7C3EC2"/>
    <w:rsid w:val="1D835251"/>
    <w:rsid w:val="1D862F93"/>
    <w:rsid w:val="1D8B05A9"/>
    <w:rsid w:val="1DB7314C"/>
    <w:rsid w:val="1DCA10D2"/>
    <w:rsid w:val="1DDE4B7D"/>
    <w:rsid w:val="1DF3687A"/>
    <w:rsid w:val="1DF51822"/>
    <w:rsid w:val="1E1B192D"/>
    <w:rsid w:val="1E322D84"/>
    <w:rsid w:val="1E5956F3"/>
    <w:rsid w:val="1E682698"/>
    <w:rsid w:val="1E766B63"/>
    <w:rsid w:val="1E8F1635"/>
    <w:rsid w:val="1EBD4792"/>
    <w:rsid w:val="1ECB3353"/>
    <w:rsid w:val="1ED46C06"/>
    <w:rsid w:val="1EDA3596"/>
    <w:rsid w:val="1F170346"/>
    <w:rsid w:val="1F182311"/>
    <w:rsid w:val="1F1C10F7"/>
    <w:rsid w:val="1F2C36C6"/>
    <w:rsid w:val="1F2E38E2"/>
    <w:rsid w:val="1F45652D"/>
    <w:rsid w:val="1FBA6F24"/>
    <w:rsid w:val="1FC87893"/>
    <w:rsid w:val="1FD96CCE"/>
    <w:rsid w:val="1FE03E2B"/>
    <w:rsid w:val="1FE679D1"/>
    <w:rsid w:val="200D14A4"/>
    <w:rsid w:val="20112FE8"/>
    <w:rsid w:val="204C64A4"/>
    <w:rsid w:val="205F3F24"/>
    <w:rsid w:val="206051B5"/>
    <w:rsid w:val="206655AB"/>
    <w:rsid w:val="206A0E38"/>
    <w:rsid w:val="206E043A"/>
    <w:rsid w:val="2080016D"/>
    <w:rsid w:val="20831A0C"/>
    <w:rsid w:val="209A66E1"/>
    <w:rsid w:val="20AF45AF"/>
    <w:rsid w:val="20C55B80"/>
    <w:rsid w:val="20D07F44"/>
    <w:rsid w:val="20D364EF"/>
    <w:rsid w:val="20E26FD4"/>
    <w:rsid w:val="20ED053C"/>
    <w:rsid w:val="20FB092C"/>
    <w:rsid w:val="21032E75"/>
    <w:rsid w:val="2116462E"/>
    <w:rsid w:val="211D776A"/>
    <w:rsid w:val="213411B9"/>
    <w:rsid w:val="21393401"/>
    <w:rsid w:val="214271D1"/>
    <w:rsid w:val="21472A39"/>
    <w:rsid w:val="21535882"/>
    <w:rsid w:val="216E446A"/>
    <w:rsid w:val="216F2CC8"/>
    <w:rsid w:val="21AB49A6"/>
    <w:rsid w:val="21C45BE8"/>
    <w:rsid w:val="21C67E02"/>
    <w:rsid w:val="21D06ED2"/>
    <w:rsid w:val="21D544E9"/>
    <w:rsid w:val="21F26E49"/>
    <w:rsid w:val="22001928"/>
    <w:rsid w:val="220152DE"/>
    <w:rsid w:val="220B1CB9"/>
    <w:rsid w:val="220F4A7D"/>
    <w:rsid w:val="221C0C67"/>
    <w:rsid w:val="224156DA"/>
    <w:rsid w:val="22431452"/>
    <w:rsid w:val="22580053"/>
    <w:rsid w:val="22747619"/>
    <w:rsid w:val="22BB35F2"/>
    <w:rsid w:val="22E03145"/>
    <w:rsid w:val="2302564C"/>
    <w:rsid w:val="23045086"/>
    <w:rsid w:val="23063A37"/>
    <w:rsid w:val="230A01C2"/>
    <w:rsid w:val="231019D7"/>
    <w:rsid w:val="2312222F"/>
    <w:rsid w:val="23250B58"/>
    <w:rsid w:val="23305E7B"/>
    <w:rsid w:val="233F1C1A"/>
    <w:rsid w:val="23460410"/>
    <w:rsid w:val="234E6301"/>
    <w:rsid w:val="2378337E"/>
    <w:rsid w:val="237F64BA"/>
    <w:rsid w:val="23935FE5"/>
    <w:rsid w:val="23C81D43"/>
    <w:rsid w:val="23CB3B95"/>
    <w:rsid w:val="23CE221A"/>
    <w:rsid w:val="23FE7D27"/>
    <w:rsid w:val="243C084F"/>
    <w:rsid w:val="244056E9"/>
    <w:rsid w:val="24843087"/>
    <w:rsid w:val="24875235"/>
    <w:rsid w:val="24A26904"/>
    <w:rsid w:val="24AD52A9"/>
    <w:rsid w:val="24C148B0"/>
    <w:rsid w:val="24C25D75"/>
    <w:rsid w:val="24C525F3"/>
    <w:rsid w:val="24E16D01"/>
    <w:rsid w:val="24FF5971"/>
    <w:rsid w:val="252E5AE3"/>
    <w:rsid w:val="25311A36"/>
    <w:rsid w:val="253A4D8F"/>
    <w:rsid w:val="25481BC4"/>
    <w:rsid w:val="255D6CCF"/>
    <w:rsid w:val="25697933"/>
    <w:rsid w:val="2590230B"/>
    <w:rsid w:val="259D70CC"/>
    <w:rsid w:val="25A73154"/>
    <w:rsid w:val="25B3069D"/>
    <w:rsid w:val="25C948A0"/>
    <w:rsid w:val="25CB3C39"/>
    <w:rsid w:val="25CD5C03"/>
    <w:rsid w:val="25E1345C"/>
    <w:rsid w:val="25E92311"/>
    <w:rsid w:val="25EA60A7"/>
    <w:rsid w:val="25F74A2E"/>
    <w:rsid w:val="26084E8D"/>
    <w:rsid w:val="2611224C"/>
    <w:rsid w:val="26211AAB"/>
    <w:rsid w:val="263712CE"/>
    <w:rsid w:val="263C18BA"/>
    <w:rsid w:val="263C68E5"/>
    <w:rsid w:val="263E265D"/>
    <w:rsid w:val="264D6D44"/>
    <w:rsid w:val="264E75FD"/>
    <w:rsid w:val="265D7F2A"/>
    <w:rsid w:val="2673350C"/>
    <w:rsid w:val="267977D6"/>
    <w:rsid w:val="267C4F33"/>
    <w:rsid w:val="267C6969"/>
    <w:rsid w:val="268D0C01"/>
    <w:rsid w:val="26997893"/>
    <w:rsid w:val="26D905D7"/>
    <w:rsid w:val="26F45411"/>
    <w:rsid w:val="270B7A08"/>
    <w:rsid w:val="270F3FF9"/>
    <w:rsid w:val="270F7B55"/>
    <w:rsid w:val="271635D9"/>
    <w:rsid w:val="271C39F1"/>
    <w:rsid w:val="273B094A"/>
    <w:rsid w:val="273E043A"/>
    <w:rsid w:val="27541A0C"/>
    <w:rsid w:val="275859A0"/>
    <w:rsid w:val="277F098D"/>
    <w:rsid w:val="27982240"/>
    <w:rsid w:val="279938C3"/>
    <w:rsid w:val="27BA3F65"/>
    <w:rsid w:val="27F60D15"/>
    <w:rsid w:val="28017DE6"/>
    <w:rsid w:val="28103952"/>
    <w:rsid w:val="28260BA7"/>
    <w:rsid w:val="28515ECC"/>
    <w:rsid w:val="2859377E"/>
    <w:rsid w:val="285939E8"/>
    <w:rsid w:val="2874680A"/>
    <w:rsid w:val="289E73E3"/>
    <w:rsid w:val="28AA6F3F"/>
    <w:rsid w:val="28AC5FA3"/>
    <w:rsid w:val="28C332ED"/>
    <w:rsid w:val="28ED036A"/>
    <w:rsid w:val="28F306BC"/>
    <w:rsid w:val="29075556"/>
    <w:rsid w:val="290A4A78"/>
    <w:rsid w:val="290E59BE"/>
    <w:rsid w:val="29114058"/>
    <w:rsid w:val="29274D33"/>
    <w:rsid w:val="29332221"/>
    <w:rsid w:val="294066EC"/>
    <w:rsid w:val="294C32E2"/>
    <w:rsid w:val="29561485"/>
    <w:rsid w:val="29600B3C"/>
    <w:rsid w:val="296754EA"/>
    <w:rsid w:val="296E71C5"/>
    <w:rsid w:val="2984482A"/>
    <w:rsid w:val="299B1B74"/>
    <w:rsid w:val="29AB07AB"/>
    <w:rsid w:val="29C9048F"/>
    <w:rsid w:val="29CC7F7F"/>
    <w:rsid w:val="29E21F96"/>
    <w:rsid w:val="29EF1545"/>
    <w:rsid w:val="29F115CD"/>
    <w:rsid w:val="29F47AC1"/>
    <w:rsid w:val="2A104310"/>
    <w:rsid w:val="2A1262DA"/>
    <w:rsid w:val="2A1B0153"/>
    <w:rsid w:val="2A222295"/>
    <w:rsid w:val="2A506E02"/>
    <w:rsid w:val="2A5306A1"/>
    <w:rsid w:val="2A6603D4"/>
    <w:rsid w:val="2A685EFA"/>
    <w:rsid w:val="2A693A20"/>
    <w:rsid w:val="2A7817A9"/>
    <w:rsid w:val="2A81612B"/>
    <w:rsid w:val="2AAA4765"/>
    <w:rsid w:val="2AC17053"/>
    <w:rsid w:val="2ACD0453"/>
    <w:rsid w:val="2AD417E1"/>
    <w:rsid w:val="2AE01F34"/>
    <w:rsid w:val="2AE8528D"/>
    <w:rsid w:val="2AEA2DB3"/>
    <w:rsid w:val="2B0D781D"/>
    <w:rsid w:val="2B234F0D"/>
    <w:rsid w:val="2B2F27D2"/>
    <w:rsid w:val="2B4B5135"/>
    <w:rsid w:val="2B4F70BA"/>
    <w:rsid w:val="2B5302F9"/>
    <w:rsid w:val="2B632818"/>
    <w:rsid w:val="2B7803BF"/>
    <w:rsid w:val="2B7B3A0B"/>
    <w:rsid w:val="2B807273"/>
    <w:rsid w:val="2BC07775"/>
    <w:rsid w:val="2BCF47A9"/>
    <w:rsid w:val="2BD30E2C"/>
    <w:rsid w:val="2C153E60"/>
    <w:rsid w:val="2C154F49"/>
    <w:rsid w:val="2C167BD8"/>
    <w:rsid w:val="2C2220D9"/>
    <w:rsid w:val="2C3E4429"/>
    <w:rsid w:val="2C6E17C2"/>
    <w:rsid w:val="2C7212B2"/>
    <w:rsid w:val="2C7C5C8D"/>
    <w:rsid w:val="2C7E7070"/>
    <w:rsid w:val="2C800AFF"/>
    <w:rsid w:val="2C844B41"/>
    <w:rsid w:val="2CAB6572"/>
    <w:rsid w:val="2CAC3151"/>
    <w:rsid w:val="2CC2290B"/>
    <w:rsid w:val="2CC3566A"/>
    <w:rsid w:val="2CC47634"/>
    <w:rsid w:val="2CE028C6"/>
    <w:rsid w:val="2CE73808"/>
    <w:rsid w:val="2CEA709A"/>
    <w:rsid w:val="2CF55A3F"/>
    <w:rsid w:val="2CFF5899"/>
    <w:rsid w:val="2D0068BE"/>
    <w:rsid w:val="2D045C82"/>
    <w:rsid w:val="2D0619FA"/>
    <w:rsid w:val="2D201C96"/>
    <w:rsid w:val="2D2C0C94"/>
    <w:rsid w:val="2D486799"/>
    <w:rsid w:val="2D541AD2"/>
    <w:rsid w:val="2D5C5ABE"/>
    <w:rsid w:val="2D7B4196"/>
    <w:rsid w:val="2D842856"/>
    <w:rsid w:val="2D8963CF"/>
    <w:rsid w:val="2D8C5228"/>
    <w:rsid w:val="2D8D7A26"/>
    <w:rsid w:val="2D8F379E"/>
    <w:rsid w:val="2DA27975"/>
    <w:rsid w:val="2DA95518"/>
    <w:rsid w:val="2DA96B06"/>
    <w:rsid w:val="2DD37B2E"/>
    <w:rsid w:val="2DD613CD"/>
    <w:rsid w:val="2DE53D06"/>
    <w:rsid w:val="2E00469C"/>
    <w:rsid w:val="2E0F2B31"/>
    <w:rsid w:val="2E223F5B"/>
    <w:rsid w:val="2E224612"/>
    <w:rsid w:val="2E232138"/>
    <w:rsid w:val="2E24482E"/>
    <w:rsid w:val="2E3A7BAD"/>
    <w:rsid w:val="2E3B56D4"/>
    <w:rsid w:val="2E725599"/>
    <w:rsid w:val="2E782484"/>
    <w:rsid w:val="2E786928"/>
    <w:rsid w:val="2E7B1F74"/>
    <w:rsid w:val="2E976DAE"/>
    <w:rsid w:val="2E9B1989"/>
    <w:rsid w:val="2EA27501"/>
    <w:rsid w:val="2EB07E70"/>
    <w:rsid w:val="2EBE07DF"/>
    <w:rsid w:val="2EC9746A"/>
    <w:rsid w:val="2EE40036"/>
    <w:rsid w:val="2F126434"/>
    <w:rsid w:val="2F1C5ECD"/>
    <w:rsid w:val="2F38663A"/>
    <w:rsid w:val="2F3A3BDD"/>
    <w:rsid w:val="2F45373F"/>
    <w:rsid w:val="2F4800A8"/>
    <w:rsid w:val="2F522CD5"/>
    <w:rsid w:val="2F60329F"/>
    <w:rsid w:val="2F7E1D1C"/>
    <w:rsid w:val="2F8D01B1"/>
    <w:rsid w:val="2F8D1F5F"/>
    <w:rsid w:val="2FA86D99"/>
    <w:rsid w:val="2FE17E87"/>
    <w:rsid w:val="2FEA5603"/>
    <w:rsid w:val="2FEA743E"/>
    <w:rsid w:val="2FF21BF4"/>
    <w:rsid w:val="30311973"/>
    <w:rsid w:val="30393E95"/>
    <w:rsid w:val="303C512C"/>
    <w:rsid w:val="305725D7"/>
    <w:rsid w:val="307C26FF"/>
    <w:rsid w:val="308B5EF2"/>
    <w:rsid w:val="30980BBB"/>
    <w:rsid w:val="30A25EDE"/>
    <w:rsid w:val="30AA4BDA"/>
    <w:rsid w:val="30AF64B9"/>
    <w:rsid w:val="30B05F05"/>
    <w:rsid w:val="30B55C11"/>
    <w:rsid w:val="30BC0D4E"/>
    <w:rsid w:val="30BF25EC"/>
    <w:rsid w:val="30C95FE4"/>
    <w:rsid w:val="30D2549E"/>
    <w:rsid w:val="30E91417"/>
    <w:rsid w:val="30FF50DE"/>
    <w:rsid w:val="31065728"/>
    <w:rsid w:val="31085D41"/>
    <w:rsid w:val="3110753A"/>
    <w:rsid w:val="3115220C"/>
    <w:rsid w:val="311741D6"/>
    <w:rsid w:val="315A3E8F"/>
    <w:rsid w:val="31875E1A"/>
    <w:rsid w:val="31A452D9"/>
    <w:rsid w:val="31D9148B"/>
    <w:rsid w:val="31DE4CF4"/>
    <w:rsid w:val="31DF24D6"/>
    <w:rsid w:val="31EC5663"/>
    <w:rsid w:val="31FC33CC"/>
    <w:rsid w:val="31FD161E"/>
    <w:rsid w:val="3200110E"/>
    <w:rsid w:val="32171FB4"/>
    <w:rsid w:val="32221084"/>
    <w:rsid w:val="323922EC"/>
    <w:rsid w:val="32425283"/>
    <w:rsid w:val="326D5716"/>
    <w:rsid w:val="32764F2C"/>
    <w:rsid w:val="32771EED"/>
    <w:rsid w:val="32777D59"/>
    <w:rsid w:val="32794A1C"/>
    <w:rsid w:val="329219DE"/>
    <w:rsid w:val="32943604"/>
    <w:rsid w:val="329F4483"/>
    <w:rsid w:val="32C76C8A"/>
    <w:rsid w:val="3309404A"/>
    <w:rsid w:val="33266952"/>
    <w:rsid w:val="333460D2"/>
    <w:rsid w:val="33661445"/>
    <w:rsid w:val="338C5166"/>
    <w:rsid w:val="33C323F3"/>
    <w:rsid w:val="33D2699B"/>
    <w:rsid w:val="33E365F1"/>
    <w:rsid w:val="33EF2B81"/>
    <w:rsid w:val="33F46A50"/>
    <w:rsid w:val="340053F5"/>
    <w:rsid w:val="340A1DD0"/>
    <w:rsid w:val="341220B6"/>
    <w:rsid w:val="341B3FDD"/>
    <w:rsid w:val="345D2848"/>
    <w:rsid w:val="347265DB"/>
    <w:rsid w:val="348558FB"/>
    <w:rsid w:val="349077F1"/>
    <w:rsid w:val="34A71D15"/>
    <w:rsid w:val="34A73AC3"/>
    <w:rsid w:val="34BC5CBA"/>
    <w:rsid w:val="34F34F5A"/>
    <w:rsid w:val="34F605A6"/>
    <w:rsid w:val="350E5ED5"/>
    <w:rsid w:val="35101668"/>
    <w:rsid w:val="35301D0A"/>
    <w:rsid w:val="3537484E"/>
    <w:rsid w:val="353C06AF"/>
    <w:rsid w:val="354E2190"/>
    <w:rsid w:val="354E45C2"/>
    <w:rsid w:val="355F614C"/>
    <w:rsid w:val="35695279"/>
    <w:rsid w:val="35705CCE"/>
    <w:rsid w:val="357207F2"/>
    <w:rsid w:val="357C6CFE"/>
    <w:rsid w:val="3586192A"/>
    <w:rsid w:val="358B5193"/>
    <w:rsid w:val="359758E5"/>
    <w:rsid w:val="359C2EFC"/>
    <w:rsid w:val="35A13F7A"/>
    <w:rsid w:val="35A149B6"/>
    <w:rsid w:val="35B2271F"/>
    <w:rsid w:val="35B92C54"/>
    <w:rsid w:val="35C773D6"/>
    <w:rsid w:val="35D2691D"/>
    <w:rsid w:val="35D46B3A"/>
    <w:rsid w:val="35D5640E"/>
    <w:rsid w:val="35DB5EC1"/>
    <w:rsid w:val="35FD7B19"/>
    <w:rsid w:val="36171DC5"/>
    <w:rsid w:val="36173D86"/>
    <w:rsid w:val="362A49AB"/>
    <w:rsid w:val="36546006"/>
    <w:rsid w:val="365E53B1"/>
    <w:rsid w:val="36730100"/>
    <w:rsid w:val="369A3EC3"/>
    <w:rsid w:val="36C244F8"/>
    <w:rsid w:val="36C3270A"/>
    <w:rsid w:val="36D93CDC"/>
    <w:rsid w:val="36DA0180"/>
    <w:rsid w:val="36F56D67"/>
    <w:rsid w:val="37113475"/>
    <w:rsid w:val="374A2CF7"/>
    <w:rsid w:val="375C6DE7"/>
    <w:rsid w:val="37695060"/>
    <w:rsid w:val="376E08C8"/>
    <w:rsid w:val="37814AE6"/>
    <w:rsid w:val="3781684D"/>
    <w:rsid w:val="378C0D4E"/>
    <w:rsid w:val="379540A7"/>
    <w:rsid w:val="37977BBC"/>
    <w:rsid w:val="379851DD"/>
    <w:rsid w:val="37A12A4B"/>
    <w:rsid w:val="37A429AC"/>
    <w:rsid w:val="37AE521B"/>
    <w:rsid w:val="37B908A3"/>
    <w:rsid w:val="37BC7E4B"/>
    <w:rsid w:val="37CE505C"/>
    <w:rsid w:val="37D5265A"/>
    <w:rsid w:val="37D56B99"/>
    <w:rsid w:val="37F6004B"/>
    <w:rsid w:val="37F80C39"/>
    <w:rsid w:val="37FE1C4C"/>
    <w:rsid w:val="3809239F"/>
    <w:rsid w:val="381908B8"/>
    <w:rsid w:val="381C20D2"/>
    <w:rsid w:val="3820536A"/>
    <w:rsid w:val="383A485D"/>
    <w:rsid w:val="383B4C4E"/>
    <w:rsid w:val="38433B03"/>
    <w:rsid w:val="38547A46"/>
    <w:rsid w:val="38795776"/>
    <w:rsid w:val="388344A2"/>
    <w:rsid w:val="388736CF"/>
    <w:rsid w:val="389B393F"/>
    <w:rsid w:val="38AC78FA"/>
    <w:rsid w:val="38B247E4"/>
    <w:rsid w:val="38BF54F1"/>
    <w:rsid w:val="38CA2129"/>
    <w:rsid w:val="38CB553C"/>
    <w:rsid w:val="38CF35E8"/>
    <w:rsid w:val="38EF3C8A"/>
    <w:rsid w:val="38F83D7C"/>
    <w:rsid w:val="390F1C37"/>
    <w:rsid w:val="39202096"/>
    <w:rsid w:val="39230ADF"/>
    <w:rsid w:val="392B413E"/>
    <w:rsid w:val="39567866"/>
    <w:rsid w:val="39697599"/>
    <w:rsid w:val="39754190"/>
    <w:rsid w:val="397B107A"/>
    <w:rsid w:val="39841613"/>
    <w:rsid w:val="39893631"/>
    <w:rsid w:val="39904B26"/>
    <w:rsid w:val="39E45F74"/>
    <w:rsid w:val="39EB26A4"/>
    <w:rsid w:val="39F350B4"/>
    <w:rsid w:val="39F74BA5"/>
    <w:rsid w:val="3A1514CF"/>
    <w:rsid w:val="3A15327D"/>
    <w:rsid w:val="3A281202"/>
    <w:rsid w:val="3A2C7575"/>
    <w:rsid w:val="3A2D6818"/>
    <w:rsid w:val="3A35391F"/>
    <w:rsid w:val="3A543DA5"/>
    <w:rsid w:val="3A5913BB"/>
    <w:rsid w:val="3A683CF4"/>
    <w:rsid w:val="3A7C154E"/>
    <w:rsid w:val="3A9B19D4"/>
    <w:rsid w:val="3A9D66C5"/>
    <w:rsid w:val="3AAD1707"/>
    <w:rsid w:val="3AE74C19"/>
    <w:rsid w:val="3B0D4B34"/>
    <w:rsid w:val="3B20637D"/>
    <w:rsid w:val="3B233844"/>
    <w:rsid w:val="3B295232"/>
    <w:rsid w:val="3B3D2A8B"/>
    <w:rsid w:val="3B461DC0"/>
    <w:rsid w:val="3B547DD5"/>
    <w:rsid w:val="3B6567D9"/>
    <w:rsid w:val="3B683BCB"/>
    <w:rsid w:val="3B6E0E96"/>
    <w:rsid w:val="3B820DE6"/>
    <w:rsid w:val="3BB502A0"/>
    <w:rsid w:val="3BB80B60"/>
    <w:rsid w:val="3BC9431F"/>
    <w:rsid w:val="3BD12312"/>
    <w:rsid w:val="3BE21884"/>
    <w:rsid w:val="3BF2101A"/>
    <w:rsid w:val="3C0417FB"/>
    <w:rsid w:val="3C090BBF"/>
    <w:rsid w:val="3C0E030A"/>
    <w:rsid w:val="3C195A73"/>
    <w:rsid w:val="3C290E9A"/>
    <w:rsid w:val="3C3E4D0D"/>
    <w:rsid w:val="3C4936B2"/>
    <w:rsid w:val="3C5E1FB8"/>
    <w:rsid w:val="3C790E13"/>
    <w:rsid w:val="3C7A1ABD"/>
    <w:rsid w:val="3C8C13E6"/>
    <w:rsid w:val="3C8C1F1C"/>
    <w:rsid w:val="3C926818"/>
    <w:rsid w:val="3C9377CF"/>
    <w:rsid w:val="3CA1529C"/>
    <w:rsid w:val="3CA60B04"/>
    <w:rsid w:val="3CB36E30"/>
    <w:rsid w:val="3CD76F0F"/>
    <w:rsid w:val="3CDE029E"/>
    <w:rsid w:val="3CDE204C"/>
    <w:rsid w:val="3D115F7D"/>
    <w:rsid w:val="3D2018F7"/>
    <w:rsid w:val="3D2C1009"/>
    <w:rsid w:val="3D2F28A7"/>
    <w:rsid w:val="3DA60DBB"/>
    <w:rsid w:val="3DB50FFF"/>
    <w:rsid w:val="3DCB6A74"/>
    <w:rsid w:val="3DD82F3F"/>
    <w:rsid w:val="3DE11DF4"/>
    <w:rsid w:val="3DE53BA3"/>
    <w:rsid w:val="3DEE62BF"/>
    <w:rsid w:val="3E004EE0"/>
    <w:rsid w:val="3E270777"/>
    <w:rsid w:val="3E2B7513"/>
    <w:rsid w:val="3E3D10AA"/>
    <w:rsid w:val="3E3F4D6C"/>
    <w:rsid w:val="3E4060E3"/>
    <w:rsid w:val="3E4834DE"/>
    <w:rsid w:val="3E657C0C"/>
    <w:rsid w:val="3E6622F9"/>
    <w:rsid w:val="3E6F38A3"/>
    <w:rsid w:val="3EA6303D"/>
    <w:rsid w:val="3EB94B1E"/>
    <w:rsid w:val="3ECD2378"/>
    <w:rsid w:val="3ECF6099"/>
    <w:rsid w:val="3EE07560"/>
    <w:rsid w:val="3EE17BD1"/>
    <w:rsid w:val="3F255D10"/>
    <w:rsid w:val="3F277CDA"/>
    <w:rsid w:val="3F2D2E17"/>
    <w:rsid w:val="3F2F3033"/>
    <w:rsid w:val="3F367F1D"/>
    <w:rsid w:val="3F6031EC"/>
    <w:rsid w:val="3F7B6278"/>
    <w:rsid w:val="3F9E5AC2"/>
    <w:rsid w:val="3FA52DF7"/>
    <w:rsid w:val="3FA75C81"/>
    <w:rsid w:val="3FB4145C"/>
    <w:rsid w:val="3FB53538"/>
    <w:rsid w:val="3FDA2F9E"/>
    <w:rsid w:val="3FDB0AC5"/>
    <w:rsid w:val="3FE200A5"/>
    <w:rsid w:val="3FE804E3"/>
    <w:rsid w:val="3FEC2CD2"/>
    <w:rsid w:val="400718BA"/>
    <w:rsid w:val="400B332C"/>
    <w:rsid w:val="402661E4"/>
    <w:rsid w:val="40394ED1"/>
    <w:rsid w:val="40436D96"/>
    <w:rsid w:val="40526FD9"/>
    <w:rsid w:val="40560C0E"/>
    <w:rsid w:val="40630DD7"/>
    <w:rsid w:val="406E3006"/>
    <w:rsid w:val="40774C91"/>
    <w:rsid w:val="40786313"/>
    <w:rsid w:val="407E7726"/>
    <w:rsid w:val="40A14239"/>
    <w:rsid w:val="40B45E9F"/>
    <w:rsid w:val="40D0614F"/>
    <w:rsid w:val="40E01ACC"/>
    <w:rsid w:val="40F02313"/>
    <w:rsid w:val="40F8759F"/>
    <w:rsid w:val="41004C87"/>
    <w:rsid w:val="41032081"/>
    <w:rsid w:val="4108712E"/>
    <w:rsid w:val="41120516"/>
    <w:rsid w:val="41207887"/>
    <w:rsid w:val="41235477"/>
    <w:rsid w:val="412A3AB2"/>
    <w:rsid w:val="41456B3D"/>
    <w:rsid w:val="41526B64"/>
    <w:rsid w:val="41591156"/>
    <w:rsid w:val="4185518C"/>
    <w:rsid w:val="41894C7C"/>
    <w:rsid w:val="418D4040"/>
    <w:rsid w:val="41994793"/>
    <w:rsid w:val="41A2189A"/>
    <w:rsid w:val="41A575DC"/>
    <w:rsid w:val="41A8516E"/>
    <w:rsid w:val="41BE244C"/>
    <w:rsid w:val="41C061C4"/>
    <w:rsid w:val="41CF4659"/>
    <w:rsid w:val="41DB4DAC"/>
    <w:rsid w:val="41E97A0F"/>
    <w:rsid w:val="41F30347"/>
    <w:rsid w:val="42095809"/>
    <w:rsid w:val="42097B6B"/>
    <w:rsid w:val="423D7815"/>
    <w:rsid w:val="424E36DA"/>
    <w:rsid w:val="425C3B7A"/>
    <w:rsid w:val="426E79CE"/>
    <w:rsid w:val="427A5E84"/>
    <w:rsid w:val="427C3788"/>
    <w:rsid w:val="42894808"/>
    <w:rsid w:val="4294752D"/>
    <w:rsid w:val="42975304"/>
    <w:rsid w:val="42AE426E"/>
    <w:rsid w:val="42BA0E65"/>
    <w:rsid w:val="42BF647C"/>
    <w:rsid w:val="42E61C5A"/>
    <w:rsid w:val="42F97BDF"/>
    <w:rsid w:val="43095949"/>
    <w:rsid w:val="43101A5C"/>
    <w:rsid w:val="43195B8C"/>
    <w:rsid w:val="434B10DD"/>
    <w:rsid w:val="434D7F2B"/>
    <w:rsid w:val="4368248A"/>
    <w:rsid w:val="436A288B"/>
    <w:rsid w:val="43745BD3"/>
    <w:rsid w:val="43784FA8"/>
    <w:rsid w:val="43B9736F"/>
    <w:rsid w:val="43D971F8"/>
    <w:rsid w:val="43E51F12"/>
    <w:rsid w:val="4414020A"/>
    <w:rsid w:val="4416031D"/>
    <w:rsid w:val="44183734"/>
    <w:rsid w:val="44223166"/>
    <w:rsid w:val="442E5667"/>
    <w:rsid w:val="44307631"/>
    <w:rsid w:val="443547DD"/>
    <w:rsid w:val="443D04BE"/>
    <w:rsid w:val="44557097"/>
    <w:rsid w:val="445D7CFA"/>
    <w:rsid w:val="44872FC9"/>
    <w:rsid w:val="44B33DBE"/>
    <w:rsid w:val="44C918C8"/>
    <w:rsid w:val="44F10201"/>
    <w:rsid w:val="44F3240C"/>
    <w:rsid w:val="44F71EFD"/>
    <w:rsid w:val="44FF7003"/>
    <w:rsid w:val="45154A79"/>
    <w:rsid w:val="45237196"/>
    <w:rsid w:val="452B5C67"/>
    <w:rsid w:val="453E3FCF"/>
    <w:rsid w:val="45617CBE"/>
    <w:rsid w:val="45763769"/>
    <w:rsid w:val="458B0BD3"/>
    <w:rsid w:val="458D009B"/>
    <w:rsid w:val="459C4CE8"/>
    <w:rsid w:val="459C6E90"/>
    <w:rsid w:val="45A57BAB"/>
    <w:rsid w:val="45A81DE4"/>
    <w:rsid w:val="45CA192E"/>
    <w:rsid w:val="45CC5137"/>
    <w:rsid w:val="45D73ADC"/>
    <w:rsid w:val="45EF0E26"/>
    <w:rsid w:val="45F75F2C"/>
    <w:rsid w:val="45F97EF6"/>
    <w:rsid w:val="46040D75"/>
    <w:rsid w:val="46097E5D"/>
    <w:rsid w:val="46132D66"/>
    <w:rsid w:val="46476EB4"/>
    <w:rsid w:val="464C6278"/>
    <w:rsid w:val="46537607"/>
    <w:rsid w:val="467815AA"/>
    <w:rsid w:val="46842723"/>
    <w:rsid w:val="4690085B"/>
    <w:rsid w:val="46963997"/>
    <w:rsid w:val="469814BD"/>
    <w:rsid w:val="469A3487"/>
    <w:rsid w:val="46A43EC2"/>
    <w:rsid w:val="46A936CA"/>
    <w:rsid w:val="46B94085"/>
    <w:rsid w:val="46C16C66"/>
    <w:rsid w:val="46D36C8F"/>
    <w:rsid w:val="46D428F8"/>
    <w:rsid w:val="46D76D9D"/>
    <w:rsid w:val="46F85D21"/>
    <w:rsid w:val="4709049F"/>
    <w:rsid w:val="47176886"/>
    <w:rsid w:val="47613705"/>
    <w:rsid w:val="4770243A"/>
    <w:rsid w:val="477E06B3"/>
    <w:rsid w:val="47A0687C"/>
    <w:rsid w:val="47AA594C"/>
    <w:rsid w:val="47C02A7A"/>
    <w:rsid w:val="47CD163B"/>
    <w:rsid w:val="47DE55F6"/>
    <w:rsid w:val="47E30F50"/>
    <w:rsid w:val="48050DD4"/>
    <w:rsid w:val="480F1C53"/>
    <w:rsid w:val="48180B08"/>
    <w:rsid w:val="48223734"/>
    <w:rsid w:val="4838131C"/>
    <w:rsid w:val="4880045B"/>
    <w:rsid w:val="48825F81"/>
    <w:rsid w:val="48943C93"/>
    <w:rsid w:val="48971DA8"/>
    <w:rsid w:val="4897712B"/>
    <w:rsid w:val="48B962BD"/>
    <w:rsid w:val="48BC5937"/>
    <w:rsid w:val="48C1236F"/>
    <w:rsid w:val="48CC36A0"/>
    <w:rsid w:val="48DD58AD"/>
    <w:rsid w:val="4904108C"/>
    <w:rsid w:val="49090450"/>
    <w:rsid w:val="491012A6"/>
    <w:rsid w:val="491325C4"/>
    <w:rsid w:val="491C63D6"/>
    <w:rsid w:val="493556E9"/>
    <w:rsid w:val="493F0316"/>
    <w:rsid w:val="493F3E51"/>
    <w:rsid w:val="494B26E8"/>
    <w:rsid w:val="497A4942"/>
    <w:rsid w:val="497C0C22"/>
    <w:rsid w:val="498159E6"/>
    <w:rsid w:val="49986FEF"/>
    <w:rsid w:val="49A53BB9"/>
    <w:rsid w:val="49A60395"/>
    <w:rsid w:val="49A85EBB"/>
    <w:rsid w:val="49AB0544"/>
    <w:rsid w:val="49AF724A"/>
    <w:rsid w:val="49CA4084"/>
    <w:rsid w:val="49D2118A"/>
    <w:rsid w:val="49E862B8"/>
    <w:rsid w:val="49F2635D"/>
    <w:rsid w:val="49FC1D63"/>
    <w:rsid w:val="4A0155CC"/>
    <w:rsid w:val="4A2E1106"/>
    <w:rsid w:val="4A556872"/>
    <w:rsid w:val="4A5B218A"/>
    <w:rsid w:val="4A5C2802"/>
    <w:rsid w:val="4A631398"/>
    <w:rsid w:val="4AB8125D"/>
    <w:rsid w:val="4ADF2A93"/>
    <w:rsid w:val="4AEF3676"/>
    <w:rsid w:val="4AF34F14"/>
    <w:rsid w:val="4B121D62"/>
    <w:rsid w:val="4B125A67"/>
    <w:rsid w:val="4B3814C1"/>
    <w:rsid w:val="4B3A0D95"/>
    <w:rsid w:val="4B3C2D5F"/>
    <w:rsid w:val="4B4439C2"/>
    <w:rsid w:val="4B531E57"/>
    <w:rsid w:val="4B63653E"/>
    <w:rsid w:val="4B7342A7"/>
    <w:rsid w:val="4B775B45"/>
    <w:rsid w:val="4B9A4F28"/>
    <w:rsid w:val="4B9E7576"/>
    <w:rsid w:val="4BC44B03"/>
    <w:rsid w:val="4BDE5BC4"/>
    <w:rsid w:val="4BEA4569"/>
    <w:rsid w:val="4BEB02E1"/>
    <w:rsid w:val="4BF7788F"/>
    <w:rsid w:val="4C0D46FC"/>
    <w:rsid w:val="4C1E2465"/>
    <w:rsid w:val="4C2757BD"/>
    <w:rsid w:val="4C2B48D0"/>
    <w:rsid w:val="4C325550"/>
    <w:rsid w:val="4C3A5075"/>
    <w:rsid w:val="4C3B1A9E"/>
    <w:rsid w:val="4C3F30A5"/>
    <w:rsid w:val="4C4E2FA9"/>
    <w:rsid w:val="4C5A154C"/>
    <w:rsid w:val="4C820C46"/>
    <w:rsid w:val="4C9C37CD"/>
    <w:rsid w:val="4C9E5354"/>
    <w:rsid w:val="4CC76658"/>
    <w:rsid w:val="4CD15729"/>
    <w:rsid w:val="4CFA4C80"/>
    <w:rsid w:val="4CFB09FE"/>
    <w:rsid w:val="4CFC70B9"/>
    <w:rsid w:val="4CFE5A61"/>
    <w:rsid w:val="4D0119A9"/>
    <w:rsid w:val="4D023B34"/>
    <w:rsid w:val="4D0478AD"/>
    <w:rsid w:val="4D063625"/>
    <w:rsid w:val="4D0E7403"/>
    <w:rsid w:val="4D1522D9"/>
    <w:rsid w:val="4D155616"/>
    <w:rsid w:val="4D3006A2"/>
    <w:rsid w:val="4D412B24"/>
    <w:rsid w:val="4D5A4179"/>
    <w:rsid w:val="4D722304"/>
    <w:rsid w:val="4D752558"/>
    <w:rsid w:val="4D7D140D"/>
    <w:rsid w:val="4D84279B"/>
    <w:rsid w:val="4D924EB8"/>
    <w:rsid w:val="4DA64687"/>
    <w:rsid w:val="4DB841F3"/>
    <w:rsid w:val="4DC808DA"/>
    <w:rsid w:val="4DFA480C"/>
    <w:rsid w:val="4DFF04B8"/>
    <w:rsid w:val="4E0955EB"/>
    <w:rsid w:val="4E234053"/>
    <w:rsid w:val="4E5C1022"/>
    <w:rsid w:val="4E796078"/>
    <w:rsid w:val="4E8567CB"/>
    <w:rsid w:val="4E863B7A"/>
    <w:rsid w:val="4E8A2033"/>
    <w:rsid w:val="4E920EE8"/>
    <w:rsid w:val="4E9702AC"/>
    <w:rsid w:val="4E9E163B"/>
    <w:rsid w:val="4EA07161"/>
    <w:rsid w:val="4EB04070"/>
    <w:rsid w:val="4EB3343D"/>
    <w:rsid w:val="4EC07FC0"/>
    <w:rsid w:val="4ECE0172"/>
    <w:rsid w:val="4EDE7C89"/>
    <w:rsid w:val="4F020368"/>
    <w:rsid w:val="4F0374B4"/>
    <w:rsid w:val="4F0A3630"/>
    <w:rsid w:val="4F1931A5"/>
    <w:rsid w:val="4F54162C"/>
    <w:rsid w:val="4F625134"/>
    <w:rsid w:val="4F710AFD"/>
    <w:rsid w:val="4F8C6E16"/>
    <w:rsid w:val="4F8F4266"/>
    <w:rsid w:val="4F9D7B44"/>
    <w:rsid w:val="4FAD7F37"/>
    <w:rsid w:val="4FB05ACA"/>
    <w:rsid w:val="4FDC066D"/>
    <w:rsid w:val="4FEB6B02"/>
    <w:rsid w:val="4FF04118"/>
    <w:rsid w:val="50055E16"/>
    <w:rsid w:val="500B2D00"/>
    <w:rsid w:val="50175B49"/>
    <w:rsid w:val="502F4545"/>
    <w:rsid w:val="503132B0"/>
    <w:rsid w:val="50446212"/>
    <w:rsid w:val="50680152"/>
    <w:rsid w:val="5079388A"/>
    <w:rsid w:val="507E1724"/>
    <w:rsid w:val="507E7976"/>
    <w:rsid w:val="50A86A96"/>
    <w:rsid w:val="50B74C36"/>
    <w:rsid w:val="50D15CF8"/>
    <w:rsid w:val="50DB36C9"/>
    <w:rsid w:val="50DE368E"/>
    <w:rsid w:val="50DE6667"/>
    <w:rsid w:val="50EC4324"/>
    <w:rsid w:val="51120433"/>
    <w:rsid w:val="511F2F07"/>
    <w:rsid w:val="513D338D"/>
    <w:rsid w:val="514324CE"/>
    <w:rsid w:val="51446D2B"/>
    <w:rsid w:val="51827841"/>
    <w:rsid w:val="51AA02F7"/>
    <w:rsid w:val="51B077A3"/>
    <w:rsid w:val="51D615F6"/>
    <w:rsid w:val="51F07734"/>
    <w:rsid w:val="5208399B"/>
    <w:rsid w:val="521E31BF"/>
    <w:rsid w:val="522B762E"/>
    <w:rsid w:val="524424F9"/>
    <w:rsid w:val="52505C12"/>
    <w:rsid w:val="525A1D1D"/>
    <w:rsid w:val="525C5A95"/>
    <w:rsid w:val="527551F9"/>
    <w:rsid w:val="529B480F"/>
    <w:rsid w:val="52AD009F"/>
    <w:rsid w:val="52AD38A6"/>
    <w:rsid w:val="52B753C1"/>
    <w:rsid w:val="52EF6909"/>
    <w:rsid w:val="52F65EE9"/>
    <w:rsid w:val="52FB52AE"/>
    <w:rsid w:val="53316F22"/>
    <w:rsid w:val="53346A12"/>
    <w:rsid w:val="533F3BBA"/>
    <w:rsid w:val="5349426B"/>
    <w:rsid w:val="535A3345"/>
    <w:rsid w:val="535E5999"/>
    <w:rsid w:val="53684416"/>
    <w:rsid w:val="53685DC3"/>
    <w:rsid w:val="537B019D"/>
    <w:rsid w:val="537E0956"/>
    <w:rsid w:val="53C946C6"/>
    <w:rsid w:val="53D31D87"/>
    <w:rsid w:val="541128AF"/>
    <w:rsid w:val="5411465D"/>
    <w:rsid w:val="541960F0"/>
    <w:rsid w:val="54297BF9"/>
    <w:rsid w:val="54350DD0"/>
    <w:rsid w:val="543C3DD0"/>
    <w:rsid w:val="544070B4"/>
    <w:rsid w:val="545B2183"/>
    <w:rsid w:val="54631655"/>
    <w:rsid w:val="548117E3"/>
    <w:rsid w:val="549332C4"/>
    <w:rsid w:val="54A35BFD"/>
    <w:rsid w:val="54C067AF"/>
    <w:rsid w:val="54C17E31"/>
    <w:rsid w:val="54F70F5A"/>
    <w:rsid w:val="550F7D3E"/>
    <w:rsid w:val="55122147"/>
    <w:rsid w:val="551B5477"/>
    <w:rsid w:val="553C395C"/>
    <w:rsid w:val="553D4F3A"/>
    <w:rsid w:val="554A7E27"/>
    <w:rsid w:val="555339AE"/>
    <w:rsid w:val="555A4967"/>
    <w:rsid w:val="555B0286"/>
    <w:rsid w:val="555E1939"/>
    <w:rsid w:val="55807CEC"/>
    <w:rsid w:val="55874F5B"/>
    <w:rsid w:val="559509EF"/>
    <w:rsid w:val="55B338C0"/>
    <w:rsid w:val="55B654BC"/>
    <w:rsid w:val="55D342C0"/>
    <w:rsid w:val="55DB3175"/>
    <w:rsid w:val="55DC16AB"/>
    <w:rsid w:val="56010E3E"/>
    <w:rsid w:val="561641AD"/>
    <w:rsid w:val="561E3B39"/>
    <w:rsid w:val="562132E3"/>
    <w:rsid w:val="56260894"/>
    <w:rsid w:val="563A7F05"/>
    <w:rsid w:val="56576C9F"/>
    <w:rsid w:val="56690780"/>
    <w:rsid w:val="569E667C"/>
    <w:rsid w:val="56A63FEE"/>
    <w:rsid w:val="56A95021"/>
    <w:rsid w:val="56B55774"/>
    <w:rsid w:val="56C854A7"/>
    <w:rsid w:val="56E04EE6"/>
    <w:rsid w:val="570861EB"/>
    <w:rsid w:val="5714693E"/>
    <w:rsid w:val="5721105B"/>
    <w:rsid w:val="57382639"/>
    <w:rsid w:val="573C7C43"/>
    <w:rsid w:val="573E455B"/>
    <w:rsid w:val="574A2360"/>
    <w:rsid w:val="57530502"/>
    <w:rsid w:val="57813298"/>
    <w:rsid w:val="578F4217"/>
    <w:rsid w:val="5794675D"/>
    <w:rsid w:val="57BB14B0"/>
    <w:rsid w:val="57C2283E"/>
    <w:rsid w:val="57C93BCD"/>
    <w:rsid w:val="57D367F9"/>
    <w:rsid w:val="57DD31D4"/>
    <w:rsid w:val="57DE6F4C"/>
    <w:rsid w:val="57F80AE1"/>
    <w:rsid w:val="581C085A"/>
    <w:rsid w:val="5827444F"/>
    <w:rsid w:val="584C3E7F"/>
    <w:rsid w:val="585039A6"/>
    <w:rsid w:val="58666FF1"/>
    <w:rsid w:val="587A6C75"/>
    <w:rsid w:val="587F6039"/>
    <w:rsid w:val="588056C1"/>
    <w:rsid w:val="58B96858"/>
    <w:rsid w:val="58BA0C9F"/>
    <w:rsid w:val="58CB127E"/>
    <w:rsid w:val="58D17AEF"/>
    <w:rsid w:val="58E93DFA"/>
    <w:rsid w:val="58EA7CFB"/>
    <w:rsid w:val="591C6A14"/>
    <w:rsid w:val="593B4656"/>
    <w:rsid w:val="594015B1"/>
    <w:rsid w:val="595A7B33"/>
    <w:rsid w:val="595B4D0D"/>
    <w:rsid w:val="59771406"/>
    <w:rsid w:val="5980475F"/>
    <w:rsid w:val="59815AA3"/>
    <w:rsid w:val="59B15B2F"/>
    <w:rsid w:val="59B30690"/>
    <w:rsid w:val="59BA3FF2"/>
    <w:rsid w:val="59C4289D"/>
    <w:rsid w:val="59C75EEA"/>
    <w:rsid w:val="59CC3500"/>
    <w:rsid w:val="59E270B0"/>
    <w:rsid w:val="59EB7233"/>
    <w:rsid w:val="59EC5950"/>
    <w:rsid w:val="5A4A2677"/>
    <w:rsid w:val="5A4B333B"/>
    <w:rsid w:val="5A511C57"/>
    <w:rsid w:val="5A5B3CCD"/>
    <w:rsid w:val="5A6B222D"/>
    <w:rsid w:val="5A706581"/>
    <w:rsid w:val="5A851901"/>
    <w:rsid w:val="5AB0697E"/>
    <w:rsid w:val="5ABF12B7"/>
    <w:rsid w:val="5AC63BF3"/>
    <w:rsid w:val="5ADF54B5"/>
    <w:rsid w:val="5AEB428C"/>
    <w:rsid w:val="5B1213E7"/>
    <w:rsid w:val="5B197E3E"/>
    <w:rsid w:val="5B2B4256"/>
    <w:rsid w:val="5B345801"/>
    <w:rsid w:val="5B3A26EB"/>
    <w:rsid w:val="5B3E48E1"/>
    <w:rsid w:val="5B490B80"/>
    <w:rsid w:val="5B6360E6"/>
    <w:rsid w:val="5B676B3B"/>
    <w:rsid w:val="5B6817EC"/>
    <w:rsid w:val="5B687259"/>
    <w:rsid w:val="5B6F67B0"/>
    <w:rsid w:val="5B6F6839"/>
    <w:rsid w:val="5B922527"/>
    <w:rsid w:val="5BA069F2"/>
    <w:rsid w:val="5BD60666"/>
    <w:rsid w:val="5C142F3C"/>
    <w:rsid w:val="5C367357"/>
    <w:rsid w:val="5C45759A"/>
    <w:rsid w:val="5C4B1054"/>
    <w:rsid w:val="5C4E46A0"/>
    <w:rsid w:val="5C6E4D42"/>
    <w:rsid w:val="5C7B745F"/>
    <w:rsid w:val="5CA02A22"/>
    <w:rsid w:val="5CB0535B"/>
    <w:rsid w:val="5CB52971"/>
    <w:rsid w:val="5CC83530"/>
    <w:rsid w:val="5D042FB1"/>
    <w:rsid w:val="5D213B63"/>
    <w:rsid w:val="5D303DA6"/>
    <w:rsid w:val="5D4133FD"/>
    <w:rsid w:val="5D437F7D"/>
    <w:rsid w:val="5D4F6922"/>
    <w:rsid w:val="5D746389"/>
    <w:rsid w:val="5D7E2C26"/>
    <w:rsid w:val="5D971C5A"/>
    <w:rsid w:val="5DA61A44"/>
    <w:rsid w:val="5DA87DE0"/>
    <w:rsid w:val="5DB04EE7"/>
    <w:rsid w:val="5DB744C7"/>
    <w:rsid w:val="5DBC7D30"/>
    <w:rsid w:val="5DBD0A23"/>
    <w:rsid w:val="5DC56BE4"/>
    <w:rsid w:val="5DCF1530"/>
    <w:rsid w:val="5DD5494D"/>
    <w:rsid w:val="5DE03A1E"/>
    <w:rsid w:val="5DF11787"/>
    <w:rsid w:val="5E070FAB"/>
    <w:rsid w:val="5E251431"/>
    <w:rsid w:val="5E2C3F36"/>
    <w:rsid w:val="5E391380"/>
    <w:rsid w:val="5E4E4E2C"/>
    <w:rsid w:val="5E51429A"/>
    <w:rsid w:val="5E5E1C13"/>
    <w:rsid w:val="5E736640"/>
    <w:rsid w:val="5E7F747C"/>
    <w:rsid w:val="5E820631"/>
    <w:rsid w:val="5E8C1F03"/>
    <w:rsid w:val="5E9842F9"/>
    <w:rsid w:val="5EAC3900"/>
    <w:rsid w:val="5EB50BC5"/>
    <w:rsid w:val="5EBD3D5F"/>
    <w:rsid w:val="5ECF75EF"/>
    <w:rsid w:val="5EE319DF"/>
    <w:rsid w:val="5EF64B7B"/>
    <w:rsid w:val="5F061262"/>
    <w:rsid w:val="5F125E59"/>
    <w:rsid w:val="5F1367B3"/>
    <w:rsid w:val="5F1F7150"/>
    <w:rsid w:val="5F2B0CC9"/>
    <w:rsid w:val="5F3C1128"/>
    <w:rsid w:val="5F3C4C84"/>
    <w:rsid w:val="5F3D27AA"/>
    <w:rsid w:val="5F531728"/>
    <w:rsid w:val="5F5662A4"/>
    <w:rsid w:val="5F727263"/>
    <w:rsid w:val="5F7B05F6"/>
    <w:rsid w:val="5FBE1B3D"/>
    <w:rsid w:val="5FCA6734"/>
    <w:rsid w:val="5FD2383A"/>
    <w:rsid w:val="5FD96977"/>
    <w:rsid w:val="5FDD1A0A"/>
    <w:rsid w:val="5FEA294A"/>
    <w:rsid w:val="60275934"/>
    <w:rsid w:val="60302541"/>
    <w:rsid w:val="60397415"/>
    <w:rsid w:val="604F7690"/>
    <w:rsid w:val="60600A87"/>
    <w:rsid w:val="606F2E37"/>
    <w:rsid w:val="607C3637"/>
    <w:rsid w:val="608F7035"/>
    <w:rsid w:val="609F1851"/>
    <w:rsid w:val="60AC408B"/>
    <w:rsid w:val="60CC64DC"/>
    <w:rsid w:val="60DF620F"/>
    <w:rsid w:val="60F11A9E"/>
    <w:rsid w:val="61167757"/>
    <w:rsid w:val="611A2DA3"/>
    <w:rsid w:val="611B65B4"/>
    <w:rsid w:val="611C2FBF"/>
    <w:rsid w:val="611E33EA"/>
    <w:rsid w:val="613100ED"/>
    <w:rsid w:val="616E7593"/>
    <w:rsid w:val="617C3A5E"/>
    <w:rsid w:val="617C5039"/>
    <w:rsid w:val="61806CA1"/>
    <w:rsid w:val="61927223"/>
    <w:rsid w:val="61946FF9"/>
    <w:rsid w:val="61B256D1"/>
    <w:rsid w:val="61B431F8"/>
    <w:rsid w:val="61D86E23"/>
    <w:rsid w:val="621E4B15"/>
    <w:rsid w:val="622F6D22"/>
    <w:rsid w:val="62400DDA"/>
    <w:rsid w:val="624157A0"/>
    <w:rsid w:val="62726C0F"/>
    <w:rsid w:val="629152E7"/>
    <w:rsid w:val="62A414BE"/>
    <w:rsid w:val="62B334AF"/>
    <w:rsid w:val="62C304E7"/>
    <w:rsid w:val="62CC631F"/>
    <w:rsid w:val="62DC29EF"/>
    <w:rsid w:val="62E713AB"/>
    <w:rsid w:val="62E93375"/>
    <w:rsid w:val="62EA0E9B"/>
    <w:rsid w:val="62EC4C13"/>
    <w:rsid w:val="62F67E98"/>
    <w:rsid w:val="62F7660C"/>
    <w:rsid w:val="62FA0E4E"/>
    <w:rsid w:val="62FD43A6"/>
    <w:rsid w:val="630A40E7"/>
    <w:rsid w:val="630E6937"/>
    <w:rsid w:val="630F26B0"/>
    <w:rsid w:val="63100901"/>
    <w:rsid w:val="636C18B0"/>
    <w:rsid w:val="637569B7"/>
    <w:rsid w:val="637A3FCD"/>
    <w:rsid w:val="637A715D"/>
    <w:rsid w:val="637D3ABD"/>
    <w:rsid w:val="63840F00"/>
    <w:rsid w:val="63862972"/>
    <w:rsid w:val="63894210"/>
    <w:rsid w:val="6397045F"/>
    <w:rsid w:val="63C65464"/>
    <w:rsid w:val="63D01E3F"/>
    <w:rsid w:val="643A5739"/>
    <w:rsid w:val="643E5DE4"/>
    <w:rsid w:val="64542A70"/>
    <w:rsid w:val="64572560"/>
    <w:rsid w:val="6457672A"/>
    <w:rsid w:val="646507D9"/>
    <w:rsid w:val="6477050C"/>
    <w:rsid w:val="647C3D75"/>
    <w:rsid w:val="64833FCA"/>
    <w:rsid w:val="648F1CFA"/>
    <w:rsid w:val="64964E36"/>
    <w:rsid w:val="64A130EA"/>
    <w:rsid w:val="64C86FBA"/>
    <w:rsid w:val="64EA5182"/>
    <w:rsid w:val="65000502"/>
    <w:rsid w:val="65053D6A"/>
    <w:rsid w:val="65247369"/>
    <w:rsid w:val="652B6E41"/>
    <w:rsid w:val="65385EEE"/>
    <w:rsid w:val="655645C6"/>
    <w:rsid w:val="656B0071"/>
    <w:rsid w:val="657607C4"/>
    <w:rsid w:val="65801643"/>
    <w:rsid w:val="65A17F37"/>
    <w:rsid w:val="65A82571"/>
    <w:rsid w:val="65B5753E"/>
    <w:rsid w:val="65C60DEB"/>
    <w:rsid w:val="65DC4ACB"/>
    <w:rsid w:val="65DD6A95"/>
    <w:rsid w:val="65DF280D"/>
    <w:rsid w:val="66080CF5"/>
    <w:rsid w:val="660B3A10"/>
    <w:rsid w:val="662171E5"/>
    <w:rsid w:val="662A7F2C"/>
    <w:rsid w:val="663A329B"/>
    <w:rsid w:val="66442670"/>
    <w:rsid w:val="66496A71"/>
    <w:rsid w:val="66551DCD"/>
    <w:rsid w:val="665533E3"/>
    <w:rsid w:val="667C1E0A"/>
    <w:rsid w:val="6686712D"/>
    <w:rsid w:val="66A008D6"/>
    <w:rsid w:val="66A17AC3"/>
    <w:rsid w:val="66BA7997"/>
    <w:rsid w:val="66BC2B4E"/>
    <w:rsid w:val="66C537B1"/>
    <w:rsid w:val="66E8749F"/>
    <w:rsid w:val="66EA76BB"/>
    <w:rsid w:val="66EA7B14"/>
    <w:rsid w:val="6704453E"/>
    <w:rsid w:val="67104631"/>
    <w:rsid w:val="67242BCD"/>
    <w:rsid w:val="672524A2"/>
    <w:rsid w:val="6739419F"/>
    <w:rsid w:val="676905E0"/>
    <w:rsid w:val="676E3E49"/>
    <w:rsid w:val="6773145F"/>
    <w:rsid w:val="6779459B"/>
    <w:rsid w:val="677D5E3A"/>
    <w:rsid w:val="67B11F87"/>
    <w:rsid w:val="67B21438"/>
    <w:rsid w:val="67B556A9"/>
    <w:rsid w:val="67C1041C"/>
    <w:rsid w:val="67D40F55"/>
    <w:rsid w:val="67EC2FBF"/>
    <w:rsid w:val="682F5689"/>
    <w:rsid w:val="683D33E3"/>
    <w:rsid w:val="685C0145"/>
    <w:rsid w:val="686D2352"/>
    <w:rsid w:val="68880F3A"/>
    <w:rsid w:val="68925915"/>
    <w:rsid w:val="68C452AA"/>
    <w:rsid w:val="68D927EA"/>
    <w:rsid w:val="68E456CF"/>
    <w:rsid w:val="68EC771B"/>
    <w:rsid w:val="69205616"/>
    <w:rsid w:val="69224EEB"/>
    <w:rsid w:val="693469CC"/>
    <w:rsid w:val="694D7A8E"/>
    <w:rsid w:val="69500988"/>
    <w:rsid w:val="695D5F23"/>
    <w:rsid w:val="69767A98"/>
    <w:rsid w:val="69796AD5"/>
    <w:rsid w:val="69A94AF3"/>
    <w:rsid w:val="69B67D29"/>
    <w:rsid w:val="69CB37D4"/>
    <w:rsid w:val="69DC63DA"/>
    <w:rsid w:val="69F920E0"/>
    <w:rsid w:val="6A31115D"/>
    <w:rsid w:val="6A372C18"/>
    <w:rsid w:val="6A383046"/>
    <w:rsid w:val="6A486BD3"/>
    <w:rsid w:val="6A4D1A0B"/>
    <w:rsid w:val="6A6034B6"/>
    <w:rsid w:val="6A61763C"/>
    <w:rsid w:val="6A707ED8"/>
    <w:rsid w:val="6A731A96"/>
    <w:rsid w:val="6A77650A"/>
    <w:rsid w:val="6A7A48B2"/>
    <w:rsid w:val="6A8F4802"/>
    <w:rsid w:val="6A957A01"/>
    <w:rsid w:val="6AA71193"/>
    <w:rsid w:val="6AAD1319"/>
    <w:rsid w:val="6AAD4C88"/>
    <w:rsid w:val="6AB778B5"/>
    <w:rsid w:val="6AD40FE2"/>
    <w:rsid w:val="6ADC731B"/>
    <w:rsid w:val="6AE7624D"/>
    <w:rsid w:val="6B034B20"/>
    <w:rsid w:val="6B0D141C"/>
    <w:rsid w:val="6B120F8F"/>
    <w:rsid w:val="6B19231D"/>
    <w:rsid w:val="6B1E5B86"/>
    <w:rsid w:val="6B23319C"/>
    <w:rsid w:val="6B250CC2"/>
    <w:rsid w:val="6B3420FD"/>
    <w:rsid w:val="6B4355EC"/>
    <w:rsid w:val="6B480E55"/>
    <w:rsid w:val="6B5F31A1"/>
    <w:rsid w:val="6B623CC4"/>
    <w:rsid w:val="6BA92E11"/>
    <w:rsid w:val="6BAE1E2A"/>
    <w:rsid w:val="6BAE473E"/>
    <w:rsid w:val="6BAF4A30"/>
    <w:rsid w:val="6BBF2EC5"/>
    <w:rsid w:val="6BD44496"/>
    <w:rsid w:val="6BD821D8"/>
    <w:rsid w:val="6BFD4436"/>
    <w:rsid w:val="6BFF7765"/>
    <w:rsid w:val="6C134FBF"/>
    <w:rsid w:val="6C57134F"/>
    <w:rsid w:val="6C663340"/>
    <w:rsid w:val="6C6677E4"/>
    <w:rsid w:val="6C691082"/>
    <w:rsid w:val="6C731F01"/>
    <w:rsid w:val="6C7A503E"/>
    <w:rsid w:val="6C944351"/>
    <w:rsid w:val="6CB95B66"/>
    <w:rsid w:val="6CD75FEC"/>
    <w:rsid w:val="6CD97FB6"/>
    <w:rsid w:val="6CF05300"/>
    <w:rsid w:val="6CFF700C"/>
    <w:rsid w:val="6D052272"/>
    <w:rsid w:val="6D2A1241"/>
    <w:rsid w:val="6D325918"/>
    <w:rsid w:val="6D374F86"/>
    <w:rsid w:val="6D3966C4"/>
    <w:rsid w:val="6D462857"/>
    <w:rsid w:val="6D5939A1"/>
    <w:rsid w:val="6D6A2AD9"/>
    <w:rsid w:val="6D6B4986"/>
    <w:rsid w:val="6D761CA9"/>
    <w:rsid w:val="6D8343F1"/>
    <w:rsid w:val="6D8C5028"/>
    <w:rsid w:val="6D924AA4"/>
    <w:rsid w:val="6D9739CD"/>
    <w:rsid w:val="6DA06D26"/>
    <w:rsid w:val="6DA87988"/>
    <w:rsid w:val="6DC5678C"/>
    <w:rsid w:val="6DE11C2D"/>
    <w:rsid w:val="6DE54739"/>
    <w:rsid w:val="6DF40E20"/>
    <w:rsid w:val="6DFA03B9"/>
    <w:rsid w:val="6DFD5F26"/>
    <w:rsid w:val="6E0E5823"/>
    <w:rsid w:val="6E281775"/>
    <w:rsid w:val="6E3B07FD"/>
    <w:rsid w:val="6E506D2B"/>
    <w:rsid w:val="6E510020"/>
    <w:rsid w:val="6E58077C"/>
    <w:rsid w:val="6E630E33"/>
    <w:rsid w:val="6E661D1D"/>
    <w:rsid w:val="6E7A7577"/>
    <w:rsid w:val="6E8C1058"/>
    <w:rsid w:val="6E8E6B7E"/>
    <w:rsid w:val="6E930F02"/>
    <w:rsid w:val="6EB365E5"/>
    <w:rsid w:val="6EB802EE"/>
    <w:rsid w:val="6EDF562C"/>
    <w:rsid w:val="6EE92007"/>
    <w:rsid w:val="6F377216"/>
    <w:rsid w:val="6F412535"/>
    <w:rsid w:val="6F440257"/>
    <w:rsid w:val="6F4638FD"/>
    <w:rsid w:val="6F783FEA"/>
    <w:rsid w:val="6F8F13F5"/>
    <w:rsid w:val="6F9C52CB"/>
    <w:rsid w:val="6FC018AC"/>
    <w:rsid w:val="6FC0720B"/>
    <w:rsid w:val="6FE253D4"/>
    <w:rsid w:val="6FE4739E"/>
    <w:rsid w:val="6FEA0792"/>
    <w:rsid w:val="6FEF7AF1"/>
    <w:rsid w:val="6FF15617"/>
    <w:rsid w:val="6FFD045F"/>
    <w:rsid w:val="700E441B"/>
    <w:rsid w:val="701901B8"/>
    <w:rsid w:val="701B76ED"/>
    <w:rsid w:val="701F03D6"/>
    <w:rsid w:val="703A6FBE"/>
    <w:rsid w:val="703F70C0"/>
    <w:rsid w:val="70425E72"/>
    <w:rsid w:val="704901D4"/>
    <w:rsid w:val="705D0EFE"/>
    <w:rsid w:val="707F3927"/>
    <w:rsid w:val="70860455"/>
    <w:rsid w:val="70904E30"/>
    <w:rsid w:val="709E580C"/>
    <w:rsid w:val="70AC1CBF"/>
    <w:rsid w:val="70CC4BC0"/>
    <w:rsid w:val="70DD3DED"/>
    <w:rsid w:val="70E138DD"/>
    <w:rsid w:val="70EC5DDE"/>
    <w:rsid w:val="70FB1183"/>
    <w:rsid w:val="70FE623D"/>
    <w:rsid w:val="71234381"/>
    <w:rsid w:val="713734FD"/>
    <w:rsid w:val="714300F4"/>
    <w:rsid w:val="71641E18"/>
    <w:rsid w:val="717845C7"/>
    <w:rsid w:val="71804EA4"/>
    <w:rsid w:val="7181001E"/>
    <w:rsid w:val="718F50E7"/>
    <w:rsid w:val="71A072F4"/>
    <w:rsid w:val="71C254BD"/>
    <w:rsid w:val="71CD79BE"/>
    <w:rsid w:val="71D56F7D"/>
    <w:rsid w:val="71DC40A5"/>
    <w:rsid w:val="71E65719"/>
    <w:rsid w:val="71F238C8"/>
    <w:rsid w:val="72005FE5"/>
    <w:rsid w:val="720C002E"/>
    <w:rsid w:val="72181274"/>
    <w:rsid w:val="721B697B"/>
    <w:rsid w:val="72253C9E"/>
    <w:rsid w:val="726F6CC7"/>
    <w:rsid w:val="727349D0"/>
    <w:rsid w:val="72743B0F"/>
    <w:rsid w:val="72800ED4"/>
    <w:rsid w:val="728704B4"/>
    <w:rsid w:val="728B7A1B"/>
    <w:rsid w:val="728E0759"/>
    <w:rsid w:val="72A87727"/>
    <w:rsid w:val="72AF08D5"/>
    <w:rsid w:val="72B33057"/>
    <w:rsid w:val="72BD7A32"/>
    <w:rsid w:val="72CC5EC7"/>
    <w:rsid w:val="72CE7E91"/>
    <w:rsid w:val="72EB0A43"/>
    <w:rsid w:val="72ED2F1E"/>
    <w:rsid w:val="72F53670"/>
    <w:rsid w:val="72FD2525"/>
    <w:rsid w:val="73022925"/>
    <w:rsid w:val="73125FD0"/>
    <w:rsid w:val="7315161C"/>
    <w:rsid w:val="73280CCD"/>
    <w:rsid w:val="732D105C"/>
    <w:rsid w:val="7346211D"/>
    <w:rsid w:val="734D529E"/>
    <w:rsid w:val="734F12BF"/>
    <w:rsid w:val="736425A4"/>
    <w:rsid w:val="73734595"/>
    <w:rsid w:val="73816FE1"/>
    <w:rsid w:val="7386076C"/>
    <w:rsid w:val="73903399"/>
    <w:rsid w:val="73B61490"/>
    <w:rsid w:val="73B83F07"/>
    <w:rsid w:val="73BC23E0"/>
    <w:rsid w:val="73BE77FF"/>
    <w:rsid w:val="73C15474"/>
    <w:rsid w:val="73C53042"/>
    <w:rsid w:val="73E26041"/>
    <w:rsid w:val="73E86D31"/>
    <w:rsid w:val="73FA7E85"/>
    <w:rsid w:val="741619FD"/>
    <w:rsid w:val="741E6BF6"/>
    <w:rsid w:val="743528C5"/>
    <w:rsid w:val="745148D6"/>
    <w:rsid w:val="7496678D"/>
    <w:rsid w:val="749A44CF"/>
    <w:rsid w:val="749E50E9"/>
    <w:rsid w:val="74A62F57"/>
    <w:rsid w:val="74B549A6"/>
    <w:rsid w:val="74F31716"/>
    <w:rsid w:val="755C3876"/>
    <w:rsid w:val="755F4EF5"/>
    <w:rsid w:val="756845CD"/>
    <w:rsid w:val="757D3C63"/>
    <w:rsid w:val="759E3B4B"/>
    <w:rsid w:val="75AA6994"/>
    <w:rsid w:val="75C70F22"/>
    <w:rsid w:val="75CF190F"/>
    <w:rsid w:val="75D411D5"/>
    <w:rsid w:val="75D67B67"/>
    <w:rsid w:val="75E11C8A"/>
    <w:rsid w:val="75E33C54"/>
    <w:rsid w:val="75E35A02"/>
    <w:rsid w:val="75F145C2"/>
    <w:rsid w:val="75F55735"/>
    <w:rsid w:val="75FA2D4B"/>
    <w:rsid w:val="760659DE"/>
    <w:rsid w:val="76081158"/>
    <w:rsid w:val="761262E7"/>
    <w:rsid w:val="762027B2"/>
    <w:rsid w:val="76460164"/>
    <w:rsid w:val="764C17F9"/>
    <w:rsid w:val="764F3097"/>
    <w:rsid w:val="766C3C49"/>
    <w:rsid w:val="767945B8"/>
    <w:rsid w:val="769A41DB"/>
    <w:rsid w:val="76B33626"/>
    <w:rsid w:val="76BB072D"/>
    <w:rsid w:val="76D12C61"/>
    <w:rsid w:val="76D812DE"/>
    <w:rsid w:val="76E5121D"/>
    <w:rsid w:val="76E71522"/>
    <w:rsid w:val="76F23FB2"/>
    <w:rsid w:val="77057BFA"/>
    <w:rsid w:val="770B3462"/>
    <w:rsid w:val="770C0F88"/>
    <w:rsid w:val="773B361B"/>
    <w:rsid w:val="77471FC0"/>
    <w:rsid w:val="77560455"/>
    <w:rsid w:val="77562203"/>
    <w:rsid w:val="775A1CF3"/>
    <w:rsid w:val="77844FC2"/>
    <w:rsid w:val="77935A4A"/>
    <w:rsid w:val="77A97892"/>
    <w:rsid w:val="77B96DD4"/>
    <w:rsid w:val="77C5780E"/>
    <w:rsid w:val="77C875A5"/>
    <w:rsid w:val="77D031AD"/>
    <w:rsid w:val="77D870BC"/>
    <w:rsid w:val="77E32D64"/>
    <w:rsid w:val="77ED2B68"/>
    <w:rsid w:val="77FF2459"/>
    <w:rsid w:val="78016613"/>
    <w:rsid w:val="78054355"/>
    <w:rsid w:val="781E71C5"/>
    <w:rsid w:val="783F0EE9"/>
    <w:rsid w:val="78412EB3"/>
    <w:rsid w:val="78414C61"/>
    <w:rsid w:val="785726D7"/>
    <w:rsid w:val="78582600"/>
    <w:rsid w:val="78667A33"/>
    <w:rsid w:val="78700B0A"/>
    <w:rsid w:val="787212BF"/>
    <w:rsid w:val="78946B16"/>
    <w:rsid w:val="78C87131"/>
    <w:rsid w:val="78CC09CF"/>
    <w:rsid w:val="78CE0BEB"/>
    <w:rsid w:val="78FA1237"/>
    <w:rsid w:val="78FB223B"/>
    <w:rsid w:val="79031B5E"/>
    <w:rsid w:val="79112886"/>
    <w:rsid w:val="795F1843"/>
    <w:rsid w:val="79625F3A"/>
    <w:rsid w:val="797A667D"/>
    <w:rsid w:val="797B69F9"/>
    <w:rsid w:val="79807C33"/>
    <w:rsid w:val="799139C7"/>
    <w:rsid w:val="799919D8"/>
    <w:rsid w:val="79A84B20"/>
    <w:rsid w:val="79D9444C"/>
    <w:rsid w:val="79F52B78"/>
    <w:rsid w:val="7A066163"/>
    <w:rsid w:val="7A187C44"/>
    <w:rsid w:val="7A28432B"/>
    <w:rsid w:val="7A342AA4"/>
    <w:rsid w:val="7A514736"/>
    <w:rsid w:val="7A52270C"/>
    <w:rsid w:val="7A6D19A8"/>
    <w:rsid w:val="7A6D4434"/>
    <w:rsid w:val="7A914AB0"/>
    <w:rsid w:val="7A943B64"/>
    <w:rsid w:val="7A9478C2"/>
    <w:rsid w:val="7ABD0F17"/>
    <w:rsid w:val="7ABE07EB"/>
    <w:rsid w:val="7AC96BBD"/>
    <w:rsid w:val="7ACC115A"/>
    <w:rsid w:val="7AD71133"/>
    <w:rsid w:val="7B05641A"/>
    <w:rsid w:val="7B0F1047"/>
    <w:rsid w:val="7B0F54EB"/>
    <w:rsid w:val="7B1448AF"/>
    <w:rsid w:val="7B191EC6"/>
    <w:rsid w:val="7B193C74"/>
    <w:rsid w:val="7B1D7C08"/>
    <w:rsid w:val="7B3D5BB4"/>
    <w:rsid w:val="7B580C40"/>
    <w:rsid w:val="7B6A2721"/>
    <w:rsid w:val="7B6F1AE6"/>
    <w:rsid w:val="7B810197"/>
    <w:rsid w:val="7B8303D8"/>
    <w:rsid w:val="7B8D6BCE"/>
    <w:rsid w:val="7B9265CA"/>
    <w:rsid w:val="7BBA7205"/>
    <w:rsid w:val="7BC2430B"/>
    <w:rsid w:val="7BCF7191"/>
    <w:rsid w:val="7BD5403F"/>
    <w:rsid w:val="7BDF7AA9"/>
    <w:rsid w:val="7BFB565B"/>
    <w:rsid w:val="7C1A5F8F"/>
    <w:rsid w:val="7C2B0F68"/>
    <w:rsid w:val="7C321491"/>
    <w:rsid w:val="7C492337"/>
    <w:rsid w:val="7C4D1E27"/>
    <w:rsid w:val="7C5F7DAC"/>
    <w:rsid w:val="7C624B36"/>
    <w:rsid w:val="7C653614"/>
    <w:rsid w:val="7C684EB3"/>
    <w:rsid w:val="7C7C44BA"/>
    <w:rsid w:val="7C8E405C"/>
    <w:rsid w:val="7C947A56"/>
    <w:rsid w:val="7C9A7A0D"/>
    <w:rsid w:val="7C9B7036"/>
    <w:rsid w:val="7CAD4FBB"/>
    <w:rsid w:val="7CD1486A"/>
    <w:rsid w:val="7CD2057E"/>
    <w:rsid w:val="7CE02C9B"/>
    <w:rsid w:val="7CE50C17"/>
    <w:rsid w:val="7CE518CD"/>
    <w:rsid w:val="7D0169C8"/>
    <w:rsid w:val="7D2E7EAA"/>
    <w:rsid w:val="7D2F2D01"/>
    <w:rsid w:val="7D4619A2"/>
    <w:rsid w:val="7D4F7E21"/>
    <w:rsid w:val="7D5611AF"/>
    <w:rsid w:val="7D63567A"/>
    <w:rsid w:val="7D6363CB"/>
    <w:rsid w:val="7D637428"/>
    <w:rsid w:val="7D6B0FC5"/>
    <w:rsid w:val="7D7D2BE0"/>
    <w:rsid w:val="7D8E6B9B"/>
    <w:rsid w:val="7D910439"/>
    <w:rsid w:val="7DA226D7"/>
    <w:rsid w:val="7DAA5F1C"/>
    <w:rsid w:val="7DBD6776"/>
    <w:rsid w:val="7DD91D07"/>
    <w:rsid w:val="7DE467BB"/>
    <w:rsid w:val="7DFA12F5"/>
    <w:rsid w:val="7DFD5ACF"/>
    <w:rsid w:val="7E24305B"/>
    <w:rsid w:val="7E386F6C"/>
    <w:rsid w:val="7E492AC2"/>
    <w:rsid w:val="7E4E0695"/>
    <w:rsid w:val="7E635932"/>
    <w:rsid w:val="7E867872"/>
    <w:rsid w:val="7E8B4DC2"/>
    <w:rsid w:val="7EA61CC2"/>
    <w:rsid w:val="7EF24F07"/>
    <w:rsid w:val="7EF50D3F"/>
    <w:rsid w:val="7EF649F8"/>
    <w:rsid w:val="7EFB3DBC"/>
    <w:rsid w:val="7F1906E6"/>
    <w:rsid w:val="7F345520"/>
    <w:rsid w:val="7F4339B5"/>
    <w:rsid w:val="7F5B485B"/>
    <w:rsid w:val="7F7818B1"/>
    <w:rsid w:val="7F840255"/>
    <w:rsid w:val="7FA33145"/>
    <w:rsid w:val="7FAD49E8"/>
    <w:rsid w:val="7FAF2DF8"/>
    <w:rsid w:val="7FD05249"/>
    <w:rsid w:val="7FD60385"/>
    <w:rsid w:val="7FDF36DE"/>
    <w:rsid w:val="7FE9630A"/>
    <w:rsid w:val="ABEDF032"/>
    <w:rsid w:val="F37BEC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2"/>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6"/>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61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rPr>
  </w:style>
  <w:style w:type="paragraph" w:styleId="20">
    <w:name w:val="annotation text"/>
    <w:basedOn w:val="1"/>
    <w:link w:val="617"/>
    <w:qFormat/>
    <w:uiPriority w:val="99"/>
    <w:pPr>
      <w:jc w:val="left"/>
    </w:pPr>
  </w:style>
  <w:style w:type="paragraph" w:styleId="21">
    <w:name w:val="Salutation"/>
    <w:basedOn w:val="1"/>
    <w:next w:val="1"/>
    <w:link w:val="485"/>
    <w:qFormat/>
    <w:uiPriority w:val="0"/>
    <w:rPr>
      <w:rFonts w:ascii="仿宋_GB2312" w:eastAsia="仿宋_GB2312"/>
      <w:sz w:val="28"/>
      <w:szCs w:val="20"/>
    </w:rPr>
  </w:style>
  <w:style w:type="paragraph" w:styleId="22">
    <w:name w:val="Body Text 3"/>
    <w:basedOn w:val="1"/>
    <w:link w:val="584"/>
    <w:qFormat/>
    <w:uiPriority w:val="0"/>
    <w:pPr>
      <w:jc w:val="center"/>
    </w:pPr>
    <w:rPr>
      <w:szCs w:val="20"/>
    </w:rPr>
  </w:style>
  <w:style w:type="paragraph" w:styleId="23">
    <w:name w:val="Body Text"/>
    <w:basedOn w:val="1"/>
    <w:next w:val="24"/>
    <w:link w:val="515"/>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548"/>
    <w:qFormat/>
    <w:uiPriority w:val="0"/>
    <w:pPr>
      <w:ind w:firstLine="420"/>
    </w:pPr>
    <w:rPr>
      <w:szCs w:val="20"/>
    </w:rPr>
  </w:style>
  <w:style w:type="paragraph" w:styleId="25">
    <w:name w:val="Body Text Indent"/>
    <w:basedOn w:val="1"/>
    <w:next w:val="1"/>
    <w:link w:val="47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92"/>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601"/>
    <w:qFormat/>
    <w:uiPriority w:val="0"/>
    <w:pPr>
      <w:ind w:left="100" w:leftChars="2500"/>
    </w:pPr>
    <w:rPr>
      <w:rFonts w:ascii="宋体"/>
      <w:sz w:val="24"/>
      <w:szCs w:val="21"/>
      <w:lang w:val="zh-CN"/>
    </w:rPr>
  </w:style>
  <w:style w:type="paragraph" w:styleId="37">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8">
    <w:name w:val="Balloon Text"/>
    <w:basedOn w:val="1"/>
    <w:link w:val="618"/>
    <w:qFormat/>
    <w:uiPriority w:val="0"/>
    <w:rPr>
      <w:sz w:val="18"/>
      <w:szCs w:val="18"/>
    </w:rPr>
  </w:style>
  <w:style w:type="paragraph" w:styleId="39">
    <w:name w:val="footer"/>
    <w:basedOn w:val="1"/>
    <w:qFormat/>
    <w:uiPriority w:val="99"/>
    <w:pPr>
      <w:tabs>
        <w:tab w:val="center" w:pos="4153"/>
        <w:tab w:val="right" w:pos="8306"/>
      </w:tabs>
      <w:snapToGrid w:val="0"/>
      <w:jc w:val="left"/>
    </w:pPr>
    <w:rPr>
      <w:sz w:val="18"/>
      <w:szCs w:val="18"/>
    </w:rPr>
  </w:style>
  <w:style w:type="paragraph" w:styleId="40">
    <w:name w:val="header"/>
    <w:basedOn w:val="1"/>
    <w:link w:val="63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6"/>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9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qFormat/>
    <w:uiPriority w:val="0"/>
    <w:rPr>
      <w:b/>
      <w:bCs/>
    </w:rPr>
  </w:style>
  <w:style w:type="paragraph" w:styleId="60">
    <w:name w:val="Body Text First Indent 2"/>
    <w:basedOn w:val="25"/>
    <w:link w:val="505"/>
    <w:qFormat/>
    <w:uiPriority w:val="0"/>
    <w:pPr>
      <w:adjustRightInd/>
      <w:spacing w:after="120" w:line="240" w:lineRule="auto"/>
      <w:ind w:left="420" w:leftChars="200" w:firstLine="210"/>
    </w:pPr>
    <w:rPr>
      <w:sz w:val="21"/>
    </w:rPr>
  </w:style>
  <w:style w:type="table" w:styleId="62">
    <w:name w:val="Table Grid"/>
    <w:basedOn w:val="6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basedOn w:val="63"/>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styleId="72">
    <w:name w:val="HTML Sample"/>
    <w:basedOn w:val="63"/>
    <w:qFormat/>
    <w:uiPriority w:val="0"/>
    <w:rPr>
      <w:rFonts w:ascii="Courier New" w:hAnsi="Courier New"/>
    </w:rPr>
  </w:style>
  <w:style w:type="paragraph" w:customStyle="1" w:styleId="73">
    <w:name w:val="Default"/>
    <w:next w:val="74"/>
    <w:link w:val="63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5">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4"/>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3"/>
    <w:next w:val="1"/>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73"/>
    <w:next w:val="73"/>
    <w:qFormat/>
    <w:uiPriority w:val="0"/>
    <w:pPr>
      <w:spacing w:after="68"/>
    </w:pPr>
    <w:rPr>
      <w:rFonts w:ascii="FHLHE E+ Futura Bk" w:eastAsia="FHLHE E+ Futura Bk" w:cs="Times New Roman"/>
      <w:color w:val="auto"/>
    </w:rPr>
  </w:style>
  <w:style w:type="paragraph" w:customStyle="1" w:styleId="10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5"/>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9">
    <w:name w:val="列出段落1"/>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5"/>
    <w:qFormat/>
    <w:uiPriority w:val="0"/>
    <w:pPr>
      <w:numPr>
        <w:ilvl w:val="0"/>
        <w:numId w:val="0"/>
      </w:numPr>
      <w:tabs>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1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6">
    <w:name w:val="表文字"/>
    <w:qFormat/>
    <w:uiPriority w:val="0"/>
    <w:rPr>
      <w:rFonts w:ascii="宋体" w:hAnsi="Times New Roman" w:eastAsia="宋体" w:cs="Times New Roman"/>
      <w:kern w:val="2"/>
      <w:lang w:val="en-US" w:eastAsia="zh-CN" w:bidi="ar-SA"/>
    </w:rPr>
  </w:style>
  <w:style w:type="paragraph" w:customStyle="1" w:styleId="14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qFormat/>
    <w:uiPriority w:val="0"/>
    <w:pPr>
      <w:widowControl/>
      <w:tabs>
        <w:tab w:val="left" w:pos="840"/>
      </w:tabs>
      <w:ind w:left="840" w:hanging="420"/>
      <w:jc w:val="left"/>
    </w:pPr>
    <w:rPr>
      <w:kern w:val="0"/>
      <w:sz w:val="18"/>
    </w:rPr>
  </w:style>
  <w:style w:type="paragraph" w:customStyle="1" w:styleId="15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qFormat/>
    <w:uiPriority w:val="0"/>
    <w:pPr>
      <w:adjustRightInd/>
    </w:pPr>
    <w:rPr>
      <w:rFonts w:ascii="Tahoma" w:hAnsi="Tahoma"/>
      <w:sz w:val="24"/>
      <w:szCs w:val="20"/>
    </w:rPr>
  </w:style>
  <w:style w:type="paragraph" w:customStyle="1" w:styleId="15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qFormat/>
    <w:uiPriority w:val="0"/>
    <w:rPr>
      <w:rFonts w:ascii="仿宋_GB2312" w:eastAsia="仿宋_GB2312"/>
      <w:b/>
      <w:sz w:val="32"/>
      <w:szCs w:val="20"/>
    </w:rPr>
  </w:style>
  <w:style w:type="paragraph" w:customStyle="1" w:styleId="16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qFormat/>
    <w:uiPriority w:val="0"/>
    <w:pPr>
      <w:suppressAutoHyphens/>
      <w:adjustRightInd/>
      <w:ind w:firstLine="420"/>
    </w:pPr>
    <w:rPr>
      <w:kern w:val="1"/>
      <w:szCs w:val="20"/>
    </w:rPr>
  </w:style>
  <w:style w:type="paragraph" w:customStyle="1" w:styleId="1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qFormat/>
    <w:uiPriority w:val="0"/>
    <w:pPr>
      <w:spacing w:line="360" w:lineRule="auto"/>
    </w:pPr>
    <w:rPr>
      <w:szCs w:val="20"/>
    </w:rPr>
  </w:style>
  <w:style w:type="paragraph" w:customStyle="1" w:styleId="165">
    <w:name w:val="Char Char11 Char Char Char"/>
    <w:basedOn w:val="1"/>
    <w:qFormat/>
    <w:uiPriority w:val="0"/>
    <w:pPr>
      <w:spacing w:line="360" w:lineRule="auto"/>
    </w:pPr>
    <w:rPr>
      <w:szCs w:val="20"/>
    </w:rPr>
  </w:style>
  <w:style w:type="paragraph" w:customStyle="1" w:styleId="16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qFormat/>
    <w:uiPriority w:val="0"/>
    <w:pPr>
      <w:adjustRightInd/>
      <w:ind w:firstLine="200" w:firstLineChars="200"/>
      <w:jc w:val="right"/>
    </w:pPr>
  </w:style>
  <w:style w:type="paragraph" w:customStyle="1" w:styleId="16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2">
    <w:name w:val="无间隔1"/>
    <w:link w:val="534"/>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2"/>
    <w:qFormat/>
    <w:uiPriority w:val="0"/>
    <w:pPr>
      <w:tabs>
        <w:tab w:val="left" w:pos="2356"/>
      </w:tabs>
    </w:pPr>
  </w:style>
  <w:style w:type="paragraph" w:customStyle="1" w:styleId="174">
    <w:name w:val="样式 标题 4h4H4Fab-4T5Ref Heading 1rh1Heading sqlsect 1.2.3...."/>
    <w:basedOn w:val="5"/>
    <w:link w:val="562"/>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qFormat/>
    <w:uiPriority w:val="0"/>
    <w:pPr>
      <w:numPr>
        <w:ilvl w:val="3"/>
        <w:numId w:val="4"/>
      </w:numPr>
      <w:tabs>
        <w:tab w:val="left" w:pos="1680"/>
      </w:tabs>
      <w:ind w:left="0"/>
      <w:outlineLvl w:val="3"/>
    </w:pPr>
  </w:style>
  <w:style w:type="paragraph" w:customStyle="1" w:styleId="178">
    <w:name w:val="一级条标题"/>
    <w:basedOn w:val="141"/>
    <w:next w:val="142"/>
    <w:qFormat/>
    <w:uiPriority w:val="0"/>
    <w:pPr>
      <w:tabs>
        <w:tab w:val="clear" w:pos="1260"/>
      </w:tabs>
      <w:ind w:left="1680"/>
      <w:outlineLvl w:val="2"/>
    </w:pPr>
  </w:style>
  <w:style w:type="paragraph" w:customStyle="1" w:styleId="1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qFormat/>
    <w:uiPriority w:val="0"/>
    <w:pPr>
      <w:spacing w:line="360" w:lineRule="auto"/>
      <w:ind w:firstLine="480" w:firstLineChars="200"/>
    </w:pPr>
    <w:rPr>
      <w:rFonts w:ascii="Arial" w:hAnsi="Arial"/>
      <w:sz w:val="24"/>
      <w:szCs w:val="21"/>
    </w:rPr>
  </w:style>
  <w:style w:type="paragraph" w:customStyle="1" w:styleId="181">
    <w:name w:val="表格"/>
    <w:basedOn w:val="1"/>
    <w:qFormat/>
    <w:uiPriority w:val="0"/>
    <w:pPr>
      <w:snapToGrid w:val="0"/>
      <w:ind w:firstLine="42" w:firstLineChars="21"/>
    </w:pPr>
    <w:rPr>
      <w:rFonts w:ascii="宋体" w:hAnsi="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qFormat/>
    <w:uiPriority w:val="0"/>
    <w:rPr>
      <w:rFonts w:ascii="仿宋_GB2312" w:eastAsia="仿宋_GB2312"/>
      <w:b/>
      <w:sz w:val="32"/>
      <w:szCs w:val="32"/>
    </w:rPr>
  </w:style>
  <w:style w:type="paragraph" w:customStyle="1" w:styleId="1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qFormat/>
    <w:uiPriority w:val="0"/>
    <w:rPr>
      <w:rFonts w:ascii="仿宋_GB2312" w:eastAsia="仿宋_GB2312"/>
      <w:b/>
      <w:sz w:val="32"/>
      <w:szCs w:val="32"/>
    </w:rPr>
  </w:style>
  <w:style w:type="paragraph" w:customStyle="1" w:styleId="19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5">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qFormat/>
    <w:uiPriority w:val="0"/>
    <w:pPr>
      <w:widowControl/>
      <w:adjustRightInd/>
      <w:spacing w:after="160" w:line="240" w:lineRule="exact"/>
      <w:jc w:val="left"/>
    </w:p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默认段落字体 Para Char Char Char Char Char Char Char"/>
    <w:basedOn w:val="1"/>
    <w:qFormat/>
    <w:uiPriority w:val="0"/>
    <w:rPr>
      <w:rFonts w:eastAsia="仿宋_GB2312"/>
      <w:sz w:val="28"/>
      <w:szCs w:val="20"/>
    </w:rPr>
  </w:style>
  <w:style w:type="paragraph" w:customStyle="1" w:styleId="1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0">
    <w:name w:val="正文21"/>
    <w:basedOn w:val="1"/>
    <w:qFormat/>
    <w:uiPriority w:val="0"/>
    <w:pPr>
      <w:adjustRightInd/>
      <w:spacing w:before="156" w:line="360" w:lineRule="auto"/>
      <w:ind w:firstLine="510" w:firstLineChars="200"/>
    </w:pPr>
    <w:rPr>
      <w:sz w:val="24"/>
      <w:szCs w:val="20"/>
    </w:rPr>
  </w:style>
  <w:style w:type="paragraph" w:customStyle="1" w:styleId="201">
    <w:name w:val="标题4_自定义"/>
    <w:basedOn w:val="5"/>
    <w:qFormat/>
    <w:uiPriority w:val="0"/>
    <w:pPr>
      <w:numPr>
        <w:ilvl w:val="0"/>
        <w:numId w:val="0"/>
      </w:numPr>
      <w:adjustRightInd/>
      <w:spacing w:before="0" w:after="0" w:line="360" w:lineRule="auto"/>
    </w:pPr>
    <w:rPr>
      <w:rFonts w:ascii="Verdana" w:eastAsia="Verdana"/>
      <w:sz w:val="21"/>
      <w:lang w:val="en-US"/>
    </w:rPr>
  </w:style>
  <w:style w:type="paragraph" w:customStyle="1" w:styleId="202">
    <w:name w:val="加粗正文"/>
    <w:basedOn w:val="1"/>
    <w:qFormat/>
    <w:uiPriority w:val="0"/>
    <w:pPr>
      <w:adjustRightInd/>
      <w:spacing w:beforeLines="50" w:afterLines="50" w:line="360" w:lineRule="auto"/>
      <w:ind w:firstLine="422" w:firstLineChars="200"/>
    </w:pPr>
    <w:rPr>
      <w:b/>
      <w:bCs/>
      <w:szCs w:val="21"/>
    </w:rPr>
  </w:style>
  <w:style w:type="paragraph" w:customStyle="1" w:styleId="203">
    <w:name w:val="标题五"/>
    <w:basedOn w:val="1"/>
    <w:qFormat/>
    <w:uiPriority w:val="0"/>
    <w:pPr>
      <w:adjustRightInd/>
      <w:spacing w:beforeLines="50" w:line="360" w:lineRule="auto"/>
    </w:pPr>
    <w:rPr>
      <w:b/>
      <w:sz w:val="24"/>
    </w:rPr>
  </w:style>
  <w:style w:type="paragraph" w:customStyle="1" w:styleId="204">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205">
    <w:name w:val="Char Char11"/>
    <w:basedOn w:val="1"/>
    <w:qFormat/>
    <w:uiPriority w:val="0"/>
    <w:pPr>
      <w:spacing w:line="360" w:lineRule="auto"/>
    </w:pPr>
    <w:rPr>
      <w:szCs w:val="20"/>
    </w:rPr>
  </w:style>
  <w:style w:type="paragraph" w:customStyle="1" w:styleId="20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Char Char1 Char Char Char1"/>
    <w:basedOn w:val="1"/>
    <w:qFormat/>
    <w:uiPriority w:val="0"/>
    <w:rPr>
      <w:rFonts w:ascii="仿宋_GB2312" w:eastAsia="仿宋_GB2312"/>
      <w:b/>
      <w:sz w:val="32"/>
      <w:szCs w:val="32"/>
    </w:rPr>
  </w:style>
  <w:style w:type="paragraph" w:customStyle="1" w:styleId="213">
    <w:name w:val="样式 标题 4PIM 4H4h4bulletblbbH41H42H43H44H45H46H47H48...1"/>
    <w:basedOn w:val="5"/>
    <w:qFormat/>
    <w:uiPriority w:val="0"/>
    <w:pPr>
      <w:widowControl/>
      <w:jc w:val="left"/>
    </w:pPr>
    <w:rPr>
      <w:rFonts w:cs="宋体"/>
      <w:sz w:val="24"/>
      <w:szCs w:val="20"/>
    </w:rPr>
  </w:style>
  <w:style w:type="paragraph" w:customStyle="1" w:styleId="21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qFormat/>
    <w:uiPriority w:val="0"/>
    <w:rPr>
      <w:b/>
    </w:rPr>
  </w:style>
  <w:style w:type="paragraph" w:customStyle="1" w:styleId="216">
    <w:name w:val="表格内文"/>
    <w:basedOn w:val="1"/>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7"/>
    <w:next w:val="1"/>
    <w:qFormat/>
    <w:uiPriority w:val="0"/>
    <w:pPr>
      <w:numPr>
        <w:ilvl w:val="0"/>
        <w:numId w:val="0"/>
      </w:numPr>
      <w:tabs>
        <w:tab w:val="left" w:pos="480"/>
        <w:tab w:val="clear" w:pos="1152"/>
      </w:tabs>
      <w:ind w:left="480" w:hanging="480"/>
    </w:pPr>
    <w:rPr>
      <w:rFonts w:ascii="Times New Roman" w:hAnsi="Times New Roman" w:eastAsia="宋体"/>
      <w:i/>
    </w:rPr>
  </w:style>
  <w:style w:type="paragraph" w:customStyle="1" w:styleId="2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qFormat/>
    <w:uiPriority w:val="0"/>
    <w:pPr>
      <w:adjustRightInd/>
      <w:spacing w:line="360" w:lineRule="auto"/>
      <w:ind w:firstLine="480"/>
    </w:pPr>
    <w:rPr>
      <w:rFonts w:cs="宋体"/>
      <w:sz w:val="24"/>
      <w:szCs w:val="20"/>
    </w:rPr>
  </w:style>
  <w:style w:type="paragraph" w:customStyle="1" w:styleId="2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qFormat/>
    <w:uiPriority w:val="0"/>
    <w:pPr>
      <w:widowControl/>
      <w:spacing w:before="60" w:after="60"/>
      <w:jc w:val="left"/>
    </w:pPr>
    <w:rPr>
      <w:kern w:val="0"/>
      <w:sz w:val="24"/>
    </w:rPr>
  </w:style>
  <w:style w:type="paragraph" w:customStyle="1" w:styleId="22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qFormat/>
    <w:uiPriority w:val="0"/>
    <w:rPr>
      <w:rFonts w:ascii="仿宋_GB2312" w:eastAsia="仿宋_GB2312"/>
      <w:b/>
      <w:sz w:val="32"/>
      <w:szCs w:val="32"/>
    </w:rPr>
  </w:style>
  <w:style w:type="paragraph" w:customStyle="1" w:styleId="23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5"/>
    <w:qFormat/>
    <w:uiPriority w:val="0"/>
    <w:pPr>
      <w:snapToGrid w:val="0"/>
      <w:spacing w:line="360" w:lineRule="auto"/>
    </w:pPr>
    <w:rPr>
      <w:rFonts w:ascii="宋体"/>
      <w:b/>
      <w:sz w:val="24"/>
      <w:szCs w:val="20"/>
    </w:rPr>
  </w:style>
  <w:style w:type="paragraph" w:customStyle="1" w:styleId="23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23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3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qFormat/>
    <w:uiPriority w:val="0"/>
    <w:pPr>
      <w:adjustRightInd/>
      <w:ind w:firstLine="200" w:firstLineChars="200"/>
    </w:pPr>
    <w:rPr>
      <w:rFonts w:ascii="Tahoma" w:hAnsi="Tahoma"/>
      <w:sz w:val="24"/>
      <w:szCs w:val="20"/>
    </w:rPr>
  </w:style>
  <w:style w:type="paragraph" w:customStyle="1" w:styleId="241">
    <w:name w:val="Char Char11 Char Char Char1"/>
    <w:basedOn w:val="1"/>
    <w:qFormat/>
    <w:uiPriority w:val="0"/>
    <w:pPr>
      <w:spacing w:line="360" w:lineRule="auto"/>
    </w:pPr>
    <w:rPr>
      <w:szCs w:val="20"/>
    </w:rPr>
  </w:style>
  <w:style w:type="paragraph" w:customStyle="1" w:styleId="24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3">
    <w:name w:val="_Style 236"/>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0">
    <w:name w:val="4"/>
    <w:basedOn w:val="1"/>
    <w:next w:val="37"/>
    <w:qFormat/>
    <w:uiPriority w:val="0"/>
    <w:pPr>
      <w:spacing w:after="120" w:line="480" w:lineRule="auto"/>
      <w:ind w:left="420" w:leftChars="200"/>
    </w:pPr>
    <w:rPr>
      <w:sz w:val="24"/>
      <w:szCs w:val="20"/>
    </w:rPr>
  </w:style>
  <w:style w:type="paragraph" w:customStyle="1" w:styleId="25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qFormat/>
    <w:uiPriority w:val="0"/>
    <w:pPr>
      <w:adjustRightInd/>
    </w:pPr>
    <w:rPr>
      <w:rFonts w:ascii="Tahoma" w:hAnsi="Tahoma"/>
      <w:sz w:val="24"/>
    </w:rPr>
  </w:style>
  <w:style w:type="paragraph" w:customStyle="1" w:styleId="25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4">
    <w:name w:val="标书表格字体格式"/>
    <w:next w:val="158"/>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3"/>
    <w:next w:val="73"/>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qFormat/>
    <w:uiPriority w:val="0"/>
    <w:pPr>
      <w:adjustRightInd/>
    </w:p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qFormat/>
    <w:uiPriority w:val="0"/>
    <w:rPr>
      <w:rFonts w:ascii="仿宋_GB2312" w:eastAsia="仿宋_GB2312"/>
      <w:b/>
      <w:sz w:val="32"/>
      <w:szCs w:val="32"/>
    </w:rPr>
  </w:style>
  <w:style w:type="paragraph" w:customStyle="1" w:styleId="2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qFormat/>
    <w:uiPriority w:val="0"/>
    <w:pPr>
      <w:spacing w:line="240" w:lineRule="atLeast"/>
      <w:ind w:left="420" w:firstLine="420"/>
    </w:pPr>
    <w:rPr>
      <w:sz w:val="24"/>
    </w:rPr>
  </w:style>
  <w:style w:type="paragraph" w:customStyle="1" w:styleId="299">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qFormat/>
    <w:uiPriority w:val="0"/>
    <w:pPr>
      <w:adjustRightInd/>
      <w:ind w:firstLine="200" w:firstLineChars="200"/>
    </w:pPr>
    <w:rPr>
      <w:rFonts w:ascii="Tahoma" w:hAnsi="Tahoma"/>
      <w:sz w:val="24"/>
      <w:szCs w:val="20"/>
    </w:rPr>
  </w:style>
  <w:style w:type="paragraph" w:customStyle="1" w:styleId="302">
    <w:name w:val="Char Char Char Char Char Char Char1"/>
    <w:basedOn w:val="1"/>
    <w:qFormat/>
    <w:uiPriority w:val="0"/>
    <w:rPr>
      <w:rFonts w:ascii="仿宋_GB2312" w:eastAsia="仿宋_GB2312"/>
      <w:b/>
      <w:sz w:val="32"/>
      <w:szCs w:val="32"/>
    </w:rPr>
  </w:style>
  <w:style w:type="paragraph" w:customStyle="1" w:styleId="30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qFormat/>
    <w:uiPriority w:val="0"/>
    <w:pPr>
      <w:adjustRightInd/>
      <w:spacing w:line="360" w:lineRule="auto"/>
    </w:pPr>
    <w:rPr>
      <w:rFonts w:ascii="宋体" w:hAnsi="宋体"/>
      <w:szCs w:val="20"/>
    </w:rPr>
  </w:style>
  <w:style w:type="paragraph" w:customStyle="1" w:styleId="30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qFormat/>
    <w:uiPriority w:val="0"/>
    <w:pPr>
      <w:spacing w:line="360" w:lineRule="auto"/>
      <w:ind w:firstLine="480" w:firstLineChars="200"/>
    </w:pPr>
    <w:rPr>
      <w:rFonts w:ascii="宋体"/>
      <w:sz w:val="24"/>
      <w:szCs w:val="20"/>
    </w:rPr>
  </w:style>
  <w:style w:type="paragraph" w:customStyle="1" w:styleId="310">
    <w:name w:val="Char1 Char Char Char1"/>
    <w:basedOn w:val="1"/>
    <w:qFormat/>
    <w:uiPriority w:val="0"/>
    <w:pPr>
      <w:adjustRightInd/>
      <w:ind w:firstLine="200" w:firstLineChars="200"/>
    </w:pPr>
    <w:rPr>
      <w:rFonts w:ascii="Tahoma" w:hAnsi="Tahoma"/>
      <w:sz w:val="24"/>
      <w:szCs w:val="20"/>
    </w:rPr>
  </w:style>
  <w:style w:type="paragraph" w:customStyle="1" w:styleId="311">
    <w:name w:val="MM Topic 2"/>
    <w:basedOn w:val="3"/>
    <w:qFormat/>
    <w:uiPriority w:val="0"/>
    <w:pPr>
      <w:numPr>
        <w:numId w:val="0"/>
      </w:numPr>
      <w:tabs>
        <w:tab w:val="clear" w:pos="432"/>
      </w:tabs>
      <w:ind w:left="1260" w:hanging="420"/>
    </w:pPr>
    <w:rPr>
      <w:rFonts w:ascii="Arial" w:hAnsi="Arial" w:eastAsia="黑体"/>
      <w:lang w:val="en-US"/>
    </w:rPr>
  </w:style>
  <w:style w:type="paragraph" w:customStyle="1" w:styleId="31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qFormat/>
    <w:uiPriority w:val="34"/>
    <w:pPr>
      <w:spacing w:line="360" w:lineRule="auto"/>
      <w:ind w:firstLine="200" w:firstLineChars="200"/>
    </w:pPr>
    <w:rPr>
      <w:rFonts w:eastAsia="楷体_GB2312" w:cs="Lucida Sans"/>
      <w:sz w:val="24"/>
    </w:rPr>
  </w:style>
  <w:style w:type="paragraph" w:customStyle="1" w:styleId="31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qFormat/>
    <w:uiPriority w:val="0"/>
    <w:pPr>
      <w:spacing w:line="360" w:lineRule="auto"/>
    </w:pPr>
    <w:rPr>
      <w:szCs w:val="20"/>
    </w:rPr>
  </w:style>
  <w:style w:type="paragraph" w:customStyle="1" w:styleId="32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qFormat/>
    <w:uiPriority w:val="0"/>
    <w:pPr>
      <w:numPr>
        <w:ilvl w:val="0"/>
        <w:numId w:val="5"/>
      </w:numPr>
      <w:tabs>
        <w:tab w:val="left" w:pos="840"/>
      </w:tabs>
      <w:spacing w:after="0"/>
    </w:pPr>
  </w:style>
  <w:style w:type="paragraph" w:customStyle="1" w:styleId="32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qFormat/>
    <w:uiPriority w:val="0"/>
    <w:rPr>
      <w:szCs w:val="20"/>
    </w:rPr>
  </w:style>
  <w:style w:type="paragraph" w:customStyle="1" w:styleId="32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4"/>
    <w:next w:val="1"/>
    <w:qFormat/>
    <w:uiPriority w:val="0"/>
    <w:pPr>
      <w:numPr>
        <w:ilvl w:val="0"/>
        <w:numId w:val="0"/>
      </w:numPr>
      <w:spacing w:line="240" w:lineRule="auto"/>
    </w:pPr>
    <w:rPr>
      <w:sz w:val="28"/>
      <w:szCs w:val="28"/>
    </w:rPr>
  </w:style>
  <w:style w:type="paragraph" w:customStyle="1" w:styleId="3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qFormat/>
    <w:uiPriority w:val="0"/>
    <w:pPr>
      <w:adjustRightInd/>
      <w:spacing w:line="360" w:lineRule="auto"/>
      <w:ind w:firstLine="480" w:firstLineChars="200"/>
    </w:pPr>
    <w:rPr>
      <w:sz w:val="24"/>
      <w:szCs w:val="20"/>
    </w:rPr>
  </w:style>
  <w:style w:type="paragraph" w:customStyle="1" w:styleId="33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qFormat/>
    <w:uiPriority w:val="0"/>
    <w:pPr>
      <w:widowControl/>
      <w:snapToGrid w:val="0"/>
      <w:spacing w:afterLines="50"/>
      <w:ind w:firstLine="200" w:firstLineChars="200"/>
    </w:pPr>
    <w:rPr>
      <w:kern w:val="0"/>
      <w:sz w:val="24"/>
      <w:szCs w:val="20"/>
    </w:rPr>
  </w:style>
  <w:style w:type="paragraph" w:customStyle="1" w:styleId="33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3"/>
    <w:next w:val="1"/>
    <w:qFormat/>
    <w:uiPriority w:val="0"/>
    <w:pPr>
      <w:numPr>
        <w:ilvl w:val="1"/>
        <w:numId w:val="6"/>
      </w:numPr>
      <w:tabs>
        <w:tab w:val="clear" w:pos="432"/>
      </w:tabs>
    </w:pPr>
    <w:rPr>
      <w:rFonts w:ascii="Times New Roman" w:eastAsia="宋体"/>
      <w:i/>
      <w:sz w:val="36"/>
      <w:szCs w:val="36"/>
      <w:lang w:val="en-US"/>
    </w:rPr>
  </w:style>
  <w:style w:type="paragraph" w:customStyle="1" w:styleId="338">
    <w:name w:val="彩色列表 - 强调文字颜色 11"/>
    <w:basedOn w:val="1"/>
    <w:qFormat/>
    <w:uiPriority w:val="0"/>
    <w:pPr>
      <w:adjustRightInd/>
      <w:ind w:firstLine="420" w:firstLineChars="200"/>
    </w:pPr>
    <w:rPr>
      <w:rFonts w:ascii="Calibri" w:hAnsi="Calibri"/>
      <w:szCs w:val="22"/>
    </w:rPr>
  </w:style>
  <w:style w:type="paragraph" w:customStyle="1" w:styleId="339">
    <w:name w:val="数字标题4"/>
    <w:basedOn w:val="5"/>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qFormat/>
    <w:uiPriority w:val="0"/>
    <w:pPr>
      <w:spacing w:line="360" w:lineRule="auto"/>
      <w:ind w:firstLine="200" w:firstLineChars="200"/>
    </w:pPr>
    <w:rPr>
      <w:sz w:val="24"/>
    </w:rPr>
  </w:style>
  <w:style w:type="paragraph" w:customStyle="1" w:styleId="344">
    <w:name w:val="MM Topic 3"/>
    <w:basedOn w:val="4"/>
    <w:qFormat/>
    <w:uiPriority w:val="0"/>
    <w:pPr>
      <w:numPr>
        <w:ilvl w:val="0"/>
        <w:numId w:val="0"/>
      </w:numPr>
      <w:tabs>
        <w:tab w:val="left" w:pos="840"/>
        <w:tab w:val="clear" w:pos="900"/>
      </w:tabs>
      <w:adjustRightInd/>
      <w:ind w:left="840" w:hanging="420"/>
    </w:pPr>
  </w:style>
  <w:style w:type="paragraph" w:customStyle="1" w:styleId="3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qFormat/>
    <w:uiPriority w:val="0"/>
    <w:pPr>
      <w:snapToGrid w:val="0"/>
      <w:spacing w:line="0" w:lineRule="atLeast"/>
      <w:ind w:firstLine="200" w:firstLineChars="200"/>
      <w:jc w:val="center"/>
    </w:pPr>
    <w:rPr>
      <w:sz w:val="24"/>
      <w:szCs w:val="20"/>
    </w:rPr>
  </w:style>
  <w:style w:type="paragraph" w:customStyle="1" w:styleId="347">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qFormat/>
    <w:uiPriority w:val="0"/>
    <w:pPr>
      <w:adjustRightInd/>
      <w:ind w:firstLine="200" w:firstLineChars="200"/>
    </w:pPr>
    <w:rPr>
      <w:rFonts w:ascii="仿宋_GB2312" w:eastAsia="仿宋_GB2312"/>
      <w:b/>
      <w:sz w:val="32"/>
      <w:szCs w:val="32"/>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5"/>
    <w:link w:val="555"/>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qFormat/>
    <w:uiPriority w:val="0"/>
    <w:rPr>
      <w:rFonts w:ascii="仿宋_GB2312" w:eastAsia="仿宋_GB2312"/>
      <w:b/>
      <w:sz w:val="32"/>
      <w:szCs w:val="32"/>
    </w:rPr>
  </w:style>
  <w:style w:type="paragraph" w:customStyle="1" w:styleId="3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qFormat/>
    <w:uiPriority w:val="0"/>
    <w:pPr>
      <w:adjustRightInd/>
      <w:spacing w:line="360" w:lineRule="auto"/>
      <w:ind w:firstLine="200" w:firstLineChars="200"/>
    </w:pPr>
    <w:rPr>
      <w:sz w:val="24"/>
    </w:rPr>
  </w:style>
  <w:style w:type="paragraph" w:customStyle="1" w:styleId="3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qFormat/>
    <w:uiPriority w:val="0"/>
    <w:pPr>
      <w:widowControl/>
      <w:adjustRightInd/>
      <w:spacing w:after="160" w:line="240" w:lineRule="exact"/>
      <w:jc w:val="left"/>
    </w:pPr>
    <w:rPr>
      <w:szCs w:val="20"/>
    </w:rPr>
  </w:style>
  <w:style w:type="paragraph" w:customStyle="1" w:styleId="3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qFormat/>
    <w:uiPriority w:val="0"/>
    <w:rPr>
      <w:rFonts w:ascii="Times New Roman" w:hAnsi="Times New Roman" w:eastAsia="宋体" w:cs="Times New Roman"/>
      <w:lang w:val="en-US" w:eastAsia="en-US" w:bidi="ar-SA"/>
    </w:rPr>
  </w:style>
  <w:style w:type="paragraph" w:customStyle="1" w:styleId="36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5"/>
    <w:qFormat/>
    <w:uiPriority w:val="0"/>
    <w:pPr>
      <w:ind w:left="0"/>
    </w:pPr>
  </w:style>
  <w:style w:type="paragraph" w:customStyle="1" w:styleId="37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18"/>
    <w:qFormat/>
    <w:uiPriority w:val="0"/>
    <w:pPr>
      <w:snapToGrid w:val="0"/>
      <w:spacing w:line="360" w:lineRule="auto"/>
    </w:pPr>
  </w:style>
  <w:style w:type="paragraph" w:customStyle="1" w:styleId="375">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3"/>
    <w:qFormat/>
    <w:uiPriority w:val="0"/>
    <w:pPr>
      <w:keepLines w:val="0"/>
      <w:widowControl/>
      <w:numPr>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qFormat/>
    <w:uiPriority w:val="0"/>
    <w:pPr>
      <w:spacing w:line="360" w:lineRule="auto"/>
    </w:pPr>
    <w:rPr>
      <w:rFonts w:ascii="Tahoma" w:hAnsi="Tahoma"/>
      <w:sz w:val="24"/>
      <w:szCs w:val="20"/>
    </w:rPr>
  </w:style>
  <w:style w:type="paragraph" w:customStyle="1" w:styleId="379">
    <w:name w:val="列出段落11"/>
    <w:basedOn w:val="1"/>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qFormat/>
    <w:uiPriority w:val="0"/>
    <w:pPr>
      <w:adjustRightInd/>
      <w:ind w:firstLine="420" w:firstLineChars="200"/>
    </w:pPr>
    <w:rPr>
      <w:rFonts w:ascii="Calibri" w:hAnsi="Calibri"/>
      <w:szCs w:val="22"/>
    </w:rPr>
  </w:style>
  <w:style w:type="paragraph" w:customStyle="1" w:styleId="38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qFormat/>
    <w:uiPriority w:val="0"/>
    <w:pPr>
      <w:adjustRightInd/>
    </w:pPr>
    <w:rPr>
      <w:szCs w:val="20"/>
    </w:rPr>
  </w:style>
  <w:style w:type="paragraph" w:customStyle="1" w:styleId="384">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qFormat/>
    <w:uiPriority w:val="0"/>
    <w:pPr>
      <w:adjustRightInd/>
      <w:snapToGrid w:val="0"/>
      <w:spacing w:line="300" w:lineRule="auto"/>
    </w:pPr>
    <w:rPr>
      <w:rFonts w:eastAsia="仿宋"/>
      <w:szCs w:val="21"/>
    </w:rPr>
  </w:style>
  <w:style w:type="paragraph" w:customStyle="1" w:styleId="38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qFormat/>
    <w:uiPriority w:val="0"/>
    <w:rPr>
      <w:rFonts w:ascii="Tahoma" w:hAnsi="Tahoma"/>
      <w:sz w:val="24"/>
      <w:szCs w:val="20"/>
    </w:rPr>
  </w:style>
  <w:style w:type="paragraph" w:customStyle="1" w:styleId="393">
    <w:name w:val="p0"/>
    <w:basedOn w:val="1"/>
    <w:qFormat/>
    <w:uiPriority w:val="0"/>
    <w:pPr>
      <w:widowControl/>
      <w:adjustRightInd/>
    </w:pPr>
    <w:rPr>
      <w:kern w:val="0"/>
      <w:szCs w:val="21"/>
    </w:rPr>
  </w:style>
  <w:style w:type="paragraph" w:customStyle="1" w:styleId="39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qFormat/>
    <w:uiPriority w:val="0"/>
    <w:pPr>
      <w:spacing w:before="156" w:line="360" w:lineRule="auto"/>
      <w:ind w:firstLine="510" w:firstLineChars="200"/>
    </w:pPr>
    <w:rPr>
      <w:sz w:val="24"/>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qFormat/>
    <w:uiPriority w:val="0"/>
    <w:pPr>
      <w:tabs>
        <w:tab w:val="left" w:pos="840"/>
      </w:tabs>
      <w:adjustRightInd/>
      <w:ind w:left="840" w:hanging="420"/>
    </w:pPr>
  </w:style>
  <w:style w:type="paragraph" w:customStyle="1" w:styleId="402">
    <w:name w:val="五级条标题"/>
    <w:basedOn w:val="175"/>
    <w:next w:val="142"/>
    <w:qFormat/>
    <w:uiPriority w:val="0"/>
    <w:pPr>
      <w:numPr>
        <w:ilvl w:val="6"/>
        <w:numId w:val="0"/>
      </w:numPr>
      <w:tabs>
        <w:tab w:val="clear" w:pos="2940"/>
      </w:tabs>
      <w:outlineLvl w:val="6"/>
    </w:pPr>
  </w:style>
  <w:style w:type="paragraph" w:customStyle="1" w:styleId="403">
    <w:name w:val="Char Char Char Char Char Char Char Char"/>
    <w:basedOn w:val="1"/>
    <w:qFormat/>
    <w:uiPriority w:val="0"/>
    <w:pPr>
      <w:tabs>
        <w:tab w:val="left" w:pos="360"/>
      </w:tabs>
    </w:pPr>
    <w:rPr>
      <w:sz w:val="24"/>
      <w:szCs w:val="20"/>
    </w:rPr>
  </w:style>
  <w:style w:type="paragraph" w:customStyle="1" w:styleId="4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6"/>
    <w:next w:val="1"/>
    <w:qFormat/>
    <w:uiPriority w:val="0"/>
    <w:pPr>
      <w:numPr>
        <w:ilvl w:val="0"/>
        <w:numId w:val="0"/>
      </w:numPr>
      <w:tabs>
        <w:tab w:val="left" w:pos="480"/>
        <w:tab w:val="clear" w:pos="1008"/>
      </w:tabs>
      <w:ind w:left="480" w:hanging="480"/>
    </w:pPr>
  </w:style>
  <w:style w:type="paragraph" w:customStyle="1" w:styleId="4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6"/>
    <w:qFormat/>
    <w:uiPriority w:val="0"/>
    <w:pPr>
      <w:numPr>
        <w:ilvl w:val="0"/>
        <w:numId w:val="4"/>
      </w:numPr>
      <w:tabs>
        <w:tab w:val="clear" w:pos="1008"/>
      </w:tabs>
      <w:adjustRightInd/>
    </w:pPr>
  </w:style>
  <w:style w:type="paragraph" w:customStyle="1" w:styleId="414">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2"/>
    <w:next w:val="1"/>
    <w:qFormat/>
    <w:uiPriority w:val="0"/>
    <w:pPr>
      <w:numPr>
        <w:numId w:val="6"/>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2"/>
    <w:qFormat/>
    <w:uiPriority w:val="0"/>
    <w:pPr>
      <w:numPr>
        <w:numId w:val="0"/>
      </w:numPr>
      <w:tabs>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Lines="50"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Char"/>
    <w:link w:val="41"/>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qFormat/>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8"/>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7"/>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3"/>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2"/>
    <w:qFormat/>
    <w:uiPriority w:val="0"/>
    <w:rPr>
      <w:rFonts w:ascii="仿宋_GB2312" w:eastAsia="仿宋_GB2312"/>
      <w:kern w:val="2"/>
      <w:sz w:val="24"/>
      <w:lang w:val="en-US" w:eastAsia="zh-CN" w:bidi="ar-SA"/>
    </w:rPr>
  </w:style>
  <w:style w:type="character" w:customStyle="1" w:styleId="466">
    <w:name w:val="Comment Text Char"/>
    <w:qFormat/>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Char"/>
    <w:link w:val="9"/>
    <w:qFormat/>
    <w:uiPriority w:val="0"/>
    <w:rPr>
      <w:rFonts w:ascii="Arial" w:hAnsi="Arial" w:eastAsia="黑体"/>
      <w:kern w:val="2"/>
      <w:sz w:val="24"/>
      <w:szCs w:val="24"/>
    </w:rPr>
  </w:style>
  <w:style w:type="character" w:customStyle="1" w:styleId="475">
    <w:name w:val="冯广丽 Char"/>
    <w:link w:val="238"/>
    <w:qFormat/>
    <w:uiPriority w:val="0"/>
    <w:rPr>
      <w:rFonts w:ascii="宋体" w:hAnsi="宋体"/>
      <w:kern w:val="2"/>
      <w:sz w:val="24"/>
      <w:szCs w:val="22"/>
    </w:rPr>
  </w:style>
  <w:style w:type="character" w:customStyle="1" w:styleId="476">
    <w:name w:val="脚注文本 Char"/>
    <w:link w:val="49"/>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Char1"/>
    <w:link w:val="25"/>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5"/>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Char"/>
    <w:link w:val="8"/>
    <w:qFormat/>
    <w:uiPriority w:val="0"/>
    <w:rPr>
      <w:b/>
      <w:bCs/>
      <w:kern w:val="2"/>
      <w:sz w:val="24"/>
      <w:szCs w:val="24"/>
    </w:rPr>
  </w:style>
  <w:style w:type="character" w:customStyle="1" w:styleId="485">
    <w:name w:val="称呼 Char"/>
    <w:link w:val="21"/>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Char"/>
    <w:link w:val="46"/>
    <w:qFormat/>
    <w:uiPriority w:val="0"/>
    <w:rPr>
      <w:rFonts w:ascii="Arial" w:hAnsi="Arial" w:eastAsia="隶书"/>
      <w:b/>
      <w:bCs/>
      <w:kern w:val="28"/>
      <w:sz w:val="44"/>
      <w:szCs w:val="32"/>
      <w:lang w:val="en-US" w:eastAsia="zh-CN" w:bidi="ar-SA"/>
    </w:rPr>
  </w:style>
  <w:style w:type="character" w:customStyle="1" w:styleId="49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_7802c35d-a7d5-483c-ad67-f53103fdfb58"/>
    <w:qFormat/>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6"/>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首行缩进 2 Char"/>
    <w:link w:val="60"/>
    <w:qFormat/>
    <w:uiPriority w:val="0"/>
    <w:rPr>
      <w:rFonts w:ascii="宋体" w:hAnsi="宋体"/>
      <w:kern w:val="2"/>
      <w:sz w:val="21"/>
      <w:szCs w:val="24"/>
    </w:rPr>
  </w:style>
  <w:style w:type="character" w:customStyle="1" w:styleId="506">
    <w:name w:val="正文文本缩进 2 Char"/>
    <w:link w:val="37"/>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8"/>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Char"/>
    <w:link w:val="10"/>
    <w:qFormat/>
    <w:uiPriority w:val="0"/>
    <w:rPr>
      <w:rFonts w:ascii="Arial" w:hAnsi="Arial" w:eastAsia="黑体"/>
      <w:kern w:val="2"/>
      <w:sz w:val="21"/>
      <w:szCs w:val="21"/>
    </w:rPr>
  </w:style>
  <w:style w:type="character" w:customStyle="1" w:styleId="523">
    <w:name w:val="md"/>
    <w:basedOn w:val="63"/>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2"/>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3"/>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Char"/>
    <w:link w:val="56"/>
    <w:qFormat/>
    <w:uiPriority w:val="0"/>
    <w:rPr>
      <w:rFonts w:ascii="黑体" w:hAnsi="Courier New" w:eastAsia="黑体"/>
    </w:rPr>
  </w:style>
  <w:style w:type="character" w:customStyle="1" w:styleId="547">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8">
    <w:name w:val="正文首行缩进 Char"/>
    <w:link w:val="24"/>
    <w:qFormat/>
    <w:uiPriority w:val="0"/>
    <w:rPr>
      <w:rFonts w:ascii="宋体"/>
      <w:kern w:val="2"/>
      <w:sz w:val="24"/>
      <w:lang w:val="zh-CN"/>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标题 1 Char"/>
    <w:link w:val="2"/>
    <w:qFormat/>
    <w:uiPriority w:val="0"/>
    <w:rPr>
      <w:b/>
      <w:bCs/>
      <w:kern w:val="44"/>
      <w:sz w:val="44"/>
      <w:szCs w:val="44"/>
    </w:rPr>
  </w:style>
  <w:style w:type="character" w:customStyle="1" w:styleId="553">
    <w:name w:val="页眉 Char"/>
    <w:qFormat/>
    <w:uiPriority w:val="99"/>
    <w:rPr>
      <w:rFonts w:eastAsia="仿宋_GB2312"/>
      <w:kern w:val="2"/>
      <w:sz w:val="18"/>
      <w:lang w:val="en-US" w:eastAsia="zh-CN"/>
    </w:rPr>
  </w:style>
  <w:style w:type="character" w:customStyle="1" w:styleId="554">
    <w:name w:val="b11_01b Char"/>
    <w:link w:val="412"/>
    <w:qFormat/>
    <w:uiPriority w:val="0"/>
    <w:rPr>
      <w:rFonts w:ascii="Verdana" w:hAnsi="Verdana"/>
      <w:b/>
      <w:bCs/>
      <w:color w:val="4A82CA"/>
      <w:sz w:val="17"/>
      <w:szCs w:val="17"/>
    </w:rPr>
  </w:style>
  <w:style w:type="character" w:customStyle="1" w:styleId="555">
    <w:name w:val="标题4-dyf Char"/>
    <w:link w:val="350"/>
    <w:qFormat/>
    <w:uiPriority w:val="0"/>
    <w:rPr>
      <w:rFonts w:ascii="Cambria" w:hAnsi="Cambria"/>
      <w:b/>
      <w:bCs/>
      <w:color w:val="000000"/>
      <w:kern w:val="2"/>
      <w:sz w:val="21"/>
      <w:szCs w:val="21"/>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qFormat/>
    <w:uiPriority w:val="0"/>
    <w:rPr>
      <w:sz w:val="24"/>
      <w:szCs w:val="24"/>
      <w:lang w:val="en-US" w:eastAsia="zh-CN" w:bidi="ar-SA"/>
    </w:rPr>
  </w:style>
  <w:style w:type="character" w:customStyle="1" w:styleId="559">
    <w:name w:val="Char Char51"/>
    <w:qFormat/>
    <w:uiPriority w:val="0"/>
    <w:rPr>
      <w:rFonts w:ascii="宋体" w:hAnsi="Courier New" w:eastAsia="宋体"/>
      <w:kern w:val="2"/>
      <w:sz w:val="21"/>
      <w:lang w:val="en-US" w:eastAsia="zh-CN"/>
    </w:rPr>
  </w:style>
  <w:style w:type="character" w:customStyle="1" w:styleId="560">
    <w:name w:val="带编号样式 Char"/>
    <w:qFormat/>
    <w:uiPriority w:val="0"/>
    <w:rPr>
      <w:rFonts w:ascii="仿宋_GB2312" w:eastAsia="仿宋_GB2312"/>
      <w:color w:val="000000"/>
      <w:sz w:val="24"/>
      <w:lang w:bidi="ar-SA"/>
    </w:rPr>
  </w:style>
  <w:style w:type="character" w:customStyle="1" w:styleId="561">
    <w:name w:val="样式4 Char"/>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4"/>
    <w:qFormat/>
    <w:uiPriority w:val="0"/>
    <w:rPr>
      <w:rFonts w:ascii="微软雅黑" w:hAnsi="微软雅黑" w:eastAsia="微软雅黑"/>
      <w:b/>
      <w:bCs/>
      <w:kern w:val="2"/>
      <w:sz w:val="24"/>
      <w:szCs w:val="28"/>
    </w:rPr>
  </w:style>
  <w:style w:type="character" w:customStyle="1" w:styleId="563">
    <w:name w:val="PI Char"/>
    <w:qFormat/>
    <w:uiPriority w:val="0"/>
    <w:rPr>
      <w:rFonts w:ascii="宋体" w:hAnsi="宋体" w:eastAsia="宋体"/>
      <w:kern w:val="2"/>
      <w:sz w:val="24"/>
      <w:szCs w:val="24"/>
      <w:lang w:val="en-US" w:eastAsia="zh-CN" w:bidi="ar-SA"/>
    </w:rPr>
  </w:style>
  <w:style w:type="character" w:customStyle="1" w:styleId="564">
    <w:name w:val="Char Char111"/>
    <w:qFormat/>
    <w:uiPriority w:val="0"/>
    <w:rPr>
      <w:rFonts w:ascii="宋体" w:hAnsi="宋体" w:eastAsia="宋体"/>
      <w:b/>
      <w:kern w:val="2"/>
      <w:sz w:val="24"/>
      <w:szCs w:val="24"/>
      <w:lang w:val="en-US" w:eastAsia="zh-CN" w:bidi="ar-SA"/>
    </w:rPr>
  </w:style>
  <w:style w:type="character" w:customStyle="1" w:styleId="565">
    <w:name w:val="Document Map Char"/>
    <w:qFormat/>
    <w:uiPriority w:val="0"/>
    <w:rPr>
      <w:rFonts w:eastAsia="宋体"/>
      <w:kern w:val="2"/>
      <w:sz w:val="21"/>
      <w:szCs w:val="24"/>
      <w:lang w:val="en-US" w:eastAsia="zh-CN" w:bidi="ar-SA"/>
    </w:rPr>
  </w:style>
  <w:style w:type="character" w:customStyle="1" w:styleId="566">
    <w:name w:val="正文文本缩进 Char"/>
    <w:qFormat/>
    <w:uiPriority w:val="0"/>
    <w:rPr>
      <w:rFonts w:ascii="宋体" w:hAnsi="宋体"/>
      <w:kern w:val="2"/>
      <w:sz w:val="24"/>
      <w:szCs w:val="24"/>
    </w:rPr>
  </w:style>
  <w:style w:type="character" w:customStyle="1" w:styleId="567">
    <w:name w:val="文本正文 Char Char"/>
    <w:qFormat/>
    <w:uiPriority w:val="0"/>
    <w:rPr>
      <w:sz w:val="24"/>
      <w:lang w:bidi="ar-SA"/>
    </w:rPr>
  </w:style>
  <w:style w:type="character" w:customStyle="1" w:styleId="568">
    <w:name w:val="样式7 Char"/>
    <w:qFormat/>
    <w:uiPriority w:val="0"/>
    <w:rPr>
      <w:rFonts w:ascii="仿宋_GB2312" w:hAnsi="仿宋" w:eastAsia="仿宋_GB2312"/>
      <w:b/>
      <w:kern w:val="2"/>
      <w:sz w:val="24"/>
      <w:szCs w:val="24"/>
    </w:rPr>
  </w:style>
  <w:style w:type="character" w:customStyle="1" w:styleId="569">
    <w:name w:val="样式3 Char"/>
    <w:basedOn w:val="570"/>
    <w:qFormat/>
    <w:uiPriority w:val="0"/>
    <w:rPr>
      <w:rFonts w:ascii="仿宋_GB2312" w:hAnsi="仿宋" w:eastAsia="仿宋_GB2312" w:cs="仿宋_GB2312"/>
      <w:sz w:val="32"/>
      <w:szCs w:val="30"/>
      <w:lang w:val="zh-CN"/>
    </w:rPr>
  </w:style>
  <w:style w:type="character" w:customStyle="1" w:styleId="570">
    <w:name w:val="样式2 Char"/>
    <w:qFormat/>
    <w:uiPriority w:val="0"/>
    <w:rPr>
      <w:rFonts w:ascii="仿宋_GB2312" w:hAnsi="仿宋" w:eastAsia="仿宋_GB2312" w:cs="仿宋_GB2312"/>
      <w:b/>
      <w:bCs/>
      <w:sz w:val="32"/>
      <w:szCs w:val="30"/>
      <w:lang w:val="zh-CN"/>
    </w:rPr>
  </w:style>
  <w:style w:type="character" w:customStyle="1" w:styleId="571">
    <w:name w:val="二级标题 Char Char"/>
    <w:qFormat/>
    <w:uiPriority w:val="0"/>
    <w:rPr>
      <w:rFonts w:ascii="宋体" w:hAnsi="宋体" w:eastAsia="宋体"/>
      <w:b/>
      <w:snapToGrid w:val="0"/>
      <w:kern w:val="2"/>
      <w:sz w:val="24"/>
      <w:szCs w:val="24"/>
      <w:lang w:val="en-US" w:eastAsia="zh-CN" w:bidi="ar-SA"/>
    </w:rPr>
  </w:style>
  <w:style w:type="character" w:customStyle="1" w:styleId="572">
    <w:name w:val="Table Text Char1"/>
    <w:qFormat/>
    <w:uiPriority w:val="0"/>
    <w:rPr>
      <w:rFonts w:eastAsia="宋体"/>
      <w:sz w:val="24"/>
      <w:szCs w:val="24"/>
      <w:lang w:val="en-US" w:eastAsia="zh-CN" w:bidi="ar-SA"/>
    </w:rPr>
  </w:style>
  <w:style w:type="character" w:customStyle="1" w:styleId="573">
    <w:name w:val="shadow11"/>
    <w:qFormat/>
    <w:uiPriority w:val="0"/>
    <w:rPr>
      <w:color w:val="000000"/>
      <w:sz w:val="21"/>
    </w:rPr>
  </w:style>
  <w:style w:type="character" w:customStyle="1" w:styleId="574">
    <w:name w:val="HTML 地址 Char"/>
    <w:link w:val="30"/>
    <w:qFormat/>
    <w:uiPriority w:val="0"/>
    <w:rPr>
      <w:rFonts w:ascii="宋体" w:hAnsi="宋体"/>
      <w:i/>
      <w:iCs/>
      <w:sz w:val="24"/>
      <w:szCs w:val="24"/>
    </w:rPr>
  </w:style>
  <w:style w:type="character" w:customStyle="1" w:styleId="575">
    <w:name w:val="Char Char22"/>
    <w:qFormat/>
    <w:uiPriority w:val="0"/>
    <w:rPr>
      <w:rFonts w:eastAsia="宋体"/>
      <w:b/>
      <w:bCs/>
      <w:kern w:val="2"/>
      <w:sz w:val="21"/>
      <w:szCs w:val="24"/>
      <w:lang w:val="en-US" w:eastAsia="zh-CN" w:bidi="ar-SA"/>
    </w:rPr>
  </w:style>
  <w:style w:type="character" w:customStyle="1" w:styleId="576">
    <w:name w:val="标题 5 Char"/>
    <w:link w:val="6"/>
    <w:qFormat/>
    <w:uiPriority w:val="0"/>
    <w:rPr>
      <w:b/>
      <w:bCs/>
      <w:kern w:val="2"/>
      <w:sz w:val="28"/>
      <w:szCs w:val="28"/>
    </w:rPr>
  </w:style>
  <w:style w:type="character" w:customStyle="1" w:styleId="577">
    <w:name w:val="h3 Char1"/>
    <w:qFormat/>
    <w:uiPriority w:val="0"/>
    <w:rPr>
      <w:rFonts w:eastAsia="宋体"/>
      <w:b/>
      <w:bCs/>
      <w:kern w:val="2"/>
      <w:sz w:val="32"/>
      <w:szCs w:val="32"/>
      <w:lang w:bidi="ar-SA"/>
    </w:rPr>
  </w:style>
  <w:style w:type="character" w:customStyle="1" w:styleId="578">
    <w:name w:val="FA正文 Char Char"/>
    <w:qFormat/>
    <w:uiPriority w:val="0"/>
    <w:rPr>
      <w:rFonts w:hAnsi="宋体"/>
      <w:kern w:val="2"/>
      <w:sz w:val="24"/>
      <w:lang w:bidi="ar-SA"/>
    </w:rPr>
  </w:style>
  <w:style w:type="character" w:customStyle="1" w:styleId="579">
    <w:name w:val="Char Char7"/>
    <w:qFormat/>
    <w:uiPriority w:val="0"/>
    <w:rPr>
      <w:rFonts w:eastAsia="宋体"/>
      <w:kern w:val="2"/>
      <w:sz w:val="21"/>
      <w:szCs w:val="24"/>
      <w:lang w:val="en-US" w:eastAsia="zh-CN" w:bidi="ar-SA"/>
    </w:rPr>
  </w:style>
  <w:style w:type="character" w:customStyle="1" w:styleId="580">
    <w:name w:val="hui"/>
    <w:basedOn w:val="63"/>
    <w:qFormat/>
    <w:uiPriority w:val="0"/>
  </w:style>
  <w:style w:type="character" w:customStyle="1" w:styleId="581">
    <w:name w:val="正文缩进 Char"/>
    <w:qFormat/>
    <w:uiPriority w:val="0"/>
    <w:rPr>
      <w:rFonts w:eastAsia="宋体"/>
      <w:kern w:val="2"/>
      <w:sz w:val="21"/>
      <w:lang w:val="en-US" w:eastAsia="zh-CN"/>
    </w:rPr>
  </w:style>
  <w:style w:type="character" w:customStyle="1" w:styleId="582">
    <w:name w:val="正文1 Char"/>
    <w:qFormat/>
    <w:uiPriority w:val="0"/>
    <w:rPr>
      <w:rFonts w:ascii="宋体" w:eastAsia="宋体"/>
      <w:snapToGrid w:val="0"/>
      <w:color w:val="000000"/>
      <w:kern w:val="28"/>
      <w:sz w:val="28"/>
      <w:lang w:val="en-US" w:eastAsia="zh-CN" w:bidi="ar-SA"/>
    </w:rPr>
  </w:style>
  <w:style w:type="character" w:customStyle="1" w:styleId="583">
    <w:name w:val="Char Char61"/>
    <w:qFormat/>
    <w:uiPriority w:val="0"/>
    <w:rPr>
      <w:rFonts w:eastAsia="宋体"/>
      <w:kern w:val="2"/>
      <w:sz w:val="21"/>
      <w:szCs w:val="24"/>
      <w:lang w:val="en-US" w:eastAsia="zh-CN" w:bidi="ar-SA"/>
    </w:rPr>
  </w:style>
  <w:style w:type="character" w:customStyle="1" w:styleId="584">
    <w:name w:val="正文文本 3 Char"/>
    <w:link w:val="22"/>
    <w:qFormat/>
    <w:uiPriority w:val="0"/>
    <w:rPr>
      <w:kern w:val="2"/>
      <w:sz w:val="21"/>
    </w:rPr>
  </w:style>
  <w:style w:type="character" w:customStyle="1" w:styleId="585">
    <w:name w:val="message1"/>
    <w:qFormat/>
    <w:uiPriority w:val="0"/>
    <w:rPr>
      <w:rFonts w:hint="default" w:ascii="Tahoma" w:hAnsi="Tahoma" w:cs="Tahoma"/>
      <w:sz w:val="18"/>
      <w:szCs w:val="18"/>
    </w:rPr>
  </w:style>
  <w:style w:type="character" w:customStyle="1" w:styleId="586">
    <w:name w:val="DO_NOT_TRANSLATE"/>
    <w:qFormat/>
    <w:uiPriority w:val="0"/>
    <w:rPr>
      <w:rFonts w:ascii="Courier New" w:hAnsi="Courier New" w:cs="Courier New"/>
      <w:color w:val="800000"/>
    </w:rPr>
  </w:style>
  <w:style w:type="character" w:customStyle="1" w:styleId="587">
    <w:name w:val="unnamed11"/>
    <w:qFormat/>
    <w:uiPriority w:val="0"/>
    <w:rPr>
      <w:sz w:val="20"/>
      <w:szCs w:val="20"/>
    </w:rPr>
  </w:style>
  <w:style w:type="character" w:customStyle="1" w:styleId="588">
    <w:name w:val="tw4winInternal"/>
    <w:qFormat/>
    <w:uiPriority w:val="0"/>
    <w:rPr>
      <w:rFonts w:ascii="Courier New" w:hAnsi="Courier New" w:cs="Courier New"/>
      <w:color w:val="FF0000"/>
    </w:rPr>
  </w:style>
  <w:style w:type="character" w:customStyle="1" w:styleId="589">
    <w:name w:val="正文（缩进2汉字） Char"/>
    <w:link w:val="329"/>
    <w:qFormat/>
    <w:uiPriority w:val="0"/>
    <w:rPr>
      <w:rFonts w:ascii="宋体"/>
    </w:rPr>
  </w:style>
  <w:style w:type="character" w:customStyle="1" w:styleId="590">
    <w:name w:val="页脚 Char"/>
    <w:qFormat/>
    <w:uiPriority w:val="99"/>
    <w:rPr>
      <w:rFonts w:eastAsia="仿宋_GB2312"/>
      <w:kern w:val="2"/>
      <w:sz w:val="18"/>
      <w:lang w:val="en-US" w:eastAsia="zh-CN"/>
    </w:rPr>
  </w:style>
  <w:style w:type="character" w:customStyle="1" w:styleId="591">
    <w:name w:val="正文文本缩进 3 Char"/>
    <w:link w:val="52"/>
    <w:qFormat/>
    <w:uiPriority w:val="0"/>
    <w:rPr>
      <w:kern w:val="2"/>
      <w:sz w:val="24"/>
    </w:rPr>
  </w:style>
  <w:style w:type="character" w:customStyle="1" w:styleId="592">
    <w:name w:val="正文缩进 Char1"/>
    <w:qFormat/>
    <w:uiPriority w:val="0"/>
    <w:rPr>
      <w:rFonts w:ascii="宋体" w:eastAsia="宋体"/>
      <w:snapToGrid w:val="0"/>
      <w:color w:val="000000"/>
      <w:kern w:val="28"/>
      <w:sz w:val="28"/>
      <w:lang w:val="en-US" w:eastAsia="zh-CN" w:bidi="ar-SA"/>
    </w:rPr>
  </w:style>
  <w:style w:type="character" w:customStyle="1" w:styleId="593">
    <w:name w:val="style36"/>
    <w:basedOn w:val="63"/>
    <w:qFormat/>
    <w:uiPriority w:val="0"/>
  </w:style>
  <w:style w:type="character" w:customStyle="1" w:styleId="594">
    <w:name w:val="hui3"/>
    <w:qFormat/>
    <w:uiPriority w:val="0"/>
    <w:rPr>
      <w:color w:val="333333"/>
    </w:rPr>
  </w:style>
  <w:style w:type="character" w:customStyle="1" w:styleId="595">
    <w:name w:val="apple-converted-space"/>
    <w:qFormat/>
    <w:uiPriority w:val="0"/>
  </w:style>
  <w:style w:type="character" w:customStyle="1" w:styleId="596">
    <w:name w:val="文档结构图 Char"/>
    <w:qFormat/>
    <w:uiPriority w:val="0"/>
    <w:rPr>
      <w:rFonts w:eastAsia="宋体"/>
      <w:kern w:val="2"/>
      <w:sz w:val="21"/>
      <w:szCs w:val="24"/>
      <w:lang w:val="en-US" w:eastAsia="zh-CN" w:bidi="ar-SA"/>
    </w:rPr>
  </w:style>
  <w:style w:type="character" w:customStyle="1" w:styleId="597">
    <w:name w:val="正文非缩进 Char3"/>
    <w:qFormat/>
    <w:uiPriority w:val="0"/>
    <w:rPr>
      <w:rFonts w:ascii="宋体" w:eastAsia="宋体"/>
      <w:snapToGrid w:val="0"/>
      <w:color w:val="000000"/>
      <w:kern w:val="28"/>
      <w:sz w:val="28"/>
      <w:lang w:val="en-US" w:eastAsia="zh-CN" w:bidi="ar-SA"/>
    </w:rPr>
  </w:style>
  <w:style w:type="character" w:customStyle="1" w:styleId="598">
    <w:name w:val="dectext1"/>
    <w:qFormat/>
    <w:uiPriority w:val="0"/>
    <w:rPr>
      <w:rFonts w:ascii="宋体" w:hAnsi="宋体" w:eastAsia="宋体"/>
      <w:color w:val="333333"/>
      <w:sz w:val="21"/>
      <w:szCs w:val="21"/>
      <w:u w:val="none"/>
    </w:rPr>
  </w:style>
  <w:style w:type="character" w:customStyle="1" w:styleId="599">
    <w:name w:val="副标题 Char1"/>
    <w:qFormat/>
    <w:uiPriority w:val="0"/>
    <w:rPr>
      <w:rFonts w:ascii="Cambria" w:hAnsi="Cambria" w:eastAsia="宋体" w:cs="Times New Roman"/>
      <w:b/>
      <w:bCs/>
      <w:snapToGrid w:val="0"/>
      <w:kern w:val="28"/>
      <w:sz w:val="32"/>
      <w:szCs w:val="32"/>
    </w:rPr>
  </w:style>
  <w:style w:type="character" w:customStyle="1" w:styleId="600">
    <w:name w:val="f141"/>
    <w:qFormat/>
    <w:uiPriority w:val="0"/>
    <w:rPr>
      <w:rFonts w:ascii="Tahoma" w:hAnsi="Tahoma" w:eastAsia="宋体"/>
      <w:b/>
      <w:kern w:val="2"/>
      <w:sz w:val="21"/>
      <w:szCs w:val="21"/>
      <w:lang w:val="en-US" w:eastAsia="zh-CN" w:bidi="ar-SA"/>
    </w:rPr>
  </w:style>
  <w:style w:type="character" w:customStyle="1" w:styleId="601">
    <w:name w:val="日期 Char"/>
    <w:link w:val="36"/>
    <w:qFormat/>
    <w:uiPriority w:val="0"/>
    <w:rPr>
      <w:rFonts w:ascii="宋体"/>
      <w:kern w:val="2"/>
      <w:sz w:val="24"/>
      <w:szCs w:val="21"/>
      <w:lang w:val="zh-CN"/>
    </w:rPr>
  </w:style>
  <w:style w:type="character" w:customStyle="1" w:styleId="602">
    <w:name w:val="标题 4 Char"/>
    <w:link w:val="5"/>
    <w:qFormat/>
    <w:uiPriority w:val="0"/>
    <w:rPr>
      <w:rFonts w:ascii="Arial" w:hAnsi="Arial" w:eastAsia="黑体"/>
      <w:b/>
      <w:bCs/>
      <w:kern w:val="2"/>
      <w:sz w:val="28"/>
      <w:szCs w:val="28"/>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qFormat/>
    <w:uiPriority w:val="0"/>
    <w:rPr>
      <w:rFonts w:ascii="Times New Roman" w:hAnsi="Times New Roman" w:eastAsia="宋体" w:cs="Times New Roman"/>
      <w:sz w:val="20"/>
      <w:szCs w:val="20"/>
    </w:rPr>
  </w:style>
  <w:style w:type="character" w:customStyle="1" w:styleId="607">
    <w:name w:val="Char Char31"/>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3"/>
    <w:qFormat/>
    <w:uiPriority w:val="0"/>
    <w:rPr>
      <w:rFonts w:ascii="微软雅黑" w:hAnsi="微软雅黑" w:eastAsia="微软雅黑"/>
      <w:b/>
      <w:bCs/>
      <w:kern w:val="2"/>
      <w:sz w:val="24"/>
      <w:szCs w:val="28"/>
    </w:rPr>
  </w:style>
  <w:style w:type="character" w:customStyle="1" w:styleId="613">
    <w:name w:val="标题 4 Char1"/>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标题 6 Char"/>
    <w:link w:val="7"/>
    <w:qFormat/>
    <w:uiPriority w:val="0"/>
    <w:rPr>
      <w:rFonts w:ascii="Arial" w:hAnsi="Arial" w:eastAsia="黑体"/>
      <w:b/>
      <w:bCs/>
      <w:kern w:val="2"/>
      <w:sz w:val="24"/>
      <w:szCs w:val="24"/>
    </w:rPr>
  </w:style>
  <w:style w:type="character" w:customStyle="1" w:styleId="616">
    <w:name w:val="正文缩进 Char2"/>
    <w:link w:val="15"/>
    <w:qFormat/>
    <w:uiPriority w:val="0"/>
    <w:rPr>
      <w:rFonts w:ascii="宋体" w:eastAsia="宋体"/>
      <w:snapToGrid w:val="0"/>
      <w:color w:val="000000"/>
      <w:kern w:val="28"/>
      <w:sz w:val="28"/>
      <w:lang w:val="en-US" w:eastAsia="zh-CN" w:bidi="ar-SA"/>
    </w:rPr>
  </w:style>
  <w:style w:type="character" w:customStyle="1" w:styleId="617">
    <w:name w:val="批注文字 Char1"/>
    <w:link w:val="20"/>
    <w:qFormat/>
    <w:uiPriority w:val="99"/>
    <w:rPr>
      <w:kern w:val="2"/>
      <w:sz w:val="21"/>
      <w:szCs w:val="24"/>
    </w:rPr>
  </w:style>
  <w:style w:type="character" w:customStyle="1" w:styleId="618">
    <w:name w:val="批注框文本 Char"/>
    <w:link w:val="38"/>
    <w:qFormat/>
    <w:uiPriority w:val="0"/>
    <w:rPr>
      <w:kern w:val="2"/>
      <w:sz w:val="18"/>
      <w:szCs w:val="18"/>
    </w:rPr>
  </w:style>
  <w:style w:type="character" w:customStyle="1" w:styleId="619">
    <w:name w:val="Footer Char_297ca3bb-e6f6-4cc1-9b27-66816fa3cad9"/>
    <w:qFormat/>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1"/>
    <w:link w:val="624"/>
    <w:qFormat/>
    <w:uiPriority w:val="0"/>
    <w:pPr>
      <w:adjustRightInd/>
    </w:pPr>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1"/>
    <w:link w:val="625"/>
    <w:qFormat/>
    <w:uiPriority w:val="0"/>
    <w:pPr>
      <w:adjustRightInd/>
    </w:pPr>
    <w:rPr>
      <w:rFonts w:ascii="宋体" w:hAnsi="Courier New"/>
      <w:kern w:val="0"/>
      <w:sz w:val="20"/>
      <w:szCs w:val="20"/>
    </w:rPr>
  </w:style>
  <w:style w:type="paragraph" w:customStyle="1" w:styleId="627">
    <w:name w:val="Char Char Char Char Char Char Char2"/>
    <w:basedOn w:val="1"/>
    <w:qFormat/>
    <w:uiPriority w:val="0"/>
    <w:rPr>
      <w:rFonts w:ascii="仿宋_GB2312" w:eastAsia="仿宋_GB2312"/>
      <w:b/>
      <w:sz w:val="32"/>
      <w:szCs w:val="32"/>
    </w:rPr>
  </w:style>
  <w:style w:type="paragraph" w:customStyle="1" w:styleId="628">
    <w:name w:val="Char Char1 Char Char Char Char Char Char2"/>
    <w:basedOn w:val="1"/>
    <w:qFormat/>
    <w:uiPriority w:val="0"/>
    <w:rPr>
      <w:rFonts w:ascii="仿宋_GB2312" w:eastAsia="仿宋_GB2312"/>
      <w:b/>
      <w:sz w:val="32"/>
      <w:szCs w:val="20"/>
    </w:rPr>
  </w:style>
  <w:style w:type="paragraph" w:customStyle="1" w:styleId="629">
    <w:name w:val="修订1"/>
    <w:qFormat/>
    <w:uiPriority w:val="99"/>
    <w:rPr>
      <w:rFonts w:ascii="Times New Roman" w:hAnsi="Times New Roman" w:eastAsia="宋体" w:cs="Times New Roman"/>
      <w:kern w:val="2"/>
      <w:sz w:val="21"/>
      <w:szCs w:val="24"/>
      <w:lang w:val="en-US" w:eastAsia="zh-CN" w:bidi="ar-SA"/>
    </w:rPr>
  </w:style>
  <w:style w:type="character" w:customStyle="1" w:styleId="630">
    <w:name w:val="Default Char"/>
    <w:link w:val="73"/>
    <w:qFormat/>
    <w:uiPriority w:val="0"/>
    <w:rPr>
      <w:rFonts w:ascii="仿宋_GB2312" w:eastAsia="仿宋_GB2312" w:cs="仿宋_GB2312"/>
      <w:color w:val="000000"/>
      <w:sz w:val="24"/>
      <w:szCs w:val="24"/>
    </w:rPr>
  </w:style>
  <w:style w:type="character" w:customStyle="1" w:styleId="631">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4">
    <w:name w:val="页眉 Char2"/>
    <w:link w:val="40"/>
    <w:qFormat/>
    <w:uiPriority w:val="99"/>
    <w:rPr>
      <w:kern w:val="2"/>
      <w:sz w:val="18"/>
      <w:szCs w:val="18"/>
    </w:rPr>
  </w:style>
  <w:style w:type="paragraph" w:styleId="635">
    <w:name w:val="List Paragraph"/>
    <w:basedOn w:val="1"/>
    <w:unhideWhenUsed/>
    <w:qFormat/>
    <w:uiPriority w:val="99"/>
    <w:pPr>
      <w:ind w:firstLine="420" w:firstLineChars="200"/>
    </w:pPr>
  </w:style>
  <w:style w:type="paragraph" w:customStyle="1" w:styleId="636">
    <w:name w:val="纯文本3"/>
    <w:basedOn w:val="637"/>
    <w:qFormat/>
    <w:uiPriority w:val="0"/>
    <w:pPr>
      <w:widowControl/>
      <w:jc w:val="left"/>
    </w:pPr>
    <w:rPr>
      <w:rFonts w:ascii="宋体" w:hAnsi="Courier New"/>
    </w:rPr>
  </w:style>
  <w:style w:type="paragraph" w:customStyle="1" w:styleId="637">
    <w:name w:val="正文7"/>
    <w:basedOn w:val="1"/>
    <w:next w:val="1"/>
    <w:qFormat/>
    <w:uiPriority w:val="0"/>
    <w:rPr>
      <w:color w:val="000000"/>
      <w:kern w:val="1"/>
    </w:rPr>
  </w:style>
  <w:style w:type="paragraph" w:customStyle="1" w:styleId="638">
    <w:name w:val="样式 列表编号 + 段后: 0.5 行"/>
    <w:basedOn w:val="14"/>
    <w:qFormat/>
    <w:uiPriority w:val="99"/>
    <w:pPr>
      <w:tabs>
        <w:tab w:val="left" w:pos="720"/>
        <w:tab w:val="clear" w:pos="390"/>
      </w:tabs>
      <w:spacing w:after="156" w:line="360" w:lineRule="auto"/>
      <w:ind w:left="720" w:hanging="720"/>
    </w:pPr>
  </w:style>
  <w:style w:type="character" w:customStyle="1" w:styleId="639">
    <w:name w:val="15"/>
    <w:basedOn w:val="63"/>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3093</Words>
  <Characters>3539</Characters>
  <Lines>336</Lines>
  <Paragraphs>94</Paragraphs>
  <TotalTime>23</TotalTime>
  <ScaleCrop>false</ScaleCrop>
  <LinksUpToDate>false</LinksUpToDate>
  <CharactersWithSpaces>3657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2023-12-26T10:26:00Z</dcterms:created>
  <dc:creator>玥</dc:creator>
  <cp:lastModifiedBy>456</cp:lastModifiedBy>
  <cp:lastPrinted>2021-10-23T18:37:00Z</cp:lastPrinted>
  <dcterms:modified xsi:type="dcterms:W3CDTF">2024-11-27T08:34:46Z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3DF94D559C4E42F0B1BA61F6F00EF610</vt:lpwstr>
  </property>
</Properties>
</file>