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F639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48"/>
          <w:szCs w:val="48"/>
          <w:lang w:eastAsia="zh-CN"/>
        </w:rPr>
        <w:t>嵊州市广电信息网络有限公司电源电缆采购项目</w:t>
      </w:r>
    </w:p>
    <w:p w14:paraId="76D36667">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国有企业采购</w:t>
      </w:r>
      <w:r>
        <w:rPr>
          <w:rFonts w:hint="eastAsia" w:ascii="仿宋" w:hAnsi="仿宋" w:eastAsia="仿宋" w:cs="仿宋"/>
          <w:b/>
          <w:color w:val="auto"/>
          <w:sz w:val="36"/>
          <w:szCs w:val="36"/>
          <w:lang w:eastAsia="zh-CN"/>
        </w:rPr>
        <w:t>）</w:t>
      </w:r>
    </w:p>
    <w:p w14:paraId="7885DB4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SXPZ-H20241111CKY</w:t>
      </w:r>
    </w:p>
    <w:p w14:paraId="07B839C2">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1AA4356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665D860B">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1F9AC27">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581A0FC8">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7D0EF3F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02A7D440">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0B2EC0B6">
      <w:pPr>
        <w:adjustRightInd/>
        <w:spacing w:line="360" w:lineRule="auto"/>
        <w:jc w:val="center"/>
        <w:rPr>
          <w:color w:val="auto"/>
        </w:rPr>
      </w:pPr>
      <w:r>
        <w:rPr>
          <w:rFonts w:hint="eastAsia" w:ascii="仿宋" w:hAnsi="仿宋" w:eastAsia="仿宋" w:cs="仿宋"/>
          <w:b/>
          <w:color w:val="auto"/>
          <w:sz w:val="44"/>
          <w:szCs w:val="44"/>
        </w:rPr>
        <w:t>（电子招投标）</w:t>
      </w:r>
    </w:p>
    <w:p w14:paraId="7154BFE9">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采购单位: </w:t>
      </w:r>
      <w:r>
        <w:rPr>
          <w:rFonts w:hint="eastAsia" w:ascii="仿宋" w:hAnsi="仿宋" w:eastAsia="仿宋" w:cs="仿宋"/>
          <w:b/>
          <w:bCs/>
          <w:color w:val="auto"/>
          <w:sz w:val="32"/>
          <w:szCs w:val="32"/>
          <w:lang w:eastAsia="zh-CN"/>
        </w:rPr>
        <w:t>嵊州市广电信息网络有限公司</w:t>
      </w:r>
    </w:p>
    <w:p w14:paraId="4DDA8F34">
      <w:pPr>
        <w:spacing w:line="360" w:lineRule="auto"/>
        <w:ind w:right="533"/>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代理机构: </w:t>
      </w:r>
      <w:r>
        <w:rPr>
          <w:rFonts w:hint="eastAsia" w:ascii="仿宋" w:hAnsi="仿宋" w:eastAsia="仿宋" w:cs="仿宋"/>
          <w:b/>
          <w:bCs/>
          <w:color w:val="auto"/>
          <w:sz w:val="32"/>
          <w:szCs w:val="32"/>
          <w:lang w:eastAsia="zh-CN"/>
        </w:rPr>
        <w:t>绍兴平准招标代理有限公司</w:t>
      </w:r>
    </w:p>
    <w:p w14:paraId="23FD9120">
      <w:pPr>
        <w:tabs>
          <w:tab w:val="left" w:pos="2268"/>
        </w:tabs>
        <w:spacing w:line="360" w:lineRule="auto"/>
        <w:ind w:firstLine="2570" w:firstLineChars="800"/>
        <w:jc w:val="both"/>
        <w:rPr>
          <w:rFonts w:ascii="宋体" w:hAnsi="宋体" w:cs="仿宋_GB2312"/>
          <w:color w:val="auto"/>
          <w:sz w:val="24"/>
        </w:rPr>
        <w:sectPr>
          <w:headerReference r:id="rId3" w:type="default"/>
          <w:headerReference r:id="rId4" w:type="even"/>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rPr>
        <w:t>日    期: 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月</w:t>
      </w:r>
    </w:p>
    <w:p w14:paraId="19B077CC">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38802836">
      <w:pPr>
        <w:spacing w:line="360" w:lineRule="auto"/>
        <w:rPr>
          <w:rFonts w:ascii="仿宋" w:hAnsi="仿宋" w:eastAsia="仿宋" w:cs="仿宋"/>
          <w:color w:val="auto"/>
          <w:sz w:val="32"/>
          <w:szCs w:val="32"/>
        </w:rPr>
      </w:pPr>
    </w:p>
    <w:p w14:paraId="54A18586">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第一部分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磋商邀请公告</w:t>
      </w:r>
    </w:p>
    <w:p w14:paraId="2B22575F">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07361CF">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w:t>
      </w:r>
    </w:p>
    <w:p w14:paraId="08411B0B">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拟签订的合同文本</w:t>
      </w:r>
    </w:p>
    <w:p w14:paraId="46A0BF79">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评审方法及标准</w:t>
      </w:r>
    </w:p>
    <w:p w14:paraId="0F1C3A27">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第六部分</w:t>
      </w:r>
      <w:r>
        <w:rPr>
          <w:rFonts w:hint="eastAsia" w:ascii="仿宋" w:hAnsi="仿宋" w:eastAsia="仿宋" w:cs="仿宋"/>
          <w:b/>
          <w:bCs/>
          <w:color w:val="auto"/>
          <w:sz w:val="36"/>
          <w:szCs w:val="36"/>
          <w:lang w:val="en-US" w:eastAsia="zh-CN"/>
        </w:rPr>
        <w:t xml:space="preserve">   </w:t>
      </w:r>
      <w:r>
        <w:rPr>
          <w:rFonts w:ascii="仿宋" w:hAnsi="仿宋" w:eastAsia="仿宋" w:cs="仿宋"/>
          <w:b/>
          <w:bCs/>
          <w:color w:val="auto"/>
          <w:sz w:val="36"/>
          <w:szCs w:val="36"/>
        </w:rPr>
        <w:t>磋商响应文件及其附件格式</w:t>
      </w:r>
    </w:p>
    <w:p w14:paraId="1A0F5DC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663749AF">
      <w:pPr>
        <w:spacing w:line="360" w:lineRule="auto"/>
        <w:ind w:firstLine="549" w:firstLineChars="229"/>
        <w:rPr>
          <w:rFonts w:ascii="宋体" w:hAnsi="宋体" w:cs="仿宋_GB2312"/>
          <w:color w:val="auto"/>
          <w:sz w:val="24"/>
        </w:rPr>
      </w:pPr>
    </w:p>
    <w:p w14:paraId="5769CE7E">
      <w:pPr>
        <w:spacing w:line="360" w:lineRule="auto"/>
        <w:ind w:firstLine="549" w:firstLineChars="229"/>
        <w:rPr>
          <w:rFonts w:ascii="宋体" w:hAnsi="宋体" w:cs="仿宋_GB2312"/>
          <w:color w:val="auto"/>
          <w:sz w:val="24"/>
        </w:rPr>
      </w:pPr>
    </w:p>
    <w:p w14:paraId="60BFDCA0">
      <w:pPr>
        <w:spacing w:line="360" w:lineRule="auto"/>
        <w:ind w:firstLine="549" w:firstLineChars="229"/>
        <w:rPr>
          <w:rFonts w:ascii="宋体" w:hAnsi="宋体" w:cs="仿宋_GB2312"/>
          <w:color w:val="auto"/>
          <w:sz w:val="24"/>
        </w:rPr>
      </w:pPr>
    </w:p>
    <w:p w14:paraId="71902DF2">
      <w:pPr>
        <w:spacing w:line="360" w:lineRule="auto"/>
        <w:ind w:firstLine="549" w:firstLineChars="229"/>
        <w:rPr>
          <w:rFonts w:ascii="宋体" w:hAnsi="宋体" w:cs="仿宋_GB2312"/>
          <w:color w:val="auto"/>
          <w:sz w:val="24"/>
        </w:rPr>
      </w:pPr>
    </w:p>
    <w:p w14:paraId="38CFBE4E">
      <w:pPr>
        <w:spacing w:line="360" w:lineRule="auto"/>
        <w:ind w:firstLine="549" w:firstLineChars="229"/>
        <w:rPr>
          <w:rFonts w:ascii="宋体" w:hAnsi="宋体" w:cs="仿宋_GB2312"/>
          <w:color w:val="auto"/>
          <w:sz w:val="24"/>
        </w:rPr>
      </w:pPr>
    </w:p>
    <w:p w14:paraId="05489F4D">
      <w:pPr>
        <w:spacing w:line="360" w:lineRule="auto"/>
        <w:ind w:firstLine="549" w:firstLineChars="229"/>
        <w:rPr>
          <w:rFonts w:ascii="宋体" w:hAnsi="宋体" w:cs="仿宋_GB2312"/>
          <w:color w:val="auto"/>
          <w:sz w:val="24"/>
        </w:rPr>
      </w:pPr>
    </w:p>
    <w:p w14:paraId="09D99A3A">
      <w:pPr>
        <w:spacing w:line="360" w:lineRule="auto"/>
        <w:ind w:firstLine="549" w:firstLineChars="229"/>
        <w:rPr>
          <w:rFonts w:ascii="宋体" w:hAnsi="宋体" w:cs="仿宋_GB2312"/>
          <w:color w:val="auto"/>
          <w:sz w:val="24"/>
        </w:rPr>
      </w:pPr>
    </w:p>
    <w:p w14:paraId="5111134B">
      <w:pPr>
        <w:spacing w:line="360" w:lineRule="auto"/>
        <w:ind w:firstLine="549" w:firstLineChars="229"/>
        <w:rPr>
          <w:rFonts w:ascii="宋体" w:hAnsi="宋体" w:cs="仿宋_GB2312"/>
          <w:color w:val="auto"/>
          <w:sz w:val="24"/>
        </w:rPr>
      </w:pPr>
    </w:p>
    <w:p w14:paraId="44C39097">
      <w:pPr>
        <w:spacing w:line="360" w:lineRule="auto"/>
        <w:ind w:firstLine="549" w:firstLineChars="229"/>
        <w:rPr>
          <w:rFonts w:ascii="宋体" w:hAnsi="宋体" w:cs="仿宋_GB2312"/>
          <w:color w:val="auto"/>
          <w:sz w:val="24"/>
        </w:rPr>
      </w:pPr>
    </w:p>
    <w:p w14:paraId="50CB1818">
      <w:pPr>
        <w:spacing w:line="360" w:lineRule="auto"/>
        <w:ind w:firstLine="549" w:firstLineChars="229"/>
        <w:rPr>
          <w:rFonts w:ascii="宋体" w:hAnsi="宋体" w:cs="仿宋_GB2312"/>
          <w:color w:val="auto"/>
          <w:sz w:val="24"/>
        </w:rPr>
      </w:pPr>
    </w:p>
    <w:bookmarkEnd w:id="1"/>
    <w:p w14:paraId="2F6576F5">
      <w:pPr>
        <w:adjustRightInd/>
        <w:spacing w:line="360" w:lineRule="auto"/>
        <w:jc w:val="center"/>
        <w:outlineLvl w:val="0"/>
        <w:rPr>
          <w:rFonts w:ascii="仿宋" w:hAnsi="仿宋" w:eastAsia="仿宋" w:cs="仿宋"/>
          <w:b/>
          <w:color w:val="auto"/>
          <w:sz w:val="36"/>
          <w:szCs w:val="20"/>
        </w:rPr>
        <w:sectPr>
          <w:footerReference r:id="rId6" w:type="default"/>
          <w:pgSz w:w="11906" w:h="16838"/>
          <w:pgMar w:top="1814" w:right="1474" w:bottom="1814" w:left="1474" w:header="851" w:footer="992" w:gutter="0"/>
          <w:pgNumType w:start="0"/>
          <w:cols w:space="720" w:num="1"/>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14:paraId="6531C303">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磋商邀请公告</w:t>
      </w:r>
    </w:p>
    <w:p w14:paraId="696C1E64">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81C68B5">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嵊州市广电信息网络有限公司电源电缆采购项目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color w:val="auto"/>
          <w:sz w:val="24"/>
          <w:u w:val="single"/>
        </w:rPr>
        <w:t>https://www.lecaiyun.com/</w:t>
      </w:r>
      <w:r>
        <w:rPr>
          <w:rStyle w:val="69"/>
          <w:rFonts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val="en-US" w:eastAsia="zh-CN"/>
        </w:rPr>
        <w:t>2024年11月27日14点30分00秒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49EFF7F9">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9" w:name="_Toc35393629"/>
      <w:bookmarkStart w:id="10" w:name="_Toc28359012"/>
      <w:bookmarkStart w:id="11" w:name="_Toc35393798"/>
      <w:bookmarkStart w:id="12" w:name="_Toc28359089"/>
      <w:r>
        <w:rPr>
          <w:rFonts w:hint="eastAsia" w:ascii="仿宋" w:eastAsia="仿宋" w:cs="仿宋"/>
          <w:color w:val="auto"/>
          <w:sz w:val="24"/>
          <w:szCs w:val="24"/>
        </w:rPr>
        <w:t>一、项目基本情况</w:t>
      </w:r>
      <w:bookmarkEnd w:id="9"/>
      <w:bookmarkEnd w:id="10"/>
      <w:bookmarkEnd w:id="11"/>
      <w:bookmarkEnd w:id="12"/>
    </w:p>
    <w:p w14:paraId="40C42CF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SXPZ-H20241111CKY</w:t>
      </w:r>
    </w:p>
    <w:p w14:paraId="373C955C">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嵊州市广电信息网络有限公司电源电缆采购项目</w:t>
      </w:r>
    </w:p>
    <w:p w14:paraId="3EAECA99">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2EA2BF52">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年度定点</w:t>
      </w:r>
    </w:p>
    <w:p w14:paraId="70C8D0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69340</w:t>
      </w:r>
      <w:r>
        <w:rPr>
          <w:rFonts w:hint="eastAsia" w:ascii="仿宋" w:hAnsi="仿宋" w:eastAsia="仿宋" w:cs="仿宋"/>
          <w:color w:val="auto"/>
          <w:sz w:val="24"/>
          <w:szCs w:val="24"/>
          <w:highlight w:val="none"/>
          <w:lang w:val="en-US" w:eastAsia="zh-CN"/>
        </w:rPr>
        <w:t>（单价合计）</w:t>
      </w:r>
    </w:p>
    <w:p w14:paraId="60546DF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采购需求：</w:t>
      </w:r>
    </w:p>
    <w:p w14:paraId="58483B72">
      <w:pPr>
        <w:pageBreakBefore w:val="0"/>
        <w:widowControl w:val="0"/>
        <w:kinsoku/>
        <w:wordWrap/>
        <w:overflowPunct/>
        <w:topLinePunct w:val="0"/>
        <w:autoSpaceDE/>
        <w:autoSpaceDN/>
        <w:bidi w:val="0"/>
        <w:spacing w:line="360" w:lineRule="auto"/>
        <w:textAlignment w:val="auto"/>
        <w:rPr>
          <w:rFonts w:ascii="仿宋" w:hAnsi="仿宋" w:eastAsia="仿宋" w:cs="仿宋"/>
          <w:bCs/>
          <w:color w:val="auto"/>
          <w:sz w:val="24"/>
        </w:rPr>
      </w:pPr>
    </w:p>
    <w:p w14:paraId="6E9BCFFE">
      <w:pPr>
        <w:pageBreakBefore w:val="0"/>
        <w:widowControl w:val="0"/>
        <w:kinsoku/>
        <w:wordWrap/>
        <w:overflowPunct/>
        <w:topLinePunct w:val="0"/>
        <w:autoSpaceDE/>
        <w:autoSpaceDN/>
        <w:bidi w:val="0"/>
        <w:spacing w:line="360" w:lineRule="auto"/>
        <w:ind w:left="479" w:leftChars="228" w:firstLine="0" w:firstLineChars="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Cs/>
          <w:color w:val="auto"/>
          <w:sz w:val="24"/>
          <w:lang w:eastAsia="zh-CN"/>
        </w:rPr>
        <w:t>嵊州市广电信息网络有限公司电源电缆采购项目</w:t>
      </w:r>
    </w:p>
    <w:p w14:paraId="0A1D4D54">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1项</w:t>
      </w:r>
    </w:p>
    <w:p w14:paraId="7D86C550">
      <w:pPr>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r>
        <w:rPr>
          <w:rFonts w:hint="eastAsia" w:ascii="仿宋" w:hAnsi="仿宋" w:eastAsia="仿宋" w:cs="仿宋"/>
          <w:b w:val="0"/>
          <w:bCs/>
          <w:color w:val="auto"/>
          <w:sz w:val="24"/>
          <w:lang w:val="en-US" w:eastAsia="zh-CN"/>
        </w:rPr>
        <w:t>年度定点</w:t>
      </w:r>
    </w:p>
    <w:p w14:paraId="75A2892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507262AD">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7EF2F451">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rPr>
      </w:pPr>
    </w:p>
    <w:p w14:paraId="71EC3D2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Cs/>
          <w:color w:val="auto"/>
          <w:sz w:val="24"/>
          <w:szCs w:val="24"/>
        </w:rPr>
        <w:t>详见磋商文件</w:t>
      </w:r>
      <w:r>
        <w:rPr>
          <w:rFonts w:hint="eastAsia" w:ascii="仿宋" w:hAnsi="仿宋" w:eastAsia="仿宋" w:cs="仿宋"/>
          <w:bCs/>
          <w:color w:val="auto"/>
          <w:sz w:val="24"/>
          <w:szCs w:val="24"/>
          <w:lang w:eastAsia="zh-CN"/>
        </w:rPr>
        <w:t>。</w:t>
      </w:r>
    </w:p>
    <w:p w14:paraId="2761E29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是，</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否。</w:t>
      </w:r>
    </w:p>
    <w:p w14:paraId="0269ECBD">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3" w:name="_Toc28359013"/>
      <w:bookmarkStart w:id="14" w:name="_Toc28359090"/>
      <w:bookmarkStart w:id="15" w:name="_Toc35393799"/>
      <w:bookmarkStart w:id="16" w:name="_Toc35393630"/>
      <w:r>
        <w:rPr>
          <w:rFonts w:hint="eastAsia" w:ascii="仿宋" w:hAnsi="仿宋" w:eastAsia="仿宋" w:cs="仿宋"/>
          <w:b/>
          <w:bCs/>
          <w:color w:val="auto"/>
          <w:sz w:val="24"/>
        </w:rPr>
        <w:t>二、申请人的资格要求：</w:t>
      </w:r>
      <w:bookmarkEnd w:id="13"/>
      <w:bookmarkEnd w:id="14"/>
      <w:bookmarkEnd w:id="15"/>
      <w:bookmarkEnd w:id="16"/>
    </w:p>
    <w:p w14:paraId="7AB57DC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具备《嵊州市市属国有企业货物和服务采购管理办法（试行）》第十七条规定的条件：</w:t>
      </w:r>
    </w:p>
    <w:p w14:paraId="197192FF">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1.具有独立承担民事责任的能力；</w:t>
      </w:r>
    </w:p>
    <w:p w14:paraId="339E25AE">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w:t>
      </w:r>
    </w:p>
    <w:p w14:paraId="636C683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3.具有履行合同所必需的设备和专业技术，售后保障等能力；</w:t>
      </w:r>
    </w:p>
    <w:p w14:paraId="7C2B1D86">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4.有依法缴纳税收和社会保障资金的良好记录；</w:t>
      </w:r>
    </w:p>
    <w:p w14:paraId="0FDB89F0">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5.参加采购活动前三年内，没有重大违法记录，严重失信行为和行贿记录；</w:t>
      </w:r>
    </w:p>
    <w:p w14:paraId="6CF5B4E2">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A8B0381">
      <w:pPr>
        <w:pageBreakBefore w:val="0"/>
        <w:widowControl w:val="0"/>
        <w:kinsoku/>
        <w:wordWrap/>
        <w:overflowPunct/>
        <w:topLinePunct w:val="0"/>
        <w:autoSpaceDE/>
        <w:autoSpaceDN/>
        <w:bidi w:val="0"/>
        <w:spacing w:line="360" w:lineRule="auto"/>
        <w:ind w:firstLine="480"/>
        <w:textAlignment w:val="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0824DFF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lang w:eastAsia="zh-CN"/>
        </w:rPr>
        <w:t>。</w:t>
      </w:r>
    </w:p>
    <w:p w14:paraId="73C677AE">
      <w:pPr>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70C770">
      <w:pPr>
        <w:pageBreakBefore w:val="0"/>
        <w:widowControl w:val="0"/>
        <w:kinsoku/>
        <w:wordWrap/>
        <w:overflowPunct/>
        <w:topLinePunct w:val="0"/>
        <w:autoSpaceDE/>
        <w:autoSpaceDN/>
        <w:bidi w:val="0"/>
        <w:spacing w:line="360" w:lineRule="auto"/>
        <w:textAlignment w:val="auto"/>
        <w:rPr>
          <w:rFonts w:ascii="仿宋" w:hAnsi="仿宋" w:eastAsia="仿宋" w:cs="仿宋"/>
          <w:b/>
          <w:bCs/>
          <w:color w:val="auto"/>
          <w:sz w:val="24"/>
        </w:rPr>
      </w:pPr>
      <w:bookmarkStart w:id="17" w:name="_Toc28359014"/>
      <w:bookmarkStart w:id="18" w:name="_Toc35393800"/>
      <w:bookmarkStart w:id="19" w:name="_Toc28359091"/>
      <w:bookmarkStart w:id="20" w:name="_Toc35393631"/>
      <w:r>
        <w:rPr>
          <w:rFonts w:hint="eastAsia" w:ascii="仿宋" w:hAnsi="仿宋" w:eastAsia="仿宋" w:cs="仿宋"/>
          <w:b/>
          <w:bCs/>
          <w:color w:val="auto"/>
          <w:sz w:val="24"/>
        </w:rPr>
        <w:t>三、获取（下载）采购文件</w:t>
      </w:r>
      <w:bookmarkEnd w:id="17"/>
      <w:bookmarkEnd w:id="18"/>
      <w:bookmarkEnd w:id="19"/>
      <w:bookmarkEnd w:id="20"/>
    </w:p>
    <w:p w14:paraId="177074D5">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val="en-US" w:eastAsia="zh-CN"/>
        </w:rPr>
        <w:t>2024年11月27日</w:t>
      </w:r>
      <w:r>
        <w:rPr>
          <w:rFonts w:hint="eastAsia" w:ascii="仿宋" w:hAnsi="仿宋" w:eastAsia="仿宋" w:cs="仿宋"/>
          <w:color w:val="auto"/>
          <w:sz w:val="24"/>
        </w:rPr>
        <w:t>，每天上午</w:t>
      </w:r>
      <w:r>
        <w:rPr>
          <w:rFonts w:ascii="仿宋" w:hAnsi="仿宋" w:eastAsia="仿宋" w:cs="仿宋"/>
          <w:color w:val="auto"/>
          <w:sz w:val="24"/>
        </w:rPr>
        <w:t>00:00至12:00</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40879916">
      <w:pPr>
        <w:pageBreakBefore w:val="0"/>
        <w:widowControl w:val="0"/>
        <w:kinsoku/>
        <w:wordWrap/>
        <w:overflowPunct/>
        <w:topLinePunct w:val="0"/>
        <w:autoSpaceDE/>
        <w:autoSpaceDN/>
        <w:bidi w:val="0"/>
        <w:spacing w:line="360" w:lineRule="auto"/>
        <w:ind w:firstLine="540"/>
        <w:textAlignment w:val="auto"/>
        <w:rPr>
          <w:rFonts w:hint="eastAsia" w:ascii="仿宋" w:hAnsi="仿宋" w:eastAsia="仿宋" w:cs="仿宋"/>
          <w:color w:val="auto"/>
          <w:sz w:val="28"/>
          <w:szCs w:val="28"/>
          <w:u w:val="single"/>
          <w:lang w:eastAsia="zh-CN"/>
        </w:rPr>
      </w:pPr>
      <w:r>
        <w:rPr>
          <w:rFonts w:hint="eastAsia" w:ascii="仿宋" w:hAnsi="仿宋" w:eastAsia="仿宋" w:cs="仿宋"/>
          <w:b/>
          <w:color w:val="auto"/>
          <w:sz w:val="24"/>
        </w:rPr>
        <w:t>地点（网址）：</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sz w:val="24"/>
        </w:rPr>
        <w:t>https://www.lecaiyun.com/</w:t>
      </w:r>
      <w:r>
        <w:rPr>
          <w:rStyle w:val="69"/>
          <w:rFonts w:ascii="仿宋" w:hAnsi="仿宋" w:eastAsia="仿宋" w:cs="仿宋"/>
          <w:b w:val="0"/>
          <w:bCs/>
          <w:color w:val="auto"/>
          <w:sz w:val="24"/>
        </w:rPr>
        <w:fldChar w:fldCharType="end"/>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14:paraId="7894D0C0">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供应商登录乐采云平台</w:t>
      </w:r>
      <w:r>
        <w:rPr>
          <w:rFonts w:ascii="仿宋" w:hAnsi="仿宋" w:eastAsia="仿宋" w:cs="仿宋"/>
          <w:color w:val="auto"/>
          <w:sz w:val="24"/>
        </w:rPr>
        <w:t>https://www.lecaiyun.com/在线申请获取采购文件（进入“项目采购”应用，在获取采购文件菜单中选择项目，申请获取采购文件）。</w:t>
      </w:r>
    </w:p>
    <w:p w14:paraId="00423F31">
      <w:pPr>
        <w:pageBreakBefore w:val="0"/>
        <w:widowControl w:val="0"/>
        <w:kinsoku/>
        <w:wordWrap/>
        <w:overflowPunct/>
        <w:topLinePunct w:val="0"/>
        <w:autoSpaceDE/>
        <w:autoSpaceDN/>
        <w:bidi w:val="0"/>
        <w:spacing w:line="360" w:lineRule="auto"/>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1AC4F5C">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1" w:name="_Toc28359015"/>
      <w:bookmarkStart w:id="22" w:name="_Toc35393801"/>
      <w:bookmarkStart w:id="23" w:name="_Toc28359092"/>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7B3C1C91">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val="en-US" w:eastAsia="zh-CN"/>
        </w:rPr>
        <w:t>2024年11月27日14点30分00秒</w:t>
      </w:r>
      <w:r>
        <w:rPr>
          <w:rFonts w:hint="eastAsia" w:ascii="仿宋" w:hAnsi="仿宋" w:eastAsia="仿宋" w:cs="仿宋"/>
          <w:bCs/>
          <w:color w:val="auto"/>
          <w:sz w:val="24"/>
        </w:rPr>
        <w:t>（北京时间）</w:t>
      </w:r>
    </w:p>
    <w:p w14:paraId="18F36E64">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kern w:val="2"/>
          <w:sz w:val="24"/>
          <w:szCs w:val="24"/>
        </w:rPr>
        <w:t>https://www.lecaiyun.com/</w:t>
      </w:r>
      <w:r>
        <w:rPr>
          <w:rStyle w:val="69"/>
          <w:rFonts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33B68C43">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5" w:name="_Toc35393633"/>
      <w:bookmarkStart w:id="26" w:name="_Toc35393802"/>
      <w:bookmarkStart w:id="27" w:name="_Toc28359093"/>
      <w:bookmarkStart w:id="28" w:name="_Toc28359016"/>
      <w:r>
        <w:rPr>
          <w:rFonts w:hint="eastAsia" w:ascii="仿宋" w:eastAsia="仿宋" w:cs="仿宋"/>
          <w:color w:val="auto"/>
          <w:sz w:val="24"/>
          <w:szCs w:val="24"/>
        </w:rPr>
        <w:t>五、响应文件开启</w:t>
      </w:r>
      <w:bookmarkEnd w:id="25"/>
      <w:bookmarkEnd w:id="26"/>
      <w:bookmarkEnd w:id="27"/>
      <w:bookmarkEnd w:id="28"/>
    </w:p>
    <w:p w14:paraId="60ABB08A">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val="en-US" w:eastAsia="zh-CN"/>
        </w:rPr>
        <w:t>2024年11月27日14点30分00秒</w:t>
      </w:r>
      <w:r>
        <w:rPr>
          <w:rFonts w:hint="eastAsia" w:ascii="仿宋" w:hAnsi="仿宋" w:eastAsia="仿宋" w:cs="仿宋"/>
          <w:bCs/>
          <w:color w:val="auto"/>
          <w:sz w:val="24"/>
        </w:rPr>
        <w:t>（北京时间）</w:t>
      </w:r>
    </w:p>
    <w:p w14:paraId="0A3582D2">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地点（网址）：乐采云平台（</w:t>
      </w:r>
      <w:r>
        <w:rPr>
          <w:rFonts w:ascii="仿宋" w:hAnsi="仿宋" w:eastAsia="仿宋" w:cs="仿宋"/>
          <w:color w:val="auto"/>
          <w:sz w:val="24"/>
        </w:rPr>
        <w:t>https://www.lecaiyun.com/）。</w:t>
      </w:r>
    </w:p>
    <w:p w14:paraId="679407BE">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29" w:name="_Toc28359094"/>
      <w:bookmarkStart w:id="30" w:name="_Toc28359017"/>
      <w:bookmarkStart w:id="31" w:name="_Toc35393634"/>
      <w:bookmarkStart w:id="32" w:name="_Toc35393803"/>
      <w:r>
        <w:rPr>
          <w:rFonts w:hint="eastAsia" w:ascii="仿宋" w:eastAsia="仿宋" w:cs="仿宋"/>
          <w:color w:val="auto"/>
          <w:sz w:val="24"/>
          <w:szCs w:val="24"/>
        </w:rPr>
        <w:t>六、公告期限</w:t>
      </w:r>
      <w:bookmarkEnd w:id="29"/>
      <w:bookmarkEnd w:id="30"/>
      <w:bookmarkEnd w:id="31"/>
      <w:bookmarkEnd w:id="32"/>
    </w:p>
    <w:p w14:paraId="6EB081F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自本公告发布之日起</w:t>
      </w:r>
      <w:r>
        <w:rPr>
          <w:rFonts w:ascii="仿宋" w:hAnsi="仿宋" w:eastAsia="仿宋" w:cs="仿宋"/>
          <w:color w:val="auto"/>
          <w:kern w:val="0"/>
          <w:sz w:val="24"/>
        </w:rPr>
        <w:t>3个工作日。</w:t>
      </w:r>
    </w:p>
    <w:p w14:paraId="166A2F1D">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rPr>
        <w:t>七、其他补充事宜</w:t>
      </w:r>
      <w:bookmarkEnd w:id="33"/>
      <w:bookmarkEnd w:id="34"/>
    </w:p>
    <w:p w14:paraId="5D46C5B5">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1.本项目通过“乐采云平台（www.lecaiyun.com）”实行在线响应（电子投标），供应商应先安装“乐采云电子交易客户端”，并按照本磋商文件和“乐采云”的要求，通过“乐采云电子交易客户端”编制并加密响应文件。供应商未按规定加密的响应文件，“乐采云”将予以拒收。</w:t>
      </w:r>
    </w:p>
    <w:p w14:paraId="68A4F659">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1ED6DDBA">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磋商文件后立即办理。</w:t>
      </w:r>
    </w:p>
    <w:p w14:paraId="7FB0F328">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4.磋商响应方应当在投标截止时间前，将生成的“电子加密响应文件”上传至“乐采云平台”。投标截止时间以后上传递交的响应文件将被“乐采云平台”拒收。</w:t>
      </w:r>
    </w:p>
    <w:p w14:paraId="51FFBE63">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5.磋商响应方在“乐采云平台”完成“电子加密响应文件”的上传递交后，还可以（邮寄形式）在投标截止时间前递交以介质（U盘）存储的数据电文形式的“备份响应文件”，“备份响应文件”应当密封包装并在包装上标注投标项目名称、磋商响应方名称并加盖公章。</w:t>
      </w:r>
    </w:p>
    <w:p w14:paraId="75020BBC">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6.通过“乐采云平台”上传递交的“电子加密响应文件”无法按时解密，磋商响应方递交了备份响应文件的，以备份响应文件为依据，否则视为响应文件撤回。通过“乐采云平台”上传递交的“电子加密响应文件”已按时解密的，“备份响应文件”自动失效。磋商响应方仅递交备份响应文件的，投标无效。</w:t>
      </w:r>
    </w:p>
    <w:p w14:paraId="75527005">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kern w:val="1"/>
          <w:sz w:val="24"/>
        </w:rPr>
        <w:t>7.投标人依法获取采购文件后认为采购文件使自己的权益受到损害的，可以自收到采购文件之日（采购文件获取之日在采购文件公告期限届满之日后的以公告期限届满之日为准，即公告发布后的第</w:t>
      </w:r>
      <w:r>
        <w:rPr>
          <w:rFonts w:hint="eastAsia" w:ascii="仿宋" w:hAnsi="仿宋" w:eastAsia="仿宋" w:cs="仿宋"/>
          <w:color w:val="auto"/>
          <w:kern w:val="1"/>
          <w:sz w:val="24"/>
          <w:lang w:val="en-US" w:eastAsia="zh-CN"/>
        </w:rPr>
        <w:t>4</w:t>
      </w:r>
      <w:r>
        <w:rPr>
          <w:rFonts w:hint="eastAsia" w:ascii="仿宋" w:hAnsi="仿宋" w:eastAsia="仿宋" w:cs="仿宋"/>
          <w:color w:val="auto"/>
          <w:kern w:val="1"/>
          <w:sz w:val="24"/>
        </w:rPr>
        <w:t>个工作日）起7个工作日内，以书面形式一次性向采购人和采购代理机构提出针对同一采购程序环节的质疑。质疑投标人对采购人、采购代理机构的答复不满意或者采购人、采购代理机构未在规定的时间内作出答复的，可以在答复期满后十五个工作日内向同级</w:t>
      </w:r>
      <w:r>
        <w:rPr>
          <w:rFonts w:hint="eastAsia" w:ascii="仿宋" w:hAnsi="仿宋" w:eastAsia="仿宋" w:cs="仿宋"/>
          <w:color w:val="auto"/>
          <w:kern w:val="1"/>
          <w:sz w:val="24"/>
          <w:lang w:eastAsia="zh-CN"/>
        </w:rPr>
        <w:t>采购监督管理机构</w:t>
      </w:r>
      <w:r>
        <w:rPr>
          <w:rFonts w:hint="eastAsia" w:ascii="仿宋" w:hAnsi="仿宋" w:eastAsia="仿宋" w:cs="仿宋"/>
          <w:color w:val="auto"/>
          <w:kern w:val="1"/>
          <w:sz w:val="24"/>
        </w:rPr>
        <w:t>投诉。质疑函范本、投诉书范本请到浙江政府采购网下载专区下载</w:t>
      </w:r>
      <w:r>
        <w:rPr>
          <w:rFonts w:hint="eastAsia" w:ascii="仿宋" w:hAnsi="仿宋" w:eastAsia="仿宋" w:cs="仿宋"/>
          <w:color w:val="auto"/>
          <w:sz w:val="24"/>
        </w:rPr>
        <w:t>。</w:t>
      </w:r>
    </w:p>
    <w:p w14:paraId="44396EE0">
      <w:pPr>
        <w:pStyle w:val="3"/>
        <w:pageBreakBefore w:val="0"/>
        <w:widowControl w:val="0"/>
        <w:numPr>
          <w:ilvl w:val="0"/>
          <w:numId w:val="0"/>
        </w:numPr>
        <w:kinsoku/>
        <w:wordWrap/>
        <w:overflowPunct/>
        <w:topLinePunct w:val="0"/>
        <w:autoSpaceDE/>
        <w:autoSpaceDN/>
        <w:bidi w:val="0"/>
        <w:spacing w:line="360" w:lineRule="auto"/>
        <w:textAlignment w:val="auto"/>
        <w:rPr>
          <w:rFonts w:ascii="仿宋" w:eastAsia="仿宋" w:cs="仿宋"/>
          <w:color w:val="auto"/>
          <w:sz w:val="24"/>
          <w:szCs w:val="24"/>
        </w:rPr>
      </w:pPr>
      <w:bookmarkStart w:id="35" w:name="_Toc28359018"/>
      <w:bookmarkStart w:id="36" w:name="_Toc35393805"/>
      <w:bookmarkStart w:id="37" w:name="_Toc28359095"/>
      <w:bookmarkStart w:id="38" w:name="_Toc35393636"/>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49BD0401">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szCs w:val="24"/>
        </w:rPr>
      </w:pPr>
      <w:bookmarkStart w:id="39" w:name="_Toc35393806"/>
      <w:bookmarkStart w:id="40" w:name="_Toc28359019"/>
      <w:bookmarkStart w:id="41" w:name="_Toc35393637"/>
      <w:bookmarkStart w:id="42" w:name="_Toc28359096"/>
      <w:r>
        <w:rPr>
          <w:rFonts w:hint="eastAsia" w:ascii="仿宋" w:eastAsia="仿宋" w:cs="仿宋"/>
          <w:color w:val="auto"/>
          <w:sz w:val="24"/>
          <w:szCs w:val="24"/>
        </w:rPr>
        <w:t>1.采购人信息</w:t>
      </w:r>
      <w:bookmarkEnd w:id="39"/>
      <w:bookmarkEnd w:id="40"/>
      <w:bookmarkEnd w:id="41"/>
      <w:bookmarkEnd w:id="42"/>
    </w:p>
    <w:p w14:paraId="1148921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嵊州市广电信息网络有限公司</w:t>
      </w:r>
    </w:p>
    <w:p w14:paraId="21B2791A">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w:t>
      </w:r>
      <w:r>
        <w:rPr>
          <w:rFonts w:ascii="仿宋" w:hAnsi="仿宋" w:eastAsia="仿宋" w:cs="仿宋"/>
          <w:color w:val="auto"/>
          <w:sz w:val="24"/>
        </w:rPr>
        <w:t xml:space="preserve">    址：</w:t>
      </w:r>
      <w:r>
        <w:rPr>
          <w:rFonts w:hint="eastAsia" w:ascii="仿宋" w:hAnsi="仿宋" w:eastAsia="仿宋" w:cs="仿宋"/>
          <w:color w:val="auto"/>
          <w:sz w:val="24"/>
          <w:lang w:eastAsia="zh-CN"/>
        </w:rPr>
        <w:t>嵊州市三江街道杨港路801号嵊州市融媒体中心</w:t>
      </w:r>
    </w:p>
    <w:p w14:paraId="30C2DA0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sz w:val="24"/>
          <w:lang w:eastAsia="zh-CN"/>
        </w:rPr>
        <w:t>俞先生</w:t>
      </w:r>
    </w:p>
    <w:p w14:paraId="4126F6D0">
      <w:pPr>
        <w:pageBreakBefore w:val="0"/>
        <w:widowControl w:val="0"/>
        <w:kinsoku/>
        <w:wordWrap/>
        <w:overflowPunct/>
        <w:topLinePunct w:val="0"/>
        <w:autoSpaceDE/>
        <w:autoSpaceDN/>
        <w:bidi w:val="0"/>
        <w:spacing w:line="360" w:lineRule="auto"/>
        <w:textAlignment w:val="auto"/>
        <w:rPr>
          <w:rFonts w:hint="default" w:ascii="仿宋" w:hAnsi="仿宋" w:eastAsia="仿宋" w:cs="仿宋"/>
          <w:color w:val="auto"/>
          <w:sz w:val="24"/>
          <w:lang w:val="en-US" w:eastAsia="zh-CN"/>
        </w:rPr>
      </w:pPr>
      <w:r>
        <w:rPr>
          <w:rFonts w:ascii="仿宋" w:hAnsi="仿宋" w:eastAsia="仿宋" w:cs="仿宋"/>
          <w:color w:val="auto"/>
          <w:sz w:val="24"/>
        </w:rPr>
        <w:t xml:space="preserve">    项目联系方式（询问）：</w:t>
      </w:r>
      <w:r>
        <w:rPr>
          <w:rFonts w:hint="eastAsia" w:ascii="仿宋" w:hAnsi="仿宋" w:eastAsia="仿宋" w:cs="仿宋"/>
          <w:color w:val="auto"/>
          <w:kern w:val="1"/>
          <w:sz w:val="24"/>
          <w:szCs w:val="24"/>
          <w:lang w:eastAsia="zh-CN"/>
        </w:rPr>
        <w:t>0575-83228318</w:t>
      </w:r>
      <w:r>
        <w:rPr>
          <w:rFonts w:hint="eastAsia" w:ascii="仿宋" w:hAnsi="仿宋" w:eastAsia="仿宋" w:cs="仿宋"/>
          <w:color w:val="auto"/>
          <w:kern w:val="1"/>
          <w:sz w:val="24"/>
          <w:szCs w:val="24"/>
          <w:lang w:val="en-US" w:eastAsia="zh-CN"/>
        </w:rPr>
        <w:t>、0575-83050205</w:t>
      </w:r>
    </w:p>
    <w:p w14:paraId="354243E6">
      <w:pPr>
        <w:pStyle w:val="3"/>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ascii="仿宋" w:eastAsia="仿宋" w:cs="仿宋"/>
          <w:color w:val="auto"/>
          <w:sz w:val="24"/>
        </w:rPr>
      </w:pPr>
      <w:bookmarkStart w:id="43" w:name="_Toc35393807"/>
      <w:bookmarkStart w:id="44" w:name="_Toc28359020"/>
      <w:bookmarkStart w:id="45" w:name="_Toc35393638"/>
      <w:bookmarkStart w:id="46" w:name="_Toc28359097"/>
      <w:r>
        <w:rPr>
          <w:rFonts w:hint="eastAsia" w:ascii="仿宋" w:eastAsia="仿宋" w:cs="仿宋"/>
          <w:color w:val="auto"/>
          <w:sz w:val="24"/>
          <w:szCs w:val="24"/>
        </w:rPr>
        <w:t>2.采购代理机构信息</w:t>
      </w:r>
      <w:bookmarkEnd w:id="43"/>
      <w:bookmarkEnd w:id="44"/>
      <w:bookmarkEnd w:id="45"/>
      <w:bookmarkEnd w:id="46"/>
    </w:p>
    <w:p w14:paraId="10F5E8EC">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绍兴平准招标代理有限公司</w:t>
      </w:r>
    </w:p>
    <w:p w14:paraId="61D5678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地    址：</w:t>
      </w:r>
      <w:r>
        <w:rPr>
          <w:rFonts w:hint="eastAsia" w:ascii="仿宋" w:hAnsi="仿宋" w:eastAsia="仿宋" w:cs="仿宋"/>
          <w:color w:val="auto"/>
          <w:kern w:val="1"/>
          <w:sz w:val="24"/>
          <w:szCs w:val="24"/>
          <w:lang w:eastAsia="zh-CN"/>
        </w:rPr>
        <w:t>嵊州市三江街道官河南路333号商会大厦十四层1407室</w:t>
      </w:r>
      <w:r>
        <w:rPr>
          <w:rFonts w:ascii="仿宋" w:hAnsi="仿宋" w:eastAsia="仿宋" w:cs="仿宋"/>
          <w:color w:val="auto"/>
          <w:sz w:val="24"/>
        </w:rPr>
        <w:t xml:space="preserve"> </w:t>
      </w:r>
    </w:p>
    <w:p w14:paraId="6A203082">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kern w:val="1"/>
          <w:sz w:val="24"/>
          <w:szCs w:val="24"/>
          <w:lang w:eastAsia="zh-CN"/>
        </w:rPr>
        <w:t>陈女士</w:t>
      </w:r>
    </w:p>
    <w:p w14:paraId="7EDEFF80">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项目联系方式（询问）：</w:t>
      </w:r>
      <w:r>
        <w:rPr>
          <w:rFonts w:hint="eastAsia" w:ascii="仿宋" w:hAnsi="仿宋" w:eastAsia="仿宋" w:cs="仿宋"/>
          <w:color w:val="auto"/>
          <w:kern w:val="1"/>
          <w:sz w:val="24"/>
          <w:szCs w:val="24"/>
          <w:lang w:eastAsia="zh-CN"/>
        </w:rPr>
        <w:t>0575-83176688</w:t>
      </w:r>
      <w:r>
        <w:rPr>
          <w:rFonts w:ascii="仿宋" w:hAnsi="仿宋" w:eastAsia="仿宋" w:cs="仿宋"/>
          <w:color w:val="auto"/>
          <w:sz w:val="24"/>
        </w:rPr>
        <w:t xml:space="preserve"> </w:t>
      </w:r>
    </w:p>
    <w:p w14:paraId="4B94C539">
      <w:pPr>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ascii="仿宋" w:hAnsi="仿宋" w:eastAsia="仿宋" w:cs="仿宋"/>
          <w:color w:val="auto"/>
          <w:sz w:val="24"/>
        </w:rPr>
        <w:t xml:space="preserve">    质疑联系人：</w:t>
      </w:r>
      <w:r>
        <w:rPr>
          <w:rFonts w:hint="eastAsia" w:ascii="仿宋" w:hAnsi="仿宋" w:eastAsia="仿宋" w:cs="仿宋"/>
          <w:color w:val="auto"/>
          <w:sz w:val="24"/>
          <w:lang w:eastAsia="zh-CN"/>
        </w:rPr>
        <w:t>竺女士</w:t>
      </w:r>
      <w:r>
        <w:rPr>
          <w:rFonts w:ascii="仿宋" w:hAnsi="仿宋" w:eastAsia="仿宋" w:cs="仿宋"/>
          <w:color w:val="auto"/>
          <w:sz w:val="24"/>
        </w:rPr>
        <w:t xml:space="preserve">             </w:t>
      </w:r>
    </w:p>
    <w:p w14:paraId="68A6C945">
      <w:pPr>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质疑联系方式：</w:t>
      </w:r>
      <w:bookmarkStart w:id="47" w:name="_Toc28359021"/>
      <w:bookmarkStart w:id="48" w:name="_Toc35393808"/>
      <w:bookmarkStart w:id="49" w:name="_Toc28359098"/>
      <w:bookmarkStart w:id="50" w:name="_Toc35393639"/>
      <w:r>
        <w:rPr>
          <w:rFonts w:hint="eastAsia" w:ascii="仿宋" w:hAnsi="仿宋" w:eastAsia="仿宋" w:cs="仿宋"/>
          <w:color w:val="auto"/>
          <w:kern w:val="1"/>
          <w:sz w:val="24"/>
          <w:szCs w:val="24"/>
          <w:lang w:eastAsia="zh-CN"/>
        </w:rPr>
        <w:t>0575-83176688</w:t>
      </w:r>
    </w:p>
    <w:bookmarkEnd w:id="47"/>
    <w:bookmarkEnd w:id="48"/>
    <w:bookmarkEnd w:id="49"/>
    <w:bookmarkEnd w:id="50"/>
    <w:p w14:paraId="061BD7E4">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3.采购监督管理</w:t>
      </w:r>
      <w:r>
        <w:rPr>
          <w:rFonts w:hint="eastAsia" w:ascii="仿宋" w:hAnsi="仿宋" w:eastAsia="仿宋" w:cs="仿宋"/>
          <w:b/>
          <w:bCs/>
          <w:color w:val="auto"/>
          <w:sz w:val="24"/>
          <w:lang w:val="en-US" w:eastAsia="zh-CN"/>
        </w:rPr>
        <w:t>机构</w:t>
      </w:r>
      <w:r>
        <w:rPr>
          <w:rFonts w:hint="eastAsia" w:ascii="仿宋" w:hAnsi="仿宋" w:eastAsia="仿宋" w:cs="仿宋"/>
          <w:color w:val="auto"/>
          <w:sz w:val="24"/>
        </w:rPr>
        <w:t xml:space="preserve">         </w:t>
      </w:r>
    </w:p>
    <w:p w14:paraId="22EB38BB">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称：嵊州市融媒体中心</w:t>
      </w:r>
    </w:p>
    <w:p w14:paraId="042FDC62">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址：嵊州市三江街道杨港路801号</w:t>
      </w:r>
    </w:p>
    <w:p w14:paraId="3E3A29C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联 系 人：裘先生 </w:t>
      </w:r>
    </w:p>
    <w:p w14:paraId="0B9E2E68">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监督投诉电话：0575-83332218</w:t>
      </w:r>
    </w:p>
    <w:p w14:paraId="36098774">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p>
    <w:p w14:paraId="795D2990">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若对项目采购电子交易系统操作有疑问，可登录乐采云（</w:t>
      </w:r>
      <w:r>
        <w:rPr>
          <w:rFonts w:ascii="仿宋" w:hAnsi="仿宋" w:eastAsia="仿宋" w:cs="仿宋"/>
          <w:color w:val="auto"/>
          <w:sz w:val="24"/>
        </w:rPr>
        <w:t>https://www.lecaiyun.com/），点击右侧咨询小采，获取采小蜜智能服务管家帮助，或拨打</w:t>
      </w:r>
      <w:r>
        <w:rPr>
          <w:rFonts w:hint="eastAsia" w:ascii="仿宋" w:hAnsi="仿宋" w:eastAsia="仿宋" w:cs="仿宋"/>
          <w:color w:val="auto"/>
          <w:sz w:val="24"/>
        </w:rPr>
        <w:t>乐采云服务热线</w:t>
      </w:r>
      <w:r>
        <w:rPr>
          <w:rFonts w:ascii="仿宋" w:hAnsi="仿宋" w:eastAsia="仿宋" w:cs="仿宋"/>
          <w:color w:val="auto"/>
          <w:sz w:val="24"/>
        </w:rPr>
        <w:t xml:space="preserve">95763获取热线服务帮助。  </w:t>
      </w:r>
      <w:r>
        <w:rPr>
          <w:rFonts w:hint="eastAsia" w:ascii="仿宋" w:hAnsi="仿宋" w:eastAsia="仿宋" w:cs="仿宋"/>
          <w:color w:val="auto"/>
          <w:sz w:val="24"/>
        </w:rPr>
        <w:t>    </w:t>
      </w:r>
    </w:p>
    <w:p w14:paraId="41D7477B">
      <w:pPr>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3AC004B7">
      <w:pPr>
        <w:pStyle w:val="33"/>
        <w:spacing w:line="336" w:lineRule="auto"/>
        <w:ind w:firstLine="480" w:firstLineChars="200"/>
        <w:jc w:val="right"/>
        <w:rPr>
          <w:rFonts w:ascii="仿宋" w:hAnsi="仿宋" w:eastAsia="仿宋" w:cs="仿宋"/>
          <w:color w:val="auto"/>
          <w:sz w:val="24"/>
          <w:szCs w:val="24"/>
        </w:rPr>
      </w:pPr>
    </w:p>
    <w:p w14:paraId="7CCAF888">
      <w:pPr>
        <w:pStyle w:val="33"/>
        <w:spacing w:line="336" w:lineRule="auto"/>
        <w:ind w:firstLine="480" w:firstLineChars="200"/>
        <w:rPr>
          <w:rFonts w:ascii="仿宋" w:hAnsi="仿宋" w:eastAsia="仿宋" w:cs="仿宋"/>
          <w:color w:val="auto"/>
          <w:sz w:val="24"/>
          <w:szCs w:val="24"/>
        </w:rPr>
      </w:pPr>
    </w:p>
    <w:p w14:paraId="3D2C3690">
      <w:pPr>
        <w:adjustRightInd/>
        <w:spacing w:line="336" w:lineRule="auto"/>
        <w:jc w:val="center"/>
        <w:outlineLvl w:val="0"/>
        <w:rPr>
          <w:rFonts w:ascii="仿宋" w:hAnsi="仿宋" w:eastAsia="仿宋" w:cs="仿宋"/>
          <w:b/>
          <w:color w:val="auto"/>
          <w:sz w:val="36"/>
          <w:szCs w:val="20"/>
        </w:rPr>
      </w:pPr>
      <w:r>
        <w:rPr>
          <w:rFonts w:ascii="仿宋" w:hAnsi="仿宋" w:eastAsia="仿宋" w:cs="仿宋"/>
          <w:b/>
          <w:color w:val="auto"/>
          <w:sz w:val="36"/>
          <w:szCs w:val="20"/>
        </w:rPr>
        <w:br w:type="page"/>
      </w:r>
    </w:p>
    <w:p w14:paraId="6581421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lang w:val="en-US" w:eastAsia="zh-CN"/>
        </w:rPr>
        <w:t xml:space="preserve"> </w:t>
      </w:r>
      <w:r>
        <w:rPr>
          <w:rFonts w:ascii="仿宋" w:hAnsi="仿宋" w:eastAsia="仿宋" w:cs="仿宋"/>
          <w:b/>
          <w:color w:val="auto"/>
          <w:sz w:val="36"/>
          <w:szCs w:val="20"/>
        </w:rPr>
        <w:t>供应商须知</w:t>
      </w:r>
      <w:bookmarkEnd w:id="7"/>
    </w:p>
    <w:p w14:paraId="4FC0ABD3">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218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5BC967C7">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2ACD5F06">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内　　　　容</w:t>
            </w:r>
          </w:p>
        </w:tc>
      </w:tr>
      <w:tr w14:paraId="307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50F911B">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1</w:t>
            </w:r>
          </w:p>
        </w:tc>
        <w:tc>
          <w:tcPr>
            <w:tcW w:w="8371" w:type="dxa"/>
            <w:gridSpan w:val="2"/>
            <w:vAlign w:val="center"/>
          </w:tcPr>
          <w:p w14:paraId="7E677977">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08FC2605">
            <w:pPr>
              <w:spacing w:line="440" w:lineRule="exact"/>
              <w:ind w:firstLine="480" w:firstLineChars="200"/>
              <w:textAlignment w:val="center"/>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B0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6C29BA6">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2</w:t>
            </w:r>
          </w:p>
        </w:tc>
        <w:tc>
          <w:tcPr>
            <w:tcW w:w="8371" w:type="dxa"/>
            <w:gridSpan w:val="2"/>
            <w:vAlign w:val="center"/>
          </w:tcPr>
          <w:p w14:paraId="685BC2C1">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资格审查方式：</w:t>
            </w:r>
          </w:p>
          <w:p w14:paraId="186AE833">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1.资格后审。</w:t>
            </w:r>
          </w:p>
          <w:p w14:paraId="5BA38339">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highlight w:val="none"/>
              </w:rPr>
              <w:t>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r>
              <w:rPr>
                <w:rFonts w:ascii="仿宋" w:hAnsi="仿宋" w:eastAsia="仿宋" w:cs="仿宋"/>
                <w:b/>
                <w:color w:val="auto"/>
                <w:sz w:val="24"/>
              </w:rPr>
              <w:t>。</w:t>
            </w:r>
          </w:p>
        </w:tc>
      </w:tr>
      <w:tr w14:paraId="574D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64AAC932">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3</w:t>
            </w:r>
          </w:p>
        </w:tc>
        <w:tc>
          <w:tcPr>
            <w:tcW w:w="8371" w:type="dxa"/>
            <w:gridSpan w:val="2"/>
            <w:vAlign w:val="center"/>
          </w:tcPr>
          <w:p w14:paraId="210B4551">
            <w:pPr>
              <w:autoSpaceDE w:val="0"/>
              <w:autoSpaceDN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磋商有效期：</w:t>
            </w:r>
            <w:r>
              <w:rPr>
                <w:rFonts w:hint="eastAsia" w:ascii="仿宋" w:hAnsi="仿宋" w:eastAsia="仿宋" w:cs="仿宋"/>
                <w:color w:val="auto"/>
                <w:sz w:val="24"/>
              </w:rPr>
              <w:t>有效期为从提交磋商响应文件的截止之日起</w:t>
            </w:r>
            <w:r>
              <w:rPr>
                <w:rFonts w:ascii="仿宋" w:hAnsi="仿宋" w:eastAsia="仿宋" w:cs="仿宋"/>
                <w:color w:val="auto"/>
                <w:sz w:val="24"/>
              </w:rPr>
              <w:t>90天。</w:t>
            </w:r>
            <w:r>
              <w:rPr>
                <w:rFonts w:hint="eastAsia" w:ascii="仿宋" w:hAnsi="仿宋" w:eastAsia="仿宋" w:cs="仿宋"/>
                <w:b w:val="0"/>
                <w:bCs/>
                <w:color w:val="auto"/>
                <w:sz w:val="24"/>
              </w:rPr>
              <w:t>磋商响应人的磋商文件中承</w:t>
            </w:r>
            <w:r>
              <w:rPr>
                <w:rFonts w:hint="eastAsia" w:ascii="仿宋" w:hAnsi="仿宋" w:eastAsia="仿宋" w:cs="仿宋"/>
                <w:b w:val="0"/>
                <w:bCs/>
                <w:color w:val="auto"/>
                <w:sz w:val="24"/>
                <w:szCs w:val="21"/>
              </w:rPr>
              <w:t>诺的磋商有效期少于磋商文件中载明的磋商有效期的，磋商无效。</w:t>
            </w:r>
          </w:p>
        </w:tc>
      </w:tr>
      <w:tr w14:paraId="0A3C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6FBF8100">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371" w:type="dxa"/>
            <w:gridSpan w:val="2"/>
            <w:vAlign w:val="center"/>
          </w:tcPr>
          <w:p w14:paraId="777E4F76">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792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AC51092">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8371" w:type="dxa"/>
            <w:gridSpan w:val="2"/>
            <w:vAlign w:val="center"/>
          </w:tcPr>
          <w:p w14:paraId="69B6C185">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w:t>
            </w:r>
            <w:r>
              <w:rPr>
                <w:rFonts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0EC56B4B">
            <w:pPr>
              <w:spacing w:line="440" w:lineRule="exact"/>
              <w:ind w:firstLine="720" w:firstLineChars="300"/>
              <w:textAlignment w:val="center"/>
              <w:rPr>
                <w:rFonts w:ascii="仿宋" w:hAnsi="仿宋" w:eastAsia="仿宋" w:cs="仿宋"/>
                <w:b/>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3870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58B8393">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8371" w:type="dxa"/>
            <w:gridSpan w:val="2"/>
            <w:vAlign w:val="center"/>
          </w:tcPr>
          <w:p w14:paraId="31DED6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投标保证金8000元（电汇、转账、网上银行）</w:t>
            </w:r>
          </w:p>
          <w:p w14:paraId="3C9DD59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1508834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2D8E334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50B3499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缴纳时间：在2024年11月26日16:00前将投标保证金以电汇、转账、网上银行形式汇入指定帐户，以实际到账时间为准。</w:t>
            </w:r>
          </w:p>
          <w:p w14:paraId="4836CEA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33B2B4A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F5F585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1DFD1F8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（2）未按规定提交履约保证金、差额风险金的；</w:t>
            </w:r>
          </w:p>
          <w:p w14:paraId="708B14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66991E1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4309A5D8">
            <w:pPr>
              <w:spacing w:line="440" w:lineRule="exact"/>
              <w:textAlignment w:val="center"/>
              <w:rPr>
                <w:rFonts w:hint="eastAsia" w:ascii="仿宋" w:hAnsi="仿宋" w:eastAsia="仿宋" w:cs="仿宋"/>
                <w:b/>
                <w:color w:val="auto"/>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66E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581E2BD1">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8371" w:type="dxa"/>
            <w:gridSpan w:val="2"/>
            <w:vAlign w:val="center"/>
          </w:tcPr>
          <w:p w14:paraId="578E027C">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本项目实行网上磋商，供应商于“乐采云”上提供电子磋商响应文件。</w:t>
            </w:r>
          </w:p>
        </w:tc>
      </w:tr>
      <w:tr w14:paraId="2794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605EAF55">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8371" w:type="dxa"/>
            <w:gridSpan w:val="2"/>
            <w:vAlign w:val="center"/>
          </w:tcPr>
          <w:p w14:paraId="405B8BDC">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以乐采云平台中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44CA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DAC036E">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9</w:t>
            </w:r>
          </w:p>
        </w:tc>
        <w:tc>
          <w:tcPr>
            <w:tcW w:w="8371" w:type="dxa"/>
            <w:gridSpan w:val="2"/>
            <w:vAlign w:val="center"/>
          </w:tcPr>
          <w:p w14:paraId="55FC1C7D">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开标前答疑会或现场考察：</w:t>
            </w:r>
          </w:p>
          <w:p w14:paraId="48357624">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不组织。</w:t>
            </w:r>
          </w:p>
          <w:p w14:paraId="15E2BD11">
            <w:pPr>
              <w:autoSpaceDE w:val="0"/>
              <w:autoSpaceDN w:val="0"/>
              <w:spacing w:line="440" w:lineRule="exact"/>
              <w:textAlignment w:val="center"/>
              <w:rPr>
                <w:rFonts w:ascii="仿宋" w:hAnsi="仿宋" w:eastAsia="仿宋" w:cs="仿宋"/>
                <w:b/>
                <w:color w:val="auto"/>
                <w:kern w:val="0"/>
                <w:sz w:val="24"/>
                <w:lang w:val="zh-CN"/>
              </w:rPr>
            </w:pPr>
            <w:r>
              <w:rPr>
                <w:rFonts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none"/>
              </w:rPr>
              <w:t>：</w:t>
            </w:r>
            <w:r>
              <w:rPr>
                <w:rFonts w:hint="eastAsia" w:ascii="仿宋" w:hAnsi="仿宋" w:eastAsia="仿宋" w:cs="仿宋"/>
                <w:color w:val="auto"/>
                <w:sz w:val="24"/>
                <w:u w:val="single"/>
                <w:lang w:val="en-US" w:eastAsia="zh-CN"/>
              </w:rPr>
              <w:t xml:space="preserve">    </w:t>
            </w:r>
            <w:r>
              <w:rPr>
                <w:rFonts w:ascii="仿宋" w:hAnsi="仿宋" w:eastAsia="仿宋" w:cs="仿宋"/>
                <w:color w:val="auto"/>
                <w:sz w:val="24"/>
              </w:rPr>
              <w:t>,地点</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，联系人</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ascii="仿宋" w:hAnsi="仿宋" w:eastAsia="仿宋" w:cs="仿宋"/>
                <w:color w:val="auto"/>
                <w:sz w:val="24"/>
              </w:rPr>
              <w:t>，联系方式</w:t>
            </w:r>
            <w:r>
              <w:rPr>
                <w:rFonts w:ascii="仿宋" w:hAnsi="仿宋" w:eastAsia="仿宋" w:cs="仿宋"/>
                <w:color w:val="auto"/>
                <w:sz w:val="24"/>
                <w:u w:val="none"/>
              </w:rPr>
              <w:t>：</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348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7F3C10F">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10</w:t>
            </w:r>
          </w:p>
        </w:tc>
        <w:tc>
          <w:tcPr>
            <w:tcW w:w="8371" w:type="dxa"/>
            <w:gridSpan w:val="2"/>
            <w:vAlign w:val="center"/>
          </w:tcPr>
          <w:p w14:paraId="4293D59A">
            <w:pPr>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样品提供：</w:t>
            </w:r>
          </w:p>
          <w:p w14:paraId="2B11D505">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不要求提供。</w:t>
            </w:r>
          </w:p>
          <w:p w14:paraId="672A120C">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B要求提供，</w:t>
            </w:r>
          </w:p>
          <w:p w14:paraId="3B1D5B75">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eastAsia="zh-CN"/>
              </w:rPr>
              <w:t>：</w:t>
            </w:r>
            <w:r>
              <w:rPr>
                <w:rFonts w:hint="eastAsia" w:ascii="仿宋" w:hAnsi="仿宋" w:eastAsia="仿宋" w:cs="仿宋"/>
                <w:snapToGrid w:val="0"/>
                <w:color w:val="auto"/>
                <w:kern w:val="28"/>
                <w:sz w:val="24"/>
                <w:u w:val="single"/>
              </w:rPr>
              <w:t>详见第三部分采购需求</w:t>
            </w:r>
            <w:r>
              <w:rPr>
                <w:rFonts w:hint="eastAsia" w:ascii="仿宋" w:hAnsi="仿宋" w:eastAsia="仿宋" w:cs="仿宋"/>
                <w:color w:val="auto"/>
                <w:kern w:val="0"/>
                <w:sz w:val="24"/>
              </w:rPr>
              <w:t>；</w:t>
            </w:r>
          </w:p>
          <w:p w14:paraId="4FDE3D79">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snapToGrid w:val="0"/>
                <w:color w:val="auto"/>
                <w:kern w:val="28"/>
                <w:sz w:val="24"/>
                <w:lang w:eastAsia="zh-CN"/>
              </w:rPr>
              <w:t>：</w:t>
            </w:r>
            <w:r>
              <w:rPr>
                <w:rFonts w:hint="eastAsia" w:ascii="仿宋" w:hAnsi="仿宋" w:eastAsia="仿宋" w:cs="仿宋"/>
                <w:color w:val="auto"/>
                <w:sz w:val="24"/>
                <w:u w:val="single"/>
              </w:rPr>
              <w:t>详见第三部分采购需求</w:t>
            </w:r>
            <w:r>
              <w:rPr>
                <w:rFonts w:hint="eastAsia" w:ascii="仿宋" w:hAnsi="仿宋" w:eastAsia="仿宋" w:cs="仿宋"/>
                <w:color w:val="auto"/>
                <w:kern w:val="0"/>
                <w:sz w:val="24"/>
              </w:rPr>
              <w:t>；</w:t>
            </w:r>
          </w:p>
          <w:p w14:paraId="47047027">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E3C374D">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kern w:val="0"/>
                <w:sz w:val="24"/>
              </w:rPr>
              <w:t>。</w:t>
            </w:r>
          </w:p>
          <w:p w14:paraId="1C4D1586">
            <w:pPr>
              <w:spacing w:line="440" w:lineRule="exact"/>
              <w:textAlignment w:val="cente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u w:val="single"/>
              </w:rPr>
              <w:t>详见第三部分采购需求</w:t>
            </w:r>
            <w:r>
              <w:rPr>
                <w:rFonts w:hint="eastAsia" w:ascii="仿宋" w:hAnsi="仿宋" w:eastAsia="仿宋" w:cs="仿宋"/>
                <w:color w:val="auto"/>
                <w:sz w:val="24"/>
              </w:rPr>
              <w:t>。请供应商在</w:t>
            </w:r>
            <w:r>
              <w:rPr>
                <w:rFonts w:hint="eastAsia" w:ascii="仿宋" w:hAnsi="仿宋" w:eastAsia="仿宋" w:cs="仿宋"/>
                <w:color w:val="auto"/>
                <w:sz w:val="24"/>
                <w:lang w:val="en-US" w:eastAsia="zh-CN"/>
              </w:rPr>
              <w:t>规定</w:t>
            </w:r>
            <w:r>
              <w:rPr>
                <w:rFonts w:hint="eastAsia" w:ascii="仿宋" w:hAnsi="仿宋" w:eastAsia="仿宋" w:cs="仿宋"/>
                <w:color w:val="auto"/>
                <w:sz w:val="24"/>
              </w:rPr>
              <w:t>时间内提供样品并按规定位置安装完毕。超过截止时间的，采购人或采购代理机构将不予接收，并将清场并封闭样品现场。</w:t>
            </w:r>
          </w:p>
          <w:p w14:paraId="4AE6B34A">
            <w:pPr>
              <w:spacing w:line="440" w:lineRule="exact"/>
              <w:textAlignment w:val="center"/>
              <w:rPr>
                <w:rFonts w:ascii="仿宋" w:hAnsi="仿宋" w:eastAsia="仿宋" w:cs="仿宋"/>
                <w:color w:val="auto"/>
                <w:sz w:val="24"/>
              </w:rPr>
            </w:pPr>
            <w:r>
              <w:rPr>
                <w:rFonts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A9DBEE3">
            <w:pPr>
              <w:autoSpaceDE w:val="0"/>
              <w:autoSpaceDN w:val="0"/>
              <w:spacing w:line="440" w:lineRule="exact"/>
              <w:jc w:val="lef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7）制作、运输和保管样品所发生的一切费用由供应商自理。</w:t>
            </w:r>
          </w:p>
        </w:tc>
      </w:tr>
      <w:tr w14:paraId="2603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31C2CC0C">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11</w:t>
            </w:r>
          </w:p>
        </w:tc>
        <w:tc>
          <w:tcPr>
            <w:tcW w:w="8371" w:type="dxa"/>
            <w:gridSpan w:val="2"/>
            <w:vAlign w:val="center"/>
          </w:tcPr>
          <w:p w14:paraId="6EA4F13E">
            <w:pPr>
              <w:spacing w:line="440" w:lineRule="exact"/>
              <w:textAlignment w:val="center"/>
              <w:rPr>
                <w:rFonts w:ascii="仿宋" w:hAnsi="仿宋" w:eastAsia="仿宋" w:cs="仿宋"/>
                <w:b/>
                <w:bCs/>
                <w:color w:val="auto"/>
                <w:sz w:val="24"/>
              </w:rPr>
            </w:pPr>
            <w:r>
              <w:rPr>
                <w:rFonts w:hint="eastAsia" w:ascii="仿宋" w:hAnsi="仿宋" w:eastAsia="仿宋" w:cs="仿宋"/>
                <w:b/>
                <w:bCs/>
                <w:color w:val="auto"/>
                <w:sz w:val="24"/>
              </w:rPr>
              <w:t>方案讲解演示：</w:t>
            </w:r>
          </w:p>
          <w:p w14:paraId="59CF9706">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eastAsia="zh-CN"/>
              </w:rPr>
              <w:t>☑</w:t>
            </w:r>
            <w:r>
              <w:rPr>
                <w:rFonts w:ascii="仿宋" w:hAnsi="仿宋" w:eastAsia="仿宋" w:cs="仿宋"/>
                <w:color w:val="auto"/>
                <w:sz w:val="24"/>
              </w:rPr>
              <w:t>A无方案讲解演示。</w:t>
            </w:r>
          </w:p>
          <w:p w14:paraId="42CBFBA1">
            <w:pPr>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B有方案讲解演示：</w:t>
            </w:r>
          </w:p>
          <w:p w14:paraId="3285E4BF">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1）在评标时安排每个供应商进行方案讲解演示。</w:t>
            </w:r>
            <w:r>
              <w:rPr>
                <w:rFonts w:hint="eastAsia" w:ascii="仿宋" w:hAnsi="仿宋" w:eastAsia="仿宋" w:cs="仿宋"/>
                <w:color w:val="auto"/>
                <w:sz w:val="24"/>
                <w:lang w:val="zh-CN"/>
              </w:rPr>
              <w:t>每个供应商时间不超过</w:t>
            </w:r>
            <w:r>
              <w:rPr>
                <w:rFonts w:ascii="仿宋" w:hAnsi="仿宋" w:eastAsia="仿宋" w:cs="仿宋"/>
                <w:color w:val="auto"/>
                <w:sz w:val="24"/>
                <w:u w:val="single"/>
                <w:lang w:val="zh-CN"/>
              </w:rPr>
              <w:t>15</w:t>
            </w:r>
            <w:r>
              <w:rPr>
                <w:rFonts w:hint="eastAsia" w:ascii="仿宋" w:hAnsi="仿宋" w:eastAsia="仿宋" w:cs="仿宋"/>
                <w:color w:val="auto"/>
                <w:sz w:val="24"/>
                <w:lang w:val="zh-CN"/>
              </w:rPr>
              <w:t>分钟（编制时可根据项目情况进行调整），讲解次序以磋商响应文件解密时间先后次序为准。讲解演示结束后按要求解答评标委员会提问。</w:t>
            </w:r>
          </w:p>
          <w:p w14:paraId="72401097">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2）方案讲解演示可选择以下其中一种方式：</w:t>
            </w:r>
          </w:p>
          <w:p w14:paraId="0D39A478">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4B626C09">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128F6443">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A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1435ED2">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12</w:t>
            </w:r>
          </w:p>
        </w:tc>
        <w:tc>
          <w:tcPr>
            <w:tcW w:w="855" w:type="dxa"/>
            <w:vAlign w:val="center"/>
          </w:tcPr>
          <w:p w14:paraId="337A2584">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进口产品</w:t>
            </w:r>
          </w:p>
        </w:tc>
        <w:tc>
          <w:tcPr>
            <w:tcW w:w="7516" w:type="dxa"/>
            <w:vAlign w:val="center"/>
          </w:tcPr>
          <w:p w14:paraId="0C936232">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55498A6">
            <w:pPr>
              <w:snapToGrid w:val="0"/>
              <w:spacing w:line="440" w:lineRule="exact"/>
              <w:textAlignment w:val="center"/>
              <w:rPr>
                <w:rFonts w:ascii="仿宋" w:hAnsi="仿宋" w:eastAsia="仿宋" w:cs="仿宋"/>
                <w:b/>
                <w:color w:val="auto"/>
                <w:sz w:val="24"/>
              </w:rPr>
            </w:pPr>
            <w:r>
              <w:rPr>
                <w:rFonts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6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0EBB668">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855" w:type="dxa"/>
            <w:vAlign w:val="center"/>
          </w:tcPr>
          <w:p w14:paraId="1F359E0C">
            <w:pPr>
              <w:snapToGrid w:val="0"/>
              <w:spacing w:line="440" w:lineRule="exact"/>
              <w:jc w:val="center"/>
              <w:textAlignment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6" w:type="dxa"/>
            <w:vAlign w:val="center"/>
          </w:tcPr>
          <w:p w14:paraId="19C13653">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sz w:val="24"/>
              </w:rPr>
              <w:t>。</w:t>
            </w:r>
          </w:p>
          <w:p w14:paraId="2AFEFEA2">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w:t>
            </w:r>
            <w:r>
              <w:rPr>
                <w:rFonts w:hint="eastAsia" w:ascii="仿宋" w:hAnsi="仿宋" w:eastAsia="仿宋" w:cs="仿宋"/>
                <w:color w:val="auto"/>
                <w:sz w:val="24"/>
              </w:rPr>
              <w:t>服务类。</w:t>
            </w:r>
          </w:p>
        </w:tc>
      </w:tr>
      <w:tr w14:paraId="0981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AEC3FC4">
            <w:pPr>
              <w:spacing w:line="4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14</w:t>
            </w:r>
          </w:p>
        </w:tc>
        <w:tc>
          <w:tcPr>
            <w:tcW w:w="855" w:type="dxa"/>
            <w:vMerge w:val="restart"/>
            <w:vAlign w:val="center"/>
          </w:tcPr>
          <w:p w14:paraId="5BC6D960">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516" w:type="dxa"/>
            <w:vAlign w:val="center"/>
          </w:tcPr>
          <w:p w14:paraId="21FDB765">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采购人或采购人将通过“信用中国”网站</w:t>
            </w:r>
            <w:r>
              <w:rPr>
                <w:rFonts w:ascii="仿宋" w:hAnsi="仿宋" w:eastAsia="仿宋" w:cs="仿宋"/>
                <w:color w:val="auto"/>
                <w:sz w:val="24"/>
              </w:rPr>
              <w:t>(www.creditchina.gov.cn)、中国政府采购网(www.ccgp.gov.cn)渠道查询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5B45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70354D92">
            <w:pPr>
              <w:keepNext/>
              <w:keepLines/>
              <w:numPr>
                <w:ilvl w:val="2"/>
                <w:numId w:val="1"/>
              </w:numPr>
              <w:spacing w:line="440" w:lineRule="exact"/>
              <w:ind w:left="0"/>
              <w:jc w:val="center"/>
              <w:textAlignment w:val="center"/>
              <w:outlineLvl w:val="2"/>
              <w:rPr>
                <w:rFonts w:ascii="仿宋" w:hAnsi="仿宋" w:eastAsia="仿宋" w:cs="仿宋"/>
                <w:color w:val="auto"/>
                <w:sz w:val="24"/>
              </w:rPr>
            </w:pPr>
          </w:p>
        </w:tc>
        <w:tc>
          <w:tcPr>
            <w:tcW w:w="855" w:type="dxa"/>
            <w:vMerge w:val="continue"/>
            <w:vAlign w:val="center"/>
          </w:tcPr>
          <w:p w14:paraId="1098183E">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1DA16433">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采购人或采购人现场查询供应商的信用记录，查询结果经确认后与磋商响应文件一起存档。</w:t>
            </w:r>
          </w:p>
        </w:tc>
      </w:tr>
      <w:tr w14:paraId="18D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62F9F65F">
            <w:pPr>
              <w:spacing w:line="440" w:lineRule="exact"/>
              <w:jc w:val="center"/>
              <w:textAlignment w:val="center"/>
              <w:rPr>
                <w:rFonts w:hint="default" w:ascii="仿宋" w:hAnsi="仿宋" w:eastAsia="仿宋" w:cs="仿宋"/>
                <w:color w:val="auto"/>
                <w:kern w:val="2"/>
                <w:sz w:val="24"/>
                <w:szCs w:val="24"/>
                <w:lang w:val="en-US" w:eastAsia="zh-CN" w:bidi="ar-SA"/>
              </w:rPr>
            </w:pPr>
          </w:p>
        </w:tc>
        <w:tc>
          <w:tcPr>
            <w:tcW w:w="855" w:type="dxa"/>
            <w:vMerge w:val="continue"/>
            <w:vAlign w:val="center"/>
          </w:tcPr>
          <w:p w14:paraId="11F10D0C">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5F3310AC">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经查询列入失信被执行人名单、重大税收违法案件当事人名单、政府采购严重违法失信行为记录名单的供应商将被拒绝参与采购活动。</w:t>
            </w:r>
          </w:p>
          <w:p w14:paraId="092C040C">
            <w:pPr>
              <w:snapToGrid w:val="0"/>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B59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0857D8E">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8371" w:type="dxa"/>
            <w:gridSpan w:val="2"/>
            <w:vAlign w:val="center"/>
          </w:tcPr>
          <w:p w14:paraId="14CB0EEF">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需要落实的采购政策：包括保护环境、节约能源等。详见磋商文件第二部分总则。</w:t>
            </w:r>
          </w:p>
        </w:tc>
      </w:tr>
      <w:tr w14:paraId="474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0641032">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8371" w:type="dxa"/>
            <w:gridSpan w:val="2"/>
            <w:vAlign w:val="center"/>
          </w:tcPr>
          <w:p w14:paraId="1B097CDC">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1F2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537BEB6">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w:t>
            </w:r>
            <w:r>
              <w:rPr>
                <w:rFonts w:hint="eastAsia" w:ascii="仿宋" w:hAnsi="仿宋" w:eastAsia="仿宋" w:cs="仿宋"/>
                <w:color w:val="auto"/>
                <w:sz w:val="24"/>
              </w:rPr>
              <w:t>7</w:t>
            </w:r>
          </w:p>
        </w:tc>
        <w:tc>
          <w:tcPr>
            <w:tcW w:w="8371" w:type="dxa"/>
            <w:gridSpan w:val="2"/>
            <w:vAlign w:val="center"/>
          </w:tcPr>
          <w:p w14:paraId="72DDA96F">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磋商注意事项：</w:t>
            </w:r>
          </w:p>
          <w:p w14:paraId="35576DCE">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1.本项目实行网上磋商，采用电子磋商响应文件。若供应商参与磋商，自行承担磋商一切费用。</w:t>
            </w:r>
          </w:p>
          <w:p w14:paraId="727F4648">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2.磋商前准备：各供应商应在磋商前完成CA数字证书办理。供应商将</w:t>
            </w:r>
            <w:r>
              <w:rPr>
                <w:rFonts w:hint="eastAsia" w:ascii="仿宋" w:hAnsi="仿宋" w:eastAsia="仿宋" w:cs="仿宋"/>
                <w:color w:val="auto"/>
                <w:sz w:val="24"/>
              </w:rPr>
              <w:t>乐采云电子交易客户端下载、安装完成后，可通过账号密码或</w:t>
            </w:r>
            <w:r>
              <w:rPr>
                <w:rFonts w:ascii="仿宋" w:hAnsi="仿宋" w:eastAsia="仿宋" w:cs="仿宋"/>
                <w:color w:val="auto"/>
                <w:sz w:val="24"/>
              </w:rPr>
              <w:t>CA登录客户端进行磋商响应文件制作。在使用</w:t>
            </w:r>
            <w:r>
              <w:rPr>
                <w:rFonts w:hint="eastAsia" w:ascii="仿宋" w:hAnsi="仿宋" w:eastAsia="仿宋" w:cs="仿宋"/>
                <w:color w:val="auto"/>
                <w:sz w:val="24"/>
              </w:rPr>
              <w:t>乐采云电子交易客户端时，建议使用</w:t>
            </w:r>
            <w:r>
              <w:rPr>
                <w:rFonts w:ascii="仿宋" w:hAnsi="仿宋" w:eastAsia="仿宋" w:cs="仿宋"/>
                <w:color w:val="auto"/>
                <w:sz w:val="24"/>
              </w:rPr>
              <w:t>WIN7及以上操作系统。</w:t>
            </w:r>
          </w:p>
          <w:p w14:paraId="62EF0FD1">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注：供应商</w:t>
            </w:r>
            <w:r>
              <w:rPr>
                <w:rFonts w:ascii="仿宋" w:hAnsi="仿宋" w:eastAsia="仿宋" w:cs="仿宋"/>
                <w:color w:val="auto"/>
                <w:sz w:val="24"/>
              </w:rPr>
              <w:t>CA相关操作可参考</w:t>
            </w:r>
            <w:r>
              <w:rPr>
                <w:rFonts w:hint="eastAsia" w:ascii="仿宋" w:hAnsi="仿宋" w:eastAsia="仿宋" w:cs="仿宋"/>
                <w:color w:val="auto"/>
                <w:sz w:val="24"/>
              </w:rPr>
              <w:t>乐采云平台</w:t>
            </w:r>
            <w:r>
              <w:rPr>
                <w:rFonts w:ascii="仿宋" w:hAnsi="仿宋" w:eastAsia="仿宋" w:cs="仿宋"/>
                <w:color w:val="auto"/>
              </w:rPr>
              <w:t>https://www.lecaiyun.com/</w:t>
            </w:r>
            <w:r>
              <w:rPr>
                <w:rFonts w:hint="eastAsia" w:ascii="仿宋" w:hAnsi="仿宋" w:eastAsia="仿宋" w:cs="仿宋"/>
                <w:color w:val="auto"/>
                <w:sz w:val="24"/>
              </w:rPr>
              <w:t>《</w:t>
            </w:r>
            <w:r>
              <w:rPr>
                <w:rFonts w:ascii="仿宋" w:hAnsi="仿宋" w:eastAsia="仿宋" w:cs="仿宋"/>
                <w:color w:val="auto"/>
                <w:sz w:val="24"/>
              </w:rPr>
              <w:t>CA申领操作指南》和《CA管理操作指南》。完成CA数字证书办理在资料齐全的情况下预计7个工作日左右，建议供应商获取磋商文件后立即办理。</w:t>
            </w:r>
          </w:p>
          <w:p w14:paraId="313FDFA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3.磋商响应文件制作、递交、解密：</w:t>
            </w:r>
          </w:p>
          <w:p w14:paraId="348790E3">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3.1应按照本项目磋商文件和</w:t>
            </w:r>
            <w:r>
              <w:rPr>
                <w:rFonts w:hint="eastAsia" w:ascii="仿宋" w:hAnsi="仿宋" w:eastAsia="仿宋" w:cs="仿宋"/>
                <w:color w:val="auto"/>
                <w:sz w:val="24"/>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rPr>
              <w:t>95763。</w:t>
            </w:r>
          </w:p>
          <w:p w14:paraId="40EB9ED7">
            <w:pPr>
              <w:snapToGrid w:val="0"/>
              <w:spacing w:line="440" w:lineRule="exact"/>
              <w:jc w:val="left"/>
              <w:textAlignment w:val="center"/>
              <w:rPr>
                <w:rFonts w:ascii="仿宋" w:hAnsi="仿宋" w:eastAsia="仿宋" w:cs="仿宋"/>
                <w:color w:val="auto"/>
                <w:sz w:val="24"/>
              </w:rPr>
            </w:pPr>
            <w:r>
              <w:rPr>
                <w:rFonts w:ascii="仿宋" w:hAnsi="仿宋" w:eastAsia="仿宋" w:cs="仿宋"/>
                <w:color w:val="auto"/>
                <w:sz w:val="24"/>
              </w:rPr>
              <w:t>3.2供应商通过“</w:t>
            </w:r>
            <w:r>
              <w:rPr>
                <w:rFonts w:hint="eastAsia" w:ascii="仿宋" w:hAnsi="仿宋" w:eastAsia="仿宋" w:cs="仿宋"/>
                <w:color w:val="auto"/>
                <w:sz w:val="24"/>
              </w:rPr>
              <w:t>乐采云”平台制作电子磋商响应文件，磋商响应文件制作详见“供应商</w:t>
            </w:r>
            <w:r>
              <w:rPr>
                <w:rFonts w:ascii="仿宋" w:hAnsi="仿宋" w:eastAsia="仿宋" w:cs="仿宋"/>
                <w:color w:val="auto"/>
                <w:sz w:val="24"/>
              </w:rPr>
              <w:t>-政府采购项目电子交易操作指南”。</w:t>
            </w:r>
          </w:p>
          <w:p w14:paraId="420A1475">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3.3响应文件开启后30分钟内供应商可以登录“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61F2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B4AABC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371" w:type="dxa"/>
            <w:gridSpan w:val="2"/>
            <w:vAlign w:val="center"/>
          </w:tcPr>
          <w:p w14:paraId="606C85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备份响应文件：</w:t>
            </w:r>
          </w:p>
          <w:p w14:paraId="4FA32F4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(1)供应商在“乐采云平台”完成电子加密“磋商响应文件”的在线传输递交后，还可以在响应截止时间前通过EMS、顺丰邮寄等形式送达以介质存储的数据电文形式的“备份响应文件”。</w:t>
            </w:r>
            <w:r>
              <w:rPr>
                <w:rFonts w:hint="eastAsia" w:ascii="仿宋" w:hAnsi="仿宋" w:eastAsia="仿宋" w:cs="仿宋"/>
                <w:b/>
                <w:bCs/>
                <w:color w:val="auto"/>
                <w:kern w:val="2"/>
                <w:sz w:val="24"/>
                <w:szCs w:val="24"/>
                <w:lang w:val="en-US" w:eastAsia="zh-CN" w:bidi="ar-SA"/>
              </w:rPr>
              <w:t>“备份响应文件”由供应商自愿提交，采购文件不作强制性要求</w:t>
            </w:r>
            <w:r>
              <w:rPr>
                <w:rFonts w:hint="eastAsia" w:ascii="仿宋" w:hAnsi="仿宋" w:eastAsia="仿宋" w:cs="仿宋"/>
                <w:color w:val="auto"/>
                <w:kern w:val="2"/>
                <w:sz w:val="24"/>
                <w:szCs w:val="24"/>
                <w:lang w:val="en-US" w:eastAsia="zh-CN" w:bidi="ar-SA"/>
              </w:rPr>
              <w:t>，但供应商仅递交了“备份响应文件”的，响应无效。</w:t>
            </w:r>
          </w:p>
          <w:p w14:paraId="33BB73F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备份响应文件:密封包装后（建议以EMS、顺丰邮寄等形式）响应截止时间前（送达时间以采购组织机构实际签收时间为准）送达（一份）（邮寄地址：嵊州市三江街道官河南路333号商会大厦十四层1407室，竺小霞，0575-83176688）。</w:t>
            </w:r>
          </w:p>
          <w:p w14:paraId="5E9777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425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C35E152">
            <w:pPr>
              <w:spacing w:line="44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371" w:type="dxa"/>
            <w:gridSpan w:val="2"/>
            <w:vAlign w:val="center"/>
          </w:tcPr>
          <w:p w14:paraId="66523C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采购代理服务费：</w:t>
            </w:r>
          </w:p>
          <w:p w14:paraId="6ACCB6C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成交</w:t>
            </w:r>
            <w:r>
              <w:rPr>
                <w:rFonts w:hint="eastAsia" w:ascii="仿宋" w:hAnsi="仿宋" w:eastAsia="仿宋" w:cs="仿宋"/>
                <w:color w:val="auto"/>
                <w:sz w:val="24"/>
                <w:szCs w:val="24"/>
              </w:rPr>
              <w:t>供应商须向采购代理机构按如下标准和规定交纳成交服务费，请在响应报价中自行考虑：</w:t>
            </w:r>
          </w:p>
          <w:p w14:paraId="7C56B5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szCs w:val="24"/>
                <w:highlight w:val="none"/>
                <w:lang w:val="en-US" w:eastAsia="zh-CN"/>
              </w:rPr>
              <w:t>服务费6000元</w:t>
            </w:r>
            <w:r>
              <w:rPr>
                <w:rFonts w:hint="eastAsia" w:ascii="仿宋" w:hAnsi="仿宋" w:eastAsia="仿宋" w:cs="仿宋"/>
                <w:color w:val="auto"/>
                <w:sz w:val="24"/>
                <w:szCs w:val="24"/>
                <w:highlight w:val="none"/>
                <w:lang w:eastAsia="zh-CN"/>
              </w:rPr>
              <w:t>，其他费用按实支付，</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成功后向</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单位收取</w:t>
            </w:r>
            <w:r>
              <w:rPr>
                <w:rFonts w:hint="eastAsia" w:ascii="仿宋" w:hAnsi="仿宋" w:eastAsia="仿宋" w:cs="仿宋"/>
                <w:snapToGrid w:val="0"/>
                <w:color w:val="auto"/>
                <w:kern w:val="28"/>
                <w:sz w:val="24"/>
                <w:szCs w:val="24"/>
                <w:lang w:val="en-US" w:eastAsia="zh-CN" w:bidi="ar-SA"/>
              </w:rPr>
              <w:t>。</w:t>
            </w:r>
          </w:p>
          <w:p w14:paraId="4012C9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5EA8663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snapToGrid w:val="0"/>
                <w:color w:val="auto"/>
                <w:kern w:val="28"/>
                <w:sz w:val="24"/>
                <w:highlight w:val="none"/>
                <w:lang w:eastAsia="zh-CN"/>
              </w:rPr>
              <w:t>绍兴平准招标代理有限公司</w:t>
            </w:r>
          </w:p>
          <w:p w14:paraId="27041E7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开户行: </w:t>
            </w:r>
            <w:r>
              <w:rPr>
                <w:rFonts w:hint="eastAsia" w:ascii="仿宋" w:hAnsi="仿宋" w:eastAsia="仿宋" w:cs="仿宋"/>
                <w:snapToGrid w:val="0"/>
                <w:color w:val="auto"/>
                <w:kern w:val="28"/>
                <w:sz w:val="24"/>
                <w:highlight w:val="none"/>
                <w:lang w:eastAsia="zh-CN"/>
              </w:rPr>
              <w:t>建设银行嵊州新城支行</w:t>
            </w:r>
          </w:p>
          <w:p w14:paraId="230A3B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lang w:eastAsia="zh-CN"/>
              </w:rPr>
            </w:pPr>
            <w:r>
              <w:rPr>
                <w:rFonts w:hint="eastAsia" w:ascii="仿宋" w:hAnsi="仿宋" w:eastAsia="仿宋" w:cs="仿宋"/>
                <w:snapToGrid w:val="0"/>
                <w:color w:val="auto"/>
                <w:kern w:val="28"/>
                <w:sz w:val="24"/>
                <w:highlight w:val="none"/>
              </w:rPr>
              <w:t xml:space="preserve">账号: </w:t>
            </w:r>
            <w:r>
              <w:rPr>
                <w:rFonts w:hint="eastAsia" w:ascii="仿宋" w:hAnsi="仿宋" w:eastAsia="仿宋" w:cs="仿宋"/>
                <w:snapToGrid w:val="0"/>
                <w:color w:val="auto"/>
                <w:kern w:val="28"/>
                <w:sz w:val="24"/>
                <w:highlight w:val="none"/>
                <w:lang w:eastAsia="zh-CN"/>
              </w:rPr>
              <w:t>33050165655009888888</w:t>
            </w:r>
          </w:p>
        </w:tc>
      </w:tr>
      <w:tr w14:paraId="1B9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84AD82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371" w:type="dxa"/>
            <w:gridSpan w:val="2"/>
            <w:vAlign w:val="center"/>
          </w:tcPr>
          <w:p w14:paraId="4B0D58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768B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646207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p>
        </w:tc>
        <w:tc>
          <w:tcPr>
            <w:tcW w:w="8371" w:type="dxa"/>
            <w:gridSpan w:val="2"/>
            <w:vAlign w:val="center"/>
          </w:tcPr>
          <w:p w14:paraId="7867F3D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其他：</w:t>
            </w:r>
          </w:p>
          <w:p w14:paraId="715140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在领取成交通知书时成交供应商需根据采购人要求提供纸质磋商响应文件（与电子响应文件一致）至少三份，递交至代理机构，如与电子响应文件不符将影响成交供应商领取成交通知书。</w:t>
            </w:r>
          </w:p>
        </w:tc>
      </w:tr>
      <w:tr w14:paraId="48E5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2D6AF56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highlight w:val="none"/>
              </w:rPr>
              <w:t>解释：凡涉及本采购文件的解释权属于招标采购单位和采购代理机构。</w:t>
            </w:r>
          </w:p>
        </w:tc>
      </w:tr>
      <w:tr w14:paraId="7FC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3432D7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候选人</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资格或因质疑、投诉被取消成交资格或不能履行合同的，本项目重新开展采购活动。</w:t>
            </w:r>
          </w:p>
        </w:tc>
      </w:tr>
    </w:tbl>
    <w:p w14:paraId="3276C039">
      <w:pPr>
        <w:pageBreakBefore/>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06531432">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适用范围</w:t>
      </w:r>
    </w:p>
    <w:p w14:paraId="4C9FA56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19E9C5A0">
      <w:pPr>
        <w:keepNext w:val="0"/>
        <w:keepLines w:val="0"/>
        <w:pageBreakBefore w:val="0"/>
        <w:widowControl w:val="0"/>
        <w:kinsoku/>
        <w:wordWrap/>
        <w:overflowPunct/>
        <w:topLinePunct w:val="0"/>
        <w:autoSpaceDE/>
        <w:autoSpaceDN/>
        <w:bidi w:val="0"/>
        <w:adjustRightInd/>
        <w:spacing w:line="360" w:lineRule="auto"/>
        <w:textAlignment w:val="auto"/>
        <w:outlineLvl w:val="0"/>
        <w:rPr>
          <w:rFonts w:ascii="仿宋" w:hAnsi="仿宋" w:eastAsia="仿宋" w:cs="仿宋"/>
          <w:b/>
          <w:color w:val="auto"/>
          <w:sz w:val="24"/>
        </w:rPr>
      </w:pPr>
      <w:r>
        <w:rPr>
          <w:rFonts w:ascii="仿宋" w:hAnsi="仿宋" w:eastAsia="仿宋" w:cs="仿宋"/>
          <w:b/>
          <w:color w:val="auto"/>
          <w:sz w:val="24"/>
        </w:rPr>
        <w:t>2.定义</w:t>
      </w:r>
    </w:p>
    <w:p w14:paraId="21D545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“采购人”系指磋商邀请公告中载明的本项目的采购人。</w:t>
      </w:r>
    </w:p>
    <w:p w14:paraId="4DBCAA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“采购代理机构”系指磋商邀请公告中载明的本项目的采购代理机构。</w:t>
      </w:r>
    </w:p>
    <w:p w14:paraId="7740B85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“投标人”“供应商”系指响应磋商、参加本次竞争的法人、其他组织或自然人。</w:t>
      </w:r>
    </w:p>
    <w:p w14:paraId="73526B9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2.4“监督单位”系指</w:t>
      </w:r>
      <w:r>
        <w:rPr>
          <w:rFonts w:hint="eastAsia" w:ascii="仿宋" w:hAnsi="仿宋" w:eastAsia="仿宋" w:cs="仿宋"/>
          <w:color w:val="auto"/>
          <w:sz w:val="24"/>
        </w:rPr>
        <w:t>本项目的</w:t>
      </w:r>
      <w:r>
        <w:rPr>
          <w:rFonts w:ascii="仿宋" w:hAnsi="仿宋" w:eastAsia="仿宋" w:cs="仿宋"/>
          <w:color w:val="auto"/>
          <w:sz w:val="24"/>
        </w:rPr>
        <w:t>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1B48A0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2.5“负责人”系指法人企业的法定负责人，或其他组织为法律、行政法规规定代表单位行使职权的主要负责人，或自然人本人。</w:t>
      </w:r>
    </w:p>
    <w:p w14:paraId="579788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01734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2.7“电子交易平台”系指本项目采购活动所依托的乐采云平台（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snapToGrid/>
          <w:color w:val="auto"/>
          <w:kern w:val="2"/>
          <w:sz w:val="24"/>
          <w:szCs w:val="24"/>
        </w:rPr>
        <w:t>https://www.lecaiyun.com/</w:t>
      </w:r>
      <w:r>
        <w:rPr>
          <w:rStyle w:val="69"/>
          <w:rFonts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5B8AE2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2.8“★”系指实质性指标要求条款</w:t>
      </w:r>
      <w:r>
        <w:rPr>
          <w:rFonts w:hint="eastAsia" w:ascii="仿宋" w:hAnsi="仿宋" w:eastAsia="仿宋" w:cs="仿宋"/>
          <w:color w:val="auto"/>
          <w:sz w:val="24"/>
          <w:lang w:eastAsia="zh-CN"/>
        </w:rPr>
        <w:t>，</w:t>
      </w:r>
      <w:r>
        <w:rPr>
          <w:rFonts w:hint="eastAsia" w:ascii="仿宋" w:hAnsi="仿宋" w:eastAsia="仿宋" w:cs="仿宋"/>
          <w:color w:val="auto"/>
          <w:sz w:val="24"/>
        </w:rPr>
        <w:t>如任意一条打“★”的指标出现负偏离视为实质性不响应磋商文件要求，作无效磋商处理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w:t>
      </w:r>
      <w:r>
        <w:rPr>
          <w:rFonts w:ascii="仿宋" w:hAnsi="仿宋" w:eastAsia="仿宋" w:cs="仿宋"/>
          <w:color w:val="auto"/>
          <w:sz w:val="24"/>
        </w:rPr>
        <w:t>☐”系指不适用本项目的要求。</w:t>
      </w:r>
    </w:p>
    <w:p w14:paraId="25940A3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102C6D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b/>
          <w:color w:val="auto"/>
          <w:sz w:val="24"/>
          <w:highlight w:val="none"/>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4A62D4AB">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b/>
          <w:color w:val="auto"/>
          <w:sz w:val="24"/>
          <w:highlight w:val="yellow"/>
        </w:rPr>
      </w:pPr>
      <w:r>
        <w:rPr>
          <w:rFonts w:ascii="仿宋_GB2312" w:hAnsi="仿宋" w:eastAsia="仿宋_GB2312"/>
          <w:b/>
          <w:color w:val="auto"/>
          <w:sz w:val="24"/>
          <w:highlight w:val="none"/>
        </w:rPr>
        <w:t>3.采购项目需要落实的采购政策</w:t>
      </w:r>
    </w:p>
    <w:p w14:paraId="2A8609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E2E0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支持绿色发展</w:t>
      </w:r>
    </w:p>
    <w:p w14:paraId="4156D85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134A94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hint="eastAsia" w:ascii="仿宋_GB2312" w:eastAsia="仿宋_GB2312"/>
          <w:bCs/>
          <w:color w:val="auto"/>
          <w:sz w:val="24"/>
        </w:rPr>
        <w:t>支持科技创新发展</w:t>
      </w:r>
    </w:p>
    <w:p w14:paraId="1542B0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 xml:space="preserve">.1 </w:t>
      </w:r>
      <w:r>
        <w:rPr>
          <w:rFonts w:hint="eastAsia" w:ascii="仿宋_GB2312" w:hAnsi="仿宋" w:eastAsia="仿宋_GB2312"/>
          <w:color w:val="auto"/>
          <w:sz w:val="24"/>
        </w:rPr>
        <w:t>采购人优先采购被认定为首台套产品和“制造精品”的自主创新产品。</w:t>
      </w:r>
    </w:p>
    <w:p w14:paraId="485996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采购活动时业绩分值为满分。</w:t>
      </w:r>
    </w:p>
    <w:p w14:paraId="32B6CA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平等对待内外资企业和符合条件的破产重整企业</w:t>
      </w:r>
    </w:p>
    <w:p w14:paraId="2F1A08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338BAFD">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4.特别说明：</w:t>
      </w:r>
    </w:p>
    <w:p w14:paraId="173461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4.1供应商磋商所使用的资格、信誉、荣誉、业绩与企业认证必须为本单位所拥有。供应商磋商所使用的项目实施人员必须为本单位正式员工。</w:t>
      </w:r>
    </w:p>
    <w:p w14:paraId="7E23B3A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4.2供应商应仔细阅读磋商文件的所有内容，按照磋商文件的要求提交磋商响应文件，并对所提供的全部资料的真实性承担法律责任。</w:t>
      </w:r>
    </w:p>
    <w:p w14:paraId="1B1263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51BD3D1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7355C3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cs="仿宋"/>
          <w:color w:val="auto"/>
          <w:sz w:val="24"/>
          <w:szCs w:val="24"/>
          <w:lang w:eastAsia="zh-CN"/>
        </w:rPr>
        <w:t>。</w:t>
      </w:r>
    </w:p>
    <w:p w14:paraId="26AF26DD">
      <w:pPr>
        <w:keepNext w:val="0"/>
        <w:keepLines w:val="0"/>
        <w:pageBreakBefore w:val="0"/>
        <w:kinsoku/>
        <w:wordWrap/>
        <w:overflowPunct/>
        <w:topLinePunct w:val="0"/>
        <w:bidi w:val="0"/>
        <w:spacing w:line="360" w:lineRule="auto"/>
        <w:textAlignment w:val="auto"/>
        <w:rPr>
          <w:rFonts w:hint="eastAsia" w:ascii="仿宋" w:hAnsi="仿宋" w:eastAsia="仿宋" w:cs="仿宋"/>
          <w:b/>
          <w:color w:val="auto"/>
          <w:sz w:val="32"/>
          <w:szCs w:val="32"/>
          <w:lang w:eastAsia="zh-CN"/>
        </w:rPr>
      </w:pPr>
    </w:p>
    <w:p w14:paraId="70AC7DF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7796D9B8">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采购方式</w:t>
      </w:r>
    </w:p>
    <w:p w14:paraId="7BE6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rPr>
      </w:pPr>
      <w:r>
        <w:rPr>
          <w:rFonts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3EA9CC7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color w:val="auto"/>
          <w:sz w:val="24"/>
        </w:rPr>
        <w:t xml:space="preserve">    1.2 如某一标项实质性响应磋商文件的供应商不足三家时，由采购人重新组织开展采购活动或按有关规定实施。</w:t>
      </w:r>
    </w:p>
    <w:p w14:paraId="64BDA78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本次竞争性磋商设定上限价，上限价即谈判公告中公布的各分标项预算金额。</w:t>
      </w:r>
    </w:p>
    <w:p w14:paraId="5CDE846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磋商委托</w:t>
      </w:r>
    </w:p>
    <w:p w14:paraId="6D364CE7">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356EF77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磋商费用</w:t>
      </w:r>
    </w:p>
    <w:p w14:paraId="14DE023B">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23231575">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磋商文件</w:t>
      </w:r>
    </w:p>
    <w:p w14:paraId="73166A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24DD09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4.2磋商文件的澄清 </w:t>
      </w:r>
    </w:p>
    <w:p w14:paraId="4D137FF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sz w:val="24"/>
        </w:rPr>
        <w:t>等通知采购人，但通知不得迟于磋商截止前</w:t>
      </w:r>
      <w:r>
        <w:rPr>
          <w:rFonts w:ascii="仿宋" w:hAnsi="仿宋" w:eastAsia="仿宋" w:cs="仿宋"/>
          <w:color w:val="auto"/>
          <w:sz w:val="24"/>
        </w:rPr>
        <w:t>7日使采购人收到，采购人将用书面形式予以答复。如有必要，可将不说明来源的答复发给所有供应商。</w:t>
      </w:r>
    </w:p>
    <w:p w14:paraId="1354581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4.3磋商文件的修改</w:t>
      </w:r>
    </w:p>
    <w:p w14:paraId="7D7741B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w:t>
      </w:r>
      <w:r>
        <w:rPr>
          <w:rFonts w:hint="eastAsia" w:ascii="仿宋" w:hAnsi="仿宋" w:eastAsia="仿宋" w:cs="仿宋"/>
          <w:color w:val="auto"/>
          <w:sz w:val="24"/>
          <w:szCs w:val="24"/>
        </w:rPr>
        <w:t>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ascii="仿宋" w:hAnsi="仿宋" w:eastAsia="仿宋" w:cs="仿宋"/>
          <w:color w:val="auto"/>
          <w:sz w:val="24"/>
        </w:rPr>
        <w:t>。</w:t>
      </w:r>
    </w:p>
    <w:p w14:paraId="0790E30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2F80BAC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4.4本项目各标段内，如出现打有“★”的指标为实质性指标，任意一条出现负偏离的均视同为实质性不响应磋商文件要求，作无效磋商处理。</w:t>
      </w:r>
    </w:p>
    <w:p w14:paraId="3BB68D4B">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trike w:val="0"/>
          <w:dstrike w:val="0"/>
          <w:color w:val="auto"/>
          <w:sz w:val="24"/>
        </w:rPr>
      </w:pPr>
      <w:r>
        <w:rPr>
          <w:rFonts w:ascii="仿宋" w:hAnsi="仿宋" w:eastAsia="仿宋" w:cs="仿宋"/>
          <w:b/>
          <w:strike w:val="0"/>
          <w:dstrike w:val="0"/>
          <w:color w:val="auto"/>
          <w:sz w:val="24"/>
        </w:rPr>
        <w:t>5.参考品牌</w:t>
      </w:r>
    </w:p>
    <w:p w14:paraId="284C9C1B">
      <w:pPr>
        <w:keepNext w:val="0"/>
        <w:keepLines w:val="0"/>
        <w:pageBreakBefore w:val="0"/>
        <w:kinsoku/>
        <w:wordWrap/>
        <w:overflowPunct/>
        <w:topLinePunct w:val="0"/>
        <w:autoSpaceDE/>
        <w:autoSpaceDN/>
        <w:bidi w:val="0"/>
        <w:snapToGrid w:val="0"/>
        <w:spacing w:line="360" w:lineRule="auto"/>
        <w:ind w:firstLine="470" w:firstLineChars="196"/>
        <w:jc w:val="left"/>
        <w:textAlignment w:val="auto"/>
        <w:rPr>
          <w:rFonts w:ascii="仿宋" w:hAnsi="仿宋" w:eastAsia="仿宋" w:cs="仿宋"/>
          <w:color w:val="auto"/>
          <w:sz w:val="24"/>
        </w:rPr>
      </w:pPr>
      <w:r>
        <w:rPr>
          <w:rFonts w:hint="eastAsia" w:ascii="仿宋" w:hAnsi="仿宋" w:eastAsia="仿宋" w:cs="仿宋"/>
          <w:strike w:val="0"/>
          <w:dstrike w:val="0"/>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2F8BC06">
      <w:pPr>
        <w:pStyle w:val="73"/>
        <w:keepNext w:val="0"/>
        <w:keepLines w:val="0"/>
        <w:pageBreakBefore w:val="0"/>
        <w:kinsoku/>
        <w:wordWrap/>
        <w:overflowPunct/>
        <w:topLinePunct w:val="0"/>
        <w:bidi w:val="0"/>
        <w:spacing w:line="360" w:lineRule="auto"/>
        <w:textAlignment w:val="auto"/>
        <w:rPr>
          <w:color w:val="auto"/>
        </w:rPr>
      </w:pPr>
    </w:p>
    <w:p w14:paraId="3B1D718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7DBBDFD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1.响应文件的语言及计量单位</w:t>
      </w:r>
    </w:p>
    <w:p w14:paraId="68640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1.1供应商应仔细阅读磋商文件中的所有内容，按照磋商文件要求，详细编制响应文件，并保证响应文件的正确性和真实性。</w:t>
      </w:r>
    </w:p>
    <w:p w14:paraId="6DC28A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响应文件以及供应商与采购人、采购代理机构就有关磋商事宜的所有来往函电，均应以中文书写（技术术语除外）。</w:t>
      </w:r>
    </w:p>
    <w:p w14:paraId="1CCD6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磋商计量单位，除磋商文件中有特殊要求外，应采用中华人民共和国法定计量单位，货币单位：人民币元。</w:t>
      </w:r>
    </w:p>
    <w:p w14:paraId="5B037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1.4不按磋商文件的要求提供的响应文件可能导致被拒绝。</w:t>
      </w:r>
    </w:p>
    <w:p w14:paraId="023EE6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1.5响应文件的形式和效力</w:t>
      </w:r>
    </w:p>
    <w:p w14:paraId="0DAE22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1.5.1磋商响应文件为电子响应文件，电子响应文件按“</w:t>
      </w:r>
      <w:r>
        <w:rPr>
          <w:rFonts w:hint="eastAsia" w:ascii="仿宋" w:hAnsi="仿宋" w:eastAsia="仿宋" w:cs="仿宋"/>
          <w:b/>
          <w:color w:val="auto"/>
          <w:sz w:val="24"/>
        </w:rPr>
        <w:t>乐采云供应商项目采购</w:t>
      </w:r>
      <w:r>
        <w:rPr>
          <w:rFonts w:ascii="仿宋" w:hAnsi="仿宋" w:eastAsia="仿宋" w:cs="仿宋"/>
          <w:b/>
          <w:color w:val="auto"/>
          <w:sz w:val="24"/>
        </w:rPr>
        <w:t>-电子招投标操作指南”及本磋商文件要求制作、加密传输。</w:t>
      </w:r>
    </w:p>
    <w:p w14:paraId="50B17F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ascii="仿宋" w:hAnsi="仿宋" w:eastAsia="仿宋" w:cs="仿宋"/>
          <w:b/>
          <w:color w:val="auto"/>
          <w:sz w:val="24"/>
          <w:u w:val="single"/>
        </w:rPr>
        <w:t>1.5.2响应文件的效力：</w:t>
      </w:r>
    </w:p>
    <w:p w14:paraId="4F51F48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52C57B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响应文件的组成</w:t>
      </w:r>
    </w:p>
    <w:p w14:paraId="40934B0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“商务技术（资信）文件资料”、“报价文件资料”三部分组成，其中</w:t>
      </w:r>
      <w:r>
        <w:rPr>
          <w:rFonts w:hint="eastAsia" w:ascii="仿宋" w:hAnsi="仿宋" w:eastAsia="仿宋" w:cs="仿宋"/>
          <w:b/>
          <w:color w:val="auto"/>
          <w:sz w:val="24"/>
        </w:rPr>
        <w:t>电子磋商响应文件中所须加盖公章部分均应采用电子签章。</w:t>
      </w:r>
    </w:p>
    <w:p w14:paraId="52A522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rPr>
        <w:t>2</w:t>
      </w:r>
      <w:r>
        <w:rPr>
          <w:rFonts w:ascii="仿宋" w:hAnsi="仿宋" w:eastAsia="仿宋" w:cs="仿宋"/>
          <w:b/>
          <w:color w:val="auto"/>
          <w:sz w:val="24"/>
          <w:lang w:val="zh-CN"/>
        </w:rPr>
        <w:t>.1资格文件：</w:t>
      </w:r>
    </w:p>
    <w:p w14:paraId="1167977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6E41D4B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szCs w:val="24"/>
          <w:highlight w:val="none"/>
        </w:rPr>
        <w:t>法定代表人身份证明书；</w:t>
      </w:r>
    </w:p>
    <w:p w14:paraId="7FD1FB9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101C31B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2.1.4</w:t>
      </w:r>
      <w:r>
        <w:rPr>
          <w:rFonts w:ascii="仿宋" w:hAnsi="仿宋" w:eastAsia="仿宋" w:cs="仿宋"/>
          <w:color w:val="auto"/>
          <w:sz w:val="24"/>
        </w:rPr>
        <w:t>符合参加采购活动应当具备的一般条件的承诺函；</w:t>
      </w:r>
    </w:p>
    <w:p w14:paraId="111CEB0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自采购公告发布之日起至磋商响应文件递交截止日内任意时间的“信用中国”网站（www.creditchina.gov.cn）、中国政府采购网（www.ccgp.gov.cn）响应方信用查询网页截图。（以磋商当日采购人或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5002F3B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Style w:val="69"/>
          <w:rFonts w:hint="eastAsia" w:ascii="仿宋" w:hAnsi="仿宋" w:eastAsia="仿宋" w:cs="仿宋"/>
          <w:color w:val="auto"/>
          <w:kern w:val="0"/>
          <w:sz w:val="24"/>
          <w:szCs w:val="24"/>
          <w:u w:val="none"/>
        </w:rPr>
        <w:t>单位负责人为同一人或者存在直接控股、管理关系的不同供应商，不得参加同一合同项下的政企采购活动（开标后提供《政企采购活动现场确认声明书》（PDF版），发送至邮箱</w:t>
      </w:r>
      <w:r>
        <w:rPr>
          <w:rStyle w:val="69"/>
          <w:rFonts w:hint="eastAsia" w:ascii="仿宋" w:hAnsi="仿宋" w:eastAsia="仿宋" w:cs="仿宋"/>
          <w:color w:val="auto"/>
          <w:kern w:val="0"/>
          <w:sz w:val="24"/>
          <w:szCs w:val="24"/>
          <w:u w:val="none"/>
          <w:lang w:eastAsia="zh-CN"/>
        </w:rPr>
        <w:t>1132452991@qq.com</w:t>
      </w:r>
      <w:r>
        <w:rPr>
          <w:rStyle w:val="69"/>
          <w:rFonts w:hint="eastAsia" w:ascii="仿宋" w:hAnsi="仿宋" w:eastAsia="仿宋" w:cs="仿宋"/>
          <w:color w:val="auto"/>
          <w:kern w:val="0"/>
          <w:sz w:val="24"/>
          <w:szCs w:val="24"/>
          <w:u w:val="none"/>
        </w:rPr>
        <w:t>）</w:t>
      </w:r>
      <w:r>
        <w:rPr>
          <w:rStyle w:val="69"/>
          <w:rFonts w:hint="eastAsia" w:ascii="仿宋" w:hAnsi="仿宋" w:eastAsia="仿宋" w:cs="仿宋"/>
          <w:color w:val="auto"/>
          <w:kern w:val="0"/>
          <w:sz w:val="24"/>
          <w:szCs w:val="24"/>
          <w:u w:val="none"/>
          <w:lang w:eastAsia="zh-CN"/>
        </w:rPr>
        <w:t>；</w:t>
      </w:r>
    </w:p>
    <w:p w14:paraId="6FD9E27C">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ascii="仿宋" w:hAnsi="仿宋" w:eastAsia="仿宋" w:cs="仿宋"/>
          <w:color w:val="auto"/>
          <w:sz w:val="24"/>
        </w:rPr>
        <w:t>。</w:t>
      </w:r>
    </w:p>
    <w:p w14:paraId="6FB95F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lang w:val="zh-CN"/>
        </w:rPr>
        <w:t>2.</w:t>
      </w:r>
      <w:r>
        <w:rPr>
          <w:rFonts w:ascii="仿宋" w:hAnsi="仿宋" w:eastAsia="仿宋" w:cs="仿宋"/>
          <w:b/>
          <w:color w:val="auto"/>
          <w:sz w:val="24"/>
        </w:rPr>
        <w:t>2商务技术</w:t>
      </w:r>
      <w:r>
        <w:rPr>
          <w:rFonts w:hint="eastAsia" w:ascii="仿宋" w:hAnsi="仿宋" w:eastAsia="仿宋" w:cs="仿宋"/>
          <w:b/>
          <w:color w:val="auto"/>
          <w:sz w:val="24"/>
          <w:lang w:val="zh-CN"/>
        </w:rPr>
        <w:t>文件：</w:t>
      </w:r>
    </w:p>
    <w:p w14:paraId="32B9532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rPr>
        <w:t>；</w:t>
      </w:r>
    </w:p>
    <w:p w14:paraId="48EE54A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lang w:val="en-US" w:eastAsia="zh-CN"/>
        </w:rPr>
        <w:t>2.2.2</w:t>
      </w:r>
      <w:r>
        <w:rPr>
          <w:rFonts w:ascii="仿宋" w:hAnsi="仿宋" w:eastAsia="仿宋" w:cs="仿宋"/>
          <w:color w:val="auto"/>
          <w:sz w:val="24"/>
        </w:rPr>
        <w:t>响应函；</w:t>
      </w:r>
    </w:p>
    <w:p w14:paraId="3ACA25A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szCs w:val="24"/>
          <w:lang w:eastAsia="zh-CN"/>
        </w:rPr>
        <w:t>法定代表人身份证明书；</w:t>
      </w:r>
    </w:p>
    <w:p w14:paraId="7875F00F">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74A64F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评分索引表</w:t>
      </w:r>
      <w:r>
        <w:rPr>
          <w:rFonts w:ascii="仿宋" w:hAnsi="仿宋" w:eastAsia="仿宋" w:cs="仿宋"/>
          <w:color w:val="auto"/>
          <w:sz w:val="24"/>
        </w:rPr>
        <w:t>；</w:t>
      </w:r>
    </w:p>
    <w:p w14:paraId="1331E18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6采购供应商廉洁自律承诺书</w:t>
      </w:r>
      <w:r>
        <w:rPr>
          <w:rFonts w:hint="eastAsia" w:ascii="仿宋" w:hAnsi="仿宋" w:eastAsia="仿宋" w:cs="仿宋"/>
          <w:color w:val="auto"/>
          <w:sz w:val="24"/>
        </w:rPr>
        <w:t>；</w:t>
      </w:r>
    </w:p>
    <w:p w14:paraId="59749D75">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szCs w:val="24"/>
          <w:highlight w:val="none"/>
          <w:lang w:val="en-US" w:eastAsia="zh-CN"/>
        </w:rPr>
        <w:t>资信及商务响应表</w:t>
      </w:r>
      <w:r>
        <w:rPr>
          <w:rFonts w:hint="eastAsia" w:ascii="仿宋" w:hAnsi="仿宋" w:eastAsia="仿宋" w:cs="仿宋"/>
          <w:color w:val="auto"/>
          <w:sz w:val="24"/>
          <w:lang w:eastAsia="zh-CN"/>
        </w:rPr>
        <w:t>；</w:t>
      </w:r>
    </w:p>
    <w:p w14:paraId="666E517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szCs w:val="24"/>
        </w:rPr>
        <w:t>综合实力</w:t>
      </w:r>
      <w:r>
        <w:rPr>
          <w:rFonts w:ascii="仿宋" w:hAnsi="仿宋" w:eastAsia="仿宋" w:cs="仿宋"/>
          <w:color w:val="auto"/>
          <w:sz w:val="24"/>
        </w:rPr>
        <w:t>：</w:t>
      </w:r>
    </w:p>
    <w:p w14:paraId="3C49E1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w:t>
      </w:r>
      <w:r>
        <w:rPr>
          <w:rFonts w:hint="eastAsia" w:ascii="仿宋" w:hAnsi="仿宋" w:eastAsia="仿宋" w:cs="仿宋"/>
          <w:color w:val="auto"/>
          <w:sz w:val="24"/>
          <w:lang w:val="en-US" w:eastAsia="zh-CN"/>
        </w:rPr>
        <w:t>9</w:t>
      </w:r>
      <w:r>
        <w:rPr>
          <w:rFonts w:hint="eastAsia" w:ascii="仿宋" w:hAnsi="仿宋" w:eastAsia="仿宋" w:cs="仿宋"/>
          <w:color w:val="auto"/>
          <w:kern w:val="0"/>
          <w:sz w:val="24"/>
          <w:szCs w:val="24"/>
          <w:lang w:val="en-US" w:eastAsia="zh-CN"/>
        </w:rPr>
        <w:t>同类业绩</w:t>
      </w:r>
      <w:r>
        <w:rPr>
          <w:rFonts w:hint="eastAsia" w:ascii="仿宋" w:hAnsi="仿宋" w:eastAsia="仿宋" w:cs="仿宋"/>
          <w:color w:val="auto"/>
          <w:sz w:val="24"/>
          <w:szCs w:val="24"/>
          <w:lang w:eastAsia="zh-CN"/>
        </w:rPr>
        <w:t>；</w:t>
      </w:r>
    </w:p>
    <w:p w14:paraId="09663A6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0</w:t>
      </w: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hAnsi="仿宋" w:eastAsia="仿宋" w:cs="仿宋"/>
          <w:color w:val="auto"/>
          <w:sz w:val="24"/>
          <w:lang w:eastAsia="zh-CN"/>
        </w:rPr>
        <w:t>；</w:t>
      </w:r>
    </w:p>
    <w:p w14:paraId="53D45A9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1</w:t>
      </w:r>
      <w:r>
        <w:rPr>
          <w:rFonts w:hint="eastAsia" w:ascii="仿宋" w:hAnsi="仿宋" w:eastAsia="仿宋" w:cs="仿宋"/>
          <w:color w:val="auto"/>
          <w:kern w:val="0"/>
          <w:sz w:val="24"/>
          <w:szCs w:val="24"/>
          <w:lang w:val="en-US" w:eastAsia="zh-CN"/>
        </w:rPr>
        <w:t>产品情况</w:t>
      </w:r>
      <w:r>
        <w:rPr>
          <w:rFonts w:hint="eastAsia" w:ascii="仿宋" w:hAnsi="仿宋" w:eastAsia="仿宋" w:cs="仿宋"/>
          <w:color w:val="auto"/>
          <w:sz w:val="24"/>
          <w:lang w:eastAsia="zh-CN"/>
        </w:rPr>
        <w:t>；</w:t>
      </w:r>
    </w:p>
    <w:p w14:paraId="50E3E86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2</w:t>
      </w:r>
      <w:r>
        <w:rPr>
          <w:rFonts w:hint="eastAsia" w:ascii="仿宋" w:hAnsi="仿宋" w:eastAsia="仿宋" w:cs="仿宋"/>
          <w:b w:val="0"/>
          <w:bCs/>
          <w:color w:val="auto"/>
          <w:kern w:val="2"/>
          <w:sz w:val="24"/>
          <w:szCs w:val="24"/>
          <w:highlight w:val="none"/>
          <w:lang w:val="en-US" w:eastAsia="zh-CN" w:bidi="ar-SA"/>
        </w:rPr>
        <w:t>检测报告</w:t>
      </w:r>
      <w:r>
        <w:rPr>
          <w:rFonts w:ascii="仿宋" w:hAnsi="仿宋" w:eastAsia="仿宋" w:cs="仿宋"/>
          <w:color w:val="auto"/>
          <w:sz w:val="24"/>
        </w:rPr>
        <w:t>；</w:t>
      </w:r>
    </w:p>
    <w:p w14:paraId="2EAA0E1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13</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ascii="仿宋" w:hAnsi="仿宋" w:eastAsia="仿宋" w:cs="仿宋"/>
          <w:color w:val="auto"/>
          <w:sz w:val="24"/>
        </w:rPr>
        <w:t>；</w:t>
      </w:r>
    </w:p>
    <w:p w14:paraId="04FE07E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ascii="仿宋" w:hAnsi="仿宋" w:eastAsia="仿宋" w:cs="仿宋"/>
          <w:color w:val="auto"/>
          <w:sz w:val="24"/>
        </w:rPr>
        <w:t>2.2.1</w:t>
      </w:r>
      <w:r>
        <w:rPr>
          <w:rFonts w:hint="eastAsia" w:ascii="仿宋" w:hAnsi="仿宋" w:eastAsia="仿宋" w:cs="仿宋"/>
          <w:color w:val="auto"/>
          <w:sz w:val="24"/>
          <w:lang w:val="en-US" w:eastAsia="zh-CN"/>
        </w:rPr>
        <w:t>4</w:t>
      </w:r>
      <w:r>
        <w:rPr>
          <w:rFonts w:hint="eastAsia" w:ascii="仿宋" w:hAnsi="仿宋" w:eastAsia="仿宋" w:cs="仿宋"/>
          <w:color w:val="auto"/>
          <w:sz w:val="24"/>
          <w:szCs w:val="24"/>
          <w:highlight w:val="none"/>
          <w:shd w:val="clear" w:color="auto" w:fill="auto"/>
          <w:lang w:eastAsia="zh-CN"/>
        </w:rPr>
        <w:t>供货方案</w:t>
      </w:r>
      <w:r>
        <w:rPr>
          <w:rFonts w:hint="eastAsia" w:ascii="仿宋" w:hAnsi="仿宋" w:eastAsia="仿宋" w:cs="仿宋"/>
          <w:color w:val="auto"/>
          <w:sz w:val="24"/>
          <w:lang w:eastAsia="zh-CN"/>
        </w:rPr>
        <w:t>；</w:t>
      </w:r>
    </w:p>
    <w:p w14:paraId="65D89C2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lang w:val="en-US" w:eastAsia="zh-CN"/>
        </w:rPr>
        <w:t>5</w:t>
      </w:r>
      <w:r>
        <w:rPr>
          <w:rFonts w:hint="eastAsia" w:ascii="仿宋" w:hAnsi="仿宋" w:eastAsia="仿宋" w:cs="仿宋"/>
          <w:b w:val="0"/>
          <w:bCs/>
          <w:color w:val="auto"/>
          <w:sz w:val="24"/>
          <w:szCs w:val="24"/>
          <w:highlight w:val="none"/>
          <w:lang w:val="en-US" w:eastAsia="zh-CN"/>
        </w:rPr>
        <w:t>售后服务</w:t>
      </w:r>
      <w:r>
        <w:rPr>
          <w:rFonts w:hint="eastAsia" w:ascii="仿宋" w:hAnsi="仿宋" w:eastAsia="仿宋" w:cs="仿宋"/>
          <w:color w:val="auto"/>
          <w:sz w:val="24"/>
        </w:rPr>
        <w:t>；</w:t>
      </w:r>
    </w:p>
    <w:p w14:paraId="1B6BEFC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lang w:val="en-US" w:eastAsia="zh-CN"/>
        </w:rPr>
        <w:t>16</w:t>
      </w:r>
      <w:r>
        <w:rPr>
          <w:rFonts w:ascii="仿宋" w:hAnsi="仿宋" w:eastAsia="仿宋" w:cs="仿宋"/>
          <w:color w:val="auto"/>
          <w:sz w:val="24"/>
        </w:rPr>
        <w:t>供应商需要说明的其他文件和说明（如果有）。</w:t>
      </w:r>
    </w:p>
    <w:p w14:paraId="67CDA5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b/>
          <w:color w:val="auto"/>
          <w:sz w:val="24"/>
          <w:lang w:val="zh-CN"/>
        </w:rPr>
      </w:pPr>
      <w:r>
        <w:rPr>
          <w:rFonts w:ascii="仿宋" w:hAnsi="仿宋" w:eastAsia="仿宋" w:cs="仿宋"/>
          <w:b/>
          <w:bCs/>
          <w:color w:val="auto"/>
          <w:sz w:val="24"/>
          <w:lang w:val="zh-CN"/>
        </w:rPr>
        <w:t xml:space="preserve">2.3报价文件： </w:t>
      </w:r>
    </w:p>
    <w:p w14:paraId="06604A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  2.3.1磋商一览表；</w:t>
      </w:r>
    </w:p>
    <w:p w14:paraId="27B2F32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2.3.2磋商响应方针对报价需要说明的其他文件和说明（</w:t>
      </w:r>
      <w:r>
        <w:rPr>
          <w:rFonts w:ascii="仿宋" w:hAnsi="仿宋" w:eastAsia="仿宋" w:cs="仿宋"/>
          <w:color w:val="auto"/>
          <w:sz w:val="24"/>
        </w:rPr>
        <w:t>如果有</w:t>
      </w:r>
      <w:r>
        <w:rPr>
          <w:rFonts w:hint="eastAsia" w:ascii="仿宋" w:hAnsi="仿宋" w:eastAsia="仿宋" w:cs="仿宋"/>
          <w:color w:val="auto"/>
          <w:sz w:val="24"/>
          <w:highlight w:val="none"/>
          <w:lang w:val="en-US" w:eastAsia="zh-CN"/>
        </w:rPr>
        <w:t>）。</w:t>
      </w:r>
    </w:p>
    <w:p w14:paraId="47B8CE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z w:val="24"/>
          <w:lang w:val="zh-CN"/>
        </w:rPr>
      </w:pPr>
      <w:r>
        <w:rPr>
          <w:rFonts w:ascii="仿宋" w:hAnsi="仿宋" w:eastAsia="仿宋" w:cs="仿宋"/>
          <w:b/>
          <w:bCs/>
          <w:color w:val="auto"/>
          <w:sz w:val="24"/>
        </w:rPr>
        <w:t>3.</w:t>
      </w:r>
      <w:r>
        <w:rPr>
          <w:rFonts w:hint="eastAsia" w:ascii="仿宋" w:hAnsi="仿宋" w:eastAsia="仿宋" w:cs="仿宋"/>
          <w:b/>
          <w:bCs/>
          <w:color w:val="auto"/>
          <w:sz w:val="24"/>
          <w:lang w:val="zh-CN"/>
        </w:rPr>
        <w:t>磋商</w:t>
      </w:r>
      <w:r>
        <w:rPr>
          <w:rFonts w:ascii="仿宋" w:hAnsi="仿宋" w:eastAsia="仿宋" w:cs="仿宋"/>
          <w:b/>
          <w:bCs/>
          <w:color w:val="auto"/>
          <w:sz w:val="24"/>
          <w:lang w:val="zh-CN"/>
        </w:rPr>
        <w:t>报价</w:t>
      </w:r>
    </w:p>
    <w:p w14:paraId="2DF483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hint="eastAsia" w:ascii="仿宋" w:hAnsi="仿宋" w:eastAsia="仿宋" w:cs="仿宋"/>
          <w:color w:val="auto"/>
          <w:sz w:val="24"/>
          <w:szCs w:val="24"/>
        </w:rPr>
        <w:t>3.1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5D9E0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3.2磋商文件未列明，而供应商认为必需的费用也需列入报价。</w:t>
      </w:r>
    </w:p>
    <w:p w14:paraId="692299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3.2磋商报价只允许有一个报价，有选择的报价将不予接受（除指定外）。</w:t>
      </w:r>
    </w:p>
    <w:p w14:paraId="00454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3.3供应商提供虚假材料磋商的，磋商无效。</w:t>
      </w:r>
    </w:p>
    <w:p w14:paraId="033D555C">
      <w:pPr>
        <w:pStyle w:val="33"/>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szCs w:val="24"/>
        </w:rPr>
      </w:pPr>
      <w:r>
        <w:rPr>
          <w:rFonts w:ascii="仿宋" w:hAnsi="仿宋" w:eastAsia="仿宋" w:cs="仿宋"/>
          <w:b/>
          <w:color w:val="auto"/>
          <w:sz w:val="24"/>
          <w:szCs w:val="24"/>
        </w:rPr>
        <w:t>4.响应文件的编制和签署</w:t>
      </w:r>
    </w:p>
    <w:p w14:paraId="784535F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kern w:val="0"/>
          <w:sz w:val="24"/>
        </w:rPr>
        <w:t>4</w:t>
      </w:r>
      <w:r>
        <w:rPr>
          <w:rFonts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228B9B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.2供应商进行电子交易应安装客户端软件—“</w:t>
      </w:r>
      <w:r>
        <w:rPr>
          <w:rFonts w:hint="eastAsia" w:ascii="仿宋" w:hAnsi="仿宋" w:eastAsia="仿宋" w:cs="仿宋"/>
          <w:color w:val="auto"/>
          <w:kern w:val="0"/>
          <w:sz w:val="24"/>
          <w:lang w:val="zh-CN"/>
        </w:rPr>
        <w:t>乐采云电子交易客户端”，并按照磋商文件和电子交易平台的要求编制并加密响应文件。供应商未按规定加密的响应文件，电子交易平台将拒收并提示。</w:t>
      </w:r>
    </w:p>
    <w:p w14:paraId="26F887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.3使用“</w:t>
      </w:r>
      <w:r>
        <w:rPr>
          <w:rFonts w:hint="eastAsia" w:ascii="仿宋" w:hAnsi="仿宋" w:eastAsia="仿宋" w:cs="仿宋"/>
          <w:color w:val="auto"/>
          <w:kern w:val="0"/>
          <w:sz w:val="24"/>
          <w:lang w:val="zh-CN"/>
        </w:rPr>
        <w:t>乐采云电子交易客户端”需要提前申领</w:t>
      </w:r>
      <w:r>
        <w:rPr>
          <w:rFonts w:ascii="仿宋" w:hAnsi="仿宋" w:eastAsia="仿宋" w:cs="仿宋"/>
          <w:color w:val="auto"/>
          <w:kern w:val="0"/>
          <w:sz w:val="24"/>
          <w:lang w:val="zh-CN"/>
        </w:rPr>
        <w:t>CA数字证书，申领流程请自行前往“浙江政府采购网-下载专区-电子交易客户端-CA驱动和申领流程”进行查阅。</w:t>
      </w:r>
    </w:p>
    <w:p w14:paraId="563B38F9">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b/>
          <w:color w:val="auto"/>
        </w:rPr>
      </w:pPr>
      <w:r>
        <w:rPr>
          <w:rFonts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6B0C4F96">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rPr>
      </w:pPr>
      <w:r>
        <w:rPr>
          <w:rFonts w:ascii="仿宋" w:hAnsi="仿宋" w:eastAsia="仿宋" w:cs="仿宋"/>
          <w:color w:val="auto"/>
          <w:szCs w:val="24"/>
        </w:rPr>
        <w:t>4.5为确保网上操作合法、有效和安全，供应商应当在响应截止时间前完成在“乐采云平台</w:t>
      </w:r>
      <w:r>
        <w:rPr>
          <w:rFonts w:hint="eastAsia" w:ascii="仿宋" w:hAnsi="仿宋" w:eastAsia="仿宋" w:cs="仿宋"/>
          <w:color w:val="auto"/>
          <w:szCs w:val="24"/>
        </w:rPr>
        <w:t>”的身份认证，确保在电子交易过程中能够对相关数据电文进行加密和使用电子签名。</w:t>
      </w:r>
    </w:p>
    <w:p w14:paraId="37877FE0">
      <w:pPr>
        <w:pStyle w:val="39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rPr>
        <w:t>4.6磋商文件对响应文件签署、盖章的要求适用于电子签名。</w:t>
      </w:r>
    </w:p>
    <w:p w14:paraId="22361F08">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磋商响应文件的提交、补充、修改、撤回</w:t>
      </w:r>
    </w:p>
    <w:p w14:paraId="1D7BEB45">
      <w:pPr>
        <w:pStyle w:val="397"/>
        <w:keepNext w:val="0"/>
        <w:keepLines w:val="0"/>
        <w:pageBreakBefore w:val="0"/>
        <w:widowControl w:val="0"/>
        <w:kinsoku/>
        <w:wordWrap/>
        <w:overflowPunct/>
        <w:topLinePunct w:val="0"/>
        <w:autoSpaceDE/>
        <w:autoSpaceDN/>
        <w:bidi w:val="0"/>
        <w:adjustRightInd w:val="0"/>
        <w:spacing w:before="0" w:line="360" w:lineRule="auto"/>
        <w:ind w:firstLine="480"/>
        <w:textAlignment w:val="auto"/>
        <w:rPr>
          <w:rFonts w:ascii="仿宋" w:hAnsi="仿宋" w:eastAsia="仿宋" w:cs="仿宋"/>
          <w:color w:val="auto"/>
          <w:szCs w:val="24"/>
        </w:rPr>
      </w:pPr>
      <w:r>
        <w:rPr>
          <w:rFonts w:ascii="仿宋" w:hAnsi="仿宋" w:eastAsia="仿宋" w:cs="仿宋"/>
          <w:color w:val="auto"/>
          <w:szCs w:val="24"/>
        </w:rPr>
        <w:t xml:space="preserve">5.1 </w:t>
      </w:r>
      <w:r>
        <w:rPr>
          <w:rFonts w:hint="eastAsia" w:ascii="仿宋" w:hAnsi="仿宋" w:eastAsia="仿宋" w:cs="仿宋"/>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1922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5.2 </w:t>
      </w:r>
      <w:r>
        <w:rPr>
          <w:rFonts w:hint="eastAsia" w:ascii="仿宋" w:hAnsi="仿宋" w:eastAsia="仿宋" w:cs="仿宋"/>
          <w:color w:val="auto"/>
          <w:sz w:val="24"/>
        </w:rPr>
        <w:t>在响应截止时间以后，不能补充、修改响应文件。</w:t>
      </w:r>
    </w:p>
    <w:p w14:paraId="729AEAC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5.3 </w:t>
      </w:r>
      <w:r>
        <w:rPr>
          <w:rFonts w:hint="eastAsia" w:ascii="仿宋" w:hAnsi="仿宋" w:eastAsia="仿宋" w:cs="仿宋"/>
          <w:color w:val="auto"/>
          <w:sz w:val="24"/>
        </w:rPr>
        <w:t>在提交“最后报价”后，供应商不能退出磋商。</w:t>
      </w:r>
    </w:p>
    <w:p w14:paraId="44F88A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5.4 </w:t>
      </w:r>
      <w:r>
        <w:rPr>
          <w:rFonts w:hint="eastAsia" w:ascii="仿宋" w:hAnsi="仿宋" w:eastAsia="仿宋" w:cs="仿宋"/>
          <w:color w:val="auto"/>
          <w:sz w:val="24"/>
        </w:rPr>
        <w:t>电子交易平台收到响应文件，将妥善保存并即时向供应商发出确认回执通知。在响应截止时间前，除供应商补充、修改或者撤回响应文件外，任何单位和个人不得解密或提取响应文件。</w:t>
      </w:r>
    </w:p>
    <w:p w14:paraId="5881E2A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rPr>
      </w:pPr>
      <w:r>
        <w:rPr>
          <w:rFonts w:ascii="仿宋" w:hAnsi="仿宋" w:eastAsia="仿宋" w:cs="仿宋"/>
          <w:color w:val="auto"/>
          <w:sz w:val="24"/>
        </w:rPr>
        <w:t xml:space="preserve">5.5 </w:t>
      </w:r>
      <w:r>
        <w:rPr>
          <w:rFonts w:hint="eastAsia" w:ascii="仿宋" w:hAnsi="仿宋" w:eastAsia="仿宋" w:cs="仿宋"/>
          <w:color w:val="auto"/>
          <w:sz w:val="24"/>
        </w:rPr>
        <w:t>采购代理机构可以视情况延长提交响应文件的截止时间。在上述情况下，采购代理机构与供应商以前在响应截止期方面的全部权利、责任和义务，将适用于延长至新的响应截止期。</w:t>
      </w:r>
    </w:p>
    <w:p w14:paraId="1DAA7AD1">
      <w:pPr>
        <w:pStyle w:val="397"/>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ascii="仿宋" w:hAnsi="仿宋" w:eastAsia="仿宋" w:cs="仿宋"/>
          <w:b/>
          <w:color w:val="auto"/>
          <w:szCs w:val="24"/>
        </w:rPr>
      </w:pPr>
      <w:r>
        <w:rPr>
          <w:rStyle w:val="71"/>
          <w:color w:val="auto"/>
        </w:rPr>
        <w:t>6.</w:t>
      </w:r>
      <w:r>
        <w:rPr>
          <w:rFonts w:hint="eastAsia" w:ascii="仿宋" w:hAnsi="仿宋" w:eastAsia="仿宋" w:cs="仿宋"/>
          <w:b/>
          <w:color w:val="auto"/>
          <w:szCs w:val="24"/>
        </w:rPr>
        <w:t>磋商响应有效期</w:t>
      </w:r>
    </w:p>
    <w:p w14:paraId="2A363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14:paraId="086DC4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6.2磋商响应文件合格投递后，自磋商截止日期起，在磋商有效期内有效。</w:t>
      </w:r>
    </w:p>
    <w:p w14:paraId="02E21A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CEC5684">
      <w:pPr>
        <w:keepNext w:val="0"/>
        <w:keepLines w:val="0"/>
        <w:pageBreakBefore w:val="0"/>
        <w:kinsoku/>
        <w:wordWrap/>
        <w:overflowPunct/>
        <w:topLinePunct w:val="0"/>
        <w:bidi w:val="0"/>
        <w:adjustRightInd/>
        <w:spacing w:line="360" w:lineRule="auto"/>
        <w:textAlignment w:val="auto"/>
        <w:outlineLvl w:val="0"/>
        <w:rPr>
          <w:rFonts w:ascii="仿宋" w:hAnsi="仿宋" w:eastAsia="仿宋" w:cs="仿宋"/>
          <w:b/>
          <w:color w:val="auto"/>
          <w:sz w:val="32"/>
          <w:szCs w:val="20"/>
        </w:rPr>
      </w:pPr>
    </w:p>
    <w:p w14:paraId="600E5997">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7A76BFC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磋商程序</w:t>
      </w:r>
    </w:p>
    <w:p w14:paraId="341552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1.1响应截止时间后，主持人宣布磋商开始。</w:t>
      </w:r>
    </w:p>
    <w:p w14:paraId="01F367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1.2供应商登录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-开标评标”功能对电子磋商响应文件进行在线解密。在线解密电子磋商响应文件时间为磋商截止时间起30分钟内。</w:t>
      </w:r>
    </w:p>
    <w:p w14:paraId="3CEEEEE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1.3确定各供应商磋商、演示顺序（如有要求）。</w:t>
      </w:r>
    </w:p>
    <w:p w14:paraId="44AE86F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1.4磋商小组对磋商响应文件进行评估和比较。</w:t>
      </w:r>
    </w:p>
    <w:p w14:paraId="3A7FE0E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1.5磋商小组与单一供应商分别进行磋商。</w:t>
      </w:r>
    </w:p>
    <w:p w14:paraId="280D46C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w:t>
      </w:r>
    </w:p>
    <w:p w14:paraId="24D8210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86AB0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1.8主持人公布磋商结果。</w:t>
      </w:r>
    </w:p>
    <w:p w14:paraId="1AAEECEC">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ascii="仿宋" w:hAnsi="仿宋" w:eastAsia="仿宋" w:cs="仿宋"/>
          <w:b/>
          <w:color w:val="auto"/>
          <w:sz w:val="24"/>
        </w:rPr>
      </w:pPr>
      <w:r>
        <w:rPr>
          <w:rFonts w:hint="eastAsia" w:ascii="仿宋" w:hAnsi="仿宋" w:eastAsia="仿宋" w:cs="仿宋"/>
          <w:b/>
          <w:color w:val="auto"/>
          <w:sz w:val="24"/>
        </w:rPr>
        <w:t>特别说明：乐采云公司如对电子化磋商程序有调整的，按调整后的程序操作。</w:t>
      </w:r>
    </w:p>
    <w:p w14:paraId="52F2319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7944F2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2.1电子交易平台发生故障而无法登录访问的；</w:t>
      </w:r>
    </w:p>
    <w:p w14:paraId="4B8F12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2.2电子交易平台应用或数据库出现错误，不能进行正常操作的；</w:t>
      </w:r>
    </w:p>
    <w:p w14:paraId="2EAACF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2.3电子交易平台发现严重安全漏洞，有潜在泄密危险的；</w:t>
      </w:r>
    </w:p>
    <w:p w14:paraId="4F455E5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2.4病毒发作导致不能进行正常操作的；</w:t>
      </w:r>
    </w:p>
    <w:p w14:paraId="7D33405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2.5其他无法保证电子交易的公平、公正和安全的情况。</w:t>
      </w:r>
    </w:p>
    <w:p w14:paraId="2000D2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059361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磋商内容</w:t>
      </w:r>
    </w:p>
    <w:p w14:paraId="12DBD253">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2E4C81F5">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3.2磋商应作书面记录，供应商并就磋商内容作出书面承诺，并由供应商法定代表人或其授权委托人签</w:t>
      </w:r>
      <w:r>
        <w:rPr>
          <w:rFonts w:hint="eastAsia" w:ascii="仿宋" w:hAnsi="仿宋" w:eastAsia="仿宋" w:cs="仿宋"/>
          <w:color w:val="auto"/>
          <w:sz w:val="24"/>
          <w:lang w:eastAsia="zh-CN"/>
        </w:rPr>
        <w:t>名</w:t>
      </w:r>
      <w:r>
        <w:rPr>
          <w:rFonts w:ascii="仿宋" w:hAnsi="仿宋" w:eastAsia="仿宋" w:cs="仿宋"/>
          <w:color w:val="auto"/>
          <w:sz w:val="24"/>
        </w:rPr>
        <w:t>后生效，作为磋商响应文件的一部分。</w:t>
      </w:r>
    </w:p>
    <w:p w14:paraId="4E2AC62A">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3.3磋商文件有实质性变动的，磋商小组以书面形式通知所有参加磋商的供应商。</w:t>
      </w:r>
    </w:p>
    <w:p w14:paraId="6148306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磋商</w:t>
      </w:r>
    </w:p>
    <w:p w14:paraId="1D1D283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4.1磋商小组由采购人依法组建，负责评审活动。磋商小组遵循公开、公平、公正、科学合理、竞争择优的原则。</w:t>
      </w:r>
    </w:p>
    <w:p w14:paraId="31FD855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4.2磋商小组由采购人代表和有关方面的专家组成，成员人数为3人以上单数。</w:t>
      </w:r>
    </w:p>
    <w:p w14:paraId="48AB237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4.3磋商小组负责对供应商资格的最终审定。</w:t>
      </w:r>
    </w:p>
    <w:p w14:paraId="4992946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5D3F07E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1158EE6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供应商通过乐采云平台交换的数据电文必须进行电子签章。</w:t>
      </w:r>
    </w:p>
    <w:p w14:paraId="40B0F95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1AB1DD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w:t>
      </w:r>
      <w:r>
        <w:rPr>
          <w:rFonts w:ascii="仿宋" w:hAnsi="仿宋" w:eastAsia="仿宋" w:cs="仿宋"/>
          <w:color w:val="auto"/>
          <w:sz w:val="24"/>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1E0189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1CC876F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ascii="仿宋" w:hAnsi="仿宋" w:eastAsia="仿宋" w:cs="仿宋"/>
          <w:color w:val="auto"/>
          <w:sz w:val="24"/>
        </w:rPr>
        <w:t>4.7磋商小组不向落标方解释落标的原因，不退还磋商响应文件。</w:t>
      </w:r>
    </w:p>
    <w:p w14:paraId="5448C2BE">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5.</w:t>
      </w:r>
      <w:r>
        <w:rPr>
          <w:rFonts w:ascii="仿宋" w:hAnsi="仿宋" w:eastAsia="仿宋" w:cs="仿宋"/>
          <w:b/>
          <w:color w:val="auto"/>
          <w:sz w:val="24"/>
        </w:rPr>
        <w:t>磋商响应文件的初审鉴定</w:t>
      </w:r>
    </w:p>
    <w:p w14:paraId="3CCE97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5.1资格性审查</w:t>
      </w:r>
    </w:p>
    <w:p w14:paraId="21FCC4B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5.1.1依据法律、法规和磋商文件规定，对磋商响应文件中对资格证明、磋商保证金等进行审查，以确定供应商是否具备磋商资格。</w:t>
      </w:r>
    </w:p>
    <w:p w14:paraId="4A268CB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5.2符合性审查</w:t>
      </w:r>
    </w:p>
    <w:p w14:paraId="6CDC8C1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CEB750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rPr>
        <w:t>磋商。</w:t>
      </w:r>
    </w:p>
    <w:p w14:paraId="651FEA94">
      <w:pPr>
        <w:keepNext w:val="0"/>
        <w:keepLines w:val="0"/>
        <w:pageBreakBefore w:val="0"/>
        <w:widowControl/>
        <w:kinsoku/>
        <w:wordWrap/>
        <w:overflowPunct/>
        <w:topLinePunct w:val="0"/>
        <w:autoSpaceDE/>
        <w:autoSpaceDN/>
        <w:bidi w:val="0"/>
        <w:snapToGrid w:val="0"/>
        <w:spacing w:line="360" w:lineRule="auto"/>
        <w:textAlignment w:val="auto"/>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lang w:val="en-US" w:eastAsia="zh-CN"/>
        </w:rPr>
        <w:t>.</w:t>
      </w:r>
      <w:r>
        <w:rPr>
          <w:rFonts w:hint="eastAsia" w:ascii="仿宋" w:hAnsi="仿宋" w:eastAsia="仿宋" w:cs="仿宋"/>
          <w:b/>
          <w:color w:val="auto"/>
          <w:kern w:val="0"/>
          <w:sz w:val="24"/>
        </w:rPr>
        <w:t>对明显的文字和计算错误的修正原则</w:t>
      </w:r>
    </w:p>
    <w:p w14:paraId="314184A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6.1磋商响应文件中报价一览表（报价表）内容与磋商响应文件中相应内容不一致的，以报价一览表（报价表）为准；</w:t>
      </w:r>
    </w:p>
    <w:p w14:paraId="2C1FCEF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6.2大写金额和小写金额不一致的，以大写金额为准；</w:t>
      </w:r>
    </w:p>
    <w:p w14:paraId="203BADF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6.3单价金额小数点或者百分比有明显错位的，以报价一览表的总价为准，并修改单价；</w:t>
      </w:r>
    </w:p>
    <w:p w14:paraId="5CC5858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6.4总价金额与按单价汇总金额不一致的，以单价金额计算结果为准。</w:t>
      </w:r>
    </w:p>
    <w:p w14:paraId="54E9904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w:t>
      </w:r>
      <w:r>
        <w:rPr>
          <w:rFonts w:hint="eastAsia" w:ascii="仿宋" w:hAnsi="仿宋" w:eastAsia="仿宋" w:cs="仿宋"/>
          <w:color w:val="auto"/>
          <w:sz w:val="24"/>
          <w:lang w:val="en-US" w:eastAsia="zh-CN"/>
        </w:rPr>
        <w:t>参照相关</w:t>
      </w:r>
      <w:r>
        <w:rPr>
          <w:rFonts w:hint="eastAsia" w:ascii="仿宋" w:hAnsi="仿宋" w:eastAsia="仿宋" w:cs="仿宋"/>
          <w:color w:val="auto"/>
          <w:sz w:val="24"/>
        </w:rPr>
        <w:t>规定经磋商响应人确认后产生约束力，磋商响应人不确认的，其磋商无效。</w:t>
      </w:r>
    </w:p>
    <w:p w14:paraId="098A939E">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7.磋商响应文件的评审、比较和否决</w:t>
      </w:r>
    </w:p>
    <w:p w14:paraId="4384A4D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7.1磋商小组将对在实质上响应磋商文件要求的磋商响应文件进行评估和比较。</w:t>
      </w:r>
    </w:p>
    <w:p w14:paraId="42A284F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7.2磋商小组可以书面形式要求供应商就磋商响应文件含义不明确的内容进行书面说明并提供相关材料。</w:t>
      </w:r>
    </w:p>
    <w:p w14:paraId="026901C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7.3如发现与磋商文件要求相偏离的，磋商小组应对其偏离情形进行必要的书面核实。</w:t>
      </w:r>
    </w:p>
    <w:p w14:paraId="403D87F0">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7.4如属于实质性偏离或符合无效响应条件的，磋商小组应当询问相关供应商，并允许其进行陈述申辩，但不允许对偏离条款撤回。</w:t>
      </w:r>
    </w:p>
    <w:p w14:paraId="77D1587D">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7.5比较与评价。磋商小组依据磋商文件规定的评审标准和方法，对磋商响应文件进行商务和技术评估，综合比较与评价。</w:t>
      </w:r>
    </w:p>
    <w:p w14:paraId="67BB884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7.6汇总（商务技术得分情况）。磋商小组各成员应当独立对每个供应商的磋商响应文件进行评价，并汇总商务技术得分情况。</w:t>
      </w:r>
    </w:p>
    <w:p w14:paraId="4CD48A3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7.7 </w:t>
      </w:r>
      <w:r>
        <w:rPr>
          <w:rFonts w:hint="eastAsia" w:ascii="仿宋" w:hAnsi="仿宋" w:eastAsia="仿宋" w:cs="仿宋"/>
          <w:color w:val="auto"/>
          <w:sz w:val="24"/>
        </w:rPr>
        <w:t>报价审核。对符合采购需求且通过商务技术（资信）评审的供应商的报价的合理性、准确性等进行审查核实。</w:t>
      </w:r>
    </w:p>
    <w:p w14:paraId="1859E361">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D562E0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w:t>
      </w:r>
      <w:r>
        <w:rPr>
          <w:rFonts w:hint="eastAsia" w:ascii="仿宋" w:hAnsi="仿宋" w:eastAsia="仿宋" w:cs="仿宋"/>
          <w:color w:val="auto"/>
          <w:sz w:val="24"/>
          <w:lang w:val="en-US" w:eastAsia="zh-CN"/>
        </w:rPr>
        <w:t>2</w:t>
      </w:r>
      <w:r>
        <w:rPr>
          <w:rFonts w:ascii="仿宋" w:hAnsi="仿宋" w:eastAsia="仿宋" w:cs="仿宋"/>
          <w:color w:val="auto"/>
          <w:sz w:val="24"/>
        </w:rPr>
        <w:t>如需磋商价格修正，按</w:t>
      </w:r>
      <w:r>
        <w:rPr>
          <w:rFonts w:hint="eastAsia" w:ascii="仿宋" w:hAnsi="仿宋" w:eastAsia="仿宋" w:cs="仿宋"/>
          <w:color w:val="auto"/>
          <w:sz w:val="24"/>
          <w:lang w:val="en-US" w:eastAsia="zh-CN"/>
        </w:rPr>
        <w:t>磋商文件</w:t>
      </w:r>
      <w:r>
        <w:rPr>
          <w:rFonts w:ascii="仿宋" w:hAnsi="仿宋" w:eastAsia="仿宋" w:cs="仿宋"/>
          <w:color w:val="auto"/>
          <w:sz w:val="24"/>
        </w:rPr>
        <w:t>规定对磋商价格进行修正。</w:t>
      </w:r>
    </w:p>
    <w:p w14:paraId="48286F28">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14:paraId="086CE7AD">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ascii="仿宋" w:hAnsi="仿宋" w:eastAsia="仿宋" w:cs="仿宋"/>
          <w:b/>
          <w:color w:val="auto"/>
        </w:rPr>
      </w:pPr>
      <w:r>
        <w:rPr>
          <w:rFonts w:ascii="仿宋" w:hAnsi="仿宋" w:eastAsia="仿宋" w:cs="仿宋"/>
          <w:b/>
          <w:color w:val="auto"/>
        </w:rPr>
        <w:t>8.磋商响应文件的澄清</w:t>
      </w:r>
    </w:p>
    <w:p w14:paraId="599DFB66">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211DB0A">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
          <w:b/>
          <w:color w:val="auto"/>
          <w:sz w:val="24"/>
          <w:szCs w:val="24"/>
        </w:rPr>
      </w:pPr>
      <w:r>
        <w:rPr>
          <w:rFonts w:ascii="仿宋" w:hAnsi="仿宋" w:eastAsia="仿宋" w:cs="仿宋"/>
          <w:b/>
          <w:color w:val="auto"/>
          <w:sz w:val="24"/>
          <w:szCs w:val="24"/>
        </w:rPr>
        <w:t>9</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无效磋商的情形</w:t>
      </w:r>
    </w:p>
    <w:p w14:paraId="46653261">
      <w:pPr>
        <w:keepNext w:val="0"/>
        <w:keepLines w:val="0"/>
        <w:pageBreakBefore w:val="0"/>
        <w:widowControl w:val="0"/>
        <w:tabs>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60AAC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00C1D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9.2单位负责人为同一人或者存在直接控股、管理关系的不同供应商参加同一合同项下的采购活动的（均无效）；</w:t>
      </w:r>
    </w:p>
    <w:p w14:paraId="590E7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55991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8F34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406A6C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150A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0FCF6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2F94C8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4881AA6">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526062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1B9FC04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F6B12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312BC2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11428E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243E6BF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074AB4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1528BA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60C3FD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219697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93E4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1E38E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7BA29C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514B6F6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7B6315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3946B7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28389B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D13EC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09A1C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286ECE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363C66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5635916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0D2DC5A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4D53EE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107E0C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447F58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1334152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38D4D5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58DC8E3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.4属于同一集团、协会、商会等组织成员的供应商按照该组织要求协同参加采购活动；</w:t>
      </w:r>
    </w:p>
    <w:p w14:paraId="67DB09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4C62A9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.6供应商之间商定部分供应商放弃参加采购活动或者放弃中标、成交；</w:t>
      </w:r>
    </w:p>
    <w:p w14:paraId="235EB7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1572BB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377B60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b/>
          <w:color w:val="auto"/>
          <w:sz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017EA8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color w:val="auto"/>
          <w:kern w:val="0"/>
          <w:sz w:val="24"/>
        </w:rPr>
      </w:pPr>
      <w:r>
        <w:rPr>
          <w:rFonts w:hint="eastAsia" w:ascii="仿宋" w:hAnsi="仿宋" w:eastAsia="仿宋" w:cs="仿宋"/>
          <w:b/>
          <w:bCs w:val="0"/>
          <w:color w:val="auto"/>
          <w:kern w:val="0"/>
          <w:sz w:val="24"/>
        </w:rPr>
        <w:t>10.废</w:t>
      </w:r>
      <w:r>
        <w:rPr>
          <w:rFonts w:hint="eastAsia" w:ascii="仿宋" w:hAnsi="仿宋" w:eastAsia="仿宋" w:cs="仿宋"/>
          <w:b/>
          <w:bCs w:val="0"/>
          <w:color w:val="auto"/>
          <w:sz w:val="24"/>
          <w:szCs w:val="24"/>
        </w:rPr>
        <w:t>标的</w:t>
      </w:r>
      <w:r>
        <w:rPr>
          <w:rFonts w:hint="eastAsia" w:ascii="仿宋" w:hAnsi="仿宋" w:eastAsia="仿宋" w:cs="仿宋"/>
          <w:b/>
          <w:bCs w:val="0"/>
          <w:color w:val="auto"/>
          <w:kern w:val="0"/>
          <w:sz w:val="24"/>
        </w:rPr>
        <w:t>情形</w:t>
      </w:r>
    </w:p>
    <w:p w14:paraId="658C870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val="0"/>
          <w:bCs/>
          <w:color w:val="auto"/>
          <w:kern w:val="0"/>
          <w:sz w:val="24"/>
        </w:rPr>
      </w:pPr>
      <w:r>
        <w:rPr>
          <w:rFonts w:hint="eastAsia" w:ascii="仿宋" w:hAnsi="仿宋" w:eastAsia="仿宋" w:cs="仿宋"/>
          <w:b/>
          <w:bCs w:val="0"/>
          <w:color w:val="auto"/>
          <w:kern w:val="0"/>
          <w:sz w:val="24"/>
        </w:rPr>
        <w:t>在采购中，出现下列情形之一的，应予废标：</w:t>
      </w:r>
    </w:p>
    <w:p w14:paraId="764D499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10.1符合</w:t>
      </w:r>
      <w:r>
        <w:rPr>
          <w:rFonts w:hint="eastAsia" w:ascii="仿宋" w:hAnsi="仿宋" w:eastAsia="仿宋" w:cs="仿宋"/>
          <w:b w:val="0"/>
          <w:bCs/>
          <w:color w:val="auto"/>
          <w:sz w:val="24"/>
          <w:szCs w:val="24"/>
        </w:rPr>
        <w:t>专业</w:t>
      </w:r>
      <w:r>
        <w:rPr>
          <w:rFonts w:hint="eastAsia" w:ascii="仿宋" w:hAnsi="仿宋" w:eastAsia="仿宋" w:cs="仿宋"/>
          <w:b w:val="0"/>
          <w:bCs/>
          <w:color w:val="auto"/>
          <w:kern w:val="0"/>
          <w:sz w:val="24"/>
        </w:rPr>
        <w:t>条件的供应商或者对磋商文件作实质性响应的供应商不足三家的；</w:t>
      </w:r>
    </w:p>
    <w:p w14:paraId="62438D4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10.2出现影响</w:t>
      </w:r>
      <w:r>
        <w:rPr>
          <w:rFonts w:hint="eastAsia" w:ascii="仿宋" w:hAnsi="仿宋" w:eastAsia="仿宋" w:cs="仿宋"/>
          <w:b w:val="0"/>
          <w:bCs/>
          <w:color w:val="auto"/>
          <w:sz w:val="24"/>
          <w:szCs w:val="24"/>
        </w:rPr>
        <w:t>采购</w:t>
      </w:r>
      <w:r>
        <w:rPr>
          <w:rFonts w:hint="eastAsia" w:ascii="仿宋" w:hAnsi="仿宋" w:eastAsia="仿宋" w:cs="仿宋"/>
          <w:b w:val="0"/>
          <w:bCs/>
          <w:color w:val="auto"/>
          <w:kern w:val="0"/>
          <w:sz w:val="24"/>
        </w:rPr>
        <w:t>公正的违法、违规行为的；</w:t>
      </w:r>
    </w:p>
    <w:p w14:paraId="6B65E1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10.3供应商的</w:t>
      </w:r>
      <w:r>
        <w:rPr>
          <w:rFonts w:hint="eastAsia" w:ascii="仿宋" w:hAnsi="仿宋" w:eastAsia="仿宋" w:cs="仿宋"/>
          <w:b w:val="0"/>
          <w:bCs/>
          <w:color w:val="auto"/>
          <w:sz w:val="24"/>
          <w:szCs w:val="24"/>
        </w:rPr>
        <w:t>报价</w:t>
      </w:r>
      <w:r>
        <w:rPr>
          <w:rFonts w:hint="eastAsia" w:ascii="仿宋" w:hAnsi="仿宋" w:eastAsia="仿宋" w:cs="仿宋"/>
          <w:b w:val="0"/>
          <w:bCs/>
          <w:color w:val="auto"/>
          <w:kern w:val="0"/>
          <w:sz w:val="24"/>
        </w:rPr>
        <w:t>均超过了采购预算，采购人不能支付的；</w:t>
      </w:r>
    </w:p>
    <w:p w14:paraId="75216B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kern w:val="0"/>
          <w:sz w:val="24"/>
        </w:rPr>
      </w:pPr>
      <w:r>
        <w:rPr>
          <w:rFonts w:hint="eastAsia" w:ascii="仿宋" w:hAnsi="仿宋" w:eastAsia="仿宋" w:cs="仿宋"/>
          <w:b w:val="0"/>
          <w:bCs/>
          <w:color w:val="auto"/>
          <w:kern w:val="0"/>
          <w:sz w:val="24"/>
        </w:rPr>
        <w:t>10.4因重大变故，采购任务取消的。</w:t>
      </w:r>
    </w:p>
    <w:p w14:paraId="33876628">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11</w:t>
      </w:r>
      <w:r>
        <w:rPr>
          <w:rFonts w:ascii="仿宋" w:hAnsi="仿宋" w:eastAsia="仿宋" w:cs="仿宋"/>
          <w:b/>
          <w:color w:val="auto"/>
          <w:kern w:val="0"/>
          <w:sz w:val="24"/>
        </w:rPr>
        <w:t>.</w:t>
      </w:r>
      <w:r>
        <w:rPr>
          <w:rFonts w:hint="eastAsia" w:ascii="仿宋" w:hAnsi="仿宋" w:eastAsia="仿宋" w:cs="仿宋"/>
          <w:b/>
          <w:color w:val="auto"/>
          <w:kern w:val="0"/>
          <w:sz w:val="24"/>
        </w:rPr>
        <w:t>磋商过程保密</w:t>
      </w:r>
    </w:p>
    <w:p w14:paraId="1A09D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1F947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.2</w:t>
      </w:r>
      <w:r>
        <w:rPr>
          <w:rFonts w:hint="eastAsia" w:ascii="仿宋" w:hAnsi="仿宋" w:eastAsia="仿宋" w:cs="仿宋"/>
          <w:color w:val="auto"/>
          <w:kern w:val="0"/>
          <w:sz w:val="24"/>
        </w:rPr>
        <w:t>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2E5E7055">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color w:val="auto"/>
          <w:sz w:val="32"/>
          <w:szCs w:val="32"/>
        </w:rPr>
      </w:pPr>
    </w:p>
    <w:p w14:paraId="63A5271A">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14:paraId="271DBDD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rPr>
      </w:pPr>
      <w:r>
        <w:rPr>
          <w:rFonts w:ascii="仿宋" w:hAnsi="仿宋" w:eastAsia="仿宋" w:cs="仿宋"/>
          <w:b/>
          <w:color w:val="auto"/>
          <w:sz w:val="24"/>
          <w:szCs w:val="24"/>
        </w:rPr>
        <w:t>1</w:t>
      </w:r>
      <w:bookmarkStart w:id="51" w:name="_Toc84325929"/>
      <w:bookmarkStart w:id="52" w:name="_Toc81372953"/>
      <w:bookmarkStart w:id="53" w:name="_Toc81372776"/>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507767E3">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1.1磋商响应文件基本符合磋商文件要求；</w:t>
      </w:r>
    </w:p>
    <w:p w14:paraId="7C1C3A3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1.2供应商有很好的执行合同的能力；</w:t>
      </w:r>
    </w:p>
    <w:p w14:paraId="425DB1C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1.3实施方案最合理并对采购人最为有利，最大限度满足磋商文件的要求；</w:t>
      </w:r>
    </w:p>
    <w:p w14:paraId="72D9CE6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Cs w:val="24"/>
        </w:rPr>
      </w:pPr>
      <w:r>
        <w:rPr>
          <w:rFonts w:ascii="仿宋" w:hAnsi="仿宋" w:eastAsia="仿宋" w:cs="仿宋"/>
          <w:color w:val="auto"/>
          <w:szCs w:val="24"/>
        </w:rPr>
        <w:t>1.4供应商能够提供质量技术、商务经济占综合优势的系统及服务。</w:t>
      </w:r>
    </w:p>
    <w:p w14:paraId="17C6DD4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2.成交确认</w:t>
      </w:r>
    </w:p>
    <w:p w14:paraId="04FF3C7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2.1采购人应当在收到评审报告之日起５个工作日内，在评审报告提出的成交候选供应商单中确定成交供应商。</w:t>
      </w:r>
    </w:p>
    <w:p w14:paraId="3364EBA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2.2采购人逾期未确定成交供应商的，视为确定评审报告提出的成交候选供应商为成交供应商。</w:t>
      </w:r>
    </w:p>
    <w:p w14:paraId="4D99375C">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2.3采购人在确认成交供应商前</w:t>
      </w:r>
      <w:r>
        <w:rPr>
          <w:rFonts w:hint="eastAsia" w:ascii="仿宋" w:hAnsi="仿宋" w:eastAsia="仿宋" w:cs="仿宋"/>
          <w:color w:val="auto"/>
          <w:sz w:val="24"/>
          <w:lang w:val="en-US" w:eastAsia="zh-CN"/>
        </w:rPr>
        <w:t>可</w:t>
      </w:r>
      <w:r>
        <w:rPr>
          <w:rFonts w:ascii="仿宋" w:hAnsi="仿宋" w:eastAsia="仿宋" w:cs="仿宋"/>
          <w:color w:val="auto"/>
          <w:sz w:val="24"/>
        </w:rPr>
        <w:t>再次对资格条件和相关证件材料进一步查验核实。</w:t>
      </w:r>
    </w:p>
    <w:p w14:paraId="4153E75F">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成交通知</w:t>
      </w:r>
    </w:p>
    <w:bookmarkEnd w:id="51"/>
    <w:bookmarkEnd w:id="52"/>
    <w:bookmarkEnd w:id="53"/>
    <w:p w14:paraId="31E3C97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Cs w:val="24"/>
        </w:rPr>
      </w:pP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采购代理</w:t>
      </w:r>
      <w:r>
        <w:rPr>
          <w:rFonts w:hint="eastAsia" w:ascii="仿宋" w:hAnsi="仿宋" w:eastAsia="仿宋" w:cs="仿宋"/>
          <w:color w:val="auto"/>
          <w:sz w:val="24"/>
          <w:szCs w:val="24"/>
        </w:rPr>
        <w:t>机构对成交结果在指定媒体</w:t>
      </w:r>
      <w:r>
        <w:rPr>
          <w:rFonts w:hint="eastAsia" w:ascii="仿宋" w:hAnsi="仿宋" w:eastAsia="仿宋" w:cs="仿宋"/>
          <w:color w:val="auto"/>
          <w:kern w:val="0"/>
          <w:sz w:val="24"/>
          <w:szCs w:val="24"/>
        </w:rPr>
        <w:t>（浙江政府采购网http://zfcg.czt.zj.gov.cn/）发布成交公告，成交公告期限为</w:t>
      </w:r>
      <w:r>
        <w:rPr>
          <w:rFonts w:ascii="仿宋" w:hAnsi="仿宋" w:eastAsia="仿宋" w:cs="仿宋"/>
          <w:color w:val="auto"/>
          <w:kern w:val="0"/>
          <w:sz w:val="24"/>
          <w:szCs w:val="24"/>
        </w:rPr>
        <w:t>1个工作日。</w:t>
      </w:r>
    </w:p>
    <w:p w14:paraId="1EB472B9">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kern w:val="0"/>
          <w:sz w:val="24"/>
          <w:lang w:val="zh-CN"/>
        </w:rPr>
      </w:pPr>
      <w:r>
        <w:rPr>
          <w:rFonts w:ascii="仿宋" w:hAnsi="仿宋" w:eastAsia="仿宋" w:cs="仿宋"/>
          <w:color w:val="auto"/>
          <w:sz w:val="24"/>
        </w:rPr>
        <w:t>3.2采购机构通过</w:t>
      </w:r>
      <w:r>
        <w:rPr>
          <w:rFonts w:hint="eastAsia" w:ascii="仿宋" w:hAnsi="仿宋" w:eastAsia="仿宋" w:cs="仿宋"/>
          <w:color w:val="auto"/>
          <w:sz w:val="24"/>
          <w:lang w:val="en-US" w:eastAsia="zh-CN"/>
        </w:rPr>
        <w:t>线下</w:t>
      </w:r>
      <w:r>
        <w:rPr>
          <w:rFonts w:hint="eastAsia" w:ascii="仿宋" w:hAnsi="仿宋" w:eastAsia="仿宋" w:cs="仿宋"/>
          <w:color w:val="auto"/>
          <w:sz w:val="24"/>
        </w:rPr>
        <w:t>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6C1709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6B470AAD">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履约保证金</w:t>
      </w:r>
    </w:p>
    <w:p w14:paraId="54A7830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4.1成交供应商按照采购文件规定</w:t>
      </w:r>
      <w:r>
        <w:rPr>
          <w:rFonts w:hint="eastAsia" w:ascii="仿宋" w:hAnsi="仿宋" w:eastAsia="仿宋" w:cs="仿宋"/>
          <w:color w:val="auto"/>
          <w:sz w:val="24"/>
          <w:lang w:eastAsia="zh-CN"/>
        </w:rPr>
        <w:t>提</w:t>
      </w:r>
      <w:r>
        <w:rPr>
          <w:rFonts w:hint="eastAsia" w:ascii="仿宋" w:hAnsi="仿宋" w:eastAsia="仿宋" w:cs="仿宋"/>
          <w:color w:val="auto"/>
          <w:sz w:val="24"/>
        </w:rPr>
        <w:t>交履约保证金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若采购文件无规定则无需缴纳</w:t>
      </w:r>
      <w:r>
        <w:rPr>
          <w:rFonts w:hint="eastAsia" w:ascii="仿宋" w:hAnsi="仿宋" w:eastAsia="仿宋" w:cs="仿宋"/>
          <w:color w:val="auto"/>
          <w:sz w:val="24"/>
        </w:rPr>
        <w:t>。</w:t>
      </w:r>
    </w:p>
    <w:p w14:paraId="278A992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4.2签订合同后，如成交供应商不按双方合同约定履约，则没收其全部履约保证金，履约保证金不足以赔偿损失的，按实际损失赔偿。</w:t>
      </w:r>
    </w:p>
    <w:p w14:paraId="7E2538AE">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szCs w:val="24"/>
          <w:lang w:val="en-US" w:eastAsia="zh-CN"/>
        </w:rPr>
        <w:t>成交供应商如未按时缴纳履约保证金，采购人有权撤销其成交资格，并报请批准后另行采购。</w:t>
      </w:r>
    </w:p>
    <w:p w14:paraId="035DDE99">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lang w:val="en-US" w:eastAsia="zh-CN"/>
        </w:rPr>
        <w:t>.</w:t>
      </w:r>
      <w:r>
        <w:rPr>
          <w:rFonts w:ascii="仿宋" w:hAnsi="仿宋" w:eastAsia="仿宋" w:cs="仿宋"/>
          <w:b/>
          <w:color w:val="auto"/>
          <w:sz w:val="24"/>
        </w:rPr>
        <w:t>合同签订及备案</w:t>
      </w:r>
    </w:p>
    <w:p w14:paraId="7353CDCB">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5.1成交人应当在成交通知书发出之日起30天内与采购人签订合同，自采购合同签订之日起</w:t>
      </w:r>
      <w:r>
        <w:rPr>
          <w:rFonts w:ascii="仿宋" w:hAnsi="仿宋" w:eastAsia="仿宋" w:cs="仿宋"/>
          <w:b w:val="0"/>
          <w:bCs/>
          <w:color w:val="auto"/>
          <w:sz w:val="24"/>
        </w:rPr>
        <w:t>3个工作日内</w:t>
      </w:r>
      <w:r>
        <w:rPr>
          <w:rFonts w:hint="eastAsia" w:ascii="仿宋" w:hAnsi="仿宋" w:eastAsia="仿宋" w:cs="仿宋"/>
          <w:color w:val="auto"/>
          <w:sz w:val="24"/>
        </w:rPr>
        <w:t>，通过电子交易平台进行备案。</w:t>
      </w:r>
    </w:p>
    <w:p w14:paraId="2CA7ABC7">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5.2如成交人为联合体的，由联合体成员各方法定代表人或其授权代表与采购人代表签订合同。</w:t>
      </w:r>
    </w:p>
    <w:p w14:paraId="4D2BA586">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rPr>
      </w:pPr>
      <w:r>
        <w:rPr>
          <w:rFonts w:ascii="仿宋" w:hAnsi="仿宋" w:eastAsia="仿宋" w:cs="仿宋"/>
          <w:b/>
          <w:color w:val="auto"/>
          <w:sz w:val="24"/>
        </w:rPr>
        <w:t>6.验收</w:t>
      </w:r>
    </w:p>
    <w:p w14:paraId="12F40989">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auto"/>
          <w:sz w:val="24"/>
        </w:rPr>
        <w:t>律责任。如果发现与合同中要求不符，供应商须承担由此发生的一切损失和费用，并接受相应的处理。</w:t>
      </w:r>
    </w:p>
    <w:p w14:paraId="5324F87C">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14:paraId="1033D6CA">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41D0D2">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auto"/>
          <w:sz w:val="24"/>
          <w:lang w:val="en-US" w:eastAsia="zh-CN"/>
        </w:rPr>
        <w:t>国资办。</w:t>
      </w:r>
    </w:p>
    <w:p w14:paraId="29F31882">
      <w:pPr>
        <w:keepNext w:val="0"/>
        <w:keepLines w:val="0"/>
        <w:pageBreakBefore w:val="0"/>
        <w:kinsoku/>
        <w:wordWrap/>
        <w:overflowPunct/>
        <w:topLinePunct w:val="0"/>
        <w:bidi w:val="0"/>
        <w:spacing w:line="360" w:lineRule="auto"/>
        <w:ind w:firstLine="640" w:firstLineChars="200"/>
        <w:textAlignment w:val="auto"/>
        <w:rPr>
          <w:rFonts w:ascii="仿宋" w:hAnsi="仿宋" w:eastAsia="仿宋" w:cs="仿宋"/>
          <w:color w:val="auto"/>
          <w:sz w:val="32"/>
          <w:szCs w:val="32"/>
        </w:rPr>
      </w:pPr>
    </w:p>
    <w:p w14:paraId="4391A53E">
      <w:pPr>
        <w:keepNext w:val="0"/>
        <w:keepLines w:val="0"/>
        <w:pageBreakBefore w:val="0"/>
        <w:kinsoku/>
        <w:wordWrap/>
        <w:overflowPunct/>
        <w:topLinePunct w:val="0"/>
        <w:bidi w:val="0"/>
        <w:adjustRightInd/>
        <w:spacing w:line="360" w:lineRule="auto"/>
        <w:jc w:val="center"/>
        <w:textAlignment w:val="auto"/>
        <w:outlineLvl w:val="0"/>
        <w:rPr>
          <w:rFonts w:ascii="仿宋" w:hAnsi="仿宋" w:eastAsia="仿宋" w:cs="仿宋"/>
          <w:b/>
          <w:color w:val="auto"/>
          <w:sz w:val="32"/>
          <w:szCs w:val="20"/>
        </w:rPr>
      </w:pPr>
      <w:r>
        <w:rPr>
          <w:rFonts w:hint="eastAsia" w:ascii="仿宋" w:hAnsi="仿宋" w:eastAsia="仿宋" w:cs="仿宋"/>
          <w:b/>
          <w:color w:val="auto"/>
          <w:sz w:val="32"/>
          <w:szCs w:val="20"/>
        </w:rPr>
        <w:t>六、询问、质疑与投诉</w:t>
      </w:r>
    </w:p>
    <w:p w14:paraId="20830E19">
      <w:pPr>
        <w:pStyle w:val="33"/>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1.在线询问、质疑、投诉</w:t>
      </w:r>
    </w:p>
    <w:p w14:paraId="2C4F0BA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关于“健全行政裁决机制”要求，鼓励供应商在线提起询问，</w:t>
      </w:r>
      <w:r>
        <w:rPr>
          <w:rFonts w:hint="eastAsia" w:ascii="仿宋" w:hAnsi="仿宋" w:eastAsia="仿宋" w:cs="仿宋"/>
          <w:color w:val="auto"/>
          <w:sz w:val="24"/>
        </w:rPr>
        <w:t>路径为：乐采云</w:t>
      </w:r>
      <w:r>
        <w:rPr>
          <w:rFonts w:ascii="仿宋" w:hAnsi="仿宋" w:eastAsia="仿宋" w:cs="仿宋"/>
          <w:color w:val="auto"/>
          <w:sz w:val="24"/>
        </w:rPr>
        <w:t>-项目采购-询问质疑投诉-询问列表</w:t>
      </w:r>
      <w:r>
        <w:rPr>
          <w:rFonts w:hint="eastAsia" w:ascii="仿宋" w:hAnsi="仿宋" w:eastAsia="仿宋" w:cs="仿宋"/>
          <w:color w:val="auto"/>
          <w:sz w:val="24"/>
        </w:rPr>
        <w:t>；鼓励供应商在线提起质疑，路径为：乐采云</w:t>
      </w:r>
      <w:r>
        <w:rPr>
          <w:rFonts w:ascii="仿宋" w:hAnsi="仿宋" w:eastAsia="仿宋" w:cs="仿宋"/>
          <w:color w:val="auto"/>
          <w:sz w:val="24"/>
        </w:rPr>
        <w:t>-项目采购-询问质疑投诉-质疑列表</w:t>
      </w:r>
      <w:r>
        <w:rPr>
          <w:rFonts w:hint="eastAsia" w:ascii="仿宋" w:hAnsi="仿宋" w:eastAsia="仿宋" w:cs="仿宋"/>
          <w:color w:val="auto"/>
          <w:sz w:val="24"/>
        </w:rPr>
        <w:t>。质疑供应商对在线质疑答复不满意的，可在线提起投诉，路径为：浙江政府服务网</w:t>
      </w:r>
      <w:r>
        <w:rPr>
          <w:rFonts w:ascii="仿宋" w:hAnsi="仿宋" w:eastAsia="仿宋" w:cs="仿宋"/>
          <w:color w:val="auto"/>
          <w:sz w:val="24"/>
        </w:rPr>
        <w:t>-政府采购投诉处理-在线办理</w:t>
      </w:r>
      <w:r>
        <w:rPr>
          <w:rFonts w:hint="eastAsia" w:ascii="仿宋" w:hAnsi="仿宋" w:eastAsia="仿宋" w:cs="仿宋"/>
          <w:color w:val="auto"/>
          <w:sz w:val="24"/>
        </w:rPr>
        <w:t>。</w:t>
      </w:r>
    </w:p>
    <w:p w14:paraId="3B661E4B">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供应商询问</w:t>
      </w:r>
    </w:p>
    <w:p w14:paraId="15DE213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w:t>
      </w:r>
      <w:r>
        <w:rPr>
          <w:rFonts w:hint="eastAsia" w:ascii="仿宋" w:hAnsi="仿宋" w:eastAsia="仿宋" w:cs="仿宋"/>
          <w:color w:val="auto"/>
          <w:kern w:val="0"/>
          <w:sz w:val="24"/>
          <w:lang w:val="zh-CN"/>
        </w:rPr>
        <w:t>密。供应商提出的询问超出采购人对采购代理机构委托授权范围的，采购代理机构应当告知供应商向采购人提出。</w:t>
      </w:r>
    </w:p>
    <w:p w14:paraId="0DF8A68C">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供应商质疑</w:t>
      </w:r>
    </w:p>
    <w:p w14:paraId="4B412D7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ascii="仿宋" w:hAnsi="仿宋" w:eastAsia="仿宋" w:cs="仿宋"/>
          <w:b/>
          <w:color w:val="auto"/>
          <w:kern w:val="0"/>
          <w:sz w:val="24"/>
          <w:lang w:val="zh-CN"/>
        </w:rPr>
        <w:t>3</w:t>
      </w:r>
      <w:r>
        <w:rPr>
          <w:rFonts w:ascii="仿宋" w:hAnsi="仿宋" w:eastAsia="仿宋" w:cs="仿宋"/>
          <w:b/>
          <w:color w:val="auto"/>
          <w:sz w:val="24"/>
        </w:rPr>
        <w:t>.1质疑提出时效</w:t>
      </w:r>
    </w:p>
    <w:p w14:paraId="1DA00406">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3.1.1提出质疑的供应商应当是参与所质疑项目采购活动的供应商。潜在供应商已依法获取其可质疑的采购文件的，可以对该文件提出质疑。</w:t>
      </w:r>
    </w:p>
    <w:p w14:paraId="0E603FF5">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kern w:val="0"/>
          <w:sz w:val="24"/>
          <w:lang w:val="zh-CN"/>
        </w:rPr>
        <w:t>3</w:t>
      </w:r>
      <w:r>
        <w:rPr>
          <w:rFonts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F0D8E91">
      <w:pPr>
        <w:pStyle w:val="15"/>
        <w:keepNext w:val="0"/>
        <w:keepLines w:val="0"/>
        <w:pageBreakBefore w:val="0"/>
        <w:kinsoku/>
        <w:wordWrap/>
        <w:overflowPunct/>
        <w:topLinePunct w:val="0"/>
        <w:bidi w:val="0"/>
        <w:adjustRightInd w:val="0"/>
        <w:spacing w:line="360" w:lineRule="auto"/>
        <w:ind w:firstLine="434" w:firstLineChars="181"/>
        <w:textAlignment w:val="auto"/>
        <w:rPr>
          <w:rFonts w:ascii="仿宋" w:hAnsi="仿宋" w:eastAsia="仿宋" w:cs="仿宋"/>
          <w:snapToGrid/>
          <w:color w:val="auto"/>
          <w:kern w:val="2"/>
          <w:sz w:val="24"/>
        </w:rPr>
      </w:pPr>
      <w:r>
        <w:rPr>
          <w:rFonts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582B237">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3.1.2.2对采购过程提出质疑的，质疑期限为各采购程序环节结束之日起计算。</w:t>
      </w:r>
    </w:p>
    <w:p w14:paraId="53F2D2D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3.1.2.3对采购结果提出质疑的，质疑期限自采购结果公告期限届满之日起计算。</w:t>
      </w:r>
    </w:p>
    <w:p w14:paraId="30423CCD">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kern w:val="0"/>
          <w:sz w:val="24"/>
          <w:lang w:val="zh-CN"/>
        </w:rPr>
      </w:pPr>
      <w:r>
        <w:rPr>
          <w:rFonts w:ascii="仿宋" w:hAnsi="仿宋" w:eastAsia="仿宋" w:cs="仿宋"/>
          <w:b/>
          <w:bCs/>
          <w:color w:val="auto"/>
          <w:sz w:val="24"/>
        </w:rPr>
        <w:t>3.1.2.4</w:t>
      </w:r>
      <w:r>
        <w:rPr>
          <w:rFonts w:hint="eastAsia" w:ascii="仿宋" w:hAnsi="仿宋" w:eastAsia="仿宋" w:cs="仿宋"/>
          <w:b/>
          <w:bCs/>
          <w:color w:val="auto"/>
          <w:sz w:val="24"/>
        </w:rPr>
        <w:t>对同一采购程序环节的质疑，供应商须一次性提出（即针对同一采购程序环节的质疑采购人或采购代理机构仅受理一次），逾期提出或针对同一采购程序环节多次提出的质疑将不予受理、答复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rPr>
        <w:t>。</w:t>
      </w:r>
    </w:p>
    <w:p w14:paraId="66E755FC">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color w:val="auto"/>
          <w:sz w:val="24"/>
        </w:rPr>
      </w:pPr>
      <w:r>
        <w:rPr>
          <w:rFonts w:ascii="仿宋" w:hAnsi="仿宋" w:eastAsia="仿宋" w:cs="仿宋"/>
          <w:b/>
          <w:color w:val="auto"/>
          <w:kern w:val="0"/>
          <w:sz w:val="24"/>
          <w:lang w:val="zh-CN"/>
        </w:rPr>
        <w:t>3.</w:t>
      </w:r>
      <w:r>
        <w:rPr>
          <w:rFonts w:ascii="仿宋" w:hAnsi="仿宋" w:eastAsia="仿宋" w:cs="仿宋"/>
          <w:b/>
          <w:color w:val="auto"/>
          <w:kern w:val="0"/>
          <w:sz w:val="24"/>
        </w:rPr>
        <w:t>2</w:t>
      </w:r>
      <w:r>
        <w:rPr>
          <w:rFonts w:hint="eastAsia" w:ascii="仿宋" w:hAnsi="仿宋" w:eastAsia="仿宋" w:cs="仿宋"/>
          <w:b/>
          <w:color w:val="auto"/>
          <w:kern w:val="0"/>
          <w:sz w:val="24"/>
          <w:lang w:val="zh-CN"/>
        </w:rPr>
        <w:t>质疑函</w:t>
      </w:r>
    </w:p>
    <w:p w14:paraId="79B8EC99">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3.2.1供应商提出质疑应当提交质疑函和必要的证明材料。质疑函应当包括下列内容：</w:t>
      </w:r>
    </w:p>
    <w:p w14:paraId="289EE3EA">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供应商的姓名或者名称、地址、邮编、联系人及联系电话；</w:t>
      </w:r>
    </w:p>
    <w:p w14:paraId="05272327">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质疑项目的名称、编号；</w:t>
      </w:r>
    </w:p>
    <w:p w14:paraId="5C39C83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具体、明确的质疑事项和与质疑事项相关的请求；</w:t>
      </w:r>
    </w:p>
    <w:p w14:paraId="1543D61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事实依据；</w:t>
      </w:r>
    </w:p>
    <w:p w14:paraId="227D42E0">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必要的法律依据；</w:t>
      </w:r>
    </w:p>
    <w:p w14:paraId="1EDE97EE">
      <w:pPr>
        <w:pStyle w:val="33"/>
        <w:keepNext w:val="0"/>
        <w:keepLines w:val="0"/>
        <w:pageBreakBefore w:val="0"/>
        <w:numPr>
          <w:ilvl w:val="0"/>
          <w:numId w:val="0"/>
        </w:numPr>
        <w:kinsoku/>
        <w:wordWrap/>
        <w:overflowPunct/>
        <w:topLinePunct w:val="0"/>
        <w:bidi w:val="0"/>
        <w:adjustRightInd w:val="0"/>
        <w:spacing w:line="360" w:lineRule="auto"/>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提出质疑的日期。</w:t>
      </w:r>
    </w:p>
    <w:p w14:paraId="41D63E13">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pacing w:val="-4"/>
          <w:sz w:val="24"/>
          <w:szCs w:val="24"/>
          <w:highlight w:val="none"/>
        </w:rPr>
        <w:t>质疑书应明确阐述采购文件、</w:t>
      </w:r>
      <w:r>
        <w:rPr>
          <w:rFonts w:hint="eastAsia" w:ascii="仿宋" w:hAnsi="仿宋" w:eastAsia="仿宋" w:cs="仿宋"/>
          <w:color w:val="auto"/>
          <w:spacing w:val="-4"/>
          <w:sz w:val="24"/>
          <w:szCs w:val="24"/>
          <w:highlight w:val="none"/>
          <w:lang w:val="en-US" w:eastAsia="zh-CN"/>
        </w:rPr>
        <w:t>采购</w:t>
      </w:r>
      <w:r>
        <w:rPr>
          <w:rFonts w:hint="eastAsia" w:ascii="仿宋" w:hAnsi="仿宋" w:eastAsia="仿宋" w:cs="仿宋"/>
          <w:color w:val="auto"/>
          <w:spacing w:val="-4"/>
          <w:sz w:val="24"/>
          <w:szCs w:val="24"/>
          <w:highlight w:val="none"/>
        </w:rPr>
        <w:t>过程和</w:t>
      </w:r>
      <w:r>
        <w:rPr>
          <w:rFonts w:hint="eastAsia" w:ascii="仿宋" w:hAnsi="仿宋" w:eastAsia="仿宋" w:cs="仿宋"/>
          <w:color w:val="auto"/>
          <w:spacing w:val="-4"/>
          <w:sz w:val="24"/>
          <w:szCs w:val="24"/>
          <w:highlight w:val="none"/>
          <w:lang w:val="en-US" w:eastAsia="zh-CN"/>
        </w:rPr>
        <w:t>成交</w:t>
      </w:r>
      <w:r>
        <w:rPr>
          <w:rFonts w:hint="eastAsia" w:ascii="仿宋" w:hAnsi="仿宋" w:eastAsia="仿宋" w:cs="仿宋"/>
          <w:color w:val="auto"/>
          <w:spacing w:val="-4"/>
          <w:sz w:val="24"/>
          <w:szCs w:val="24"/>
          <w:highlight w:val="none"/>
        </w:rPr>
        <w:t>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w:t>
      </w:r>
      <w:r>
        <w:rPr>
          <w:rFonts w:hint="eastAsia" w:ascii="仿宋" w:hAnsi="仿宋" w:eastAsia="仿宋" w:cs="仿宋"/>
          <w:b/>
          <w:bCs/>
          <w:color w:val="auto"/>
          <w:spacing w:val="-4"/>
          <w:sz w:val="24"/>
          <w:szCs w:val="24"/>
          <w:highlight w:val="none"/>
          <w:lang w:val="en-US" w:eastAsia="zh-CN"/>
        </w:rPr>
        <w:t>采购</w:t>
      </w:r>
      <w:r>
        <w:rPr>
          <w:rFonts w:hint="eastAsia" w:ascii="仿宋" w:hAnsi="仿宋" w:eastAsia="仿宋" w:cs="仿宋"/>
          <w:b/>
          <w:bCs/>
          <w:color w:val="auto"/>
          <w:spacing w:val="-4"/>
          <w:sz w:val="24"/>
          <w:szCs w:val="24"/>
          <w:highlight w:val="none"/>
          <w:lang w:eastAsia="zh-CN"/>
        </w:rPr>
        <w:t>方自收到补齐材料之日起受理；逾期未补齐的，按自动撤回质疑处理。</w:t>
      </w:r>
    </w:p>
    <w:p w14:paraId="0E491008">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质疑函范本及制作说明详见附件</w:t>
      </w:r>
      <w:r>
        <w:rPr>
          <w:rFonts w:ascii="仿宋" w:hAnsi="仿宋" w:eastAsia="仿宋" w:cs="仿宋"/>
          <w:b/>
          <w:color w:val="auto"/>
          <w:sz w:val="24"/>
        </w:rPr>
        <w:t>1。</w:t>
      </w:r>
    </w:p>
    <w:p w14:paraId="2BADEBCD">
      <w:pPr>
        <w:keepNext w:val="0"/>
        <w:keepLines w:val="0"/>
        <w:pageBreakBefore w:val="0"/>
        <w:kinsoku/>
        <w:wordWrap/>
        <w:overflowPunct/>
        <w:topLinePunct w:val="0"/>
        <w:bidi w:val="0"/>
        <w:adjustRightInd w:val="0"/>
        <w:spacing w:line="360" w:lineRule="auto"/>
        <w:textAlignment w:val="auto"/>
        <w:rPr>
          <w:rFonts w:ascii="仿宋" w:hAnsi="仿宋" w:eastAsia="仿宋" w:cs="仿宋"/>
          <w:b/>
          <w:color w:val="auto"/>
          <w:sz w:val="24"/>
        </w:rPr>
      </w:pPr>
      <w:r>
        <w:rPr>
          <w:rFonts w:ascii="仿宋" w:hAnsi="仿宋" w:eastAsia="仿宋" w:cs="仿宋"/>
          <w:b/>
          <w:color w:val="auto"/>
          <w:sz w:val="24"/>
        </w:rPr>
        <w:t>4.供应商投诉</w:t>
      </w:r>
    </w:p>
    <w:p w14:paraId="2569217B">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4.1质疑供应商对采购人或采购代理机构的答复不满意或者采购人、采购代理机构</w:t>
      </w:r>
      <w:r>
        <w:rPr>
          <w:rFonts w:hint="eastAsia" w:ascii="仿宋" w:hAnsi="仿宋" w:eastAsia="仿宋" w:cs="仿宋"/>
          <w:color w:val="auto"/>
          <w:sz w:val="24"/>
        </w:rPr>
        <w:t>未在规定的时间内作出答复的，可以在答复期满后十五个工作日内向</w:t>
      </w:r>
      <w:r>
        <w:rPr>
          <w:rFonts w:hint="eastAsia" w:ascii="仿宋" w:hAnsi="仿宋" w:eastAsia="仿宋" w:cs="仿宋"/>
          <w:color w:val="auto"/>
          <w:sz w:val="24"/>
          <w:lang w:eastAsia="zh-CN"/>
        </w:rPr>
        <w:t>采购监督管理机构</w:t>
      </w:r>
      <w:r>
        <w:rPr>
          <w:rFonts w:hint="eastAsia" w:ascii="仿宋" w:hAnsi="仿宋" w:eastAsia="仿宋" w:cs="仿宋"/>
          <w:color w:val="auto"/>
          <w:sz w:val="24"/>
        </w:rPr>
        <w:t>提出投诉。</w:t>
      </w:r>
    </w:p>
    <w:p w14:paraId="5EA857FA">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4.2供应商投诉的事项不得超出已质疑事项的范围，基于质疑答复内容提出的投诉事项除外。</w:t>
      </w:r>
    </w:p>
    <w:p w14:paraId="2D8EAACF">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4.3供应商投诉应当有明确的请求和必要的证明材料。</w:t>
      </w:r>
    </w:p>
    <w:p w14:paraId="61132562">
      <w:pPr>
        <w:pStyle w:val="33"/>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color w:val="auto"/>
          <w:sz w:val="24"/>
        </w:rPr>
      </w:pPr>
      <w:r>
        <w:rPr>
          <w:rFonts w:ascii="仿宋" w:hAnsi="仿宋" w:eastAsia="仿宋" w:cs="仿宋"/>
          <w:color w:val="auto"/>
          <w:sz w:val="24"/>
        </w:rPr>
        <w:t>4.4以联合体形式参加采购活动的，其投诉应当由组成联合体的所有供应商共同提出。</w:t>
      </w:r>
    </w:p>
    <w:p w14:paraId="30CA5880">
      <w:pPr>
        <w:pStyle w:val="33"/>
        <w:keepNext w:val="0"/>
        <w:keepLines w:val="0"/>
        <w:pageBreakBefore w:val="0"/>
        <w:kinsoku/>
        <w:wordWrap/>
        <w:overflowPunct/>
        <w:topLinePunct w:val="0"/>
        <w:bidi w:val="0"/>
        <w:adjustRightInd w:val="0"/>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投诉书范本及制作说明详见附件</w:t>
      </w:r>
      <w:r>
        <w:rPr>
          <w:rFonts w:ascii="仿宋" w:hAnsi="仿宋" w:eastAsia="仿宋" w:cs="仿宋"/>
          <w:b/>
          <w:color w:val="auto"/>
          <w:sz w:val="24"/>
        </w:rPr>
        <w:t>2。</w:t>
      </w:r>
    </w:p>
    <w:bookmarkEnd w:id="8"/>
    <w:p w14:paraId="7088800F">
      <w:pPr>
        <w:rPr>
          <w:rFonts w:hint="eastAsia" w:ascii="仿宋" w:hAnsi="仿宋" w:eastAsia="仿宋" w:cs="仿宋"/>
          <w:b/>
          <w:color w:val="auto"/>
          <w:kern w:val="2"/>
          <w:sz w:val="36"/>
          <w:szCs w:val="36"/>
          <w:lang w:val="en-US" w:eastAsia="zh-CN" w:bidi="ar-SA"/>
        </w:rPr>
      </w:pPr>
      <w:bookmarkStart w:id="54" w:name="_Hlt74707468"/>
      <w:bookmarkEnd w:id="54"/>
      <w:bookmarkStart w:id="55" w:name="_Hlt68072990"/>
      <w:bookmarkEnd w:id="55"/>
      <w:bookmarkStart w:id="56" w:name="_Hlt75236290"/>
      <w:bookmarkEnd w:id="56"/>
      <w:bookmarkStart w:id="57" w:name="_Hlt75236011"/>
      <w:bookmarkEnd w:id="57"/>
      <w:bookmarkStart w:id="58" w:name="_Hlt68057669"/>
      <w:bookmarkEnd w:id="58"/>
      <w:bookmarkStart w:id="59" w:name="_Hlt74729768"/>
      <w:bookmarkEnd w:id="59"/>
      <w:bookmarkStart w:id="60" w:name="_Hlt74730295"/>
      <w:bookmarkEnd w:id="60"/>
      <w:bookmarkStart w:id="61" w:name="_Hlt74714665"/>
      <w:bookmarkEnd w:id="61"/>
      <w:bookmarkStart w:id="62" w:name="_Hlt75236101"/>
      <w:bookmarkEnd w:id="62"/>
      <w:bookmarkStart w:id="63" w:name="_Toc164416483"/>
      <w:bookmarkStart w:id="64" w:name="第三部分"/>
      <w:r>
        <w:rPr>
          <w:rFonts w:hint="eastAsia" w:ascii="仿宋" w:hAnsi="仿宋" w:eastAsia="仿宋" w:cs="仿宋"/>
          <w:b/>
          <w:color w:val="auto"/>
          <w:kern w:val="2"/>
          <w:sz w:val="36"/>
          <w:szCs w:val="36"/>
          <w:lang w:val="en-US" w:eastAsia="zh-CN" w:bidi="ar-SA"/>
        </w:rPr>
        <w:br w:type="page"/>
      </w:r>
    </w:p>
    <w:p w14:paraId="4FDCB4F5">
      <w:pPr>
        <w:tabs>
          <w:tab w:val="left" w:pos="0"/>
        </w:tabs>
        <w:spacing w:line="336" w:lineRule="auto"/>
        <w:jc w:val="center"/>
        <w:rPr>
          <w:rFonts w:hint="eastAsia" w:ascii="仿宋" w:hAnsi="仿宋" w:eastAsia="仿宋" w:cs="仿宋"/>
          <w:b/>
          <w:color w:val="auto"/>
          <w:sz w:val="36"/>
          <w:szCs w:val="36"/>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rPr>
        <w:t>采购需求</w:t>
      </w:r>
      <w:bookmarkStart w:id="65" w:name="_Toc11847"/>
      <w:bookmarkStart w:id="66" w:name="_Toc28356"/>
      <w:bookmarkStart w:id="67" w:name="_Toc383522968"/>
      <w:bookmarkStart w:id="68" w:name="_Toc4026"/>
    </w:p>
    <w:bookmarkEnd w:id="65"/>
    <w:bookmarkEnd w:id="66"/>
    <w:bookmarkEnd w:id="67"/>
    <w:bookmarkEnd w:id="68"/>
    <w:p w14:paraId="4925745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仿宋" w:hAnsi="仿宋" w:eastAsia="仿宋" w:cs="仿宋"/>
          <w:color w:val="auto"/>
          <w:sz w:val="24"/>
        </w:rPr>
      </w:pPr>
      <w:r>
        <w:rPr>
          <w:rFonts w:hint="eastAsia" w:ascii="仿宋" w:hAnsi="仿宋" w:eastAsia="仿宋" w:cs="仿宋"/>
          <w:b/>
          <w:bCs/>
          <w:color w:val="auto"/>
          <w:sz w:val="24"/>
        </w:rPr>
        <w:t>一、</w:t>
      </w:r>
      <w:r>
        <w:rPr>
          <w:rFonts w:hint="eastAsia" w:ascii="仿宋" w:hAnsi="仿宋" w:eastAsia="仿宋" w:cs="仿宋"/>
          <w:b/>
          <w:bCs w:val="0"/>
          <w:color w:val="auto"/>
          <w:sz w:val="24"/>
          <w:szCs w:val="24"/>
          <w:lang w:eastAsia="zh-CN"/>
        </w:rPr>
        <w:t>概述</w:t>
      </w:r>
    </w:p>
    <w:p w14:paraId="5B4127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szCs w:val="24"/>
        </w:rPr>
        <w:t>本次采购内容为</w:t>
      </w:r>
      <w:r>
        <w:rPr>
          <w:rFonts w:hint="eastAsia" w:ascii="仿宋" w:hAnsi="仿宋" w:eastAsia="仿宋" w:cs="仿宋"/>
          <w:color w:val="auto"/>
          <w:sz w:val="24"/>
          <w:szCs w:val="24"/>
          <w:lang w:eastAsia="zh-CN"/>
        </w:rPr>
        <w:t>嵊州市广电信息网络有限公司电源电缆采购项目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方应根据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文件所提出的设备技术规格、产品、数量和服务要求，综合考虑选择具有最佳性能价格比的</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前来</w:t>
      </w:r>
      <w:r>
        <w:rPr>
          <w:rFonts w:hint="eastAsia" w:ascii="仿宋" w:hAnsi="仿宋" w:eastAsia="仿宋" w:cs="仿宋"/>
          <w:color w:val="auto"/>
          <w:sz w:val="24"/>
          <w:szCs w:val="24"/>
          <w:lang w:eastAsia="zh-CN"/>
        </w:rPr>
        <w:t>参加磋商</w:t>
      </w:r>
      <w:r>
        <w:rPr>
          <w:rFonts w:hint="eastAsia" w:ascii="仿宋" w:hAnsi="仿宋" w:eastAsia="仿宋" w:cs="仿宋"/>
          <w:color w:val="auto"/>
          <w:sz w:val="24"/>
          <w:szCs w:val="24"/>
        </w:rPr>
        <w:t>。希望</w:t>
      </w:r>
      <w:r>
        <w:rPr>
          <w:rFonts w:hint="eastAsia" w:ascii="仿宋" w:hAnsi="仿宋" w:eastAsia="仿宋" w:cs="仿宋"/>
          <w:color w:val="auto"/>
          <w:sz w:val="24"/>
          <w:szCs w:val="24"/>
          <w:lang w:eastAsia="zh-CN"/>
        </w:rPr>
        <w:t>磋商响应方</w:t>
      </w:r>
      <w:r>
        <w:rPr>
          <w:rFonts w:hint="eastAsia" w:ascii="仿宋" w:hAnsi="仿宋" w:eastAsia="仿宋" w:cs="仿宋"/>
          <w:color w:val="auto"/>
          <w:sz w:val="24"/>
          <w:szCs w:val="24"/>
        </w:rPr>
        <w:t>以精良的设备、优良的服务和优惠的价格，充分显示投标人的竞争实力</w:t>
      </w:r>
      <w:r>
        <w:rPr>
          <w:rFonts w:hint="eastAsia" w:ascii="仿宋" w:hAnsi="仿宋" w:eastAsia="仿宋" w:cs="仿宋"/>
          <w:color w:val="auto"/>
          <w:sz w:val="24"/>
        </w:rPr>
        <w:t>。</w:t>
      </w:r>
    </w:p>
    <w:p w14:paraId="7E8FB63B">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val="0"/>
          <w:snapToGrid w:val="0"/>
          <w:color w:val="auto"/>
          <w:kern w:val="0"/>
          <w:sz w:val="24"/>
        </w:rPr>
        <w:t>供应商产品与本技术要求不一致时，供应商应在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文件中予以说明，并由评标委员会鉴定供应商产品能否达到要求。如供应商没有在</w:t>
      </w:r>
      <w:r>
        <w:rPr>
          <w:rFonts w:hint="eastAsia" w:ascii="仿宋" w:hAnsi="仿宋" w:eastAsia="仿宋" w:cs="仿宋"/>
          <w:b w:val="0"/>
          <w:bCs w:val="0"/>
          <w:snapToGrid w:val="0"/>
          <w:color w:val="auto"/>
          <w:kern w:val="0"/>
          <w:sz w:val="24"/>
          <w:lang w:val="en-US" w:eastAsia="zh-CN"/>
        </w:rPr>
        <w:t>响应</w:t>
      </w:r>
      <w:r>
        <w:rPr>
          <w:rFonts w:hint="eastAsia" w:ascii="仿宋" w:hAnsi="仿宋" w:eastAsia="仿宋" w:cs="仿宋"/>
          <w:b w:val="0"/>
          <w:bCs w:val="0"/>
          <w:snapToGrid w:val="0"/>
          <w:color w:val="auto"/>
          <w:kern w:val="0"/>
          <w:sz w:val="24"/>
        </w:rPr>
        <w:t>文件中提出异议，则视为供应商提供的产品完全按照本</w:t>
      </w:r>
      <w:r>
        <w:rPr>
          <w:rFonts w:hint="eastAsia" w:ascii="仿宋" w:hAnsi="仿宋" w:eastAsia="仿宋" w:cs="仿宋"/>
          <w:b w:val="0"/>
          <w:bCs w:val="0"/>
          <w:snapToGrid w:val="0"/>
          <w:color w:val="auto"/>
          <w:kern w:val="0"/>
          <w:sz w:val="24"/>
          <w:lang w:val="en-US" w:eastAsia="zh-CN"/>
        </w:rPr>
        <w:t>采购</w:t>
      </w:r>
      <w:r>
        <w:rPr>
          <w:rFonts w:hint="eastAsia" w:ascii="仿宋" w:hAnsi="仿宋" w:eastAsia="仿宋" w:cs="仿宋"/>
          <w:b w:val="0"/>
          <w:bCs w:val="0"/>
          <w:snapToGrid w:val="0"/>
          <w:color w:val="auto"/>
          <w:kern w:val="0"/>
          <w:sz w:val="24"/>
        </w:rPr>
        <w:t>文件要求。</w:t>
      </w:r>
    </w:p>
    <w:p w14:paraId="7A51E811">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color w:val="auto"/>
          <w:sz w:val="24"/>
          <w:szCs w:val="24"/>
          <w:lang w:val="zh-CN"/>
        </w:rPr>
      </w:pPr>
      <w:r>
        <w:rPr>
          <w:rFonts w:hint="eastAsia" w:ascii="仿宋" w:hAnsi="仿宋" w:eastAsia="仿宋" w:cs="仿宋"/>
          <w:b/>
          <w:bCs/>
          <w:snapToGrid w:val="0"/>
          <w:color w:val="auto"/>
          <w:kern w:val="0"/>
          <w:sz w:val="24"/>
          <w:szCs w:val="24"/>
        </w:rPr>
        <w:t>二、采购要求</w:t>
      </w:r>
    </w:p>
    <w:p w14:paraId="20A6D72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szCs w:val="24"/>
        </w:rPr>
      </w:pPr>
      <w:bookmarkStart w:id="69" w:name="_Toc496021912"/>
      <w:bookmarkStart w:id="70" w:name="_Toc491267217"/>
      <w:r>
        <w:rPr>
          <w:rFonts w:hint="eastAsia" w:ascii="仿宋" w:hAnsi="仿宋" w:eastAsia="仿宋" w:cs="仿宋"/>
          <w:b/>
          <w:color w:val="auto"/>
          <w:sz w:val="24"/>
          <w:szCs w:val="24"/>
        </w:rPr>
        <w:t>（一）电源线</w:t>
      </w:r>
      <w:bookmarkEnd w:id="69"/>
      <w:bookmarkEnd w:id="70"/>
    </w:p>
    <w:p w14:paraId="7CA6DA7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459B0BF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785"/>
        <w:gridCol w:w="6283"/>
      </w:tblGrid>
      <w:tr w14:paraId="61692F77">
        <w:tblPrEx>
          <w:tblCellMar>
            <w:top w:w="0" w:type="dxa"/>
            <w:left w:w="108" w:type="dxa"/>
            <w:bottom w:w="0" w:type="dxa"/>
            <w:right w:w="108" w:type="dxa"/>
          </w:tblCellMar>
        </w:tblPrEx>
        <w:trPr>
          <w:trHeight w:val="70" w:hRule="atLeast"/>
          <w:jc w:val="center"/>
        </w:trPr>
        <w:tc>
          <w:tcPr>
            <w:tcW w:w="2785" w:type="dxa"/>
            <w:tcBorders>
              <w:top w:val="single" w:color="000000" w:sz="4" w:space="0"/>
              <w:left w:val="single" w:color="000000" w:sz="4" w:space="0"/>
              <w:bottom w:val="single" w:color="000000" w:sz="6" w:space="0"/>
              <w:right w:val="single" w:color="000000" w:sz="6" w:space="0"/>
            </w:tcBorders>
            <w:noWrap w:val="0"/>
            <w:vAlign w:val="top"/>
          </w:tcPr>
          <w:p w14:paraId="379AF5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GB5023-1997</w:t>
            </w:r>
          </w:p>
        </w:tc>
        <w:tc>
          <w:tcPr>
            <w:tcW w:w="6283" w:type="dxa"/>
            <w:tcBorders>
              <w:top w:val="single" w:color="000000" w:sz="4" w:space="0"/>
              <w:left w:val="single" w:color="000000" w:sz="6" w:space="0"/>
              <w:bottom w:val="single" w:color="000000" w:sz="6" w:space="0"/>
              <w:right w:val="single" w:color="000000" w:sz="4" w:space="0"/>
            </w:tcBorders>
            <w:noWrap w:val="0"/>
            <w:vAlign w:val="top"/>
          </w:tcPr>
          <w:p w14:paraId="7CD0B4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w:t>
            </w:r>
          </w:p>
        </w:tc>
      </w:tr>
      <w:tr w14:paraId="2CEA3969">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BF29A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JB/T8734-2016</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ABC1F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额定电压450/750V及以下聚氯乙稀绝缘电缆电线和软线</w:t>
            </w:r>
          </w:p>
        </w:tc>
      </w:tr>
      <w:tr w14:paraId="436309AF">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2984896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14B6124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7FFEAD45">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3904B9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346D3DA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电缆和光缆绝缘和护套材料通用试验方法</w:t>
            </w:r>
          </w:p>
        </w:tc>
      </w:tr>
      <w:tr w14:paraId="67FB347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6" w:space="0"/>
              <w:right w:val="single" w:color="000000" w:sz="6" w:space="0"/>
            </w:tcBorders>
            <w:noWrap w:val="0"/>
            <w:vAlign w:val="top"/>
          </w:tcPr>
          <w:p w14:paraId="4E94E93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w:t>
            </w:r>
          </w:p>
        </w:tc>
        <w:tc>
          <w:tcPr>
            <w:tcW w:w="6283" w:type="dxa"/>
            <w:tcBorders>
              <w:top w:val="single" w:color="000000" w:sz="6" w:space="0"/>
              <w:left w:val="single" w:color="000000" w:sz="6" w:space="0"/>
              <w:bottom w:val="single" w:color="000000" w:sz="6" w:space="0"/>
              <w:right w:val="single" w:color="000000" w:sz="4" w:space="0"/>
            </w:tcBorders>
            <w:noWrap w:val="0"/>
            <w:vAlign w:val="top"/>
          </w:tcPr>
          <w:p w14:paraId="29022C8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电缆和光缆在火焰条件下的燃烧试验</w:t>
            </w:r>
          </w:p>
        </w:tc>
      </w:tr>
      <w:tr w14:paraId="66A7F1D8">
        <w:tblPrEx>
          <w:tblCellMar>
            <w:top w:w="0" w:type="dxa"/>
            <w:left w:w="108" w:type="dxa"/>
            <w:bottom w:w="0" w:type="dxa"/>
            <w:right w:w="108" w:type="dxa"/>
          </w:tblCellMar>
        </w:tblPrEx>
        <w:trPr>
          <w:jc w:val="center"/>
        </w:trPr>
        <w:tc>
          <w:tcPr>
            <w:tcW w:w="2785" w:type="dxa"/>
            <w:tcBorders>
              <w:top w:val="single" w:color="000000" w:sz="6" w:space="0"/>
              <w:left w:val="single" w:color="000000" w:sz="4" w:space="0"/>
              <w:bottom w:val="single" w:color="000000" w:sz="4" w:space="0"/>
              <w:right w:val="single" w:color="000000" w:sz="6" w:space="0"/>
            </w:tcBorders>
            <w:noWrap w:val="0"/>
            <w:vAlign w:val="top"/>
          </w:tcPr>
          <w:p w14:paraId="59757FE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283" w:type="dxa"/>
            <w:tcBorders>
              <w:top w:val="single" w:color="000000" w:sz="6" w:space="0"/>
              <w:left w:val="single" w:color="000000" w:sz="6" w:space="0"/>
              <w:bottom w:val="single" w:color="000000" w:sz="4" w:space="0"/>
              <w:right w:val="single" w:color="000000" w:sz="4" w:space="0"/>
            </w:tcBorders>
            <w:noWrap w:val="0"/>
            <w:vAlign w:val="top"/>
          </w:tcPr>
          <w:p w14:paraId="1E399F2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bl>
    <w:p w14:paraId="283F50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本技术规范未规定的其它技术要求应不劣于中国国家标准的要求。</w:t>
      </w:r>
    </w:p>
    <w:p w14:paraId="0643E4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本技术规范书未标明日期的中国国家标准均使用最新版本（截至到发标日）。</w:t>
      </w:r>
    </w:p>
    <w:p w14:paraId="238972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投标方至少应提供包括以下内容的技术文件：</w:t>
      </w:r>
    </w:p>
    <w:p w14:paraId="232A8E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投标产品制造厂家的名称和投标产品制造地点。</w:t>
      </w:r>
    </w:p>
    <w:p w14:paraId="19FDA7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投标产品的技术标准、生产工艺、制造方法、检测设备及质量保证措施。特别必须注明针对本项目的生产设备是进口设备还是国产设备。</w:t>
      </w:r>
    </w:p>
    <w:p w14:paraId="268372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投标产品的的结构尺寸及误差范围，包括截面图及各部分的详细尺寸。</w:t>
      </w:r>
    </w:p>
    <w:p w14:paraId="6E5D7F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投标产品所用主要原材料（包括但不限于内外护套、铜芯）的技术标准、生产厂家、产地。报出针对本次入围选型所采用的原材料，不可同时列出两种同类材料或不同产地待选。</w:t>
      </w:r>
    </w:p>
    <w:p w14:paraId="753AE5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投标产品的电性能指标。</w:t>
      </w:r>
    </w:p>
    <w:p w14:paraId="36C398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投标产品气候及机械耐久性能。</w:t>
      </w:r>
    </w:p>
    <w:p w14:paraId="232071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投标产品使用寿命，投标方应说明保证投标产品寿命的有关技术措施。</w:t>
      </w:r>
    </w:p>
    <w:p w14:paraId="06E438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权威机构鉴定测试报告。</w:t>
      </w:r>
    </w:p>
    <w:p w14:paraId="1099D9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投标产品必须参与由</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组织的测试检验。</w:t>
      </w:r>
    </w:p>
    <w:p w14:paraId="6CB2F0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投标方需要说明的其它事宜。</w:t>
      </w:r>
    </w:p>
    <w:p w14:paraId="4A956FE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BVVB结构描述</w:t>
      </w:r>
    </w:p>
    <w:p w14:paraId="17B5A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p w14:paraId="697B0B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铜芯聚氯乙烯绝缘聚氯乙烯护套扁型电缆 </w:t>
      </w:r>
    </w:p>
    <w:p w14:paraId="696F3B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结构图</w:t>
      </w:r>
    </w:p>
    <w:p w14:paraId="6D8F754D">
      <w:pPr>
        <w:adjustRightInd/>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114300" distR="114300">
            <wp:extent cx="5622925" cy="1637030"/>
            <wp:effectExtent l="0" t="0" r="15875"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5622925" cy="1637030"/>
                    </a:xfrm>
                    <a:prstGeom prst="rect">
                      <a:avLst/>
                    </a:prstGeom>
                    <a:noFill/>
                    <a:ln>
                      <a:noFill/>
                    </a:ln>
                  </pic:spPr>
                </pic:pic>
              </a:graphicData>
            </a:graphic>
          </wp:inline>
        </w:drawing>
      </w:r>
    </w:p>
    <w:p w14:paraId="6B852E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外护套标志要求：</w:t>
      </w:r>
    </w:p>
    <w:p w14:paraId="21C829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需印有用户指定标志(如有特殊需求，会在订单上说明)</w:t>
      </w:r>
    </w:p>
    <w:p w14:paraId="4BBCE7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制造厂名或商标；</w:t>
      </w:r>
    </w:p>
    <w:p w14:paraId="57AE03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电缆型号及规格；</w:t>
      </w:r>
    </w:p>
    <w:p w14:paraId="524501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长度，m；</w:t>
      </w:r>
    </w:p>
    <w:p w14:paraId="6CDED6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制造日期： 年  月；</w:t>
      </w:r>
    </w:p>
    <w:p w14:paraId="3EB554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技术要求：</w:t>
      </w:r>
    </w:p>
    <w:p w14:paraId="75B1BF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导体</w:t>
      </w:r>
    </w:p>
    <w:p w14:paraId="53153A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导体应符合GB/T3956-2008中第1种导体规定的要求</w:t>
      </w:r>
    </w:p>
    <w:p w14:paraId="2B2678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3C9791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挤包在每芯导体上的绝缘应是PVC/C型聚氯乙烯混合物。</w:t>
      </w:r>
    </w:p>
    <w:p w14:paraId="05EA59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033580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挤包在绝缘线芯上的护套应是PVC/ST4型聚氯乙烯混合物</w:t>
      </w:r>
    </w:p>
    <w:p w14:paraId="453553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规格尺寸：</w:t>
      </w:r>
    </w:p>
    <w:tbl>
      <w:tblPr>
        <w:tblStyle w:val="61"/>
        <w:tblW w:w="0" w:type="auto"/>
        <w:jc w:val="center"/>
        <w:tblLayout w:type="fixed"/>
        <w:tblCellMar>
          <w:top w:w="0" w:type="dxa"/>
          <w:left w:w="108" w:type="dxa"/>
          <w:bottom w:w="0" w:type="dxa"/>
          <w:right w:w="108" w:type="dxa"/>
        </w:tblCellMar>
      </w:tblPr>
      <w:tblGrid>
        <w:gridCol w:w="1634"/>
        <w:gridCol w:w="1376"/>
        <w:gridCol w:w="1326"/>
        <w:gridCol w:w="1352"/>
        <w:gridCol w:w="1203"/>
        <w:gridCol w:w="2150"/>
      </w:tblGrid>
      <w:tr w14:paraId="372FE08E">
        <w:tblPrEx>
          <w:tblCellMar>
            <w:top w:w="0" w:type="dxa"/>
            <w:left w:w="108" w:type="dxa"/>
            <w:bottom w:w="0" w:type="dxa"/>
            <w:right w:w="108" w:type="dxa"/>
          </w:tblCellMar>
        </w:tblPrEx>
        <w:trPr>
          <w:trHeight w:val="517" w:hRule="atLeast"/>
          <w:jc w:val="center"/>
        </w:trPr>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B635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导体芯数和标称截面积/mm²</w:t>
            </w:r>
          </w:p>
        </w:tc>
        <w:tc>
          <w:tcPr>
            <w:tcW w:w="1376" w:type="dxa"/>
            <w:vMerge w:val="restart"/>
            <w:tcBorders>
              <w:top w:val="single" w:color="000000" w:sz="4" w:space="0"/>
              <w:left w:val="nil"/>
              <w:bottom w:val="single" w:color="000000" w:sz="4" w:space="0"/>
              <w:right w:val="single" w:color="000000" w:sz="4" w:space="0"/>
            </w:tcBorders>
            <w:noWrap w:val="0"/>
            <w:vAlign w:val="center"/>
          </w:tcPr>
          <w:p w14:paraId="58A872F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绝缘厚度规定值/mm</w:t>
            </w:r>
          </w:p>
        </w:tc>
        <w:tc>
          <w:tcPr>
            <w:tcW w:w="1326" w:type="dxa"/>
            <w:vMerge w:val="restart"/>
            <w:tcBorders>
              <w:top w:val="single" w:color="000000" w:sz="4" w:space="0"/>
              <w:left w:val="nil"/>
              <w:bottom w:val="single" w:color="000000" w:sz="4" w:space="0"/>
              <w:right w:val="single" w:color="000000" w:sz="4" w:space="0"/>
            </w:tcBorders>
            <w:noWrap w:val="0"/>
            <w:vAlign w:val="center"/>
          </w:tcPr>
          <w:p w14:paraId="5C3BE9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护套厚度规定值/mm</w:t>
            </w:r>
          </w:p>
        </w:tc>
        <w:tc>
          <w:tcPr>
            <w:tcW w:w="2555" w:type="dxa"/>
            <w:gridSpan w:val="2"/>
            <w:tcBorders>
              <w:top w:val="single" w:color="000000" w:sz="4" w:space="0"/>
              <w:left w:val="nil"/>
              <w:bottom w:val="single" w:color="000000" w:sz="4" w:space="0"/>
              <w:right w:val="single" w:color="000000" w:sz="4" w:space="0"/>
            </w:tcBorders>
            <w:noWrap w:val="0"/>
            <w:vAlign w:val="center"/>
          </w:tcPr>
          <w:p w14:paraId="49AAD98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平均外形尺寸/mm</w:t>
            </w:r>
          </w:p>
        </w:tc>
        <w:tc>
          <w:tcPr>
            <w:tcW w:w="2150" w:type="dxa"/>
            <w:vMerge w:val="restart"/>
            <w:tcBorders>
              <w:top w:val="single" w:color="000000" w:sz="4" w:space="0"/>
              <w:left w:val="nil"/>
              <w:bottom w:val="single" w:color="000000" w:sz="4" w:space="0"/>
              <w:right w:val="single" w:color="000000" w:sz="4" w:space="0"/>
            </w:tcBorders>
            <w:noWrap w:val="0"/>
            <w:vAlign w:val="center"/>
          </w:tcPr>
          <w:p w14:paraId="1828136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70℃时最小绝缘电阻/（MΩ·km）</w:t>
            </w:r>
          </w:p>
        </w:tc>
      </w:tr>
      <w:tr w14:paraId="3E67AB06">
        <w:tblPrEx>
          <w:tblCellMar>
            <w:top w:w="0" w:type="dxa"/>
            <w:left w:w="108" w:type="dxa"/>
            <w:bottom w:w="0" w:type="dxa"/>
            <w:right w:w="108" w:type="dxa"/>
          </w:tblCellMar>
        </w:tblPrEx>
        <w:trPr>
          <w:trHeight w:val="411" w:hRule="atLeast"/>
          <w:jc w:val="center"/>
        </w:trPr>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4BCD2">
            <w:pPr>
              <w:adjustRightInd/>
              <w:spacing w:line="400" w:lineRule="exact"/>
              <w:jc w:val="center"/>
              <w:rPr>
                <w:rFonts w:hint="eastAsia" w:ascii="仿宋" w:hAnsi="仿宋" w:eastAsia="仿宋" w:cs="仿宋"/>
                <w:color w:val="auto"/>
                <w:sz w:val="24"/>
                <w:szCs w:val="24"/>
              </w:rPr>
            </w:pPr>
          </w:p>
        </w:tc>
        <w:tc>
          <w:tcPr>
            <w:tcW w:w="1376" w:type="dxa"/>
            <w:vMerge w:val="continue"/>
            <w:tcBorders>
              <w:top w:val="single" w:color="000000" w:sz="4" w:space="0"/>
              <w:left w:val="nil"/>
              <w:bottom w:val="single" w:color="000000" w:sz="4" w:space="0"/>
              <w:right w:val="single" w:color="000000" w:sz="4" w:space="0"/>
            </w:tcBorders>
            <w:noWrap w:val="0"/>
            <w:vAlign w:val="center"/>
          </w:tcPr>
          <w:p w14:paraId="363CB00D">
            <w:pPr>
              <w:adjustRightInd/>
              <w:spacing w:line="400" w:lineRule="exact"/>
              <w:jc w:val="center"/>
              <w:rPr>
                <w:rFonts w:hint="eastAsia" w:ascii="仿宋" w:hAnsi="仿宋" w:eastAsia="仿宋" w:cs="仿宋"/>
                <w:color w:val="auto"/>
                <w:sz w:val="24"/>
                <w:szCs w:val="24"/>
              </w:rPr>
            </w:pPr>
          </w:p>
        </w:tc>
        <w:tc>
          <w:tcPr>
            <w:tcW w:w="1326" w:type="dxa"/>
            <w:vMerge w:val="continue"/>
            <w:tcBorders>
              <w:top w:val="single" w:color="000000" w:sz="4" w:space="0"/>
              <w:left w:val="nil"/>
              <w:bottom w:val="single" w:color="000000" w:sz="4" w:space="0"/>
              <w:right w:val="single" w:color="000000" w:sz="4" w:space="0"/>
            </w:tcBorders>
            <w:noWrap w:val="0"/>
            <w:vAlign w:val="center"/>
          </w:tcPr>
          <w:p w14:paraId="3376409F">
            <w:pPr>
              <w:adjustRightInd/>
              <w:spacing w:line="400" w:lineRule="exact"/>
              <w:jc w:val="center"/>
              <w:rPr>
                <w:rFonts w:hint="eastAsia" w:ascii="仿宋" w:hAnsi="仿宋" w:eastAsia="仿宋" w:cs="仿宋"/>
                <w:color w:val="auto"/>
                <w:sz w:val="24"/>
                <w:szCs w:val="24"/>
              </w:rPr>
            </w:pPr>
          </w:p>
        </w:tc>
        <w:tc>
          <w:tcPr>
            <w:tcW w:w="1352" w:type="dxa"/>
            <w:tcBorders>
              <w:top w:val="single" w:color="000000" w:sz="4" w:space="0"/>
              <w:left w:val="nil"/>
              <w:bottom w:val="single" w:color="000000" w:sz="4" w:space="0"/>
              <w:right w:val="single" w:color="000000" w:sz="4" w:space="0"/>
            </w:tcBorders>
            <w:noWrap w:val="0"/>
            <w:vAlign w:val="center"/>
          </w:tcPr>
          <w:p w14:paraId="4DBEBA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下限</w:t>
            </w:r>
          </w:p>
        </w:tc>
        <w:tc>
          <w:tcPr>
            <w:tcW w:w="1203" w:type="dxa"/>
            <w:tcBorders>
              <w:top w:val="single" w:color="000000" w:sz="4" w:space="0"/>
              <w:left w:val="nil"/>
              <w:bottom w:val="single" w:color="000000" w:sz="4" w:space="0"/>
              <w:right w:val="single" w:color="000000" w:sz="4" w:space="0"/>
            </w:tcBorders>
            <w:noWrap w:val="0"/>
            <w:vAlign w:val="center"/>
          </w:tcPr>
          <w:p w14:paraId="7D80625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上限</w:t>
            </w:r>
          </w:p>
        </w:tc>
        <w:tc>
          <w:tcPr>
            <w:tcW w:w="2150" w:type="dxa"/>
            <w:vMerge w:val="continue"/>
            <w:tcBorders>
              <w:top w:val="single" w:color="000000" w:sz="4" w:space="0"/>
              <w:left w:val="nil"/>
              <w:bottom w:val="single" w:color="000000" w:sz="4" w:space="0"/>
              <w:right w:val="single" w:color="000000" w:sz="4" w:space="0"/>
            </w:tcBorders>
            <w:noWrap w:val="0"/>
            <w:vAlign w:val="center"/>
          </w:tcPr>
          <w:p w14:paraId="1ACE0E85">
            <w:pPr>
              <w:adjustRightInd/>
              <w:spacing w:line="400" w:lineRule="exact"/>
              <w:jc w:val="center"/>
              <w:rPr>
                <w:rFonts w:hint="eastAsia" w:ascii="仿宋" w:hAnsi="仿宋" w:eastAsia="仿宋" w:cs="仿宋"/>
                <w:color w:val="auto"/>
                <w:sz w:val="24"/>
                <w:szCs w:val="24"/>
              </w:rPr>
            </w:pPr>
          </w:p>
        </w:tc>
      </w:tr>
      <w:tr w14:paraId="3CA84615">
        <w:tblPrEx>
          <w:tblCellMar>
            <w:top w:w="0" w:type="dxa"/>
            <w:left w:w="108" w:type="dxa"/>
            <w:bottom w:w="0" w:type="dxa"/>
            <w:right w:w="108" w:type="dxa"/>
          </w:tblCellMar>
        </w:tblPrEx>
        <w:trPr>
          <w:jc w:val="center"/>
        </w:trPr>
        <w:tc>
          <w:tcPr>
            <w:tcW w:w="1634" w:type="dxa"/>
            <w:tcBorders>
              <w:top w:val="single" w:color="000000" w:sz="4" w:space="0"/>
              <w:left w:val="single" w:color="000000" w:sz="4" w:space="0"/>
              <w:bottom w:val="single" w:color="000000" w:sz="4" w:space="0"/>
              <w:right w:val="single" w:color="000000" w:sz="4" w:space="0"/>
            </w:tcBorders>
            <w:noWrap w:val="0"/>
            <w:vAlign w:val="center"/>
          </w:tcPr>
          <w:p w14:paraId="0AAE8E1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2*1.5</w:t>
            </w:r>
          </w:p>
        </w:tc>
        <w:tc>
          <w:tcPr>
            <w:tcW w:w="1376" w:type="dxa"/>
            <w:tcBorders>
              <w:top w:val="single" w:color="000000" w:sz="4" w:space="0"/>
              <w:left w:val="nil"/>
              <w:bottom w:val="single" w:color="000000" w:sz="4" w:space="0"/>
              <w:right w:val="single" w:color="000000" w:sz="4" w:space="0"/>
            </w:tcBorders>
            <w:noWrap w:val="0"/>
            <w:vAlign w:val="center"/>
          </w:tcPr>
          <w:p w14:paraId="77BE150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0.7</w:t>
            </w:r>
          </w:p>
        </w:tc>
        <w:tc>
          <w:tcPr>
            <w:tcW w:w="1326" w:type="dxa"/>
            <w:tcBorders>
              <w:top w:val="single" w:color="000000" w:sz="4" w:space="0"/>
              <w:left w:val="nil"/>
              <w:bottom w:val="single" w:color="000000" w:sz="4" w:space="0"/>
              <w:right w:val="single" w:color="000000" w:sz="4" w:space="0"/>
            </w:tcBorders>
            <w:noWrap w:val="0"/>
            <w:vAlign w:val="center"/>
          </w:tcPr>
          <w:p w14:paraId="205A3D9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0.9</w:t>
            </w:r>
          </w:p>
        </w:tc>
        <w:tc>
          <w:tcPr>
            <w:tcW w:w="1352" w:type="dxa"/>
            <w:tcBorders>
              <w:top w:val="single" w:color="000000" w:sz="4" w:space="0"/>
              <w:left w:val="nil"/>
              <w:bottom w:val="single" w:color="000000" w:sz="4" w:space="0"/>
              <w:right w:val="single" w:color="000000" w:sz="4" w:space="0"/>
            </w:tcBorders>
            <w:noWrap w:val="0"/>
            <w:vAlign w:val="center"/>
          </w:tcPr>
          <w:p w14:paraId="40A0947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4.4*7.0</w:t>
            </w:r>
          </w:p>
        </w:tc>
        <w:tc>
          <w:tcPr>
            <w:tcW w:w="1203" w:type="dxa"/>
            <w:tcBorders>
              <w:top w:val="single" w:color="000000" w:sz="4" w:space="0"/>
              <w:left w:val="nil"/>
              <w:bottom w:val="single" w:color="000000" w:sz="4" w:space="0"/>
              <w:right w:val="single" w:color="000000" w:sz="4" w:space="0"/>
            </w:tcBorders>
            <w:noWrap w:val="0"/>
            <w:vAlign w:val="center"/>
          </w:tcPr>
          <w:p w14:paraId="0225E09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5.3*8.5</w:t>
            </w:r>
          </w:p>
        </w:tc>
        <w:tc>
          <w:tcPr>
            <w:tcW w:w="2150" w:type="dxa"/>
            <w:tcBorders>
              <w:top w:val="single" w:color="000000" w:sz="4" w:space="0"/>
              <w:left w:val="nil"/>
              <w:bottom w:val="single" w:color="000000" w:sz="4" w:space="0"/>
              <w:right w:val="single" w:color="000000" w:sz="4" w:space="0"/>
            </w:tcBorders>
            <w:noWrap w:val="0"/>
            <w:vAlign w:val="center"/>
          </w:tcPr>
          <w:p w14:paraId="2113E2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0.011</w:t>
            </w:r>
          </w:p>
        </w:tc>
      </w:tr>
    </w:tbl>
    <w:p w14:paraId="02E436B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color w:val="auto"/>
          <w:sz w:val="24"/>
          <w:szCs w:val="24"/>
        </w:rPr>
      </w:pPr>
      <w:bookmarkStart w:id="71" w:name="_Toc491267218"/>
      <w:bookmarkStart w:id="72" w:name="_Toc496021913"/>
      <w:r>
        <w:rPr>
          <w:rFonts w:hint="eastAsia" w:ascii="仿宋" w:hAnsi="仿宋" w:eastAsia="仿宋" w:cs="仿宋"/>
          <w:b/>
          <w:color w:val="auto"/>
          <w:sz w:val="24"/>
          <w:szCs w:val="24"/>
        </w:rPr>
        <w:t>（二）电力电缆</w:t>
      </w:r>
      <w:bookmarkEnd w:id="71"/>
      <w:bookmarkEnd w:id="72"/>
    </w:p>
    <w:p w14:paraId="6DB839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1.概述</w:t>
      </w:r>
    </w:p>
    <w:p w14:paraId="374D5D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2.执行标准</w:t>
      </w:r>
    </w:p>
    <w:tbl>
      <w:tblPr>
        <w:tblStyle w:val="61"/>
        <w:tblW w:w="0" w:type="auto"/>
        <w:jc w:val="center"/>
        <w:tblLayout w:type="fixed"/>
        <w:tblCellMar>
          <w:top w:w="0" w:type="dxa"/>
          <w:left w:w="108" w:type="dxa"/>
          <w:bottom w:w="0" w:type="dxa"/>
          <w:right w:w="108" w:type="dxa"/>
        </w:tblCellMar>
      </w:tblPr>
      <w:tblGrid>
        <w:gridCol w:w="2223"/>
        <w:gridCol w:w="6743"/>
      </w:tblGrid>
      <w:tr w14:paraId="174E0F94">
        <w:tblPrEx>
          <w:tblCellMar>
            <w:top w:w="0" w:type="dxa"/>
            <w:left w:w="108" w:type="dxa"/>
            <w:bottom w:w="0" w:type="dxa"/>
            <w:right w:w="108" w:type="dxa"/>
          </w:tblCellMar>
        </w:tblPrEx>
        <w:trPr>
          <w:trHeight w:val="58" w:hRule="atLeast"/>
          <w:jc w:val="center"/>
        </w:trPr>
        <w:tc>
          <w:tcPr>
            <w:tcW w:w="2223" w:type="dxa"/>
            <w:tcBorders>
              <w:top w:val="single" w:color="000000" w:sz="4" w:space="0"/>
              <w:left w:val="single" w:color="000000" w:sz="4" w:space="0"/>
              <w:bottom w:val="single" w:color="000000" w:sz="6" w:space="0"/>
              <w:right w:val="single" w:color="000000" w:sz="6" w:space="0"/>
            </w:tcBorders>
            <w:noWrap w:val="0"/>
            <w:vAlign w:val="center"/>
          </w:tcPr>
          <w:p w14:paraId="0ACB90B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GB/T12706.1-2008</w:t>
            </w:r>
          </w:p>
        </w:tc>
        <w:tc>
          <w:tcPr>
            <w:tcW w:w="6743" w:type="dxa"/>
            <w:tcBorders>
              <w:top w:val="single" w:color="000000" w:sz="4" w:space="0"/>
              <w:left w:val="single" w:color="000000" w:sz="6" w:space="0"/>
              <w:bottom w:val="single" w:color="000000" w:sz="6" w:space="0"/>
              <w:right w:val="single" w:color="000000" w:sz="4" w:space="0"/>
            </w:tcBorders>
            <w:noWrap w:val="0"/>
            <w:vAlign w:val="top"/>
          </w:tcPr>
          <w:p w14:paraId="23108B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额定电压1kV(Um=1.2kV)到35kV(Um=40.5kV)挤包绝缘电力电缆及附件</w:t>
            </w:r>
          </w:p>
          <w:p w14:paraId="49AA5C9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第1部分额定电压1kV(Um=1.2kV)和3kV(Um=3.6kV)电缆</w:t>
            </w:r>
          </w:p>
        </w:tc>
      </w:tr>
      <w:tr w14:paraId="0255CEBD">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75A0F35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GB/T2951-2008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510598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电缆绝缘和护套材料通用试验方法</w:t>
            </w:r>
          </w:p>
        </w:tc>
      </w:tr>
      <w:tr w14:paraId="30F3957F">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F7BE1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GB/T3048-2007</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743524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电线电缆电性能试验方法</w:t>
            </w:r>
          </w:p>
        </w:tc>
      </w:tr>
      <w:tr w14:paraId="66DDF9FA">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78238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GB/T3956-2008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3009861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电缆的导体</w:t>
            </w:r>
          </w:p>
        </w:tc>
      </w:tr>
      <w:tr w14:paraId="4477EBD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2063BB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JB/T8137-1999</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66C025F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电线电缆交货盘</w:t>
            </w:r>
          </w:p>
        </w:tc>
      </w:tr>
      <w:tr w14:paraId="73CBE8F4">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6" w:space="0"/>
              <w:right w:val="single" w:color="000000" w:sz="6" w:space="0"/>
            </w:tcBorders>
            <w:noWrap w:val="0"/>
            <w:vAlign w:val="center"/>
          </w:tcPr>
          <w:p w14:paraId="46A8296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GB6995-2008</w:t>
            </w:r>
          </w:p>
        </w:tc>
        <w:tc>
          <w:tcPr>
            <w:tcW w:w="6743" w:type="dxa"/>
            <w:tcBorders>
              <w:top w:val="single" w:color="000000" w:sz="6" w:space="0"/>
              <w:left w:val="single" w:color="000000" w:sz="6" w:space="0"/>
              <w:bottom w:val="single" w:color="000000" w:sz="6" w:space="0"/>
              <w:right w:val="single" w:color="000000" w:sz="4" w:space="0"/>
            </w:tcBorders>
            <w:noWrap w:val="0"/>
            <w:vAlign w:val="top"/>
          </w:tcPr>
          <w:p w14:paraId="2D968C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电线电缆识别标志</w:t>
            </w:r>
          </w:p>
        </w:tc>
      </w:tr>
      <w:tr w14:paraId="5ED43869">
        <w:tblPrEx>
          <w:tblCellMar>
            <w:top w:w="0" w:type="dxa"/>
            <w:left w:w="108" w:type="dxa"/>
            <w:bottom w:w="0" w:type="dxa"/>
            <w:right w:w="108" w:type="dxa"/>
          </w:tblCellMar>
        </w:tblPrEx>
        <w:trPr>
          <w:jc w:val="center"/>
        </w:trPr>
        <w:tc>
          <w:tcPr>
            <w:tcW w:w="2223" w:type="dxa"/>
            <w:tcBorders>
              <w:top w:val="single" w:color="000000" w:sz="6" w:space="0"/>
              <w:left w:val="single" w:color="000000" w:sz="4" w:space="0"/>
              <w:bottom w:val="single" w:color="000000" w:sz="4" w:space="0"/>
              <w:right w:val="single" w:color="000000" w:sz="6" w:space="0"/>
            </w:tcBorders>
            <w:noWrap w:val="0"/>
            <w:vAlign w:val="center"/>
          </w:tcPr>
          <w:p w14:paraId="487A85A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GB/T18380.1-2001</w:t>
            </w:r>
          </w:p>
        </w:tc>
        <w:tc>
          <w:tcPr>
            <w:tcW w:w="6743" w:type="dxa"/>
            <w:tcBorders>
              <w:top w:val="single" w:color="000000" w:sz="6" w:space="0"/>
              <w:left w:val="single" w:color="000000" w:sz="6" w:space="0"/>
              <w:bottom w:val="single" w:color="000000" w:sz="4" w:space="0"/>
              <w:right w:val="single" w:color="000000" w:sz="4" w:space="0"/>
            </w:tcBorders>
            <w:noWrap w:val="0"/>
            <w:vAlign w:val="top"/>
          </w:tcPr>
          <w:p w14:paraId="38936E0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电缆在火焰条件下燃烧试验  </w:t>
            </w:r>
          </w:p>
          <w:p w14:paraId="026CEFC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第1部分： 单根绝缘电线或电缆的垂直燃烧试验方法 </w:t>
            </w:r>
          </w:p>
        </w:tc>
      </w:tr>
    </w:tbl>
    <w:p w14:paraId="274D2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本技术规范未规定的其它技术要求应不劣于中国国家标准的要求。</w:t>
      </w:r>
    </w:p>
    <w:p w14:paraId="1EF3A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本技术规范书未标明日期的中国国家标准均使用最新版本（截至到发标日）。 </w:t>
      </w:r>
    </w:p>
    <w:p w14:paraId="6AD90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投标方至少应提供包括以下内容的技术文件：</w:t>
      </w:r>
    </w:p>
    <w:p w14:paraId="38367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投标产品制造厂家的名称和投标产品制造地点。</w:t>
      </w:r>
    </w:p>
    <w:p w14:paraId="2840E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投标产品的技术标准、生产工艺、制造方法、检测设备及质量保证措施。</w:t>
      </w:r>
    </w:p>
    <w:p w14:paraId="0B32D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各种规格的结构尺寸及误差范围，包括截面图及各部分的详细尺寸。</w:t>
      </w:r>
    </w:p>
    <w:p w14:paraId="4F645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投标产品所用主要原材料（包括但不限于内外护套、铜芯）的技术标准、生产厂家、产地。必须报出针对本次入围选型所采用的原材料，不可同时列出两种同类材料或不同产地待选。</w:t>
      </w:r>
    </w:p>
    <w:p w14:paraId="31812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投标产品的电性能指标。</w:t>
      </w:r>
    </w:p>
    <w:p w14:paraId="01509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投标产品气候及机械耐久性能。</w:t>
      </w:r>
    </w:p>
    <w:p w14:paraId="23087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投标产品使用寿命，投标方应说明保证投标产品寿命的有关技术措施。</w:t>
      </w:r>
    </w:p>
    <w:p w14:paraId="2A306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权威机构鉴定测试报告。</w:t>
      </w:r>
    </w:p>
    <w:p w14:paraId="12B15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投标产品必须参与由</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组织的测试检验。</w:t>
      </w:r>
    </w:p>
    <w:p w14:paraId="676B2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投标方需要说明的其它事宜。</w:t>
      </w:r>
    </w:p>
    <w:p w14:paraId="5C4E2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VV22铠装电源线描述：</w:t>
      </w:r>
    </w:p>
    <w:p w14:paraId="10901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17AA3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0.6/1kv ，二芯铠装电力电缆</w:t>
      </w:r>
    </w:p>
    <w:p w14:paraId="1CC55B19">
      <w:pPr>
        <w:adjustRightInd/>
        <w:rPr>
          <w:rFonts w:ascii="宋体" w:hAnsi="宋体" w:cs="Times New Roman"/>
          <w:color w:val="auto"/>
          <w:sz w:val="24"/>
        </w:rPr>
      </w:pPr>
      <w:r>
        <w:rPr>
          <w:rFonts w:ascii="宋体" w:hAnsi="宋体" w:cs="Times New Roman"/>
          <w:color w:val="auto"/>
          <w:sz w:val="24"/>
        </w:rPr>
        <w:drawing>
          <wp:inline distT="0" distB="0" distL="114300" distR="114300">
            <wp:extent cx="3839845" cy="1097280"/>
            <wp:effectExtent l="0" t="0" r="825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3839845" cy="1097280"/>
                    </a:xfrm>
                    <a:prstGeom prst="rect">
                      <a:avLst/>
                    </a:prstGeom>
                    <a:noFill/>
                    <a:ln>
                      <a:noFill/>
                    </a:ln>
                  </pic:spPr>
                </pic:pic>
              </a:graphicData>
            </a:graphic>
          </wp:inline>
        </w:drawing>
      </w:r>
      <w:r>
        <w:rPr>
          <w:rFonts w:hint="eastAsia" w:ascii="宋体" w:hAnsi="宋体" w:cs="Times New Roman"/>
          <w:color w:val="auto"/>
          <w:sz w:val="24"/>
        </w:rPr>
        <w:t xml:space="preserve"> </w:t>
      </w:r>
    </w:p>
    <w:p w14:paraId="030EA48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主要用材信息：</w:t>
      </w:r>
    </w:p>
    <w:tbl>
      <w:tblPr>
        <w:tblStyle w:val="61"/>
        <w:tblW w:w="9087" w:type="dxa"/>
        <w:tblInd w:w="20" w:type="dxa"/>
        <w:tblLayout w:type="fixed"/>
        <w:tblCellMar>
          <w:top w:w="0" w:type="dxa"/>
          <w:left w:w="0" w:type="dxa"/>
          <w:bottom w:w="0" w:type="dxa"/>
          <w:right w:w="0" w:type="dxa"/>
        </w:tblCellMar>
      </w:tblPr>
      <w:tblGrid>
        <w:gridCol w:w="1136"/>
        <w:gridCol w:w="2794"/>
        <w:gridCol w:w="1135"/>
        <w:gridCol w:w="4022"/>
      </w:tblGrid>
      <w:tr w14:paraId="772F9A46">
        <w:trPr>
          <w:trHeight w:val="315" w:hRule="atLeast"/>
        </w:trPr>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C937">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导体</w:t>
            </w:r>
          </w:p>
        </w:tc>
        <w:tc>
          <w:tcPr>
            <w:tcW w:w="27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D0968F">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电工铜</w:t>
            </w:r>
          </w:p>
        </w:tc>
        <w:tc>
          <w:tcPr>
            <w:tcW w:w="11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F71268">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外护套</w:t>
            </w:r>
          </w:p>
        </w:tc>
        <w:tc>
          <w:tcPr>
            <w:tcW w:w="40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7A005A">
            <w:pPr>
              <w:adjustRightInd/>
              <w:spacing w:line="40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聚氯乙烯</w:t>
            </w:r>
          </w:p>
        </w:tc>
      </w:tr>
      <w:tr w14:paraId="74B72088">
        <w:tblPrEx>
          <w:tblCellMar>
            <w:top w:w="0" w:type="dxa"/>
            <w:left w:w="0" w:type="dxa"/>
            <w:bottom w:w="0" w:type="dxa"/>
            <w:right w:w="0" w:type="dxa"/>
          </w:tblCellMar>
        </w:tblPrEx>
        <w:trPr>
          <w:trHeight w:val="315" w:hRule="atLeast"/>
        </w:trPr>
        <w:tc>
          <w:tcPr>
            <w:tcW w:w="11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A3518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tc>
        <w:tc>
          <w:tcPr>
            <w:tcW w:w="2794" w:type="dxa"/>
            <w:tcBorders>
              <w:top w:val="nil"/>
              <w:left w:val="nil"/>
              <w:bottom w:val="single" w:color="000000" w:sz="4" w:space="0"/>
              <w:right w:val="single" w:color="000000" w:sz="4" w:space="0"/>
            </w:tcBorders>
            <w:noWrap w:val="0"/>
            <w:tcMar>
              <w:top w:w="15" w:type="dxa"/>
              <w:left w:w="15" w:type="dxa"/>
              <w:right w:w="15" w:type="dxa"/>
            </w:tcMar>
            <w:vAlign w:val="center"/>
          </w:tcPr>
          <w:p w14:paraId="03B6B2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w:t>
            </w:r>
          </w:p>
        </w:tc>
        <w:tc>
          <w:tcPr>
            <w:tcW w:w="1135" w:type="dxa"/>
            <w:tcBorders>
              <w:top w:val="nil"/>
              <w:left w:val="nil"/>
              <w:bottom w:val="single" w:color="000000" w:sz="4" w:space="0"/>
              <w:right w:val="single" w:color="000000" w:sz="4" w:space="0"/>
            </w:tcBorders>
            <w:noWrap w:val="0"/>
            <w:tcMar>
              <w:top w:w="15" w:type="dxa"/>
              <w:left w:w="15" w:type="dxa"/>
              <w:right w:w="15" w:type="dxa"/>
            </w:tcMar>
            <w:vAlign w:val="center"/>
          </w:tcPr>
          <w:p w14:paraId="1E8FF0C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钢带铠装</w:t>
            </w:r>
          </w:p>
        </w:tc>
        <w:tc>
          <w:tcPr>
            <w:tcW w:w="4022" w:type="dxa"/>
            <w:tcBorders>
              <w:top w:val="nil"/>
              <w:left w:val="nil"/>
              <w:bottom w:val="single" w:color="000000" w:sz="4" w:space="0"/>
              <w:right w:val="single" w:color="000000" w:sz="4" w:space="0"/>
            </w:tcBorders>
            <w:noWrap w:val="0"/>
            <w:tcMar>
              <w:top w:w="15" w:type="dxa"/>
              <w:left w:w="15" w:type="dxa"/>
              <w:right w:w="15" w:type="dxa"/>
            </w:tcMar>
            <w:vAlign w:val="center"/>
          </w:tcPr>
          <w:p w14:paraId="61E9CA3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镀锌钢带</w:t>
            </w:r>
          </w:p>
        </w:tc>
      </w:tr>
    </w:tbl>
    <w:p w14:paraId="5B09C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外护套标志要求及包装</w:t>
      </w:r>
    </w:p>
    <w:p w14:paraId="7DF76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电缆妥善包装在符合JB/T8137-1999规定要求的电缆盘上交货。电缆端头可靠密封，伸出盘外的电缆端头加保护罩，伸出的长度不小于300mm。</w:t>
      </w:r>
    </w:p>
    <w:p w14:paraId="2DA4C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电缆外护套上应印出以下中文标识：需印有用户指定标志(如有特殊需求，会在订单上说明)</w:t>
      </w:r>
    </w:p>
    <w:p w14:paraId="251F4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制造厂名或商标；</w:t>
      </w:r>
    </w:p>
    <w:p w14:paraId="7BE35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电缆型号及规格；</w:t>
      </w:r>
    </w:p>
    <w:p w14:paraId="5F01A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长度，m；</w:t>
      </w:r>
    </w:p>
    <w:p w14:paraId="33C13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毛重，kg；</w:t>
      </w:r>
    </w:p>
    <w:p w14:paraId="2DD99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制造日期： 年  月；</w:t>
      </w:r>
    </w:p>
    <w:p w14:paraId="6D84D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表示电缆盘正确滚动方向的符号；</w:t>
      </w:r>
    </w:p>
    <w:p w14:paraId="50983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标准编号</w:t>
      </w:r>
    </w:p>
    <w:p w14:paraId="14224B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运输和保管应符合下列要求：</w:t>
      </w:r>
    </w:p>
    <w:p w14:paraId="7C940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电缆应避免露天存放，电缆盘不允许平放</w:t>
      </w:r>
    </w:p>
    <w:p w14:paraId="34C0E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运输中严禁从高处扔下装有电缆的电缆盘，严禁机械损伤电缆；</w:t>
      </w:r>
    </w:p>
    <w:p w14:paraId="3B0C4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吊装包装件时，严禁几盘同时吊装。在车辆、船舶等运输工具上，电缆盘必须放稳，并用合适方法固定，防止互撞或翻倒。</w:t>
      </w:r>
    </w:p>
    <w:p w14:paraId="432F1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VV22铠装电源线技术要求</w:t>
      </w:r>
    </w:p>
    <w:p w14:paraId="34FEB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4D60C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导体结构、性能及外观符合GB/T3956-2008的规定。</w:t>
      </w:r>
    </w:p>
    <w:p w14:paraId="2635E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导体表面光洁、无油污、无损伤绝缘的毛刺、锐边以及凸起或断裂的单线。</w:t>
      </w:r>
    </w:p>
    <w:p w14:paraId="62625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3220E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绝缘紧密挤包在导体上，且容易剥离而不损伤导体。绝缘表面平整，色泽均匀。绝缘层的横断面上无目力可见的气泡和砂眼等缺陷。</w:t>
      </w:r>
    </w:p>
    <w:p w14:paraId="0CD8D9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绝缘采用PVC/A型聚氯乙烯混和物，绝缘的最薄点厚度不小于标称值的90%-0.1mm。</w:t>
      </w:r>
    </w:p>
    <w:p w14:paraId="570B2B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额定电压0.6/1kV的聚氯乙烯绝缘钢带铠装聚氯乙烯护套电力电缆的绝缘标称厚度(VV)</w:t>
      </w:r>
    </w:p>
    <w:p w14:paraId="5DF78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绝缘线芯采用颜色识别，分色规则符合GB6995-2008的规定。</w:t>
      </w:r>
    </w:p>
    <w:p w14:paraId="0A159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缆芯、填充及内衬层</w:t>
      </w:r>
    </w:p>
    <w:p w14:paraId="426397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电缆绝缘线芯成缆方向为右向。</w:t>
      </w:r>
    </w:p>
    <w:p w14:paraId="6C0A0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电缆的缆芯中用非吸湿性材料填充。 </w:t>
      </w:r>
    </w:p>
    <w:p w14:paraId="7A7C2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VV22型电缆成缆线芯外绕包两层PVC黑带作为内衬层，其厚度符合GB/T12706.1-2008的规定。</w:t>
      </w:r>
    </w:p>
    <w:p w14:paraId="68868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铠装</w:t>
      </w:r>
    </w:p>
    <w:p w14:paraId="7FA43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单芯电缆采用双层不锈钢带铠装，多芯电缆铠装采用双层镀锌钢带铠装。</w:t>
      </w:r>
    </w:p>
    <w:p w14:paraId="2879BC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钢带螺旋式绕包，绕包间隔不超过钢带宽度的50%。</w:t>
      </w:r>
    </w:p>
    <w:p w14:paraId="1A038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钢带厚度符合GB/T12706.1-2008的规定，钢带绕包圆整光滑。</w:t>
      </w:r>
    </w:p>
    <w:p w14:paraId="4FF68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w:t>
      </w:r>
    </w:p>
    <w:p w14:paraId="404B4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电缆外护套紧密挤包在成缆线芯或铠装层上，护套表面光洁，色泽均匀。</w:t>
      </w:r>
    </w:p>
    <w:p w14:paraId="1CC5B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电缆外护套材料采用PVC/ST1聚氯乙烯混和物；护套厚度符合GB/T12706.1-2008的规定，铠装电缆护套上任一处最小厚度不小于标称值的80%-0.2mm，非铠装电缆护套上任一处最小厚度不小于标称值的85%-0.1mm。</w:t>
      </w:r>
    </w:p>
    <w:p w14:paraId="32331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VV电缆结构描述</w:t>
      </w:r>
    </w:p>
    <w:p w14:paraId="1B0A3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名称</w:t>
      </w:r>
    </w:p>
    <w:p w14:paraId="43410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铜芯聚氯乙烯绝缘聚氯乙烯护套电力电缆</w:t>
      </w:r>
    </w:p>
    <w:p w14:paraId="0443C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结构图</w:t>
      </w:r>
    </w:p>
    <w:p w14:paraId="7D4DA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drawing>
          <wp:inline distT="0" distB="0" distL="114300" distR="114300">
            <wp:extent cx="4573905" cy="2011045"/>
            <wp:effectExtent l="0" t="0" r="17145" b="825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4573905" cy="2011045"/>
                    </a:xfrm>
                    <a:prstGeom prst="rect">
                      <a:avLst/>
                    </a:prstGeom>
                    <a:noFill/>
                    <a:ln>
                      <a:noFill/>
                    </a:ln>
                  </pic:spPr>
                </pic:pic>
              </a:graphicData>
            </a:graphic>
          </wp:inline>
        </w:drawing>
      </w:r>
    </w:p>
    <w:p w14:paraId="3ADD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外护套标志要求</w:t>
      </w:r>
    </w:p>
    <w:p w14:paraId="59A90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需印有用户指定标志(如有特殊需求，会在订单上说明)</w:t>
      </w:r>
    </w:p>
    <w:p w14:paraId="30CEF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制造厂名或商标；</w:t>
      </w:r>
    </w:p>
    <w:p w14:paraId="6D2581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电缆型号及规格；</w:t>
      </w:r>
    </w:p>
    <w:p w14:paraId="42ADA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长度，m；</w:t>
      </w:r>
    </w:p>
    <w:p w14:paraId="1D580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制造日期： 年  月；</w:t>
      </w:r>
    </w:p>
    <w:p w14:paraId="07634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技术要求</w:t>
      </w:r>
    </w:p>
    <w:p w14:paraId="42A1C2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w:t>
      </w:r>
    </w:p>
    <w:p w14:paraId="19579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导体应符合GB/T3956-2008中第1种导体规定的要求。</w:t>
      </w:r>
    </w:p>
    <w:p w14:paraId="063DE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绝缘</w:t>
      </w:r>
    </w:p>
    <w:p w14:paraId="4DCB3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挤包在每芯导体上的绝缘应是PVC/D型聚氯乙烯混合物。</w:t>
      </w:r>
    </w:p>
    <w:p w14:paraId="2AE06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w:t>
      </w:r>
    </w:p>
    <w:p w14:paraId="7790A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内衬层可以采用挤包。所用材料应适合电缆的运行温度并和电缆绝缘材料相容。</w:t>
      </w:r>
    </w:p>
    <w:p w14:paraId="78DFE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w:t>
      </w:r>
    </w:p>
    <w:p w14:paraId="4578F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护套为黑色热塑性聚氯乙烯材料。</w:t>
      </w:r>
    </w:p>
    <w:p w14:paraId="1989F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bookmarkStart w:id="73" w:name="_Toc496021914"/>
      <w:r>
        <w:rPr>
          <w:rFonts w:hint="eastAsia" w:ascii="仿宋" w:hAnsi="仿宋" w:eastAsia="仿宋" w:cs="仿宋"/>
          <w:color w:val="auto"/>
          <w:sz w:val="24"/>
        </w:rPr>
        <w:t>其他要求</w:t>
      </w:r>
      <w:bookmarkEnd w:id="73"/>
    </w:p>
    <w:p w14:paraId="66755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w:t>
      </w:r>
    </w:p>
    <w:p w14:paraId="14001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成品电缆的机械物理性能等技术指标符合表1的规定。</w:t>
      </w:r>
    </w:p>
    <w:p w14:paraId="339F9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成品电缆经受3500V交流电压，时间5min的试验而不击穿。</w:t>
      </w:r>
    </w:p>
    <w:p w14:paraId="2FD4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电缆的绝缘电阻常数：20℃时，不小于36.7MΩ·km；70℃时，不小于0.037MΩ·km。</w:t>
      </w:r>
    </w:p>
    <w:p w14:paraId="1D942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电缆导体20℃时直流电阻符合GB/T3956-2008的规定。</w:t>
      </w:r>
    </w:p>
    <w:p w14:paraId="6932C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成品电缆的不圆度不大于10%。</w:t>
      </w:r>
    </w:p>
    <w:p w14:paraId="70995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成品电缆的外护套能通过GB/T18380.1-2001的不延燃试验。</w:t>
      </w:r>
    </w:p>
    <w:p w14:paraId="0A77B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成品电缆表面连续印有电缆型号、电压、厂名、尺码等标志。标志字迹清楚，容易辨认、耐擦，并符合GB6995.3-2008规定。</w:t>
      </w:r>
    </w:p>
    <w:p w14:paraId="23AD85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表1  额定电压0.6/1KV聚氯乙烯绝缘钢带铠装聚氯乙烯护套电力电缆(VV22)主要性能指标</w:t>
      </w:r>
    </w:p>
    <w:tbl>
      <w:tblPr>
        <w:tblStyle w:val="61"/>
        <w:tblW w:w="0" w:type="auto"/>
        <w:jc w:val="center"/>
        <w:tblLayout w:type="fixed"/>
        <w:tblCellMar>
          <w:top w:w="0" w:type="dxa"/>
          <w:left w:w="108" w:type="dxa"/>
          <w:bottom w:w="0" w:type="dxa"/>
          <w:right w:w="108" w:type="dxa"/>
        </w:tblCellMar>
      </w:tblPr>
      <w:tblGrid>
        <w:gridCol w:w="734"/>
        <w:gridCol w:w="735"/>
        <w:gridCol w:w="919"/>
        <w:gridCol w:w="78"/>
        <w:gridCol w:w="2494"/>
        <w:gridCol w:w="1152"/>
        <w:gridCol w:w="2861"/>
      </w:tblGrid>
      <w:tr w14:paraId="6C261671">
        <w:tblPrEx>
          <w:tblCellMar>
            <w:top w:w="0" w:type="dxa"/>
            <w:left w:w="108" w:type="dxa"/>
            <w:bottom w:w="0" w:type="dxa"/>
            <w:right w:w="108" w:type="dxa"/>
          </w:tblCellMar>
        </w:tblPrEx>
        <w:trPr>
          <w:trHeight w:val="368" w:hRule="atLeast"/>
          <w:jc w:val="center"/>
        </w:trPr>
        <w:tc>
          <w:tcPr>
            <w:tcW w:w="734" w:type="dxa"/>
            <w:tcBorders>
              <w:top w:val="single" w:color="000000" w:sz="4" w:space="0"/>
              <w:left w:val="single" w:color="000000" w:sz="4" w:space="0"/>
              <w:bottom w:val="single" w:color="000000" w:sz="6" w:space="0"/>
              <w:right w:val="single" w:color="000000" w:sz="6" w:space="0"/>
            </w:tcBorders>
            <w:noWrap w:val="0"/>
            <w:vAlign w:val="center"/>
          </w:tcPr>
          <w:p w14:paraId="72BF8BF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226" w:type="dxa"/>
            <w:gridSpan w:val="4"/>
            <w:tcBorders>
              <w:top w:val="single" w:color="000000" w:sz="4" w:space="0"/>
              <w:left w:val="single" w:color="000000" w:sz="6" w:space="0"/>
              <w:bottom w:val="single" w:color="000000" w:sz="6" w:space="0"/>
              <w:right w:val="single" w:color="000000" w:sz="6" w:space="0"/>
            </w:tcBorders>
            <w:noWrap w:val="0"/>
            <w:vAlign w:val="center"/>
          </w:tcPr>
          <w:p w14:paraId="0CEFE77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w:t>
            </w:r>
          </w:p>
        </w:tc>
        <w:tc>
          <w:tcPr>
            <w:tcW w:w="1152" w:type="dxa"/>
            <w:tcBorders>
              <w:top w:val="single" w:color="000000" w:sz="4" w:space="0"/>
              <w:left w:val="single" w:color="000000" w:sz="6" w:space="0"/>
              <w:bottom w:val="single" w:color="000000" w:sz="6" w:space="0"/>
              <w:right w:val="single" w:color="000000" w:sz="6" w:space="0"/>
            </w:tcBorders>
            <w:noWrap w:val="0"/>
            <w:vAlign w:val="center"/>
          </w:tcPr>
          <w:p w14:paraId="258168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2861" w:type="dxa"/>
            <w:tcBorders>
              <w:top w:val="single" w:color="000000" w:sz="4" w:space="0"/>
              <w:left w:val="single" w:color="000000" w:sz="6" w:space="0"/>
              <w:bottom w:val="single" w:color="000000" w:sz="6" w:space="0"/>
              <w:right w:val="single" w:color="000000" w:sz="4" w:space="0"/>
            </w:tcBorders>
            <w:noWrap w:val="0"/>
            <w:vAlign w:val="center"/>
          </w:tcPr>
          <w:p w14:paraId="0BC17791">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w:t>
            </w:r>
          </w:p>
        </w:tc>
      </w:tr>
      <w:tr w14:paraId="1BB963B8">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59D7266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C9DD99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导体直流电阻(20℃)</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2D83D8D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F5E2CE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符合GB/T3956-2008规定</w:t>
            </w:r>
          </w:p>
        </w:tc>
      </w:tr>
      <w:tr w14:paraId="234CB94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22A87E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07C08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交流电压试验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27E285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kV/min</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D8FAD4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3.5/5,  不击穿</w:t>
            </w:r>
          </w:p>
        </w:tc>
      </w:tr>
      <w:tr w14:paraId="2F82F0F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01842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4C104F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4小时交流电压试验(4U</w:t>
            </w:r>
            <w:r>
              <w:rPr>
                <w:rFonts w:hint="eastAsia" w:ascii="仿宋" w:hAnsi="仿宋" w:eastAsia="仿宋" w:cs="仿宋"/>
                <w:color w:val="auto"/>
                <w:sz w:val="24"/>
                <w:szCs w:val="24"/>
                <w:vertAlign w:val="subscript"/>
              </w:rPr>
              <w:t>0</w:t>
            </w:r>
            <w:r>
              <w:rPr>
                <w:rFonts w:hint="eastAsia" w:ascii="仿宋" w:hAnsi="仿宋" w:eastAsia="仿宋" w:cs="仿宋"/>
                <w:color w:val="auto"/>
                <w:sz w:val="24"/>
                <w:szCs w:val="24"/>
              </w:rPr>
              <w:t>）</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630767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kV</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3BAB8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2.4,  不击穿</w:t>
            </w:r>
          </w:p>
        </w:tc>
      </w:tr>
      <w:tr w14:paraId="72E3B2F0">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185A822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7BAC1E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CCE64E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B44E4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36.7</w:t>
            </w:r>
          </w:p>
        </w:tc>
      </w:tr>
      <w:tr w14:paraId="33170DD7">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63A2F124">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ECA976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70℃绝缘电阻常数Ki</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156F33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MΩ.km</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BDB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0.037</w:t>
            </w:r>
          </w:p>
        </w:tc>
      </w:tr>
      <w:tr w14:paraId="4D4CBB5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DB3A3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30B4D3C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绝缘</w:t>
            </w:r>
          </w:p>
          <w:p w14:paraId="537640B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78C38CA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14D152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1BA60ED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9CD790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96D6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9E8A55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B714CC">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E2EEF8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084832">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13165076">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6A72DE4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4BE7F0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D55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7D5F367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3825C7">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248C9EF">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7303A0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225B397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A181B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6D62A7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3959A891">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C54166D">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391ADDD">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EFF9B3C">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CA9B4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79B95B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3BFC4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084220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EC5A6F">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1B893824">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560339FA">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704B385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D09C0E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AD6829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13097B1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04A992F9">
            <w:pPr>
              <w:adjustRightInd/>
              <w:spacing w:line="400" w:lineRule="exact"/>
              <w:jc w:val="center"/>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95C0D7">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145737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2D3E7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6346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585090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6FF40A5B">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7C6E535B">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9D24C0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EB69C3A">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9362063">
            <w:pPr>
              <w:adjustRightInd/>
              <w:spacing w:line="400" w:lineRule="exact"/>
              <w:rPr>
                <w:rFonts w:hint="eastAsia" w:ascii="仿宋" w:hAnsi="仿宋" w:eastAsia="仿宋" w:cs="仿宋"/>
                <w:color w:val="auto"/>
                <w:sz w:val="24"/>
                <w:szCs w:val="24"/>
              </w:rPr>
            </w:pPr>
          </w:p>
        </w:tc>
      </w:tr>
      <w:tr w14:paraId="63CF140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9D41FE">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BD85E4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47239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55D3E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118AEB9A">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7E54574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5586BD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7E37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8C8ABE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76F74D96">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3D21B5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654"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4E2C088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w:t>
            </w:r>
          </w:p>
          <w:p w14:paraId="4852C44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1C2079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聚氯乙烯绝缘卷绕试验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6AAFF0">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05829A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4BE63FF">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B45F50">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29CF332">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5B0F4E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聚氯乙烯绝缘拉伸试验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011AD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0647C8F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4A5D030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60159FD">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783E0E1">
            <w:pPr>
              <w:adjustRightInd/>
              <w:spacing w:line="400" w:lineRule="exact"/>
              <w:rPr>
                <w:rFonts w:hint="eastAsia" w:ascii="仿宋" w:hAnsi="仿宋" w:eastAsia="仿宋" w:cs="仿宋"/>
                <w:color w:val="auto"/>
                <w:sz w:val="24"/>
                <w:szCs w:val="24"/>
              </w:rPr>
            </w:pPr>
          </w:p>
        </w:tc>
        <w:tc>
          <w:tcPr>
            <w:tcW w:w="2572" w:type="dxa"/>
            <w:gridSpan w:val="2"/>
            <w:tcBorders>
              <w:top w:val="single" w:color="000000" w:sz="6" w:space="0"/>
              <w:left w:val="single" w:color="000000" w:sz="6" w:space="0"/>
              <w:bottom w:val="single" w:color="000000" w:sz="6" w:space="0"/>
              <w:right w:val="single" w:color="000000" w:sz="6" w:space="0"/>
            </w:tcBorders>
            <w:noWrap w:val="0"/>
            <w:vAlign w:val="center"/>
          </w:tcPr>
          <w:p w14:paraId="788A973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聚氯乙烯绝缘冲击试验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C5BAFE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5CDB37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4D260B11">
        <w:tblPrEx>
          <w:tblCellMar>
            <w:top w:w="0" w:type="dxa"/>
            <w:left w:w="108" w:type="dxa"/>
            <w:bottom w:w="0" w:type="dxa"/>
            <w:right w:w="108" w:type="dxa"/>
          </w:tblCellMar>
        </w:tblPrEx>
        <w:trPr>
          <w:trHeight w:val="368" w:hRule="atLeast"/>
          <w:jc w:val="center"/>
        </w:trPr>
        <w:tc>
          <w:tcPr>
            <w:tcW w:w="734" w:type="dxa"/>
            <w:tcBorders>
              <w:top w:val="single" w:color="000000" w:sz="6" w:space="0"/>
              <w:left w:val="single" w:color="000000" w:sz="4" w:space="0"/>
              <w:bottom w:val="single" w:color="000000" w:sz="6" w:space="0"/>
              <w:right w:val="single" w:color="000000" w:sz="6" w:space="0"/>
            </w:tcBorders>
            <w:noWrap w:val="0"/>
            <w:vAlign w:val="center"/>
          </w:tcPr>
          <w:p w14:paraId="35F2EB7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20764ED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聚氯乙烯绝缘抗开裂试验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BB7B8F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67B76C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7EBB8F3F">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07AEA3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35" w:type="dxa"/>
            <w:vMerge w:val="restart"/>
            <w:tcBorders>
              <w:top w:val="single" w:color="000000" w:sz="6" w:space="0"/>
              <w:left w:val="single" w:color="000000" w:sz="6" w:space="0"/>
              <w:bottom w:val="single" w:color="000000" w:sz="6" w:space="0"/>
              <w:right w:val="single" w:color="000000" w:sz="6" w:space="0"/>
            </w:tcBorders>
            <w:noWrap w:val="0"/>
            <w:vAlign w:val="center"/>
          </w:tcPr>
          <w:p w14:paraId="1F41717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护套</w:t>
            </w:r>
          </w:p>
          <w:p w14:paraId="47CFE53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机械</w:t>
            </w:r>
          </w:p>
          <w:p w14:paraId="4F3768B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物理</w:t>
            </w:r>
          </w:p>
          <w:p w14:paraId="6EE07EB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性能</w:t>
            </w: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9212FF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老化前</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5FDB1B3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18740A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389ADD4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4E59624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0BAA907">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EC547F">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6615B7A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1AEA0CC9">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74A06C1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116210F">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1991C3D">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2172E3F0">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4239BA1">
            <w:pPr>
              <w:adjustRightInd/>
              <w:spacing w:line="400" w:lineRule="exact"/>
              <w:rPr>
                <w:rFonts w:hint="eastAsia" w:ascii="仿宋" w:hAnsi="仿宋" w:eastAsia="仿宋" w:cs="仿宋"/>
                <w:color w:val="auto"/>
                <w:sz w:val="24"/>
                <w:szCs w:val="24"/>
              </w:rPr>
            </w:pPr>
          </w:p>
        </w:tc>
        <w:tc>
          <w:tcPr>
            <w:tcW w:w="997"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14:paraId="3D63A7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老化后</w:t>
            </w: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34C7CD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3D8EED2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N/mm</w:t>
            </w:r>
            <w:r>
              <w:rPr>
                <w:rFonts w:hint="eastAsia" w:ascii="仿宋" w:hAnsi="仿宋" w:eastAsia="仿宋" w:cs="仿宋"/>
                <w:color w:val="auto"/>
                <w:sz w:val="24"/>
                <w:szCs w:val="24"/>
                <w:vertAlign w:val="superscript"/>
              </w:rPr>
              <w:t>2</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8B60D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≥12.5</w:t>
            </w:r>
          </w:p>
        </w:tc>
      </w:tr>
      <w:tr w14:paraId="0448B5B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CF74CD">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9732B6">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3EE106A9">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43E579C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抗张强度变化率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5682765">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4CAEA73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42D2DF77">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3675B2E9">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408905">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066CC1C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3EF316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7DE71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104C78A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≥150</w:t>
            </w:r>
          </w:p>
        </w:tc>
      </w:tr>
      <w:tr w14:paraId="5E7A8093">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164F6DBE">
            <w:pPr>
              <w:adjustRightInd/>
              <w:spacing w:line="400" w:lineRule="exact"/>
              <w:rPr>
                <w:rFonts w:hint="eastAsia" w:ascii="仿宋" w:hAnsi="仿宋" w:eastAsia="仿宋" w:cs="仿宋"/>
                <w:color w:val="auto"/>
                <w:sz w:val="24"/>
                <w:szCs w:val="24"/>
              </w:rPr>
            </w:pPr>
          </w:p>
        </w:tc>
        <w:tc>
          <w:tcPr>
            <w:tcW w:w="7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7065999">
            <w:pPr>
              <w:adjustRightInd/>
              <w:spacing w:line="400" w:lineRule="exact"/>
              <w:rPr>
                <w:rFonts w:hint="eastAsia" w:ascii="仿宋" w:hAnsi="仿宋" w:eastAsia="仿宋" w:cs="仿宋"/>
                <w:color w:val="auto"/>
                <w:sz w:val="24"/>
                <w:szCs w:val="24"/>
              </w:rPr>
            </w:pPr>
          </w:p>
        </w:tc>
        <w:tc>
          <w:tcPr>
            <w:tcW w:w="997"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7269C865">
            <w:pPr>
              <w:adjustRightInd/>
              <w:spacing w:line="400" w:lineRule="exact"/>
              <w:rPr>
                <w:rFonts w:hint="eastAsia" w:ascii="仿宋" w:hAnsi="仿宋" w:eastAsia="仿宋" w:cs="仿宋"/>
                <w:color w:val="auto"/>
                <w:sz w:val="24"/>
                <w:szCs w:val="24"/>
              </w:rPr>
            </w:pPr>
          </w:p>
        </w:tc>
        <w:tc>
          <w:tcPr>
            <w:tcW w:w="2494" w:type="dxa"/>
            <w:tcBorders>
              <w:top w:val="single" w:color="000000" w:sz="6" w:space="0"/>
              <w:left w:val="single" w:color="000000" w:sz="6" w:space="0"/>
              <w:bottom w:val="single" w:color="000000" w:sz="6" w:space="0"/>
              <w:right w:val="single" w:color="000000" w:sz="6" w:space="0"/>
            </w:tcBorders>
            <w:noWrap w:val="0"/>
            <w:vAlign w:val="center"/>
          </w:tcPr>
          <w:p w14:paraId="01DCA59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断裂伸长率变化率</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71015B8">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B339DC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00129700">
        <w:tblPrEx>
          <w:tblCellMar>
            <w:top w:w="0" w:type="dxa"/>
            <w:left w:w="108" w:type="dxa"/>
            <w:bottom w:w="0" w:type="dxa"/>
            <w:right w:w="108" w:type="dxa"/>
          </w:tblCellMar>
        </w:tblPrEx>
        <w:trPr>
          <w:trHeight w:val="368" w:hRule="atLeast"/>
          <w:jc w:val="center"/>
        </w:trPr>
        <w:tc>
          <w:tcPr>
            <w:tcW w:w="734" w:type="dxa"/>
            <w:vMerge w:val="restart"/>
            <w:tcBorders>
              <w:top w:val="single" w:color="000000" w:sz="6" w:space="0"/>
              <w:left w:val="single" w:color="000000" w:sz="4" w:space="0"/>
              <w:bottom w:val="single" w:color="000000" w:sz="6" w:space="0"/>
              <w:right w:val="single" w:color="000000" w:sz="6" w:space="0"/>
            </w:tcBorders>
            <w:noWrap w:val="0"/>
            <w:vAlign w:val="center"/>
          </w:tcPr>
          <w:p w14:paraId="162A7B6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656A492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聚氯乙烯护套高温压力试验</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30C3A55">
            <w:pPr>
              <w:adjustRightInd/>
              <w:spacing w:line="400" w:lineRule="exact"/>
              <w:rPr>
                <w:rFonts w:hint="eastAsia" w:ascii="仿宋" w:hAnsi="仿宋" w:eastAsia="仿宋" w:cs="仿宋"/>
                <w:color w:val="auto"/>
                <w:sz w:val="24"/>
                <w:szCs w:val="24"/>
              </w:rPr>
            </w:pP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77A298A3">
            <w:pPr>
              <w:adjustRightInd/>
              <w:spacing w:line="400" w:lineRule="exact"/>
              <w:rPr>
                <w:rFonts w:hint="eastAsia" w:ascii="仿宋" w:hAnsi="仿宋" w:eastAsia="仿宋" w:cs="仿宋"/>
                <w:color w:val="auto"/>
                <w:sz w:val="24"/>
                <w:szCs w:val="24"/>
              </w:rPr>
            </w:pPr>
          </w:p>
        </w:tc>
      </w:tr>
      <w:tr w14:paraId="1531DCF2">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000000" w:sz="6" w:space="0"/>
              <w:right w:val="single" w:color="000000" w:sz="6" w:space="0"/>
            </w:tcBorders>
            <w:noWrap w:val="0"/>
            <w:vAlign w:val="center"/>
          </w:tcPr>
          <w:p w14:paraId="6F5EFF68">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000000" w:sz="6" w:space="0"/>
              <w:right w:val="single" w:color="000000" w:sz="6" w:space="0"/>
            </w:tcBorders>
            <w:noWrap w:val="0"/>
            <w:vAlign w:val="center"/>
          </w:tcPr>
          <w:p w14:paraId="3DBD966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试验温度(偏差±2℃)</w:t>
            </w:r>
          </w:p>
        </w:tc>
        <w:tc>
          <w:tcPr>
            <w:tcW w:w="1152" w:type="dxa"/>
            <w:tcBorders>
              <w:top w:val="single" w:color="000000" w:sz="6" w:space="0"/>
              <w:left w:val="single" w:color="000000" w:sz="6" w:space="0"/>
              <w:bottom w:val="single" w:color="000000" w:sz="6" w:space="0"/>
              <w:right w:val="single" w:color="000000" w:sz="6" w:space="0"/>
            </w:tcBorders>
            <w:noWrap w:val="0"/>
            <w:vAlign w:val="center"/>
          </w:tcPr>
          <w:p w14:paraId="6761FE4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000000" w:sz="6" w:space="0"/>
              <w:right w:val="single" w:color="000000" w:sz="4" w:space="0"/>
            </w:tcBorders>
            <w:noWrap w:val="0"/>
            <w:vAlign w:val="center"/>
          </w:tcPr>
          <w:p w14:paraId="2121F0A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80</w:t>
            </w:r>
          </w:p>
        </w:tc>
      </w:tr>
      <w:tr w14:paraId="2B2EA23B">
        <w:tblPrEx>
          <w:tblCellMar>
            <w:top w:w="0" w:type="dxa"/>
            <w:left w:w="108" w:type="dxa"/>
            <w:bottom w:w="0" w:type="dxa"/>
            <w:right w:w="108" w:type="dxa"/>
          </w:tblCellMar>
        </w:tblPrEx>
        <w:trPr>
          <w:trHeight w:val="368" w:hRule="atLeast"/>
          <w:jc w:val="center"/>
        </w:trPr>
        <w:tc>
          <w:tcPr>
            <w:tcW w:w="734" w:type="dxa"/>
            <w:vMerge w:val="continue"/>
            <w:tcBorders>
              <w:top w:val="single" w:color="000000" w:sz="6" w:space="0"/>
              <w:left w:val="single" w:color="000000" w:sz="4" w:space="0"/>
              <w:bottom w:val="single" w:color="auto" w:sz="4" w:space="0"/>
              <w:right w:val="single" w:color="000000" w:sz="6" w:space="0"/>
            </w:tcBorders>
            <w:noWrap w:val="0"/>
            <w:vAlign w:val="center"/>
          </w:tcPr>
          <w:p w14:paraId="23A1026D">
            <w:pPr>
              <w:adjustRightInd/>
              <w:spacing w:line="400" w:lineRule="exact"/>
              <w:jc w:val="center"/>
              <w:rPr>
                <w:rFonts w:hint="eastAsia" w:ascii="仿宋" w:hAnsi="仿宋" w:eastAsia="仿宋" w:cs="仿宋"/>
                <w:color w:val="auto"/>
                <w:sz w:val="24"/>
                <w:szCs w:val="24"/>
              </w:rPr>
            </w:pPr>
          </w:p>
        </w:tc>
        <w:tc>
          <w:tcPr>
            <w:tcW w:w="4226" w:type="dxa"/>
            <w:gridSpan w:val="4"/>
            <w:tcBorders>
              <w:top w:val="single" w:color="000000" w:sz="6" w:space="0"/>
              <w:left w:val="single" w:color="000000" w:sz="6" w:space="0"/>
              <w:bottom w:val="single" w:color="auto" w:sz="4" w:space="0"/>
              <w:right w:val="single" w:color="000000" w:sz="6" w:space="0"/>
            </w:tcBorders>
            <w:noWrap w:val="0"/>
            <w:vAlign w:val="center"/>
          </w:tcPr>
          <w:p w14:paraId="3604A35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压痕深度  最大</w:t>
            </w:r>
          </w:p>
        </w:tc>
        <w:tc>
          <w:tcPr>
            <w:tcW w:w="1152" w:type="dxa"/>
            <w:tcBorders>
              <w:top w:val="single" w:color="000000" w:sz="6" w:space="0"/>
              <w:left w:val="single" w:color="000000" w:sz="6" w:space="0"/>
              <w:bottom w:val="single" w:color="auto" w:sz="4" w:space="0"/>
              <w:right w:val="single" w:color="000000" w:sz="6" w:space="0"/>
            </w:tcBorders>
            <w:noWrap w:val="0"/>
            <w:vAlign w:val="center"/>
          </w:tcPr>
          <w:p w14:paraId="52041FB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000000" w:sz="6" w:space="0"/>
              <w:left w:val="single" w:color="000000" w:sz="6" w:space="0"/>
              <w:bottom w:val="single" w:color="auto" w:sz="4" w:space="0"/>
              <w:right w:val="single" w:color="000000" w:sz="4" w:space="0"/>
            </w:tcBorders>
            <w:noWrap w:val="0"/>
            <w:vAlign w:val="center"/>
          </w:tcPr>
          <w:p w14:paraId="4FF19E8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50</w:t>
            </w:r>
          </w:p>
        </w:tc>
      </w:tr>
      <w:tr w14:paraId="5E5FD56C">
        <w:tblPrEx>
          <w:tblCellMar>
            <w:top w:w="0" w:type="dxa"/>
            <w:left w:w="108" w:type="dxa"/>
            <w:bottom w:w="0" w:type="dxa"/>
            <w:right w:w="108" w:type="dxa"/>
          </w:tblCellMar>
        </w:tblPrEx>
        <w:trPr>
          <w:trHeight w:val="368"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14:paraId="4C088CC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6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371D3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w:t>
            </w:r>
          </w:p>
          <w:p w14:paraId="52645B2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低温试验</w:t>
            </w: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825B82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聚氯乙烯护套卷绕试验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D2C2B73">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1F68B681">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23470C12">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7DB798C6">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508E24">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215E640E">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聚氯乙烯护套拉伸试验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BC5D6C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5C5BC7CC">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14:paraId="6C03545F">
        <w:tblPrEx>
          <w:tblCellMar>
            <w:top w:w="0" w:type="dxa"/>
            <w:left w:w="108" w:type="dxa"/>
            <w:bottom w:w="0" w:type="dxa"/>
            <w:right w:w="108" w:type="dxa"/>
          </w:tblCellMar>
        </w:tblPrEx>
        <w:trPr>
          <w:trHeight w:val="368"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0ACCC642">
            <w:pPr>
              <w:adjustRightInd/>
              <w:spacing w:line="400" w:lineRule="exact"/>
              <w:jc w:val="center"/>
              <w:rPr>
                <w:rFonts w:hint="eastAsia" w:ascii="仿宋" w:hAnsi="仿宋" w:eastAsia="仿宋" w:cs="仿宋"/>
                <w:color w:val="auto"/>
                <w:sz w:val="24"/>
                <w:szCs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A2CBD5">
            <w:pPr>
              <w:adjustRightInd/>
              <w:spacing w:line="400" w:lineRule="exact"/>
              <w:rPr>
                <w:rFonts w:hint="eastAsia" w:ascii="仿宋" w:hAnsi="仿宋" w:eastAsia="仿宋" w:cs="仿宋"/>
                <w:color w:val="auto"/>
                <w:sz w:val="24"/>
                <w:szCs w:val="24"/>
              </w:rPr>
            </w:pPr>
          </w:p>
        </w:tc>
        <w:tc>
          <w:tcPr>
            <w:tcW w:w="2572" w:type="dxa"/>
            <w:gridSpan w:val="2"/>
            <w:tcBorders>
              <w:top w:val="single" w:color="auto" w:sz="4" w:space="0"/>
              <w:left w:val="single" w:color="auto" w:sz="4" w:space="0"/>
              <w:bottom w:val="single" w:color="auto" w:sz="4" w:space="0"/>
              <w:right w:val="single" w:color="auto" w:sz="4" w:space="0"/>
            </w:tcBorders>
            <w:noWrap w:val="0"/>
            <w:vAlign w:val="center"/>
          </w:tcPr>
          <w:p w14:paraId="0BF4077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聚氯乙烯护套冲击试验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2154F16">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C1187F2">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5713570C">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CDB1F0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4F534CC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聚氯乙烯护套抗开裂试验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03693D7">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EFD7C94">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不开裂</w:t>
            </w:r>
          </w:p>
        </w:tc>
      </w:tr>
      <w:tr w14:paraId="33B5BCE2">
        <w:tblPrEx>
          <w:tblCellMar>
            <w:top w:w="0" w:type="dxa"/>
            <w:left w:w="108" w:type="dxa"/>
            <w:bottom w:w="0" w:type="dxa"/>
            <w:right w:w="108" w:type="dxa"/>
          </w:tblCellMar>
        </w:tblPrEx>
        <w:trPr>
          <w:trHeight w:val="3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4F9828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4226" w:type="dxa"/>
            <w:gridSpan w:val="4"/>
            <w:tcBorders>
              <w:top w:val="single" w:color="auto" w:sz="4" w:space="0"/>
              <w:left w:val="single" w:color="auto" w:sz="4" w:space="0"/>
              <w:bottom w:val="single" w:color="auto" w:sz="4" w:space="0"/>
              <w:right w:val="single" w:color="auto" w:sz="4" w:space="0"/>
            </w:tcBorders>
            <w:noWrap w:val="0"/>
            <w:vAlign w:val="center"/>
          </w:tcPr>
          <w:p w14:paraId="1E6C7FDB">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聚氯乙烯护套的不延燃试验</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5F5CB4A">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45BEC9ED">
            <w:pPr>
              <w:adjustRightIn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通过</w:t>
            </w:r>
          </w:p>
        </w:tc>
      </w:tr>
    </w:tbl>
    <w:p w14:paraId="1F190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供货随货文件要求</w:t>
      </w:r>
    </w:p>
    <w:p w14:paraId="3193B9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中标单位送货时需提供产品合格证，产品质量的自检证明文件及送货单等相关文件，同时在送货时确保可根据</w:t>
      </w:r>
      <w:r>
        <w:rPr>
          <w:rFonts w:hint="eastAsia" w:ascii="仿宋" w:hAnsi="仿宋" w:eastAsia="仿宋" w:cs="仿宋"/>
          <w:color w:val="auto"/>
          <w:sz w:val="24"/>
          <w:lang w:eastAsia="zh-CN"/>
        </w:rPr>
        <w:t>采购人</w:t>
      </w:r>
      <w:r>
        <w:rPr>
          <w:rFonts w:hint="eastAsia" w:ascii="仿宋" w:hAnsi="仿宋" w:eastAsia="仿宋" w:cs="仿宋"/>
          <w:color w:val="auto"/>
          <w:sz w:val="24"/>
        </w:rPr>
        <w:t>仓库人员要求，卸货到指定位置。</w:t>
      </w:r>
    </w:p>
    <w:p w14:paraId="6AB3224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、招标产品规格、名称一览表</w:t>
      </w:r>
    </w:p>
    <w:tbl>
      <w:tblPr>
        <w:tblStyle w:val="61"/>
        <w:tblW w:w="898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948"/>
        <w:gridCol w:w="1107"/>
        <w:gridCol w:w="3094"/>
      </w:tblGrid>
      <w:tr w14:paraId="26D1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57A33EDE">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331B3AD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01B777AC">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948" w:type="dxa"/>
            <w:noWrap w:val="0"/>
            <w:vAlign w:val="center"/>
          </w:tcPr>
          <w:p w14:paraId="4C2BAB7F">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1107" w:type="dxa"/>
            <w:noWrap w:val="0"/>
            <w:vAlign w:val="center"/>
          </w:tcPr>
          <w:p w14:paraId="6DF496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60000元/吨基础铜价时的</w:t>
            </w:r>
            <w:r>
              <w:rPr>
                <w:rFonts w:hint="eastAsia" w:ascii="仿宋" w:hAnsi="仿宋" w:eastAsia="仿宋" w:cs="仿宋"/>
                <w:b/>
                <w:bCs/>
                <w:color w:val="auto"/>
                <w:sz w:val="24"/>
                <w:szCs w:val="24"/>
              </w:rPr>
              <w:t>单价</w:t>
            </w:r>
            <w:r>
              <w:rPr>
                <w:rFonts w:hint="eastAsia" w:ascii="仿宋" w:hAnsi="仿宋" w:eastAsia="仿宋" w:cs="仿宋"/>
                <w:b/>
                <w:bCs/>
                <w:color w:val="auto"/>
                <w:sz w:val="24"/>
                <w:szCs w:val="24"/>
                <w:lang w:val="en-US" w:eastAsia="zh-CN"/>
              </w:rPr>
              <w:t>最高限价</w:t>
            </w:r>
            <w:r>
              <w:rPr>
                <w:rFonts w:hint="eastAsia" w:ascii="仿宋" w:hAnsi="仿宋" w:eastAsia="仿宋" w:cs="仿宋"/>
                <w:b/>
                <w:bCs/>
                <w:color w:val="auto"/>
                <w:sz w:val="24"/>
                <w:szCs w:val="24"/>
              </w:rPr>
              <w:t>（元）</w:t>
            </w:r>
          </w:p>
        </w:tc>
        <w:tc>
          <w:tcPr>
            <w:tcW w:w="3094" w:type="dxa"/>
            <w:noWrap w:val="0"/>
            <w:vAlign w:val="center"/>
          </w:tcPr>
          <w:p w14:paraId="12BDEC36">
            <w:pPr>
              <w:adjustRightInd/>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bookmarkStart w:id="80" w:name="_GoBack"/>
            <w:bookmarkEnd w:id="80"/>
          </w:p>
        </w:tc>
      </w:tr>
      <w:tr w14:paraId="69CC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D5A728A">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4A2D899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1147BB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948" w:type="dxa"/>
            <w:noWrap w:val="0"/>
            <w:vAlign w:val="center"/>
          </w:tcPr>
          <w:p w14:paraId="34209CC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44B4EA0">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04B59D6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3FE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2B6CFB0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6F4CA10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E12F11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948" w:type="dxa"/>
            <w:noWrap w:val="0"/>
            <w:vAlign w:val="center"/>
          </w:tcPr>
          <w:p w14:paraId="49608FD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3D50C7B">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6EA46862">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081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58D363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15E3E117">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7CF5349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948" w:type="dxa"/>
            <w:noWrap w:val="0"/>
            <w:vAlign w:val="center"/>
          </w:tcPr>
          <w:p w14:paraId="6593757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6C4AF5F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538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CACC10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793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00A4DD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06429D9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5957A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948" w:type="dxa"/>
            <w:noWrap w:val="0"/>
            <w:vAlign w:val="center"/>
          </w:tcPr>
          <w:p w14:paraId="3A597E1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536DE1D0">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649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41AC42BB">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7D7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F5225A6">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2550807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941C37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948" w:type="dxa"/>
            <w:noWrap w:val="0"/>
            <w:vAlign w:val="center"/>
          </w:tcPr>
          <w:p w14:paraId="073C881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77E87508">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598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3152499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3BC7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5C1A05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75A21C5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4D3D555">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948" w:type="dxa"/>
            <w:noWrap w:val="0"/>
            <w:vAlign w:val="center"/>
          </w:tcPr>
          <w:p w14:paraId="18F1090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0768031B">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759</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033F55E5">
            <w:pPr>
              <w:adjustRightInd/>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61C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D2BFE4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5A3F500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283376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948" w:type="dxa"/>
            <w:noWrap w:val="0"/>
            <w:vAlign w:val="center"/>
          </w:tcPr>
          <w:p w14:paraId="46C8D33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3A9591BC">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1086</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57ED12E8">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79A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DA7537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361BE6A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27F6CEB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948" w:type="dxa"/>
            <w:noWrap w:val="0"/>
            <w:vAlign w:val="center"/>
          </w:tcPr>
          <w:p w14:paraId="4652ADA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1528F514">
            <w:pPr>
              <w:widowControl/>
              <w:adjustRightInd/>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1498</w:t>
            </w:r>
            <w:r>
              <w:rPr>
                <w:rFonts w:hint="eastAsia" w:ascii="仿宋" w:hAnsi="仿宋" w:eastAsia="仿宋" w:cs="仿宋"/>
                <w:color w:val="auto"/>
                <w:kern w:val="0"/>
                <w:sz w:val="24"/>
                <w:szCs w:val="24"/>
                <w:lang w:val="en-US" w:eastAsia="zh-CN" w:bidi="ar"/>
              </w:rPr>
              <w:t>0</w:t>
            </w:r>
          </w:p>
        </w:tc>
        <w:tc>
          <w:tcPr>
            <w:tcW w:w="3094" w:type="dxa"/>
            <w:noWrap w:val="0"/>
            <w:vAlign w:val="center"/>
          </w:tcPr>
          <w:p w14:paraId="21ED2056">
            <w:pPr>
              <w:adjustRightIn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48D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75CB872">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27F1AD1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8C994FF">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948" w:type="dxa"/>
            <w:noWrap w:val="0"/>
            <w:vAlign w:val="center"/>
          </w:tcPr>
          <w:p w14:paraId="2135D9EA">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49D8EBD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w:t>
            </w:r>
            <w:r>
              <w:rPr>
                <w:rFonts w:hint="eastAsia" w:ascii="仿宋" w:hAnsi="仿宋" w:eastAsia="仿宋" w:cs="仿宋"/>
                <w:color w:val="auto"/>
                <w:sz w:val="24"/>
                <w:szCs w:val="24"/>
                <w:lang w:val="en-US" w:eastAsia="zh-CN"/>
              </w:rPr>
              <w:t>0</w:t>
            </w:r>
          </w:p>
        </w:tc>
        <w:tc>
          <w:tcPr>
            <w:tcW w:w="3094" w:type="dxa"/>
            <w:noWrap w:val="0"/>
            <w:vAlign w:val="center"/>
          </w:tcPr>
          <w:p w14:paraId="122D7C2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18A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4A7031BF">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38CBAF6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551711E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948" w:type="dxa"/>
            <w:noWrap w:val="0"/>
            <w:vAlign w:val="center"/>
          </w:tcPr>
          <w:p w14:paraId="09D141F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千</w:t>
            </w:r>
            <w:r>
              <w:rPr>
                <w:rFonts w:hint="eastAsia" w:ascii="仿宋" w:hAnsi="仿宋" w:eastAsia="仿宋" w:cs="仿宋"/>
                <w:color w:val="auto"/>
                <w:sz w:val="24"/>
                <w:szCs w:val="24"/>
              </w:rPr>
              <w:t>米</w:t>
            </w:r>
          </w:p>
        </w:tc>
        <w:tc>
          <w:tcPr>
            <w:tcW w:w="1107" w:type="dxa"/>
            <w:noWrap w:val="0"/>
            <w:vAlign w:val="center"/>
          </w:tcPr>
          <w:p w14:paraId="2E5A1A6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w:t>
            </w:r>
            <w:r>
              <w:rPr>
                <w:rFonts w:hint="eastAsia" w:ascii="仿宋" w:hAnsi="仿宋" w:eastAsia="仿宋" w:cs="仿宋"/>
                <w:color w:val="auto"/>
                <w:sz w:val="24"/>
                <w:szCs w:val="24"/>
                <w:lang w:val="en-US" w:eastAsia="zh-CN"/>
              </w:rPr>
              <w:t>0</w:t>
            </w:r>
          </w:p>
        </w:tc>
        <w:tc>
          <w:tcPr>
            <w:tcW w:w="3094" w:type="dxa"/>
            <w:noWrap w:val="0"/>
            <w:vAlign w:val="center"/>
          </w:tcPr>
          <w:p w14:paraId="79204E98">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bl>
    <w:p w14:paraId="4816B0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注：本次采购的VV、VV22系列电缆如若供应商提供YJV、YJV22系列的本次采购同样适用，但最高限价按VV、VV22限价不变，超过最高限价投标无效。</w:t>
      </w:r>
    </w:p>
    <w:p w14:paraId="4AF6F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本次采购包含：</w:t>
      </w:r>
    </w:p>
    <w:p w14:paraId="3B912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1.铜芯聚氯乙烯绝缘聚氯乙烯护套扁型电缆；</w:t>
      </w:r>
    </w:p>
    <w:p w14:paraId="2EACB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2.铜芯聚氯乙烯绝缘聚氯乙烯护套电力电缆；</w:t>
      </w:r>
    </w:p>
    <w:p w14:paraId="56954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3.聚氯乙烯绝缘钢带铠装聚氯乙烯护套铜芯电力电缆。</w:t>
      </w:r>
    </w:p>
    <w:p w14:paraId="69A42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电源电缆（基础铜价</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0000元/吨，每上下浮动超过1000元/吨（含）进行调价。）参照网站上海有色金属网</w:t>
      </w: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HYPERLINK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http://ww</w:t>
      </w:r>
      <w:bookmarkStart w:id="74" w:name="_Hlt527385157"/>
      <w:bookmarkStart w:id="75" w:name="_Hlt527385158"/>
      <w:r>
        <w:rPr>
          <w:rFonts w:hint="eastAsia" w:ascii="仿宋" w:hAnsi="仿宋" w:eastAsia="仿宋" w:cs="仿宋"/>
          <w:b w:val="0"/>
          <w:bCs/>
          <w:color w:val="auto"/>
          <w:sz w:val="24"/>
        </w:rPr>
        <w:t>w</w:t>
      </w:r>
      <w:bookmarkEnd w:id="74"/>
      <w:bookmarkEnd w:id="75"/>
      <w:r>
        <w:rPr>
          <w:rFonts w:hint="eastAsia" w:ascii="仿宋" w:hAnsi="仿宋" w:eastAsia="仿宋" w:cs="仿宋"/>
          <w:b w:val="0"/>
          <w:bCs/>
          <w:color w:val="auto"/>
          <w:sz w:val="24"/>
        </w:rPr>
        <w:t xml:space="preserve">.smm.cn </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rPr>
        <w:t>下订单当日1#电解铜价进行调价）</w:t>
      </w:r>
    </w:p>
    <w:p w14:paraId="22363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在合同期内，具体采购数量以采购人日常下单为准。</w:t>
      </w:r>
    </w:p>
    <w:p w14:paraId="69D1AB1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default"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四、样品</w:t>
      </w:r>
    </w:p>
    <w:p w14:paraId="06A40C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hint="eastAsia" w:ascii="仿宋" w:hAnsi="仿宋" w:eastAsia="仿宋" w:cs="仿宋"/>
          <w:b/>
          <w:bCs w:val="0"/>
          <w:color w:val="auto"/>
          <w:sz w:val="24"/>
          <w:lang w:val="en-US" w:eastAsia="zh-CN"/>
        </w:rPr>
      </w:pPr>
      <w:r>
        <w:rPr>
          <w:rFonts w:hint="eastAsia" w:ascii="仿宋" w:hAnsi="仿宋" w:eastAsia="仿宋" w:cs="仿宋"/>
          <w:b w:val="0"/>
          <w:bCs/>
          <w:color w:val="auto"/>
          <w:sz w:val="24"/>
          <w:szCs w:val="24"/>
          <w:highlight w:val="none"/>
          <w:lang w:val="en-US" w:eastAsia="zh-CN"/>
        </w:rPr>
        <w:t>1.投标单位按下表所列提供样品，相关要求如下：</w:t>
      </w:r>
    </w:p>
    <w:tbl>
      <w:tblPr>
        <w:tblStyle w:val="61"/>
        <w:tblW w:w="896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2366"/>
        <w:gridCol w:w="3480"/>
      </w:tblGrid>
      <w:tr w14:paraId="10EA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noWrap w:val="0"/>
            <w:vAlign w:val="center"/>
          </w:tcPr>
          <w:p w14:paraId="19F3BF59">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
                <w:bCs/>
                <w:color w:val="auto"/>
                <w:sz w:val="24"/>
                <w:szCs w:val="24"/>
              </w:rPr>
              <w:t>序号</w:t>
            </w:r>
          </w:p>
        </w:tc>
        <w:tc>
          <w:tcPr>
            <w:tcW w:w="2310" w:type="dxa"/>
            <w:noWrap w:val="0"/>
            <w:vAlign w:val="center"/>
          </w:tcPr>
          <w:p w14:paraId="1AF2D963">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名称</w:t>
            </w:r>
          </w:p>
        </w:tc>
        <w:tc>
          <w:tcPr>
            <w:tcW w:w="2366" w:type="dxa"/>
            <w:noWrap w:val="0"/>
            <w:vAlign w:val="center"/>
          </w:tcPr>
          <w:p w14:paraId="31A24655">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规格</w:t>
            </w:r>
          </w:p>
        </w:tc>
        <w:tc>
          <w:tcPr>
            <w:tcW w:w="3480" w:type="dxa"/>
            <w:noWrap w:val="0"/>
            <w:vAlign w:val="center"/>
          </w:tcPr>
          <w:p w14:paraId="6019ADC4">
            <w:pPr>
              <w:adjustRightInd/>
              <w:spacing w:line="40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tc>
      </w:tr>
      <w:tr w14:paraId="1FB7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748B68E1">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p>
        </w:tc>
        <w:tc>
          <w:tcPr>
            <w:tcW w:w="2310" w:type="dxa"/>
            <w:shd w:val="clear" w:color="auto" w:fill="auto"/>
            <w:noWrap w:val="0"/>
            <w:vAlign w:val="center"/>
          </w:tcPr>
          <w:p w14:paraId="46933BFD">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3D0A03F">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BVVB 2*1.5</w:t>
            </w:r>
          </w:p>
        </w:tc>
        <w:tc>
          <w:tcPr>
            <w:tcW w:w="3480" w:type="dxa"/>
            <w:vMerge w:val="restart"/>
            <w:shd w:val="clear" w:color="auto" w:fill="auto"/>
            <w:noWrap w:val="0"/>
            <w:vAlign w:val="center"/>
          </w:tcPr>
          <w:p w14:paraId="52A9B633">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b/>
                <w:bCs w:val="0"/>
                <w:color w:val="auto"/>
                <w:sz w:val="24"/>
              </w:rPr>
              <w:t>本项目提供样品部分需剥出内部结构展示（提供长度不小于0.</w:t>
            </w:r>
            <w:r>
              <w:rPr>
                <w:rFonts w:hint="eastAsia" w:ascii="仿宋" w:hAnsi="仿宋" w:eastAsia="仿宋" w:cs="仿宋"/>
                <w:b/>
                <w:bCs w:val="0"/>
                <w:color w:val="auto"/>
                <w:sz w:val="24"/>
                <w:lang w:val="en-US" w:eastAsia="zh-CN"/>
              </w:rPr>
              <w:t>15</w:t>
            </w:r>
            <w:r>
              <w:rPr>
                <w:rFonts w:hint="eastAsia" w:ascii="仿宋" w:hAnsi="仿宋" w:eastAsia="仿宋" w:cs="仿宋"/>
                <w:b/>
                <w:bCs w:val="0"/>
                <w:color w:val="auto"/>
                <w:sz w:val="24"/>
              </w:rPr>
              <w:t>米）</w:t>
            </w:r>
          </w:p>
        </w:tc>
      </w:tr>
      <w:tr w14:paraId="064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2F7F6D28">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4</w:t>
            </w:r>
          </w:p>
        </w:tc>
        <w:tc>
          <w:tcPr>
            <w:tcW w:w="2310" w:type="dxa"/>
            <w:shd w:val="clear" w:color="auto" w:fill="auto"/>
            <w:noWrap w:val="0"/>
            <w:vAlign w:val="center"/>
          </w:tcPr>
          <w:p w14:paraId="221B6FD8">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1F3200A7">
            <w:pPr>
              <w:adjustRightInd/>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VV  2*2.5</w:t>
            </w:r>
          </w:p>
        </w:tc>
        <w:tc>
          <w:tcPr>
            <w:tcW w:w="3480" w:type="dxa"/>
            <w:vMerge w:val="continue"/>
            <w:shd w:val="clear" w:color="auto" w:fill="auto"/>
            <w:noWrap w:val="0"/>
            <w:vAlign w:val="center"/>
          </w:tcPr>
          <w:p w14:paraId="7F497DF9">
            <w:pPr>
              <w:adjustRightInd/>
              <w:spacing w:line="400" w:lineRule="exact"/>
              <w:jc w:val="center"/>
              <w:rPr>
                <w:rFonts w:hint="eastAsia" w:ascii="仿宋" w:hAnsi="仿宋" w:eastAsia="仿宋" w:cs="仿宋"/>
                <w:color w:val="auto"/>
                <w:kern w:val="0"/>
                <w:sz w:val="24"/>
                <w:szCs w:val="24"/>
              </w:rPr>
            </w:pPr>
          </w:p>
        </w:tc>
      </w:tr>
      <w:tr w14:paraId="3961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3781052B">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7</w:t>
            </w:r>
          </w:p>
        </w:tc>
        <w:tc>
          <w:tcPr>
            <w:tcW w:w="2310" w:type="dxa"/>
            <w:shd w:val="clear" w:color="auto" w:fill="auto"/>
            <w:noWrap w:val="0"/>
            <w:vAlign w:val="center"/>
          </w:tcPr>
          <w:p w14:paraId="52778932">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铠装电源线</w:t>
            </w:r>
          </w:p>
        </w:tc>
        <w:tc>
          <w:tcPr>
            <w:tcW w:w="2366" w:type="dxa"/>
            <w:shd w:val="clear" w:color="auto" w:fill="auto"/>
            <w:noWrap w:val="0"/>
            <w:vAlign w:val="center"/>
          </w:tcPr>
          <w:p w14:paraId="52CC9395">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VV22 2*4</w:t>
            </w:r>
          </w:p>
        </w:tc>
        <w:tc>
          <w:tcPr>
            <w:tcW w:w="3480" w:type="dxa"/>
            <w:vMerge w:val="continue"/>
            <w:shd w:val="clear" w:color="auto" w:fill="auto"/>
            <w:noWrap w:val="0"/>
            <w:vAlign w:val="center"/>
          </w:tcPr>
          <w:p w14:paraId="5ED7A6C0">
            <w:pPr>
              <w:adjustRightInd/>
              <w:spacing w:line="400" w:lineRule="exact"/>
              <w:jc w:val="center"/>
              <w:rPr>
                <w:rFonts w:hint="eastAsia" w:ascii="仿宋" w:hAnsi="仿宋" w:eastAsia="仿宋" w:cs="仿宋"/>
                <w:color w:val="auto"/>
                <w:kern w:val="0"/>
                <w:sz w:val="24"/>
                <w:szCs w:val="24"/>
              </w:rPr>
            </w:pPr>
          </w:p>
        </w:tc>
      </w:tr>
      <w:tr w14:paraId="0EC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0" w:type="dxa"/>
            <w:shd w:val="clear" w:color="auto" w:fill="auto"/>
            <w:noWrap w:val="0"/>
            <w:vAlign w:val="center"/>
          </w:tcPr>
          <w:p w14:paraId="0C35568D">
            <w:pPr>
              <w:adjustRightInd/>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w:t>
            </w:r>
          </w:p>
        </w:tc>
        <w:tc>
          <w:tcPr>
            <w:tcW w:w="2310" w:type="dxa"/>
            <w:shd w:val="clear" w:color="auto" w:fill="auto"/>
            <w:noWrap w:val="0"/>
            <w:vAlign w:val="center"/>
          </w:tcPr>
          <w:p w14:paraId="2B691C3F">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铜芯电源线</w:t>
            </w:r>
          </w:p>
        </w:tc>
        <w:tc>
          <w:tcPr>
            <w:tcW w:w="2366" w:type="dxa"/>
            <w:shd w:val="clear" w:color="auto" w:fill="auto"/>
            <w:noWrap w:val="0"/>
            <w:vAlign w:val="center"/>
          </w:tcPr>
          <w:p w14:paraId="2C4667C3">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3480" w:type="dxa"/>
            <w:vMerge w:val="continue"/>
            <w:shd w:val="clear" w:color="auto" w:fill="auto"/>
            <w:noWrap w:val="0"/>
            <w:vAlign w:val="center"/>
          </w:tcPr>
          <w:p w14:paraId="795537F9">
            <w:pPr>
              <w:adjustRightInd/>
              <w:spacing w:line="400" w:lineRule="exact"/>
              <w:jc w:val="center"/>
              <w:rPr>
                <w:rFonts w:hint="eastAsia" w:ascii="仿宋" w:hAnsi="仿宋" w:eastAsia="仿宋" w:cs="仿宋"/>
                <w:color w:val="auto"/>
                <w:kern w:val="0"/>
                <w:sz w:val="24"/>
                <w:szCs w:val="24"/>
                <w:lang w:val="en-US" w:eastAsia="zh-CN"/>
              </w:rPr>
            </w:pPr>
          </w:p>
        </w:tc>
      </w:tr>
    </w:tbl>
    <w:p w14:paraId="5E65BA11">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2.样品递交地点和时间：绍兴平准招标代理有限公司（嵊州市三江街道官河南路333号商会大厦十四层1407室）；2024年11月27日14时30分前送至指定地点，逾期不接受样品。</w:t>
      </w:r>
    </w:p>
    <w:p w14:paraId="3820001F">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样品得分为零分。但样品中需有</w:t>
      </w:r>
      <w:r>
        <w:rPr>
          <w:rFonts w:hint="eastAsia" w:ascii="仿宋" w:hAnsi="仿宋" w:eastAsia="仿宋" w:cs="仿宋"/>
          <w:color w:val="auto"/>
          <w:sz w:val="24"/>
          <w:szCs w:val="24"/>
          <w:highlight w:val="none"/>
        </w:rPr>
        <w:t>电缆型号、电压、尺码</w:t>
      </w:r>
      <w:r>
        <w:rPr>
          <w:rFonts w:hint="eastAsia" w:ascii="仿宋" w:hAnsi="仿宋" w:eastAsia="仿宋" w:cs="仿宋"/>
          <w:color w:val="auto"/>
          <w:sz w:val="24"/>
          <w:szCs w:val="24"/>
          <w:highlight w:val="none"/>
          <w:lang w:val="en-US" w:eastAsia="zh-CN"/>
        </w:rPr>
        <w:t>等</w:t>
      </w:r>
      <w:r>
        <w:rPr>
          <w:rFonts w:hint="eastAsia" w:ascii="仿宋" w:hAnsi="仿宋" w:eastAsia="仿宋" w:cs="仿宋"/>
          <w:b w:val="0"/>
          <w:bCs/>
          <w:color w:val="auto"/>
          <w:sz w:val="24"/>
          <w:szCs w:val="24"/>
          <w:highlight w:val="none"/>
          <w:lang w:val="en-US" w:eastAsia="zh-CN"/>
        </w:rPr>
        <w:t>除厂商名称标志外的标识。无标识的，样品分中关于标识部分不得分。</w:t>
      </w:r>
    </w:p>
    <w:p w14:paraId="1A73BC11">
      <w:pPr>
        <w:keepNext w:val="0"/>
        <w:keepLines w:val="0"/>
        <w:pageBreakBefore w:val="0"/>
        <w:widowControl w:val="0"/>
        <w:kinsoku/>
        <w:wordWrap/>
        <w:overflowPunct/>
        <w:topLinePunct w:val="0"/>
        <w:bidi w:val="0"/>
        <w:snapToGrid w:val="0"/>
        <w:spacing w:line="440" w:lineRule="exact"/>
        <w:ind w:firstLine="480" w:firstLineChars="200"/>
        <w:outlineLvl w:val="1"/>
        <w:rPr>
          <w:rFonts w:ascii="仿宋" w:hAnsi="仿宋" w:eastAsia="仿宋" w:cs="仿宋"/>
          <w:b/>
          <w:bCs/>
          <w:color w:val="auto"/>
          <w:sz w:val="24"/>
        </w:rPr>
      </w:pPr>
      <w:r>
        <w:rPr>
          <w:rFonts w:hint="eastAsia" w:ascii="仿宋" w:hAnsi="仿宋" w:eastAsia="仿宋" w:cs="仿宋"/>
          <w:b w:val="0"/>
          <w:bCs/>
          <w:color w:val="auto"/>
          <w:sz w:val="24"/>
          <w:szCs w:val="24"/>
          <w:highlight w:val="none"/>
          <w:lang w:val="en-US" w:eastAsia="zh-CN"/>
        </w:rPr>
        <w:t>4.“样品”的退返：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和保管样品所发生的一切费用由投标人自理。</w:t>
      </w:r>
    </w:p>
    <w:p w14:paraId="7B6C22F6">
      <w:pPr>
        <w:keepNext w:val="0"/>
        <w:keepLines w:val="0"/>
        <w:pageBreakBefore w:val="0"/>
        <w:widowControl w:val="0"/>
        <w:kinsoku/>
        <w:wordWrap/>
        <w:overflowPunct/>
        <w:topLinePunct w:val="0"/>
        <w:bidi w:val="0"/>
        <w:snapToGrid w:val="0"/>
        <w:spacing w:line="440" w:lineRule="exact"/>
        <w:ind w:firstLine="482" w:firstLineChars="200"/>
        <w:outlineLvl w:val="1"/>
        <w:rPr>
          <w:rFonts w:hint="default" w:ascii="仿宋" w:hAnsi="仿宋" w:eastAsia="仿宋" w:cs="仿宋"/>
          <w:b/>
          <w:color w:val="auto"/>
          <w:sz w:val="24"/>
          <w:szCs w:val="24"/>
          <w:lang w:val="en-US" w:eastAsia="zh-CN"/>
        </w:rPr>
      </w:pPr>
      <w:r>
        <w:rPr>
          <w:rFonts w:ascii="仿宋" w:hAnsi="仿宋" w:eastAsia="仿宋" w:cs="仿宋"/>
          <w:b/>
          <w:bCs/>
          <w:color w:val="auto"/>
          <w:sz w:val="24"/>
        </w:rPr>
        <w:t>★</w:t>
      </w: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szCs w:val="24"/>
          <w:lang w:val="en-US" w:eastAsia="zh-CN"/>
        </w:rPr>
        <w:t>、商务条款</w:t>
      </w:r>
    </w:p>
    <w:tbl>
      <w:tblPr>
        <w:tblStyle w:val="61"/>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7876"/>
      </w:tblGrid>
      <w:tr w14:paraId="62E9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169B565D">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7876" w:type="dxa"/>
            <w:noWrap w:val="0"/>
            <w:vAlign w:val="top"/>
          </w:tcPr>
          <w:p w14:paraId="7F14E4B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1.供货期限为签订协议之日起一年。</w:t>
            </w:r>
          </w:p>
          <w:p w14:paraId="504BCD0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2.成交供应商在接到采购人电话或书面通知十日内，货物按照其与采购人事先直接联系约定（使用单位地址、联系人等），将所供货物运至需方指定地点，交采购人数量外观验收。</w:t>
            </w:r>
          </w:p>
          <w:p w14:paraId="7CC0602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3.在所供货物交付使用时，成交供应商必须向采购人提供质量保证书、保修卡等必须具备的相关资料和必备的附件。</w:t>
            </w:r>
          </w:p>
        </w:tc>
      </w:tr>
      <w:tr w14:paraId="296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62C9461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7876" w:type="dxa"/>
            <w:noWrap w:val="0"/>
            <w:vAlign w:val="center"/>
          </w:tcPr>
          <w:p w14:paraId="388BE37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1.成交供应商将所供货物运至交货地点后，由采购人当场清点数量。货到后，采购人需在五个工作日内验收数量，签收到货单。该等验收仅确认数量，产品的内在质量以实际使用为准。</w:t>
            </w:r>
          </w:p>
          <w:p w14:paraId="728892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2.验收产生的所有费用由成交供应商承担。</w:t>
            </w:r>
          </w:p>
        </w:tc>
      </w:tr>
      <w:tr w14:paraId="350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0FECA47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7876" w:type="dxa"/>
            <w:noWrap w:val="0"/>
            <w:vAlign w:val="center"/>
          </w:tcPr>
          <w:p w14:paraId="56A6E4E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3年。从收货验收合格之日起计算。</w:t>
            </w:r>
          </w:p>
        </w:tc>
      </w:tr>
      <w:tr w14:paraId="7996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shd w:val="clear" w:color="auto" w:fill="auto"/>
            <w:noWrap w:val="0"/>
            <w:vAlign w:val="center"/>
          </w:tcPr>
          <w:p w14:paraId="243CFC1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7876" w:type="dxa"/>
            <w:shd w:val="clear" w:color="auto" w:fill="auto"/>
            <w:noWrap w:val="0"/>
            <w:vAlign w:val="center"/>
          </w:tcPr>
          <w:p w14:paraId="11A3879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成交供应商按采购单位的采购清单和供货时间供货，并送达指定地点，到货验收后第二个月支付货款100%。</w:t>
            </w:r>
          </w:p>
          <w:p w14:paraId="42C8187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成交供应商未开具发票的，采购单位有权不予付款，且不视该行为为违约。</w:t>
            </w:r>
          </w:p>
        </w:tc>
      </w:tr>
      <w:tr w14:paraId="52DB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158396D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w:t>
            </w:r>
          </w:p>
        </w:tc>
        <w:tc>
          <w:tcPr>
            <w:tcW w:w="7876" w:type="dxa"/>
            <w:noWrap w:val="0"/>
            <w:vAlign w:val="center"/>
          </w:tcPr>
          <w:p w14:paraId="1981FBB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成交供应商保证本合同中所供应的国产商品是2024年8月份后生产的符合国家技术规格和质量标准的全新出厂合格产品；如发生所供商品与合同不符，质量不合格的，采购人有权拒收或退货，如收货后使用过程中才发现该情形的，采购人有权拒绝支付该批次货款或者要求成交供应商归还该批次的全部货款，由此产生的一切责任和后果由成交供应商承担。上述供货情况出现二次的，采购人可单方面解除合同，要求成交供应商按总货值的30%支付违约金。</w:t>
            </w:r>
          </w:p>
        </w:tc>
      </w:tr>
      <w:tr w14:paraId="387B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5" w:type="dxa"/>
            <w:noWrap w:val="0"/>
            <w:vAlign w:val="center"/>
          </w:tcPr>
          <w:p w14:paraId="3226430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7876" w:type="dxa"/>
            <w:noWrap w:val="0"/>
            <w:vAlign w:val="center"/>
          </w:tcPr>
          <w:p w14:paraId="48D9172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提供的设备，符合国家颁布的质量认证标准和</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的产品技术标准，并符合采购人的技术规范书要求和国家、行业标准要求，经检验合格后出厂。</w:t>
            </w:r>
          </w:p>
          <w:p w14:paraId="13A043E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接到客户采购单之日起，立即组织发货，保证在采购人要求时间内把货送到采购人指定地点。</w:t>
            </w:r>
          </w:p>
          <w:p w14:paraId="549303A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3.设备质保期为收货之日起3年，在质保期内对不合格或存在质量问题的产品予以免费更换，直到采购人满意为止。调换后产品的质保期从调换之日起重新计算。</w:t>
            </w:r>
          </w:p>
          <w:p w14:paraId="30E50C9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竭诚为客户服务，24小时中均有服务人员接听服务电话。</w:t>
            </w:r>
          </w:p>
          <w:p w14:paraId="1AB183F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无偿为采购人和施工方提供技术服务。</w:t>
            </w:r>
          </w:p>
          <w:p w14:paraId="0326375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6.质保期内</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未履行质保义务或未能实质性解决问题的，采购人有权另请他人维修，所产生的费用由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加倍赔偿。质保期满后，若有附件出现问题，则由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负责成本价更换。</w:t>
            </w:r>
          </w:p>
          <w:p w14:paraId="55B5CE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7.质保期满后，应采购人要求，</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以此次招标价格为基准向采购人提供所需配件，配件价格不得高于当时的市场价格。</w:t>
            </w:r>
          </w:p>
          <w:p w14:paraId="5658A29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8.质量保证期外的售后服务由</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销售部下的售后服务机构负责，</w:t>
            </w:r>
            <w:r>
              <w:rPr>
                <w:rFonts w:hint="eastAsia" w:ascii="仿宋" w:hAnsi="仿宋" w:eastAsia="仿宋" w:cs="仿宋"/>
                <w:b w:val="0"/>
                <w:bCs/>
                <w:color w:val="auto"/>
                <w:sz w:val="24"/>
                <w:szCs w:val="24"/>
                <w:highlight w:val="none"/>
                <w:lang w:val="en-US" w:eastAsia="zh-CN"/>
              </w:rPr>
              <w:t>成交供应商有</w:t>
            </w:r>
            <w:r>
              <w:rPr>
                <w:rFonts w:hint="eastAsia" w:ascii="仿宋" w:hAnsi="仿宋" w:eastAsia="仿宋" w:cs="仿宋"/>
                <w:color w:val="auto"/>
                <w:kern w:val="2"/>
                <w:sz w:val="24"/>
                <w:szCs w:val="24"/>
                <w:highlight w:val="none"/>
                <w:lang w:val="en-US" w:eastAsia="zh-CN" w:bidi="ar-SA"/>
              </w:rPr>
              <w:t>专人24小时内接听服务电话，并在短时间内反馈给相应的部门。</w:t>
            </w:r>
          </w:p>
          <w:p w14:paraId="27656E6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9.接到采购人故障电话后，</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立即响应，并在两天之内把采购人急需的材料免运费送到采购人指定地点。</w:t>
            </w:r>
          </w:p>
          <w:p w14:paraId="5C299DA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color w:val="auto"/>
                <w:kern w:val="2"/>
                <w:sz w:val="24"/>
                <w:szCs w:val="24"/>
                <w:highlight w:val="none"/>
                <w:lang w:val="en-US" w:eastAsia="zh-CN" w:bidi="ar-SA"/>
              </w:rPr>
              <w:t>为采购人免费提供终身的产品技术支持。</w:t>
            </w:r>
          </w:p>
        </w:tc>
      </w:tr>
      <w:tr w14:paraId="54F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3C2460D">
            <w:pPr>
              <w:pStyle w:val="286"/>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7876" w:type="dxa"/>
            <w:noWrap w:val="0"/>
            <w:vAlign w:val="top"/>
          </w:tcPr>
          <w:p w14:paraId="3B00985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1.现场作业人员安全由成交供应商负责。必须保证人员安全，做好预防保护工作，供应商中标后必须为本项目所招用的每一个工人办好人身意外保险。</w:t>
            </w:r>
          </w:p>
          <w:p w14:paraId="5E1DBC6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2.在项目实施期间，发生的一切与本项目相关的安全责任均由供应商承担，与采购人无关。</w:t>
            </w:r>
          </w:p>
        </w:tc>
      </w:tr>
      <w:tr w14:paraId="3CF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3C09AFC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7876" w:type="dxa"/>
            <w:noWrap w:val="0"/>
            <w:vAlign w:val="center"/>
          </w:tcPr>
          <w:p w14:paraId="5F1B143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所有产品成交单价均包含货款、运输、包装、税费、保险、保修、招标代理服务费及相关服务等费用。</w:t>
            </w:r>
          </w:p>
        </w:tc>
      </w:tr>
      <w:tr w14:paraId="2787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409DD10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7876" w:type="dxa"/>
            <w:noWrap w:val="0"/>
            <w:vAlign w:val="center"/>
          </w:tcPr>
          <w:p w14:paraId="5257CF2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自签订协议之日起一年，若遇重大政策调整，则需按政策相应调整，或重新招标。到期未重新招标则本合同顺延到新的招标结果生效且首批供货验收合格入库之日止。</w:t>
            </w:r>
          </w:p>
        </w:tc>
      </w:tr>
      <w:tr w14:paraId="7533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25" w:type="dxa"/>
            <w:noWrap w:val="0"/>
            <w:vAlign w:val="center"/>
          </w:tcPr>
          <w:p w14:paraId="6D20F70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7876" w:type="dxa"/>
            <w:noWrap w:val="0"/>
            <w:vAlign w:val="center"/>
          </w:tcPr>
          <w:p w14:paraId="2B4CED91">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成交供应商对采购人下达的任何一项任务必须无条件接受，不得推托，如果无故推托3次以上，则采购人有权解除合同。</w:t>
            </w:r>
          </w:p>
        </w:tc>
      </w:tr>
    </w:tbl>
    <w:p w14:paraId="514DA0AE">
      <w:pPr>
        <w:snapToGrid w:val="0"/>
        <w:spacing w:line="360" w:lineRule="auto"/>
        <w:ind w:firstLine="420" w:firstLineChars="200"/>
        <w:outlineLvl w:val="1"/>
        <w:rPr>
          <w:rFonts w:hint="default"/>
          <w:color w:val="auto"/>
          <w:lang w:val="en-US" w:eastAsia="zh-CN"/>
        </w:rPr>
      </w:pPr>
    </w:p>
    <w:p w14:paraId="24EC655E">
      <w:pPr>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评审方法及评审标准</w:t>
      </w:r>
    </w:p>
    <w:p w14:paraId="4A0BC84C">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1.</w:t>
      </w:r>
      <w:r>
        <w:rPr>
          <w:rFonts w:ascii="仿宋" w:hAnsi="仿宋" w:eastAsia="仿宋" w:cs="仿宋"/>
          <w:b/>
          <w:color w:val="auto"/>
          <w:sz w:val="24"/>
        </w:rPr>
        <w:t>磋商方法：</w:t>
      </w:r>
    </w:p>
    <w:p w14:paraId="251FA853">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4C116C16">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60736EF2">
      <w:pPr>
        <w:keepNext w:val="0"/>
        <w:keepLines w:val="0"/>
        <w:pageBreakBefore w:val="0"/>
        <w:widowControl w:val="0"/>
        <w:kinsoku/>
        <w:wordWrap/>
        <w:overflowPunct/>
        <w:topLinePunct w:val="0"/>
        <w:autoSpaceDE/>
        <w:autoSpaceDN/>
        <w:bidi w:val="0"/>
        <w:adjustRightInd w:val="0"/>
        <w:snapToGrid/>
        <w:spacing w:line="430" w:lineRule="exact"/>
        <w:textAlignment w:val="auto"/>
        <w:rPr>
          <w:rFonts w:ascii="仿宋" w:hAnsi="仿宋" w:eastAsia="仿宋" w:cs="仿宋"/>
          <w:color w:val="auto"/>
          <w:sz w:val="24"/>
        </w:rPr>
      </w:pPr>
      <w:r>
        <w:rPr>
          <w:rFonts w:ascii="仿宋" w:hAnsi="仿宋" w:eastAsia="仿宋" w:cs="仿宋"/>
          <w:b/>
          <w:color w:val="auto"/>
          <w:sz w:val="24"/>
        </w:rPr>
        <w:t>2.评审标准：</w:t>
      </w:r>
      <w:r>
        <w:rPr>
          <w:rFonts w:hint="eastAsia" w:ascii="仿宋" w:hAnsi="仿宋" w:eastAsia="仿宋" w:cs="仿宋"/>
          <w:color w:val="auto"/>
          <w:sz w:val="24"/>
        </w:rPr>
        <w:t>共</w:t>
      </w:r>
      <w:r>
        <w:rPr>
          <w:rFonts w:ascii="仿宋" w:hAnsi="仿宋" w:eastAsia="仿宋" w:cs="仿宋"/>
          <w:color w:val="auto"/>
          <w:sz w:val="24"/>
        </w:rPr>
        <w:t>100分，其中商务技术分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50</w:t>
      </w:r>
      <w:r>
        <w:rPr>
          <w:rFonts w:hint="eastAsia" w:ascii="仿宋" w:hAnsi="仿宋" w:eastAsia="仿宋" w:cs="仿宋"/>
          <w:color w:val="auto"/>
          <w:sz w:val="24"/>
        </w:rPr>
        <w:t>分。评分依下述所列为评审打分依据，分值如下（计算分值时，按其算术平均值保留小数</w:t>
      </w:r>
      <w:r>
        <w:rPr>
          <w:rFonts w:ascii="仿宋" w:hAnsi="仿宋" w:eastAsia="仿宋" w:cs="仿宋"/>
          <w:color w:val="auto"/>
          <w:sz w:val="24"/>
        </w:rPr>
        <w:t>2位）。</w:t>
      </w:r>
    </w:p>
    <w:p w14:paraId="4F0C0F2D">
      <w:pPr>
        <w:keepNext w:val="0"/>
        <w:keepLines w:val="0"/>
        <w:pageBreakBefore w:val="0"/>
        <w:widowControl w:val="0"/>
        <w:kinsoku/>
        <w:wordWrap/>
        <w:overflowPunct/>
        <w:topLinePunct w:val="0"/>
        <w:autoSpaceDE/>
        <w:autoSpaceDN/>
        <w:bidi w:val="0"/>
        <w:adjustRightInd w:val="0"/>
        <w:snapToGrid/>
        <w:spacing w:line="430" w:lineRule="exact"/>
        <w:ind w:firstLine="482" w:firstLineChars="200"/>
        <w:textAlignment w:val="auto"/>
        <w:rPr>
          <w:rFonts w:hint="eastAsia" w:ascii="仿宋" w:hAnsi="仿宋" w:eastAsia="仿宋" w:cs="仿宋"/>
          <w:b/>
          <w:bCs/>
          <w:iCs/>
          <w:color w:val="auto"/>
          <w:sz w:val="24"/>
        </w:rPr>
      </w:pPr>
      <w:r>
        <w:rPr>
          <w:rFonts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tbl>
      <w:tblPr>
        <w:tblStyle w:val="6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4"/>
        <w:gridCol w:w="6226"/>
        <w:gridCol w:w="716"/>
      </w:tblGrid>
      <w:tr w14:paraId="70DF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7" w:type="dxa"/>
            <w:noWrap w:val="0"/>
            <w:vAlign w:val="center"/>
          </w:tcPr>
          <w:p w14:paraId="12D74082">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1294" w:type="dxa"/>
            <w:noWrap w:val="0"/>
            <w:vAlign w:val="center"/>
          </w:tcPr>
          <w:p w14:paraId="3C2B8FDB">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评分内容</w:t>
            </w:r>
          </w:p>
        </w:tc>
        <w:tc>
          <w:tcPr>
            <w:tcW w:w="6226" w:type="dxa"/>
            <w:noWrap w:val="0"/>
            <w:vAlign w:val="center"/>
          </w:tcPr>
          <w:p w14:paraId="118EE4B9">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评分细则</w:t>
            </w:r>
          </w:p>
        </w:tc>
        <w:tc>
          <w:tcPr>
            <w:tcW w:w="716" w:type="dxa"/>
            <w:noWrap w:val="0"/>
            <w:vAlign w:val="center"/>
          </w:tcPr>
          <w:p w14:paraId="029465BF">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分值</w:t>
            </w:r>
          </w:p>
        </w:tc>
      </w:tr>
      <w:tr w14:paraId="312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restart"/>
            <w:noWrap w:val="0"/>
            <w:vAlign w:val="center"/>
          </w:tcPr>
          <w:p w14:paraId="5B35A4A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94" w:type="dxa"/>
            <w:vMerge w:val="restart"/>
            <w:noWrap w:val="0"/>
            <w:vAlign w:val="center"/>
          </w:tcPr>
          <w:p w14:paraId="1A9964AD">
            <w:pPr>
              <w:spacing w:line="320" w:lineRule="exact"/>
              <w:ind w:left="-50" w:left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rPr>
              <w:t>综合实力</w:t>
            </w:r>
          </w:p>
        </w:tc>
        <w:tc>
          <w:tcPr>
            <w:tcW w:w="6226" w:type="dxa"/>
            <w:noWrap w:val="0"/>
            <w:vAlign w:val="center"/>
          </w:tcPr>
          <w:p w14:paraId="07CC362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根据磋商响应方的专业年限、信誉、荣誉、资信状况等进行综合打分（0-3分）。</w:t>
            </w:r>
          </w:p>
        </w:tc>
        <w:tc>
          <w:tcPr>
            <w:tcW w:w="716" w:type="dxa"/>
            <w:noWrap w:val="0"/>
            <w:vAlign w:val="center"/>
          </w:tcPr>
          <w:p w14:paraId="1F88D105">
            <w:pPr>
              <w:spacing w:line="32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5E4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7" w:type="dxa"/>
            <w:vMerge w:val="continue"/>
            <w:noWrap w:val="0"/>
            <w:vAlign w:val="center"/>
          </w:tcPr>
          <w:p w14:paraId="1B2FFFE6">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noWrap w:val="0"/>
            <w:vAlign w:val="center"/>
          </w:tcPr>
          <w:p w14:paraId="613FB73C">
            <w:pPr>
              <w:spacing w:line="320" w:lineRule="exact"/>
              <w:jc w:val="center"/>
              <w:rPr>
                <w:rFonts w:hint="eastAsia" w:ascii="仿宋" w:hAnsi="仿宋" w:eastAsia="仿宋" w:cs="仿宋"/>
                <w:color w:val="auto"/>
                <w:sz w:val="24"/>
                <w:szCs w:val="24"/>
              </w:rPr>
            </w:pPr>
          </w:p>
        </w:tc>
        <w:tc>
          <w:tcPr>
            <w:tcW w:w="6226" w:type="dxa"/>
            <w:noWrap w:val="0"/>
            <w:vAlign w:val="center"/>
          </w:tcPr>
          <w:p w14:paraId="4595D24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磋商响应方通过</w:t>
            </w:r>
            <w:r>
              <w:rPr>
                <w:rFonts w:hint="default" w:ascii="仿宋" w:hAnsi="仿宋" w:eastAsia="仿宋" w:cs="仿宋"/>
                <w:b w:val="0"/>
                <w:bCs/>
                <w:color w:val="auto"/>
                <w:sz w:val="24"/>
                <w:szCs w:val="24"/>
                <w:highlight w:val="none"/>
                <w:lang w:val="en-US" w:eastAsia="zh-CN"/>
              </w:rPr>
              <w:t>质量管理体系认证</w:t>
            </w:r>
            <w:r>
              <w:rPr>
                <w:rFonts w:hint="eastAsia" w:ascii="仿宋" w:hAnsi="仿宋" w:eastAsia="仿宋" w:cs="仿宋"/>
                <w:b w:val="0"/>
                <w:bCs/>
                <w:color w:val="auto"/>
                <w:sz w:val="24"/>
                <w:szCs w:val="24"/>
                <w:highlight w:val="none"/>
                <w:lang w:val="en-US" w:eastAsia="zh-CN"/>
              </w:rPr>
              <w:t>、</w:t>
            </w:r>
            <w:r>
              <w:rPr>
                <w:rFonts w:hint="default" w:ascii="仿宋" w:hAnsi="仿宋" w:eastAsia="仿宋" w:cs="仿宋"/>
                <w:b w:val="0"/>
                <w:bCs/>
                <w:color w:val="auto"/>
                <w:sz w:val="24"/>
                <w:szCs w:val="24"/>
                <w:highlight w:val="none"/>
                <w:lang w:val="en-US" w:eastAsia="zh-CN"/>
              </w:rPr>
              <w:t>环境管理体系认证</w:t>
            </w:r>
            <w:r>
              <w:rPr>
                <w:rFonts w:hint="eastAsia" w:ascii="仿宋" w:hAnsi="仿宋" w:eastAsia="仿宋" w:cs="仿宋"/>
                <w:b w:val="0"/>
                <w:bCs/>
                <w:color w:val="auto"/>
                <w:sz w:val="24"/>
                <w:szCs w:val="24"/>
                <w:highlight w:val="none"/>
                <w:lang w:val="en-US" w:eastAsia="zh-CN"/>
              </w:rPr>
              <w:t>、职业</w:t>
            </w:r>
            <w:r>
              <w:rPr>
                <w:rFonts w:hint="default" w:ascii="仿宋" w:hAnsi="仿宋" w:eastAsia="仿宋" w:cs="仿宋"/>
                <w:b w:val="0"/>
                <w:bCs/>
                <w:color w:val="auto"/>
                <w:sz w:val="24"/>
                <w:szCs w:val="24"/>
                <w:highlight w:val="none"/>
                <w:lang w:val="en-US" w:eastAsia="zh-CN"/>
              </w:rPr>
              <w:t>健康安全管理体系认证</w:t>
            </w:r>
            <w:r>
              <w:rPr>
                <w:rFonts w:hint="eastAsia" w:ascii="仿宋" w:hAnsi="仿宋" w:eastAsia="仿宋" w:cs="仿宋"/>
                <w:b w:val="0"/>
                <w:bCs/>
                <w:color w:val="auto"/>
                <w:sz w:val="24"/>
                <w:szCs w:val="24"/>
                <w:highlight w:val="none"/>
                <w:lang w:val="en-US" w:eastAsia="zh-CN"/>
              </w:rPr>
              <w:t>的每个得1分，最高得3分。</w:t>
            </w:r>
          </w:p>
        </w:tc>
        <w:tc>
          <w:tcPr>
            <w:tcW w:w="716" w:type="dxa"/>
            <w:noWrap w:val="0"/>
            <w:vAlign w:val="center"/>
          </w:tcPr>
          <w:p w14:paraId="25C4C4DD">
            <w:pPr>
              <w:spacing w:line="32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0-3</w:t>
            </w:r>
          </w:p>
        </w:tc>
      </w:tr>
      <w:tr w14:paraId="6068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346C157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294" w:type="dxa"/>
            <w:shd w:val="clear" w:color="auto" w:fill="auto"/>
            <w:noWrap w:val="0"/>
            <w:vAlign w:val="center"/>
          </w:tcPr>
          <w:p w14:paraId="4952006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同类业绩</w:t>
            </w:r>
          </w:p>
        </w:tc>
        <w:tc>
          <w:tcPr>
            <w:tcW w:w="6226" w:type="dxa"/>
            <w:shd w:val="clear" w:color="auto" w:fill="auto"/>
            <w:noWrap w:val="0"/>
            <w:vAlign w:val="center"/>
          </w:tcPr>
          <w:p w14:paraId="1136F59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磋商响应方自2021年10月1日起至今（以合同签订时间为准）所投产品同类项目业绩情况。每提供一个业绩得1分，最高得4分。提供合同原件扫描件并加盖CA签章。</w:t>
            </w:r>
          </w:p>
        </w:tc>
        <w:tc>
          <w:tcPr>
            <w:tcW w:w="716" w:type="dxa"/>
            <w:shd w:val="clear" w:color="auto" w:fill="auto"/>
            <w:noWrap w:val="0"/>
            <w:vAlign w:val="center"/>
          </w:tcPr>
          <w:p w14:paraId="48AE512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36A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37" w:type="dxa"/>
            <w:noWrap w:val="0"/>
            <w:vAlign w:val="center"/>
          </w:tcPr>
          <w:p w14:paraId="6A81076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94" w:type="dxa"/>
            <w:shd w:val="clear" w:color="auto" w:fill="auto"/>
            <w:noWrap w:val="0"/>
            <w:vAlign w:val="center"/>
          </w:tcPr>
          <w:p w14:paraId="19FA804D">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p>
        </w:tc>
        <w:tc>
          <w:tcPr>
            <w:tcW w:w="6226" w:type="dxa"/>
            <w:shd w:val="clear" w:color="auto" w:fill="auto"/>
            <w:noWrap w:val="0"/>
            <w:vAlign w:val="center"/>
          </w:tcPr>
          <w:p w14:paraId="3D32BF5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根据磋商响应方所投产品的使用情况综合打分（提供2021年10月1日-至今用户的使用情况反馈报告，</w:t>
            </w:r>
            <w:r>
              <w:rPr>
                <w:rFonts w:hint="eastAsia" w:ascii="仿宋" w:hAnsi="仿宋" w:eastAsia="仿宋" w:cs="仿宋"/>
                <w:color w:val="auto"/>
                <w:sz w:val="24"/>
                <w:szCs w:val="24"/>
                <w:lang w:eastAsia="zh-CN"/>
              </w:rPr>
              <w:t>磋商响应方每提供一份客户满意度调查表</w:t>
            </w:r>
            <w:r>
              <w:rPr>
                <w:rFonts w:hint="eastAsia" w:ascii="仿宋" w:hAnsi="仿宋" w:eastAsia="仿宋" w:cs="仿宋"/>
                <w:color w:val="auto"/>
                <w:sz w:val="24"/>
                <w:szCs w:val="24"/>
                <w:lang w:val="en-US" w:eastAsia="zh-CN"/>
              </w:rPr>
              <w:t>良好及以上</w:t>
            </w:r>
            <w:r>
              <w:rPr>
                <w:rFonts w:hint="eastAsia" w:ascii="仿宋" w:hAnsi="仿宋" w:eastAsia="仿宋" w:cs="仿宋"/>
                <w:color w:val="auto"/>
                <w:sz w:val="24"/>
                <w:szCs w:val="24"/>
                <w:lang w:eastAsia="zh-CN"/>
              </w:rPr>
              <w:t>的得</w:t>
            </w:r>
            <w:r>
              <w:rPr>
                <w:rFonts w:hint="eastAsia" w:ascii="仿宋" w:hAnsi="仿宋" w:eastAsia="仿宋" w:cs="仿宋"/>
                <w:color w:val="auto"/>
                <w:sz w:val="24"/>
                <w:szCs w:val="24"/>
                <w:lang w:val="en-US" w:eastAsia="zh-CN"/>
              </w:rPr>
              <w:t>0.5分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同一客户只计一次</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szCs w:val="24"/>
                <w:highlight w:val="none"/>
                <w:lang w:val="en-US" w:eastAsia="zh-CN"/>
              </w:rPr>
              <w:t>（0-3分）。</w:t>
            </w:r>
          </w:p>
        </w:tc>
        <w:tc>
          <w:tcPr>
            <w:tcW w:w="716" w:type="dxa"/>
            <w:shd w:val="clear" w:color="auto" w:fill="auto"/>
            <w:noWrap w:val="0"/>
            <w:vAlign w:val="center"/>
          </w:tcPr>
          <w:p w14:paraId="4AB2A75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1C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 w:type="dxa"/>
            <w:noWrap w:val="0"/>
            <w:vAlign w:val="center"/>
          </w:tcPr>
          <w:p w14:paraId="45FAE1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94" w:type="dxa"/>
            <w:noWrap w:val="0"/>
            <w:vAlign w:val="center"/>
          </w:tcPr>
          <w:p w14:paraId="44ECDC3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产品情况</w:t>
            </w:r>
          </w:p>
        </w:tc>
        <w:tc>
          <w:tcPr>
            <w:tcW w:w="6226" w:type="dxa"/>
            <w:noWrap w:val="0"/>
            <w:vAlign w:val="center"/>
          </w:tcPr>
          <w:p w14:paraId="67F788E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1.投标产品的技术标准、生产工艺、制造方法、检测设备及质量保证措施（0-3分）。</w:t>
            </w:r>
          </w:p>
          <w:p w14:paraId="23B086F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2.投标产品所用主要原材料（包括但不限于内外护套、铜芯）的技术标准、生产厂家、产地等（0-3分）。</w:t>
            </w:r>
          </w:p>
        </w:tc>
        <w:tc>
          <w:tcPr>
            <w:tcW w:w="716" w:type="dxa"/>
            <w:noWrap w:val="0"/>
            <w:vAlign w:val="center"/>
          </w:tcPr>
          <w:p w14:paraId="0DD0ED20">
            <w:pPr>
              <w:keepNext w:val="0"/>
              <w:keepLines w:val="0"/>
              <w:pageBreakBefore w:val="0"/>
              <w:widowControl w:val="0"/>
              <w:kinsoku/>
              <w:wordWrap/>
              <w:overflowPunct/>
              <w:topLinePunct w:val="0"/>
              <w:autoSpaceDE w:val="0"/>
              <w:autoSpaceDN w:val="0"/>
              <w:bidi w:val="0"/>
              <w:adjustRightInd/>
              <w:snapToGrid w:val="0"/>
              <w:spacing w:line="43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r>
      <w:tr w14:paraId="12CB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65FBDE2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294" w:type="dxa"/>
            <w:shd w:val="clear" w:color="auto" w:fill="auto"/>
            <w:noWrap w:val="0"/>
            <w:vAlign w:val="center"/>
          </w:tcPr>
          <w:p w14:paraId="19CF8C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检测报告</w:t>
            </w:r>
          </w:p>
        </w:tc>
        <w:tc>
          <w:tcPr>
            <w:tcW w:w="6226" w:type="dxa"/>
            <w:shd w:val="clear" w:color="auto" w:fill="auto"/>
            <w:noWrap w:val="0"/>
            <w:vAlign w:val="center"/>
          </w:tcPr>
          <w:p w14:paraId="2BB81CE7">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磋商响应方</w:t>
            </w:r>
            <w:r>
              <w:rPr>
                <w:rFonts w:hint="eastAsia" w:ascii="仿宋" w:hAnsi="仿宋" w:eastAsia="仿宋" w:cs="仿宋"/>
                <w:b w:val="0"/>
                <w:bCs/>
                <w:color w:val="auto"/>
                <w:sz w:val="24"/>
                <w:szCs w:val="24"/>
                <w:highlight w:val="none"/>
                <w:lang w:val="en-US" w:eastAsia="zh-CN"/>
              </w:rPr>
              <w:t>根据投标产品经权威机构鉴定后的检测报告，</w:t>
            </w:r>
            <w:r>
              <w:rPr>
                <w:rFonts w:hint="eastAsia" w:ascii="仿宋" w:hAnsi="仿宋" w:eastAsia="仿宋" w:cs="仿宋"/>
                <w:color w:val="auto"/>
                <w:sz w:val="24"/>
                <w:szCs w:val="24"/>
              </w:rPr>
              <w:t>每提供一份得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eastAsia="zh-CN"/>
              </w:rPr>
              <w:t>不提供的不得分。</w:t>
            </w:r>
          </w:p>
        </w:tc>
        <w:tc>
          <w:tcPr>
            <w:tcW w:w="716" w:type="dxa"/>
            <w:shd w:val="clear" w:color="auto" w:fill="auto"/>
            <w:noWrap w:val="0"/>
            <w:vAlign w:val="center"/>
          </w:tcPr>
          <w:p w14:paraId="0A617CB7">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0-4</w:t>
            </w:r>
          </w:p>
        </w:tc>
      </w:tr>
      <w:tr w14:paraId="472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4201FF8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c>
          <w:tcPr>
            <w:tcW w:w="1294" w:type="dxa"/>
            <w:shd w:val="clear" w:color="auto" w:fill="auto"/>
            <w:noWrap w:val="0"/>
            <w:vAlign w:val="center"/>
          </w:tcPr>
          <w:p w14:paraId="394E45A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技术性能</w:t>
            </w:r>
          </w:p>
        </w:tc>
        <w:tc>
          <w:tcPr>
            <w:tcW w:w="6226" w:type="dxa"/>
            <w:shd w:val="clear" w:color="auto" w:fill="auto"/>
            <w:noWrap w:val="0"/>
            <w:vAlign w:val="center"/>
          </w:tcPr>
          <w:p w14:paraId="15529BC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Cs/>
                <w:color w:val="auto"/>
                <w:sz w:val="24"/>
                <w:szCs w:val="24"/>
              </w:rPr>
              <w:t>根据磋商响应方所投标产品电气性能指标满足采购需求的得5分；所投</w:t>
            </w:r>
            <w:r>
              <w:rPr>
                <w:rFonts w:hint="eastAsia" w:ascii="仿宋" w:hAnsi="仿宋" w:eastAsia="仿宋" w:cs="仿宋"/>
                <w:bCs/>
                <w:color w:val="auto"/>
                <w:sz w:val="24"/>
                <w:szCs w:val="24"/>
                <w:lang w:val="en-US" w:eastAsia="zh-CN"/>
              </w:rPr>
              <w:t>产品</w:t>
            </w:r>
            <w:r>
              <w:rPr>
                <w:rFonts w:hint="eastAsia" w:ascii="仿宋" w:hAnsi="仿宋" w:eastAsia="仿宋" w:cs="仿宋"/>
                <w:bCs/>
                <w:color w:val="auto"/>
                <w:sz w:val="24"/>
                <w:szCs w:val="24"/>
              </w:rPr>
              <w:t>指标出现低于采购需求的（负偏离）一般负偏离程度每项扣1分，扣完为止。</w:t>
            </w:r>
          </w:p>
        </w:tc>
        <w:tc>
          <w:tcPr>
            <w:tcW w:w="716" w:type="dxa"/>
            <w:shd w:val="clear" w:color="auto" w:fill="auto"/>
            <w:noWrap w:val="0"/>
            <w:vAlign w:val="center"/>
          </w:tcPr>
          <w:p w14:paraId="03C890B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3B83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noWrap w:val="0"/>
            <w:vAlign w:val="center"/>
          </w:tcPr>
          <w:p w14:paraId="328B713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7</w:t>
            </w:r>
          </w:p>
        </w:tc>
        <w:tc>
          <w:tcPr>
            <w:tcW w:w="1294" w:type="dxa"/>
            <w:shd w:val="clear" w:color="auto" w:fill="auto"/>
            <w:noWrap w:val="0"/>
            <w:vAlign w:val="center"/>
          </w:tcPr>
          <w:p w14:paraId="616E7757">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eastAsia="zh-CN"/>
              </w:rPr>
              <w:t>供货方案</w:t>
            </w:r>
          </w:p>
        </w:tc>
        <w:tc>
          <w:tcPr>
            <w:tcW w:w="6226" w:type="dxa"/>
            <w:shd w:val="clear" w:color="auto" w:fill="auto"/>
            <w:noWrap w:val="0"/>
            <w:vAlign w:val="center"/>
          </w:tcPr>
          <w:p w14:paraId="218B5BF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根据磋商响应方对本项目的了解程度，提出针对本项目的供货方案：</w:t>
            </w:r>
          </w:p>
          <w:p w14:paraId="0E17E0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①产品供货方式（0-3分）；</w:t>
            </w:r>
          </w:p>
          <w:p w14:paraId="4804537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②包装运输、装卸（0-3分）。</w:t>
            </w:r>
          </w:p>
        </w:tc>
        <w:tc>
          <w:tcPr>
            <w:tcW w:w="716" w:type="dxa"/>
            <w:shd w:val="clear" w:color="auto" w:fill="auto"/>
            <w:noWrap w:val="0"/>
            <w:vAlign w:val="center"/>
          </w:tcPr>
          <w:p w14:paraId="6B8B86C8">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0-6</w:t>
            </w:r>
          </w:p>
        </w:tc>
      </w:tr>
      <w:tr w14:paraId="1E4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7" w:type="dxa"/>
            <w:noWrap w:val="0"/>
            <w:vAlign w:val="center"/>
          </w:tcPr>
          <w:p w14:paraId="1952FE4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8</w:t>
            </w:r>
          </w:p>
        </w:tc>
        <w:tc>
          <w:tcPr>
            <w:tcW w:w="1294" w:type="dxa"/>
            <w:shd w:val="clear" w:color="auto" w:fill="auto"/>
            <w:noWrap w:val="0"/>
            <w:vAlign w:val="center"/>
          </w:tcPr>
          <w:p w14:paraId="2CB8FA64">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val="0"/>
                <w:bCs/>
                <w:color w:val="auto"/>
                <w:sz w:val="24"/>
                <w:szCs w:val="24"/>
                <w:highlight w:val="none"/>
                <w:lang w:val="en-US" w:eastAsia="zh-CN"/>
              </w:rPr>
              <w:t>售后服务</w:t>
            </w:r>
          </w:p>
        </w:tc>
        <w:tc>
          <w:tcPr>
            <w:tcW w:w="6226" w:type="dxa"/>
            <w:shd w:val="clear" w:color="auto" w:fill="auto"/>
            <w:noWrap w:val="0"/>
            <w:vAlign w:val="center"/>
          </w:tcPr>
          <w:p w14:paraId="6031352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根据磋商响应方提供的售后服务方案（服务响应时间、故障解决能力等）进行评分（0-4分）。</w:t>
            </w:r>
          </w:p>
        </w:tc>
        <w:tc>
          <w:tcPr>
            <w:tcW w:w="716" w:type="dxa"/>
            <w:shd w:val="clear" w:color="auto" w:fill="auto"/>
            <w:noWrap w:val="0"/>
            <w:vAlign w:val="center"/>
          </w:tcPr>
          <w:p w14:paraId="7BAF5B0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4AE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restart"/>
            <w:noWrap w:val="0"/>
            <w:vAlign w:val="center"/>
          </w:tcPr>
          <w:p w14:paraId="09FA23CA">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294" w:type="dxa"/>
            <w:vMerge w:val="restart"/>
            <w:shd w:val="clear" w:color="auto" w:fill="auto"/>
            <w:noWrap w:val="0"/>
            <w:vAlign w:val="center"/>
          </w:tcPr>
          <w:p w14:paraId="3C69E43F">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样品</w:t>
            </w:r>
          </w:p>
        </w:tc>
        <w:tc>
          <w:tcPr>
            <w:tcW w:w="6226" w:type="dxa"/>
            <w:shd w:val="clear" w:color="auto" w:fill="auto"/>
            <w:noWrap w:val="0"/>
            <w:vAlign w:val="center"/>
          </w:tcPr>
          <w:p w14:paraId="09971F4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导体和钢带：</w:t>
            </w:r>
            <w:r>
              <w:rPr>
                <w:rFonts w:hint="eastAsia" w:ascii="仿宋" w:hAnsi="仿宋" w:eastAsia="仿宋" w:cs="仿宋"/>
                <w:color w:val="auto"/>
                <w:sz w:val="24"/>
                <w:szCs w:val="24"/>
              </w:rPr>
              <w:t>导体表面光洁、无损伤绝缘的毛刺、锐边以及凸起或断裂的单线。铠装电缆钢带螺旋式绕包，绕包圆整光滑。根据现场看样情况打分（0-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ECB2BFC">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485B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7" w:type="dxa"/>
            <w:vMerge w:val="continue"/>
            <w:noWrap w:val="0"/>
            <w:vAlign w:val="center"/>
          </w:tcPr>
          <w:p w14:paraId="08713C7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1AEF94E6">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6EE8C6E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电缆标识：</w:t>
            </w:r>
            <w:r>
              <w:rPr>
                <w:rFonts w:hint="eastAsia" w:ascii="仿宋" w:hAnsi="仿宋" w:eastAsia="仿宋" w:cs="仿宋"/>
                <w:color w:val="auto"/>
                <w:sz w:val="24"/>
                <w:szCs w:val="24"/>
              </w:rPr>
              <w:t>成品电缆表面连续印有电缆型号、电压、尺码等标志。标志字迹清楚，容易辨认、耐擦。根据现场样品标识的清晰度和耐磨性进行打分（0-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6A7688A3">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B41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7" w:type="dxa"/>
            <w:vMerge w:val="continue"/>
            <w:noWrap w:val="0"/>
            <w:vAlign w:val="center"/>
          </w:tcPr>
          <w:p w14:paraId="157CF055">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294" w:type="dxa"/>
            <w:vMerge w:val="continue"/>
            <w:shd w:val="clear" w:color="auto" w:fill="auto"/>
            <w:noWrap w:val="0"/>
            <w:vAlign w:val="center"/>
          </w:tcPr>
          <w:p w14:paraId="2A661A05">
            <w:pPr>
              <w:pStyle w:val="3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0" w:firstLineChars="0"/>
              <w:jc w:val="center"/>
              <w:textAlignment w:val="auto"/>
              <w:outlineLvl w:val="9"/>
              <w:rPr>
                <w:rFonts w:hint="eastAsia" w:ascii="仿宋" w:hAnsi="仿宋" w:eastAsia="仿宋" w:cs="仿宋"/>
                <w:color w:val="auto"/>
                <w:sz w:val="24"/>
                <w:szCs w:val="24"/>
                <w:highlight w:val="none"/>
                <w:shd w:val="clear" w:color="auto" w:fill="auto"/>
                <w:lang w:val="en-US" w:eastAsia="zh-CN"/>
              </w:rPr>
            </w:pPr>
          </w:p>
        </w:tc>
        <w:tc>
          <w:tcPr>
            <w:tcW w:w="6226" w:type="dxa"/>
            <w:shd w:val="clear" w:color="auto" w:fill="auto"/>
            <w:noWrap w:val="0"/>
            <w:vAlign w:val="center"/>
          </w:tcPr>
          <w:p w14:paraId="7C9D772A">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rPr>
              <w:t>护套、绝缘层：</w:t>
            </w:r>
            <w:r>
              <w:rPr>
                <w:rFonts w:hint="eastAsia" w:ascii="仿宋" w:hAnsi="仿宋" w:eastAsia="仿宋" w:cs="仿宋"/>
                <w:color w:val="auto"/>
                <w:sz w:val="24"/>
                <w:szCs w:val="24"/>
              </w:rPr>
              <w:t>绝缘表面平整，色泽均匀。绝缘紧密挤包在导体上，且容易剥离而不损伤导体。绝缘层的横断面上无目力可见的气泡和砂眼等缺陷。绝缘线芯采用颜色识别。电缆外护套紧密挤包在成缆线芯或铠装层上，护套表面光洁，色泽均匀。根据现场看样情况打分（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716" w:type="dxa"/>
            <w:shd w:val="clear" w:color="auto" w:fill="auto"/>
            <w:noWrap w:val="0"/>
            <w:vAlign w:val="center"/>
          </w:tcPr>
          <w:p w14:paraId="088375E5">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55A844B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iCs/>
          <w:color w:val="auto"/>
          <w:sz w:val="24"/>
        </w:rPr>
      </w:pPr>
      <w:r>
        <w:rPr>
          <w:rFonts w:ascii="仿宋" w:hAnsi="仿宋" w:eastAsia="仿宋" w:cs="仿宋"/>
          <w:b/>
          <w:bCs/>
          <w:iCs/>
          <w:color w:val="auto"/>
          <w:sz w:val="24"/>
        </w:rPr>
        <w:t>2.2价格分（</w:t>
      </w:r>
      <w:r>
        <w:rPr>
          <w:rFonts w:hint="eastAsia" w:ascii="仿宋" w:hAnsi="仿宋" w:eastAsia="仿宋" w:cs="仿宋"/>
          <w:b/>
          <w:bCs/>
          <w:iCs/>
          <w:color w:val="auto"/>
          <w:sz w:val="24"/>
          <w:lang w:val="en-US" w:eastAsia="zh-CN"/>
        </w:rPr>
        <w:t>50</w:t>
      </w:r>
      <w:r>
        <w:rPr>
          <w:rFonts w:hint="eastAsia" w:ascii="仿宋" w:hAnsi="仿宋" w:eastAsia="仿宋" w:cs="仿宋"/>
          <w:b/>
          <w:bCs/>
          <w:iCs/>
          <w:color w:val="auto"/>
          <w:sz w:val="24"/>
        </w:rPr>
        <w:t>分）</w:t>
      </w:r>
    </w:p>
    <w:p w14:paraId="4DC289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2.2.1评标基准价：即满足磋商文件要求且磋商价格最低的</w:t>
      </w:r>
      <w:r>
        <w:rPr>
          <w:rFonts w:hint="eastAsia" w:ascii="仿宋" w:hAnsi="仿宋" w:eastAsia="仿宋" w:cs="仿宋"/>
          <w:color w:val="auto"/>
          <w:sz w:val="24"/>
          <w:szCs w:val="24"/>
          <w:highlight w:val="none"/>
          <w:lang w:val="en-US" w:eastAsia="zh-CN"/>
        </w:rPr>
        <w:t>单价合计</w:t>
      </w:r>
      <w:r>
        <w:rPr>
          <w:rFonts w:ascii="仿宋" w:hAnsi="仿宋" w:eastAsia="仿宋" w:cs="仿宋"/>
          <w:bCs/>
          <w:iCs/>
          <w:color w:val="auto"/>
          <w:sz w:val="24"/>
        </w:rPr>
        <w:t>为评标基准价，其价格分为满分。</w:t>
      </w:r>
    </w:p>
    <w:p w14:paraId="177F77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7E169E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w:t>
      </w:r>
      <w:r>
        <w:rPr>
          <w:rFonts w:hint="eastAsia" w:ascii="仿宋" w:hAnsi="仿宋" w:eastAsia="仿宋" w:cs="仿宋"/>
          <w:bCs/>
          <w:iCs/>
          <w:color w:val="auto"/>
          <w:sz w:val="24"/>
          <w:lang w:val="en-US" w:eastAsia="zh-CN"/>
        </w:rPr>
        <w:t>单价合计</w:t>
      </w:r>
      <w:r>
        <w:rPr>
          <w:rFonts w:ascii="仿宋" w:hAnsi="仿宋" w:eastAsia="仿宋" w:cs="仿宋"/>
          <w:bCs/>
          <w:iCs/>
          <w:color w:val="auto"/>
          <w:sz w:val="24"/>
        </w:rPr>
        <w:t>)×</w:t>
      </w:r>
      <w:r>
        <w:rPr>
          <w:rFonts w:hint="eastAsia" w:ascii="仿宋" w:hAnsi="仿宋" w:eastAsia="仿宋" w:cs="仿宋"/>
          <w:bCs/>
          <w:iCs/>
          <w:color w:val="auto"/>
          <w:sz w:val="24"/>
          <w:lang w:val="en-US" w:eastAsia="zh-CN"/>
        </w:rPr>
        <w:t>50%</w:t>
      </w:r>
      <w:r>
        <w:rPr>
          <w:rFonts w:ascii="仿宋" w:hAnsi="仿宋" w:eastAsia="仿宋" w:cs="仿宋"/>
          <w:bCs/>
          <w:iCs/>
          <w:color w:val="auto"/>
          <w:sz w:val="24"/>
        </w:rPr>
        <w:t>×</w:t>
      </w:r>
      <w:r>
        <w:rPr>
          <w:rFonts w:hint="eastAsia" w:ascii="仿宋" w:hAnsi="仿宋" w:eastAsia="仿宋" w:cs="仿宋"/>
          <w:bCs/>
          <w:iCs/>
          <w:color w:val="auto"/>
          <w:sz w:val="24"/>
          <w:lang w:val="en-US" w:eastAsia="zh-CN"/>
        </w:rPr>
        <w:t>100</w:t>
      </w:r>
    </w:p>
    <w:p w14:paraId="6E05E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本项目设风险控制价，风险控制价为</w:t>
      </w:r>
      <w:r>
        <w:rPr>
          <w:rFonts w:hint="eastAsia" w:ascii="仿宋" w:hAnsi="仿宋" w:eastAsia="仿宋" w:cs="仿宋"/>
          <w:color w:val="auto"/>
          <w:sz w:val="24"/>
          <w:szCs w:val="24"/>
          <w:highlight w:val="none"/>
          <w:lang w:val="en-US" w:eastAsia="zh-CN"/>
        </w:rPr>
        <w:t>单价最高限价合计</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0%；若成交供应商的成交价低于该风险控制价的，成交供应商必须在合同签订前额外补交成交价与风险控制价之差额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在风险控制价的基础上，每降低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，缴纳差额</w:t>
      </w:r>
      <w:r>
        <w:rPr>
          <w:rFonts w:hint="eastAsia" w:ascii="仿宋" w:hAnsi="仿宋" w:eastAsia="仿宋" w:cs="仿宋"/>
          <w:color w:val="auto"/>
          <w:sz w:val="24"/>
          <w:szCs w:val="24"/>
          <w:highlight w:val="none"/>
          <w:lang w:val="en-US" w:eastAsia="zh-CN"/>
        </w:rPr>
        <w:t>风险金5000</w:t>
      </w:r>
      <w:r>
        <w:rPr>
          <w:rFonts w:hint="eastAsia" w:ascii="仿宋" w:hAnsi="仿宋" w:eastAsia="仿宋" w:cs="仿宋"/>
          <w:color w:val="auto"/>
          <w:sz w:val="24"/>
          <w:szCs w:val="24"/>
          <w:highlight w:val="none"/>
        </w:rPr>
        <w:t>元，不足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按1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成交供应商不缴纳的视为放弃成交，</w:t>
      </w:r>
      <w:r>
        <w:rPr>
          <w:rFonts w:hint="eastAsia" w:ascii="仿宋" w:hAnsi="仿宋" w:eastAsia="仿宋" w:cs="仿宋"/>
          <w:color w:val="auto"/>
          <w:sz w:val="24"/>
          <w:szCs w:val="24"/>
          <w:highlight w:val="none"/>
          <w:lang w:val="en-US" w:eastAsia="zh-CN"/>
        </w:rPr>
        <w:t>投标保证金</w:t>
      </w:r>
      <w:r>
        <w:rPr>
          <w:rFonts w:hint="eastAsia" w:ascii="仿宋" w:hAnsi="仿宋" w:eastAsia="仿宋" w:cs="仿宋"/>
          <w:b w:val="0"/>
          <w:bCs/>
          <w:color w:val="auto"/>
          <w:sz w:val="24"/>
          <w:szCs w:val="24"/>
          <w:highlight w:val="none"/>
          <w:lang w:val="en-US" w:eastAsia="zh-CN"/>
        </w:rPr>
        <w:t>不予退还，</w:t>
      </w:r>
      <w:r>
        <w:rPr>
          <w:rFonts w:hint="eastAsia" w:ascii="仿宋" w:hAnsi="仿宋" w:eastAsia="仿宋" w:cs="仿宋"/>
          <w:color w:val="auto"/>
          <w:sz w:val="24"/>
          <w:szCs w:val="24"/>
          <w:highlight w:val="none"/>
        </w:rPr>
        <w:t>重新组织</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不得参与采购人同类项目招标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在质保期满后无质量问题30日内无息退还</w:t>
      </w:r>
      <w:r>
        <w:rPr>
          <w:rFonts w:hint="eastAsia" w:ascii="仿宋" w:hAnsi="仿宋" w:eastAsia="仿宋" w:cs="仿宋"/>
          <w:color w:val="auto"/>
          <w:sz w:val="24"/>
          <w:szCs w:val="24"/>
          <w:highlight w:val="none"/>
          <w:lang w:eastAsia="zh-CN"/>
        </w:rPr>
        <w:t>。若成交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产品质量不达标的，差额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lang w:eastAsia="zh-CN"/>
        </w:rPr>
        <w:t>不予退还。</w:t>
      </w:r>
      <w:r>
        <w:rPr>
          <w:rFonts w:hint="eastAsia" w:ascii="仿宋" w:hAnsi="仿宋" w:eastAsia="仿宋" w:cs="仿宋"/>
          <w:color w:val="auto"/>
          <w:sz w:val="24"/>
          <w:szCs w:val="24"/>
          <w:highlight w:val="none"/>
        </w:rPr>
        <w:t>（差额</w:t>
      </w:r>
      <w:r>
        <w:rPr>
          <w:rFonts w:hint="eastAsia" w:ascii="仿宋" w:hAnsi="仿宋" w:eastAsia="仿宋" w:cs="仿宋"/>
          <w:color w:val="auto"/>
          <w:sz w:val="24"/>
          <w:szCs w:val="24"/>
          <w:highlight w:val="none"/>
          <w:lang w:val="en-US" w:eastAsia="zh-CN"/>
        </w:rPr>
        <w:t>风险金</w:t>
      </w:r>
      <w:r>
        <w:rPr>
          <w:rFonts w:hint="eastAsia" w:ascii="仿宋" w:hAnsi="仿宋" w:eastAsia="仿宋" w:cs="仿宋"/>
          <w:color w:val="auto"/>
          <w:sz w:val="24"/>
          <w:szCs w:val="24"/>
          <w:highlight w:val="none"/>
        </w:rPr>
        <w:t>以现金、电汇、转账方式交纳）</w:t>
      </w:r>
      <w:r>
        <w:rPr>
          <w:rFonts w:hint="eastAsia" w:ascii="仿宋" w:hAnsi="仿宋" w:eastAsia="仿宋" w:cs="仿宋"/>
          <w:color w:val="auto"/>
          <w:sz w:val="24"/>
          <w:szCs w:val="24"/>
          <w:highlight w:val="none"/>
          <w:lang w:eastAsia="zh-CN"/>
        </w:rPr>
        <w:t>。</w:t>
      </w:r>
    </w:p>
    <w:p w14:paraId="5E1553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default" w:ascii="仿宋" w:hAnsi="仿宋" w:eastAsia="仿宋" w:cs="仿宋"/>
          <w:b/>
          <w:color w:val="auto"/>
          <w:sz w:val="36"/>
          <w:szCs w:val="36"/>
          <w:lang w:val="en-US" w:eastAsia="zh-CN"/>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US" w:eastAsia="zh-CN"/>
        </w:rPr>
        <w:t>响应方</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应当将其作为无效投标处理。</w:t>
      </w:r>
    </w:p>
    <w:p w14:paraId="2474E12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9372EA7">
      <w:pPr>
        <w:spacing w:line="336" w:lineRule="auto"/>
        <w:jc w:val="center"/>
        <w:outlineLvl w:val="0"/>
        <w:rPr>
          <w:rFonts w:ascii="仿宋" w:hAnsi="仿宋" w:eastAsia="仿宋" w:cs="仿宋"/>
          <w:b/>
          <w:color w:val="auto"/>
          <w:sz w:val="36"/>
          <w:szCs w:val="36"/>
        </w:rPr>
      </w:pPr>
      <w:bookmarkStart w:id="76" w:name="_Toc86217003"/>
      <w:bookmarkStart w:id="77" w:name="第五部分"/>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70CC17C1">
      <w:pPr>
        <w:spacing w:line="336" w:lineRule="auto"/>
        <w:rPr>
          <w:rFonts w:ascii="仿宋" w:hAnsi="仿宋" w:eastAsia="仿宋" w:cs="仿宋"/>
          <w:color w:val="auto"/>
          <w:sz w:val="24"/>
        </w:rPr>
      </w:pPr>
    </w:p>
    <w:p w14:paraId="6562D917">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31F87E8">
      <w:pPr>
        <w:pStyle w:val="73"/>
        <w:rPr>
          <w:rFonts w:hint="eastAsia" w:ascii="仿宋" w:hAnsi="仿宋" w:eastAsia="仿宋" w:cs="仿宋"/>
          <w:color w:val="auto"/>
          <w:sz w:val="24"/>
          <w:u w:val="single"/>
        </w:rPr>
      </w:pPr>
    </w:p>
    <w:p w14:paraId="10319929">
      <w:pPr>
        <w:pStyle w:val="74"/>
        <w:ind w:left="0" w:leftChars="0" w:firstLine="0" w:firstLineChars="0"/>
        <w:jc w:val="center"/>
        <w:rPr>
          <w:color w:val="auto"/>
        </w:rP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14:paraId="19CA21FE">
      <w:pPr>
        <w:spacing w:line="336" w:lineRule="auto"/>
        <w:rPr>
          <w:rFonts w:ascii="仿宋" w:hAnsi="仿宋" w:eastAsia="仿宋" w:cs="仿宋"/>
          <w:color w:val="auto"/>
          <w:sz w:val="24"/>
          <w:u w:val="single"/>
        </w:rPr>
      </w:pPr>
    </w:p>
    <w:p w14:paraId="631B3DB1">
      <w:pPr>
        <w:pStyle w:val="286"/>
        <w:spacing w:after="0" w:line="336" w:lineRule="auto"/>
        <w:ind w:left="0" w:leftChars="0"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采购合同书</w:t>
      </w:r>
    </w:p>
    <w:p w14:paraId="10FBA9D9">
      <w:pPr>
        <w:pStyle w:val="286"/>
        <w:spacing w:after="0" w:line="336" w:lineRule="auto"/>
        <w:ind w:left="0" w:leftChars="0"/>
        <w:jc w:val="center"/>
        <w:rPr>
          <w:rFonts w:ascii="仿宋" w:hAnsi="仿宋" w:eastAsia="仿宋" w:cs="仿宋"/>
          <w:color w:val="auto"/>
          <w:szCs w:val="24"/>
        </w:rPr>
      </w:pPr>
    </w:p>
    <w:p w14:paraId="64C4E484">
      <w:pPr>
        <w:pStyle w:val="286"/>
        <w:ind w:left="0" w:leftChars="0" w:firstLine="0" w:firstLineChars="0"/>
        <w:jc w:val="center"/>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66808874">
      <w:pPr>
        <w:pStyle w:val="25"/>
        <w:rPr>
          <w:rFonts w:ascii="仿宋" w:hAnsi="仿宋" w:eastAsia="仿宋" w:cs="仿宋"/>
          <w:color w:val="auto"/>
          <w:szCs w:val="24"/>
        </w:rPr>
      </w:pPr>
    </w:p>
    <w:p w14:paraId="11C09AB3">
      <w:pPr>
        <w:pStyle w:val="25"/>
        <w:rPr>
          <w:rFonts w:ascii="仿宋" w:hAnsi="仿宋" w:eastAsia="仿宋" w:cs="仿宋"/>
          <w:color w:val="auto"/>
          <w:szCs w:val="24"/>
        </w:rPr>
      </w:pPr>
    </w:p>
    <w:p w14:paraId="702EA2D2">
      <w:pPr>
        <w:pStyle w:val="25"/>
        <w:ind w:left="0" w:leftChars="0" w:firstLine="0" w:firstLineChars="0"/>
        <w:rPr>
          <w:rFonts w:ascii="仿宋" w:hAnsi="仿宋" w:eastAsia="仿宋" w:cs="仿宋"/>
          <w:color w:val="auto"/>
          <w:szCs w:val="24"/>
        </w:rPr>
      </w:pPr>
    </w:p>
    <w:p w14:paraId="29EB300A">
      <w:pPr>
        <w:spacing w:line="336" w:lineRule="auto"/>
        <w:rPr>
          <w:rFonts w:ascii="仿宋" w:hAnsi="仿宋" w:eastAsia="仿宋" w:cs="仿宋"/>
          <w:color w:val="auto"/>
          <w:sz w:val="24"/>
        </w:rPr>
      </w:pPr>
    </w:p>
    <w:p w14:paraId="3CD0F2F1">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AF304AA">
      <w:pPr>
        <w:pStyle w:val="621"/>
        <w:spacing w:line="336" w:lineRule="auto"/>
        <w:rPr>
          <w:rFonts w:ascii="仿宋" w:hAnsi="仿宋" w:eastAsia="仿宋" w:cs="仿宋"/>
          <w:color w:val="auto"/>
          <w:szCs w:val="24"/>
        </w:rPr>
      </w:pPr>
    </w:p>
    <w:p w14:paraId="0DB8B872">
      <w:pPr>
        <w:spacing w:line="336" w:lineRule="auto"/>
        <w:rPr>
          <w:rFonts w:ascii="仿宋" w:hAnsi="仿宋" w:eastAsia="仿宋" w:cs="仿宋"/>
          <w:color w:val="auto"/>
          <w:sz w:val="24"/>
        </w:rPr>
      </w:pPr>
    </w:p>
    <w:p w14:paraId="72F042C8">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AF59305">
      <w:pPr>
        <w:spacing w:line="336" w:lineRule="auto"/>
        <w:rPr>
          <w:rFonts w:ascii="仿宋" w:hAnsi="仿宋" w:eastAsia="仿宋" w:cs="仿宋"/>
          <w:color w:val="auto"/>
          <w:sz w:val="24"/>
        </w:rPr>
      </w:pPr>
    </w:p>
    <w:p w14:paraId="3C5480C5">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E8C427A">
      <w:pPr>
        <w:spacing w:line="336" w:lineRule="auto"/>
        <w:rPr>
          <w:rFonts w:ascii="仿宋" w:hAnsi="仿宋" w:eastAsia="仿宋" w:cs="仿宋"/>
          <w:color w:val="auto"/>
          <w:sz w:val="24"/>
        </w:rPr>
      </w:pPr>
    </w:p>
    <w:p w14:paraId="44FC02F3">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4A2DC322">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74BA98FB">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0A01D02">
      <w:pPr>
        <w:keepNext w:val="0"/>
        <w:keepLines w:val="0"/>
        <w:pageBreakBefore w:val="0"/>
        <w:widowControl/>
        <w:kinsoku/>
        <w:wordWrap/>
        <w:overflowPunct/>
        <w:topLinePunct w:val="0"/>
        <w:autoSpaceDE/>
        <w:autoSpaceDN/>
        <w:bidi w:val="0"/>
        <w:adjustRightInd/>
        <w:snapToGrid/>
        <w:spacing w:line="360" w:lineRule="auto"/>
        <w:ind w:firstLine="1205" w:firstLineChars="500"/>
        <w:jc w:val="left"/>
        <w:textAlignment w:val="auto"/>
        <w:rPr>
          <w:rFonts w:ascii="仿宋" w:hAnsi="仿宋" w:eastAsia="仿宋" w:cs="仿宋"/>
          <w:b/>
          <w:color w:val="auto"/>
          <w:sz w:val="24"/>
        </w:rPr>
      </w:pPr>
      <w:r>
        <w:rPr>
          <w:rFonts w:ascii="仿宋" w:hAnsi="仿宋" w:eastAsia="仿宋" w:cs="仿宋"/>
          <w:b/>
          <w:color w:val="auto"/>
          <w:sz w:val="24"/>
        </w:rPr>
        <w:br w:type="page"/>
      </w:r>
    </w:p>
    <w:p w14:paraId="16F6ACCD">
      <w:pPr>
        <w:pStyle w:val="33"/>
        <w:keepNext w:val="0"/>
        <w:keepLines w:val="0"/>
        <w:pageBreakBefore w:val="0"/>
        <w:kinsoku/>
        <w:wordWrap/>
        <w:overflowPunct/>
        <w:topLinePunct w:val="0"/>
        <w:bidi w:val="0"/>
        <w:adjustRightInd w:val="0"/>
        <w:snapToGrid w:val="0"/>
        <w:spacing w:beforeLines="0" w:afterLines="0" w:line="430" w:lineRule="exact"/>
        <w:jc w:val="center"/>
        <w:textAlignment w:val="auto"/>
        <w:outlineLvl w:val="0"/>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8"/>
          <w:szCs w:val="28"/>
        </w:rPr>
        <w:t>嵊州市广电信息网络有限公司采购合同</w:t>
      </w:r>
    </w:p>
    <w:p w14:paraId="6552297C">
      <w:pPr>
        <w:keepNext w:val="0"/>
        <w:keepLines w:val="0"/>
        <w:pageBreakBefore w:val="0"/>
        <w:kinsoku/>
        <w:wordWrap/>
        <w:overflowPunct/>
        <w:topLinePunct w:val="0"/>
        <w:autoSpaceDE w:val="0"/>
        <w:autoSpaceDN w:val="0"/>
        <w:bidi w:val="0"/>
        <w:adjustRightInd w:val="0"/>
        <w:spacing w:line="430" w:lineRule="exact"/>
        <w:jc w:val="righ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合同编号：</w:t>
      </w:r>
    </w:p>
    <w:p w14:paraId="60838FF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甲方（招标方）：</w:t>
      </w:r>
      <w:r>
        <w:rPr>
          <w:rFonts w:hint="eastAsia" w:ascii="仿宋" w:hAnsi="仿宋" w:eastAsia="仿宋" w:cs="仿宋"/>
          <w:snapToGrid w:val="0"/>
          <w:color w:val="auto"/>
          <w:kern w:val="0"/>
          <w:sz w:val="24"/>
          <w:szCs w:val="24"/>
        </w:rPr>
        <w:t>嵊州市广电信息网络有限公司</w:t>
      </w:r>
    </w:p>
    <w:p w14:paraId="6BF1B49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乙方（中标方）：</w:t>
      </w:r>
      <w:r>
        <w:rPr>
          <w:rFonts w:hint="eastAsia" w:ascii="仿宋" w:hAnsi="仿宋" w:eastAsia="仿宋" w:cs="仿宋"/>
          <w:color w:val="auto"/>
          <w:kern w:val="0"/>
          <w:sz w:val="24"/>
          <w:szCs w:val="24"/>
          <w:u w:val="single"/>
          <w:lang w:val="zh-CN"/>
        </w:rPr>
        <w:t xml:space="preserve">                      公司</w:t>
      </w:r>
    </w:p>
    <w:p w14:paraId="3F07E24B">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经竞争性磋商招标，中标单位为</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公司；根据《中华人民共和国民法典》</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lang w:val="zh-CN"/>
        </w:rPr>
        <w:t>规定，本合同当事人在平等、自愿的基础上，经协商一致，同意按下述条款和条件签署本合同：</w:t>
      </w:r>
    </w:p>
    <w:p w14:paraId="6FE721C0">
      <w:pPr>
        <w:pStyle w:val="33"/>
        <w:keepNext w:val="0"/>
        <w:keepLines w:val="0"/>
        <w:pageBreakBefore w:val="0"/>
        <w:tabs>
          <w:tab w:val="left" w:pos="180"/>
        </w:tabs>
        <w:kinsoku/>
        <w:wordWrap/>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第一条：采购商品清单及合同价格</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单位：元</w:t>
      </w:r>
    </w:p>
    <w:tbl>
      <w:tblPr>
        <w:tblStyle w:val="61"/>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5"/>
        <w:gridCol w:w="1635"/>
        <w:gridCol w:w="1856"/>
        <w:gridCol w:w="1599"/>
      </w:tblGrid>
      <w:tr w14:paraId="611B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95" w:type="dxa"/>
            <w:vAlign w:val="center"/>
          </w:tcPr>
          <w:p w14:paraId="32618E1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序号</w:t>
            </w:r>
          </w:p>
        </w:tc>
        <w:tc>
          <w:tcPr>
            <w:tcW w:w="2875" w:type="dxa"/>
            <w:vAlign w:val="center"/>
          </w:tcPr>
          <w:p w14:paraId="04AC8EF2">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品名</w:t>
            </w:r>
          </w:p>
        </w:tc>
        <w:tc>
          <w:tcPr>
            <w:tcW w:w="1635" w:type="dxa"/>
            <w:vAlign w:val="center"/>
          </w:tcPr>
          <w:p w14:paraId="115CF6A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规格</w:t>
            </w:r>
          </w:p>
        </w:tc>
        <w:tc>
          <w:tcPr>
            <w:tcW w:w="1856" w:type="dxa"/>
            <w:vAlign w:val="center"/>
          </w:tcPr>
          <w:p w14:paraId="302127A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单位</w:t>
            </w:r>
          </w:p>
        </w:tc>
        <w:tc>
          <w:tcPr>
            <w:tcW w:w="1599" w:type="dxa"/>
            <w:vAlign w:val="center"/>
          </w:tcPr>
          <w:p w14:paraId="0FF46BE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单价（元）</w:t>
            </w:r>
          </w:p>
        </w:tc>
      </w:tr>
      <w:tr w14:paraId="449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5" w:type="dxa"/>
            <w:vAlign w:val="center"/>
          </w:tcPr>
          <w:p w14:paraId="5FDCF7F7">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2875" w:type="dxa"/>
            <w:vAlign w:val="center"/>
          </w:tcPr>
          <w:p w14:paraId="6F21542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1CDDF04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5C4166BC">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5D47EBB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6A11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4CF4327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2875" w:type="dxa"/>
            <w:vAlign w:val="center"/>
          </w:tcPr>
          <w:p w14:paraId="3545DBE0">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570D9618">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13429F7F">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3E934649">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r w14:paraId="1CD1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5" w:type="dxa"/>
            <w:vAlign w:val="center"/>
          </w:tcPr>
          <w:p w14:paraId="1216F6ED">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2875" w:type="dxa"/>
            <w:vAlign w:val="center"/>
          </w:tcPr>
          <w:p w14:paraId="11B46E61">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635" w:type="dxa"/>
            <w:vAlign w:val="center"/>
          </w:tcPr>
          <w:p w14:paraId="75806CE3">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856" w:type="dxa"/>
            <w:vAlign w:val="center"/>
          </w:tcPr>
          <w:p w14:paraId="67C1186B">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c>
          <w:tcPr>
            <w:tcW w:w="1599" w:type="dxa"/>
            <w:vAlign w:val="center"/>
          </w:tcPr>
          <w:p w14:paraId="2F32B2CE">
            <w:pPr>
              <w:keepNext w:val="0"/>
              <w:keepLines w:val="0"/>
              <w:pageBreakBefore w:val="0"/>
              <w:widowControl w:val="0"/>
              <w:kinsoku/>
              <w:wordWrap/>
              <w:overflowPunct/>
              <w:topLinePunct w:val="0"/>
              <w:autoSpaceDE/>
              <w:autoSpaceDN/>
              <w:bidi w:val="0"/>
              <w:adjustRightInd w:val="0"/>
              <w:snapToGrid/>
              <w:spacing w:line="430" w:lineRule="exact"/>
              <w:ind w:firstLine="0" w:firstLineChars="0"/>
              <w:jc w:val="center"/>
              <w:textAlignment w:val="auto"/>
              <w:rPr>
                <w:rFonts w:hint="eastAsia" w:ascii="仿宋" w:hAnsi="仿宋" w:eastAsia="仿宋" w:cs="仿宋"/>
                <w:color w:val="auto"/>
                <w:kern w:val="0"/>
                <w:sz w:val="24"/>
                <w:szCs w:val="24"/>
                <w:lang w:val="en-US" w:eastAsia="zh-CN"/>
              </w:rPr>
            </w:pPr>
          </w:p>
        </w:tc>
      </w:tr>
    </w:tbl>
    <w:p w14:paraId="5F9357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color w:val="auto"/>
          <w:sz w:val="24"/>
          <w:szCs w:val="24"/>
          <w:lang w:val="zh-CN"/>
        </w:rPr>
      </w:pPr>
      <w:r>
        <w:rPr>
          <w:rFonts w:hint="eastAsia" w:ascii="仿宋" w:hAnsi="仿宋" w:eastAsia="仿宋" w:cs="仿宋"/>
          <w:color w:val="auto"/>
          <w:sz w:val="24"/>
          <w:szCs w:val="24"/>
        </w:rPr>
        <w:t>注：所有投标价均是包含货款、运输、包装、税费、保险、保修、招标代理服务费及相关服务等费用。</w:t>
      </w:r>
    </w:p>
    <w:p w14:paraId="400A480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第二条：质量保证</w:t>
      </w:r>
    </w:p>
    <w:p w14:paraId="37F6A43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乙方保证本合同中所供应的国产商品是</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 xml:space="preserve">4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份后生产的符合国家技术规格和质量标准的全新出厂合格产品；如发生所供商品与合同不符，质量不合格的，甲方有权拒收或退货，如收货后使用过程中才发现该情形的，甲方有权拒绝支付该批次货款或者要求乙方归还该批次的全部货款，由此产生的一切责任和后果由乙方承担。上述供货情况出现二次的，甲方可单方面解除合同，要求乙方按总货值的30%支付违约金。</w:t>
      </w:r>
    </w:p>
    <w:p w14:paraId="3E1CC76D">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第三条：交货时间、地点</w:t>
      </w:r>
    </w:p>
    <w:p w14:paraId="005B3944">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乙方在接到甲方电话或书面通知十日内，货物按照其与甲方事先直接联系约定（使用单位地址、联系人等），将所供货物运至需方指定地点，交甲方数量外观验收。</w:t>
      </w:r>
    </w:p>
    <w:p w14:paraId="1FA11D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在所供货物交付使用时，乙方必须向甲方提供质量保证书、保修卡等必须具备的相关资料和必备的附件。</w:t>
      </w:r>
    </w:p>
    <w:p w14:paraId="70D7DCB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条：定点采购期限</w:t>
      </w:r>
    </w:p>
    <w:p w14:paraId="56F44F11">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自签订协议之日起一年，若遇重大政策调整，则需按政策相应调整，或重新招标。到期未重新招标则本合同顺延到新的招标结果生效且首批供货验收合格入库之日止。</w:t>
      </w:r>
    </w:p>
    <w:p w14:paraId="18C60CE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条：售后服务</w:t>
      </w:r>
    </w:p>
    <w:p w14:paraId="4C762C3B">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乙方郑重向甲方承诺，由乙方提供的设备，符合国家颁布的质量认证标准和乙方的产品技术标准，并符合甲方的技术规范书要求和国家、行业标准要求，经检验合格后出厂。</w:t>
      </w:r>
    </w:p>
    <w:p w14:paraId="1A3AABB7">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乙方承诺始接到客户采购单之日起，立即组织发货，保证在甲方要求时间内把货送到甲方指定地点。</w:t>
      </w:r>
    </w:p>
    <w:p w14:paraId="25307539">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设备质保期为收货之日起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年，在质保期内对不合格或存在质量问题的产品予</w:t>
      </w:r>
      <w:r>
        <w:rPr>
          <w:rFonts w:hint="eastAsia" w:ascii="仿宋" w:hAnsi="仿宋" w:eastAsia="仿宋" w:cs="仿宋"/>
          <w:strike w:val="0"/>
          <w:dstrike w:val="0"/>
          <w:color w:val="auto"/>
          <w:sz w:val="24"/>
          <w:szCs w:val="24"/>
        </w:rPr>
        <w:t>以免费更换，直到甲方满意为止。调换后产品的质保期从调换之日起重新计算。</w:t>
      </w:r>
    </w:p>
    <w:p w14:paraId="17A1EB00">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4</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乙方竭诚为客户服务，24小时中均有服务人员接听服务电话</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strike w:val="0"/>
          <w:dstrike w:val="0"/>
          <w:color w:val="auto"/>
          <w:sz w:val="24"/>
          <w:szCs w:val="24"/>
        </w:rPr>
        <w:t>，接到用户投诉后</w:t>
      </w:r>
      <w:r>
        <w:rPr>
          <w:rFonts w:hint="eastAsia" w:ascii="仿宋" w:hAnsi="仿宋" w:eastAsia="仿宋" w:cs="仿宋"/>
          <w:strike w:val="0"/>
          <w:dstrike w:val="0"/>
          <w:color w:val="auto"/>
          <w:sz w:val="24"/>
          <w:szCs w:val="24"/>
          <w:lang w:val="en-US" w:eastAsia="zh-CN"/>
        </w:rPr>
        <w:t>60</w:t>
      </w:r>
      <w:r>
        <w:rPr>
          <w:rFonts w:hint="eastAsia" w:ascii="仿宋" w:hAnsi="仿宋" w:eastAsia="仿宋" w:cs="仿宋"/>
          <w:strike w:val="0"/>
          <w:dstrike w:val="0"/>
          <w:color w:val="auto"/>
          <w:sz w:val="24"/>
          <w:szCs w:val="24"/>
        </w:rPr>
        <w:t>分钟</w:t>
      </w:r>
      <w:r>
        <w:rPr>
          <w:rFonts w:hint="eastAsia" w:ascii="仿宋" w:hAnsi="仿宋" w:eastAsia="仿宋" w:cs="仿宋"/>
          <w:strike w:val="0"/>
          <w:dstrike w:val="0"/>
          <w:color w:val="auto"/>
          <w:sz w:val="24"/>
          <w:szCs w:val="24"/>
          <w:lang w:eastAsia="zh-CN"/>
        </w:rPr>
        <w:t>内</w:t>
      </w:r>
      <w:r>
        <w:rPr>
          <w:rFonts w:hint="eastAsia" w:ascii="仿宋" w:hAnsi="仿宋" w:eastAsia="仿宋" w:cs="仿宋"/>
          <w:strike w:val="0"/>
          <w:dstrike w:val="0"/>
          <w:color w:val="auto"/>
          <w:sz w:val="24"/>
          <w:szCs w:val="24"/>
        </w:rPr>
        <w:t>响应，1小时内</w:t>
      </w:r>
      <w:r>
        <w:rPr>
          <w:rFonts w:hint="eastAsia" w:ascii="仿宋" w:hAnsi="仿宋" w:eastAsia="仿宋" w:cs="仿宋"/>
          <w:strike w:val="0"/>
          <w:dstrike w:val="0"/>
          <w:color w:val="auto"/>
          <w:sz w:val="24"/>
          <w:szCs w:val="24"/>
          <w:lang w:eastAsia="zh-CN"/>
        </w:rPr>
        <w:t>修复</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eastAsia="zh-CN"/>
        </w:rPr>
        <w:t>特殊情况在</w:t>
      </w:r>
      <w:r>
        <w:rPr>
          <w:rFonts w:hint="eastAsia" w:ascii="仿宋" w:hAnsi="仿宋" w:eastAsia="仿宋" w:cs="仿宋"/>
          <w:strike w:val="0"/>
          <w:dstrike w:val="0"/>
          <w:color w:val="auto"/>
          <w:sz w:val="24"/>
          <w:szCs w:val="24"/>
        </w:rPr>
        <w:t>2小时内</w:t>
      </w:r>
      <w:r>
        <w:rPr>
          <w:rFonts w:hint="eastAsia" w:ascii="仿宋" w:hAnsi="仿宋" w:eastAsia="仿宋" w:cs="仿宋"/>
          <w:strike w:val="0"/>
          <w:dstrike w:val="0"/>
          <w:color w:val="auto"/>
          <w:sz w:val="24"/>
          <w:szCs w:val="24"/>
          <w:lang w:eastAsia="zh-CN"/>
        </w:rPr>
        <w:t>无法修复的，免费提供备用设备使用</w:t>
      </w:r>
      <w:r>
        <w:rPr>
          <w:rFonts w:hint="eastAsia" w:ascii="仿宋" w:hAnsi="仿宋" w:eastAsia="仿宋" w:cs="仿宋"/>
          <w:strike w:val="0"/>
          <w:dstrike w:val="0"/>
          <w:color w:val="auto"/>
          <w:sz w:val="24"/>
          <w:szCs w:val="24"/>
        </w:rPr>
        <w:t>。</w:t>
      </w:r>
    </w:p>
    <w:p w14:paraId="6584908C">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5</w:t>
      </w:r>
      <w:r>
        <w:rPr>
          <w:rFonts w:hint="eastAsia" w:ascii="仿宋" w:hAnsi="仿宋" w:eastAsia="仿宋" w:cs="仿宋"/>
          <w:strike w:val="0"/>
          <w:dstrike w:val="0"/>
          <w:color w:val="auto"/>
          <w:sz w:val="24"/>
          <w:szCs w:val="24"/>
          <w:lang w:val="en-US" w:eastAsia="zh-CN"/>
        </w:rPr>
        <w:t>.</w:t>
      </w:r>
      <w:r>
        <w:rPr>
          <w:rFonts w:hint="eastAsia" w:ascii="仿宋" w:hAnsi="仿宋" w:eastAsia="仿宋" w:cs="仿宋"/>
          <w:strike w:val="0"/>
          <w:dstrike w:val="0"/>
          <w:color w:val="auto"/>
          <w:sz w:val="24"/>
          <w:szCs w:val="24"/>
        </w:rPr>
        <w:t>乙方公司的售后服务由销售部主管负责，具有一支专业的售后服务维护队伍，具有丰富的安装及维护经验。并配备相应的维修材料，能够在接到用户单位的通知后4小时内赶到指定地点，并在6小时内维修完毕。常规产品在6小时内不能修复的，应免费提供备机或零用供用户单位使用；不能响应的，按合同有关条款处理；合同条款未作约定的，每天扣未修复设备采购金额的0.3%作为违约金。</w:t>
      </w:r>
    </w:p>
    <w:p w14:paraId="1AE0BDD5">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乙方公司愿意无偿为甲方和施工方提供技术服务，上门讲解进行安装和使用技术要求。</w:t>
      </w:r>
    </w:p>
    <w:p w14:paraId="3F03BDEF">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质保期内乙方未履行质保义务或未能实质性解决问题的，甲方有权另请他人维修，所产生的费用由乙方加倍赔偿。质保期满后，若有附件出现问题，则由乙方负责成本价更换。</w:t>
      </w:r>
    </w:p>
    <w:p w14:paraId="2A56050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质保期满后，应甲方要求，乙方以此次招标价格为基准向甲方提供所需配件，配件价格不得高于当时的市场价格。</w:t>
      </w:r>
    </w:p>
    <w:p w14:paraId="5D711BA8">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质量保证期外的售后服务由乙方销售部下的售后服务机构负责，乙方由专人24小时内接听服务电话，并在短时间内反馈给相应的部门。</w:t>
      </w:r>
    </w:p>
    <w:p w14:paraId="7BB08383">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接到甲方故障电话后，乙方立即响应，并在两天之内把甲方急需的材料免运费送到甲方指定地点。</w:t>
      </w:r>
    </w:p>
    <w:p w14:paraId="77BD4E56">
      <w:pPr>
        <w:pStyle w:val="33"/>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乙方为甲方免费提供终身的产品技术支持。</w:t>
      </w:r>
    </w:p>
    <w:p w14:paraId="6B5D498F">
      <w:pPr>
        <w:pStyle w:val="33"/>
        <w:keepNext w:val="0"/>
        <w:keepLines w:val="0"/>
        <w:pageBreakBefore w:val="0"/>
        <w:widowControl w:val="0"/>
        <w:tabs>
          <w:tab w:val="center" w:pos="503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条：质保期</w:t>
      </w:r>
      <w:r>
        <w:rPr>
          <w:rFonts w:hint="eastAsia" w:ascii="仿宋" w:hAnsi="仿宋" w:eastAsia="仿宋" w:cs="仿宋"/>
          <w:b/>
          <w:color w:val="auto"/>
          <w:sz w:val="24"/>
          <w:szCs w:val="24"/>
        </w:rPr>
        <w:tab/>
      </w:r>
    </w:p>
    <w:p w14:paraId="1E324FF8">
      <w:pPr>
        <w:pStyle w:val="33"/>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质保期：</w:t>
      </w:r>
      <w:r>
        <w:rPr>
          <w:rFonts w:hint="eastAsia" w:ascii="仿宋" w:hAnsi="仿宋" w:eastAsia="仿宋" w:cs="仿宋"/>
          <w:snapToGrid w:val="0"/>
          <w:color w:val="auto"/>
          <w:kern w:val="0"/>
          <w:sz w:val="24"/>
          <w:szCs w:val="24"/>
          <w:u w:val="single"/>
        </w:rPr>
        <w:t xml:space="preserve">    </w:t>
      </w:r>
      <w:r>
        <w:rPr>
          <w:rFonts w:hint="eastAsia" w:ascii="仿宋" w:hAnsi="仿宋" w:eastAsia="仿宋" w:cs="仿宋"/>
          <w:snapToGrid w:val="0"/>
          <w:color w:val="auto"/>
          <w:kern w:val="0"/>
          <w:sz w:val="24"/>
          <w:szCs w:val="24"/>
        </w:rPr>
        <w:t>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从收货验收合格之日起计算。</w:t>
      </w:r>
    </w:p>
    <w:p w14:paraId="3E7C7538">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条：验收</w:t>
      </w:r>
    </w:p>
    <w:p w14:paraId="6FE990B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乙方将所供货物运至交货地点后，由甲方当场清点数量。货到后，甲方需在五个工作日内验收数量，签收到货单。该等验收仅确认数量，产品的内在质量以实际使用为准。</w:t>
      </w:r>
    </w:p>
    <w:p w14:paraId="36D3ACC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甲方对乙方提供的货物在使用前进行调试时，乙方需负责安装并培训甲方的使用操作人员，并协助甲方一起调试，直到符合技术要求。</w:t>
      </w:r>
    </w:p>
    <w:p w14:paraId="201B8B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第八条：付款方式</w:t>
      </w:r>
    </w:p>
    <w:p w14:paraId="5AC5886A">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val="en-US" w:eastAsia="zh-CN"/>
        </w:rPr>
        <w:t>乙方</w:t>
      </w:r>
      <w:r>
        <w:rPr>
          <w:rFonts w:hint="eastAsia" w:ascii="仿宋" w:hAnsi="仿宋" w:eastAsia="仿宋" w:cs="仿宋"/>
          <w:b w:val="0"/>
          <w:bCs w:val="0"/>
          <w:color w:val="auto"/>
          <w:sz w:val="24"/>
          <w:szCs w:val="24"/>
        </w:rPr>
        <w:t>按</w:t>
      </w:r>
      <w:r>
        <w:rPr>
          <w:rFonts w:hint="eastAsia" w:ascii="仿宋" w:hAnsi="仿宋" w:eastAsia="仿宋" w:cs="仿宋"/>
          <w:b w:val="0"/>
          <w:bCs w:val="0"/>
          <w:color w:val="auto"/>
          <w:sz w:val="24"/>
          <w:szCs w:val="24"/>
          <w:lang w:val="en-US" w:eastAsia="zh-CN"/>
        </w:rPr>
        <w:t>甲方</w:t>
      </w:r>
      <w:r>
        <w:rPr>
          <w:rFonts w:hint="eastAsia" w:ascii="仿宋" w:hAnsi="仿宋" w:eastAsia="仿宋" w:cs="仿宋"/>
          <w:b w:val="0"/>
          <w:bCs w:val="0"/>
          <w:color w:val="auto"/>
          <w:sz w:val="24"/>
          <w:szCs w:val="24"/>
        </w:rPr>
        <w:t>的采购清单和供货时间供货，并送达指定地点，到货验收后第二个月支付货款100%</w:t>
      </w:r>
      <w:r>
        <w:rPr>
          <w:rFonts w:hint="eastAsia" w:ascii="仿宋" w:hAnsi="仿宋" w:eastAsia="仿宋" w:cs="仿宋"/>
          <w:b w:val="0"/>
          <w:bCs w:val="0"/>
          <w:color w:val="auto"/>
          <w:sz w:val="24"/>
          <w:szCs w:val="24"/>
          <w:lang w:eastAsia="zh-CN"/>
        </w:rPr>
        <w:t>。</w:t>
      </w:r>
    </w:p>
    <w:p w14:paraId="0704D5F7">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第</w:t>
      </w: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条：违约责任</w:t>
      </w:r>
    </w:p>
    <w:p w14:paraId="27981AB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逾期履行合同的，自逾期之日起，向甲方每日偿付未供货款万分之二的违约金；乙方逾期30日不能交货的，违约金按逾期交货货值的万分之五计算，同时不解除乙方应当履行的交货责任，且甲方有权另向他人采购，采购价款与乙方供应价之间的差额由乙方据实赔偿，乙方并应支付该批货物价款30%的违约金；甲方也有权随时解除未交货部分的合同关系，乙方应当按未交货部分的货款总额的30%向甲方支付违约金，因此使甲方造成的损失大于违约金的，乙方还应当据实赔偿。</w:t>
      </w:r>
    </w:p>
    <w:p w14:paraId="049697CF">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2.因甲方原因逾期支付货款的，自逾期之日起，向乙方每日偿付应付款万分之二的违约金；甲方无正当理由拒付货款达三十天的，应向乙方偿付合同应付款万分之五的违约金，同时承担合同付款责任。</w:t>
      </w:r>
    </w:p>
    <w:p w14:paraId="1693EE4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所交的货物品种、型号、规格、技术参数、质量不符合合同规定及招标文件规定标准的，甲方有权拒收该货物，已收货物有权拒付货款，已付货款有权要求乙方退还。乙方愿意更换货物因此导致逾期交货的，按乙方逾期交货处理并计算违约金。乙方拒绝更换货物的，甲方可单方面解除合同。因质量问题出现二次退（换）货的，甲方可单方面解除合同。并要求乙方支付所涉货物之货款总额30%的违约金，因此使甲方造成的损失大于违约金的，乙方还应当据实赔偿。</w:t>
      </w:r>
    </w:p>
    <w:p w14:paraId="656C398E">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w:t>
      </w:r>
      <w:r>
        <w:rPr>
          <w:rFonts w:hint="eastAsia" w:ascii="仿宋" w:hAnsi="仿宋" w:eastAsia="仿宋" w:cs="仿宋"/>
          <w:b/>
          <w:color w:val="auto"/>
          <w:sz w:val="24"/>
          <w:szCs w:val="24"/>
          <w:lang w:val="en-US" w:eastAsia="zh-CN"/>
        </w:rPr>
        <w:t>十</w:t>
      </w:r>
      <w:r>
        <w:rPr>
          <w:rFonts w:hint="eastAsia" w:ascii="仿宋" w:hAnsi="仿宋" w:eastAsia="仿宋" w:cs="仿宋"/>
          <w:b/>
          <w:color w:val="auto"/>
          <w:sz w:val="24"/>
          <w:szCs w:val="24"/>
        </w:rPr>
        <w:t>条：争议的解决</w:t>
      </w:r>
    </w:p>
    <w:p w14:paraId="1DDC51A5">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26A775C2">
      <w:pPr>
        <w:pStyle w:val="17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5ABDC915">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none"/>
          <w:lang w:val="en-US" w:eastAsia="zh-CN"/>
        </w:rPr>
        <w:t>甲方所在地</w:t>
      </w:r>
      <w:r>
        <w:rPr>
          <w:rFonts w:hint="eastAsia" w:ascii="仿宋" w:hAnsi="仿宋" w:eastAsia="仿宋" w:cs="仿宋"/>
          <w:color w:val="auto"/>
          <w:sz w:val="24"/>
          <w:szCs w:val="24"/>
          <w:highlight w:val="none"/>
        </w:rPr>
        <w:t>人民法院起诉。</w:t>
      </w:r>
    </w:p>
    <w:p w14:paraId="66D29AD5">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条：合同有效期</w:t>
      </w:r>
    </w:p>
    <w:p w14:paraId="203B7BA2">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rPr>
        <w:t>自签订协议之日起一年。若遇重大政策调整，则需按政策相应调整，或重新招标。到期未重新招标则本合同顺延到新的招标结果生效且首批供货验收合格入库之日止。</w:t>
      </w:r>
    </w:p>
    <w:p w14:paraId="1F5322B4">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条：合同的生效</w:t>
      </w:r>
    </w:p>
    <w:p w14:paraId="30523D83">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1.本合同经甲方、乙方法定代表人或其委托人签字并加盖双方公章后生效。</w:t>
      </w:r>
    </w:p>
    <w:p w14:paraId="6909C92B">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2.本合同一式四份，甲、乙双方各执二份。</w:t>
      </w:r>
    </w:p>
    <w:p w14:paraId="245734EC">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val="0"/>
          <w:bCs/>
          <w:color w:val="auto"/>
          <w:sz w:val="24"/>
          <w:szCs w:val="24"/>
          <w:lang w:val="en-US" w:eastAsia="zh-CN"/>
        </w:rPr>
        <w:t>3.与本合同有关标书及记录同本合同具有同等法律效果。</w:t>
      </w:r>
    </w:p>
    <w:p w14:paraId="299F76CE">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C1E0690">
      <w:pPr>
        <w:pStyle w:val="33"/>
        <w:keepNext w:val="0"/>
        <w:keepLines w:val="0"/>
        <w:pageBreakBefore w:val="0"/>
        <w:widowControl w:val="0"/>
        <w:kinsoku/>
        <w:wordWrap/>
        <w:overflowPunct/>
        <w:topLinePunct w:val="0"/>
        <w:bidi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p>
    <w:p w14:paraId="5274C866">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甲方：</w:t>
      </w:r>
      <w:r>
        <w:rPr>
          <w:rFonts w:hint="eastAsia" w:ascii="仿宋" w:hAnsi="仿宋" w:eastAsia="仿宋" w:cs="仿宋"/>
          <w:color w:val="auto"/>
          <w:sz w:val="24"/>
          <w:szCs w:val="24"/>
        </w:rPr>
        <w:t>嵊州市广电信息网络有限公司</w:t>
      </w:r>
      <w:r>
        <w:rPr>
          <w:rFonts w:hint="eastAsia" w:ascii="仿宋" w:hAnsi="仿宋" w:eastAsia="仿宋" w:cs="仿宋"/>
          <w:color w:val="auto"/>
          <w:kern w:val="0"/>
          <w:sz w:val="24"/>
          <w:szCs w:val="24"/>
          <w:lang w:val="zh-CN"/>
        </w:rPr>
        <w:t>公司</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b/>
          <w:bCs/>
          <w:color w:val="auto"/>
          <w:sz w:val="24"/>
          <w:szCs w:val="24"/>
        </w:rPr>
        <w:t>乙方</w:t>
      </w:r>
      <w:r>
        <w:rPr>
          <w:rFonts w:hint="eastAsia" w:ascii="仿宋" w:hAnsi="仿宋" w:eastAsia="仿宋" w:cs="仿宋"/>
          <w:b/>
          <w:bCs/>
          <w:color w:val="auto"/>
          <w:sz w:val="24"/>
          <w:szCs w:val="24"/>
          <w:lang w:eastAsia="zh-CN"/>
        </w:rPr>
        <w:t>：</w:t>
      </w:r>
    </w:p>
    <w:p w14:paraId="208EC902">
      <w:pPr>
        <w:pStyle w:val="33"/>
        <w:keepNext w:val="0"/>
        <w:keepLines w:val="0"/>
        <w:pageBreakBefore w:val="0"/>
        <w:widowControl w:val="0"/>
        <w:kinsoku/>
        <w:wordWrap/>
        <w:overflowPunct/>
        <w:topLinePunct w:val="0"/>
        <w:bidi w:val="0"/>
        <w:adjustRightInd w:val="0"/>
        <w:snapToGrid w:val="0"/>
        <w:spacing w:beforeLines="0" w:afterLines="0"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（盖章）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（盖章）</w:t>
      </w:r>
    </w:p>
    <w:p w14:paraId="65D171CC">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法定代表人或受委托（签字）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法定代表人或受委托人（签字） </w:t>
      </w:r>
    </w:p>
    <w:p w14:paraId="48991BBB">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p>
    <w:p w14:paraId="3D3DBCF1">
      <w:pPr>
        <w:pStyle w:val="33"/>
        <w:keepNext w:val="0"/>
        <w:keepLines w:val="0"/>
        <w:pageBreakBefore w:val="0"/>
        <w:widowControl w:val="0"/>
        <w:kinsoku/>
        <w:wordWrap/>
        <w:overflowPunct/>
        <w:topLinePunct w:val="0"/>
        <w:bidi w:val="0"/>
        <w:adjustRightInd w:val="0"/>
        <w:snapToGrid w:val="0"/>
        <w:spacing w:beforeLines="0" w:afterLines="0" w:line="360" w:lineRule="auto"/>
        <w:ind w:left="4799" w:leftChars="228" w:hanging="4320" w:hangingChars="18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地址：嵊州市三江街道杨港路801号       地址：</w:t>
      </w:r>
    </w:p>
    <w:p w14:paraId="441EB90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邮编：                                 邮编：</w:t>
      </w:r>
    </w:p>
    <w:p w14:paraId="4E47CD0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电话：0575-83228318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34BF6090">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 xml:space="preserve">传真：0575-83050205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传真：</w:t>
      </w:r>
    </w:p>
    <w:p w14:paraId="38547548">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开户银行：交通银行嵊州越州支行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p>
    <w:p w14:paraId="319EBAAE">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帐号：291026105018160094764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帐号：</w:t>
      </w:r>
    </w:p>
    <w:p w14:paraId="09FDE0FB">
      <w:pPr>
        <w:pStyle w:val="33"/>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left"/>
        <w:textAlignment w:val="auto"/>
        <w:rPr>
          <w:rFonts w:hAnsi="宋体"/>
          <w:color w:val="auto"/>
        </w:rPr>
      </w:pPr>
      <w:r>
        <w:rPr>
          <w:rFonts w:hint="eastAsia" w:ascii="仿宋" w:hAnsi="仿宋" w:eastAsia="仿宋" w:cs="仿宋"/>
          <w:color w:val="auto"/>
          <w:sz w:val="24"/>
          <w:szCs w:val="24"/>
        </w:rPr>
        <w:t xml:space="preserve">签约地点：   嵊州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日期：2</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3D26DE2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p>
    <w:p w14:paraId="37F84EB7">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63"/>
    <w:bookmarkEnd w:id="64"/>
    <w:bookmarkEnd w:id="76"/>
    <w:bookmarkEnd w:id="77"/>
    <w:p w14:paraId="00FCDF6D">
      <w:pPr>
        <w:spacing w:line="336" w:lineRule="auto"/>
        <w:jc w:val="center"/>
        <w:rPr>
          <w:rFonts w:ascii="仿宋" w:hAnsi="仿宋" w:eastAsia="仿宋" w:cs="仿宋"/>
          <w:b/>
          <w:color w:val="auto"/>
          <w:kern w:val="0"/>
          <w:sz w:val="24"/>
        </w:rPr>
      </w:pPr>
      <w:bookmarkStart w:id="78" w:name="第四部分"/>
      <w:r>
        <w:rPr>
          <w:rFonts w:hint="eastAsia" w:ascii="仿宋" w:hAnsi="仿宋" w:eastAsia="仿宋" w:cs="仿宋"/>
          <w:b/>
          <w:color w:val="auto"/>
          <w:sz w:val="36"/>
          <w:szCs w:val="20"/>
        </w:rPr>
        <w:t>第六部分</w:t>
      </w:r>
      <w:r>
        <w:rPr>
          <w:rFonts w:ascii="仿宋" w:hAnsi="仿宋" w:eastAsia="仿宋" w:cs="仿宋"/>
          <w:b/>
          <w:color w:val="auto"/>
          <w:sz w:val="36"/>
          <w:szCs w:val="20"/>
        </w:rPr>
        <w:t xml:space="preserve"> 磋商响应文件及其附件格式</w:t>
      </w:r>
    </w:p>
    <w:p w14:paraId="37628A9B">
      <w:pPr>
        <w:pStyle w:val="74"/>
        <w:spacing w:line="336" w:lineRule="auto"/>
        <w:ind w:left="0"/>
        <w:rPr>
          <w:rFonts w:ascii="仿宋" w:hAnsi="仿宋" w:eastAsia="仿宋" w:cs="仿宋"/>
          <w:b/>
          <w:color w:val="auto"/>
          <w:sz w:val="24"/>
        </w:rPr>
      </w:pPr>
    </w:p>
    <w:p w14:paraId="3F814081">
      <w:pPr>
        <w:spacing w:line="336" w:lineRule="auto"/>
        <w:rPr>
          <w:rFonts w:ascii="仿宋" w:hAnsi="仿宋" w:eastAsia="仿宋" w:cs="仿宋"/>
          <w:b/>
          <w:color w:val="auto"/>
          <w:kern w:val="0"/>
          <w:sz w:val="24"/>
        </w:rPr>
      </w:pPr>
    </w:p>
    <w:p w14:paraId="122DF24D">
      <w:pPr>
        <w:pStyle w:val="73"/>
        <w:spacing w:line="336" w:lineRule="auto"/>
        <w:rPr>
          <w:rFonts w:ascii="仿宋" w:hAnsi="仿宋" w:eastAsia="仿宋" w:cs="仿宋"/>
          <w:color w:val="auto"/>
        </w:rPr>
      </w:pPr>
    </w:p>
    <w:bookmarkEnd w:id="78"/>
    <w:p w14:paraId="423B0CD3">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E054200">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95B35E7">
      <w:pPr>
        <w:spacing w:line="336" w:lineRule="auto"/>
        <w:jc w:val="center"/>
        <w:outlineLvl w:val="0"/>
        <w:rPr>
          <w:rFonts w:ascii="仿宋" w:hAnsi="仿宋" w:eastAsia="仿宋" w:cs="仿宋"/>
          <w:b/>
          <w:color w:val="auto"/>
          <w:kern w:val="0"/>
          <w:sz w:val="36"/>
          <w:szCs w:val="36"/>
        </w:rPr>
      </w:pPr>
    </w:p>
    <w:p w14:paraId="79CCDBB5">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hAnsi="仿宋" w:eastAsia="仿宋" w:cs="仿宋"/>
          <w:color w:val="auto"/>
          <w:sz w:val="24"/>
          <w:szCs w:val="24"/>
        </w:rPr>
        <w:t>……………………………………………………………………（页码）</w:t>
      </w:r>
    </w:p>
    <w:p w14:paraId="568DE17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rPr>
        <w:t>…………………………………………………………（页码）</w:t>
      </w:r>
    </w:p>
    <w:p w14:paraId="56B28151">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……………………（页码）</w:t>
      </w:r>
    </w:p>
    <w:p w14:paraId="65697584">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符合参加采购活动应当具备的一般条件的承诺函</w:t>
      </w:r>
      <w:r>
        <w:rPr>
          <w:rFonts w:hint="eastAsia" w:ascii="仿宋" w:hAnsi="仿宋" w:eastAsia="仿宋" w:cs="仿宋"/>
          <w:color w:val="auto"/>
          <w:sz w:val="24"/>
          <w:szCs w:val="24"/>
        </w:rPr>
        <w:t>……………………………（页码）</w:t>
      </w:r>
    </w:p>
    <w:p w14:paraId="75C18560">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自采购公告发布之日起至磋商响应文件递交截止日内任意时间的“信用中国”网站（www.creditchina.gov.cn）、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核实的查询结果为准…（页码）</w:t>
      </w:r>
    </w:p>
    <w:p w14:paraId="647F1BC6">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szCs w:val="24"/>
        </w:rPr>
        <w:t>………………………………………………（页码）</w:t>
      </w:r>
    </w:p>
    <w:p w14:paraId="1C275CDA">
      <w:pPr>
        <w:pStyle w:val="119"/>
        <w:keepNext w:val="0"/>
        <w:pageBreakBefore w:val="0"/>
        <w:tabs>
          <w:tab w:val="clear" w:pos="720"/>
        </w:tabs>
        <w:spacing w:line="336" w:lineRule="auto"/>
        <w:jc w:val="both"/>
        <w:outlineLvl w:val="9"/>
        <w:rPr>
          <w:rFonts w:hint="eastAsia" w:ascii="仿宋" w:hAnsi="仿宋" w:eastAsia="仿宋" w:cs="仿宋"/>
          <w:b/>
          <w:bCs/>
          <w:color w:val="auto"/>
          <w:sz w:val="22"/>
          <w:szCs w:val="22"/>
          <w:highlight w:val="none"/>
          <w:lang w:val="en-US" w:eastAsia="zh-CN"/>
        </w:rPr>
      </w:pPr>
    </w:p>
    <w:p w14:paraId="0B4401A1">
      <w:pPr>
        <w:pStyle w:val="119"/>
        <w:keepNext w:val="0"/>
        <w:pageBreakBefore w:val="0"/>
        <w:tabs>
          <w:tab w:val="clear" w:pos="720"/>
        </w:tabs>
        <w:spacing w:line="336" w:lineRule="auto"/>
        <w:jc w:val="both"/>
        <w:outlineLvl w:val="9"/>
        <w:rPr>
          <w:rFonts w:ascii="仿宋" w:hAnsi="仿宋" w:eastAsia="仿宋" w:cs="仿宋"/>
          <w:color w:val="auto"/>
          <w:szCs w:val="36"/>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4"/>
          <w:szCs w:val="24"/>
          <w:highlight w:val="none"/>
          <w:lang w:eastAsia="zh-CN"/>
        </w:rPr>
        <w:fldChar w:fldCharType="separate"/>
      </w:r>
      <w:r>
        <w:rPr>
          <w:rStyle w:val="69"/>
          <w:rFonts w:hint="eastAsia" w:ascii="仿宋" w:hAnsi="仿宋" w:eastAsia="仿宋" w:cs="仿宋"/>
          <w:b/>
          <w:bCs/>
          <w:color w:val="auto"/>
          <w:sz w:val="24"/>
          <w:szCs w:val="24"/>
          <w:highlight w:val="none"/>
          <w:lang w:eastAsia="zh-CN"/>
        </w:rPr>
        <w:t>在电子</w:t>
      </w:r>
      <w:r>
        <w:rPr>
          <w:rStyle w:val="69"/>
          <w:rFonts w:hint="eastAsia" w:ascii="仿宋" w:hAnsi="仿宋" w:eastAsia="仿宋" w:cs="仿宋"/>
          <w:b/>
          <w:bCs/>
          <w:color w:val="auto"/>
          <w:sz w:val="24"/>
          <w:szCs w:val="24"/>
          <w:highlight w:val="none"/>
          <w:lang w:val="en-US" w:eastAsia="zh-CN"/>
        </w:rPr>
        <w:t>响应</w:t>
      </w:r>
      <w:r>
        <w:rPr>
          <w:rStyle w:val="69"/>
          <w:rFonts w:hint="eastAsia" w:ascii="仿宋" w:hAnsi="仿宋" w:eastAsia="仿宋" w:cs="仿宋"/>
          <w:b/>
          <w:bCs/>
          <w:color w:val="auto"/>
          <w:sz w:val="24"/>
          <w:szCs w:val="24"/>
          <w:highlight w:val="none"/>
          <w:lang w:eastAsia="zh-CN"/>
        </w:rPr>
        <w:t>文件解密后，</w:t>
      </w:r>
      <w:r>
        <w:rPr>
          <w:rStyle w:val="69"/>
          <w:rFonts w:hint="eastAsia" w:ascii="仿宋" w:hAnsi="仿宋" w:eastAsia="仿宋" w:cs="仿宋"/>
          <w:b/>
          <w:bCs/>
          <w:color w:val="auto"/>
          <w:sz w:val="24"/>
          <w:szCs w:val="24"/>
          <w:highlight w:val="none"/>
          <w:lang w:val="en-US" w:eastAsia="zh-CN"/>
        </w:rPr>
        <w:t>结合单位实际情况</w:t>
      </w:r>
      <w:r>
        <w:rPr>
          <w:rStyle w:val="69"/>
          <w:rFonts w:hint="eastAsia" w:ascii="仿宋" w:hAnsi="仿宋" w:eastAsia="仿宋" w:cs="仿宋"/>
          <w:b/>
          <w:bCs/>
          <w:color w:val="auto"/>
          <w:sz w:val="24"/>
          <w:szCs w:val="24"/>
          <w:highlight w:val="none"/>
          <w:lang w:eastAsia="zh-CN"/>
        </w:rPr>
        <w:t>将《政企采购活动现场确认声明书》填写完成</w:t>
      </w:r>
      <w:r>
        <w:rPr>
          <w:rStyle w:val="69"/>
          <w:rFonts w:hint="eastAsia" w:ascii="仿宋" w:hAnsi="仿宋" w:eastAsia="仿宋" w:cs="仿宋"/>
          <w:b/>
          <w:bCs/>
          <w:color w:val="auto"/>
          <w:sz w:val="24"/>
          <w:szCs w:val="24"/>
          <w:highlight w:val="none"/>
          <w:lang w:val="en-US" w:eastAsia="zh-CN"/>
        </w:rPr>
        <w:t>后</w:t>
      </w:r>
      <w:r>
        <w:rPr>
          <w:rStyle w:val="69"/>
          <w:rFonts w:hint="eastAsia" w:ascii="仿宋" w:hAnsi="仿宋" w:eastAsia="仿宋" w:cs="仿宋"/>
          <w:b/>
          <w:bCs/>
          <w:color w:val="auto"/>
          <w:sz w:val="24"/>
          <w:szCs w:val="24"/>
          <w:highlight w:val="none"/>
          <w:lang w:eastAsia="zh-CN"/>
        </w:rPr>
        <w:t>通过邮箱1132452991@qq.com传给代理</w:t>
      </w:r>
      <w:r>
        <w:rPr>
          <w:rFonts w:hint="eastAsia" w:ascii="仿宋" w:hAnsi="仿宋" w:eastAsia="仿宋" w:cs="仿宋"/>
          <w:b/>
          <w:bCs/>
          <w:color w:val="auto"/>
          <w:sz w:val="24"/>
          <w:szCs w:val="24"/>
          <w:highlight w:val="none"/>
          <w:lang w:val="en-US" w:eastAsia="zh-CN"/>
        </w:rPr>
        <w:t>机构</w:t>
      </w:r>
      <w:r>
        <w:rPr>
          <w:rFonts w:hint="eastAsia" w:ascii="仿宋" w:hAnsi="仿宋" w:eastAsia="仿宋" w:cs="仿宋"/>
          <w:b/>
          <w:bCs/>
          <w:color w:val="auto"/>
          <w:sz w:val="24"/>
          <w:szCs w:val="24"/>
          <w:highlight w:val="none"/>
          <w:lang w:eastAsia="zh-CN"/>
        </w:rPr>
        <w:fldChar w:fldCharType="end"/>
      </w:r>
      <w:r>
        <w:rPr>
          <w:rFonts w:hint="eastAsia" w:ascii="仿宋" w:hAnsi="仿宋" w:eastAsia="仿宋" w:cs="仿宋"/>
          <w:b/>
          <w:bCs/>
          <w:color w:val="auto"/>
          <w:sz w:val="24"/>
          <w:szCs w:val="24"/>
          <w:highlight w:val="none"/>
          <w:lang w:eastAsia="zh-CN"/>
        </w:rPr>
        <w:t>。</w:t>
      </w:r>
      <w:r>
        <w:rPr>
          <w:rFonts w:ascii="仿宋" w:hAnsi="仿宋" w:eastAsia="仿宋" w:cs="仿宋"/>
          <w:color w:val="auto"/>
          <w:szCs w:val="36"/>
        </w:rPr>
        <w:br w:type="page"/>
      </w:r>
    </w:p>
    <w:p w14:paraId="48A35EB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一、营业执照(或事业法人登记证书或其他工商等登记证明材料；自然人参与采购，提供身份证)扫描件</w:t>
      </w:r>
    </w:p>
    <w:p w14:paraId="1CB8D2CB">
      <w:pPr>
        <w:snapToGrid w:val="0"/>
        <w:spacing w:line="360" w:lineRule="auto"/>
        <w:ind w:right="480"/>
        <w:jc w:val="center"/>
        <w:rPr>
          <w:rFonts w:hint="eastAsia" w:ascii="仿宋" w:hAnsi="仿宋" w:eastAsia="仿宋" w:cs="仿宋"/>
          <w:b/>
          <w:color w:val="auto"/>
          <w:kern w:val="0"/>
          <w:sz w:val="32"/>
          <w:szCs w:val="32"/>
          <w:lang w:val="en-US" w:eastAsia="zh-CN"/>
        </w:rPr>
      </w:pPr>
    </w:p>
    <w:p w14:paraId="596C8B24">
      <w:pPr>
        <w:snapToGrid w:val="0"/>
        <w:spacing w:line="360" w:lineRule="auto"/>
        <w:ind w:right="480"/>
        <w:jc w:val="center"/>
        <w:rPr>
          <w:rFonts w:hint="eastAsia" w:ascii="仿宋" w:hAnsi="仿宋" w:eastAsia="仿宋" w:cs="仿宋"/>
          <w:b/>
          <w:color w:val="auto"/>
          <w:kern w:val="0"/>
          <w:sz w:val="32"/>
          <w:szCs w:val="32"/>
          <w:lang w:val="en-US" w:eastAsia="zh-CN"/>
        </w:rPr>
      </w:pPr>
    </w:p>
    <w:p w14:paraId="1FCDBF4B">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522E1A3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2415C98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7C83AEBE">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4969E8A">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42DAB0D3">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BAF255C">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966031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B63F6D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656669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7611CD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p>
    <w:p w14:paraId="48A668E5">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附：法人身份证复印件（正反面）</w:t>
      </w:r>
    </w:p>
    <w:p w14:paraId="4CA7BFD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7120ED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1F8959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2340BF3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864003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73FC3A49">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4BCC8C4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94A971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6C528DCB">
      <w:pPr>
        <w:pStyle w:val="119"/>
        <w:keepNext w:val="0"/>
        <w:pageBreakBefore w:val="0"/>
        <w:tabs>
          <w:tab w:val="clear" w:pos="720"/>
        </w:tabs>
        <w:spacing w:line="336" w:lineRule="auto"/>
        <w:jc w:val="center"/>
        <w:outlineLvl w:val="9"/>
        <w:rPr>
          <w:rFonts w:ascii="仿宋" w:hAnsi="仿宋" w:eastAsia="仿宋" w:cs="仿宋"/>
          <w:color w:val="auto"/>
          <w:szCs w:val="36"/>
        </w:rPr>
      </w:pPr>
    </w:p>
    <w:p w14:paraId="1A042516">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7847FDFB">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三、法定代表人授权委托书及授权代表社保证明（若委托）</w:t>
      </w:r>
    </w:p>
    <w:p w14:paraId="51E22C5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1D0DF20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5675ED0">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3D323C5">
      <w:pPr>
        <w:snapToGrid w:val="0"/>
        <w:spacing w:line="600" w:lineRule="exact"/>
        <w:jc w:val="left"/>
        <w:rPr>
          <w:rFonts w:hint="eastAsia" w:ascii="仿宋" w:hAnsi="仿宋" w:eastAsia="仿宋" w:cs="仿宋"/>
          <w:color w:val="auto"/>
          <w:sz w:val="24"/>
        </w:rPr>
      </w:pPr>
    </w:p>
    <w:p w14:paraId="1EFAE3A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FE51A5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79AA4D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189251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0F552B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4EF4D39A">
      <w:pPr>
        <w:spacing w:line="360" w:lineRule="exact"/>
        <w:rPr>
          <w:rFonts w:hint="eastAsia" w:ascii="仿宋" w:hAnsi="仿宋" w:eastAsia="仿宋" w:cs="仿宋"/>
          <w:color w:val="auto"/>
          <w:sz w:val="24"/>
          <w:highlight w:val="none"/>
        </w:rPr>
      </w:pPr>
    </w:p>
    <w:p w14:paraId="29AC988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1C5FB00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01EE96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2E1F3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514B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0313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A7EAD3B">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bCs w:val="0"/>
          <w:color w:val="auto"/>
          <w:kern w:val="0"/>
          <w:sz w:val="24"/>
          <w:szCs w:val="24"/>
          <w:highlight w:val="none"/>
          <w:lang w:val="en-US" w:eastAsia="zh-CN"/>
        </w:rPr>
      </w:pPr>
    </w:p>
    <w:p w14:paraId="0545CCA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E48F221">
      <w:pPr>
        <w:pStyle w:val="119"/>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lang w:val="en-US" w:eastAsia="zh-CN"/>
        </w:rPr>
        <w:t>四</w:t>
      </w:r>
      <w:r>
        <w:rPr>
          <w:rFonts w:hint="eastAsia" w:ascii="仿宋" w:hAnsi="仿宋" w:eastAsia="仿宋" w:cs="仿宋"/>
          <w:color w:val="auto"/>
          <w:kern w:val="0"/>
          <w:sz w:val="32"/>
          <w:szCs w:val="32"/>
        </w:rPr>
        <w:t>、符合参加采购活动应当具备的一般条件的承诺函</w:t>
      </w:r>
    </w:p>
    <w:p w14:paraId="2E15C7CF">
      <w:pPr>
        <w:snapToGrid w:val="0"/>
        <w:spacing w:line="336" w:lineRule="auto"/>
        <w:rPr>
          <w:rFonts w:ascii="仿宋" w:hAnsi="仿宋" w:eastAsia="仿宋" w:cs="仿宋"/>
          <w:color w:val="auto"/>
          <w:sz w:val="24"/>
        </w:rPr>
      </w:pP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r>
        <w:rPr>
          <w:rFonts w:hint="eastAsia" w:ascii="仿宋" w:hAnsi="仿宋" w:eastAsia="仿宋" w:cs="仿宋"/>
          <w:color w:val="auto"/>
          <w:sz w:val="24"/>
        </w:rPr>
        <w:t>：</w:t>
      </w:r>
    </w:p>
    <w:p w14:paraId="45673726">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嵊州市广电信息网络有限公司电源电缆采购项目（</w:t>
      </w:r>
      <w:r>
        <w:rPr>
          <w:rFonts w:hint="eastAsia" w:ascii="仿宋" w:hAnsi="仿宋" w:eastAsia="仿宋" w:cs="仿宋"/>
          <w:color w:val="auto"/>
          <w:kern w:val="0"/>
          <w:sz w:val="24"/>
          <w:lang w:val="zh-CN"/>
        </w:rPr>
        <w:t>项目编号：SXPZ-H20241111CKY</w:t>
      </w:r>
      <w:r>
        <w:rPr>
          <w:rFonts w:hint="eastAsia" w:ascii="仿宋" w:hAnsi="仿宋" w:eastAsia="仿宋" w:cs="仿宋"/>
          <w:color w:val="auto"/>
          <w:sz w:val="24"/>
          <w:lang w:eastAsia="zh-CN"/>
        </w:rPr>
        <w:t>）</w:t>
      </w:r>
      <w:r>
        <w:rPr>
          <w:rFonts w:hint="eastAsia" w:ascii="仿宋" w:hAnsi="仿宋" w:eastAsia="仿宋" w:cs="仿宋"/>
          <w:color w:val="auto"/>
          <w:sz w:val="24"/>
        </w:rPr>
        <w:t>采购活动，郑重承诺：</w:t>
      </w:r>
    </w:p>
    <w:p w14:paraId="148E2FC1">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7FC481DA">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467C4956">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2.具有良好的商业信誉；</w:t>
      </w:r>
    </w:p>
    <w:p w14:paraId="5E80EDBB">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130F053C">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4036D3D8">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4FDD87A4">
      <w:pPr>
        <w:snapToGrid w:val="0"/>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6.法律、行政法规规定的其他条件</w:t>
      </w:r>
      <w:r>
        <w:rPr>
          <w:rFonts w:hint="eastAsia" w:ascii="仿宋" w:hAnsi="仿宋" w:eastAsia="仿宋" w:cs="仿宋"/>
          <w:color w:val="auto"/>
          <w:kern w:val="0"/>
          <w:sz w:val="24"/>
          <w:lang w:eastAsia="zh-CN"/>
        </w:rPr>
        <w:t>。</w:t>
      </w:r>
    </w:p>
    <w:p w14:paraId="61B8A9DA">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如供应商为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2AE4431">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6454467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192B7C55">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1、单位负责人为同一人或者存在直接控股、管理关系的不同供应商参加同一合同项下的采购活动的；</w:t>
      </w:r>
    </w:p>
    <w:p w14:paraId="74B77942">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0E0CE86E">
      <w:pPr>
        <w:keepNext w:val="0"/>
        <w:keepLines w:val="0"/>
        <w:pageBreakBefore w:val="0"/>
        <w:widowControl w:val="0"/>
        <w:kinsoku/>
        <w:wordWrap/>
        <w:overflowPunct/>
        <w:topLinePunct w:val="0"/>
        <w:autoSpaceDE/>
        <w:autoSpaceDN/>
        <w:bidi w:val="0"/>
        <w:adjustRightInd w:val="0"/>
        <w:snapToGrid/>
        <w:spacing w:before="313" w:beforeLines="100" w:line="336" w:lineRule="auto"/>
        <w:jc w:val="right"/>
        <w:textAlignment w:val="auto"/>
        <w:rPr>
          <w:rFonts w:ascii="仿宋" w:hAnsi="仿宋" w:eastAsia="仿宋" w:cs="仿宋"/>
          <w:color w:val="auto"/>
          <w:sz w:val="24"/>
        </w:rPr>
      </w:pPr>
      <w:r>
        <w:rPr>
          <w:rFonts w:hint="eastAsia" w:ascii="仿宋" w:hAnsi="仿宋" w:eastAsia="仿宋" w:cs="仿宋"/>
          <w:color w:val="auto"/>
          <w:sz w:val="24"/>
        </w:rPr>
        <w:t>供应商名称（电子签名）：</w:t>
      </w:r>
    </w:p>
    <w:p w14:paraId="1A97975F">
      <w:pPr>
        <w:spacing w:line="336" w:lineRule="auto"/>
        <w:jc w:val="right"/>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highlight w:val="none"/>
        </w:rPr>
        <w:t xml:space="preserve">    年   月   日</w:t>
      </w:r>
    </w:p>
    <w:p w14:paraId="1779A9C3">
      <w:pPr>
        <w:snapToGrid w:val="0"/>
        <w:spacing w:line="336" w:lineRule="auto"/>
        <w:jc w:val="center"/>
        <w:rPr>
          <w:rFonts w:ascii="仿宋" w:hAnsi="仿宋" w:eastAsia="仿宋" w:cs="仿宋"/>
          <w:b/>
          <w:color w:val="auto"/>
          <w:kern w:val="0"/>
          <w:sz w:val="32"/>
          <w:szCs w:val="32"/>
        </w:rPr>
      </w:pPr>
    </w:p>
    <w:p w14:paraId="1925CF06">
      <w:pPr>
        <w:widowControl/>
        <w:adjustRightInd/>
        <w:spacing w:line="336" w:lineRule="auto"/>
        <w:jc w:val="left"/>
        <w:rPr>
          <w:rFonts w:ascii="仿宋" w:hAnsi="仿宋" w:eastAsia="仿宋" w:cs="仿宋"/>
          <w:b/>
          <w:color w:val="auto"/>
          <w:sz w:val="32"/>
          <w:szCs w:val="32"/>
        </w:rPr>
      </w:pPr>
      <w:r>
        <w:rPr>
          <w:rFonts w:ascii="仿宋" w:hAnsi="仿宋" w:eastAsia="仿宋" w:cs="仿宋"/>
          <w:b/>
          <w:color w:val="auto"/>
          <w:sz w:val="32"/>
          <w:szCs w:val="32"/>
        </w:rPr>
        <w:br w:type="page"/>
      </w:r>
    </w:p>
    <w:p w14:paraId="742EC741">
      <w:pPr>
        <w:spacing w:line="336"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五、采购公告发布之日起至磋商响应文件递交截止日内任意时间的“信用中国”和“中国政府采购网”响应方信用查询网页截图</w:t>
      </w:r>
    </w:p>
    <w:p w14:paraId="27142D25">
      <w:pPr>
        <w:jc w:val="center"/>
        <w:rPr>
          <w:rFonts w:ascii="仿宋" w:hAnsi="仿宋" w:eastAsia="仿宋" w:cs="仿宋"/>
          <w:color w:val="auto"/>
          <w:sz w:val="24"/>
          <w:szCs w:val="24"/>
        </w:rPr>
      </w:pPr>
      <w:r>
        <w:rPr>
          <w:rFonts w:hint="eastAsia" w:ascii="仿宋" w:hAnsi="仿宋" w:eastAsia="仿宋" w:cs="仿宋"/>
          <w:color w:val="auto"/>
          <w:sz w:val="24"/>
          <w:szCs w:val="24"/>
        </w:rPr>
        <w:t>www.creditchina.gov.cn</w:t>
      </w:r>
      <w:r>
        <w:rPr>
          <w:rFonts w:hint="eastAsia" w:ascii="仿宋" w:hAnsi="仿宋" w:eastAsia="仿宋" w:cs="仿宋"/>
          <w:color w:val="auto"/>
          <w:sz w:val="24"/>
          <w:szCs w:val="24"/>
          <w:lang w:bidi="ar"/>
        </w:rPr>
        <w:t>截图示例</w:t>
      </w:r>
    </w:p>
    <w:p w14:paraId="41365915">
      <w:pPr>
        <w:snapToGrid w:val="0"/>
        <w:spacing w:line="72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705350" cy="3422015"/>
            <wp:effectExtent l="0" t="0" r="0" b="6985"/>
            <wp:docPr id="3" name="图片 3" descr="C:/Users/12/Desktop/信用中国.jpg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Desktop/信用中国.jpg信用中国"/>
                    <pic:cNvPicPr>
                      <a:picLocks noChangeAspect="1"/>
                    </pic:cNvPicPr>
                  </pic:nvPicPr>
                  <pic:blipFill>
                    <a:blip r:embed="rId16"/>
                    <a:srcRect l="2505" r="2505"/>
                    <a:stretch>
                      <a:fillRect/>
                    </a:stretch>
                  </pic:blipFill>
                  <pic:spPr>
                    <a:xfrm>
                      <a:off x="0" y="0"/>
                      <a:ext cx="4705350" cy="3422015"/>
                    </a:xfrm>
                    <a:prstGeom prst="rect">
                      <a:avLst/>
                    </a:prstGeom>
                  </pic:spPr>
                </pic:pic>
              </a:graphicData>
            </a:graphic>
          </wp:inline>
        </w:drawing>
      </w:r>
    </w:p>
    <w:p w14:paraId="61BD4400">
      <w:pPr>
        <w:snapToGrid w:val="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lang w:bidi="ar"/>
        </w:rPr>
        <w:t>www.ccgp.gov.cn截图示例</w:t>
      </w:r>
    </w:p>
    <w:p w14:paraId="7BFA5845">
      <w:pPr>
        <w:spacing w:line="336"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drawing>
          <wp:inline distT="0" distB="0" distL="114300" distR="114300">
            <wp:extent cx="4933950" cy="3037205"/>
            <wp:effectExtent l="0" t="0" r="0" b="10795"/>
            <wp:docPr id="5" name="图片 5" descr="C:/Users/12/Desktop/中国政府采购网.jpg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2/Desktop/中国政府采购网.jpg中国政府采购网"/>
                    <pic:cNvPicPr>
                      <a:picLocks noChangeAspect="1"/>
                    </pic:cNvPicPr>
                  </pic:nvPicPr>
                  <pic:blipFill>
                    <a:blip r:embed="rId17"/>
                    <a:srcRect t="5129" b="5129"/>
                    <a:stretch>
                      <a:fillRect/>
                    </a:stretch>
                  </pic:blipFill>
                  <pic:spPr>
                    <a:xfrm>
                      <a:off x="0" y="0"/>
                      <a:ext cx="4933950" cy="3037205"/>
                    </a:xfrm>
                    <a:prstGeom prst="rect">
                      <a:avLst/>
                    </a:prstGeom>
                  </pic:spPr>
                </pic:pic>
              </a:graphicData>
            </a:graphic>
          </wp:inline>
        </w:drawing>
      </w:r>
    </w:p>
    <w:p w14:paraId="5F8B9C4A">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若有</w:t>
      </w:r>
      <w:r>
        <w:rPr>
          <w:rFonts w:hint="eastAsia" w:ascii="仿宋" w:hAnsi="仿宋" w:eastAsia="仿宋" w:cs="仿宋"/>
          <w:b/>
          <w:color w:val="auto"/>
          <w:kern w:val="0"/>
          <w:sz w:val="32"/>
          <w:szCs w:val="32"/>
          <w:highlight w:val="none"/>
          <w:lang w:eastAsia="zh-CN"/>
        </w:rPr>
        <w:t>）</w:t>
      </w:r>
    </w:p>
    <w:p w14:paraId="7B3AE9AA">
      <w:pPr>
        <w:spacing w:line="336"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4"/>
          <w:highlight w:val="none"/>
        </w:rPr>
        <w:t>（根据招标公告本项目的特定资格要求提供相应的材料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若未要求的则无须提供</w:t>
      </w:r>
      <w:r>
        <w:rPr>
          <w:rFonts w:hint="eastAsia" w:ascii="仿宋" w:hAnsi="仿宋" w:eastAsia="仿宋" w:cs="仿宋"/>
          <w:b/>
          <w:bCs/>
          <w:color w:val="auto"/>
          <w:sz w:val="24"/>
          <w:highlight w:val="none"/>
        </w:rPr>
        <w:t>）</w:t>
      </w:r>
    </w:p>
    <w:p w14:paraId="6124E379">
      <w:pPr>
        <w:spacing w:line="336" w:lineRule="auto"/>
        <w:jc w:val="center"/>
        <w:rPr>
          <w:rFonts w:hint="eastAsia" w:ascii="仿宋" w:hAnsi="仿宋" w:eastAsia="仿宋" w:cs="仿宋"/>
          <w:b/>
          <w:bCs/>
          <w:color w:val="auto"/>
          <w:sz w:val="28"/>
          <w:szCs w:val="28"/>
        </w:rPr>
      </w:pPr>
    </w:p>
    <w:p w14:paraId="3EB2AC2A">
      <w:pPr>
        <w:spacing w:line="336" w:lineRule="auto"/>
        <w:jc w:val="center"/>
        <w:rPr>
          <w:rFonts w:hint="eastAsia" w:ascii="仿宋" w:hAnsi="仿宋" w:eastAsia="仿宋" w:cs="仿宋"/>
          <w:b/>
          <w:bCs/>
          <w:color w:val="auto"/>
          <w:sz w:val="28"/>
          <w:szCs w:val="28"/>
        </w:rPr>
      </w:pPr>
    </w:p>
    <w:p w14:paraId="24BDFEF0">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60AC5B65">
      <w:pPr>
        <w:spacing w:line="336"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政企采购活动现场确认声明书</w:t>
      </w:r>
    </w:p>
    <w:p w14:paraId="276584B6">
      <w:pPr>
        <w:pStyle w:val="636"/>
        <w:widowControl w:val="0"/>
        <w:snapToGrid w:val="0"/>
        <w:spacing w:line="440" w:lineRule="exact"/>
        <w:jc w:val="both"/>
        <w:rPr>
          <w:rFonts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绍兴平准招标代理有限公司</w:t>
      </w:r>
      <w:r>
        <w:rPr>
          <w:rFonts w:hint="eastAsia" w:ascii="仿宋" w:hAnsi="仿宋" w:eastAsia="仿宋" w:cs="仿宋"/>
          <w:color w:val="auto"/>
          <w:kern w:val="0"/>
          <w:sz w:val="24"/>
          <w:szCs w:val="24"/>
        </w:rPr>
        <w:t>：</w:t>
      </w:r>
    </w:p>
    <w:p w14:paraId="7E12951B">
      <w:pPr>
        <w:pStyle w:val="636"/>
        <w:widowControl w:val="0"/>
        <w:snapToGrid w:val="0"/>
        <w:spacing w:line="440" w:lineRule="exact"/>
        <w:ind w:firstLine="504" w:firstLineChars="200"/>
        <w:jc w:val="both"/>
        <w:rPr>
          <w:rFonts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 xml:space="preserve">合法授权参加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BA4FEF3">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853D28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79AE151">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68654B7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BF47D0B">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23E57A9">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14:paraId="5164859D">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75D8460">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3C0C840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0D618EE">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4C8F3F33">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DDB1E73">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2139E608">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6B943556">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BD56E9D">
      <w:pPr>
        <w:pStyle w:val="636"/>
        <w:widowControl w:val="0"/>
        <w:snapToGrid w:val="0"/>
        <w:spacing w:line="440" w:lineRule="exact"/>
        <w:jc w:val="both"/>
        <w:rPr>
          <w:rFonts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7E101B84">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976C1A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46F01FFC">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233725BC">
      <w:pPr>
        <w:jc w:val="right"/>
        <w:rPr>
          <w:rFonts w:ascii="仿宋" w:hAnsi="仿宋" w:eastAsia="仿宋" w:cs="仿宋"/>
          <w:color w:val="auto"/>
          <w:sz w:val="24"/>
          <w:szCs w:val="24"/>
        </w:rPr>
      </w:pPr>
    </w:p>
    <w:p w14:paraId="01D81DB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（供应商代表签名）                                </w:t>
      </w:r>
    </w:p>
    <w:p w14:paraId="14852FF4">
      <w:pPr>
        <w:spacing w:line="336" w:lineRule="auto"/>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年  月   日</w:t>
      </w:r>
    </w:p>
    <w:p w14:paraId="509B933C">
      <w:pPr>
        <w:spacing w:line="336" w:lineRule="auto"/>
        <w:jc w:val="center"/>
        <w:rPr>
          <w:rFonts w:hint="eastAsia" w:ascii="仿宋" w:hAnsi="仿宋" w:eastAsia="仿宋" w:cs="仿宋"/>
          <w:b/>
          <w:color w:val="auto"/>
          <w:kern w:val="0"/>
          <w:sz w:val="32"/>
          <w:szCs w:val="32"/>
        </w:rPr>
      </w:pPr>
    </w:p>
    <w:p w14:paraId="3B8E61DD">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0CA3D4A3">
      <w:pPr>
        <w:spacing w:line="336" w:lineRule="auto"/>
        <w:jc w:val="center"/>
        <w:outlineLvl w:val="0"/>
        <w:rPr>
          <w:rFonts w:ascii="仿宋" w:hAnsi="仿宋" w:eastAsia="仿宋" w:cs="仿宋"/>
          <w:b/>
          <w:color w:val="auto"/>
          <w:kern w:val="0"/>
          <w:sz w:val="24"/>
        </w:rPr>
      </w:pPr>
    </w:p>
    <w:p w14:paraId="014FC31B">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5C572E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rPr>
        <w:t>营业执照(或事业法人登记证书</w:t>
      </w:r>
      <w:r>
        <w:rPr>
          <w:rFonts w:hint="eastAsia" w:ascii="仿宋" w:hAnsi="仿宋" w:eastAsia="仿宋" w:cs="仿宋"/>
          <w:color w:val="auto"/>
          <w:sz w:val="24"/>
          <w:szCs w:val="24"/>
          <w:highlight w:val="none"/>
          <w:lang w:eastAsia="zh-CN"/>
        </w:rPr>
        <w:t>或其他</w:t>
      </w:r>
      <w:r>
        <w:rPr>
          <w:rFonts w:hint="eastAsia" w:ascii="仿宋" w:hAnsi="仿宋" w:eastAsia="仿宋" w:cs="仿宋"/>
          <w:color w:val="auto"/>
          <w:sz w:val="24"/>
          <w:szCs w:val="24"/>
          <w:highlight w:val="none"/>
        </w:rPr>
        <w:t>工商等登记证明材料；自然人参与采购，提供身份证)扫描件</w:t>
      </w:r>
      <w:r>
        <w:rPr>
          <w:rFonts w:hint="eastAsia" w:ascii="仿宋" w:eastAsia="仿宋" w:cs="仿宋"/>
          <w:color w:val="auto"/>
        </w:rPr>
        <w:t>……………………………………………………………………（页码）</w:t>
      </w:r>
    </w:p>
    <w:p w14:paraId="7CD0569B">
      <w:pPr>
        <w:pStyle w:val="188"/>
        <w:numPr>
          <w:ilvl w:val="0"/>
          <w:numId w:val="8"/>
        </w:numPr>
        <w:spacing w:line="336" w:lineRule="auto"/>
        <w:ind w:left="0" w:firstLine="0" w:firstLineChars="0"/>
        <w:rPr>
          <w:rFonts w:hint="eastAsia" w:ascii="仿宋" w:eastAsia="仿宋" w:cs="仿宋"/>
          <w:color w:val="auto"/>
        </w:rPr>
      </w:pPr>
      <w:r>
        <w:rPr>
          <w:rFonts w:ascii="仿宋" w:hAnsi="仿宋" w:eastAsia="仿宋" w:cs="仿宋"/>
          <w:color w:val="auto"/>
          <w:sz w:val="24"/>
        </w:rPr>
        <w:t>响应函</w:t>
      </w:r>
      <w:r>
        <w:rPr>
          <w:rFonts w:hint="eastAsia" w:ascii="仿宋" w:eastAsia="仿宋" w:cs="仿宋"/>
          <w:color w:val="auto"/>
        </w:rPr>
        <w:t>……………………………………………………………………………（页码）</w:t>
      </w:r>
    </w:p>
    <w:p w14:paraId="48F6453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法定代表人身份证明书</w:t>
      </w:r>
      <w:r>
        <w:rPr>
          <w:rFonts w:hint="eastAsia" w:ascii="仿宋" w:eastAsia="仿宋" w:cs="仿宋"/>
          <w:color w:val="auto"/>
        </w:rPr>
        <w:t>…………………………………………………………（页码）</w:t>
      </w:r>
    </w:p>
    <w:p w14:paraId="42F5E2F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hint="eastAsia" w:ascii="仿宋" w:eastAsia="仿宋" w:cs="仿宋"/>
          <w:color w:val="auto"/>
        </w:rPr>
        <w:t>……………………（页码）</w:t>
      </w:r>
    </w:p>
    <w:p w14:paraId="7010853D">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评分索引表</w:t>
      </w:r>
      <w:r>
        <w:rPr>
          <w:rFonts w:hint="eastAsia" w:ascii="仿宋" w:eastAsia="仿宋" w:cs="仿宋"/>
          <w:color w:val="auto"/>
        </w:rPr>
        <w:t>………………………………………………………………………（页码）</w:t>
      </w:r>
    </w:p>
    <w:p w14:paraId="63767DE0">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采购供应商廉洁自律承诺书</w:t>
      </w:r>
      <w:r>
        <w:rPr>
          <w:rFonts w:hint="eastAsia" w:ascii="仿宋" w:eastAsia="仿宋" w:cs="仿宋"/>
          <w:color w:val="auto"/>
        </w:rPr>
        <w:t>……………………………………………………（页码）</w:t>
      </w:r>
    </w:p>
    <w:p w14:paraId="053F236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rPr>
        <w:t>………………………………………………………………（页码）</w:t>
      </w:r>
    </w:p>
    <w:p w14:paraId="1255C57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rPr>
        <w:t>综合实力</w:t>
      </w:r>
      <w:r>
        <w:rPr>
          <w:rFonts w:hint="eastAsia" w:ascii="仿宋" w:eastAsia="仿宋" w:cs="仿宋"/>
          <w:color w:val="auto"/>
        </w:rPr>
        <w:t>…………………………………………………………………………（页码）</w:t>
      </w:r>
    </w:p>
    <w:p w14:paraId="4E29324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同类业绩</w:t>
      </w:r>
      <w:r>
        <w:rPr>
          <w:rFonts w:hint="eastAsia" w:ascii="仿宋" w:eastAsia="仿宋" w:cs="仿宋"/>
          <w:color w:val="auto"/>
        </w:rPr>
        <w:t>…………………………………………………………………………（页码）</w:t>
      </w:r>
    </w:p>
    <w:p w14:paraId="7331D17E">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用户</w:t>
      </w:r>
      <w:r>
        <w:rPr>
          <w:rFonts w:hint="eastAsia" w:ascii="仿宋" w:hAnsi="仿宋" w:eastAsia="仿宋" w:cs="仿宋"/>
          <w:color w:val="auto"/>
          <w:kern w:val="0"/>
          <w:sz w:val="24"/>
          <w:szCs w:val="24"/>
        </w:rPr>
        <w:t>反馈</w:t>
      </w:r>
      <w:r>
        <w:rPr>
          <w:rFonts w:hint="eastAsia" w:ascii="仿宋" w:eastAsia="仿宋" w:cs="仿宋"/>
          <w:color w:val="auto"/>
        </w:rPr>
        <w:t>………………………………………………………………………（页码）</w:t>
      </w:r>
    </w:p>
    <w:p w14:paraId="3897488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产品情况</w:t>
      </w:r>
      <w:r>
        <w:rPr>
          <w:rFonts w:hint="eastAsia" w:ascii="仿宋" w:eastAsia="仿宋" w:cs="仿宋"/>
          <w:color w:val="auto"/>
        </w:rPr>
        <w:t>………………………………………………………………………（页码）</w:t>
      </w:r>
    </w:p>
    <w:p w14:paraId="4242073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kern w:val="2"/>
          <w:sz w:val="24"/>
          <w:szCs w:val="24"/>
          <w:highlight w:val="none"/>
          <w:lang w:val="en-US" w:eastAsia="zh-CN" w:bidi="ar-SA"/>
        </w:rPr>
        <w:t>检测报告</w:t>
      </w:r>
      <w:r>
        <w:rPr>
          <w:rFonts w:hint="eastAsia" w:ascii="仿宋" w:eastAsia="仿宋" w:cs="仿宋"/>
          <w:color w:val="auto"/>
        </w:rPr>
        <w:t>………………………………………………………………………（页码）</w:t>
      </w:r>
    </w:p>
    <w:p w14:paraId="2EC655E9">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rPr>
        <w:t>……………………………………………………………………（页码）</w:t>
      </w:r>
    </w:p>
    <w:p w14:paraId="57652004">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shd w:val="clear" w:color="auto" w:fill="auto"/>
          <w:lang w:eastAsia="zh-CN"/>
        </w:rPr>
        <w:t>供货方案</w:t>
      </w:r>
      <w:r>
        <w:rPr>
          <w:rFonts w:hint="eastAsia" w:ascii="仿宋" w:eastAsia="仿宋" w:cs="仿宋"/>
          <w:color w:val="auto"/>
        </w:rPr>
        <w:t>………………………………………………………………………（页码）</w:t>
      </w:r>
    </w:p>
    <w:p w14:paraId="33F64A72">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b w:val="0"/>
          <w:bCs/>
          <w:color w:val="auto"/>
          <w:sz w:val="24"/>
          <w:szCs w:val="24"/>
          <w:highlight w:val="none"/>
          <w:lang w:val="en-US" w:eastAsia="zh-CN"/>
        </w:rPr>
        <w:t>售后服务</w:t>
      </w:r>
      <w:r>
        <w:rPr>
          <w:rFonts w:hint="eastAsia" w:ascii="仿宋" w:eastAsia="仿宋" w:cs="仿宋"/>
          <w:color w:val="auto"/>
        </w:rPr>
        <w:t>………………………………………………………………………（页码）</w:t>
      </w:r>
    </w:p>
    <w:p w14:paraId="77CA8DC8">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rPr>
        <w:t>供应商需要说明的其他文件和说明</w:t>
      </w:r>
      <w:r>
        <w:rPr>
          <w:rFonts w:hint="eastAsia" w:ascii="仿宋" w:eastAsia="仿宋" w:cs="仿宋"/>
          <w:color w:val="auto"/>
          <w:lang w:eastAsia="zh-CN"/>
        </w:rPr>
        <w:t>（</w:t>
      </w:r>
      <w:r>
        <w:rPr>
          <w:rFonts w:hint="eastAsia" w:ascii="仿宋" w:eastAsia="仿宋" w:cs="仿宋"/>
          <w:color w:val="auto"/>
          <w:lang w:val="en-US" w:eastAsia="zh-CN"/>
        </w:rPr>
        <w:t>如果有</w:t>
      </w:r>
      <w:r>
        <w:rPr>
          <w:rFonts w:hint="eastAsia" w:ascii="仿宋" w:eastAsia="仿宋" w:cs="仿宋"/>
          <w:color w:val="auto"/>
          <w:lang w:eastAsia="zh-CN"/>
        </w:rPr>
        <w:t>）</w:t>
      </w:r>
      <w:r>
        <w:rPr>
          <w:rFonts w:hint="eastAsia" w:ascii="仿宋" w:eastAsia="仿宋" w:cs="仿宋"/>
          <w:color w:val="auto"/>
        </w:rPr>
        <w:t>……………………………（页码）</w:t>
      </w:r>
    </w:p>
    <w:p w14:paraId="747B4F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AF98D04">
      <w:pPr>
        <w:spacing w:line="44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营业执照(或事业法人登记证书或其他工商等登记证明材料；自然人参与采购，提供身份证)扫描件</w:t>
      </w:r>
    </w:p>
    <w:p w14:paraId="3ABA2566">
      <w:pPr>
        <w:spacing w:line="440" w:lineRule="exact"/>
        <w:jc w:val="center"/>
        <w:rPr>
          <w:rFonts w:hint="eastAsia" w:ascii="仿宋" w:hAnsi="仿宋" w:eastAsia="仿宋" w:cs="仿宋"/>
          <w:b/>
          <w:color w:val="auto"/>
          <w:kern w:val="0"/>
          <w:sz w:val="32"/>
          <w:szCs w:val="32"/>
        </w:rPr>
      </w:pPr>
    </w:p>
    <w:p w14:paraId="7FCB14B0">
      <w:pPr>
        <w:spacing w:line="440" w:lineRule="exact"/>
        <w:jc w:val="center"/>
        <w:rPr>
          <w:rFonts w:hint="eastAsia" w:ascii="仿宋" w:hAnsi="仿宋" w:eastAsia="仿宋" w:cs="仿宋"/>
          <w:b/>
          <w:color w:val="auto"/>
          <w:kern w:val="0"/>
          <w:sz w:val="32"/>
          <w:szCs w:val="32"/>
        </w:rPr>
      </w:pPr>
    </w:p>
    <w:p w14:paraId="3418CDFD">
      <w:pPr>
        <w:spacing w:line="440" w:lineRule="exact"/>
        <w:jc w:val="center"/>
        <w:rPr>
          <w:rFonts w:hint="eastAsia" w:ascii="仿宋" w:hAnsi="仿宋" w:eastAsia="仿宋" w:cs="仿宋"/>
          <w:b/>
          <w:color w:val="auto"/>
          <w:kern w:val="0"/>
          <w:sz w:val="32"/>
          <w:szCs w:val="32"/>
        </w:rPr>
      </w:pPr>
    </w:p>
    <w:p w14:paraId="629920D6">
      <w:pPr>
        <w:spacing w:line="440" w:lineRule="exact"/>
        <w:jc w:val="center"/>
        <w:rPr>
          <w:rFonts w:hint="eastAsia" w:ascii="仿宋" w:hAnsi="仿宋" w:eastAsia="仿宋" w:cs="仿宋"/>
          <w:b/>
          <w:color w:val="auto"/>
          <w:kern w:val="0"/>
          <w:sz w:val="32"/>
          <w:szCs w:val="32"/>
        </w:rPr>
      </w:pPr>
    </w:p>
    <w:p w14:paraId="00A0E565">
      <w:pPr>
        <w:spacing w:line="440" w:lineRule="exact"/>
        <w:jc w:val="center"/>
        <w:rPr>
          <w:rFonts w:hint="eastAsia" w:ascii="仿宋" w:hAnsi="仿宋" w:eastAsia="仿宋" w:cs="仿宋"/>
          <w:b/>
          <w:color w:val="auto"/>
          <w:kern w:val="0"/>
          <w:sz w:val="32"/>
          <w:szCs w:val="32"/>
        </w:rPr>
      </w:pPr>
    </w:p>
    <w:p w14:paraId="3D5379D7">
      <w:pPr>
        <w:spacing w:line="440" w:lineRule="exact"/>
        <w:jc w:val="center"/>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63676827">
      <w:pPr>
        <w:pStyle w:val="335"/>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 w:hAnsi="仿宋" w:eastAsia="仿宋" w:cs="仿宋"/>
          <w:color w:val="auto"/>
          <w:sz w:val="24"/>
          <w:lang w:eastAsia="zh-CN"/>
        </w:rPr>
        <w:t>嵊州市广电信息网络有限公司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绍兴平准招标代理有限公司</w:t>
      </w:r>
    </w:p>
    <w:p w14:paraId="4B66CEA8">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color w:val="auto"/>
          <w:szCs w:val="24"/>
          <w:lang w:eastAsia="zh-CN"/>
        </w:rPr>
        <w:t>SXPZ-H20241111CKY</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（全权代表姓名、单位、职务）</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填写单位</w:t>
      </w:r>
      <w:r>
        <w:rPr>
          <w:rFonts w:ascii="仿宋_GB2312" w:hAnsi="宋体" w:eastAsia="仿宋_GB2312"/>
          <w:b/>
          <w:color w:val="auto"/>
          <w:szCs w:val="24"/>
          <w:u w:val="single"/>
        </w:rPr>
        <w:t xml:space="preserve">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06870950">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133D0293">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szCs w:val="24"/>
        </w:rPr>
        <w:t>1.</w:t>
      </w:r>
      <w:r>
        <w:rPr>
          <w:rFonts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1A01A514">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2.我方承诺已经具备</w:t>
      </w:r>
      <w:r>
        <w:rPr>
          <w:rFonts w:hint="eastAsia" w:ascii="仿宋_GB2312" w:hAnsi="宋体" w:eastAsia="仿宋_GB2312"/>
          <w:color w:val="auto"/>
          <w:szCs w:val="24"/>
        </w:rPr>
        <w:t>《嵊州市市属国有企业货物和服务采购管理办法（试行）》第十七条规定的</w:t>
      </w:r>
      <w:r>
        <w:rPr>
          <w:rFonts w:ascii="仿宋_GB2312" w:hAnsi="宋体" w:eastAsia="仿宋_GB2312"/>
          <w:color w:val="auto"/>
          <w:szCs w:val="24"/>
        </w:rPr>
        <w:t>参加采购活动的供应商应当具备的条件。</w:t>
      </w:r>
    </w:p>
    <w:p w14:paraId="7A099037">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同意向采购代理机构提供可能另外要求的与磋商有关的任何数据或资料；</w:t>
      </w:r>
    </w:p>
    <w:p w14:paraId="4A753218">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4.我方理解贵方将不受你们所收到的最低报价的约束。</w:t>
      </w:r>
    </w:p>
    <w:p w14:paraId="5AE24030">
      <w:pPr>
        <w:pStyle w:val="12"/>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rPr>
        <w:t>5.</w:t>
      </w:r>
      <w:r>
        <w:rPr>
          <w:rFonts w:hint="eastAsia" w:ascii="仿宋_GB2312" w:hAnsi="仿宋" w:eastAsia="仿宋_GB2312" w:cs="仿宋_GB2312"/>
          <w:color w:val="auto"/>
        </w:rPr>
        <w:t>磋商有效期为从提交磋商响应文件的截止之日起</w:t>
      </w:r>
      <w:r>
        <w:rPr>
          <w:rFonts w:ascii="仿宋_GB2312" w:hAnsi="仿宋" w:eastAsia="仿宋_GB2312" w:cs="仿宋_GB2312"/>
          <w:color w:val="auto"/>
        </w:rPr>
        <w:t>90天。</w:t>
      </w:r>
    </w:p>
    <w:p w14:paraId="563CAAFD">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3621D46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a)提供虚假材料谋取中标、成交的；</w:t>
      </w:r>
    </w:p>
    <w:p w14:paraId="166293D1">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b)采取不正当手段诋毁、排挤其他供应商的；</w:t>
      </w:r>
    </w:p>
    <w:p w14:paraId="142FBFC4">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c)与采购人、其它供应商或者采购代理机构恶意串通的；</w:t>
      </w:r>
    </w:p>
    <w:p w14:paraId="0DBDEAEA">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d)向采购人、采购代理机构行贿或者提供其他不正当利益的；</w:t>
      </w:r>
    </w:p>
    <w:p w14:paraId="104B16FB">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e)在采购过程中与采购人进行协商谈判的；</w:t>
      </w:r>
    </w:p>
    <w:p w14:paraId="7C109420">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f)拒绝有关部门监督检查或提供虚假情况的。</w:t>
      </w:r>
    </w:p>
    <w:p w14:paraId="4C8461F0">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a)至e)项情形之一的，中标、成交无效。</w:t>
      </w:r>
    </w:p>
    <w:p w14:paraId="43686D4B">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14:paraId="2477AD2C">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传真：</w:t>
      </w:r>
    </w:p>
    <w:p w14:paraId="29889911">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账号：</w:t>
      </w:r>
    </w:p>
    <w:p w14:paraId="6462E253">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hint="eastAsia" w:ascii="仿宋" w:hAnsi="仿宋" w:eastAsia="仿宋" w:cs="仿宋"/>
          <w:color w:val="auto"/>
        </w:rPr>
        <w:t>（签</w:t>
      </w:r>
      <w:r>
        <w:rPr>
          <w:rFonts w:hint="eastAsia" w:ascii="仿宋" w:hAnsi="仿宋" w:eastAsia="仿宋" w:cs="仿宋"/>
          <w:color w:val="auto"/>
          <w:lang w:eastAsia="zh-CN"/>
        </w:rPr>
        <w:t>名</w:t>
      </w:r>
      <w:r>
        <w:rPr>
          <w:rFonts w:hint="eastAsia" w:ascii="仿宋" w:hAnsi="仿宋" w:eastAsia="仿宋" w:cs="仿宋"/>
          <w:color w:val="auto"/>
        </w:rPr>
        <w:t>或盖章）</w:t>
      </w:r>
      <w:r>
        <w:rPr>
          <w:rFonts w:hint="eastAsia" w:ascii="仿宋_GB2312" w:hAnsi="宋体" w:eastAsia="仿宋_GB2312"/>
          <w:color w:val="auto"/>
          <w:szCs w:val="24"/>
        </w:rPr>
        <w:t>：</w:t>
      </w:r>
    </w:p>
    <w:p w14:paraId="5E1C08E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7CFB78F2">
      <w:pPr>
        <w:spacing w:line="44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日期：</w:t>
      </w:r>
    </w:p>
    <w:p w14:paraId="333F514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D2870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6C95D8F6">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D75759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27796A0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404DBE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BA3E399">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755E73EE">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271E832">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A41BC1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w:t>
      </w:r>
      <w:r>
        <w:rPr>
          <w:rFonts w:hint="eastAsia" w:ascii="仿宋" w:hAnsi="仿宋" w:eastAsia="仿宋" w:cs="仿宋"/>
          <w:color w:val="auto"/>
          <w:sz w:val="24"/>
          <w:highlight w:val="none"/>
          <w:u w:val="single"/>
          <w:lang w:eastAsia="zh-CN"/>
        </w:rPr>
        <w:t>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671C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CF105E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2EFEB4F3">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附：法人身份证复印件（正反面）</w:t>
      </w:r>
    </w:p>
    <w:p w14:paraId="3D20396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4217661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50D4B6DA">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rPr>
      </w:pPr>
    </w:p>
    <w:p w14:paraId="11D9A3B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73324D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法定代表人（签名或盖章）：        </w:t>
      </w:r>
    </w:p>
    <w:p w14:paraId="76506CFD">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58E7F09C">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1EFA93B0">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2496C7D6">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35A6118">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CA3767C">
      <w:pPr>
        <w:snapToGrid w:val="0"/>
        <w:spacing w:line="600" w:lineRule="exact"/>
        <w:jc w:val="left"/>
        <w:rPr>
          <w:rFonts w:hint="eastAsia" w:ascii="仿宋" w:hAnsi="仿宋" w:eastAsia="仿宋" w:cs="仿宋"/>
          <w:color w:val="auto"/>
          <w:sz w:val="24"/>
        </w:rPr>
      </w:pPr>
    </w:p>
    <w:p w14:paraId="6EAD7F9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8F8A0C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63BF2B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257750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936128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3DDFC73E">
      <w:pPr>
        <w:spacing w:line="360" w:lineRule="exact"/>
        <w:rPr>
          <w:rFonts w:hint="eastAsia" w:ascii="仿宋" w:hAnsi="仿宋" w:eastAsia="仿宋" w:cs="仿宋"/>
          <w:color w:val="auto"/>
          <w:sz w:val="24"/>
          <w:highlight w:val="none"/>
        </w:rPr>
      </w:pPr>
    </w:p>
    <w:p w14:paraId="22C32BCB">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0505B8A">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35BBEA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996E08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D32DA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31C757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08A49FD">
      <w:pPr>
        <w:pStyle w:val="74"/>
        <w:keepNext w:val="0"/>
        <w:keepLines w:val="0"/>
        <w:pageBreakBefore w:val="0"/>
        <w:widowControl/>
        <w:kinsoku/>
        <w:wordWrap w:val="0"/>
        <w:overflowPunct/>
        <w:topLinePunct w:val="0"/>
        <w:autoSpaceDE/>
        <w:autoSpaceDN/>
        <w:bidi w:val="0"/>
        <w:adjustRightInd/>
        <w:snapToGrid/>
        <w:spacing w:line="360" w:lineRule="auto"/>
        <w:ind w:left="0"/>
        <w:textAlignment w:val="auto"/>
        <w:rPr>
          <w:rFonts w:ascii="仿宋" w:hAnsi="仿宋" w:eastAsia="仿宋" w:cs="仿宋"/>
          <w:b/>
          <w:color w:val="auto"/>
          <w:sz w:val="24"/>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33E302E5">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55C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395EF6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511BBD1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4DBF2E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7CB50E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08F346A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3545E3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DD7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5086856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195BBC8">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870ABA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6E94BB0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8839E8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FB3CDD7">
            <w:pPr>
              <w:adjustRightInd/>
              <w:spacing w:line="380" w:lineRule="exact"/>
              <w:jc w:val="center"/>
              <w:outlineLvl w:val="9"/>
              <w:rPr>
                <w:rFonts w:hint="eastAsia" w:ascii="仿宋" w:hAnsi="仿宋" w:eastAsia="仿宋" w:cs="仿宋"/>
                <w:color w:val="auto"/>
                <w:sz w:val="24"/>
                <w:szCs w:val="24"/>
                <w:highlight w:val="none"/>
              </w:rPr>
            </w:pPr>
          </w:p>
        </w:tc>
      </w:tr>
      <w:tr w14:paraId="36E3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F66E57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ED1CB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97026B3">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4FFA875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FC4EAE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E0DC585">
            <w:pPr>
              <w:adjustRightInd/>
              <w:spacing w:line="380" w:lineRule="exact"/>
              <w:jc w:val="center"/>
              <w:outlineLvl w:val="9"/>
              <w:rPr>
                <w:rFonts w:hint="eastAsia" w:ascii="仿宋" w:hAnsi="仿宋" w:eastAsia="仿宋" w:cs="仿宋"/>
                <w:color w:val="auto"/>
                <w:sz w:val="24"/>
                <w:szCs w:val="24"/>
                <w:highlight w:val="none"/>
              </w:rPr>
            </w:pPr>
          </w:p>
        </w:tc>
      </w:tr>
      <w:tr w14:paraId="7C2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3C22A93">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E4FC54E">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2102616">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2AC0AB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912296B">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1310AF6">
            <w:pPr>
              <w:adjustRightInd/>
              <w:spacing w:line="380" w:lineRule="exact"/>
              <w:jc w:val="center"/>
              <w:outlineLvl w:val="9"/>
              <w:rPr>
                <w:rFonts w:hint="eastAsia" w:ascii="仿宋" w:hAnsi="仿宋" w:eastAsia="仿宋" w:cs="仿宋"/>
                <w:color w:val="auto"/>
                <w:sz w:val="24"/>
                <w:szCs w:val="24"/>
                <w:highlight w:val="none"/>
              </w:rPr>
            </w:pPr>
          </w:p>
        </w:tc>
      </w:tr>
      <w:tr w14:paraId="391D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DD919AB">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F136027">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89B1D01">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E90E7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BF83EA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68771B0">
            <w:pPr>
              <w:adjustRightInd/>
              <w:spacing w:line="380" w:lineRule="exact"/>
              <w:jc w:val="center"/>
              <w:outlineLvl w:val="9"/>
              <w:rPr>
                <w:rFonts w:hint="eastAsia" w:ascii="仿宋" w:hAnsi="仿宋" w:eastAsia="仿宋" w:cs="仿宋"/>
                <w:color w:val="auto"/>
                <w:sz w:val="24"/>
                <w:szCs w:val="24"/>
                <w:highlight w:val="none"/>
              </w:rPr>
            </w:pPr>
          </w:p>
        </w:tc>
      </w:tr>
      <w:tr w14:paraId="48C2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2E6021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40F4E16">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2DA6C97">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B2545F1">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FB3E691">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ABE07F6">
            <w:pPr>
              <w:adjustRightInd/>
              <w:spacing w:line="380" w:lineRule="exact"/>
              <w:jc w:val="center"/>
              <w:outlineLvl w:val="9"/>
              <w:rPr>
                <w:rFonts w:hint="eastAsia" w:ascii="仿宋" w:hAnsi="仿宋" w:eastAsia="仿宋" w:cs="仿宋"/>
                <w:color w:val="auto"/>
                <w:sz w:val="24"/>
                <w:szCs w:val="24"/>
                <w:highlight w:val="none"/>
              </w:rPr>
            </w:pPr>
          </w:p>
        </w:tc>
      </w:tr>
    </w:tbl>
    <w:p w14:paraId="774047BF">
      <w:pPr>
        <w:ind w:firstLine="240" w:firstLineChars="100"/>
        <w:rPr>
          <w:color w:val="auto"/>
        </w:rPr>
      </w:pPr>
      <w:r>
        <w:rPr>
          <w:rFonts w:hint="eastAsia" w:ascii="仿宋" w:hAnsi="仿宋" w:eastAsia="仿宋" w:cs="仿宋"/>
          <w:b w:val="0"/>
          <w:bCs/>
          <w:color w:val="auto"/>
          <w:kern w:val="0"/>
          <w:sz w:val="24"/>
          <w:szCs w:val="24"/>
          <w:lang w:val="en-US" w:eastAsia="zh-CN"/>
        </w:rPr>
        <w:t>对应第四部分评审方法及评审标准（报价除外）</w:t>
      </w:r>
    </w:p>
    <w:p w14:paraId="5D96B57C">
      <w:pPr>
        <w:spacing w:line="336" w:lineRule="auto"/>
        <w:jc w:val="center"/>
        <w:rPr>
          <w:rFonts w:hint="eastAsia" w:ascii="仿宋" w:hAnsi="仿宋" w:eastAsia="仿宋" w:cs="仿宋"/>
          <w:b/>
          <w:color w:val="auto"/>
          <w:sz w:val="30"/>
          <w:szCs w:val="30"/>
        </w:rPr>
      </w:pPr>
    </w:p>
    <w:p w14:paraId="656E2439">
      <w:pPr>
        <w:spacing w:line="336" w:lineRule="auto"/>
        <w:jc w:val="center"/>
        <w:rPr>
          <w:rFonts w:hint="eastAsia" w:ascii="仿宋" w:hAnsi="仿宋" w:eastAsia="仿宋" w:cs="仿宋"/>
          <w:b/>
          <w:color w:val="auto"/>
          <w:sz w:val="30"/>
          <w:szCs w:val="30"/>
        </w:rPr>
      </w:pPr>
    </w:p>
    <w:p w14:paraId="07A9D0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br w:type="page"/>
      </w: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D92BBB5">
      <w:pPr>
        <w:snapToGrid w:val="0"/>
        <w:spacing w:line="360" w:lineRule="auto"/>
        <w:rPr>
          <w:rFonts w:hint="eastAsia" w:ascii="仿宋" w:hAnsi="仿宋" w:eastAsia="仿宋" w:cs="仿宋"/>
          <w:color w:val="auto"/>
          <w:sz w:val="24"/>
          <w:highlight w:val="none"/>
        </w:rPr>
      </w:pPr>
    </w:p>
    <w:p w14:paraId="2291887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嵊州市广电信息网络有限公司、绍兴平准招标代理有限公司：</w:t>
      </w:r>
    </w:p>
    <w:p w14:paraId="769B63F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我单位响应你单位项目磋商要求参加磋商。在这次磋商过程中和中标后，我们将严格遵守国家法律法规要求，并郑重承诺：</w:t>
      </w:r>
    </w:p>
    <w:p w14:paraId="545CE2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4F53F0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253D6F9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192831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3A6F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54A66F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C7632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六、严格遵守《嵊州市市属国有企业货物和服务采购管理办法（试行）》、《中华人民共和国招标投标法》、《中华人民共和国民法典》等法律法规，诚实守信，合法经营，坚决抵制各种违法违纪行为。 </w:t>
      </w:r>
    </w:p>
    <w:p w14:paraId="790ECE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r>
        <w:rPr>
          <w:rFonts w:hint="eastAsia" w:ascii="仿宋" w:hAnsi="仿宋" w:eastAsia="仿宋" w:cs="仿宋"/>
          <w:color w:val="auto"/>
          <w:kern w:val="0"/>
          <w:sz w:val="24"/>
          <w:highlight w:val="none"/>
          <w:lang w:val="zh-CN"/>
        </w:rPr>
        <w:t>。</w:t>
      </w:r>
    </w:p>
    <w:p w14:paraId="694A02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3B043E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91F49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04D07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630FDC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74B8992">
      <w:pPr>
        <w:spacing w:line="360" w:lineRule="auto"/>
        <w:jc w:val="center"/>
        <w:rPr>
          <w:rFonts w:hint="eastAsia" w:ascii="仿宋" w:hAnsi="仿宋" w:eastAsia="仿宋" w:cs="仿宋"/>
          <w:b/>
          <w:bCs/>
          <w:color w:val="auto"/>
          <w:sz w:val="24"/>
          <w:highlight w:val="none"/>
        </w:rPr>
      </w:pPr>
    </w:p>
    <w:p w14:paraId="4BCD16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84F60F">
      <w:pPr>
        <w:spacing w:line="360" w:lineRule="auto"/>
        <w:jc w:val="center"/>
        <w:rPr>
          <w:rFonts w:hint="eastAsia" w:ascii="仿宋" w:hAnsi="仿宋" w:eastAsia="仿宋" w:cs="仿宋"/>
          <w:b/>
          <w:bCs/>
          <w:color w:val="auto"/>
          <w:sz w:val="24"/>
          <w:highlight w:val="none"/>
        </w:rPr>
      </w:pPr>
    </w:p>
    <w:p w14:paraId="7E9B18E2">
      <w:pPr>
        <w:rPr>
          <w:rFonts w:hint="eastAsia" w:ascii="仿宋" w:hAnsi="仿宋" w:eastAsia="仿宋" w:cs="仿宋"/>
          <w:b/>
          <w:color w:val="auto"/>
          <w:kern w:val="0"/>
          <w:sz w:val="32"/>
          <w:szCs w:val="32"/>
          <w:highlight w:val="none"/>
          <w:lang w:val="en-US" w:eastAsia="zh-CN"/>
        </w:rPr>
      </w:pPr>
    </w:p>
    <w:p w14:paraId="13B263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692234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46499E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71"/>
        <w:gridCol w:w="2481"/>
        <w:gridCol w:w="2835"/>
        <w:gridCol w:w="1260"/>
      </w:tblGrid>
      <w:tr w14:paraId="4732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5BEB5A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71" w:type="dxa"/>
            <w:vAlign w:val="center"/>
          </w:tcPr>
          <w:p w14:paraId="4FD2B30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481" w:type="dxa"/>
            <w:vAlign w:val="center"/>
          </w:tcPr>
          <w:p w14:paraId="43F51B23">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4B2584A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4C6895B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3408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73A4D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71" w:type="dxa"/>
            <w:vAlign w:val="center"/>
          </w:tcPr>
          <w:p w14:paraId="54FA0B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磋商有效期</w:t>
            </w:r>
          </w:p>
        </w:tc>
        <w:tc>
          <w:tcPr>
            <w:tcW w:w="2481" w:type="dxa"/>
            <w:vAlign w:val="center"/>
          </w:tcPr>
          <w:p w14:paraId="50A006E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65BC55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949F969">
            <w:pPr>
              <w:adjustRightInd/>
              <w:spacing w:line="380" w:lineRule="exact"/>
              <w:jc w:val="center"/>
              <w:outlineLvl w:val="9"/>
              <w:rPr>
                <w:rFonts w:hint="eastAsia" w:ascii="仿宋" w:hAnsi="仿宋" w:eastAsia="仿宋" w:cs="仿宋"/>
                <w:color w:val="auto"/>
                <w:sz w:val="24"/>
                <w:szCs w:val="24"/>
                <w:highlight w:val="none"/>
              </w:rPr>
            </w:pPr>
          </w:p>
        </w:tc>
      </w:tr>
      <w:tr w14:paraId="671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64B6F3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71" w:type="dxa"/>
            <w:vAlign w:val="center"/>
          </w:tcPr>
          <w:p w14:paraId="22AD47F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供货要求</w:t>
            </w:r>
          </w:p>
        </w:tc>
        <w:tc>
          <w:tcPr>
            <w:tcW w:w="2481" w:type="dxa"/>
            <w:vAlign w:val="center"/>
          </w:tcPr>
          <w:p w14:paraId="6499532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5A6A9C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A1EBAAB">
            <w:pPr>
              <w:adjustRightInd/>
              <w:spacing w:line="380" w:lineRule="exact"/>
              <w:jc w:val="center"/>
              <w:outlineLvl w:val="9"/>
              <w:rPr>
                <w:rFonts w:hint="eastAsia" w:ascii="仿宋" w:hAnsi="仿宋" w:eastAsia="仿宋" w:cs="仿宋"/>
                <w:color w:val="auto"/>
                <w:sz w:val="24"/>
                <w:szCs w:val="24"/>
                <w:highlight w:val="none"/>
              </w:rPr>
            </w:pPr>
          </w:p>
        </w:tc>
      </w:tr>
      <w:tr w14:paraId="6C0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61F296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71" w:type="dxa"/>
            <w:vAlign w:val="center"/>
          </w:tcPr>
          <w:p w14:paraId="681CCA10">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验收</w:t>
            </w:r>
          </w:p>
        </w:tc>
        <w:tc>
          <w:tcPr>
            <w:tcW w:w="2481" w:type="dxa"/>
            <w:vAlign w:val="center"/>
          </w:tcPr>
          <w:p w14:paraId="7DFD74C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3AC0D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D3850E6">
            <w:pPr>
              <w:adjustRightInd/>
              <w:spacing w:line="380" w:lineRule="exact"/>
              <w:jc w:val="center"/>
              <w:outlineLvl w:val="9"/>
              <w:rPr>
                <w:rFonts w:hint="eastAsia" w:ascii="仿宋" w:hAnsi="仿宋" w:eastAsia="仿宋" w:cs="仿宋"/>
                <w:color w:val="auto"/>
                <w:sz w:val="24"/>
                <w:szCs w:val="24"/>
                <w:highlight w:val="none"/>
              </w:rPr>
            </w:pPr>
          </w:p>
        </w:tc>
      </w:tr>
      <w:tr w14:paraId="7F6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68047D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71" w:type="dxa"/>
            <w:vAlign w:val="center"/>
          </w:tcPr>
          <w:p w14:paraId="4747F1B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质保期</w:t>
            </w:r>
          </w:p>
        </w:tc>
        <w:tc>
          <w:tcPr>
            <w:tcW w:w="2481" w:type="dxa"/>
            <w:vAlign w:val="center"/>
          </w:tcPr>
          <w:p w14:paraId="71719E56">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5C3ACC4">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5C58006">
            <w:pPr>
              <w:adjustRightInd/>
              <w:spacing w:line="380" w:lineRule="exact"/>
              <w:jc w:val="center"/>
              <w:outlineLvl w:val="9"/>
              <w:rPr>
                <w:rFonts w:hint="eastAsia" w:ascii="仿宋" w:hAnsi="仿宋" w:eastAsia="仿宋" w:cs="仿宋"/>
                <w:color w:val="auto"/>
                <w:sz w:val="24"/>
                <w:szCs w:val="24"/>
                <w:highlight w:val="none"/>
              </w:rPr>
            </w:pPr>
          </w:p>
        </w:tc>
      </w:tr>
      <w:tr w14:paraId="731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C31E1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71" w:type="dxa"/>
            <w:vAlign w:val="center"/>
          </w:tcPr>
          <w:p w14:paraId="5F414CB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2481" w:type="dxa"/>
            <w:vAlign w:val="center"/>
          </w:tcPr>
          <w:p w14:paraId="1F687FBF">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D7A4C10">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099B580">
            <w:pPr>
              <w:adjustRightInd/>
              <w:spacing w:line="380" w:lineRule="exact"/>
              <w:jc w:val="center"/>
              <w:outlineLvl w:val="9"/>
              <w:rPr>
                <w:rFonts w:hint="eastAsia" w:ascii="仿宋" w:hAnsi="仿宋" w:eastAsia="仿宋" w:cs="仿宋"/>
                <w:color w:val="auto"/>
                <w:sz w:val="24"/>
                <w:szCs w:val="24"/>
                <w:highlight w:val="none"/>
              </w:rPr>
            </w:pPr>
          </w:p>
        </w:tc>
      </w:tr>
      <w:tr w14:paraId="5BB0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B2667D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71" w:type="dxa"/>
            <w:vAlign w:val="center"/>
          </w:tcPr>
          <w:p w14:paraId="3B9D3328">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质量保证</w:t>
            </w:r>
          </w:p>
        </w:tc>
        <w:tc>
          <w:tcPr>
            <w:tcW w:w="2481" w:type="dxa"/>
            <w:vAlign w:val="center"/>
          </w:tcPr>
          <w:p w14:paraId="610F922B">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515B37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3483216">
            <w:pPr>
              <w:adjustRightInd/>
              <w:spacing w:line="380" w:lineRule="exact"/>
              <w:jc w:val="center"/>
              <w:outlineLvl w:val="9"/>
              <w:rPr>
                <w:rFonts w:hint="eastAsia" w:ascii="仿宋" w:hAnsi="仿宋" w:eastAsia="仿宋" w:cs="仿宋"/>
                <w:color w:val="auto"/>
                <w:sz w:val="24"/>
                <w:szCs w:val="24"/>
                <w:highlight w:val="none"/>
              </w:rPr>
            </w:pPr>
          </w:p>
        </w:tc>
      </w:tr>
      <w:tr w14:paraId="72D9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024D1E">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71" w:type="dxa"/>
            <w:vAlign w:val="center"/>
          </w:tcPr>
          <w:p w14:paraId="0A13D26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售后服务</w:t>
            </w:r>
          </w:p>
        </w:tc>
        <w:tc>
          <w:tcPr>
            <w:tcW w:w="2481" w:type="dxa"/>
            <w:vAlign w:val="center"/>
          </w:tcPr>
          <w:p w14:paraId="385A9D1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24D682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2AC2B8E">
            <w:pPr>
              <w:adjustRightInd/>
              <w:spacing w:line="380" w:lineRule="exact"/>
              <w:jc w:val="center"/>
              <w:outlineLvl w:val="9"/>
              <w:rPr>
                <w:rFonts w:hint="eastAsia" w:ascii="仿宋" w:hAnsi="仿宋" w:eastAsia="仿宋" w:cs="仿宋"/>
                <w:color w:val="auto"/>
                <w:sz w:val="24"/>
                <w:szCs w:val="24"/>
                <w:highlight w:val="none"/>
              </w:rPr>
            </w:pPr>
          </w:p>
        </w:tc>
      </w:tr>
      <w:tr w14:paraId="25B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C61D852">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71" w:type="dxa"/>
            <w:vAlign w:val="center"/>
          </w:tcPr>
          <w:p w14:paraId="0C9F9F0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2481" w:type="dxa"/>
            <w:vAlign w:val="center"/>
          </w:tcPr>
          <w:p w14:paraId="2A2A06D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28512D0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2BEFD">
            <w:pPr>
              <w:adjustRightInd/>
              <w:spacing w:line="380" w:lineRule="exact"/>
              <w:jc w:val="center"/>
              <w:outlineLvl w:val="9"/>
              <w:rPr>
                <w:rFonts w:hint="eastAsia" w:ascii="仿宋" w:hAnsi="仿宋" w:eastAsia="仿宋" w:cs="仿宋"/>
                <w:color w:val="auto"/>
                <w:sz w:val="24"/>
                <w:szCs w:val="24"/>
                <w:highlight w:val="none"/>
              </w:rPr>
            </w:pPr>
          </w:p>
        </w:tc>
      </w:tr>
      <w:tr w14:paraId="091B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1EDFA90">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71" w:type="dxa"/>
            <w:vAlign w:val="center"/>
          </w:tcPr>
          <w:p w14:paraId="1375C47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报价要求</w:t>
            </w:r>
          </w:p>
        </w:tc>
        <w:tc>
          <w:tcPr>
            <w:tcW w:w="2481" w:type="dxa"/>
            <w:vAlign w:val="center"/>
          </w:tcPr>
          <w:p w14:paraId="6182CB1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E3C09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6BFED04">
            <w:pPr>
              <w:adjustRightInd/>
              <w:spacing w:line="380" w:lineRule="exact"/>
              <w:jc w:val="center"/>
              <w:outlineLvl w:val="9"/>
              <w:rPr>
                <w:rFonts w:hint="eastAsia" w:ascii="仿宋" w:hAnsi="仿宋" w:eastAsia="仿宋" w:cs="仿宋"/>
                <w:color w:val="auto"/>
                <w:sz w:val="24"/>
                <w:szCs w:val="24"/>
                <w:highlight w:val="none"/>
              </w:rPr>
            </w:pPr>
          </w:p>
        </w:tc>
      </w:tr>
      <w:tr w14:paraId="23DC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AA691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71" w:type="dxa"/>
            <w:vAlign w:val="center"/>
          </w:tcPr>
          <w:p w14:paraId="2A7E3EC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定点采购期限</w:t>
            </w:r>
          </w:p>
        </w:tc>
        <w:tc>
          <w:tcPr>
            <w:tcW w:w="2481" w:type="dxa"/>
            <w:vAlign w:val="center"/>
          </w:tcPr>
          <w:p w14:paraId="59A92613">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1C3CDE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30B1419">
            <w:pPr>
              <w:adjustRightInd/>
              <w:spacing w:line="380" w:lineRule="exact"/>
              <w:jc w:val="center"/>
              <w:outlineLvl w:val="9"/>
              <w:rPr>
                <w:rFonts w:hint="eastAsia" w:ascii="仿宋" w:hAnsi="仿宋" w:eastAsia="仿宋" w:cs="仿宋"/>
                <w:color w:val="auto"/>
                <w:sz w:val="24"/>
                <w:szCs w:val="24"/>
                <w:highlight w:val="none"/>
              </w:rPr>
            </w:pPr>
          </w:p>
        </w:tc>
      </w:tr>
      <w:tr w14:paraId="4B0F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50D6A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71" w:type="dxa"/>
            <w:vAlign w:val="center"/>
          </w:tcPr>
          <w:p w14:paraId="712795C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szCs w:val="24"/>
                <w:highlight w:val="none"/>
                <w:lang w:val="en-US" w:eastAsia="zh-CN"/>
              </w:rPr>
              <w:t>其他</w:t>
            </w:r>
          </w:p>
        </w:tc>
        <w:tc>
          <w:tcPr>
            <w:tcW w:w="2481" w:type="dxa"/>
            <w:vAlign w:val="center"/>
          </w:tcPr>
          <w:p w14:paraId="1A6E4FB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749934A">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58AFE320">
            <w:pPr>
              <w:adjustRightInd/>
              <w:spacing w:line="380" w:lineRule="exact"/>
              <w:jc w:val="center"/>
              <w:outlineLvl w:val="9"/>
              <w:rPr>
                <w:rFonts w:hint="eastAsia" w:ascii="仿宋" w:hAnsi="仿宋" w:eastAsia="仿宋" w:cs="仿宋"/>
                <w:color w:val="auto"/>
                <w:sz w:val="24"/>
                <w:szCs w:val="24"/>
                <w:highlight w:val="none"/>
              </w:rPr>
            </w:pPr>
          </w:p>
        </w:tc>
      </w:tr>
    </w:tbl>
    <w:p w14:paraId="0BAA5FE3">
      <w:pPr>
        <w:autoSpaceDE w:val="0"/>
        <w:autoSpaceDN w:val="0"/>
        <w:spacing w:line="360" w:lineRule="auto"/>
        <w:ind w:right="1120"/>
        <w:jc w:val="left"/>
        <w:rPr>
          <w:rFonts w:hint="eastAsia" w:ascii="仿宋" w:hAnsi="仿宋" w:eastAsia="仿宋" w:cs="仿宋"/>
          <w:color w:val="auto"/>
          <w:sz w:val="24"/>
        </w:rPr>
      </w:pPr>
    </w:p>
    <w:p w14:paraId="0814A525">
      <w:pPr>
        <w:autoSpaceDE w:val="0"/>
        <w:autoSpaceDN w:val="0"/>
        <w:spacing w:line="360" w:lineRule="auto"/>
        <w:ind w:left="2" w:leftChars="1" w:right="1120" w:firstLine="4560" w:firstLineChars="1900"/>
        <w:jc w:val="left"/>
        <w:rPr>
          <w:rFonts w:hint="eastAsia" w:ascii="仿宋" w:hAnsi="仿宋" w:eastAsia="仿宋" w:cs="仿宋"/>
          <w:color w:val="auto"/>
          <w:sz w:val="24"/>
        </w:rPr>
      </w:pPr>
    </w:p>
    <w:p w14:paraId="3A812F3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E22AE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FB31B0">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color w:val="auto"/>
          <w:kern w:val="0"/>
          <w:sz w:val="24"/>
          <w:highlight w:val="none"/>
        </w:rPr>
      </w:pPr>
    </w:p>
    <w:p w14:paraId="077BDC29">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1.结合磋商文件相比较且对应真实填写，在“偏离说明”栏注明“正偏离”、“负偏离”或“无偏离”。</w:t>
      </w:r>
      <w:r>
        <w:rPr>
          <w:rFonts w:hint="eastAsia" w:ascii="仿宋" w:hAnsi="仿宋" w:eastAsia="仿宋" w:cs="仿宋"/>
          <w:b/>
          <w:bCs/>
          <w:color w:val="auto"/>
          <w:kern w:val="0"/>
          <w:sz w:val="24"/>
          <w:highlight w:val="none"/>
          <w:lang w:val="en-US" w:eastAsia="zh-CN"/>
        </w:rPr>
        <w:t>以上内容为实质性条款，“负偏离”做无效响应处理。</w:t>
      </w:r>
    </w:p>
    <w:p w14:paraId="73CF5B56">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2.不提供此表或注明“无偏离”均将视为完全响应及满足磋商文件要求。</w:t>
      </w:r>
    </w:p>
    <w:p w14:paraId="2D8FD3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B48FC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 w:hAnsi="仿宋" w:eastAsia="仿宋" w:cs="仿宋"/>
          <w:b/>
          <w:color w:val="auto"/>
          <w:kern w:val="0"/>
          <w:sz w:val="32"/>
          <w:szCs w:val="32"/>
          <w:highlight w:val="none"/>
          <w:lang w:val="en-US" w:eastAsia="zh-CN"/>
        </w:rPr>
        <w:br w:type="page"/>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、综合实力</w:t>
      </w:r>
    </w:p>
    <w:p w14:paraId="4B0288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D29E5ED">
      <w:pPr>
        <w:spacing w:line="336" w:lineRule="auto"/>
        <w:ind w:firstLine="3600" w:firstLineChars="1500"/>
        <w:rPr>
          <w:rFonts w:hint="eastAsia" w:ascii="仿宋" w:hAnsi="仿宋" w:eastAsia="仿宋" w:cs="仿宋"/>
          <w:color w:val="auto"/>
          <w:sz w:val="24"/>
        </w:rPr>
      </w:pPr>
    </w:p>
    <w:p w14:paraId="1807FCAC">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46D82F96">
      <w:pPr>
        <w:spacing w:line="360" w:lineRule="auto"/>
        <w:jc w:val="center"/>
        <w:rPr>
          <w:color w:val="auto"/>
        </w:rPr>
      </w:pPr>
      <w:r>
        <w:rPr>
          <w:rFonts w:ascii="仿宋" w:hAnsi="仿宋" w:eastAsia="仿宋" w:cs="仿宋"/>
          <w:color w:val="auto"/>
          <w:sz w:val="24"/>
        </w:rPr>
        <w:t xml:space="preserve">     日期：  年   月   日</w:t>
      </w:r>
    </w:p>
    <w:p w14:paraId="0D862D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71112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FB63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、同类业绩</w:t>
      </w:r>
    </w:p>
    <w:p w14:paraId="5A267CF5">
      <w:pPr>
        <w:pStyle w:val="48"/>
        <w:keepNext w:val="0"/>
        <w:keepLines w:val="0"/>
        <w:pageBreakBefore w:val="0"/>
        <w:widowControl w:val="0"/>
        <w:kinsoku/>
        <w:wordWrap/>
        <w:overflowPunct/>
        <w:topLinePunct w:val="0"/>
        <w:autoSpaceDE/>
        <w:autoSpaceDN/>
        <w:bidi w:val="0"/>
        <w:adjustRightInd/>
        <w:snapToGrid w:val="0"/>
        <w:spacing w:before="313" w:beforeLines="100" w:line="360" w:lineRule="auto"/>
        <w:ind w:left="479" w:leftChars="228" w:firstLine="240" w:firstLineChars="100"/>
        <w:textAlignment w:val="auto"/>
        <w:outlineLvl w:val="9"/>
        <w:rPr>
          <w:rFonts w:hint="eastAsia" w:ascii="仿宋" w:hAnsi="仿宋" w:eastAsia="仿宋" w:cs="仿宋"/>
          <w:b/>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                               </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576"/>
        <w:gridCol w:w="1350"/>
        <w:gridCol w:w="1545"/>
        <w:gridCol w:w="1650"/>
        <w:gridCol w:w="1923"/>
      </w:tblGrid>
      <w:tr w14:paraId="2BBD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37610B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14:paraId="152BB2B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350" w:type="dxa"/>
            <w:vMerge w:val="restart"/>
            <w:tcBorders>
              <w:top w:val="single" w:color="auto" w:sz="4" w:space="0"/>
              <w:left w:val="single" w:color="auto" w:sz="4" w:space="0"/>
              <w:right w:val="single" w:color="auto" w:sz="4" w:space="0"/>
            </w:tcBorders>
            <w:noWrap w:val="0"/>
            <w:vAlign w:val="center"/>
          </w:tcPr>
          <w:p w14:paraId="49D963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合同签订时间</w:t>
            </w: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14:paraId="0DBF9B3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合同金额</w:t>
            </w:r>
          </w:p>
          <w:p w14:paraId="6FFDEDC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1BF409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488F8E2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3AFF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6CE01FFD">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center"/>
          </w:tcPr>
          <w:p w14:paraId="75BC342B">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350" w:type="dxa"/>
            <w:vMerge w:val="continue"/>
            <w:tcBorders>
              <w:left w:val="single" w:color="auto" w:sz="4" w:space="0"/>
              <w:bottom w:val="single" w:color="auto" w:sz="4" w:space="0"/>
              <w:right w:val="single" w:color="auto" w:sz="4" w:space="0"/>
            </w:tcBorders>
            <w:noWrap w:val="0"/>
            <w:vAlign w:val="center"/>
          </w:tcPr>
          <w:p w14:paraId="6DE634FF">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14:paraId="50111D4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377941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62321B02">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38B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F7EE74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C19B2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321D0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BA5467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CEF35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01BAC9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346F1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C577ED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AD9C63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5E9424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DA41BA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C8C240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C8EE94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6404B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51E77EE">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E8F14F">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ACCD53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8DFB94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2AB7C5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8719CD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2589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28F3DF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D80BF9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B07032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EAEF02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EAFA8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D31B39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22A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5D87E4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5"/>
            <w:tcBorders>
              <w:top w:val="single" w:color="auto" w:sz="4" w:space="0"/>
              <w:left w:val="single" w:color="auto" w:sz="4" w:space="0"/>
              <w:bottom w:val="single" w:color="auto" w:sz="4" w:space="0"/>
              <w:right w:val="single" w:color="auto" w:sz="4" w:space="0"/>
            </w:tcBorders>
            <w:noWrap w:val="0"/>
            <w:vAlign w:val="center"/>
          </w:tcPr>
          <w:p w14:paraId="38259E0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14:paraId="180215D4">
      <w:pPr>
        <w:pStyle w:val="16"/>
        <w:snapToGrid w:val="0"/>
        <w:outlineLvl w:val="9"/>
        <w:rPr>
          <w:rFonts w:hint="eastAsia" w:ascii="仿宋" w:hAnsi="仿宋" w:eastAsia="仿宋" w:cs="仿宋"/>
          <w:color w:val="auto"/>
          <w:sz w:val="24"/>
          <w:szCs w:val="24"/>
        </w:rPr>
      </w:pPr>
    </w:p>
    <w:p w14:paraId="74CFE8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磋商响应方全称（公章）：</w:t>
      </w:r>
    </w:p>
    <w:p w14:paraId="4B41D1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法定代表或委托代理人（签字或盖章）：</w:t>
      </w:r>
    </w:p>
    <w:p w14:paraId="68B4DFD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color w:val="auto"/>
          <w:sz w:val="24"/>
          <w:szCs w:val="24"/>
        </w:rPr>
        <w:t>日期：</w:t>
      </w:r>
    </w:p>
    <w:p w14:paraId="748E38C6">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14:paraId="7804C6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C4C6BF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、用户反馈</w:t>
      </w:r>
    </w:p>
    <w:p w14:paraId="2E25BD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1F2B66F9">
      <w:pPr>
        <w:spacing w:line="336" w:lineRule="auto"/>
        <w:ind w:firstLine="3600" w:firstLineChars="1500"/>
        <w:rPr>
          <w:rFonts w:hint="eastAsia" w:ascii="仿宋" w:hAnsi="仿宋" w:eastAsia="仿宋" w:cs="仿宋"/>
          <w:color w:val="auto"/>
          <w:sz w:val="24"/>
        </w:rPr>
      </w:pPr>
    </w:p>
    <w:p w14:paraId="508AFDF1">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DFA559F">
      <w:pPr>
        <w:spacing w:line="360" w:lineRule="auto"/>
        <w:jc w:val="center"/>
        <w:rPr>
          <w:color w:val="auto"/>
        </w:rPr>
      </w:pPr>
      <w:r>
        <w:rPr>
          <w:rFonts w:ascii="仿宋" w:hAnsi="仿宋" w:eastAsia="仿宋" w:cs="仿宋"/>
          <w:color w:val="auto"/>
          <w:sz w:val="24"/>
        </w:rPr>
        <w:t xml:space="preserve">     日期：  年   月   日</w:t>
      </w:r>
    </w:p>
    <w:p w14:paraId="345695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E893B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6C3EE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511EF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、产品情况</w:t>
      </w:r>
    </w:p>
    <w:p w14:paraId="7085F0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E6C44E8">
      <w:pPr>
        <w:spacing w:line="336" w:lineRule="auto"/>
        <w:ind w:firstLine="3600" w:firstLineChars="1500"/>
        <w:rPr>
          <w:rFonts w:hint="eastAsia" w:ascii="仿宋" w:hAnsi="仿宋" w:eastAsia="仿宋" w:cs="仿宋"/>
          <w:color w:val="auto"/>
          <w:sz w:val="24"/>
        </w:rPr>
      </w:pPr>
    </w:p>
    <w:p w14:paraId="3B6F87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7A874B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04BCAF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D779C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532D7D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1D108D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rPr>
        <w:t>、检测报告</w:t>
      </w:r>
    </w:p>
    <w:p w14:paraId="47F3C89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76E5BFAE">
      <w:pPr>
        <w:spacing w:line="336" w:lineRule="auto"/>
        <w:ind w:firstLine="3600" w:firstLineChars="1500"/>
        <w:rPr>
          <w:rFonts w:hint="eastAsia" w:ascii="仿宋" w:hAnsi="仿宋" w:eastAsia="仿宋" w:cs="仿宋"/>
          <w:color w:val="auto"/>
          <w:sz w:val="24"/>
        </w:rPr>
      </w:pPr>
    </w:p>
    <w:p w14:paraId="45C36AC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63457CFA">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6C16079A">
      <w:pPr>
        <w:rPr>
          <w:rFonts w:hint="eastAsia" w:ascii="仿宋" w:hAnsi="仿宋" w:eastAsia="仿宋" w:cs="仿宋"/>
          <w:b/>
          <w:color w:val="auto"/>
          <w:kern w:val="0"/>
          <w:sz w:val="32"/>
          <w:szCs w:val="32"/>
          <w:highlight w:val="none"/>
          <w:lang w:val="en-US" w:eastAsia="zh-CN"/>
        </w:rPr>
      </w:pPr>
    </w:p>
    <w:p w14:paraId="3EC4B2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0A058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5C02C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十三、技术</w:t>
      </w:r>
      <w:r>
        <w:rPr>
          <w:rFonts w:hint="eastAsia" w:ascii="仿宋" w:hAnsi="仿宋" w:eastAsia="仿宋" w:cs="仿宋"/>
          <w:b/>
          <w:color w:val="auto"/>
          <w:kern w:val="0"/>
          <w:sz w:val="32"/>
          <w:szCs w:val="32"/>
          <w:highlight w:val="none"/>
        </w:rPr>
        <w:t>响应表</w:t>
      </w:r>
    </w:p>
    <w:p w14:paraId="3A7647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C1F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9310C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02BE85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5B9A70F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2062CE3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7DBF8AC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5529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2D6D87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672B74E8">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E01B8E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923A78F">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2583314">
            <w:pPr>
              <w:adjustRightInd/>
              <w:spacing w:line="380" w:lineRule="exact"/>
              <w:jc w:val="center"/>
              <w:outlineLvl w:val="9"/>
              <w:rPr>
                <w:rFonts w:hint="eastAsia" w:ascii="仿宋" w:hAnsi="仿宋" w:eastAsia="仿宋" w:cs="仿宋"/>
                <w:color w:val="auto"/>
                <w:sz w:val="24"/>
                <w:szCs w:val="24"/>
                <w:highlight w:val="none"/>
              </w:rPr>
            </w:pPr>
          </w:p>
        </w:tc>
      </w:tr>
      <w:tr w14:paraId="220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43B12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004BA64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F9B58E1">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345C04BC">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21113FE">
            <w:pPr>
              <w:adjustRightInd/>
              <w:spacing w:line="380" w:lineRule="exact"/>
              <w:jc w:val="center"/>
              <w:outlineLvl w:val="9"/>
              <w:rPr>
                <w:rFonts w:hint="eastAsia" w:ascii="仿宋" w:hAnsi="仿宋" w:eastAsia="仿宋" w:cs="仿宋"/>
                <w:color w:val="auto"/>
                <w:sz w:val="24"/>
                <w:szCs w:val="24"/>
                <w:highlight w:val="none"/>
              </w:rPr>
            </w:pPr>
          </w:p>
        </w:tc>
      </w:tr>
      <w:tr w14:paraId="560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4" w:type="dxa"/>
            <w:vAlign w:val="center"/>
          </w:tcPr>
          <w:p w14:paraId="20E8DF5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vAlign w:val="center"/>
          </w:tcPr>
          <w:p w14:paraId="4D11127D">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5AA9DD7">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90328C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0DC6AA1D">
            <w:pPr>
              <w:adjustRightInd/>
              <w:spacing w:line="380" w:lineRule="exact"/>
              <w:jc w:val="center"/>
              <w:outlineLvl w:val="9"/>
              <w:rPr>
                <w:rFonts w:hint="eastAsia" w:ascii="仿宋" w:hAnsi="仿宋" w:eastAsia="仿宋" w:cs="仿宋"/>
                <w:color w:val="auto"/>
                <w:sz w:val="24"/>
                <w:szCs w:val="24"/>
                <w:highlight w:val="none"/>
              </w:rPr>
            </w:pPr>
          </w:p>
        </w:tc>
      </w:tr>
    </w:tbl>
    <w:p w14:paraId="35933390">
      <w:pPr>
        <w:jc w:val="left"/>
        <w:rPr>
          <w:rFonts w:hint="eastAsia" w:ascii="仿宋" w:hAnsi="仿宋" w:eastAsia="仿宋" w:cs="仿宋"/>
          <w:color w:val="auto"/>
          <w:kern w:val="0"/>
          <w:sz w:val="24"/>
          <w:highlight w:val="none"/>
        </w:rPr>
      </w:pPr>
    </w:p>
    <w:p w14:paraId="114CC6B8">
      <w:pPr>
        <w:spacing w:line="360" w:lineRule="auto"/>
        <w:ind w:right="420"/>
        <w:rPr>
          <w:rFonts w:hint="eastAsia" w:ascii="仿宋" w:hAnsi="仿宋" w:eastAsia="仿宋" w:cs="仿宋"/>
          <w:b/>
          <w:bCs/>
          <w:color w:val="auto"/>
          <w:sz w:val="32"/>
          <w:szCs w:val="32"/>
          <w:highlight w:val="none"/>
        </w:rPr>
      </w:pPr>
    </w:p>
    <w:p w14:paraId="075839F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325F37C">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2047097">
      <w:pPr>
        <w:widowControl/>
        <w:adjustRightInd/>
        <w:jc w:val="center"/>
        <w:rPr>
          <w:rFonts w:hint="eastAsia" w:ascii="仿宋" w:hAnsi="仿宋" w:eastAsia="仿宋" w:cs="仿宋"/>
          <w:b/>
          <w:bCs/>
          <w:color w:val="auto"/>
          <w:sz w:val="32"/>
          <w:szCs w:val="32"/>
          <w:highlight w:val="none"/>
          <w:lang w:val="en-US" w:eastAsia="zh-CN"/>
        </w:rPr>
      </w:pPr>
    </w:p>
    <w:p w14:paraId="5A4537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注：1.结合磋商文件“采购需求”的要求相比较且对应真实填写，在“偏离说明”栏注明“正偏离”、“负偏离”或“无偏离”。</w:t>
      </w:r>
      <w:r>
        <w:rPr>
          <w:rFonts w:hint="eastAsia" w:ascii="仿宋" w:hAnsi="仿宋" w:eastAsia="仿宋" w:cs="仿宋"/>
          <w:b/>
          <w:bCs/>
          <w:color w:val="auto"/>
          <w:sz w:val="32"/>
          <w:szCs w:val="32"/>
          <w:highlight w:val="none"/>
          <w:lang w:val="en-US" w:eastAsia="zh-CN"/>
        </w:rPr>
        <w:br w:type="page"/>
      </w:r>
    </w:p>
    <w:p w14:paraId="02FAF633">
      <w:pPr>
        <w:pStyle w:val="73"/>
        <w:jc w:val="center"/>
        <w:rPr>
          <w:rFonts w:hint="eastAsia" w:ascii="仿宋" w:hAnsi="仿宋" w:eastAsia="仿宋" w:cs="仿宋"/>
          <w:b/>
          <w:bCs/>
          <w:color w:val="auto"/>
          <w:sz w:val="24"/>
          <w:highlight w:val="none"/>
        </w:rPr>
      </w:pPr>
    </w:p>
    <w:p w14:paraId="132DDCB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、供货方案</w:t>
      </w:r>
    </w:p>
    <w:p w14:paraId="640641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568B04D">
      <w:pPr>
        <w:spacing w:line="336" w:lineRule="auto"/>
        <w:ind w:firstLine="3600" w:firstLineChars="1500"/>
        <w:rPr>
          <w:rFonts w:hint="eastAsia" w:ascii="仿宋" w:hAnsi="仿宋" w:eastAsia="仿宋" w:cs="仿宋"/>
          <w:color w:val="auto"/>
          <w:sz w:val="24"/>
        </w:rPr>
      </w:pPr>
    </w:p>
    <w:p w14:paraId="1B7A62B0">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E7B4B70">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2DE4C0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07B82D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40AD5F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、售后服务</w:t>
      </w:r>
    </w:p>
    <w:p w14:paraId="7F5BF0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B80BE07">
      <w:pPr>
        <w:spacing w:line="336" w:lineRule="auto"/>
        <w:ind w:firstLine="3600" w:firstLineChars="1500"/>
        <w:rPr>
          <w:rFonts w:hint="eastAsia" w:ascii="仿宋" w:hAnsi="仿宋" w:eastAsia="仿宋" w:cs="仿宋"/>
          <w:color w:val="auto"/>
          <w:sz w:val="24"/>
        </w:rPr>
      </w:pPr>
    </w:p>
    <w:p w14:paraId="03F7E744">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9AABEEE">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1645C47A">
      <w:pPr>
        <w:numPr>
          <w:ilvl w:val="0"/>
          <w:numId w:val="0"/>
        </w:numPr>
        <w:spacing w:line="336" w:lineRule="auto"/>
        <w:jc w:val="both"/>
        <w:outlineLvl w:val="0"/>
        <w:rPr>
          <w:rFonts w:hint="eastAsia" w:ascii="仿宋_GB2312" w:hAnsi="仿宋_GB2312" w:eastAsia="仿宋_GB2312" w:cs="仿宋_GB2312"/>
          <w:b/>
          <w:color w:val="auto"/>
          <w:kern w:val="2"/>
          <w:sz w:val="30"/>
          <w:szCs w:val="30"/>
          <w:lang w:val="en-US" w:eastAsia="zh-CN" w:bidi="ar-SA"/>
        </w:rPr>
      </w:pPr>
    </w:p>
    <w:p w14:paraId="56B967D3">
      <w:pPr>
        <w:numPr>
          <w:ilvl w:val="0"/>
          <w:numId w:val="0"/>
        </w:numPr>
        <w:spacing w:line="336" w:lineRule="auto"/>
        <w:jc w:val="center"/>
        <w:outlineLvl w:val="0"/>
        <w:rPr>
          <w:rFonts w:hint="eastAsia" w:ascii="仿宋_GB2312" w:hAnsi="仿宋_GB2312" w:eastAsia="仿宋_GB2312" w:cs="仿宋_GB2312"/>
          <w:b/>
          <w:color w:val="auto"/>
          <w:kern w:val="2"/>
          <w:sz w:val="30"/>
          <w:szCs w:val="30"/>
          <w:lang w:val="en-US" w:eastAsia="zh-CN" w:bidi="ar-SA"/>
        </w:rPr>
      </w:pPr>
    </w:p>
    <w:p w14:paraId="31D340AC">
      <w:pPr>
        <w:numPr>
          <w:ilvl w:val="0"/>
          <w:numId w:val="0"/>
        </w:numPr>
        <w:spacing w:line="336" w:lineRule="auto"/>
        <w:jc w:val="center"/>
        <w:outlineLvl w:val="0"/>
        <w:rPr>
          <w:rFonts w:hint="eastAsia" w:ascii="仿宋" w:hAnsi="仿宋" w:eastAsia="仿宋" w:cs="仿宋"/>
          <w:color w:val="auto"/>
          <w:sz w:val="24"/>
          <w:szCs w:val="24"/>
          <w:lang w:val="en-US" w:eastAsia="zh-CN"/>
        </w:rPr>
      </w:pPr>
      <w:r>
        <w:rPr>
          <w:rFonts w:hint="eastAsia" w:ascii="仿宋_GB2312" w:hAnsi="仿宋_GB2312" w:eastAsia="仿宋_GB2312" w:cs="仿宋_GB2312"/>
          <w:b/>
          <w:color w:val="auto"/>
          <w:kern w:val="2"/>
          <w:sz w:val="30"/>
          <w:szCs w:val="30"/>
          <w:lang w:val="en-US" w:eastAsia="zh-CN" w:bidi="ar-SA"/>
        </w:rPr>
        <w:t>十六、供应商需要说明的其他文件和说明（如果有）</w:t>
      </w:r>
    </w:p>
    <w:p w14:paraId="39E17E04">
      <w:pPr>
        <w:spacing w:line="360" w:lineRule="auto"/>
        <w:jc w:val="center"/>
        <w:rPr>
          <w:rFonts w:ascii="仿宋_GB2312" w:hAnsi="仿宋_GB2312" w:eastAsia="仿宋_GB2312" w:cs="仿宋_GB2312"/>
          <w:color w:val="auto"/>
          <w:sz w:val="24"/>
        </w:rPr>
      </w:pPr>
    </w:p>
    <w:p w14:paraId="7AC6393A">
      <w:pPr>
        <w:spacing w:line="336" w:lineRule="auto"/>
        <w:ind w:firstLine="3600" w:firstLineChars="1500"/>
        <w:rPr>
          <w:rFonts w:ascii="仿宋" w:hAnsi="仿宋" w:eastAsia="仿宋" w:cs="仿宋"/>
          <w:color w:val="auto"/>
          <w:sz w:val="24"/>
        </w:rPr>
      </w:pPr>
    </w:p>
    <w:p w14:paraId="3C32E92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2405342">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380A9054">
      <w:pPr>
        <w:spacing w:line="336" w:lineRule="auto"/>
        <w:jc w:val="center"/>
        <w:outlineLvl w:val="0"/>
        <w:rPr>
          <w:rFonts w:hint="eastAsia" w:ascii="仿宋" w:hAnsi="仿宋" w:eastAsia="仿宋" w:cs="仿宋"/>
          <w:b/>
          <w:color w:val="auto"/>
          <w:kern w:val="0"/>
          <w:sz w:val="36"/>
          <w:szCs w:val="36"/>
        </w:rPr>
      </w:pPr>
    </w:p>
    <w:p w14:paraId="122E74F7">
      <w:pPr>
        <w:spacing w:line="336" w:lineRule="auto"/>
        <w:jc w:val="center"/>
        <w:outlineLvl w:val="0"/>
        <w:rPr>
          <w:rFonts w:hint="eastAsia" w:ascii="仿宋" w:hAnsi="仿宋" w:eastAsia="仿宋" w:cs="仿宋"/>
          <w:b/>
          <w:color w:val="auto"/>
          <w:kern w:val="0"/>
          <w:sz w:val="36"/>
          <w:szCs w:val="36"/>
        </w:rPr>
      </w:pPr>
    </w:p>
    <w:p w14:paraId="27549F9C">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8A0588A">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55562C">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DB46DBC">
      <w:pPr>
        <w:spacing w:line="336" w:lineRule="auto"/>
        <w:jc w:val="center"/>
        <w:outlineLvl w:val="0"/>
        <w:rPr>
          <w:rFonts w:ascii="仿宋" w:hAnsi="仿宋" w:eastAsia="仿宋" w:cs="仿宋"/>
          <w:b/>
          <w:color w:val="auto"/>
          <w:kern w:val="0"/>
          <w:sz w:val="36"/>
          <w:szCs w:val="36"/>
        </w:rPr>
      </w:pPr>
    </w:p>
    <w:p w14:paraId="52E4770B">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1）磋商一览表………………………………………………………………………（页码）</w:t>
      </w:r>
    </w:p>
    <w:p w14:paraId="26CDADBD">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highlight w:val="none"/>
          <w:lang w:val="en-US" w:eastAsia="zh-CN"/>
        </w:rPr>
        <w:t>磋商响应方针对报价需要说明的其他文件和说明（如果有）</w:t>
      </w:r>
      <w:r>
        <w:rPr>
          <w:rFonts w:ascii="仿宋" w:hAnsi="仿宋" w:eastAsia="仿宋" w:cs="仿宋"/>
          <w:color w:val="auto"/>
          <w:sz w:val="24"/>
        </w:rPr>
        <w:t>………………（页码）</w:t>
      </w:r>
    </w:p>
    <w:p w14:paraId="3499CDEB">
      <w:pPr>
        <w:pStyle w:val="73"/>
        <w:rPr>
          <w:color w:val="auto"/>
        </w:rPr>
      </w:pPr>
    </w:p>
    <w:p w14:paraId="5CBD7725">
      <w:pPr>
        <w:snapToGrid w:val="0"/>
        <w:spacing w:line="336" w:lineRule="auto"/>
        <w:jc w:val="center"/>
        <w:rPr>
          <w:rFonts w:ascii="仿宋" w:hAnsi="仿宋" w:eastAsia="仿宋" w:cs="仿宋"/>
          <w:b/>
          <w:color w:val="auto"/>
          <w:kern w:val="0"/>
          <w:sz w:val="32"/>
          <w:szCs w:val="32"/>
        </w:rPr>
      </w:pPr>
    </w:p>
    <w:p w14:paraId="352910B8">
      <w:pPr>
        <w:spacing w:line="336" w:lineRule="auto"/>
        <w:jc w:val="center"/>
        <w:rPr>
          <w:rFonts w:ascii="仿宋" w:hAnsi="仿宋" w:eastAsia="仿宋" w:cs="仿宋"/>
          <w:b/>
          <w:bCs/>
          <w:color w:val="auto"/>
          <w:sz w:val="32"/>
          <w:szCs w:val="32"/>
        </w:rPr>
      </w:pPr>
    </w:p>
    <w:p w14:paraId="7D53D5A4">
      <w:pPr>
        <w:widowControl/>
        <w:adjustRightInd/>
        <w:spacing w:line="336" w:lineRule="auto"/>
        <w:jc w:val="left"/>
        <w:rPr>
          <w:rFonts w:ascii="仿宋" w:hAnsi="仿宋" w:eastAsia="仿宋" w:cs="仿宋"/>
          <w:b/>
          <w:bCs/>
          <w:color w:val="auto"/>
          <w:sz w:val="30"/>
          <w:szCs w:val="30"/>
        </w:rPr>
      </w:pPr>
    </w:p>
    <w:p w14:paraId="6A331071">
      <w:pPr>
        <w:widowControl/>
        <w:adjustRightInd/>
        <w:spacing w:line="336" w:lineRule="auto"/>
        <w:jc w:val="left"/>
        <w:rPr>
          <w:rFonts w:ascii="仿宋" w:hAnsi="仿宋" w:eastAsia="仿宋" w:cs="仿宋"/>
          <w:color w:val="auto"/>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start="1"/>
          <w:cols w:space="720" w:num="1"/>
          <w:titlePg/>
          <w:docGrid w:linePitch="312" w:charSpace="0"/>
        </w:sectPr>
      </w:pPr>
      <w:r>
        <w:rPr>
          <w:rFonts w:ascii="仿宋" w:hAnsi="仿宋" w:eastAsia="仿宋" w:cs="仿宋"/>
          <w:b/>
          <w:color w:val="auto"/>
          <w:sz w:val="36"/>
          <w:szCs w:val="36"/>
        </w:rPr>
        <w:br w:type="page"/>
      </w:r>
    </w:p>
    <w:p w14:paraId="5393DE4E">
      <w:pPr>
        <w:snapToGrid w:val="0"/>
        <w:spacing w:before="50" w:after="120" w:afterLines="50"/>
        <w:jc w:val="center"/>
        <w:rPr>
          <w:rFonts w:ascii="仿宋" w:hAnsi="仿宋" w:eastAsia="仿宋" w:cs="仿宋"/>
          <w:b/>
          <w:bCs/>
          <w:color w:val="auto"/>
          <w:sz w:val="28"/>
          <w:szCs w:val="28"/>
        </w:rPr>
      </w:pPr>
      <w:bookmarkStart w:id="79" w:name="_Toc465665161"/>
      <w:r>
        <w:rPr>
          <w:rFonts w:hint="eastAsia" w:ascii="仿宋_GB2312" w:hAnsi="仿宋_GB2312" w:eastAsia="仿宋_GB2312" w:cs="仿宋_GB2312"/>
          <w:b/>
          <w:color w:val="auto"/>
          <w:kern w:val="2"/>
          <w:sz w:val="30"/>
          <w:szCs w:val="30"/>
          <w:lang w:val="en-US" w:eastAsia="zh-CN" w:bidi="ar-SA"/>
        </w:rPr>
        <w:t>一、磋商一览表</w:t>
      </w:r>
    </w:p>
    <w:p w14:paraId="6328E5E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项目名称：                                        项目编号：   </w:t>
      </w:r>
    </w:p>
    <w:p w14:paraId="709865B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right"/>
        <w:textAlignment w:val="auto"/>
        <w:rPr>
          <w:rFonts w:ascii="仿宋" w:hAnsi="仿宋" w:eastAsia="仿宋" w:cs="仿宋"/>
          <w:b/>
          <w:bCs/>
          <w:color w:val="auto"/>
          <w:sz w:val="24"/>
          <w:szCs w:val="24"/>
        </w:rPr>
      </w:pPr>
      <w:r>
        <w:rPr>
          <w:rFonts w:hint="eastAsia" w:ascii="仿宋" w:hAnsi="仿宋" w:eastAsia="仿宋" w:cs="仿宋"/>
          <w:color w:val="auto"/>
          <w:sz w:val="24"/>
          <w:szCs w:val="24"/>
        </w:rPr>
        <w:t xml:space="preserve">单位：元                </w:t>
      </w:r>
      <w:r>
        <w:rPr>
          <w:rFonts w:hint="eastAsia" w:ascii="仿宋" w:hAnsi="仿宋" w:eastAsia="仿宋" w:cs="仿宋"/>
          <w:b/>
          <w:bCs/>
          <w:color w:val="auto"/>
          <w:sz w:val="24"/>
          <w:szCs w:val="24"/>
        </w:rPr>
        <w:t xml:space="preserve"> </w:t>
      </w:r>
    </w:p>
    <w:tbl>
      <w:tblPr>
        <w:tblStyle w:val="61"/>
        <w:tblW w:w="9261"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20"/>
        <w:gridCol w:w="1581"/>
        <w:gridCol w:w="775"/>
        <w:gridCol w:w="1460"/>
        <w:gridCol w:w="1245"/>
        <w:gridCol w:w="1945"/>
      </w:tblGrid>
      <w:tr w14:paraId="342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35" w:type="dxa"/>
            <w:noWrap w:val="0"/>
            <w:vAlign w:val="center"/>
          </w:tcPr>
          <w:p w14:paraId="49E73EE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520" w:type="dxa"/>
            <w:noWrap w:val="0"/>
            <w:vAlign w:val="center"/>
          </w:tcPr>
          <w:p w14:paraId="270CE697">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1581" w:type="dxa"/>
            <w:noWrap w:val="0"/>
            <w:vAlign w:val="center"/>
          </w:tcPr>
          <w:p w14:paraId="69D61AFB">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w:t>
            </w:r>
          </w:p>
        </w:tc>
        <w:tc>
          <w:tcPr>
            <w:tcW w:w="775" w:type="dxa"/>
            <w:noWrap w:val="0"/>
            <w:vAlign w:val="center"/>
          </w:tcPr>
          <w:p w14:paraId="6E298443">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单位</w:t>
            </w:r>
          </w:p>
        </w:tc>
        <w:tc>
          <w:tcPr>
            <w:tcW w:w="1460" w:type="dxa"/>
            <w:noWrap w:val="0"/>
            <w:vAlign w:val="center"/>
          </w:tcPr>
          <w:p w14:paraId="2048EF7A">
            <w:pPr>
              <w:adjustRightInd/>
              <w:spacing w:line="4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60000元/吨基础铜价时的单价最高限价（元）</w:t>
            </w:r>
          </w:p>
        </w:tc>
        <w:tc>
          <w:tcPr>
            <w:tcW w:w="1245" w:type="dxa"/>
            <w:noWrap w:val="0"/>
            <w:vAlign w:val="center"/>
          </w:tcPr>
          <w:p w14:paraId="6536A78B">
            <w:pPr>
              <w:adjustRightInd/>
              <w:spacing w:line="40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60000元/吨基础铜价时的单价报价（元）</w:t>
            </w:r>
          </w:p>
        </w:tc>
        <w:tc>
          <w:tcPr>
            <w:tcW w:w="1945" w:type="dxa"/>
            <w:noWrap w:val="0"/>
            <w:vAlign w:val="center"/>
          </w:tcPr>
          <w:p w14:paraId="0D557122">
            <w:pPr>
              <w:adjustRightInd/>
              <w:jc w:val="center"/>
              <w:rPr>
                <w:rFonts w:hint="eastAsia" w:ascii="仿宋" w:hAnsi="仿宋" w:eastAsia="仿宋" w:cs="仿宋"/>
                <w:b/>
                <w:bCs/>
                <w:color w:val="auto"/>
                <w:sz w:val="24"/>
                <w:szCs w:val="24"/>
              </w:rPr>
            </w:pPr>
            <w:r>
              <w:rPr>
                <w:rFonts w:hint="eastAsia" w:ascii="仿宋" w:hAnsi="仿宋" w:eastAsia="仿宋" w:cs="仿宋"/>
                <w:color w:val="auto"/>
                <w:kern w:val="0"/>
                <w:sz w:val="24"/>
                <w:szCs w:val="24"/>
              </w:rPr>
              <w:t>以基础铜价为基准，在铜价每</w:t>
            </w:r>
            <w:r>
              <w:rPr>
                <w:rFonts w:hint="eastAsia" w:ascii="仿宋" w:hAnsi="仿宋" w:eastAsia="仿宋" w:cs="仿宋"/>
                <w:color w:val="auto"/>
                <w:kern w:val="0"/>
                <w:sz w:val="24"/>
                <w:szCs w:val="24"/>
                <w:highlight w:val="none"/>
              </w:rPr>
              <w:t>上</w:t>
            </w:r>
            <w:r>
              <w:rPr>
                <w:rFonts w:hint="eastAsia" w:ascii="仿宋" w:hAnsi="仿宋" w:eastAsia="仿宋" w:cs="仿宋"/>
                <w:color w:val="auto"/>
                <w:kern w:val="0"/>
                <w:sz w:val="24"/>
                <w:szCs w:val="24"/>
                <w:highlight w:val="none"/>
                <w:lang w:val="en-US" w:eastAsia="zh-CN"/>
              </w:rPr>
              <w:t>下</w:t>
            </w:r>
            <w:r>
              <w:rPr>
                <w:rFonts w:hint="eastAsia" w:ascii="仿宋" w:hAnsi="仿宋" w:eastAsia="仿宋" w:cs="仿宋"/>
                <w:color w:val="auto"/>
                <w:kern w:val="0"/>
                <w:sz w:val="24"/>
                <w:szCs w:val="24"/>
                <w:highlight w:val="none"/>
              </w:rPr>
              <w:t>浮</w:t>
            </w:r>
            <w:r>
              <w:rPr>
                <w:rFonts w:hint="eastAsia" w:ascii="仿宋" w:hAnsi="仿宋" w:eastAsia="仿宋" w:cs="仿宋"/>
                <w:color w:val="auto"/>
                <w:kern w:val="0"/>
                <w:sz w:val="24"/>
                <w:szCs w:val="24"/>
              </w:rPr>
              <w:t>1000元/吨（含）时，每</w:t>
            </w:r>
            <w:r>
              <w:rPr>
                <w:rFonts w:hint="eastAsia" w:ascii="仿宋" w:hAnsi="仿宋" w:eastAsia="仿宋" w:cs="仿宋"/>
                <w:color w:val="auto"/>
                <w:kern w:val="0"/>
                <w:sz w:val="24"/>
                <w:szCs w:val="24"/>
                <w:lang w:val="en-US" w:eastAsia="zh-CN"/>
              </w:rPr>
              <w:t>千</w:t>
            </w:r>
            <w:r>
              <w:rPr>
                <w:rFonts w:hint="eastAsia" w:ascii="仿宋" w:hAnsi="仿宋" w:eastAsia="仿宋" w:cs="仿宋"/>
                <w:color w:val="auto"/>
                <w:kern w:val="0"/>
                <w:sz w:val="24"/>
                <w:szCs w:val="24"/>
              </w:rPr>
              <w:t>米电源线对应浮</w:t>
            </w:r>
            <w:r>
              <w:rPr>
                <w:rFonts w:hint="eastAsia" w:ascii="仿宋" w:hAnsi="仿宋" w:eastAsia="仿宋" w:cs="仿宋"/>
                <w:color w:val="auto"/>
                <w:kern w:val="0"/>
                <w:sz w:val="24"/>
                <w:szCs w:val="24"/>
                <w:lang w:val="en-US" w:eastAsia="zh-CN"/>
              </w:rPr>
              <w:t>动</w:t>
            </w:r>
            <w:r>
              <w:rPr>
                <w:rFonts w:hint="eastAsia" w:ascii="仿宋" w:hAnsi="仿宋" w:eastAsia="仿宋" w:cs="仿宋"/>
                <w:color w:val="auto"/>
                <w:kern w:val="0"/>
                <w:sz w:val="24"/>
                <w:szCs w:val="24"/>
              </w:rPr>
              <w:t>价格不超过（元）</w:t>
            </w:r>
          </w:p>
        </w:tc>
      </w:tr>
      <w:tr w14:paraId="401F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59303F0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20" w:type="dxa"/>
            <w:noWrap w:val="0"/>
            <w:vAlign w:val="center"/>
          </w:tcPr>
          <w:p w14:paraId="0641AF9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F2BF8A0">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2*1.5</w:t>
            </w:r>
          </w:p>
        </w:tc>
        <w:tc>
          <w:tcPr>
            <w:tcW w:w="775" w:type="dxa"/>
            <w:noWrap w:val="0"/>
            <w:vAlign w:val="center"/>
          </w:tcPr>
          <w:p w14:paraId="4289CF6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7F47C2E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3690</w:t>
            </w:r>
          </w:p>
        </w:tc>
        <w:tc>
          <w:tcPr>
            <w:tcW w:w="1245" w:type="dxa"/>
            <w:noWrap w:val="0"/>
            <w:vAlign w:val="center"/>
          </w:tcPr>
          <w:p w14:paraId="4D8BB8D5">
            <w:pPr>
              <w:adjustRightInd/>
              <w:spacing w:line="400" w:lineRule="exact"/>
              <w:jc w:val="both"/>
              <w:rPr>
                <w:rFonts w:hint="eastAsia" w:ascii="仿宋" w:hAnsi="仿宋" w:eastAsia="仿宋" w:cs="仿宋"/>
                <w:color w:val="auto"/>
                <w:sz w:val="24"/>
                <w:szCs w:val="24"/>
              </w:rPr>
            </w:pPr>
          </w:p>
        </w:tc>
        <w:tc>
          <w:tcPr>
            <w:tcW w:w="1945" w:type="dxa"/>
            <w:noWrap w:val="0"/>
            <w:vAlign w:val="center"/>
          </w:tcPr>
          <w:p w14:paraId="61F598F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077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noWrap w:val="0"/>
            <w:vAlign w:val="center"/>
          </w:tcPr>
          <w:p w14:paraId="30F0FFEE">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20" w:type="dxa"/>
            <w:noWrap w:val="0"/>
            <w:vAlign w:val="center"/>
          </w:tcPr>
          <w:p w14:paraId="3D0DAD0D">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17871782">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BVVB 2*2.5</w:t>
            </w:r>
          </w:p>
        </w:tc>
        <w:tc>
          <w:tcPr>
            <w:tcW w:w="775" w:type="dxa"/>
            <w:noWrap w:val="0"/>
            <w:vAlign w:val="center"/>
          </w:tcPr>
          <w:p w14:paraId="23C4A34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1280554E">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5340</w:t>
            </w:r>
          </w:p>
        </w:tc>
        <w:tc>
          <w:tcPr>
            <w:tcW w:w="1245" w:type="dxa"/>
            <w:noWrap w:val="0"/>
            <w:vAlign w:val="center"/>
          </w:tcPr>
          <w:p w14:paraId="2BB8259F">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6DEE0CE8">
            <w:pPr>
              <w:adjustRightInd/>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r>
      <w:tr w14:paraId="599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122B186F">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20" w:type="dxa"/>
            <w:noWrap w:val="0"/>
            <w:vAlign w:val="center"/>
          </w:tcPr>
          <w:p w14:paraId="20389D78">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613B56B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2*1.5</w:t>
            </w:r>
          </w:p>
        </w:tc>
        <w:tc>
          <w:tcPr>
            <w:tcW w:w="775" w:type="dxa"/>
            <w:noWrap w:val="0"/>
            <w:vAlign w:val="center"/>
          </w:tcPr>
          <w:p w14:paraId="1D77C4BA">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311A8448">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5380</w:t>
            </w:r>
          </w:p>
        </w:tc>
        <w:tc>
          <w:tcPr>
            <w:tcW w:w="1245" w:type="dxa"/>
            <w:noWrap w:val="0"/>
            <w:vAlign w:val="center"/>
          </w:tcPr>
          <w:p w14:paraId="0C5C5B2A">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47EDC634">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22F3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14:paraId="675732FC">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20" w:type="dxa"/>
            <w:noWrap w:val="0"/>
            <w:vAlign w:val="center"/>
          </w:tcPr>
          <w:p w14:paraId="1528E7CF">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3FC73F1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VV  2*2.5</w:t>
            </w:r>
          </w:p>
        </w:tc>
        <w:tc>
          <w:tcPr>
            <w:tcW w:w="775" w:type="dxa"/>
            <w:noWrap w:val="0"/>
            <w:vAlign w:val="center"/>
          </w:tcPr>
          <w:p w14:paraId="0D8FFFD9">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千米</w:t>
            </w:r>
          </w:p>
        </w:tc>
        <w:tc>
          <w:tcPr>
            <w:tcW w:w="1460" w:type="dxa"/>
            <w:noWrap w:val="0"/>
            <w:vAlign w:val="center"/>
          </w:tcPr>
          <w:p w14:paraId="24DEE242">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6490</w:t>
            </w:r>
          </w:p>
        </w:tc>
        <w:tc>
          <w:tcPr>
            <w:tcW w:w="1245" w:type="dxa"/>
            <w:noWrap w:val="0"/>
            <w:vAlign w:val="center"/>
          </w:tcPr>
          <w:p w14:paraId="73A8C9F2">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EF16E5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53CD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29727C1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20" w:type="dxa"/>
            <w:noWrap w:val="0"/>
            <w:vAlign w:val="center"/>
          </w:tcPr>
          <w:p w14:paraId="64C01DE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4B566E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2*1.5</w:t>
            </w:r>
          </w:p>
        </w:tc>
        <w:tc>
          <w:tcPr>
            <w:tcW w:w="775" w:type="dxa"/>
            <w:noWrap w:val="0"/>
            <w:vAlign w:val="center"/>
          </w:tcPr>
          <w:p w14:paraId="248E67DE">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491F8A7A">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5980</w:t>
            </w:r>
          </w:p>
        </w:tc>
        <w:tc>
          <w:tcPr>
            <w:tcW w:w="1245" w:type="dxa"/>
            <w:noWrap w:val="0"/>
            <w:vAlign w:val="center"/>
          </w:tcPr>
          <w:p w14:paraId="10071221">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0F8BE9E1">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w:t>
            </w:r>
          </w:p>
        </w:tc>
      </w:tr>
      <w:tr w14:paraId="57A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70016CA7">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20" w:type="dxa"/>
            <w:noWrap w:val="0"/>
            <w:vAlign w:val="center"/>
          </w:tcPr>
          <w:p w14:paraId="09C3787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903010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2*2.5</w:t>
            </w:r>
          </w:p>
        </w:tc>
        <w:tc>
          <w:tcPr>
            <w:tcW w:w="775" w:type="dxa"/>
            <w:noWrap w:val="0"/>
            <w:vAlign w:val="center"/>
          </w:tcPr>
          <w:p w14:paraId="0FFA40F2">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AF7AEBC">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7590</w:t>
            </w:r>
          </w:p>
        </w:tc>
        <w:tc>
          <w:tcPr>
            <w:tcW w:w="1245" w:type="dxa"/>
            <w:noWrap w:val="0"/>
            <w:vAlign w:val="center"/>
          </w:tcPr>
          <w:p w14:paraId="7D2361F3">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31385E7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kern w:val="0"/>
                <w:sz w:val="24"/>
                <w:szCs w:val="24"/>
                <w:lang w:val="en-US" w:eastAsia="zh-CN"/>
              </w:rPr>
              <w:t>0</w:t>
            </w:r>
          </w:p>
        </w:tc>
      </w:tr>
      <w:tr w14:paraId="268B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13DC3DFD">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20" w:type="dxa"/>
            <w:noWrap w:val="0"/>
            <w:vAlign w:val="center"/>
          </w:tcPr>
          <w:p w14:paraId="08054A88">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0E44CA3B">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2*4</w:t>
            </w:r>
          </w:p>
        </w:tc>
        <w:tc>
          <w:tcPr>
            <w:tcW w:w="775" w:type="dxa"/>
            <w:noWrap w:val="0"/>
            <w:vAlign w:val="center"/>
          </w:tcPr>
          <w:p w14:paraId="58363BD9">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3CAF33F7">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10860</w:t>
            </w:r>
          </w:p>
        </w:tc>
        <w:tc>
          <w:tcPr>
            <w:tcW w:w="1245" w:type="dxa"/>
            <w:noWrap w:val="0"/>
            <w:vAlign w:val="center"/>
          </w:tcPr>
          <w:p w14:paraId="1B4EC4FF">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55E39A8C">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0</w:t>
            </w:r>
          </w:p>
        </w:tc>
      </w:tr>
      <w:tr w14:paraId="69AC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02F705BB">
            <w:pPr>
              <w:adjustRightInd/>
              <w:spacing w:line="40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520" w:type="dxa"/>
            <w:noWrap w:val="0"/>
            <w:vAlign w:val="center"/>
          </w:tcPr>
          <w:p w14:paraId="5859475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铠装电源线</w:t>
            </w:r>
          </w:p>
        </w:tc>
        <w:tc>
          <w:tcPr>
            <w:tcW w:w="1581" w:type="dxa"/>
            <w:noWrap w:val="0"/>
            <w:vAlign w:val="center"/>
          </w:tcPr>
          <w:p w14:paraId="5ED154F0">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VV22 2*6</w:t>
            </w:r>
          </w:p>
        </w:tc>
        <w:tc>
          <w:tcPr>
            <w:tcW w:w="775" w:type="dxa"/>
            <w:noWrap w:val="0"/>
            <w:vAlign w:val="center"/>
          </w:tcPr>
          <w:p w14:paraId="3946564C">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千米</w:t>
            </w:r>
          </w:p>
        </w:tc>
        <w:tc>
          <w:tcPr>
            <w:tcW w:w="1460" w:type="dxa"/>
            <w:noWrap w:val="0"/>
            <w:vAlign w:val="center"/>
          </w:tcPr>
          <w:p w14:paraId="1B16F886">
            <w:pPr>
              <w:widowControl/>
              <w:adjustRightInd/>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14980</w:t>
            </w:r>
          </w:p>
        </w:tc>
        <w:tc>
          <w:tcPr>
            <w:tcW w:w="1245" w:type="dxa"/>
            <w:noWrap w:val="0"/>
            <w:vAlign w:val="center"/>
          </w:tcPr>
          <w:p w14:paraId="01455607">
            <w:pPr>
              <w:widowControl/>
              <w:adjustRightInd/>
              <w:jc w:val="center"/>
              <w:textAlignment w:val="center"/>
              <w:rPr>
                <w:rFonts w:hint="eastAsia" w:ascii="仿宋" w:hAnsi="仿宋" w:eastAsia="仿宋" w:cs="仿宋"/>
                <w:color w:val="auto"/>
                <w:kern w:val="0"/>
                <w:sz w:val="24"/>
                <w:szCs w:val="24"/>
                <w:lang w:bidi="ar"/>
              </w:rPr>
            </w:pPr>
          </w:p>
        </w:tc>
        <w:tc>
          <w:tcPr>
            <w:tcW w:w="1945" w:type="dxa"/>
            <w:noWrap w:val="0"/>
            <w:vAlign w:val="center"/>
          </w:tcPr>
          <w:p w14:paraId="12BB6246">
            <w:pPr>
              <w:adjustRightInd/>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w:t>
            </w:r>
            <w:r>
              <w:rPr>
                <w:rFonts w:hint="eastAsia" w:ascii="仿宋" w:hAnsi="仿宋" w:eastAsia="仿宋" w:cs="仿宋"/>
                <w:color w:val="auto"/>
                <w:kern w:val="0"/>
                <w:sz w:val="24"/>
                <w:szCs w:val="24"/>
                <w:lang w:val="en-US" w:eastAsia="zh-CN"/>
              </w:rPr>
              <w:t>0</w:t>
            </w:r>
          </w:p>
        </w:tc>
      </w:tr>
      <w:tr w14:paraId="09B8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319DCE88">
            <w:pPr>
              <w:adjustRightInd/>
              <w:spacing w:line="400"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w:t>
            </w:r>
          </w:p>
        </w:tc>
        <w:tc>
          <w:tcPr>
            <w:tcW w:w="1520" w:type="dxa"/>
            <w:noWrap w:val="0"/>
            <w:vAlign w:val="center"/>
          </w:tcPr>
          <w:p w14:paraId="42EF8E4F">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AC9AC1E">
            <w:pPr>
              <w:adjustRightInd/>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2*1.5</w:t>
            </w:r>
          </w:p>
        </w:tc>
        <w:tc>
          <w:tcPr>
            <w:tcW w:w="775" w:type="dxa"/>
            <w:noWrap w:val="0"/>
            <w:vAlign w:val="center"/>
          </w:tcPr>
          <w:p w14:paraId="73CCAD5E">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0A52145B">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3690</w:t>
            </w:r>
          </w:p>
        </w:tc>
        <w:tc>
          <w:tcPr>
            <w:tcW w:w="1245" w:type="dxa"/>
            <w:noWrap w:val="0"/>
            <w:vAlign w:val="center"/>
          </w:tcPr>
          <w:p w14:paraId="1D1870A7">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3DE744B7">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±22</w:t>
            </w:r>
          </w:p>
        </w:tc>
      </w:tr>
      <w:tr w14:paraId="6851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5" w:type="dxa"/>
            <w:noWrap w:val="0"/>
            <w:vAlign w:val="center"/>
          </w:tcPr>
          <w:p w14:paraId="65065DDA">
            <w:pPr>
              <w:adjustRightInd/>
              <w:spacing w:line="40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1520" w:type="dxa"/>
            <w:noWrap w:val="0"/>
            <w:vAlign w:val="center"/>
          </w:tcPr>
          <w:p w14:paraId="6137889D">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铜芯电源线</w:t>
            </w:r>
          </w:p>
        </w:tc>
        <w:tc>
          <w:tcPr>
            <w:tcW w:w="1581" w:type="dxa"/>
            <w:noWrap w:val="0"/>
            <w:vAlign w:val="center"/>
          </w:tcPr>
          <w:p w14:paraId="216542B6">
            <w:pPr>
              <w:adjustRightInd/>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RVV</w:t>
            </w:r>
            <w:r>
              <w:rPr>
                <w:rFonts w:hint="eastAsia" w:ascii="仿宋" w:hAnsi="仿宋" w:eastAsia="仿宋" w:cs="仿宋"/>
                <w:color w:val="auto"/>
                <w:kern w:val="0"/>
                <w:sz w:val="24"/>
                <w:szCs w:val="24"/>
              </w:rPr>
              <w:t xml:space="preserve"> 2*2.5</w:t>
            </w:r>
          </w:p>
        </w:tc>
        <w:tc>
          <w:tcPr>
            <w:tcW w:w="775" w:type="dxa"/>
            <w:noWrap w:val="0"/>
            <w:vAlign w:val="center"/>
          </w:tcPr>
          <w:p w14:paraId="3E6D8E59">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千米</w:t>
            </w:r>
          </w:p>
        </w:tc>
        <w:tc>
          <w:tcPr>
            <w:tcW w:w="1460" w:type="dxa"/>
            <w:noWrap w:val="0"/>
            <w:vAlign w:val="center"/>
          </w:tcPr>
          <w:p w14:paraId="147C8A0C">
            <w:pPr>
              <w:adjustRightInd/>
              <w:spacing w:line="40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5340</w:t>
            </w:r>
          </w:p>
        </w:tc>
        <w:tc>
          <w:tcPr>
            <w:tcW w:w="1245" w:type="dxa"/>
            <w:noWrap w:val="0"/>
            <w:vAlign w:val="center"/>
          </w:tcPr>
          <w:p w14:paraId="7D393565">
            <w:pPr>
              <w:adjustRightInd/>
              <w:spacing w:line="400" w:lineRule="exact"/>
              <w:jc w:val="center"/>
              <w:rPr>
                <w:rFonts w:hint="eastAsia" w:ascii="仿宋" w:hAnsi="仿宋" w:eastAsia="仿宋" w:cs="仿宋"/>
                <w:color w:val="auto"/>
                <w:sz w:val="24"/>
                <w:szCs w:val="24"/>
              </w:rPr>
            </w:pPr>
          </w:p>
        </w:tc>
        <w:tc>
          <w:tcPr>
            <w:tcW w:w="1945" w:type="dxa"/>
            <w:noWrap w:val="0"/>
            <w:vAlign w:val="center"/>
          </w:tcPr>
          <w:p w14:paraId="7A6BBCCB">
            <w:pPr>
              <w:adjustRightInd/>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±28</w:t>
            </w:r>
          </w:p>
        </w:tc>
      </w:tr>
      <w:tr w14:paraId="12D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6271DE69">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（小写）：</w:t>
            </w:r>
          </w:p>
        </w:tc>
        <w:tc>
          <w:tcPr>
            <w:tcW w:w="3190" w:type="dxa"/>
            <w:gridSpan w:val="2"/>
            <w:noWrap w:val="0"/>
            <w:vAlign w:val="center"/>
          </w:tcPr>
          <w:p w14:paraId="56C8EEDE">
            <w:pPr>
              <w:adjustRightInd/>
              <w:jc w:val="center"/>
              <w:rPr>
                <w:rFonts w:hint="eastAsia" w:ascii="仿宋" w:hAnsi="仿宋" w:eastAsia="仿宋" w:cs="仿宋"/>
                <w:color w:val="auto"/>
                <w:kern w:val="0"/>
                <w:sz w:val="24"/>
                <w:szCs w:val="24"/>
              </w:rPr>
            </w:pPr>
          </w:p>
        </w:tc>
      </w:tr>
      <w:tr w14:paraId="108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71" w:type="dxa"/>
            <w:gridSpan w:val="5"/>
            <w:noWrap w:val="0"/>
            <w:vAlign w:val="center"/>
          </w:tcPr>
          <w:p w14:paraId="2F814E53">
            <w:pPr>
              <w:adjustRightIn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单价合计</w:t>
            </w:r>
            <w:r>
              <w:rPr>
                <w:rFonts w:hint="eastAsia" w:ascii="仿宋" w:hAnsi="仿宋" w:eastAsia="仿宋" w:cs="仿宋"/>
                <w:color w:val="auto"/>
                <w:kern w:val="0"/>
                <w:sz w:val="24"/>
                <w:szCs w:val="24"/>
                <w:lang w:val="en-US" w:eastAsia="zh-CN"/>
              </w:rPr>
              <w:t>（大写）：</w:t>
            </w:r>
          </w:p>
        </w:tc>
        <w:tc>
          <w:tcPr>
            <w:tcW w:w="3190" w:type="dxa"/>
            <w:gridSpan w:val="2"/>
            <w:noWrap w:val="0"/>
            <w:vAlign w:val="center"/>
          </w:tcPr>
          <w:p w14:paraId="0F7B67C4">
            <w:pPr>
              <w:adjustRightInd/>
              <w:jc w:val="center"/>
              <w:rPr>
                <w:rFonts w:hint="eastAsia" w:ascii="仿宋" w:hAnsi="仿宋" w:eastAsia="仿宋" w:cs="仿宋"/>
                <w:color w:val="auto"/>
                <w:kern w:val="0"/>
                <w:sz w:val="24"/>
                <w:szCs w:val="24"/>
              </w:rPr>
            </w:pPr>
          </w:p>
        </w:tc>
      </w:tr>
    </w:tbl>
    <w:p w14:paraId="66937A7A">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注：1.报价一经涂改，应在涂改处加盖单位公章或者由法定代表人或授权委托人签字或盖章，否则其投标作无效标处理。</w:t>
      </w:r>
    </w:p>
    <w:p w14:paraId="1B1D4C3D">
      <w:pPr>
        <w:pStyle w:val="76"/>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磋商响应报价是完成本项目服务内容和要求所产生的所有费用，包括但不限于提供服务所需的检测试验费、技术工作费、交通费、人员费、仪器设备采购和使用费、服务费、标准附件、备品备件、验收、质保期内的维护费、专用工具、包装、运输、装卸、培训、保修、企业管理费、保险费、招标代理费、税金等完成合同所需的一切本身和不可或缺的所有工作开支、政策性文件规定计合同包含的所有风险、责任等各项全部费用。</w:t>
      </w:r>
    </w:p>
    <w:p w14:paraId="6D8B1ACC">
      <w:pPr>
        <w:pStyle w:val="638"/>
        <w:tabs>
          <w:tab w:val="left" w:pos="900"/>
        </w:tabs>
        <w:spacing w:after="0" w:afterLines="0"/>
        <w:ind w:left="0" w:firstLine="48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highlight w:val="none"/>
          <w:lang w:val="en-US" w:eastAsia="zh-CN"/>
        </w:rPr>
        <w:t>投标人报价不得超过单价最高限价，否则作无效标处理。</w:t>
      </w:r>
    </w:p>
    <w:p w14:paraId="5A820540">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 w:val="24"/>
          <w:szCs w:val="24"/>
          <w:lang w:val="en-US" w:eastAsia="zh-CN"/>
        </w:rPr>
        <w:t>4.按国家规定由中标人缴纳的各种税收已包含在投标总价内，由中标人向税务机关缴纳。</w:t>
      </w:r>
    </w:p>
    <w:p w14:paraId="529D2D2B">
      <w:pPr>
        <w:snapToGrid w:val="0"/>
        <w:spacing w:before="50" w:after="120" w:afterLines="50" w:line="460" w:lineRule="exact"/>
        <w:jc w:val="left"/>
        <w:rPr>
          <w:rFonts w:ascii="仿宋" w:hAnsi="仿宋" w:eastAsia="仿宋" w:cs="仿宋"/>
          <w:color w:val="auto"/>
          <w:sz w:val="24"/>
          <w:szCs w:val="24"/>
        </w:rPr>
      </w:pPr>
    </w:p>
    <w:p w14:paraId="1285C1A9">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331660B">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11B58F8C">
      <w:pPr>
        <w:snapToGrid w:val="0"/>
        <w:spacing w:before="50" w:after="120" w:afterLines="50" w:line="460" w:lineRule="exact"/>
        <w:jc w:val="right"/>
        <w:rPr>
          <w:rFonts w:ascii="仿宋" w:hAnsi="仿宋" w:eastAsia="仿宋" w:cs="仿宋"/>
          <w:color w:val="auto"/>
          <w:sz w:val="24"/>
          <w:szCs w:val="24"/>
        </w:rPr>
      </w:pPr>
      <w:r>
        <w:rPr>
          <w:rFonts w:hint="eastAsia" w:ascii="仿宋" w:hAnsi="仿宋" w:eastAsia="仿宋" w:cs="仿宋"/>
          <w:color w:val="auto"/>
          <w:sz w:val="24"/>
          <w:szCs w:val="24"/>
        </w:rPr>
        <w:t>日期：</w:t>
      </w:r>
    </w:p>
    <w:p w14:paraId="2D989C7E">
      <w:pPr>
        <w:widowControl/>
        <w:adjustRightInd/>
        <w:spacing w:line="336" w:lineRule="auto"/>
        <w:jc w:val="left"/>
        <w:rPr>
          <w:rFonts w:ascii="仿宋" w:hAnsi="仿宋" w:eastAsia="仿宋" w:cs="仿宋"/>
          <w:b/>
          <w:color w:val="auto"/>
          <w:sz w:val="32"/>
          <w:szCs w:val="32"/>
        </w:rPr>
      </w:pPr>
    </w:p>
    <w:p w14:paraId="09709006">
      <w:pPr>
        <w:widowControl/>
        <w:adjustRightInd/>
        <w:spacing w:line="336" w:lineRule="auto"/>
        <w:jc w:val="left"/>
        <w:rPr>
          <w:rFonts w:ascii="仿宋" w:hAnsi="仿宋" w:eastAsia="仿宋" w:cs="仿宋"/>
          <w:b/>
          <w:color w:val="auto"/>
          <w:sz w:val="32"/>
          <w:szCs w:val="32"/>
        </w:rPr>
      </w:pPr>
    </w:p>
    <w:p w14:paraId="7DFB9016">
      <w:pPr>
        <w:widowControl/>
        <w:adjustRightInd/>
        <w:spacing w:line="336" w:lineRule="auto"/>
        <w:jc w:val="left"/>
        <w:rPr>
          <w:rFonts w:ascii="仿宋" w:hAnsi="仿宋" w:eastAsia="仿宋" w:cs="仿宋"/>
          <w:b/>
          <w:color w:val="auto"/>
          <w:sz w:val="32"/>
          <w:szCs w:val="32"/>
        </w:rPr>
      </w:pPr>
    </w:p>
    <w:p w14:paraId="79F9339E">
      <w:pPr>
        <w:jc w:val="center"/>
        <w:rPr>
          <w:rFonts w:hint="eastAsia" w:ascii="仿宋_GB2312" w:hAnsi="仿宋_GB2312" w:eastAsia="仿宋_GB2312" w:cs="仿宋_GB2312"/>
          <w:b/>
          <w:color w:val="auto"/>
          <w:kern w:val="2"/>
          <w:sz w:val="30"/>
          <w:szCs w:val="30"/>
          <w:lang w:val="en-US" w:eastAsia="zh-CN" w:bidi="ar-SA"/>
        </w:rPr>
      </w:pPr>
    </w:p>
    <w:p w14:paraId="5FE60DCE">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二、磋商响应方针对报价需要说明的其他文件和说明（如果有）</w:t>
      </w:r>
    </w:p>
    <w:p w14:paraId="7CF3CC85">
      <w:pPr>
        <w:spacing w:line="336" w:lineRule="auto"/>
        <w:ind w:firstLine="3600" w:firstLineChars="1500"/>
        <w:rPr>
          <w:rFonts w:hint="eastAsia" w:ascii="仿宋" w:hAnsi="仿宋" w:eastAsia="仿宋" w:cs="仿宋"/>
          <w:color w:val="auto"/>
          <w:sz w:val="24"/>
        </w:rPr>
      </w:pPr>
    </w:p>
    <w:p w14:paraId="50AABE4A">
      <w:pPr>
        <w:spacing w:line="336" w:lineRule="auto"/>
        <w:ind w:firstLine="3600" w:firstLineChars="1500"/>
        <w:rPr>
          <w:rFonts w:hint="eastAsia" w:ascii="仿宋" w:hAnsi="仿宋" w:eastAsia="仿宋" w:cs="仿宋"/>
          <w:color w:val="auto"/>
          <w:sz w:val="24"/>
        </w:rPr>
      </w:pPr>
    </w:p>
    <w:p w14:paraId="16813E7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80E7CD0">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15C816B2">
      <w:pPr>
        <w:pStyle w:val="2"/>
        <w:numPr>
          <w:ilvl w:val="0"/>
          <w:numId w:val="0"/>
        </w:numPr>
        <w:ind w:leftChars="0"/>
        <w:rPr>
          <w:color w:val="auto"/>
        </w:rPr>
      </w:pPr>
    </w:p>
    <w:p w14:paraId="5F8D1B05">
      <w:pPr>
        <w:pStyle w:val="2"/>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9"/>
    </w:p>
    <w:p w14:paraId="04B4E5DD">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1：质疑函范本及制作说明</w:t>
      </w:r>
    </w:p>
    <w:p w14:paraId="11A625C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FC33383">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4CEED1F">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p>
    <w:p w14:paraId="267C83C6">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3006A1E6">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联系人：联系电话：</w:t>
      </w:r>
    </w:p>
    <w:p w14:paraId="2A69E96C">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p>
    <w:p w14:paraId="0A74F848">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p>
    <w:p w14:paraId="1FE340CE">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4CCA53A2">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D11AC5B">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p>
    <w:p w14:paraId="5EA25E91">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质疑项目的编号：包号：</w:t>
      </w:r>
    </w:p>
    <w:p w14:paraId="702FED0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p>
    <w:p w14:paraId="55C254B3">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p>
    <w:p w14:paraId="749335C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1FB50A9B">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p>
    <w:p w14:paraId="76A52577">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p>
    <w:p w14:paraId="0B979CAA">
      <w:pPr>
        <w:snapToGrid w:val="0"/>
        <w:spacing w:line="336" w:lineRule="auto"/>
        <w:rPr>
          <w:rFonts w:ascii="仿宋" w:hAnsi="仿宋" w:eastAsia="仿宋" w:cs="仿宋"/>
          <w:color w:val="auto"/>
          <w:sz w:val="24"/>
        </w:rPr>
      </w:pPr>
    </w:p>
    <w:p w14:paraId="7DBE9995">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p>
    <w:p w14:paraId="3EE1AE0F">
      <w:pPr>
        <w:snapToGrid w:val="0"/>
        <w:spacing w:line="336" w:lineRule="auto"/>
        <w:rPr>
          <w:rFonts w:ascii="仿宋" w:hAnsi="仿宋" w:eastAsia="仿宋" w:cs="仿宋"/>
          <w:color w:val="auto"/>
          <w:sz w:val="24"/>
          <w:u w:val="dotted"/>
        </w:rPr>
      </w:pPr>
    </w:p>
    <w:p w14:paraId="67407291">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19FE31DC">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3D074E2A">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316B4A14">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p>
    <w:p w14:paraId="49D1A758">
      <w:pPr>
        <w:spacing w:line="336" w:lineRule="auto"/>
        <w:rPr>
          <w:rFonts w:ascii="仿宋" w:hAnsi="仿宋" w:eastAsia="仿宋" w:cs="仿宋"/>
          <w:color w:val="auto"/>
          <w:sz w:val="24"/>
        </w:rPr>
      </w:pPr>
    </w:p>
    <w:p w14:paraId="419431CA">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301EC489">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5A6E6234">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156B6097">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118F929F">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2150ED3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4DFF91E0">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7B6D4119">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1A89E3DE">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w:t>
      </w:r>
      <w:r>
        <w:rPr>
          <w:rFonts w:hint="eastAsia" w:ascii="仿宋" w:hAnsi="仿宋" w:eastAsia="仿宋" w:cs="仿宋"/>
          <w:color w:val="auto"/>
          <w:sz w:val="24"/>
          <w:lang w:eastAsia="zh-CN"/>
        </w:rPr>
        <w:t>名</w:t>
      </w:r>
      <w:r>
        <w:rPr>
          <w:rFonts w:ascii="仿宋" w:hAnsi="仿宋" w:eastAsia="仿宋" w:cs="仿宋"/>
          <w:color w:val="auto"/>
          <w:sz w:val="24"/>
        </w:rPr>
        <w:t>；质疑供应商为法人或者其他组织的，质疑函应由法定代表人、主要负责人，或者其授权代表签</w:t>
      </w:r>
      <w:r>
        <w:rPr>
          <w:rFonts w:hint="eastAsia" w:ascii="仿宋" w:hAnsi="仿宋" w:eastAsia="仿宋" w:cs="仿宋"/>
          <w:color w:val="auto"/>
          <w:sz w:val="24"/>
          <w:lang w:eastAsia="zh-CN"/>
        </w:rPr>
        <w:t>名</w:t>
      </w:r>
      <w:r>
        <w:rPr>
          <w:rFonts w:ascii="仿宋" w:hAnsi="仿宋" w:eastAsia="仿宋" w:cs="仿宋"/>
          <w:color w:val="auto"/>
          <w:sz w:val="24"/>
        </w:rPr>
        <w:t>或者盖章，并加盖公章。</w:t>
      </w:r>
    </w:p>
    <w:p w14:paraId="6DEECA53">
      <w:pPr>
        <w:widowControl/>
        <w:spacing w:line="336" w:lineRule="auto"/>
        <w:ind w:firstLine="600" w:firstLineChars="200"/>
        <w:jc w:val="left"/>
        <w:rPr>
          <w:rFonts w:ascii="仿宋" w:hAnsi="仿宋" w:eastAsia="仿宋" w:cs="仿宋"/>
          <w:color w:val="auto"/>
          <w:sz w:val="30"/>
          <w:szCs w:val="30"/>
        </w:rPr>
      </w:pPr>
    </w:p>
    <w:p w14:paraId="1F9BE429">
      <w:pPr>
        <w:spacing w:line="336" w:lineRule="auto"/>
        <w:jc w:val="left"/>
        <w:rPr>
          <w:rFonts w:ascii="仿宋" w:hAnsi="仿宋" w:eastAsia="仿宋" w:cs="仿宋"/>
          <w:b/>
          <w:color w:val="auto"/>
          <w:spacing w:val="6"/>
          <w:sz w:val="32"/>
          <w:szCs w:val="32"/>
        </w:rPr>
      </w:pPr>
      <w:r>
        <w:rPr>
          <w:rFonts w:ascii="仿宋" w:hAnsi="仿宋" w:eastAsia="仿宋" w:cs="仿宋"/>
          <w:b/>
          <w:color w:val="auto"/>
          <w:sz w:val="24"/>
        </w:rPr>
        <w:br w:type="page"/>
      </w: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2：投诉书范本及制作说明</w:t>
      </w:r>
    </w:p>
    <w:p w14:paraId="48EF6184">
      <w:pPr>
        <w:spacing w:line="336" w:lineRule="auto"/>
        <w:jc w:val="center"/>
        <w:rPr>
          <w:rFonts w:ascii="仿宋" w:hAnsi="仿宋" w:eastAsia="仿宋" w:cs="仿宋"/>
          <w:b/>
          <w:color w:val="auto"/>
          <w:sz w:val="24"/>
        </w:rPr>
      </w:pPr>
    </w:p>
    <w:p w14:paraId="40A84563">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8C55165">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02D7570C">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p>
    <w:p w14:paraId="3F6ABED6">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6ED8FDF1">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p>
    <w:p w14:paraId="39169827">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p>
    <w:p w14:paraId="7C717189">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4F60CAE6">
      <w:pPr>
        <w:spacing w:line="336" w:lineRule="auto"/>
        <w:rPr>
          <w:rFonts w:ascii="仿宋" w:hAnsi="仿宋" w:eastAsia="仿宋" w:cs="仿宋"/>
          <w:color w:val="auto"/>
          <w:sz w:val="24"/>
          <w:u w:val="dotted"/>
        </w:rPr>
      </w:pPr>
      <w:r>
        <w:rPr>
          <w:rFonts w:hint="eastAsia" w:ascii="仿宋" w:hAnsi="仿宋" w:eastAsia="仿宋" w:cs="仿宋"/>
          <w:color w:val="auto"/>
          <w:sz w:val="24"/>
        </w:rPr>
        <w:t>地址：邮编：</w:t>
      </w:r>
    </w:p>
    <w:p w14:paraId="1532A924">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p>
    <w:p w14:paraId="60A7736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016AC22E">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143C86B6">
      <w:pPr>
        <w:spacing w:line="336"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3DDE911D">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75F6E4">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p>
    <w:p w14:paraId="394D507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40215548">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245F6A59">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7226E6E">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p>
    <w:p w14:paraId="676128A9">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采购项目编号：包号：</w:t>
      </w:r>
    </w:p>
    <w:p w14:paraId="1B249E11">
      <w:pPr>
        <w:spacing w:line="336" w:lineRule="auto"/>
        <w:rPr>
          <w:rFonts w:ascii="仿宋" w:hAnsi="仿宋" w:eastAsia="仿宋" w:cs="仿宋"/>
          <w:color w:val="auto"/>
          <w:sz w:val="24"/>
        </w:rPr>
      </w:pPr>
      <w:r>
        <w:rPr>
          <w:rFonts w:hint="eastAsia" w:ascii="仿宋" w:hAnsi="仿宋" w:eastAsia="仿宋" w:cs="仿宋"/>
          <w:color w:val="auto"/>
          <w:sz w:val="24"/>
        </w:rPr>
        <w:t>采购人名称：</w:t>
      </w:r>
    </w:p>
    <w:p w14:paraId="6CC1C118">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p>
    <w:p w14:paraId="47364C0D">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473AAE6">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63E13A21">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2202F848">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投诉人于年月日</w:t>
      </w:r>
      <w:r>
        <w:rPr>
          <w:rFonts w:ascii="仿宋" w:hAnsi="仿宋" w:eastAsia="仿宋" w:cs="仿宋"/>
          <w:color w:val="auto"/>
          <w:sz w:val="24"/>
        </w:rPr>
        <w:t>,向提出质疑，质疑事项为：</w:t>
      </w:r>
    </w:p>
    <w:p w14:paraId="0BDAFD47">
      <w:pPr>
        <w:spacing w:line="336" w:lineRule="auto"/>
        <w:rPr>
          <w:rFonts w:ascii="仿宋" w:hAnsi="仿宋" w:eastAsia="仿宋" w:cs="仿宋"/>
          <w:color w:val="auto"/>
          <w:sz w:val="24"/>
          <w:u w:val="dotted"/>
        </w:rPr>
      </w:pPr>
    </w:p>
    <w:p w14:paraId="7F239132">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于年月日</w:t>
      </w:r>
      <w:r>
        <w:rPr>
          <w:rFonts w:ascii="仿宋" w:hAnsi="仿宋" w:eastAsia="仿宋" w:cs="仿宋"/>
          <w:color w:val="auto"/>
          <w:sz w:val="24"/>
        </w:rPr>
        <w:t>,就质疑事项作出了答复/没有在法定期限内作出答复。</w:t>
      </w:r>
    </w:p>
    <w:p w14:paraId="4E49E50C">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3B582DEB">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p>
    <w:p w14:paraId="448DE418">
      <w:pPr>
        <w:spacing w:line="336" w:lineRule="auto"/>
        <w:rPr>
          <w:rFonts w:ascii="仿宋" w:hAnsi="仿宋" w:eastAsia="仿宋" w:cs="仿宋"/>
          <w:color w:val="auto"/>
          <w:sz w:val="24"/>
        </w:rPr>
      </w:pPr>
      <w:r>
        <w:rPr>
          <w:rFonts w:hint="eastAsia" w:ascii="仿宋" w:hAnsi="仿宋" w:eastAsia="仿宋" w:cs="仿宋"/>
          <w:color w:val="auto"/>
          <w:sz w:val="24"/>
        </w:rPr>
        <w:t>事实依据：</w:t>
      </w:r>
    </w:p>
    <w:p w14:paraId="60E70373">
      <w:pPr>
        <w:spacing w:line="336" w:lineRule="auto"/>
        <w:rPr>
          <w:rFonts w:ascii="仿宋" w:hAnsi="仿宋" w:eastAsia="仿宋" w:cs="仿宋"/>
          <w:color w:val="auto"/>
          <w:sz w:val="24"/>
          <w:u w:val="dotted"/>
        </w:rPr>
      </w:pPr>
    </w:p>
    <w:p w14:paraId="7FA3C8EB">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p>
    <w:p w14:paraId="473C1FAD">
      <w:pPr>
        <w:spacing w:line="336" w:lineRule="auto"/>
        <w:rPr>
          <w:rFonts w:ascii="仿宋" w:hAnsi="仿宋" w:eastAsia="仿宋" w:cs="仿宋"/>
          <w:color w:val="auto"/>
          <w:sz w:val="24"/>
          <w:u w:val="dotted"/>
        </w:rPr>
      </w:pPr>
    </w:p>
    <w:p w14:paraId="625442D5">
      <w:pPr>
        <w:spacing w:line="336"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36EEEF50">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8FAC8BD">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793F2735">
      <w:pPr>
        <w:spacing w:line="336" w:lineRule="auto"/>
        <w:rPr>
          <w:rFonts w:ascii="仿宋" w:hAnsi="仿宋" w:eastAsia="仿宋" w:cs="仿宋"/>
          <w:color w:val="auto"/>
          <w:sz w:val="24"/>
        </w:rPr>
      </w:pPr>
      <w:r>
        <w:rPr>
          <w:rFonts w:hint="eastAsia" w:ascii="仿宋" w:hAnsi="仿宋" w:eastAsia="仿宋" w:cs="仿宋"/>
          <w:color w:val="auto"/>
          <w:sz w:val="24"/>
        </w:rPr>
        <w:t>请求：</w:t>
      </w:r>
    </w:p>
    <w:p w14:paraId="7A787EDE">
      <w:pPr>
        <w:spacing w:line="336" w:lineRule="auto"/>
        <w:rPr>
          <w:rFonts w:ascii="仿宋" w:hAnsi="仿宋" w:eastAsia="仿宋" w:cs="仿宋"/>
          <w:color w:val="auto"/>
          <w:sz w:val="24"/>
          <w:u w:val="single"/>
        </w:rPr>
      </w:pPr>
    </w:p>
    <w:p w14:paraId="25855632">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608FF5C6">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1573919">
      <w:pPr>
        <w:spacing w:line="336" w:lineRule="auto"/>
        <w:rPr>
          <w:rFonts w:ascii="仿宋" w:hAnsi="仿宋" w:eastAsia="仿宋" w:cs="仿宋"/>
          <w:b/>
          <w:color w:val="auto"/>
          <w:sz w:val="24"/>
        </w:rPr>
      </w:pPr>
    </w:p>
    <w:p w14:paraId="3CA67677">
      <w:pPr>
        <w:spacing w:line="336" w:lineRule="auto"/>
        <w:rPr>
          <w:rFonts w:ascii="仿宋" w:hAnsi="仿宋" w:eastAsia="仿宋" w:cs="仿宋"/>
          <w:b/>
          <w:color w:val="auto"/>
          <w:sz w:val="24"/>
        </w:rPr>
      </w:pPr>
    </w:p>
    <w:p w14:paraId="3FB72958">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1C25A355">
      <w:pPr>
        <w:widowControl/>
        <w:spacing w:line="336"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070ADF1C">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BAB112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3ADD5D32">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3D923251">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4CCFFA58">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1AD08784">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4891074">
      <w:pPr>
        <w:spacing w:line="336" w:lineRule="auto"/>
        <w:rPr>
          <w:rFonts w:ascii="仿宋" w:hAnsi="仿宋" w:eastAsia="仿宋" w:cs="仿宋"/>
          <w:b/>
          <w:color w:val="auto"/>
          <w:sz w:val="24"/>
        </w:rPr>
      </w:pPr>
    </w:p>
    <w:p w14:paraId="0723A4FE">
      <w:pPr>
        <w:widowControl/>
        <w:adjustRightInd/>
        <w:spacing w:line="336" w:lineRule="auto"/>
        <w:jc w:val="left"/>
        <w:rPr>
          <w:rFonts w:ascii="仿宋" w:hAnsi="仿宋" w:eastAsia="仿宋" w:cs="仿宋"/>
          <w:b/>
          <w:color w:val="auto"/>
          <w:sz w:val="24"/>
        </w:rPr>
      </w:pPr>
      <w:r>
        <w:rPr>
          <w:rFonts w:ascii="仿宋" w:hAnsi="仿宋" w:eastAsia="仿宋" w:cs="仿宋"/>
          <w:b/>
          <w:color w:val="auto"/>
          <w:sz w:val="24"/>
        </w:rPr>
        <w:br w:type="page"/>
      </w:r>
    </w:p>
    <w:p w14:paraId="2515F6ED">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w:t>
      </w:r>
      <w:r>
        <w:rPr>
          <w:rFonts w:ascii="仿宋" w:hAnsi="仿宋" w:eastAsia="仿宋" w:cs="仿宋"/>
          <w:b/>
          <w:color w:val="auto"/>
          <w:sz w:val="32"/>
          <w:szCs w:val="32"/>
        </w:rPr>
        <w:t>3：</w:t>
      </w:r>
      <w:r>
        <w:rPr>
          <w:rFonts w:hint="eastAsia" w:ascii="仿宋" w:hAnsi="仿宋" w:eastAsia="仿宋" w:cs="仿宋"/>
          <w:b/>
          <w:bCs/>
          <w:color w:val="auto"/>
          <w:sz w:val="32"/>
          <w:szCs w:val="32"/>
        </w:rPr>
        <w:t>业务专用章使用说明函</w:t>
      </w:r>
    </w:p>
    <w:p w14:paraId="170EC57F">
      <w:pPr>
        <w:autoSpaceDE w:val="0"/>
        <w:autoSpaceDN w:val="0"/>
        <w:spacing w:line="336" w:lineRule="auto"/>
        <w:jc w:val="center"/>
        <w:rPr>
          <w:rFonts w:ascii="仿宋" w:hAnsi="仿宋" w:eastAsia="仿宋" w:cs="仿宋"/>
          <w:b/>
          <w:bCs/>
          <w:color w:val="auto"/>
          <w:sz w:val="32"/>
          <w:szCs w:val="32"/>
        </w:rPr>
      </w:pPr>
    </w:p>
    <w:p w14:paraId="1635D1B9">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62FDAFFC">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3E65BA5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3E84D312">
      <w:pPr>
        <w:spacing w:line="336" w:lineRule="auto"/>
        <w:ind w:firstLine="494"/>
        <w:rPr>
          <w:rFonts w:ascii="仿宋" w:hAnsi="仿宋" w:eastAsia="仿宋" w:cs="仿宋"/>
          <w:color w:val="auto"/>
          <w:sz w:val="24"/>
        </w:rPr>
      </w:pPr>
    </w:p>
    <w:p w14:paraId="3E90DB13">
      <w:pPr>
        <w:spacing w:line="336" w:lineRule="auto"/>
        <w:ind w:firstLine="494"/>
        <w:rPr>
          <w:rFonts w:ascii="仿宋" w:hAnsi="仿宋" w:eastAsia="仿宋" w:cs="仿宋"/>
          <w:color w:val="auto"/>
          <w:sz w:val="24"/>
        </w:rPr>
      </w:pPr>
    </w:p>
    <w:p w14:paraId="5441474C">
      <w:pPr>
        <w:spacing w:line="336" w:lineRule="auto"/>
        <w:ind w:firstLine="494"/>
        <w:rPr>
          <w:rFonts w:ascii="仿宋" w:hAnsi="仿宋" w:eastAsia="仿宋" w:cs="仿宋"/>
          <w:color w:val="auto"/>
          <w:sz w:val="24"/>
        </w:rPr>
      </w:pPr>
    </w:p>
    <w:p w14:paraId="0A36EFE8">
      <w:pPr>
        <w:spacing w:line="336" w:lineRule="auto"/>
        <w:ind w:firstLine="494"/>
        <w:rPr>
          <w:rFonts w:ascii="仿宋" w:hAnsi="仿宋" w:eastAsia="仿宋" w:cs="仿宋"/>
          <w:color w:val="auto"/>
          <w:sz w:val="24"/>
        </w:rPr>
      </w:pPr>
    </w:p>
    <w:p w14:paraId="1B185F38">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55A3FC53">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p>
    <w:p w14:paraId="02B12D0B">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7E9E77AA">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供应商法定名称章（印模）供应商“</w:t>
      </w:r>
      <w:r>
        <w:rPr>
          <w:rFonts w:ascii="仿宋" w:hAnsi="仿宋" w:eastAsia="仿宋" w:cs="仿宋"/>
          <w:color w:val="auto"/>
          <w:sz w:val="24"/>
        </w:rPr>
        <w:t>XX专用章”（印模）</w:t>
      </w:r>
    </w:p>
    <w:p w14:paraId="164B4C71">
      <w:pPr>
        <w:widowControl/>
        <w:spacing w:line="336" w:lineRule="auto"/>
        <w:ind w:firstLine="480" w:firstLineChars="200"/>
        <w:jc w:val="left"/>
        <w:rPr>
          <w:rFonts w:ascii="仿宋" w:hAnsi="仿宋" w:eastAsia="仿宋" w:cs="仿宋"/>
          <w:color w:val="auto"/>
          <w:kern w:val="0"/>
          <w:sz w:val="24"/>
        </w:rPr>
      </w:pPr>
    </w:p>
    <w:p w14:paraId="7099D7E8">
      <w:pPr>
        <w:snapToGrid w:val="0"/>
        <w:spacing w:line="336" w:lineRule="auto"/>
        <w:jc w:val="center"/>
        <w:rPr>
          <w:rFonts w:ascii="仿宋" w:hAnsi="仿宋" w:eastAsia="仿宋" w:cs="仿宋"/>
          <w:b/>
          <w:color w:val="auto"/>
          <w:sz w:val="24"/>
        </w:rPr>
      </w:pPr>
    </w:p>
    <w:p w14:paraId="579C361C">
      <w:pPr>
        <w:widowControl/>
        <w:adjustRightInd/>
        <w:spacing w:line="336" w:lineRule="auto"/>
        <w:jc w:val="left"/>
        <w:rPr>
          <w:rFonts w:ascii="宋体" w:hAnsi="宋体" w:cs="仿宋_GB2312"/>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053">
    <w:pPr>
      <w:pStyle w:val="39"/>
      <w:framePr w:wrap="around" w:vAnchor="text" w:hAnchor="margin" w:xAlign="right" w:y="1"/>
      <w:rPr>
        <w:rStyle w:val="65"/>
      </w:rPr>
    </w:pPr>
    <w:r>
      <w:fldChar w:fldCharType="begin"/>
    </w:r>
    <w:r>
      <w:rPr>
        <w:rStyle w:val="65"/>
      </w:rPr>
      <w:instrText xml:space="preserve">PAGE  </w:instrText>
    </w:r>
    <w:r>
      <w:fldChar w:fldCharType="end"/>
    </w:r>
  </w:p>
  <w:p w14:paraId="7DAEC70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E77E">
    <w:pPr>
      <w:pStyle w:val="39"/>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8DA6">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EC4764">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E3EC">
    <w:pPr>
      <w:pStyle w:val="39"/>
      <w:framePr w:wrap="around" w:vAnchor="text" w:hAnchor="margin" w:xAlign="right" w:y="1"/>
      <w:rPr>
        <w:rStyle w:val="65"/>
      </w:rPr>
    </w:pPr>
    <w:r>
      <w:fldChar w:fldCharType="begin"/>
    </w:r>
    <w:r>
      <w:rPr>
        <w:rStyle w:val="65"/>
      </w:rPr>
      <w:instrText xml:space="preserve">PAGE  </w:instrText>
    </w:r>
    <w:r>
      <w:fldChar w:fldCharType="end"/>
    </w:r>
  </w:p>
  <w:p w14:paraId="6239DAD0">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63A3">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78325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C5F5">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2CE4">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84E3">
    <w:pPr>
      <w:pStyle w:val="4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0F97">
    <w:pPr>
      <w:pStyle w:val="40"/>
      <w:pBdr>
        <w:bottom w:val="single" w:color="auto" w:sz="4"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CBCE"/>
    <w:multiLevelType w:val="singleLevel"/>
    <w:tmpl w:val="DC76CBCE"/>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3"/>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B80AE6"/>
    <w:rsid w:val="0003277C"/>
    <w:rsid w:val="00072CAE"/>
    <w:rsid w:val="00082FC0"/>
    <w:rsid w:val="0009557D"/>
    <w:rsid w:val="000B02CC"/>
    <w:rsid w:val="000B44D3"/>
    <w:rsid w:val="000B76D8"/>
    <w:rsid w:val="000C675E"/>
    <w:rsid w:val="00103B9B"/>
    <w:rsid w:val="0011053E"/>
    <w:rsid w:val="00124656"/>
    <w:rsid w:val="00134D75"/>
    <w:rsid w:val="00135135"/>
    <w:rsid w:val="001679C8"/>
    <w:rsid w:val="00180E7B"/>
    <w:rsid w:val="001A2968"/>
    <w:rsid w:val="001A57F2"/>
    <w:rsid w:val="001A6399"/>
    <w:rsid w:val="001C183C"/>
    <w:rsid w:val="001D693E"/>
    <w:rsid w:val="001F323C"/>
    <w:rsid w:val="00200DAF"/>
    <w:rsid w:val="002048DB"/>
    <w:rsid w:val="00215AA4"/>
    <w:rsid w:val="002177FA"/>
    <w:rsid w:val="002257C5"/>
    <w:rsid w:val="00231849"/>
    <w:rsid w:val="00231BC6"/>
    <w:rsid w:val="00285E6B"/>
    <w:rsid w:val="00287B2E"/>
    <w:rsid w:val="00290DD8"/>
    <w:rsid w:val="00294959"/>
    <w:rsid w:val="002A4E3E"/>
    <w:rsid w:val="002F0C1F"/>
    <w:rsid w:val="00302044"/>
    <w:rsid w:val="00307394"/>
    <w:rsid w:val="003421FA"/>
    <w:rsid w:val="00357770"/>
    <w:rsid w:val="003746D2"/>
    <w:rsid w:val="003B01AB"/>
    <w:rsid w:val="00417CC1"/>
    <w:rsid w:val="004250A5"/>
    <w:rsid w:val="00427E65"/>
    <w:rsid w:val="00430E31"/>
    <w:rsid w:val="00436176"/>
    <w:rsid w:val="00456328"/>
    <w:rsid w:val="00474171"/>
    <w:rsid w:val="00481283"/>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3531"/>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444C8"/>
    <w:rsid w:val="00950AE8"/>
    <w:rsid w:val="00971D32"/>
    <w:rsid w:val="00980BA3"/>
    <w:rsid w:val="009C3E66"/>
    <w:rsid w:val="009D0AB4"/>
    <w:rsid w:val="009D2D0A"/>
    <w:rsid w:val="009D6E05"/>
    <w:rsid w:val="009E026B"/>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BE7797"/>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EF5BA2"/>
    <w:rsid w:val="00F10091"/>
    <w:rsid w:val="00F1191B"/>
    <w:rsid w:val="00F265DF"/>
    <w:rsid w:val="00F77C0C"/>
    <w:rsid w:val="00F91662"/>
    <w:rsid w:val="00FB29F4"/>
    <w:rsid w:val="00FC0D5E"/>
    <w:rsid w:val="00FF26F9"/>
    <w:rsid w:val="00FF52C8"/>
    <w:rsid w:val="011C44BE"/>
    <w:rsid w:val="012313A8"/>
    <w:rsid w:val="01284C10"/>
    <w:rsid w:val="012A2737"/>
    <w:rsid w:val="01311D17"/>
    <w:rsid w:val="013435B5"/>
    <w:rsid w:val="01361A05"/>
    <w:rsid w:val="0136557F"/>
    <w:rsid w:val="0143677F"/>
    <w:rsid w:val="0148378D"/>
    <w:rsid w:val="014F6641"/>
    <w:rsid w:val="0156352C"/>
    <w:rsid w:val="015C2B0C"/>
    <w:rsid w:val="016F43BB"/>
    <w:rsid w:val="0196605B"/>
    <w:rsid w:val="01B70EF5"/>
    <w:rsid w:val="01C505B5"/>
    <w:rsid w:val="01C979DB"/>
    <w:rsid w:val="01D408F4"/>
    <w:rsid w:val="01E925F2"/>
    <w:rsid w:val="01FF0067"/>
    <w:rsid w:val="020866C9"/>
    <w:rsid w:val="023D46EC"/>
    <w:rsid w:val="02A23DA7"/>
    <w:rsid w:val="02A84D7F"/>
    <w:rsid w:val="02B349AE"/>
    <w:rsid w:val="02C848FD"/>
    <w:rsid w:val="02C941D1"/>
    <w:rsid w:val="02F456F2"/>
    <w:rsid w:val="030B2A3C"/>
    <w:rsid w:val="03157416"/>
    <w:rsid w:val="031713E0"/>
    <w:rsid w:val="0324119F"/>
    <w:rsid w:val="03282B7E"/>
    <w:rsid w:val="033A0B8B"/>
    <w:rsid w:val="03443858"/>
    <w:rsid w:val="03465822"/>
    <w:rsid w:val="038A1BB2"/>
    <w:rsid w:val="03912F64"/>
    <w:rsid w:val="0397607D"/>
    <w:rsid w:val="03991DF6"/>
    <w:rsid w:val="03AE3AF3"/>
    <w:rsid w:val="03B2781F"/>
    <w:rsid w:val="03B86720"/>
    <w:rsid w:val="03E7444B"/>
    <w:rsid w:val="03EF1A15"/>
    <w:rsid w:val="03F4527E"/>
    <w:rsid w:val="03F558D8"/>
    <w:rsid w:val="04372FD3"/>
    <w:rsid w:val="044153C6"/>
    <w:rsid w:val="04455AD9"/>
    <w:rsid w:val="044B1342"/>
    <w:rsid w:val="045301F6"/>
    <w:rsid w:val="045B70AB"/>
    <w:rsid w:val="048E4711"/>
    <w:rsid w:val="04C904B8"/>
    <w:rsid w:val="04C97A85"/>
    <w:rsid w:val="04CE20BF"/>
    <w:rsid w:val="04E56C83"/>
    <w:rsid w:val="0510733D"/>
    <w:rsid w:val="05263B5D"/>
    <w:rsid w:val="05281683"/>
    <w:rsid w:val="0532605E"/>
    <w:rsid w:val="05357BF8"/>
    <w:rsid w:val="054A15F9"/>
    <w:rsid w:val="05706B86"/>
    <w:rsid w:val="05733BB8"/>
    <w:rsid w:val="05783516"/>
    <w:rsid w:val="05957B96"/>
    <w:rsid w:val="05980437"/>
    <w:rsid w:val="05C23886"/>
    <w:rsid w:val="05DE0E4B"/>
    <w:rsid w:val="05E21783"/>
    <w:rsid w:val="0602610F"/>
    <w:rsid w:val="06175254"/>
    <w:rsid w:val="0619721E"/>
    <w:rsid w:val="06255BC2"/>
    <w:rsid w:val="06523DD1"/>
    <w:rsid w:val="06557AF2"/>
    <w:rsid w:val="0661350E"/>
    <w:rsid w:val="066A1827"/>
    <w:rsid w:val="066A7A79"/>
    <w:rsid w:val="066E57BB"/>
    <w:rsid w:val="069A65B0"/>
    <w:rsid w:val="069B0773"/>
    <w:rsid w:val="06C90DC4"/>
    <w:rsid w:val="06D373CC"/>
    <w:rsid w:val="06DA4BFF"/>
    <w:rsid w:val="06DF2215"/>
    <w:rsid w:val="06F01EEF"/>
    <w:rsid w:val="06FF6413"/>
    <w:rsid w:val="07044910"/>
    <w:rsid w:val="07100621"/>
    <w:rsid w:val="071874D5"/>
    <w:rsid w:val="071A4FFB"/>
    <w:rsid w:val="072B7F2A"/>
    <w:rsid w:val="074402CA"/>
    <w:rsid w:val="074B1659"/>
    <w:rsid w:val="075926EA"/>
    <w:rsid w:val="07594547"/>
    <w:rsid w:val="07601EE6"/>
    <w:rsid w:val="076F7104"/>
    <w:rsid w:val="079E4577"/>
    <w:rsid w:val="07B05960"/>
    <w:rsid w:val="07B33DBE"/>
    <w:rsid w:val="07B74F40"/>
    <w:rsid w:val="07CA4C73"/>
    <w:rsid w:val="07DB49A4"/>
    <w:rsid w:val="081604A6"/>
    <w:rsid w:val="081D1247"/>
    <w:rsid w:val="082223BA"/>
    <w:rsid w:val="08320BD9"/>
    <w:rsid w:val="084367D4"/>
    <w:rsid w:val="08492130"/>
    <w:rsid w:val="084F6F27"/>
    <w:rsid w:val="086D3F47"/>
    <w:rsid w:val="086D5ABE"/>
    <w:rsid w:val="08892894"/>
    <w:rsid w:val="089D7C92"/>
    <w:rsid w:val="08A41020"/>
    <w:rsid w:val="08A454C4"/>
    <w:rsid w:val="08AB4062"/>
    <w:rsid w:val="08D91077"/>
    <w:rsid w:val="08E13A59"/>
    <w:rsid w:val="08EE5E26"/>
    <w:rsid w:val="08F024B8"/>
    <w:rsid w:val="08F50301"/>
    <w:rsid w:val="09063A89"/>
    <w:rsid w:val="09265ED9"/>
    <w:rsid w:val="092B7994"/>
    <w:rsid w:val="092C3269"/>
    <w:rsid w:val="095F763D"/>
    <w:rsid w:val="0966277A"/>
    <w:rsid w:val="0973310E"/>
    <w:rsid w:val="097A2EEF"/>
    <w:rsid w:val="097F383C"/>
    <w:rsid w:val="098749AC"/>
    <w:rsid w:val="098764CD"/>
    <w:rsid w:val="0992356F"/>
    <w:rsid w:val="099C263F"/>
    <w:rsid w:val="099C619C"/>
    <w:rsid w:val="09A60DC8"/>
    <w:rsid w:val="09BB0D18"/>
    <w:rsid w:val="09D26B6B"/>
    <w:rsid w:val="09D41128"/>
    <w:rsid w:val="0A0334A7"/>
    <w:rsid w:val="0A051F93"/>
    <w:rsid w:val="0A344626"/>
    <w:rsid w:val="0A6E5D8A"/>
    <w:rsid w:val="0A79350F"/>
    <w:rsid w:val="0AA277E2"/>
    <w:rsid w:val="0AA97C2F"/>
    <w:rsid w:val="0AAE6186"/>
    <w:rsid w:val="0AB45767"/>
    <w:rsid w:val="0AB67731"/>
    <w:rsid w:val="0AB85257"/>
    <w:rsid w:val="0AE61DC4"/>
    <w:rsid w:val="0AEC6CAF"/>
    <w:rsid w:val="0AF83246"/>
    <w:rsid w:val="0B266665"/>
    <w:rsid w:val="0B300AA7"/>
    <w:rsid w:val="0B45498C"/>
    <w:rsid w:val="0B7B7D63"/>
    <w:rsid w:val="0B8C18E5"/>
    <w:rsid w:val="0BB55B0D"/>
    <w:rsid w:val="0BD5582F"/>
    <w:rsid w:val="0C047CB1"/>
    <w:rsid w:val="0C0B7609"/>
    <w:rsid w:val="0C0D3730"/>
    <w:rsid w:val="0C321AB2"/>
    <w:rsid w:val="0C3D3FF4"/>
    <w:rsid w:val="0C557747"/>
    <w:rsid w:val="0C590374"/>
    <w:rsid w:val="0C664B78"/>
    <w:rsid w:val="0C694A9D"/>
    <w:rsid w:val="0C787EA6"/>
    <w:rsid w:val="0C831895"/>
    <w:rsid w:val="0C9C3BF1"/>
    <w:rsid w:val="0CB0724F"/>
    <w:rsid w:val="0CB36F22"/>
    <w:rsid w:val="0CC714ED"/>
    <w:rsid w:val="0CD3157A"/>
    <w:rsid w:val="0CE40585"/>
    <w:rsid w:val="0CF25558"/>
    <w:rsid w:val="0CF813CA"/>
    <w:rsid w:val="0CF85DDF"/>
    <w:rsid w:val="0D1E5CB6"/>
    <w:rsid w:val="0D215336"/>
    <w:rsid w:val="0D283592"/>
    <w:rsid w:val="0D3037CB"/>
    <w:rsid w:val="0D4074FB"/>
    <w:rsid w:val="0D43731A"/>
    <w:rsid w:val="0D5D4F39"/>
    <w:rsid w:val="0D6945E7"/>
    <w:rsid w:val="0D6E689D"/>
    <w:rsid w:val="0D705608"/>
    <w:rsid w:val="0D7F205C"/>
    <w:rsid w:val="0DB37F58"/>
    <w:rsid w:val="0DB4650E"/>
    <w:rsid w:val="0DC363ED"/>
    <w:rsid w:val="0DC62738"/>
    <w:rsid w:val="0DEA3B74"/>
    <w:rsid w:val="0E140D02"/>
    <w:rsid w:val="0E2624D8"/>
    <w:rsid w:val="0E3E5A73"/>
    <w:rsid w:val="0E4A09D7"/>
    <w:rsid w:val="0E567261"/>
    <w:rsid w:val="0E6000E3"/>
    <w:rsid w:val="0E707BF7"/>
    <w:rsid w:val="0E8A3A31"/>
    <w:rsid w:val="0EB61AAE"/>
    <w:rsid w:val="0EC95C85"/>
    <w:rsid w:val="0ED02F14"/>
    <w:rsid w:val="0ED42B4E"/>
    <w:rsid w:val="0ED662BA"/>
    <w:rsid w:val="0EDD34DE"/>
    <w:rsid w:val="0EEF6D6E"/>
    <w:rsid w:val="0EF56A7A"/>
    <w:rsid w:val="0F040A6B"/>
    <w:rsid w:val="0F0740B7"/>
    <w:rsid w:val="0F0C791F"/>
    <w:rsid w:val="0F134C17"/>
    <w:rsid w:val="0F1E22AD"/>
    <w:rsid w:val="0F20786F"/>
    <w:rsid w:val="0F3D1107"/>
    <w:rsid w:val="0F423341"/>
    <w:rsid w:val="0F4672D5"/>
    <w:rsid w:val="0F476BAA"/>
    <w:rsid w:val="0F53554E"/>
    <w:rsid w:val="0F841BAC"/>
    <w:rsid w:val="0F882744"/>
    <w:rsid w:val="0F966EB6"/>
    <w:rsid w:val="0F9F2542"/>
    <w:rsid w:val="0FA43FFC"/>
    <w:rsid w:val="0FBD1A3F"/>
    <w:rsid w:val="0FBF4992"/>
    <w:rsid w:val="0FCE2BD0"/>
    <w:rsid w:val="101747CE"/>
    <w:rsid w:val="101D790A"/>
    <w:rsid w:val="102748C3"/>
    <w:rsid w:val="102B5FD8"/>
    <w:rsid w:val="102E0E8F"/>
    <w:rsid w:val="10392996"/>
    <w:rsid w:val="10484987"/>
    <w:rsid w:val="105461D5"/>
    <w:rsid w:val="105E23FD"/>
    <w:rsid w:val="10674519"/>
    <w:rsid w:val="10771710"/>
    <w:rsid w:val="107C0AD5"/>
    <w:rsid w:val="108160EB"/>
    <w:rsid w:val="10817EF0"/>
    <w:rsid w:val="108F3EB7"/>
    <w:rsid w:val="109E0A4B"/>
    <w:rsid w:val="10A51DDA"/>
    <w:rsid w:val="10B86591"/>
    <w:rsid w:val="10BE6ECD"/>
    <w:rsid w:val="10CA4DA9"/>
    <w:rsid w:val="10D12BCF"/>
    <w:rsid w:val="10E36DA6"/>
    <w:rsid w:val="10F92125"/>
    <w:rsid w:val="11001706"/>
    <w:rsid w:val="110C1E59"/>
    <w:rsid w:val="112371A2"/>
    <w:rsid w:val="1125308E"/>
    <w:rsid w:val="11333889"/>
    <w:rsid w:val="114B682E"/>
    <w:rsid w:val="117874EE"/>
    <w:rsid w:val="118E0AC0"/>
    <w:rsid w:val="11956E17"/>
    <w:rsid w:val="11AE2F10"/>
    <w:rsid w:val="11E06E41"/>
    <w:rsid w:val="11EB7CC0"/>
    <w:rsid w:val="11F20974"/>
    <w:rsid w:val="12011292"/>
    <w:rsid w:val="12046FD4"/>
    <w:rsid w:val="12064AFA"/>
    <w:rsid w:val="120E7E53"/>
    <w:rsid w:val="121D5308"/>
    <w:rsid w:val="122907E8"/>
    <w:rsid w:val="12312130"/>
    <w:rsid w:val="123C5456"/>
    <w:rsid w:val="123E21E9"/>
    <w:rsid w:val="12506B92"/>
    <w:rsid w:val="125D0492"/>
    <w:rsid w:val="125F420A"/>
    <w:rsid w:val="12A84323"/>
    <w:rsid w:val="12A8795F"/>
    <w:rsid w:val="12D83268"/>
    <w:rsid w:val="12ED5FF3"/>
    <w:rsid w:val="12EF558E"/>
    <w:rsid w:val="13047F9F"/>
    <w:rsid w:val="130726B8"/>
    <w:rsid w:val="130D3782"/>
    <w:rsid w:val="1332191F"/>
    <w:rsid w:val="133F3A40"/>
    <w:rsid w:val="13516249"/>
    <w:rsid w:val="1360648C"/>
    <w:rsid w:val="136A10B9"/>
    <w:rsid w:val="136F6EA1"/>
    <w:rsid w:val="137C26CF"/>
    <w:rsid w:val="13C609E5"/>
    <w:rsid w:val="13CE33F5"/>
    <w:rsid w:val="13E250F3"/>
    <w:rsid w:val="13E9022F"/>
    <w:rsid w:val="13F51A75"/>
    <w:rsid w:val="14301281"/>
    <w:rsid w:val="14342773"/>
    <w:rsid w:val="143B794B"/>
    <w:rsid w:val="14506500"/>
    <w:rsid w:val="146975C2"/>
    <w:rsid w:val="148F527B"/>
    <w:rsid w:val="14961BDF"/>
    <w:rsid w:val="149C1746"/>
    <w:rsid w:val="149F4479"/>
    <w:rsid w:val="14AF0A8B"/>
    <w:rsid w:val="14BE16BC"/>
    <w:rsid w:val="14C33176"/>
    <w:rsid w:val="14C6158D"/>
    <w:rsid w:val="14F21366"/>
    <w:rsid w:val="14F35BC7"/>
    <w:rsid w:val="14FA3EE2"/>
    <w:rsid w:val="152D05F0"/>
    <w:rsid w:val="156A53A0"/>
    <w:rsid w:val="157E6A6B"/>
    <w:rsid w:val="158227E0"/>
    <w:rsid w:val="15A84456"/>
    <w:rsid w:val="15C54CCC"/>
    <w:rsid w:val="15E11B06"/>
    <w:rsid w:val="160D5B6E"/>
    <w:rsid w:val="16112265"/>
    <w:rsid w:val="16264111"/>
    <w:rsid w:val="162A607A"/>
    <w:rsid w:val="162B2D81"/>
    <w:rsid w:val="16300397"/>
    <w:rsid w:val="163C4DDE"/>
    <w:rsid w:val="16481B85"/>
    <w:rsid w:val="165322D8"/>
    <w:rsid w:val="16563ED5"/>
    <w:rsid w:val="16573B76"/>
    <w:rsid w:val="165B5812"/>
    <w:rsid w:val="16685D83"/>
    <w:rsid w:val="16841A81"/>
    <w:rsid w:val="16893F4C"/>
    <w:rsid w:val="16AC30DF"/>
    <w:rsid w:val="16B8213B"/>
    <w:rsid w:val="16D451C7"/>
    <w:rsid w:val="16D5087F"/>
    <w:rsid w:val="17205F01"/>
    <w:rsid w:val="173D7210"/>
    <w:rsid w:val="174D4F79"/>
    <w:rsid w:val="177841EC"/>
    <w:rsid w:val="17966920"/>
    <w:rsid w:val="17E7717C"/>
    <w:rsid w:val="18326475"/>
    <w:rsid w:val="185D2675"/>
    <w:rsid w:val="1864257A"/>
    <w:rsid w:val="18763F46"/>
    <w:rsid w:val="18826EA4"/>
    <w:rsid w:val="188350F6"/>
    <w:rsid w:val="18891FE1"/>
    <w:rsid w:val="188E5849"/>
    <w:rsid w:val="18AB2A89"/>
    <w:rsid w:val="18B54B84"/>
    <w:rsid w:val="18EE62E8"/>
    <w:rsid w:val="18F97167"/>
    <w:rsid w:val="19197809"/>
    <w:rsid w:val="191E0979"/>
    <w:rsid w:val="19292616"/>
    <w:rsid w:val="193059E0"/>
    <w:rsid w:val="195728BE"/>
    <w:rsid w:val="19650358"/>
    <w:rsid w:val="19662322"/>
    <w:rsid w:val="19690607"/>
    <w:rsid w:val="197131A1"/>
    <w:rsid w:val="19AF5A77"/>
    <w:rsid w:val="19AF7825"/>
    <w:rsid w:val="19B4308D"/>
    <w:rsid w:val="19C77265"/>
    <w:rsid w:val="19CB3F48"/>
    <w:rsid w:val="19CE05F3"/>
    <w:rsid w:val="19E41BC5"/>
    <w:rsid w:val="19E51499"/>
    <w:rsid w:val="19E74BB9"/>
    <w:rsid w:val="19EC6CCB"/>
    <w:rsid w:val="19F65454"/>
    <w:rsid w:val="1A192827"/>
    <w:rsid w:val="1A197CDF"/>
    <w:rsid w:val="1A1B135F"/>
    <w:rsid w:val="1A2024D1"/>
    <w:rsid w:val="1A2D13C0"/>
    <w:rsid w:val="1A315637"/>
    <w:rsid w:val="1A3D1F3A"/>
    <w:rsid w:val="1A50725A"/>
    <w:rsid w:val="1A62027E"/>
    <w:rsid w:val="1A667FFB"/>
    <w:rsid w:val="1A7C55D5"/>
    <w:rsid w:val="1A83719D"/>
    <w:rsid w:val="1A840CB2"/>
    <w:rsid w:val="1A8C400A"/>
    <w:rsid w:val="1A9A12C1"/>
    <w:rsid w:val="1AC612CA"/>
    <w:rsid w:val="1ACB68E1"/>
    <w:rsid w:val="1ACF50CC"/>
    <w:rsid w:val="1AD00105"/>
    <w:rsid w:val="1AD8315F"/>
    <w:rsid w:val="1AF5395E"/>
    <w:rsid w:val="1AF57E02"/>
    <w:rsid w:val="1B041DF3"/>
    <w:rsid w:val="1B156231"/>
    <w:rsid w:val="1B271B34"/>
    <w:rsid w:val="1B285AE1"/>
    <w:rsid w:val="1B746F78"/>
    <w:rsid w:val="1B770817"/>
    <w:rsid w:val="1B8371BB"/>
    <w:rsid w:val="1B9237FE"/>
    <w:rsid w:val="1BB13D28"/>
    <w:rsid w:val="1BD87F5A"/>
    <w:rsid w:val="1BEE6D2B"/>
    <w:rsid w:val="1C05597E"/>
    <w:rsid w:val="1C0A3439"/>
    <w:rsid w:val="1C2A5889"/>
    <w:rsid w:val="1C311D77"/>
    <w:rsid w:val="1C5F19D6"/>
    <w:rsid w:val="1C735482"/>
    <w:rsid w:val="1C817B9F"/>
    <w:rsid w:val="1CA0458E"/>
    <w:rsid w:val="1CBB2985"/>
    <w:rsid w:val="1CC1486F"/>
    <w:rsid w:val="1CC950A2"/>
    <w:rsid w:val="1CCB2BC8"/>
    <w:rsid w:val="1CCE090A"/>
    <w:rsid w:val="1CD13F56"/>
    <w:rsid w:val="1CE912A0"/>
    <w:rsid w:val="1D167BBB"/>
    <w:rsid w:val="1D5030CD"/>
    <w:rsid w:val="1D750D86"/>
    <w:rsid w:val="1D7758B3"/>
    <w:rsid w:val="1D7C0366"/>
    <w:rsid w:val="1D7C3EC2"/>
    <w:rsid w:val="1D835251"/>
    <w:rsid w:val="1D862F93"/>
    <w:rsid w:val="1D8B05A9"/>
    <w:rsid w:val="1DB7314C"/>
    <w:rsid w:val="1DCA10D2"/>
    <w:rsid w:val="1DDE4B7D"/>
    <w:rsid w:val="1DF3687A"/>
    <w:rsid w:val="1DF51822"/>
    <w:rsid w:val="1E1B192D"/>
    <w:rsid w:val="1E322D84"/>
    <w:rsid w:val="1E5956F3"/>
    <w:rsid w:val="1E682698"/>
    <w:rsid w:val="1E766B63"/>
    <w:rsid w:val="1E8F1635"/>
    <w:rsid w:val="1EBD4792"/>
    <w:rsid w:val="1ECB3353"/>
    <w:rsid w:val="1ED46C06"/>
    <w:rsid w:val="1F170346"/>
    <w:rsid w:val="1F182311"/>
    <w:rsid w:val="1F1C10F7"/>
    <w:rsid w:val="1F2C36C6"/>
    <w:rsid w:val="1F2E38E2"/>
    <w:rsid w:val="1F45652D"/>
    <w:rsid w:val="1FBA6F24"/>
    <w:rsid w:val="1FC87893"/>
    <w:rsid w:val="1FD96CCE"/>
    <w:rsid w:val="1FE03E2B"/>
    <w:rsid w:val="1FE679D1"/>
    <w:rsid w:val="200D14A4"/>
    <w:rsid w:val="20112FE8"/>
    <w:rsid w:val="204C64A4"/>
    <w:rsid w:val="205F3F24"/>
    <w:rsid w:val="206051B5"/>
    <w:rsid w:val="206655AB"/>
    <w:rsid w:val="206A0E38"/>
    <w:rsid w:val="206E043A"/>
    <w:rsid w:val="2080016D"/>
    <w:rsid w:val="20831A0C"/>
    <w:rsid w:val="209A66E1"/>
    <w:rsid w:val="20AF45AF"/>
    <w:rsid w:val="20C55B80"/>
    <w:rsid w:val="20D07F44"/>
    <w:rsid w:val="20D364EF"/>
    <w:rsid w:val="20E26FD4"/>
    <w:rsid w:val="20ED053C"/>
    <w:rsid w:val="20FB092C"/>
    <w:rsid w:val="21032E75"/>
    <w:rsid w:val="2116462E"/>
    <w:rsid w:val="211D776A"/>
    <w:rsid w:val="213411B9"/>
    <w:rsid w:val="21393401"/>
    <w:rsid w:val="214271D1"/>
    <w:rsid w:val="21472A39"/>
    <w:rsid w:val="21535882"/>
    <w:rsid w:val="216E446A"/>
    <w:rsid w:val="216F2CC8"/>
    <w:rsid w:val="21AB49A6"/>
    <w:rsid w:val="21C45BE8"/>
    <w:rsid w:val="21C67E02"/>
    <w:rsid w:val="21D06ED2"/>
    <w:rsid w:val="21D544E9"/>
    <w:rsid w:val="21F26E49"/>
    <w:rsid w:val="22001928"/>
    <w:rsid w:val="220152DE"/>
    <w:rsid w:val="220B1CB9"/>
    <w:rsid w:val="220F4A7D"/>
    <w:rsid w:val="221C0C67"/>
    <w:rsid w:val="224156DA"/>
    <w:rsid w:val="22431452"/>
    <w:rsid w:val="22580053"/>
    <w:rsid w:val="22747619"/>
    <w:rsid w:val="22BB35F2"/>
    <w:rsid w:val="22E03145"/>
    <w:rsid w:val="2302564C"/>
    <w:rsid w:val="23045086"/>
    <w:rsid w:val="23063A37"/>
    <w:rsid w:val="230A01C2"/>
    <w:rsid w:val="231019D7"/>
    <w:rsid w:val="2312222F"/>
    <w:rsid w:val="23250B58"/>
    <w:rsid w:val="23305E7B"/>
    <w:rsid w:val="233F1C1A"/>
    <w:rsid w:val="23460410"/>
    <w:rsid w:val="234E6301"/>
    <w:rsid w:val="2378337E"/>
    <w:rsid w:val="237F64BA"/>
    <w:rsid w:val="23935FE5"/>
    <w:rsid w:val="23C81D43"/>
    <w:rsid w:val="23CB3B95"/>
    <w:rsid w:val="23CE221A"/>
    <w:rsid w:val="23FE7D27"/>
    <w:rsid w:val="243C084F"/>
    <w:rsid w:val="244056E9"/>
    <w:rsid w:val="24843087"/>
    <w:rsid w:val="24875235"/>
    <w:rsid w:val="24A26904"/>
    <w:rsid w:val="24AD52A9"/>
    <w:rsid w:val="24C148B0"/>
    <w:rsid w:val="24C25D75"/>
    <w:rsid w:val="24C525F3"/>
    <w:rsid w:val="24E16D01"/>
    <w:rsid w:val="24FF5971"/>
    <w:rsid w:val="252E5AE3"/>
    <w:rsid w:val="25311A36"/>
    <w:rsid w:val="253A4D8F"/>
    <w:rsid w:val="25481BC4"/>
    <w:rsid w:val="255D6CCF"/>
    <w:rsid w:val="25697933"/>
    <w:rsid w:val="2590230B"/>
    <w:rsid w:val="259D70CC"/>
    <w:rsid w:val="25A73154"/>
    <w:rsid w:val="25B3069D"/>
    <w:rsid w:val="25C948A0"/>
    <w:rsid w:val="25CB3C39"/>
    <w:rsid w:val="25CD5C03"/>
    <w:rsid w:val="25E1345C"/>
    <w:rsid w:val="25E92311"/>
    <w:rsid w:val="25EA60A7"/>
    <w:rsid w:val="25F74A2E"/>
    <w:rsid w:val="26084E8D"/>
    <w:rsid w:val="2611224C"/>
    <w:rsid w:val="26211AAB"/>
    <w:rsid w:val="263712CE"/>
    <w:rsid w:val="263C18BA"/>
    <w:rsid w:val="263C68E5"/>
    <w:rsid w:val="263E265D"/>
    <w:rsid w:val="264D6D44"/>
    <w:rsid w:val="264E75FD"/>
    <w:rsid w:val="265D7F2A"/>
    <w:rsid w:val="2673350C"/>
    <w:rsid w:val="267977D6"/>
    <w:rsid w:val="267C4F33"/>
    <w:rsid w:val="267C6969"/>
    <w:rsid w:val="268D0C01"/>
    <w:rsid w:val="26997893"/>
    <w:rsid w:val="26D905D7"/>
    <w:rsid w:val="26F45411"/>
    <w:rsid w:val="270B7A08"/>
    <w:rsid w:val="270F3FF9"/>
    <w:rsid w:val="270F7B55"/>
    <w:rsid w:val="271635D9"/>
    <w:rsid w:val="271C39F1"/>
    <w:rsid w:val="273B094A"/>
    <w:rsid w:val="273E043A"/>
    <w:rsid w:val="27541A0C"/>
    <w:rsid w:val="275859A0"/>
    <w:rsid w:val="277F098D"/>
    <w:rsid w:val="27982240"/>
    <w:rsid w:val="279938C3"/>
    <w:rsid w:val="27BA3F65"/>
    <w:rsid w:val="27F60D15"/>
    <w:rsid w:val="28017DE6"/>
    <w:rsid w:val="28103952"/>
    <w:rsid w:val="28260BA7"/>
    <w:rsid w:val="28515ECC"/>
    <w:rsid w:val="2859377E"/>
    <w:rsid w:val="285939E8"/>
    <w:rsid w:val="2874680A"/>
    <w:rsid w:val="289E73E3"/>
    <w:rsid w:val="28AA6F3F"/>
    <w:rsid w:val="28AC5FA3"/>
    <w:rsid w:val="28C332ED"/>
    <w:rsid w:val="28ED036A"/>
    <w:rsid w:val="28F306BC"/>
    <w:rsid w:val="29075556"/>
    <w:rsid w:val="290A4A78"/>
    <w:rsid w:val="290E59BE"/>
    <w:rsid w:val="29114058"/>
    <w:rsid w:val="29274D33"/>
    <w:rsid w:val="29332221"/>
    <w:rsid w:val="294066EC"/>
    <w:rsid w:val="294C32E2"/>
    <w:rsid w:val="29561485"/>
    <w:rsid w:val="29600B3C"/>
    <w:rsid w:val="296754EA"/>
    <w:rsid w:val="296E71C5"/>
    <w:rsid w:val="2984482A"/>
    <w:rsid w:val="299B1B74"/>
    <w:rsid w:val="29AB07AB"/>
    <w:rsid w:val="29C9048F"/>
    <w:rsid w:val="29CC7F7F"/>
    <w:rsid w:val="29E21F96"/>
    <w:rsid w:val="29EF1545"/>
    <w:rsid w:val="29F115CD"/>
    <w:rsid w:val="29F47AC1"/>
    <w:rsid w:val="2A104310"/>
    <w:rsid w:val="2A1262DA"/>
    <w:rsid w:val="2A1B0153"/>
    <w:rsid w:val="2A222295"/>
    <w:rsid w:val="2A506E02"/>
    <w:rsid w:val="2A5306A1"/>
    <w:rsid w:val="2A6603D4"/>
    <w:rsid w:val="2A685EFA"/>
    <w:rsid w:val="2A693A20"/>
    <w:rsid w:val="2A7817A9"/>
    <w:rsid w:val="2A81612B"/>
    <w:rsid w:val="2AAA4765"/>
    <w:rsid w:val="2AC17053"/>
    <w:rsid w:val="2ACD0453"/>
    <w:rsid w:val="2AD417E1"/>
    <w:rsid w:val="2AE01F34"/>
    <w:rsid w:val="2AE8528D"/>
    <w:rsid w:val="2AEA2DB3"/>
    <w:rsid w:val="2B0D781D"/>
    <w:rsid w:val="2B234F0D"/>
    <w:rsid w:val="2B2F27D2"/>
    <w:rsid w:val="2B4B5135"/>
    <w:rsid w:val="2B4F70BA"/>
    <w:rsid w:val="2B5302F9"/>
    <w:rsid w:val="2B632818"/>
    <w:rsid w:val="2B7803BF"/>
    <w:rsid w:val="2B7B3A0B"/>
    <w:rsid w:val="2B807273"/>
    <w:rsid w:val="2BC07775"/>
    <w:rsid w:val="2BCF47A9"/>
    <w:rsid w:val="2BD30E2C"/>
    <w:rsid w:val="2C153E60"/>
    <w:rsid w:val="2C154F49"/>
    <w:rsid w:val="2C167BD8"/>
    <w:rsid w:val="2C2220D9"/>
    <w:rsid w:val="2C3E4429"/>
    <w:rsid w:val="2C6E17C2"/>
    <w:rsid w:val="2C7212B2"/>
    <w:rsid w:val="2C7C5C8D"/>
    <w:rsid w:val="2C7E7070"/>
    <w:rsid w:val="2C800AFF"/>
    <w:rsid w:val="2C844B41"/>
    <w:rsid w:val="2CAB6572"/>
    <w:rsid w:val="2CAC3151"/>
    <w:rsid w:val="2CC2290B"/>
    <w:rsid w:val="2CC3566A"/>
    <w:rsid w:val="2CC47634"/>
    <w:rsid w:val="2CE028C6"/>
    <w:rsid w:val="2CE73808"/>
    <w:rsid w:val="2CEA709A"/>
    <w:rsid w:val="2CF55A3F"/>
    <w:rsid w:val="2CFF5899"/>
    <w:rsid w:val="2D0068BE"/>
    <w:rsid w:val="2D045C82"/>
    <w:rsid w:val="2D0619FA"/>
    <w:rsid w:val="2D201C96"/>
    <w:rsid w:val="2D2C0C94"/>
    <w:rsid w:val="2D486799"/>
    <w:rsid w:val="2D541AD2"/>
    <w:rsid w:val="2D5C5ABE"/>
    <w:rsid w:val="2D7B4196"/>
    <w:rsid w:val="2D842856"/>
    <w:rsid w:val="2D8963CF"/>
    <w:rsid w:val="2D8C5228"/>
    <w:rsid w:val="2D8D7A26"/>
    <w:rsid w:val="2D8F379E"/>
    <w:rsid w:val="2DA27975"/>
    <w:rsid w:val="2DA95518"/>
    <w:rsid w:val="2DA96B06"/>
    <w:rsid w:val="2DD37B2E"/>
    <w:rsid w:val="2DD613CD"/>
    <w:rsid w:val="2DE53D06"/>
    <w:rsid w:val="2E00469C"/>
    <w:rsid w:val="2E0F2B31"/>
    <w:rsid w:val="2E223F5B"/>
    <w:rsid w:val="2E224612"/>
    <w:rsid w:val="2E232138"/>
    <w:rsid w:val="2E24482E"/>
    <w:rsid w:val="2E3A7BAD"/>
    <w:rsid w:val="2E3B56D4"/>
    <w:rsid w:val="2E725599"/>
    <w:rsid w:val="2E782484"/>
    <w:rsid w:val="2E786928"/>
    <w:rsid w:val="2E7B1F74"/>
    <w:rsid w:val="2E976DAE"/>
    <w:rsid w:val="2E9B1989"/>
    <w:rsid w:val="2EA27501"/>
    <w:rsid w:val="2EB07E70"/>
    <w:rsid w:val="2EBE07DF"/>
    <w:rsid w:val="2EC9746A"/>
    <w:rsid w:val="2EE40036"/>
    <w:rsid w:val="2F126434"/>
    <w:rsid w:val="2F1C5ECD"/>
    <w:rsid w:val="2F38663A"/>
    <w:rsid w:val="2F3A3BDD"/>
    <w:rsid w:val="2F45373F"/>
    <w:rsid w:val="2F4800A8"/>
    <w:rsid w:val="2F522CD5"/>
    <w:rsid w:val="2F60329F"/>
    <w:rsid w:val="2F7E1D1C"/>
    <w:rsid w:val="2F8D01B1"/>
    <w:rsid w:val="2F8D1F5F"/>
    <w:rsid w:val="2FA86D99"/>
    <w:rsid w:val="2FE17E87"/>
    <w:rsid w:val="2FEA5603"/>
    <w:rsid w:val="2FEA743E"/>
    <w:rsid w:val="2FF21BF4"/>
    <w:rsid w:val="30311973"/>
    <w:rsid w:val="30393E95"/>
    <w:rsid w:val="303C512C"/>
    <w:rsid w:val="305725D7"/>
    <w:rsid w:val="307C26FF"/>
    <w:rsid w:val="308B5EF2"/>
    <w:rsid w:val="30980BBB"/>
    <w:rsid w:val="30A25EDE"/>
    <w:rsid w:val="30AA4BDA"/>
    <w:rsid w:val="30AF64B9"/>
    <w:rsid w:val="30B05F05"/>
    <w:rsid w:val="30B55C11"/>
    <w:rsid w:val="30BC0D4E"/>
    <w:rsid w:val="30BF25EC"/>
    <w:rsid w:val="30C95FE4"/>
    <w:rsid w:val="30D2549E"/>
    <w:rsid w:val="30E91417"/>
    <w:rsid w:val="30FF50DE"/>
    <w:rsid w:val="31065728"/>
    <w:rsid w:val="31085D41"/>
    <w:rsid w:val="3110753A"/>
    <w:rsid w:val="3115220C"/>
    <w:rsid w:val="311741D6"/>
    <w:rsid w:val="315A3E8F"/>
    <w:rsid w:val="31875E1A"/>
    <w:rsid w:val="31A452D9"/>
    <w:rsid w:val="31D9148B"/>
    <w:rsid w:val="31DE4CF4"/>
    <w:rsid w:val="31DF24D6"/>
    <w:rsid w:val="31EC5663"/>
    <w:rsid w:val="31FC33CC"/>
    <w:rsid w:val="31FD161E"/>
    <w:rsid w:val="3200110E"/>
    <w:rsid w:val="32171FB4"/>
    <w:rsid w:val="32221084"/>
    <w:rsid w:val="323922EC"/>
    <w:rsid w:val="32425283"/>
    <w:rsid w:val="326D5716"/>
    <w:rsid w:val="32764F2C"/>
    <w:rsid w:val="32771EED"/>
    <w:rsid w:val="32777D59"/>
    <w:rsid w:val="32794A1C"/>
    <w:rsid w:val="329219DE"/>
    <w:rsid w:val="32943604"/>
    <w:rsid w:val="329F4483"/>
    <w:rsid w:val="32C76C8A"/>
    <w:rsid w:val="3309404A"/>
    <w:rsid w:val="33266952"/>
    <w:rsid w:val="333460D2"/>
    <w:rsid w:val="33661445"/>
    <w:rsid w:val="338C5166"/>
    <w:rsid w:val="33C323F3"/>
    <w:rsid w:val="33D2699B"/>
    <w:rsid w:val="33E365F1"/>
    <w:rsid w:val="33EF2B81"/>
    <w:rsid w:val="33F46A50"/>
    <w:rsid w:val="340053F5"/>
    <w:rsid w:val="340A1DD0"/>
    <w:rsid w:val="341220B6"/>
    <w:rsid w:val="341B3FDD"/>
    <w:rsid w:val="345D2848"/>
    <w:rsid w:val="347265DB"/>
    <w:rsid w:val="348558FB"/>
    <w:rsid w:val="349077F1"/>
    <w:rsid w:val="34A71D15"/>
    <w:rsid w:val="34A73AC3"/>
    <w:rsid w:val="34BC5CBA"/>
    <w:rsid w:val="34F34F5A"/>
    <w:rsid w:val="34F605A6"/>
    <w:rsid w:val="350E5ED5"/>
    <w:rsid w:val="35101668"/>
    <w:rsid w:val="35301D0A"/>
    <w:rsid w:val="3537484E"/>
    <w:rsid w:val="353C06AF"/>
    <w:rsid w:val="354E2190"/>
    <w:rsid w:val="354E45C2"/>
    <w:rsid w:val="355F614C"/>
    <w:rsid w:val="35695279"/>
    <w:rsid w:val="35705CCE"/>
    <w:rsid w:val="357207F2"/>
    <w:rsid w:val="357C6CFE"/>
    <w:rsid w:val="3586192A"/>
    <w:rsid w:val="358B5193"/>
    <w:rsid w:val="359758E5"/>
    <w:rsid w:val="359C2EFC"/>
    <w:rsid w:val="35A13F7A"/>
    <w:rsid w:val="35A149B6"/>
    <w:rsid w:val="35B2271F"/>
    <w:rsid w:val="35B92C54"/>
    <w:rsid w:val="35C773D6"/>
    <w:rsid w:val="35D2691D"/>
    <w:rsid w:val="35D46B3A"/>
    <w:rsid w:val="35D5640E"/>
    <w:rsid w:val="35DB5EC1"/>
    <w:rsid w:val="35FD7B19"/>
    <w:rsid w:val="36171DC5"/>
    <w:rsid w:val="36173D86"/>
    <w:rsid w:val="362A49AB"/>
    <w:rsid w:val="36546006"/>
    <w:rsid w:val="365E53B1"/>
    <w:rsid w:val="36730100"/>
    <w:rsid w:val="369A3EC3"/>
    <w:rsid w:val="36C244F8"/>
    <w:rsid w:val="36C3270A"/>
    <w:rsid w:val="36D93CDC"/>
    <w:rsid w:val="36DA0180"/>
    <w:rsid w:val="36F56D67"/>
    <w:rsid w:val="37113475"/>
    <w:rsid w:val="374A2CF7"/>
    <w:rsid w:val="375C6DE7"/>
    <w:rsid w:val="37695060"/>
    <w:rsid w:val="376E08C8"/>
    <w:rsid w:val="37814AE6"/>
    <w:rsid w:val="3781684D"/>
    <w:rsid w:val="378C0D4E"/>
    <w:rsid w:val="379540A7"/>
    <w:rsid w:val="37977BBC"/>
    <w:rsid w:val="379851DD"/>
    <w:rsid w:val="37A12A4B"/>
    <w:rsid w:val="37A429AC"/>
    <w:rsid w:val="37AE521B"/>
    <w:rsid w:val="37B908A3"/>
    <w:rsid w:val="37BC7E4B"/>
    <w:rsid w:val="37CE505C"/>
    <w:rsid w:val="37D5265A"/>
    <w:rsid w:val="37D56B99"/>
    <w:rsid w:val="37F6004B"/>
    <w:rsid w:val="37F80C39"/>
    <w:rsid w:val="37FE1C4C"/>
    <w:rsid w:val="3809239F"/>
    <w:rsid w:val="381908B8"/>
    <w:rsid w:val="381C20D2"/>
    <w:rsid w:val="3820536A"/>
    <w:rsid w:val="383A485D"/>
    <w:rsid w:val="383B4C4E"/>
    <w:rsid w:val="38433B03"/>
    <w:rsid w:val="38547A46"/>
    <w:rsid w:val="38795776"/>
    <w:rsid w:val="388344A2"/>
    <w:rsid w:val="388736CF"/>
    <w:rsid w:val="389B393F"/>
    <w:rsid w:val="38AC78FA"/>
    <w:rsid w:val="38B247E4"/>
    <w:rsid w:val="38BF54F1"/>
    <w:rsid w:val="38CA2129"/>
    <w:rsid w:val="38CB553C"/>
    <w:rsid w:val="38CF35E8"/>
    <w:rsid w:val="38EF3C8A"/>
    <w:rsid w:val="38F83D7C"/>
    <w:rsid w:val="390F1C37"/>
    <w:rsid w:val="39202096"/>
    <w:rsid w:val="39230ADF"/>
    <w:rsid w:val="392B413E"/>
    <w:rsid w:val="39567866"/>
    <w:rsid w:val="39697599"/>
    <w:rsid w:val="39754190"/>
    <w:rsid w:val="397B107A"/>
    <w:rsid w:val="39841613"/>
    <w:rsid w:val="39893631"/>
    <w:rsid w:val="39904B26"/>
    <w:rsid w:val="39E45F74"/>
    <w:rsid w:val="39EB26A4"/>
    <w:rsid w:val="39F350B4"/>
    <w:rsid w:val="39F74BA5"/>
    <w:rsid w:val="3A1514CF"/>
    <w:rsid w:val="3A15327D"/>
    <w:rsid w:val="3A281202"/>
    <w:rsid w:val="3A2C7575"/>
    <w:rsid w:val="3A2D6818"/>
    <w:rsid w:val="3A35391F"/>
    <w:rsid w:val="3A543DA5"/>
    <w:rsid w:val="3A5913BB"/>
    <w:rsid w:val="3A683CF4"/>
    <w:rsid w:val="3A7C154E"/>
    <w:rsid w:val="3A9B19D4"/>
    <w:rsid w:val="3A9D66C5"/>
    <w:rsid w:val="3AAD1707"/>
    <w:rsid w:val="3AE74C19"/>
    <w:rsid w:val="3B0D4B34"/>
    <w:rsid w:val="3B20637D"/>
    <w:rsid w:val="3B233844"/>
    <w:rsid w:val="3B295232"/>
    <w:rsid w:val="3B3D2A8B"/>
    <w:rsid w:val="3B461DC0"/>
    <w:rsid w:val="3B547DD5"/>
    <w:rsid w:val="3B6567D9"/>
    <w:rsid w:val="3B683BCB"/>
    <w:rsid w:val="3B6E0E96"/>
    <w:rsid w:val="3B820DE6"/>
    <w:rsid w:val="3BB502A0"/>
    <w:rsid w:val="3BB80B60"/>
    <w:rsid w:val="3BC9431F"/>
    <w:rsid w:val="3BD12312"/>
    <w:rsid w:val="3BE21884"/>
    <w:rsid w:val="3BF2101A"/>
    <w:rsid w:val="3C0417FB"/>
    <w:rsid w:val="3C090BBF"/>
    <w:rsid w:val="3C0E030A"/>
    <w:rsid w:val="3C195A73"/>
    <w:rsid w:val="3C290E9A"/>
    <w:rsid w:val="3C3E4D0D"/>
    <w:rsid w:val="3C4936B2"/>
    <w:rsid w:val="3C5E1FB8"/>
    <w:rsid w:val="3C790E13"/>
    <w:rsid w:val="3C7A1ABD"/>
    <w:rsid w:val="3C8C13E6"/>
    <w:rsid w:val="3C8C1F1C"/>
    <w:rsid w:val="3C926818"/>
    <w:rsid w:val="3C9377CF"/>
    <w:rsid w:val="3CA1529C"/>
    <w:rsid w:val="3CA60B04"/>
    <w:rsid w:val="3CB36E30"/>
    <w:rsid w:val="3CD76F0F"/>
    <w:rsid w:val="3CDE029E"/>
    <w:rsid w:val="3CDE204C"/>
    <w:rsid w:val="3D115F7D"/>
    <w:rsid w:val="3D2018F7"/>
    <w:rsid w:val="3D2C1009"/>
    <w:rsid w:val="3D2F28A7"/>
    <w:rsid w:val="3DA60DBB"/>
    <w:rsid w:val="3DB50FFF"/>
    <w:rsid w:val="3DCB6A74"/>
    <w:rsid w:val="3DD82F3F"/>
    <w:rsid w:val="3DE11DF4"/>
    <w:rsid w:val="3DE53BA3"/>
    <w:rsid w:val="3DEE62BF"/>
    <w:rsid w:val="3E004EE0"/>
    <w:rsid w:val="3E270777"/>
    <w:rsid w:val="3E2B7513"/>
    <w:rsid w:val="3E3D10AA"/>
    <w:rsid w:val="3E3F4D6C"/>
    <w:rsid w:val="3E4834DE"/>
    <w:rsid w:val="3E657C0C"/>
    <w:rsid w:val="3E6622F9"/>
    <w:rsid w:val="3E6F38A3"/>
    <w:rsid w:val="3EA6303D"/>
    <w:rsid w:val="3EB94B1E"/>
    <w:rsid w:val="3ECD2378"/>
    <w:rsid w:val="3ECF6099"/>
    <w:rsid w:val="3EE07560"/>
    <w:rsid w:val="3EE17BD1"/>
    <w:rsid w:val="3F255D10"/>
    <w:rsid w:val="3F277CDA"/>
    <w:rsid w:val="3F2D2E17"/>
    <w:rsid w:val="3F2F3033"/>
    <w:rsid w:val="3F367F1D"/>
    <w:rsid w:val="3F6031EC"/>
    <w:rsid w:val="3F7B6278"/>
    <w:rsid w:val="3F9E5AC2"/>
    <w:rsid w:val="3FA52DF7"/>
    <w:rsid w:val="3FA75C81"/>
    <w:rsid w:val="3FB4145C"/>
    <w:rsid w:val="3FB53538"/>
    <w:rsid w:val="3FDA2F9E"/>
    <w:rsid w:val="3FDB0AC5"/>
    <w:rsid w:val="3FE200A5"/>
    <w:rsid w:val="3FE804E3"/>
    <w:rsid w:val="3FEC2CD2"/>
    <w:rsid w:val="400718BA"/>
    <w:rsid w:val="400B332C"/>
    <w:rsid w:val="402661E4"/>
    <w:rsid w:val="40394ED1"/>
    <w:rsid w:val="40436D96"/>
    <w:rsid w:val="40526FD9"/>
    <w:rsid w:val="40560C0E"/>
    <w:rsid w:val="40630DD7"/>
    <w:rsid w:val="406E3006"/>
    <w:rsid w:val="40774C91"/>
    <w:rsid w:val="40786313"/>
    <w:rsid w:val="407E7726"/>
    <w:rsid w:val="40A14239"/>
    <w:rsid w:val="40B45E9F"/>
    <w:rsid w:val="40D0614F"/>
    <w:rsid w:val="40E01ACC"/>
    <w:rsid w:val="40F02313"/>
    <w:rsid w:val="40F8759F"/>
    <w:rsid w:val="41004C87"/>
    <w:rsid w:val="41032081"/>
    <w:rsid w:val="4108712E"/>
    <w:rsid w:val="41120516"/>
    <w:rsid w:val="41207887"/>
    <w:rsid w:val="41235477"/>
    <w:rsid w:val="412A3AB2"/>
    <w:rsid w:val="41456B3D"/>
    <w:rsid w:val="41526B64"/>
    <w:rsid w:val="41591156"/>
    <w:rsid w:val="4185518C"/>
    <w:rsid w:val="41894C7C"/>
    <w:rsid w:val="418D4040"/>
    <w:rsid w:val="41994793"/>
    <w:rsid w:val="41A2189A"/>
    <w:rsid w:val="41A575DC"/>
    <w:rsid w:val="41A8516E"/>
    <w:rsid w:val="41BE244C"/>
    <w:rsid w:val="41C061C4"/>
    <w:rsid w:val="41CF4659"/>
    <w:rsid w:val="41DB4DAC"/>
    <w:rsid w:val="41E97A0F"/>
    <w:rsid w:val="41F30347"/>
    <w:rsid w:val="42095809"/>
    <w:rsid w:val="42097B6B"/>
    <w:rsid w:val="423D7815"/>
    <w:rsid w:val="424E36DA"/>
    <w:rsid w:val="425C3B7A"/>
    <w:rsid w:val="426E79CE"/>
    <w:rsid w:val="427A5E84"/>
    <w:rsid w:val="427C3788"/>
    <w:rsid w:val="42894808"/>
    <w:rsid w:val="4294752D"/>
    <w:rsid w:val="42975304"/>
    <w:rsid w:val="42AE426E"/>
    <w:rsid w:val="42BA0E65"/>
    <w:rsid w:val="42BF647C"/>
    <w:rsid w:val="42E61C5A"/>
    <w:rsid w:val="42F97BDF"/>
    <w:rsid w:val="43095949"/>
    <w:rsid w:val="43101A5C"/>
    <w:rsid w:val="43195B8C"/>
    <w:rsid w:val="434B10DD"/>
    <w:rsid w:val="434D7F2B"/>
    <w:rsid w:val="4368248A"/>
    <w:rsid w:val="436A288B"/>
    <w:rsid w:val="43745BD3"/>
    <w:rsid w:val="43784FA8"/>
    <w:rsid w:val="43B9736F"/>
    <w:rsid w:val="43D971F8"/>
    <w:rsid w:val="43E51F12"/>
    <w:rsid w:val="4414020A"/>
    <w:rsid w:val="4416031D"/>
    <w:rsid w:val="44183734"/>
    <w:rsid w:val="44223166"/>
    <w:rsid w:val="442E5667"/>
    <w:rsid w:val="44307631"/>
    <w:rsid w:val="443547DD"/>
    <w:rsid w:val="443D04BE"/>
    <w:rsid w:val="44557097"/>
    <w:rsid w:val="445D7CFA"/>
    <w:rsid w:val="44872FC9"/>
    <w:rsid w:val="44B33DBE"/>
    <w:rsid w:val="44C918C8"/>
    <w:rsid w:val="44F10201"/>
    <w:rsid w:val="44F3240C"/>
    <w:rsid w:val="44F71EFD"/>
    <w:rsid w:val="44FF7003"/>
    <w:rsid w:val="45154A79"/>
    <w:rsid w:val="45237196"/>
    <w:rsid w:val="452B5C67"/>
    <w:rsid w:val="453E3FCF"/>
    <w:rsid w:val="45617CBE"/>
    <w:rsid w:val="45763769"/>
    <w:rsid w:val="458B0BD3"/>
    <w:rsid w:val="458D009B"/>
    <w:rsid w:val="459C4CE8"/>
    <w:rsid w:val="459C6E90"/>
    <w:rsid w:val="45A57BAB"/>
    <w:rsid w:val="45A81DE4"/>
    <w:rsid w:val="45CA192E"/>
    <w:rsid w:val="45CC5137"/>
    <w:rsid w:val="45D73ADC"/>
    <w:rsid w:val="45EF0E26"/>
    <w:rsid w:val="45F75F2C"/>
    <w:rsid w:val="45F97EF6"/>
    <w:rsid w:val="46040D75"/>
    <w:rsid w:val="46097E5D"/>
    <w:rsid w:val="46132D66"/>
    <w:rsid w:val="46476EB4"/>
    <w:rsid w:val="464C6278"/>
    <w:rsid w:val="46537607"/>
    <w:rsid w:val="467815AA"/>
    <w:rsid w:val="46842723"/>
    <w:rsid w:val="4690085B"/>
    <w:rsid w:val="46963997"/>
    <w:rsid w:val="469814BD"/>
    <w:rsid w:val="469A3487"/>
    <w:rsid w:val="46A43EC2"/>
    <w:rsid w:val="46A936CA"/>
    <w:rsid w:val="46B94085"/>
    <w:rsid w:val="46C16C66"/>
    <w:rsid w:val="46D36C8F"/>
    <w:rsid w:val="46D428F8"/>
    <w:rsid w:val="46D76D9D"/>
    <w:rsid w:val="46F85D21"/>
    <w:rsid w:val="4709049F"/>
    <w:rsid w:val="47176886"/>
    <w:rsid w:val="47613705"/>
    <w:rsid w:val="4770243A"/>
    <w:rsid w:val="477E06B3"/>
    <w:rsid w:val="47A0687C"/>
    <w:rsid w:val="47AA594C"/>
    <w:rsid w:val="47C02A7A"/>
    <w:rsid w:val="47CD163B"/>
    <w:rsid w:val="47DE55F6"/>
    <w:rsid w:val="47E30F50"/>
    <w:rsid w:val="48050DD4"/>
    <w:rsid w:val="480F1C53"/>
    <w:rsid w:val="48180B08"/>
    <w:rsid w:val="48223734"/>
    <w:rsid w:val="4838131C"/>
    <w:rsid w:val="4880045B"/>
    <w:rsid w:val="48825F81"/>
    <w:rsid w:val="48943C93"/>
    <w:rsid w:val="48971DA8"/>
    <w:rsid w:val="4897712B"/>
    <w:rsid w:val="48B962BD"/>
    <w:rsid w:val="48BC5937"/>
    <w:rsid w:val="48C1236F"/>
    <w:rsid w:val="48CC36A0"/>
    <w:rsid w:val="48DD58AD"/>
    <w:rsid w:val="4904108C"/>
    <w:rsid w:val="49090450"/>
    <w:rsid w:val="491012A6"/>
    <w:rsid w:val="491325C4"/>
    <w:rsid w:val="491C63D6"/>
    <w:rsid w:val="493556E9"/>
    <w:rsid w:val="493F0316"/>
    <w:rsid w:val="493F3E51"/>
    <w:rsid w:val="494B26E8"/>
    <w:rsid w:val="497A4942"/>
    <w:rsid w:val="497C0C22"/>
    <w:rsid w:val="498159E6"/>
    <w:rsid w:val="49986FEF"/>
    <w:rsid w:val="49A53BB9"/>
    <w:rsid w:val="49A60395"/>
    <w:rsid w:val="49A85EBB"/>
    <w:rsid w:val="49AB0544"/>
    <w:rsid w:val="49AF724A"/>
    <w:rsid w:val="49CA4084"/>
    <w:rsid w:val="49D2118A"/>
    <w:rsid w:val="49E862B8"/>
    <w:rsid w:val="49F2635D"/>
    <w:rsid w:val="49FC1D63"/>
    <w:rsid w:val="4A0155CC"/>
    <w:rsid w:val="4A2E1106"/>
    <w:rsid w:val="4A556872"/>
    <w:rsid w:val="4A5B218A"/>
    <w:rsid w:val="4A5C2802"/>
    <w:rsid w:val="4A631398"/>
    <w:rsid w:val="4AB8125D"/>
    <w:rsid w:val="4ADF2A93"/>
    <w:rsid w:val="4AEF3676"/>
    <w:rsid w:val="4AF34F14"/>
    <w:rsid w:val="4B121D62"/>
    <w:rsid w:val="4B125A67"/>
    <w:rsid w:val="4B3814C1"/>
    <w:rsid w:val="4B3A0D95"/>
    <w:rsid w:val="4B3C2D5F"/>
    <w:rsid w:val="4B4439C2"/>
    <w:rsid w:val="4B531E57"/>
    <w:rsid w:val="4B63653E"/>
    <w:rsid w:val="4B7342A7"/>
    <w:rsid w:val="4B775B45"/>
    <w:rsid w:val="4B9A4F28"/>
    <w:rsid w:val="4B9E7576"/>
    <w:rsid w:val="4BC44B03"/>
    <w:rsid w:val="4BDE5BC4"/>
    <w:rsid w:val="4BEA4569"/>
    <w:rsid w:val="4BEB02E1"/>
    <w:rsid w:val="4BF7788F"/>
    <w:rsid w:val="4C0D46FC"/>
    <w:rsid w:val="4C1E2465"/>
    <w:rsid w:val="4C2757BD"/>
    <w:rsid w:val="4C2B48D0"/>
    <w:rsid w:val="4C325550"/>
    <w:rsid w:val="4C3A5075"/>
    <w:rsid w:val="4C3B1A9E"/>
    <w:rsid w:val="4C3F30A5"/>
    <w:rsid w:val="4C4E2FA9"/>
    <w:rsid w:val="4C5A154C"/>
    <w:rsid w:val="4C820C46"/>
    <w:rsid w:val="4C9C37CD"/>
    <w:rsid w:val="4C9E5354"/>
    <w:rsid w:val="4CC76658"/>
    <w:rsid w:val="4CD15729"/>
    <w:rsid w:val="4CFA4C80"/>
    <w:rsid w:val="4CFB09FE"/>
    <w:rsid w:val="4CFC70B9"/>
    <w:rsid w:val="4CFE5A61"/>
    <w:rsid w:val="4D0119A9"/>
    <w:rsid w:val="4D023B34"/>
    <w:rsid w:val="4D0478AD"/>
    <w:rsid w:val="4D063625"/>
    <w:rsid w:val="4D0E7403"/>
    <w:rsid w:val="4D1522D9"/>
    <w:rsid w:val="4D155616"/>
    <w:rsid w:val="4D3006A2"/>
    <w:rsid w:val="4D412B24"/>
    <w:rsid w:val="4D5A4179"/>
    <w:rsid w:val="4D722304"/>
    <w:rsid w:val="4D752558"/>
    <w:rsid w:val="4D7D140D"/>
    <w:rsid w:val="4D84279B"/>
    <w:rsid w:val="4D924EB8"/>
    <w:rsid w:val="4DA64687"/>
    <w:rsid w:val="4DB841F3"/>
    <w:rsid w:val="4DC808DA"/>
    <w:rsid w:val="4DFA480C"/>
    <w:rsid w:val="4DFF04B8"/>
    <w:rsid w:val="4E0955EB"/>
    <w:rsid w:val="4E234053"/>
    <w:rsid w:val="4E5C1022"/>
    <w:rsid w:val="4E796078"/>
    <w:rsid w:val="4E8567CB"/>
    <w:rsid w:val="4E863B7A"/>
    <w:rsid w:val="4E8A2033"/>
    <w:rsid w:val="4E920EE8"/>
    <w:rsid w:val="4E9702AC"/>
    <w:rsid w:val="4E9E163B"/>
    <w:rsid w:val="4EA07161"/>
    <w:rsid w:val="4EB04070"/>
    <w:rsid w:val="4EB3343D"/>
    <w:rsid w:val="4EC07FC0"/>
    <w:rsid w:val="4ECE0172"/>
    <w:rsid w:val="4EDE7C89"/>
    <w:rsid w:val="4F020368"/>
    <w:rsid w:val="4F0374B4"/>
    <w:rsid w:val="4F0A3630"/>
    <w:rsid w:val="4F1931A5"/>
    <w:rsid w:val="4F54162C"/>
    <w:rsid w:val="4F625134"/>
    <w:rsid w:val="4F710AFD"/>
    <w:rsid w:val="4F8C6E16"/>
    <w:rsid w:val="4F8F4266"/>
    <w:rsid w:val="4F9D7B44"/>
    <w:rsid w:val="4FAD7F37"/>
    <w:rsid w:val="4FB05ACA"/>
    <w:rsid w:val="4FDC066D"/>
    <w:rsid w:val="4FEB6B02"/>
    <w:rsid w:val="4FF04118"/>
    <w:rsid w:val="50055E16"/>
    <w:rsid w:val="500B2D00"/>
    <w:rsid w:val="50175B49"/>
    <w:rsid w:val="502F4545"/>
    <w:rsid w:val="503132B0"/>
    <w:rsid w:val="50446212"/>
    <w:rsid w:val="50680152"/>
    <w:rsid w:val="5079388A"/>
    <w:rsid w:val="507E1724"/>
    <w:rsid w:val="507E7976"/>
    <w:rsid w:val="50A86A96"/>
    <w:rsid w:val="50B74C36"/>
    <w:rsid w:val="50D15CF8"/>
    <w:rsid w:val="50DB36C9"/>
    <w:rsid w:val="50DE368E"/>
    <w:rsid w:val="50DE6667"/>
    <w:rsid w:val="50EC4324"/>
    <w:rsid w:val="51120433"/>
    <w:rsid w:val="511F2F07"/>
    <w:rsid w:val="513D338D"/>
    <w:rsid w:val="514324CE"/>
    <w:rsid w:val="51446D2B"/>
    <w:rsid w:val="51827841"/>
    <w:rsid w:val="51AA02F7"/>
    <w:rsid w:val="51B077A3"/>
    <w:rsid w:val="51D615F6"/>
    <w:rsid w:val="51F07734"/>
    <w:rsid w:val="5208399B"/>
    <w:rsid w:val="521E31BF"/>
    <w:rsid w:val="522B762E"/>
    <w:rsid w:val="524424F9"/>
    <w:rsid w:val="52505C12"/>
    <w:rsid w:val="525A1D1D"/>
    <w:rsid w:val="525C5A95"/>
    <w:rsid w:val="527551F9"/>
    <w:rsid w:val="529B480F"/>
    <w:rsid w:val="52AD009F"/>
    <w:rsid w:val="52AD38A6"/>
    <w:rsid w:val="52B753C1"/>
    <w:rsid w:val="52EF6909"/>
    <w:rsid w:val="52F65EE9"/>
    <w:rsid w:val="52FB52AE"/>
    <w:rsid w:val="53316F22"/>
    <w:rsid w:val="53346A12"/>
    <w:rsid w:val="533F3BBA"/>
    <w:rsid w:val="5349426B"/>
    <w:rsid w:val="535A3345"/>
    <w:rsid w:val="535E5999"/>
    <w:rsid w:val="53684416"/>
    <w:rsid w:val="53685DC3"/>
    <w:rsid w:val="537B019D"/>
    <w:rsid w:val="537E0956"/>
    <w:rsid w:val="53C946C6"/>
    <w:rsid w:val="53D31D87"/>
    <w:rsid w:val="541128AF"/>
    <w:rsid w:val="5411465D"/>
    <w:rsid w:val="541960F0"/>
    <w:rsid w:val="54297BF9"/>
    <w:rsid w:val="54350DD0"/>
    <w:rsid w:val="543C3DD0"/>
    <w:rsid w:val="544070B4"/>
    <w:rsid w:val="545B2183"/>
    <w:rsid w:val="54631655"/>
    <w:rsid w:val="548117E3"/>
    <w:rsid w:val="549332C4"/>
    <w:rsid w:val="54A35BFD"/>
    <w:rsid w:val="54C067AF"/>
    <w:rsid w:val="54C17E31"/>
    <w:rsid w:val="54F70F5A"/>
    <w:rsid w:val="550F7D3E"/>
    <w:rsid w:val="55122147"/>
    <w:rsid w:val="551B5477"/>
    <w:rsid w:val="553C395C"/>
    <w:rsid w:val="553D4F3A"/>
    <w:rsid w:val="554A7E27"/>
    <w:rsid w:val="555339AE"/>
    <w:rsid w:val="555A4967"/>
    <w:rsid w:val="555B0286"/>
    <w:rsid w:val="555E1939"/>
    <w:rsid w:val="55807CEC"/>
    <w:rsid w:val="55874F5B"/>
    <w:rsid w:val="559509EF"/>
    <w:rsid w:val="55B338C0"/>
    <w:rsid w:val="55B654BC"/>
    <w:rsid w:val="55D342C0"/>
    <w:rsid w:val="55DB3175"/>
    <w:rsid w:val="55DC16AB"/>
    <w:rsid w:val="56010E3E"/>
    <w:rsid w:val="561641AD"/>
    <w:rsid w:val="561E3B39"/>
    <w:rsid w:val="562132E3"/>
    <w:rsid w:val="56260894"/>
    <w:rsid w:val="563A7F05"/>
    <w:rsid w:val="56576C9F"/>
    <w:rsid w:val="56690780"/>
    <w:rsid w:val="569E667C"/>
    <w:rsid w:val="56A63FEE"/>
    <w:rsid w:val="56A95021"/>
    <w:rsid w:val="56B55774"/>
    <w:rsid w:val="56C854A7"/>
    <w:rsid w:val="56E04EE6"/>
    <w:rsid w:val="570861EB"/>
    <w:rsid w:val="5714693E"/>
    <w:rsid w:val="5721105B"/>
    <w:rsid w:val="57382639"/>
    <w:rsid w:val="573C7C43"/>
    <w:rsid w:val="573E455B"/>
    <w:rsid w:val="574A2360"/>
    <w:rsid w:val="57530502"/>
    <w:rsid w:val="57813298"/>
    <w:rsid w:val="578F4217"/>
    <w:rsid w:val="5794675D"/>
    <w:rsid w:val="57BB14B0"/>
    <w:rsid w:val="57C2283E"/>
    <w:rsid w:val="57C93BCD"/>
    <w:rsid w:val="57D367F9"/>
    <w:rsid w:val="57DD31D4"/>
    <w:rsid w:val="57DE6F4C"/>
    <w:rsid w:val="57F80AE1"/>
    <w:rsid w:val="581C085A"/>
    <w:rsid w:val="5827444F"/>
    <w:rsid w:val="584C3E7F"/>
    <w:rsid w:val="585039A6"/>
    <w:rsid w:val="58666FF1"/>
    <w:rsid w:val="587A6C75"/>
    <w:rsid w:val="587F6039"/>
    <w:rsid w:val="588056C1"/>
    <w:rsid w:val="58B96858"/>
    <w:rsid w:val="58BA0C9F"/>
    <w:rsid w:val="58CB127E"/>
    <w:rsid w:val="58D17AEF"/>
    <w:rsid w:val="58E93DFA"/>
    <w:rsid w:val="58EA7CFB"/>
    <w:rsid w:val="591C6A14"/>
    <w:rsid w:val="594015B1"/>
    <w:rsid w:val="595A7B33"/>
    <w:rsid w:val="595B4D0D"/>
    <w:rsid w:val="59771406"/>
    <w:rsid w:val="5980475F"/>
    <w:rsid w:val="59815AA3"/>
    <w:rsid w:val="59B15B2F"/>
    <w:rsid w:val="59B30690"/>
    <w:rsid w:val="59BA3FF2"/>
    <w:rsid w:val="59C4289D"/>
    <w:rsid w:val="59C75EEA"/>
    <w:rsid w:val="59CC3500"/>
    <w:rsid w:val="59E270B0"/>
    <w:rsid w:val="59EB7233"/>
    <w:rsid w:val="59EC5950"/>
    <w:rsid w:val="5A4A2677"/>
    <w:rsid w:val="5A4B333B"/>
    <w:rsid w:val="5A511C57"/>
    <w:rsid w:val="5A5B3CCD"/>
    <w:rsid w:val="5A6B222D"/>
    <w:rsid w:val="5A706581"/>
    <w:rsid w:val="5A851901"/>
    <w:rsid w:val="5AB0697E"/>
    <w:rsid w:val="5ABF12B7"/>
    <w:rsid w:val="5AC63BF3"/>
    <w:rsid w:val="5ADF54B5"/>
    <w:rsid w:val="5AEB428C"/>
    <w:rsid w:val="5B1213E7"/>
    <w:rsid w:val="5B197E3E"/>
    <w:rsid w:val="5B2B4256"/>
    <w:rsid w:val="5B345801"/>
    <w:rsid w:val="5B3A26EB"/>
    <w:rsid w:val="5B3E48E1"/>
    <w:rsid w:val="5B490B80"/>
    <w:rsid w:val="5B6360E6"/>
    <w:rsid w:val="5B676B3B"/>
    <w:rsid w:val="5B6817EC"/>
    <w:rsid w:val="5B687259"/>
    <w:rsid w:val="5B6F67B0"/>
    <w:rsid w:val="5B6F6839"/>
    <w:rsid w:val="5B922527"/>
    <w:rsid w:val="5BA069F2"/>
    <w:rsid w:val="5BD60666"/>
    <w:rsid w:val="5C142F3C"/>
    <w:rsid w:val="5C367357"/>
    <w:rsid w:val="5C45759A"/>
    <w:rsid w:val="5C4B1054"/>
    <w:rsid w:val="5C4E46A0"/>
    <w:rsid w:val="5C6E4D42"/>
    <w:rsid w:val="5C7B745F"/>
    <w:rsid w:val="5CA02A22"/>
    <w:rsid w:val="5CB0535B"/>
    <w:rsid w:val="5CB52971"/>
    <w:rsid w:val="5CC83530"/>
    <w:rsid w:val="5D042FB1"/>
    <w:rsid w:val="5D213B63"/>
    <w:rsid w:val="5D303DA6"/>
    <w:rsid w:val="5D4133FD"/>
    <w:rsid w:val="5D437F7D"/>
    <w:rsid w:val="5D4F6922"/>
    <w:rsid w:val="5D746389"/>
    <w:rsid w:val="5D7E2C26"/>
    <w:rsid w:val="5D971C5A"/>
    <w:rsid w:val="5DA61A44"/>
    <w:rsid w:val="5DA87DE0"/>
    <w:rsid w:val="5DB04EE7"/>
    <w:rsid w:val="5DB744C7"/>
    <w:rsid w:val="5DBC7D30"/>
    <w:rsid w:val="5DBD0A23"/>
    <w:rsid w:val="5DC56BE4"/>
    <w:rsid w:val="5DCF1530"/>
    <w:rsid w:val="5DD5494D"/>
    <w:rsid w:val="5DE03A1E"/>
    <w:rsid w:val="5DF11787"/>
    <w:rsid w:val="5E070FAB"/>
    <w:rsid w:val="5E251431"/>
    <w:rsid w:val="5E2C3F36"/>
    <w:rsid w:val="5E391380"/>
    <w:rsid w:val="5E4E4E2C"/>
    <w:rsid w:val="5E51429A"/>
    <w:rsid w:val="5E5E1C13"/>
    <w:rsid w:val="5E736640"/>
    <w:rsid w:val="5E7F747C"/>
    <w:rsid w:val="5E820631"/>
    <w:rsid w:val="5E8C1F03"/>
    <w:rsid w:val="5E9842F9"/>
    <w:rsid w:val="5EAC3900"/>
    <w:rsid w:val="5EB50BC5"/>
    <w:rsid w:val="5EBD3D5F"/>
    <w:rsid w:val="5ECF75EF"/>
    <w:rsid w:val="5EE319DF"/>
    <w:rsid w:val="5EF64B7B"/>
    <w:rsid w:val="5F061262"/>
    <w:rsid w:val="5F125E59"/>
    <w:rsid w:val="5F1367B3"/>
    <w:rsid w:val="5F1F7150"/>
    <w:rsid w:val="5F2B0CC9"/>
    <w:rsid w:val="5F3C1128"/>
    <w:rsid w:val="5F3C4C84"/>
    <w:rsid w:val="5F3D27AA"/>
    <w:rsid w:val="5F531728"/>
    <w:rsid w:val="5F5662A4"/>
    <w:rsid w:val="5F727263"/>
    <w:rsid w:val="5F7B05F6"/>
    <w:rsid w:val="5FBE1B3D"/>
    <w:rsid w:val="5FCA6734"/>
    <w:rsid w:val="5FD2383A"/>
    <w:rsid w:val="5FD96977"/>
    <w:rsid w:val="5FDD1A0A"/>
    <w:rsid w:val="5FEA294A"/>
    <w:rsid w:val="60275934"/>
    <w:rsid w:val="60302541"/>
    <w:rsid w:val="60397415"/>
    <w:rsid w:val="604F7690"/>
    <w:rsid w:val="60600A87"/>
    <w:rsid w:val="606F2E37"/>
    <w:rsid w:val="607C3637"/>
    <w:rsid w:val="608F7035"/>
    <w:rsid w:val="609F1851"/>
    <w:rsid w:val="60AC408B"/>
    <w:rsid w:val="60CC64DC"/>
    <w:rsid w:val="60DF620F"/>
    <w:rsid w:val="60F11A9E"/>
    <w:rsid w:val="61167757"/>
    <w:rsid w:val="611A2DA3"/>
    <w:rsid w:val="611B65B4"/>
    <w:rsid w:val="611C2FBF"/>
    <w:rsid w:val="611E33EA"/>
    <w:rsid w:val="613100ED"/>
    <w:rsid w:val="616E7593"/>
    <w:rsid w:val="617C3A5E"/>
    <w:rsid w:val="617C5039"/>
    <w:rsid w:val="61806CA1"/>
    <w:rsid w:val="61927223"/>
    <w:rsid w:val="61946FF9"/>
    <w:rsid w:val="61B256D1"/>
    <w:rsid w:val="61B431F8"/>
    <w:rsid w:val="61D86E23"/>
    <w:rsid w:val="621E4B15"/>
    <w:rsid w:val="622F6D22"/>
    <w:rsid w:val="62400DDA"/>
    <w:rsid w:val="624157A0"/>
    <w:rsid w:val="62726C0F"/>
    <w:rsid w:val="629152E7"/>
    <w:rsid w:val="62A414BE"/>
    <w:rsid w:val="62B334AF"/>
    <w:rsid w:val="62C304E7"/>
    <w:rsid w:val="62CC631F"/>
    <w:rsid w:val="62DC29EF"/>
    <w:rsid w:val="62E713AB"/>
    <w:rsid w:val="62E93375"/>
    <w:rsid w:val="62EA0E9B"/>
    <w:rsid w:val="62EC4C13"/>
    <w:rsid w:val="62F67E98"/>
    <w:rsid w:val="62F7660C"/>
    <w:rsid w:val="62FA0E4E"/>
    <w:rsid w:val="62FD43A6"/>
    <w:rsid w:val="630A40E7"/>
    <w:rsid w:val="630E6937"/>
    <w:rsid w:val="630F26B0"/>
    <w:rsid w:val="63100901"/>
    <w:rsid w:val="636C18B0"/>
    <w:rsid w:val="637569B7"/>
    <w:rsid w:val="637A3FCD"/>
    <w:rsid w:val="637A715D"/>
    <w:rsid w:val="637D3ABD"/>
    <w:rsid w:val="63840F00"/>
    <w:rsid w:val="63862972"/>
    <w:rsid w:val="63894210"/>
    <w:rsid w:val="6397045F"/>
    <w:rsid w:val="63C65464"/>
    <w:rsid w:val="63D01E3F"/>
    <w:rsid w:val="643A5739"/>
    <w:rsid w:val="643E5DE4"/>
    <w:rsid w:val="64542A70"/>
    <w:rsid w:val="64572560"/>
    <w:rsid w:val="6457672A"/>
    <w:rsid w:val="646507D9"/>
    <w:rsid w:val="6477050C"/>
    <w:rsid w:val="647C3D75"/>
    <w:rsid w:val="64833FCA"/>
    <w:rsid w:val="648F1CFA"/>
    <w:rsid w:val="64964E36"/>
    <w:rsid w:val="64A130EA"/>
    <w:rsid w:val="64C86FBA"/>
    <w:rsid w:val="64EA5182"/>
    <w:rsid w:val="65000502"/>
    <w:rsid w:val="65053D6A"/>
    <w:rsid w:val="65247369"/>
    <w:rsid w:val="652B6E41"/>
    <w:rsid w:val="65385EEE"/>
    <w:rsid w:val="655645C6"/>
    <w:rsid w:val="656B0071"/>
    <w:rsid w:val="657607C4"/>
    <w:rsid w:val="65801643"/>
    <w:rsid w:val="65A17F37"/>
    <w:rsid w:val="65A82571"/>
    <w:rsid w:val="65B5753E"/>
    <w:rsid w:val="65C60DEB"/>
    <w:rsid w:val="65DC4ACB"/>
    <w:rsid w:val="65DD6A95"/>
    <w:rsid w:val="65DF280D"/>
    <w:rsid w:val="66080CF5"/>
    <w:rsid w:val="660B3A10"/>
    <w:rsid w:val="662171E5"/>
    <w:rsid w:val="662A7F2C"/>
    <w:rsid w:val="663A329B"/>
    <w:rsid w:val="66442670"/>
    <w:rsid w:val="66496A71"/>
    <w:rsid w:val="66551DCD"/>
    <w:rsid w:val="665533E3"/>
    <w:rsid w:val="667C1E0A"/>
    <w:rsid w:val="6686712D"/>
    <w:rsid w:val="66A008D6"/>
    <w:rsid w:val="66A17AC3"/>
    <w:rsid w:val="66BA7997"/>
    <w:rsid w:val="66BC2B4E"/>
    <w:rsid w:val="66C537B1"/>
    <w:rsid w:val="66E8749F"/>
    <w:rsid w:val="66EA76BB"/>
    <w:rsid w:val="66EA7B14"/>
    <w:rsid w:val="6704453E"/>
    <w:rsid w:val="67104631"/>
    <w:rsid w:val="67242BCD"/>
    <w:rsid w:val="672524A2"/>
    <w:rsid w:val="6739419F"/>
    <w:rsid w:val="676905E0"/>
    <w:rsid w:val="676E3E49"/>
    <w:rsid w:val="6773145F"/>
    <w:rsid w:val="6779459B"/>
    <w:rsid w:val="677D5E3A"/>
    <w:rsid w:val="67B11F87"/>
    <w:rsid w:val="67B21438"/>
    <w:rsid w:val="67B556A9"/>
    <w:rsid w:val="67C1041C"/>
    <w:rsid w:val="67D40F55"/>
    <w:rsid w:val="67EC2FBF"/>
    <w:rsid w:val="682F5689"/>
    <w:rsid w:val="683D33E3"/>
    <w:rsid w:val="685C0145"/>
    <w:rsid w:val="686D2352"/>
    <w:rsid w:val="68880F3A"/>
    <w:rsid w:val="68925915"/>
    <w:rsid w:val="68C452AA"/>
    <w:rsid w:val="68D927EA"/>
    <w:rsid w:val="68E456CF"/>
    <w:rsid w:val="68EC771B"/>
    <w:rsid w:val="69205616"/>
    <w:rsid w:val="69224EEB"/>
    <w:rsid w:val="693469CC"/>
    <w:rsid w:val="694D7A8E"/>
    <w:rsid w:val="69500988"/>
    <w:rsid w:val="695D5F23"/>
    <w:rsid w:val="69767A98"/>
    <w:rsid w:val="69796AD5"/>
    <w:rsid w:val="69A94AF3"/>
    <w:rsid w:val="69B67D29"/>
    <w:rsid w:val="69CB37D4"/>
    <w:rsid w:val="69DC63DA"/>
    <w:rsid w:val="69F920E0"/>
    <w:rsid w:val="6A31115D"/>
    <w:rsid w:val="6A372C18"/>
    <w:rsid w:val="6A383046"/>
    <w:rsid w:val="6A486BD3"/>
    <w:rsid w:val="6A4D1A0B"/>
    <w:rsid w:val="6A6034B6"/>
    <w:rsid w:val="6A61763C"/>
    <w:rsid w:val="6A707ED8"/>
    <w:rsid w:val="6A731A96"/>
    <w:rsid w:val="6A77650A"/>
    <w:rsid w:val="6A7A48B2"/>
    <w:rsid w:val="6A8F4802"/>
    <w:rsid w:val="6A957A01"/>
    <w:rsid w:val="6AA71193"/>
    <w:rsid w:val="6AAD1319"/>
    <w:rsid w:val="6AAD4C88"/>
    <w:rsid w:val="6AB778B5"/>
    <w:rsid w:val="6AD40FE2"/>
    <w:rsid w:val="6ADC731B"/>
    <w:rsid w:val="6AE7624D"/>
    <w:rsid w:val="6B0D141C"/>
    <w:rsid w:val="6B120F8F"/>
    <w:rsid w:val="6B19231D"/>
    <w:rsid w:val="6B1E5B86"/>
    <w:rsid w:val="6B23319C"/>
    <w:rsid w:val="6B250CC2"/>
    <w:rsid w:val="6B3420FD"/>
    <w:rsid w:val="6B4355EC"/>
    <w:rsid w:val="6B480E55"/>
    <w:rsid w:val="6B5F31A1"/>
    <w:rsid w:val="6B623CC4"/>
    <w:rsid w:val="6BA92E11"/>
    <w:rsid w:val="6BAE1E2A"/>
    <w:rsid w:val="6BAE473E"/>
    <w:rsid w:val="6BAF4A30"/>
    <w:rsid w:val="6BBF2EC5"/>
    <w:rsid w:val="6BD44496"/>
    <w:rsid w:val="6BD821D8"/>
    <w:rsid w:val="6BFD4436"/>
    <w:rsid w:val="6BFF7765"/>
    <w:rsid w:val="6C134FBF"/>
    <w:rsid w:val="6C57134F"/>
    <w:rsid w:val="6C663340"/>
    <w:rsid w:val="6C6677E4"/>
    <w:rsid w:val="6C691082"/>
    <w:rsid w:val="6C731F01"/>
    <w:rsid w:val="6C7A503E"/>
    <w:rsid w:val="6C944351"/>
    <w:rsid w:val="6CB95B66"/>
    <w:rsid w:val="6CD75FEC"/>
    <w:rsid w:val="6CD97FB6"/>
    <w:rsid w:val="6CF05300"/>
    <w:rsid w:val="6CFF700C"/>
    <w:rsid w:val="6D052272"/>
    <w:rsid w:val="6D2A1241"/>
    <w:rsid w:val="6D325918"/>
    <w:rsid w:val="6D374F86"/>
    <w:rsid w:val="6D3966C4"/>
    <w:rsid w:val="6D462857"/>
    <w:rsid w:val="6D5939A1"/>
    <w:rsid w:val="6D6A2AD9"/>
    <w:rsid w:val="6D6B4986"/>
    <w:rsid w:val="6D761CA9"/>
    <w:rsid w:val="6D8343F1"/>
    <w:rsid w:val="6D8C5028"/>
    <w:rsid w:val="6D924AA4"/>
    <w:rsid w:val="6D9739CD"/>
    <w:rsid w:val="6DA06D26"/>
    <w:rsid w:val="6DA87988"/>
    <w:rsid w:val="6DC5678C"/>
    <w:rsid w:val="6DE11C2D"/>
    <w:rsid w:val="6DE54739"/>
    <w:rsid w:val="6DF40E20"/>
    <w:rsid w:val="6DFA03B9"/>
    <w:rsid w:val="6DFD5F26"/>
    <w:rsid w:val="6E0E5823"/>
    <w:rsid w:val="6E281775"/>
    <w:rsid w:val="6E3B07FD"/>
    <w:rsid w:val="6E506D2B"/>
    <w:rsid w:val="6E510020"/>
    <w:rsid w:val="6E58077C"/>
    <w:rsid w:val="6E630E33"/>
    <w:rsid w:val="6E661D1D"/>
    <w:rsid w:val="6E7A7577"/>
    <w:rsid w:val="6E8C1058"/>
    <w:rsid w:val="6E8E6B7E"/>
    <w:rsid w:val="6E930F02"/>
    <w:rsid w:val="6EB365E5"/>
    <w:rsid w:val="6EB802EE"/>
    <w:rsid w:val="6EDF562C"/>
    <w:rsid w:val="6EE92007"/>
    <w:rsid w:val="6F377216"/>
    <w:rsid w:val="6F412535"/>
    <w:rsid w:val="6F440257"/>
    <w:rsid w:val="6F4638FD"/>
    <w:rsid w:val="6F783FEA"/>
    <w:rsid w:val="6F8F13F5"/>
    <w:rsid w:val="6F9C52CB"/>
    <w:rsid w:val="6FC018AC"/>
    <w:rsid w:val="6FC0720B"/>
    <w:rsid w:val="6FE253D4"/>
    <w:rsid w:val="6FE4739E"/>
    <w:rsid w:val="6FEA0792"/>
    <w:rsid w:val="6FEF7AF1"/>
    <w:rsid w:val="6FF15617"/>
    <w:rsid w:val="6FFD045F"/>
    <w:rsid w:val="700E441B"/>
    <w:rsid w:val="701901B8"/>
    <w:rsid w:val="701B76ED"/>
    <w:rsid w:val="701F03D6"/>
    <w:rsid w:val="703A6FBE"/>
    <w:rsid w:val="703F70C0"/>
    <w:rsid w:val="70425E72"/>
    <w:rsid w:val="704901D4"/>
    <w:rsid w:val="705D0EFE"/>
    <w:rsid w:val="707F3927"/>
    <w:rsid w:val="70860455"/>
    <w:rsid w:val="70904E30"/>
    <w:rsid w:val="709E580C"/>
    <w:rsid w:val="70AC1CBF"/>
    <w:rsid w:val="70CC4BC0"/>
    <w:rsid w:val="70DD3DED"/>
    <w:rsid w:val="70E138DD"/>
    <w:rsid w:val="70EC5DDE"/>
    <w:rsid w:val="70FB1183"/>
    <w:rsid w:val="70FE623D"/>
    <w:rsid w:val="71234381"/>
    <w:rsid w:val="713734FD"/>
    <w:rsid w:val="714300F4"/>
    <w:rsid w:val="71641E18"/>
    <w:rsid w:val="717845C7"/>
    <w:rsid w:val="71804EA4"/>
    <w:rsid w:val="7181001E"/>
    <w:rsid w:val="718F50E7"/>
    <w:rsid w:val="71A072F4"/>
    <w:rsid w:val="71C254BD"/>
    <w:rsid w:val="71CD79BE"/>
    <w:rsid w:val="71D56F7D"/>
    <w:rsid w:val="71DC40A5"/>
    <w:rsid w:val="71E65719"/>
    <w:rsid w:val="71F238C8"/>
    <w:rsid w:val="72005FE5"/>
    <w:rsid w:val="720C002E"/>
    <w:rsid w:val="72181274"/>
    <w:rsid w:val="721B697B"/>
    <w:rsid w:val="72253C9E"/>
    <w:rsid w:val="726F6CC7"/>
    <w:rsid w:val="727349D0"/>
    <w:rsid w:val="72743B0F"/>
    <w:rsid w:val="72800ED4"/>
    <w:rsid w:val="728704B4"/>
    <w:rsid w:val="728B7A1B"/>
    <w:rsid w:val="728E0759"/>
    <w:rsid w:val="72A87727"/>
    <w:rsid w:val="72AF08D5"/>
    <w:rsid w:val="72B33057"/>
    <w:rsid w:val="72BD7A32"/>
    <w:rsid w:val="72CC5EC7"/>
    <w:rsid w:val="72EB0A43"/>
    <w:rsid w:val="72ED2F1E"/>
    <w:rsid w:val="72F53670"/>
    <w:rsid w:val="72FD2525"/>
    <w:rsid w:val="73022925"/>
    <w:rsid w:val="73125FD0"/>
    <w:rsid w:val="7315161C"/>
    <w:rsid w:val="73280CCD"/>
    <w:rsid w:val="732D105C"/>
    <w:rsid w:val="7346211D"/>
    <w:rsid w:val="734D529E"/>
    <w:rsid w:val="734F12BF"/>
    <w:rsid w:val="736425A4"/>
    <w:rsid w:val="73734595"/>
    <w:rsid w:val="73816FE1"/>
    <w:rsid w:val="7386076C"/>
    <w:rsid w:val="73903399"/>
    <w:rsid w:val="73B61490"/>
    <w:rsid w:val="73B83F07"/>
    <w:rsid w:val="73BC23E0"/>
    <w:rsid w:val="73BE77FF"/>
    <w:rsid w:val="73C15474"/>
    <w:rsid w:val="73C53042"/>
    <w:rsid w:val="73E26041"/>
    <w:rsid w:val="73E86D31"/>
    <w:rsid w:val="73FA7E85"/>
    <w:rsid w:val="741619FD"/>
    <w:rsid w:val="741E6BF6"/>
    <w:rsid w:val="743528C5"/>
    <w:rsid w:val="745148D6"/>
    <w:rsid w:val="7496678D"/>
    <w:rsid w:val="749A44CF"/>
    <w:rsid w:val="749E50E9"/>
    <w:rsid w:val="74A62F57"/>
    <w:rsid w:val="74B549A6"/>
    <w:rsid w:val="74F31716"/>
    <w:rsid w:val="755C3876"/>
    <w:rsid w:val="755F4EF5"/>
    <w:rsid w:val="756845CD"/>
    <w:rsid w:val="757D3C63"/>
    <w:rsid w:val="759E3B4B"/>
    <w:rsid w:val="75AA6994"/>
    <w:rsid w:val="75C70F22"/>
    <w:rsid w:val="75CF190F"/>
    <w:rsid w:val="75D411D5"/>
    <w:rsid w:val="75D67B67"/>
    <w:rsid w:val="75E11C8A"/>
    <w:rsid w:val="75E33C54"/>
    <w:rsid w:val="75E35A02"/>
    <w:rsid w:val="75F145C2"/>
    <w:rsid w:val="75F55735"/>
    <w:rsid w:val="75FA2D4B"/>
    <w:rsid w:val="760659DE"/>
    <w:rsid w:val="76081158"/>
    <w:rsid w:val="761262E7"/>
    <w:rsid w:val="762027B2"/>
    <w:rsid w:val="76460164"/>
    <w:rsid w:val="764C17F9"/>
    <w:rsid w:val="764F3097"/>
    <w:rsid w:val="766C3C49"/>
    <w:rsid w:val="767945B8"/>
    <w:rsid w:val="769A41DB"/>
    <w:rsid w:val="76B33626"/>
    <w:rsid w:val="76BB072D"/>
    <w:rsid w:val="76D12C61"/>
    <w:rsid w:val="76D812DE"/>
    <w:rsid w:val="76E5121D"/>
    <w:rsid w:val="76E71522"/>
    <w:rsid w:val="76F23FB2"/>
    <w:rsid w:val="77057BFA"/>
    <w:rsid w:val="770B3462"/>
    <w:rsid w:val="770C0F88"/>
    <w:rsid w:val="773B361B"/>
    <w:rsid w:val="77471FC0"/>
    <w:rsid w:val="77560455"/>
    <w:rsid w:val="77562203"/>
    <w:rsid w:val="775A1CF3"/>
    <w:rsid w:val="77844FC2"/>
    <w:rsid w:val="77935A4A"/>
    <w:rsid w:val="77A97892"/>
    <w:rsid w:val="77B96DD4"/>
    <w:rsid w:val="77C5780E"/>
    <w:rsid w:val="77C875A5"/>
    <w:rsid w:val="77D031AD"/>
    <w:rsid w:val="77D870BC"/>
    <w:rsid w:val="77E32D64"/>
    <w:rsid w:val="77ED2B68"/>
    <w:rsid w:val="77FF2459"/>
    <w:rsid w:val="78016613"/>
    <w:rsid w:val="78054355"/>
    <w:rsid w:val="781E71C5"/>
    <w:rsid w:val="783F0EE9"/>
    <w:rsid w:val="78412EB3"/>
    <w:rsid w:val="78414C61"/>
    <w:rsid w:val="785726D7"/>
    <w:rsid w:val="78582600"/>
    <w:rsid w:val="78667A33"/>
    <w:rsid w:val="78700B0A"/>
    <w:rsid w:val="787212BF"/>
    <w:rsid w:val="78946B16"/>
    <w:rsid w:val="78C87131"/>
    <w:rsid w:val="78CC09CF"/>
    <w:rsid w:val="78CE0BEB"/>
    <w:rsid w:val="78FA1237"/>
    <w:rsid w:val="78FB223B"/>
    <w:rsid w:val="79031B5E"/>
    <w:rsid w:val="79112886"/>
    <w:rsid w:val="795F1843"/>
    <w:rsid w:val="79625F3A"/>
    <w:rsid w:val="797A667D"/>
    <w:rsid w:val="797B69F9"/>
    <w:rsid w:val="79807C33"/>
    <w:rsid w:val="799139C7"/>
    <w:rsid w:val="799919D8"/>
    <w:rsid w:val="79A84B20"/>
    <w:rsid w:val="79D9444C"/>
    <w:rsid w:val="79F52B78"/>
    <w:rsid w:val="7A066163"/>
    <w:rsid w:val="7A187C44"/>
    <w:rsid w:val="7A28432B"/>
    <w:rsid w:val="7A342AA4"/>
    <w:rsid w:val="7A514736"/>
    <w:rsid w:val="7A52270C"/>
    <w:rsid w:val="7A6D19A8"/>
    <w:rsid w:val="7A6D4434"/>
    <w:rsid w:val="7A914AB0"/>
    <w:rsid w:val="7A943B64"/>
    <w:rsid w:val="7A9478C2"/>
    <w:rsid w:val="7ABD0F17"/>
    <w:rsid w:val="7ABE07EB"/>
    <w:rsid w:val="7AC96BBD"/>
    <w:rsid w:val="7ACC115A"/>
    <w:rsid w:val="7AD71133"/>
    <w:rsid w:val="7B05641A"/>
    <w:rsid w:val="7B0F1047"/>
    <w:rsid w:val="7B0F54EB"/>
    <w:rsid w:val="7B1448AF"/>
    <w:rsid w:val="7B191EC6"/>
    <w:rsid w:val="7B193C74"/>
    <w:rsid w:val="7B1D7C08"/>
    <w:rsid w:val="7B3D5BB4"/>
    <w:rsid w:val="7B580C40"/>
    <w:rsid w:val="7B6A2721"/>
    <w:rsid w:val="7B6F1AE6"/>
    <w:rsid w:val="7B810197"/>
    <w:rsid w:val="7B8303D8"/>
    <w:rsid w:val="7B8D6BCE"/>
    <w:rsid w:val="7B9265CA"/>
    <w:rsid w:val="7BBA7205"/>
    <w:rsid w:val="7BC2430B"/>
    <w:rsid w:val="7BCF7191"/>
    <w:rsid w:val="7BD5403F"/>
    <w:rsid w:val="7BDF7AA9"/>
    <w:rsid w:val="7BFB565B"/>
    <w:rsid w:val="7C1A5F8F"/>
    <w:rsid w:val="7C2B0F68"/>
    <w:rsid w:val="7C321491"/>
    <w:rsid w:val="7C492337"/>
    <w:rsid w:val="7C4D1E27"/>
    <w:rsid w:val="7C5F7DAC"/>
    <w:rsid w:val="7C624B36"/>
    <w:rsid w:val="7C653614"/>
    <w:rsid w:val="7C684EB3"/>
    <w:rsid w:val="7C7C44BA"/>
    <w:rsid w:val="7C8E405C"/>
    <w:rsid w:val="7C947A56"/>
    <w:rsid w:val="7C9A7A0D"/>
    <w:rsid w:val="7CAD4FBB"/>
    <w:rsid w:val="7CD1486A"/>
    <w:rsid w:val="7CD2057E"/>
    <w:rsid w:val="7CE02C9B"/>
    <w:rsid w:val="7CE50C17"/>
    <w:rsid w:val="7CE518CD"/>
    <w:rsid w:val="7D0169C8"/>
    <w:rsid w:val="7D2E7EAA"/>
    <w:rsid w:val="7D2F2D01"/>
    <w:rsid w:val="7D4619A2"/>
    <w:rsid w:val="7D4F7E21"/>
    <w:rsid w:val="7D5611AF"/>
    <w:rsid w:val="7D63567A"/>
    <w:rsid w:val="7D6363CB"/>
    <w:rsid w:val="7D637428"/>
    <w:rsid w:val="7D6B0FC5"/>
    <w:rsid w:val="7D7D2BE0"/>
    <w:rsid w:val="7D8E6B9B"/>
    <w:rsid w:val="7D910439"/>
    <w:rsid w:val="7DA226D7"/>
    <w:rsid w:val="7DAA5F1C"/>
    <w:rsid w:val="7DBD6776"/>
    <w:rsid w:val="7DD91D07"/>
    <w:rsid w:val="7DE467BB"/>
    <w:rsid w:val="7DFA12F5"/>
    <w:rsid w:val="7DFD5ACF"/>
    <w:rsid w:val="7E24305B"/>
    <w:rsid w:val="7E386F6C"/>
    <w:rsid w:val="7E492AC2"/>
    <w:rsid w:val="7E4E0695"/>
    <w:rsid w:val="7E635932"/>
    <w:rsid w:val="7E867872"/>
    <w:rsid w:val="7E8B4DC2"/>
    <w:rsid w:val="7EA61CC2"/>
    <w:rsid w:val="7EF24F07"/>
    <w:rsid w:val="7EF50D3F"/>
    <w:rsid w:val="7EF649F8"/>
    <w:rsid w:val="7EFB3DBC"/>
    <w:rsid w:val="7F1906E6"/>
    <w:rsid w:val="7F345520"/>
    <w:rsid w:val="7F4339B5"/>
    <w:rsid w:val="7F5B485B"/>
    <w:rsid w:val="7F7818B1"/>
    <w:rsid w:val="7F840255"/>
    <w:rsid w:val="7FA33145"/>
    <w:rsid w:val="7FAD49E8"/>
    <w:rsid w:val="7FAF2DF8"/>
    <w:rsid w:val="7FD05249"/>
    <w:rsid w:val="7FD60385"/>
    <w:rsid w:val="7FDF36DE"/>
    <w:rsid w:val="7FE9630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rPr>
  </w:style>
  <w:style w:type="paragraph" w:styleId="20">
    <w:name w:val="annotation text"/>
    <w:basedOn w:val="1"/>
    <w:link w:val="617"/>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4"/>
    <w:qFormat/>
    <w:uiPriority w:val="0"/>
    <w:pPr>
      <w:jc w:val="center"/>
    </w:pPr>
    <w:rPr>
      <w:szCs w:val="20"/>
    </w:rPr>
  </w:style>
  <w:style w:type="paragraph" w:styleId="23">
    <w:name w:val="Body Text"/>
    <w:basedOn w:val="1"/>
    <w:next w:val="24"/>
    <w:link w:val="515"/>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8"/>
    <w:qFormat/>
    <w:uiPriority w:val="0"/>
    <w:pPr>
      <w:ind w:firstLine="420"/>
    </w:pPr>
    <w:rPr>
      <w:szCs w:val="20"/>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Balloon Text"/>
    <w:basedOn w:val="1"/>
    <w:link w:val="618"/>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2"/>
    <w:basedOn w:val="25"/>
    <w:link w:val="505"/>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basedOn w:val="63"/>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Default"/>
    <w:next w:val="74"/>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列出段落1"/>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7"/>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5"/>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ilvl w:val="0"/>
        <w:numId w:val="0"/>
      </w:numPr>
      <w:tabs>
        <w:tab w:val="left" w:pos="840"/>
        <w:tab w:val="clear" w:pos="900"/>
      </w:tabs>
      <w:adjustRightInd/>
      <w:ind w:left="840" w:hanging="420"/>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Id w:val="0"/>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ilvl w:val="0"/>
        <w:numId w:val="0"/>
      </w:numPr>
      <w:tabs>
        <w:tab w:val="left" w:pos="480"/>
        <w:tab w:val="clear" w:pos="1008"/>
      </w:tabs>
      <w:ind w:left="480" w:hanging="480"/>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ilvl w:val="0"/>
        <w:numId w:val="4"/>
      </w:numPr>
      <w:tabs>
        <w:tab w:val="clear" w:pos="1008"/>
      </w:tabs>
      <w:adjustRightInd/>
    </w:pPr>
  </w:style>
  <w:style w:type="paragraph" w:customStyle="1" w:styleId="41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1"/>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qFormat/>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qFormat/>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49"/>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6"/>
    <w:qFormat/>
    <w:uiPriority w:val="0"/>
    <w:rPr>
      <w:rFonts w:ascii="Arial" w:hAnsi="Arial" w:eastAsia="隶书"/>
      <w:b/>
      <w:bCs/>
      <w:kern w:val="28"/>
      <w:sz w:val="44"/>
      <w:szCs w:val="32"/>
      <w:lang w:val="en-US" w:eastAsia="zh-CN" w:bidi="ar-SA"/>
    </w:rPr>
  </w:style>
  <w:style w:type="character" w:customStyle="1" w:styleId="49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_7802c35d-a7d5-483c-ad67-f53103fdfb58"/>
    <w:qFormat/>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6"/>
    <w:qFormat/>
    <w:uiPriority w:val="0"/>
    <w:rPr>
      <w:rFonts w:ascii="黑体" w:hAnsi="Courier New" w:eastAsia="黑体"/>
    </w:rPr>
  </w:style>
  <w:style w:type="character" w:customStyle="1" w:styleId="547">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8">
    <w:name w:val="正文首行缩进 Char"/>
    <w:link w:val="24"/>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2"/>
    <w:qFormat/>
    <w:uiPriority w:val="0"/>
    <w:rPr>
      <w:b/>
      <w:bCs/>
      <w:kern w:val="44"/>
      <w:sz w:val="44"/>
      <w:szCs w:val="44"/>
    </w:rPr>
  </w:style>
  <w:style w:type="character" w:customStyle="1" w:styleId="553">
    <w:name w:val="页眉 Char"/>
    <w:qFormat/>
    <w:uiPriority w:val="99"/>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uiPriority w:val="0"/>
    <w:rPr>
      <w:rFonts w:ascii="宋体" w:hAnsi="宋体" w:eastAsia="宋体"/>
      <w:b/>
      <w:kern w:val="2"/>
      <w:sz w:val="24"/>
      <w:szCs w:val="24"/>
      <w:lang w:val="en-US" w:eastAsia="zh-CN" w:bidi="ar-SA"/>
    </w:rPr>
  </w:style>
  <w:style w:type="character" w:customStyle="1" w:styleId="565">
    <w:name w:val="Document Map Char"/>
    <w:qFormat/>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qFormat/>
    <w:uiPriority w:val="0"/>
    <w:rPr>
      <w:rFonts w:eastAsia="宋体"/>
      <w:kern w:val="2"/>
      <w:sz w:val="21"/>
      <w:szCs w:val="24"/>
      <w:lang w:val="en-US" w:eastAsia="zh-CN" w:bidi="ar-SA"/>
    </w:rPr>
  </w:style>
  <w:style w:type="character" w:customStyle="1" w:styleId="580">
    <w:name w:val="hui"/>
    <w:basedOn w:val="63"/>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2"/>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99"/>
    <w:rPr>
      <w:rFonts w:eastAsia="仿宋_GB2312"/>
      <w:kern w:val="2"/>
      <w:sz w:val="18"/>
      <w:lang w:val="en-US" w:eastAsia="zh-CN"/>
    </w:rPr>
  </w:style>
  <w:style w:type="character" w:customStyle="1" w:styleId="591">
    <w:name w:val="正文文本缩进 3 Char"/>
    <w:link w:val="52"/>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6"/>
    <w:qFormat/>
    <w:uiPriority w:val="0"/>
    <w:rPr>
      <w:rFonts w:ascii="宋体"/>
      <w:kern w:val="2"/>
      <w:sz w:val="24"/>
      <w:szCs w:val="21"/>
      <w:lang w:val="zh-CN"/>
    </w:rPr>
  </w:style>
  <w:style w:type="character" w:customStyle="1" w:styleId="602">
    <w:name w:val="标题 4 Char"/>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qFormat/>
    <w:uiPriority w:val="0"/>
    <w:rPr>
      <w:rFonts w:ascii="Times New Roman" w:hAnsi="Times New Roman" w:eastAsia="宋体" w:cs="Times New Roman"/>
      <w:sz w:val="20"/>
      <w:szCs w:val="20"/>
    </w:rPr>
  </w:style>
  <w:style w:type="character" w:customStyle="1" w:styleId="607">
    <w:name w:val="Char Char31"/>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7"/>
    <w:qFormat/>
    <w:uiPriority w:val="0"/>
    <w:rPr>
      <w:rFonts w:ascii="Arial" w:hAnsi="Arial" w:eastAsia="黑体"/>
      <w:b/>
      <w:bCs/>
      <w:kern w:val="2"/>
      <w:sz w:val="24"/>
      <w:szCs w:val="24"/>
    </w:rPr>
  </w:style>
  <w:style w:type="character" w:customStyle="1" w:styleId="616">
    <w:name w:val="正文缩进 Char2"/>
    <w:link w:val="15"/>
    <w:qFormat/>
    <w:uiPriority w:val="0"/>
    <w:rPr>
      <w:rFonts w:ascii="宋体" w:eastAsia="宋体"/>
      <w:snapToGrid w:val="0"/>
      <w:color w:val="000000"/>
      <w:kern w:val="28"/>
      <w:sz w:val="28"/>
      <w:lang w:val="en-US" w:eastAsia="zh-CN" w:bidi="ar-SA"/>
    </w:rPr>
  </w:style>
  <w:style w:type="character" w:customStyle="1" w:styleId="617">
    <w:name w:val="批注文字 Char1"/>
    <w:link w:val="20"/>
    <w:qFormat/>
    <w:uiPriority w:val="99"/>
    <w:rPr>
      <w:kern w:val="2"/>
      <w:sz w:val="21"/>
      <w:szCs w:val="24"/>
    </w:rPr>
  </w:style>
  <w:style w:type="character" w:customStyle="1" w:styleId="618">
    <w:name w:val="批注框文本 Char"/>
    <w:link w:val="38"/>
    <w:qFormat/>
    <w:uiPriority w:val="0"/>
    <w:rPr>
      <w:kern w:val="2"/>
      <w:sz w:val="18"/>
      <w:szCs w:val="18"/>
    </w:rPr>
  </w:style>
  <w:style w:type="character" w:customStyle="1" w:styleId="619">
    <w:name w:val="Footer Char_297ca3bb-e6f6-4cc1-9b27-66816fa3cad9"/>
    <w:qFormat/>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页眉 Char2"/>
    <w:link w:val="40"/>
    <w:qFormat/>
    <w:uiPriority w:val="99"/>
    <w:rPr>
      <w:kern w:val="2"/>
      <w:sz w:val="18"/>
      <w:szCs w:val="18"/>
    </w:rPr>
  </w:style>
  <w:style w:type="paragraph" w:styleId="635">
    <w:name w:val="List Paragraph"/>
    <w:basedOn w:val="1"/>
    <w:unhideWhenUsed/>
    <w:qFormat/>
    <w:uiPriority w:val="99"/>
    <w:pPr>
      <w:ind w:firstLine="420" w:firstLineChars="200"/>
    </w:p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basedOn w:val="1"/>
    <w:next w:val="1"/>
    <w:qFormat/>
    <w:uiPriority w:val="0"/>
    <w:rPr>
      <w:color w:val="000000"/>
      <w:kern w:val="1"/>
    </w:rPr>
  </w:style>
  <w:style w:type="paragraph" w:customStyle="1" w:styleId="638">
    <w:name w:val="样式 列表编号 + 段后: 0.5 行"/>
    <w:basedOn w:val="14"/>
    <w:qFormat/>
    <w:uiPriority w:val="99"/>
    <w:pPr>
      <w:tabs>
        <w:tab w:val="left" w:pos="720"/>
        <w:tab w:val="clear" w:pos="390"/>
      </w:tabs>
      <w:spacing w:after="156" w:line="360" w:lineRule="auto"/>
      <w:ind w:left="720" w:hanging="720"/>
    </w:pPr>
  </w:style>
  <w:style w:type="character" w:customStyle="1" w:styleId="639">
    <w:name w:val="15"/>
    <w:basedOn w:val="63"/>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14541</Words>
  <Characters>15727</Characters>
  <Lines>336</Lines>
  <Paragraphs>94</Paragraphs>
  <TotalTime>19</TotalTime>
  <ScaleCrop>false</ScaleCrop>
  <LinksUpToDate>false</LinksUpToDate>
  <CharactersWithSpaces>17197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456</cp:lastModifiedBy>
  <cp:lastPrinted>2021-10-23T18:37:00Z</cp:lastPrinted>
  <dcterms:modified xsi:type="dcterms:W3CDTF">2024-11-12T06:20:04Z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3DF94D559C4E42F0B1BA61F6F00EF610</vt:lpwstr>
  </property>
</Properties>
</file>