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bCs/>
          <w:color w:val="auto"/>
          <w:spacing w:val="0"/>
          <w:kern w:val="0"/>
          <w:sz w:val="44"/>
          <w:szCs w:val="44"/>
          <w:highlight w:val="none"/>
          <w:lang w:val="en-US" w:eastAsia="zh-CN"/>
        </w:rPr>
      </w:pPr>
      <w:r>
        <w:rPr>
          <w:rFonts w:hint="eastAsia" w:ascii="仿宋" w:hAnsi="仿宋" w:eastAsia="仿宋" w:cs="仿宋"/>
          <w:b/>
          <w:bCs/>
          <w:color w:val="auto"/>
          <w:spacing w:val="0"/>
          <w:kern w:val="0"/>
          <w:sz w:val="44"/>
          <w:szCs w:val="44"/>
          <w:highlight w:val="none"/>
          <w:lang w:val="en-US" w:eastAsia="zh-CN"/>
        </w:rPr>
        <w:t>2025年2月嵊州市公共交通有限公司</w:t>
      </w:r>
    </w:p>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bCs/>
          <w:color w:val="auto"/>
          <w:spacing w:val="0"/>
          <w:kern w:val="0"/>
          <w:sz w:val="44"/>
          <w:szCs w:val="44"/>
          <w:highlight w:val="none"/>
          <w:lang w:val="en-US" w:eastAsia="zh-CN"/>
        </w:rPr>
      </w:pPr>
      <w:r>
        <w:rPr>
          <w:rFonts w:hint="eastAsia" w:ascii="仿宋" w:hAnsi="仿宋" w:eastAsia="仿宋" w:cs="仿宋"/>
          <w:b/>
          <w:bCs/>
          <w:color w:val="auto"/>
          <w:spacing w:val="0"/>
          <w:kern w:val="0"/>
          <w:sz w:val="44"/>
          <w:szCs w:val="44"/>
          <w:highlight w:val="none"/>
          <w:lang w:val="en-US" w:eastAsia="zh-CN"/>
        </w:rPr>
        <w:t>车辆保险采购项目</w:t>
      </w:r>
    </w:p>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val="en-US" w:eastAsia="zh-CN"/>
        </w:rPr>
        <w:t>招标</w:t>
      </w:r>
      <w:r>
        <w:rPr>
          <w:rFonts w:hint="eastAsia" w:ascii="仿宋" w:hAnsi="仿宋" w:eastAsia="仿宋" w:cs="仿宋"/>
          <w:b/>
          <w:bCs/>
          <w:color w:val="auto"/>
          <w:sz w:val="28"/>
          <w:szCs w:val="28"/>
          <w:highlight w:val="none"/>
        </w:rPr>
        <w:t>编号：</w:t>
      </w:r>
      <w:r>
        <w:rPr>
          <w:rFonts w:hint="eastAsia" w:ascii="仿宋" w:hAnsi="仿宋" w:eastAsia="仿宋" w:cs="仿宋"/>
          <w:b/>
          <w:bCs/>
          <w:color w:val="auto"/>
          <w:sz w:val="32"/>
          <w:szCs w:val="32"/>
          <w:highlight w:val="none"/>
          <w:lang w:val="en-US" w:eastAsia="zh-CN"/>
        </w:rPr>
        <w:t xml:space="preserve"> ZJHY-SZ2025004</w:t>
      </w:r>
      <w:r>
        <w:rPr>
          <w:rFonts w:hint="eastAsia" w:ascii="仿宋" w:hAnsi="仿宋" w:eastAsia="仿宋" w:cs="仿宋"/>
          <w:b/>
          <w:bCs/>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eastAsia="zh-CN"/>
        </w:rPr>
        <w:t>（</w:t>
      </w:r>
      <w:r>
        <w:rPr>
          <w:rFonts w:hint="eastAsia" w:ascii="仿宋" w:hAnsi="仿宋" w:eastAsia="仿宋" w:cs="仿宋"/>
          <w:b/>
          <w:bCs/>
          <w:color w:val="auto"/>
          <w:sz w:val="30"/>
          <w:szCs w:val="30"/>
          <w:highlight w:val="none"/>
          <w:lang w:val="en-US" w:eastAsia="zh-CN"/>
        </w:rPr>
        <w:t>国企采购）</w:t>
      </w:r>
    </w:p>
    <w:p>
      <w:pPr>
        <w:keepNext w:val="0"/>
        <w:keepLines w:val="0"/>
        <w:pageBreakBefore w:val="0"/>
        <w:widowControl w:val="0"/>
        <w:kinsoku/>
        <w:wordWrap/>
        <w:overflowPunct/>
        <w:topLinePunct w:val="0"/>
        <w:autoSpaceDE/>
        <w:autoSpaceDN/>
        <w:bidi w:val="0"/>
        <w:adjustRightInd/>
        <w:snapToGrid/>
        <w:spacing w:before="0" w:beforeLines="200" w:line="1000" w:lineRule="exact"/>
        <w:jc w:val="center"/>
        <w:textAlignment w:val="auto"/>
        <w:outlineLvl w:val="0"/>
        <w:rPr>
          <w:rFonts w:hint="eastAsia" w:ascii="仿宋" w:hAnsi="仿宋" w:eastAsia="仿宋" w:cs="仿宋"/>
          <w:b/>
          <w:bCs/>
          <w:color w:val="auto"/>
          <w:sz w:val="84"/>
          <w:szCs w:val="84"/>
          <w:highlight w:val="none"/>
        </w:rPr>
      </w:pPr>
      <w:r>
        <w:rPr>
          <w:rFonts w:hint="eastAsia" w:ascii="仿宋" w:hAnsi="仿宋" w:eastAsia="仿宋" w:cs="仿宋"/>
          <w:b/>
          <w:bCs/>
          <w:color w:val="auto"/>
          <w:sz w:val="84"/>
          <w:szCs w:val="84"/>
          <w:highlight w:val="none"/>
        </w:rPr>
        <w:t>公</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color w:val="auto"/>
          <w:sz w:val="84"/>
          <w:szCs w:val="84"/>
          <w:highlight w:val="none"/>
        </w:rPr>
      </w:pPr>
      <w:r>
        <w:rPr>
          <w:rFonts w:hint="eastAsia" w:ascii="仿宋" w:hAnsi="仿宋" w:eastAsia="仿宋" w:cs="仿宋"/>
          <w:b/>
          <w:bCs/>
          <w:color w:val="auto"/>
          <w:sz w:val="84"/>
          <w:szCs w:val="84"/>
          <w:highlight w:val="none"/>
        </w:rPr>
        <w:t>开</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color w:val="auto"/>
          <w:sz w:val="84"/>
          <w:szCs w:val="84"/>
          <w:highlight w:val="none"/>
        </w:rPr>
      </w:pPr>
      <w:r>
        <w:rPr>
          <w:rFonts w:hint="eastAsia" w:ascii="仿宋" w:hAnsi="仿宋" w:eastAsia="仿宋" w:cs="仿宋"/>
          <w:b/>
          <w:bCs/>
          <w:color w:val="auto"/>
          <w:sz w:val="84"/>
          <w:szCs w:val="84"/>
          <w:highlight w:val="none"/>
        </w:rPr>
        <w:t>招</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color w:val="auto"/>
          <w:sz w:val="84"/>
          <w:szCs w:val="84"/>
          <w:highlight w:val="none"/>
        </w:rPr>
      </w:pPr>
      <w:r>
        <w:rPr>
          <w:rFonts w:hint="eastAsia" w:ascii="仿宋" w:hAnsi="仿宋" w:eastAsia="仿宋" w:cs="仿宋"/>
          <w:b/>
          <w:bCs/>
          <w:color w:val="auto"/>
          <w:sz w:val="84"/>
          <w:szCs w:val="84"/>
          <w:highlight w:val="none"/>
        </w:rPr>
        <w:t>标</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color w:val="auto"/>
          <w:sz w:val="84"/>
          <w:szCs w:val="84"/>
          <w:highlight w:val="none"/>
        </w:rPr>
      </w:pPr>
      <w:r>
        <w:rPr>
          <w:rFonts w:hint="eastAsia" w:ascii="仿宋" w:hAnsi="仿宋" w:eastAsia="仿宋" w:cs="仿宋"/>
          <w:b/>
          <w:bCs/>
          <w:color w:val="auto"/>
          <w:sz w:val="84"/>
          <w:szCs w:val="84"/>
          <w:highlight w:val="none"/>
        </w:rPr>
        <w:t>文</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仿宋" w:hAnsi="仿宋" w:eastAsia="仿宋" w:cs="仿宋"/>
          <w:b/>
          <w:bCs/>
          <w:color w:val="auto"/>
          <w:sz w:val="44"/>
          <w:highlight w:val="none"/>
        </w:rPr>
      </w:pPr>
      <w:r>
        <w:rPr>
          <w:rFonts w:hint="eastAsia" w:ascii="仿宋" w:hAnsi="仿宋" w:eastAsia="仿宋" w:cs="仿宋"/>
          <w:b/>
          <w:bCs/>
          <w:color w:val="auto"/>
          <w:sz w:val="84"/>
          <w:szCs w:val="84"/>
          <w:highlight w:val="none"/>
        </w:rPr>
        <w:t>件</w:t>
      </w:r>
    </w:p>
    <w:p>
      <w:pPr>
        <w:spacing w:line="580" w:lineRule="exact"/>
        <w:jc w:val="both"/>
        <w:rPr>
          <w:rFonts w:hint="eastAsia" w:ascii="仿宋" w:hAnsi="仿宋" w:eastAsia="仿宋" w:cs="仿宋"/>
          <w:b/>
          <w:bCs/>
          <w:color w:val="auto"/>
          <w:sz w:val="36"/>
          <w:highlight w:val="none"/>
        </w:rPr>
      </w:pPr>
    </w:p>
    <w:p>
      <w:pPr>
        <w:adjustRightInd/>
        <w:spacing w:line="360" w:lineRule="auto"/>
        <w:jc w:val="center"/>
        <w:rPr>
          <w:rFonts w:hint="eastAsia" w:ascii="仿宋" w:hAnsi="仿宋" w:eastAsia="仿宋" w:cs="仿宋"/>
          <w:b/>
          <w:bCs/>
          <w:color w:val="auto"/>
          <w:sz w:val="36"/>
          <w:szCs w:val="36"/>
          <w:highlight w:val="none"/>
          <w:lang w:eastAsia="zh-CN"/>
        </w:rPr>
      </w:pPr>
      <w:r>
        <w:rPr>
          <w:rFonts w:hint="eastAsia" w:ascii="仿宋" w:hAnsi="仿宋" w:eastAsia="仿宋" w:cs="仿宋"/>
          <w:b/>
          <w:bCs/>
          <w:color w:val="auto"/>
          <w:sz w:val="36"/>
          <w:szCs w:val="36"/>
          <w:highlight w:val="none"/>
        </w:rPr>
        <w:t>（电子招投标）</w:t>
      </w:r>
    </w:p>
    <w:p>
      <w:pPr>
        <w:keepNext w:val="0"/>
        <w:keepLines w:val="0"/>
        <w:pageBreakBefore w:val="0"/>
        <w:widowControl w:val="0"/>
        <w:kinsoku/>
        <w:wordWrap/>
        <w:overflowPunct/>
        <w:topLinePunct w:val="0"/>
        <w:autoSpaceDE/>
        <w:autoSpaceDN/>
        <w:bidi w:val="0"/>
        <w:adjustRightInd/>
        <w:snapToGrid/>
        <w:spacing w:line="560" w:lineRule="exact"/>
        <w:ind w:firstLine="1606" w:firstLineChars="500"/>
        <w:jc w:val="both"/>
        <w:textAlignment w:val="auto"/>
        <w:rPr>
          <w:rFonts w:hint="eastAsia" w:ascii="仿宋" w:hAnsi="仿宋" w:eastAsia="仿宋" w:cs="仿宋"/>
          <w:b/>
          <w:bCs/>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1606" w:firstLineChars="500"/>
        <w:jc w:val="both"/>
        <w:textAlignment w:val="auto"/>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采购单位：嵊州市公共交通有限公司</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1587" w:firstLineChars="494"/>
        <w:jc w:val="both"/>
        <w:textAlignment w:val="auto"/>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代理机构：浙江华耀建设咨询有限公司</w:t>
      </w:r>
    </w:p>
    <w:p>
      <w:pPr>
        <w:keepNext w:val="0"/>
        <w:keepLines w:val="0"/>
        <w:pageBreakBefore w:val="0"/>
        <w:widowControl w:val="0"/>
        <w:kinsoku/>
        <w:wordWrap/>
        <w:overflowPunct/>
        <w:topLinePunct w:val="0"/>
        <w:autoSpaceDE/>
        <w:autoSpaceDN/>
        <w:bidi w:val="0"/>
        <w:adjustRightInd/>
        <w:snapToGrid/>
        <w:spacing w:line="560" w:lineRule="exact"/>
        <w:ind w:firstLine="1606" w:firstLineChars="500"/>
        <w:jc w:val="both"/>
        <w:textAlignment w:val="auto"/>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监督单位：嵊州市交通投资发展集团有限公司</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32"/>
          <w:szCs w:val="32"/>
          <w:highlight w:val="none"/>
          <w:lang w:eastAsia="zh-CN"/>
        </w:rPr>
      </w:pPr>
      <w:bookmarkStart w:id="0" w:name="用户单位名称"/>
      <w:bookmarkEnd w:id="0"/>
      <w:r>
        <w:rPr>
          <w:rFonts w:hint="eastAsia" w:ascii="仿宋" w:hAnsi="仿宋" w:eastAsia="仿宋" w:cs="仿宋"/>
          <w:b/>
          <w:bCs/>
          <w:color w:val="auto"/>
          <w:sz w:val="32"/>
          <w:szCs w:val="32"/>
          <w:highlight w:val="none"/>
          <w:lang w:eastAsia="zh-CN"/>
        </w:rPr>
        <w:t>二○二五年一月</w:t>
      </w:r>
    </w:p>
    <w:p>
      <w:pPr>
        <w:pStyle w:val="17"/>
        <w:widowControl w:val="0"/>
        <w:spacing w:line="580" w:lineRule="exact"/>
        <w:jc w:val="center"/>
        <w:rPr>
          <w:rFonts w:hint="eastAsia" w:ascii="仿宋" w:hAnsi="仿宋" w:eastAsia="仿宋" w:cs="仿宋"/>
          <w:bCs/>
          <w:color w:val="auto"/>
          <w:sz w:val="44"/>
          <w:szCs w:val="44"/>
          <w:highlight w:val="none"/>
        </w:rPr>
      </w:pPr>
    </w:p>
    <w:p>
      <w:pPr>
        <w:pStyle w:val="17"/>
        <w:widowControl w:val="0"/>
        <w:spacing w:line="580" w:lineRule="exact"/>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目  录</w:t>
      </w: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eastAsia" w:ascii="仿宋" w:hAnsi="仿宋" w:eastAsia="仿宋" w:cs="仿宋"/>
          <w:b w:val="0"/>
          <w:bCs/>
          <w:caps w:val="0"/>
          <w:color w:val="auto"/>
          <w:sz w:val="28"/>
          <w:szCs w:val="28"/>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TOC \o "1-2" \h \z \u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"_Toc513456138" </w:instrText>
      </w:r>
      <w:r>
        <w:rPr>
          <w:rFonts w:hint="eastAsia" w:ascii="仿宋" w:hAnsi="仿宋" w:eastAsia="仿宋" w:cs="仿宋"/>
          <w:color w:val="auto"/>
          <w:highlight w:val="none"/>
        </w:rPr>
        <w:fldChar w:fldCharType="separate"/>
      </w:r>
      <w:r>
        <w:rPr>
          <w:rStyle w:val="36"/>
          <w:rFonts w:hint="eastAsia" w:ascii="仿宋" w:hAnsi="仿宋" w:eastAsia="仿宋" w:cs="仿宋"/>
          <w:b w:val="0"/>
          <w:bCs/>
          <w:color w:val="auto"/>
          <w:sz w:val="28"/>
          <w:szCs w:val="28"/>
          <w:highlight w:val="none"/>
        </w:rPr>
        <w:t>第一部分  招标公告</w:t>
      </w:r>
      <w:r>
        <w:rPr>
          <w:rFonts w:hint="eastAsia" w:ascii="仿宋" w:hAnsi="仿宋" w:eastAsia="仿宋" w:cs="仿宋"/>
          <w:b w:val="0"/>
          <w:bCs/>
          <w:color w:val="auto"/>
          <w:sz w:val="28"/>
          <w:szCs w:val="28"/>
          <w:highlight w:val="none"/>
        </w:rPr>
        <w:tab/>
      </w:r>
      <w:r>
        <w:rPr>
          <w:rFonts w:hint="eastAsia" w:ascii="仿宋" w:hAnsi="仿宋" w:eastAsia="仿宋" w:cs="仿宋"/>
          <w:b w:val="0"/>
          <w:bCs/>
          <w:color w:val="auto"/>
          <w:sz w:val="28"/>
          <w:szCs w:val="28"/>
          <w:highlight w:val="none"/>
          <w:lang w:val="en-US" w:eastAsia="zh-CN"/>
        </w:rPr>
        <w:t>1</w:t>
      </w:r>
      <w:r>
        <w:rPr>
          <w:rFonts w:hint="eastAsia" w:ascii="仿宋" w:hAnsi="仿宋" w:eastAsia="仿宋" w:cs="仿宋"/>
          <w:b w:val="0"/>
          <w:bCs/>
          <w:color w:val="auto"/>
          <w:sz w:val="28"/>
          <w:szCs w:val="28"/>
          <w:highlight w:val="none"/>
        </w:rPr>
        <w:fldChar w:fldCharType="end"/>
      </w:r>
    </w:p>
    <w:p>
      <w:pPr>
        <w:pStyle w:val="2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eastAsia" w:ascii="仿宋" w:hAnsi="仿宋" w:eastAsia="仿宋" w:cs="仿宋"/>
          <w:b w:val="0"/>
          <w:bCs/>
          <w:caps w:val="0"/>
          <w:color w:val="auto"/>
          <w:sz w:val="28"/>
          <w:szCs w:val="28"/>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"_Toc513456139" </w:instrText>
      </w:r>
      <w:r>
        <w:rPr>
          <w:rFonts w:hint="eastAsia" w:ascii="仿宋" w:hAnsi="仿宋" w:eastAsia="仿宋" w:cs="仿宋"/>
          <w:color w:val="auto"/>
          <w:highlight w:val="none"/>
        </w:rPr>
        <w:fldChar w:fldCharType="separate"/>
      </w:r>
      <w:r>
        <w:rPr>
          <w:rStyle w:val="36"/>
          <w:rFonts w:hint="eastAsia" w:ascii="仿宋" w:hAnsi="仿宋" w:eastAsia="仿宋" w:cs="仿宋"/>
          <w:b w:val="0"/>
          <w:bCs/>
          <w:color w:val="auto"/>
          <w:sz w:val="28"/>
          <w:szCs w:val="28"/>
          <w:highlight w:val="none"/>
        </w:rPr>
        <w:t>第二部分  投标须知</w:t>
      </w:r>
      <w:r>
        <w:rPr>
          <w:rFonts w:hint="eastAsia" w:ascii="仿宋" w:hAnsi="仿宋" w:eastAsia="仿宋" w:cs="仿宋"/>
          <w:b w:val="0"/>
          <w:bCs/>
          <w:color w:val="auto"/>
          <w:sz w:val="28"/>
          <w:szCs w:val="28"/>
          <w:highlight w:val="none"/>
        </w:rPr>
        <w:tab/>
      </w:r>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fldChar w:fldCharType="end"/>
      </w:r>
    </w:p>
    <w:p>
      <w:pPr>
        <w:pStyle w:val="2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eastAsia" w:ascii="仿宋" w:hAnsi="仿宋" w:eastAsia="仿宋" w:cs="仿宋"/>
          <w:b w:val="0"/>
          <w:bCs/>
          <w:caps w:val="0"/>
          <w:color w:val="auto"/>
          <w:sz w:val="28"/>
          <w:szCs w:val="28"/>
          <w:highlight w:val="none"/>
          <w:lang w:val="en-US" w:eastAsia="zh-CN"/>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"_Toc513456147" </w:instrText>
      </w:r>
      <w:r>
        <w:rPr>
          <w:rFonts w:hint="eastAsia" w:ascii="仿宋" w:hAnsi="仿宋" w:eastAsia="仿宋" w:cs="仿宋"/>
          <w:color w:val="auto"/>
          <w:highlight w:val="none"/>
        </w:rPr>
        <w:fldChar w:fldCharType="separate"/>
      </w:r>
      <w:r>
        <w:rPr>
          <w:rStyle w:val="36"/>
          <w:rFonts w:hint="eastAsia" w:ascii="仿宋" w:hAnsi="仿宋" w:eastAsia="仿宋" w:cs="仿宋"/>
          <w:b w:val="0"/>
          <w:bCs/>
          <w:color w:val="auto"/>
          <w:sz w:val="28"/>
          <w:szCs w:val="28"/>
          <w:highlight w:val="none"/>
        </w:rPr>
        <w:t>第三部分  招标项目范围及要求</w:t>
      </w:r>
      <w:r>
        <w:rPr>
          <w:rFonts w:hint="eastAsia" w:ascii="仿宋" w:hAnsi="仿宋" w:eastAsia="仿宋" w:cs="仿宋"/>
          <w:b w:val="0"/>
          <w:bCs/>
          <w:color w:val="auto"/>
          <w:sz w:val="28"/>
          <w:szCs w:val="28"/>
          <w:highlight w:val="none"/>
        </w:rPr>
        <w:tab/>
      </w:r>
      <w:r>
        <w:rPr>
          <w:rFonts w:hint="eastAsia" w:ascii="仿宋" w:hAnsi="仿宋" w:eastAsia="仿宋" w:cs="仿宋"/>
          <w:b w:val="0"/>
          <w:bCs/>
          <w:color w:val="auto"/>
          <w:sz w:val="28"/>
          <w:szCs w:val="28"/>
          <w:highlight w:val="none"/>
        </w:rPr>
        <w:fldChar w:fldCharType="end"/>
      </w:r>
      <w:r>
        <w:rPr>
          <w:rFonts w:hint="eastAsia" w:ascii="仿宋" w:hAnsi="仿宋" w:eastAsia="仿宋" w:cs="仿宋"/>
          <w:b w:val="0"/>
          <w:bCs/>
          <w:color w:val="auto"/>
          <w:sz w:val="28"/>
          <w:szCs w:val="28"/>
          <w:highlight w:val="none"/>
          <w:lang w:val="en-US" w:eastAsia="zh-CN"/>
        </w:rPr>
        <w:t>24</w:t>
      </w:r>
    </w:p>
    <w:p>
      <w:pPr>
        <w:pStyle w:val="2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"_Toc513456151" </w:instrText>
      </w:r>
      <w:r>
        <w:rPr>
          <w:rFonts w:hint="eastAsia" w:ascii="仿宋" w:hAnsi="仿宋" w:eastAsia="仿宋" w:cs="仿宋"/>
          <w:color w:val="auto"/>
          <w:highlight w:val="none"/>
        </w:rPr>
        <w:fldChar w:fldCharType="separate"/>
      </w:r>
      <w:r>
        <w:rPr>
          <w:rStyle w:val="36"/>
          <w:rFonts w:hint="eastAsia" w:ascii="仿宋" w:hAnsi="仿宋" w:eastAsia="仿宋" w:cs="仿宋"/>
          <w:b w:val="0"/>
          <w:bCs/>
          <w:color w:val="auto"/>
          <w:sz w:val="28"/>
          <w:szCs w:val="28"/>
          <w:highlight w:val="none"/>
        </w:rPr>
        <w:t>第</w:t>
      </w:r>
      <w:r>
        <w:rPr>
          <w:rStyle w:val="36"/>
          <w:rFonts w:hint="eastAsia" w:ascii="仿宋" w:hAnsi="仿宋" w:eastAsia="仿宋" w:cs="仿宋"/>
          <w:b w:val="0"/>
          <w:bCs/>
          <w:color w:val="auto"/>
          <w:sz w:val="28"/>
          <w:szCs w:val="28"/>
          <w:highlight w:val="none"/>
          <w:lang w:val="en-US" w:eastAsia="zh-CN"/>
        </w:rPr>
        <w:t>四</w:t>
      </w:r>
      <w:r>
        <w:rPr>
          <w:rStyle w:val="36"/>
          <w:rFonts w:hint="eastAsia" w:ascii="仿宋" w:hAnsi="仿宋" w:eastAsia="仿宋" w:cs="仿宋"/>
          <w:b w:val="0"/>
          <w:bCs/>
          <w:color w:val="auto"/>
          <w:sz w:val="28"/>
          <w:szCs w:val="28"/>
          <w:highlight w:val="none"/>
        </w:rPr>
        <w:t>部分  合同主要条款</w:t>
      </w:r>
      <w:r>
        <w:rPr>
          <w:rFonts w:hint="eastAsia" w:ascii="仿宋" w:hAnsi="仿宋" w:eastAsia="仿宋" w:cs="仿宋"/>
          <w:b w:val="0"/>
          <w:bCs/>
          <w:color w:val="auto"/>
          <w:sz w:val="28"/>
          <w:szCs w:val="28"/>
          <w:highlight w:val="none"/>
        </w:rPr>
        <w:tab/>
      </w:r>
      <w:r>
        <w:rPr>
          <w:rFonts w:hint="eastAsia" w:ascii="仿宋" w:hAnsi="仿宋" w:eastAsia="仿宋" w:cs="仿宋"/>
          <w:b w:val="0"/>
          <w:bCs/>
          <w:color w:val="auto"/>
          <w:sz w:val="28"/>
          <w:szCs w:val="28"/>
          <w:highlight w:val="none"/>
        </w:rPr>
        <w:fldChar w:fldCharType="end"/>
      </w:r>
      <w:r>
        <w:rPr>
          <w:rFonts w:hint="eastAsia" w:ascii="仿宋" w:hAnsi="仿宋" w:eastAsia="仿宋" w:cs="仿宋"/>
          <w:b w:val="0"/>
          <w:bCs/>
          <w:color w:val="auto"/>
          <w:sz w:val="28"/>
          <w:szCs w:val="28"/>
          <w:highlight w:val="none"/>
          <w:lang w:val="en-US" w:eastAsia="zh-CN"/>
        </w:rPr>
        <w:t>32</w:t>
      </w:r>
    </w:p>
    <w:p>
      <w:pPr>
        <w:pStyle w:val="2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eastAsia" w:ascii="仿宋" w:hAnsi="仿宋" w:eastAsia="仿宋" w:cs="仿宋"/>
          <w:color w:val="auto"/>
          <w:highlight w:val="none"/>
          <w:lang w:val="en-US"/>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"_Toc513456150" </w:instrText>
      </w:r>
      <w:r>
        <w:rPr>
          <w:rFonts w:hint="eastAsia" w:ascii="仿宋" w:hAnsi="仿宋" w:eastAsia="仿宋" w:cs="仿宋"/>
          <w:color w:val="auto"/>
          <w:highlight w:val="none"/>
        </w:rPr>
        <w:fldChar w:fldCharType="separate"/>
      </w:r>
      <w:r>
        <w:rPr>
          <w:rStyle w:val="36"/>
          <w:rFonts w:hint="eastAsia" w:ascii="仿宋" w:hAnsi="仿宋" w:eastAsia="仿宋" w:cs="仿宋"/>
          <w:b w:val="0"/>
          <w:bCs/>
          <w:color w:val="auto"/>
          <w:sz w:val="28"/>
          <w:szCs w:val="28"/>
          <w:highlight w:val="none"/>
        </w:rPr>
        <w:t>第</w:t>
      </w:r>
      <w:r>
        <w:rPr>
          <w:rStyle w:val="36"/>
          <w:rFonts w:hint="eastAsia" w:ascii="仿宋" w:hAnsi="仿宋" w:eastAsia="仿宋" w:cs="仿宋"/>
          <w:b w:val="0"/>
          <w:bCs/>
          <w:color w:val="auto"/>
          <w:sz w:val="28"/>
          <w:szCs w:val="28"/>
          <w:highlight w:val="none"/>
          <w:lang w:val="en-US" w:eastAsia="zh-CN"/>
        </w:rPr>
        <w:t>五</w:t>
      </w:r>
      <w:r>
        <w:rPr>
          <w:rStyle w:val="36"/>
          <w:rFonts w:hint="eastAsia" w:ascii="仿宋" w:hAnsi="仿宋" w:eastAsia="仿宋" w:cs="仿宋"/>
          <w:b w:val="0"/>
          <w:bCs/>
          <w:color w:val="auto"/>
          <w:sz w:val="28"/>
          <w:szCs w:val="28"/>
          <w:highlight w:val="none"/>
        </w:rPr>
        <w:t>部分  评标办</w:t>
      </w:r>
      <w:bookmarkStart w:id="1" w:name="_Hlt516404789"/>
      <w:bookmarkStart w:id="2" w:name="_Hlt516404788"/>
      <w:r>
        <w:rPr>
          <w:rStyle w:val="36"/>
          <w:rFonts w:hint="eastAsia" w:ascii="仿宋" w:hAnsi="仿宋" w:eastAsia="仿宋" w:cs="仿宋"/>
          <w:b w:val="0"/>
          <w:bCs/>
          <w:color w:val="auto"/>
          <w:sz w:val="28"/>
          <w:szCs w:val="28"/>
          <w:highlight w:val="none"/>
        </w:rPr>
        <w:t>法</w:t>
      </w:r>
      <w:bookmarkEnd w:id="1"/>
      <w:bookmarkEnd w:id="2"/>
      <w:r>
        <w:rPr>
          <w:rFonts w:hint="eastAsia" w:ascii="仿宋" w:hAnsi="仿宋" w:eastAsia="仿宋" w:cs="仿宋"/>
          <w:b w:val="0"/>
          <w:bCs/>
          <w:color w:val="auto"/>
          <w:sz w:val="28"/>
          <w:szCs w:val="28"/>
          <w:highlight w:val="none"/>
        </w:rPr>
        <w:tab/>
      </w:r>
      <w:r>
        <w:rPr>
          <w:rFonts w:hint="eastAsia" w:ascii="仿宋" w:hAnsi="仿宋" w:eastAsia="仿宋" w:cs="仿宋"/>
          <w:b w:val="0"/>
          <w:bCs/>
          <w:color w:val="auto"/>
          <w:sz w:val="28"/>
          <w:szCs w:val="28"/>
          <w:highlight w:val="none"/>
        </w:rPr>
        <w:fldChar w:fldCharType="end"/>
      </w:r>
      <w:r>
        <w:rPr>
          <w:rFonts w:hint="eastAsia" w:ascii="仿宋" w:hAnsi="仿宋" w:eastAsia="仿宋" w:cs="仿宋"/>
          <w:b w:val="0"/>
          <w:bCs/>
          <w:color w:val="auto"/>
          <w:sz w:val="28"/>
          <w:szCs w:val="28"/>
          <w:highlight w:val="none"/>
          <w:lang w:val="en-US" w:eastAsia="zh-CN"/>
        </w:rPr>
        <w:t>38</w:t>
      </w:r>
    </w:p>
    <w:p>
      <w:pPr>
        <w:pStyle w:val="21"/>
        <w:keepNext w:val="0"/>
        <w:keepLines w:val="0"/>
        <w:pageBreakBefore w:val="0"/>
        <w:widowControl w:val="0"/>
        <w:tabs>
          <w:tab w:val="right" w:leader="dot" w:pos="9016"/>
        </w:tabs>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"_Toc513456152" </w:instrText>
      </w:r>
      <w:r>
        <w:rPr>
          <w:rFonts w:hint="eastAsia" w:ascii="仿宋" w:hAnsi="仿宋" w:eastAsia="仿宋" w:cs="仿宋"/>
          <w:color w:val="auto"/>
          <w:highlight w:val="none"/>
        </w:rPr>
        <w:fldChar w:fldCharType="separate"/>
      </w:r>
      <w:r>
        <w:rPr>
          <w:rStyle w:val="36"/>
          <w:rFonts w:hint="eastAsia" w:ascii="仿宋" w:hAnsi="仿宋" w:eastAsia="仿宋" w:cs="仿宋"/>
          <w:b w:val="0"/>
          <w:bCs/>
          <w:color w:val="auto"/>
          <w:sz w:val="28"/>
          <w:szCs w:val="28"/>
          <w:highlight w:val="none"/>
        </w:rPr>
        <w:t>第六部分  投标文件</w:t>
      </w:r>
      <w:r>
        <w:rPr>
          <w:rStyle w:val="36"/>
          <w:rFonts w:hint="eastAsia" w:ascii="仿宋" w:hAnsi="仿宋" w:eastAsia="仿宋" w:cs="仿宋"/>
          <w:b w:val="0"/>
          <w:bCs/>
          <w:color w:val="auto"/>
          <w:sz w:val="28"/>
          <w:szCs w:val="28"/>
          <w:highlight w:val="none"/>
          <w:lang w:val="en-US" w:eastAsia="zh-CN"/>
        </w:rPr>
        <w:t>及其附件</w:t>
      </w:r>
      <w:r>
        <w:rPr>
          <w:rStyle w:val="36"/>
          <w:rFonts w:hint="eastAsia" w:ascii="仿宋" w:hAnsi="仿宋" w:eastAsia="仿宋" w:cs="仿宋"/>
          <w:b w:val="0"/>
          <w:bCs/>
          <w:color w:val="auto"/>
          <w:sz w:val="28"/>
          <w:szCs w:val="28"/>
          <w:highlight w:val="none"/>
        </w:rPr>
        <w:t>格式</w:t>
      </w:r>
      <w:r>
        <w:rPr>
          <w:rFonts w:hint="eastAsia" w:ascii="仿宋" w:hAnsi="仿宋" w:eastAsia="仿宋" w:cs="仿宋"/>
          <w:b w:val="0"/>
          <w:bCs/>
          <w:color w:val="auto"/>
          <w:sz w:val="28"/>
          <w:szCs w:val="28"/>
          <w:highlight w:val="none"/>
        </w:rPr>
        <w:tab/>
      </w:r>
      <w:r>
        <w:rPr>
          <w:rFonts w:hint="eastAsia" w:ascii="仿宋" w:hAnsi="仿宋" w:eastAsia="仿宋" w:cs="仿宋"/>
          <w:b w:val="0"/>
          <w:bCs/>
          <w:color w:val="auto"/>
          <w:sz w:val="28"/>
          <w:szCs w:val="28"/>
          <w:highlight w:val="none"/>
        </w:rPr>
        <w:fldChar w:fldCharType="end"/>
      </w:r>
      <w:r>
        <w:rPr>
          <w:rFonts w:hint="eastAsia" w:ascii="仿宋" w:hAnsi="仿宋" w:eastAsia="仿宋" w:cs="仿宋"/>
          <w:b w:val="0"/>
          <w:bCs/>
          <w:color w:val="auto"/>
          <w:sz w:val="28"/>
          <w:szCs w:val="28"/>
          <w:highlight w:val="none"/>
          <w:lang w:val="en-US" w:eastAsia="zh-CN"/>
        </w:rPr>
        <w:t>40</w:t>
      </w: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42"/>
        <w:rPr>
          <w:rFonts w:hint="eastAsia" w:ascii="仿宋" w:hAnsi="仿宋" w:eastAsia="仿宋" w:cs="仿宋"/>
          <w:color w:val="auto"/>
          <w:highlight w:val="none"/>
        </w:rPr>
      </w:pPr>
    </w:p>
    <w:p>
      <w:pPr>
        <w:rPr>
          <w:rFonts w:hint="eastAsia" w:ascii="仿宋" w:hAnsi="仿宋" w:eastAsia="仿宋" w:cs="仿宋"/>
          <w:color w:val="auto"/>
          <w:highlight w:val="none"/>
        </w:rPr>
      </w:pPr>
      <w:r>
        <w:rPr>
          <w:rFonts w:hint="eastAsia" w:ascii="仿宋" w:hAnsi="仿宋" w:eastAsia="仿宋" w:cs="仿宋"/>
          <w:color w:val="auto"/>
          <w:highlight w:val="none"/>
        </w:rPr>
        <w:fldChar w:fldCharType="end"/>
      </w:r>
      <w:bookmarkStart w:id="3" w:name="_Toc15829"/>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8"/>
        <w:rPr>
          <w:rFonts w:hint="eastAsia" w:ascii="仿宋" w:hAnsi="仿宋" w:eastAsia="仿宋" w:cs="仿宋"/>
          <w:color w:val="auto"/>
          <w:highlight w:val="none"/>
        </w:rPr>
      </w:pPr>
    </w:p>
    <w:p>
      <w:pPr>
        <w:jc w:val="both"/>
        <w:rPr>
          <w:rFonts w:hint="eastAsia" w:ascii="仿宋" w:hAnsi="仿宋" w:eastAsia="仿宋" w:cs="仿宋"/>
          <w:b/>
          <w:bCs/>
          <w:color w:val="auto"/>
          <w:kern w:val="0"/>
          <w:sz w:val="36"/>
          <w:highlight w:val="none"/>
        </w:rPr>
        <w:sectPr>
          <w:headerReference r:id="rId3" w:type="default"/>
          <w:pgSz w:w="11907" w:h="16840"/>
          <w:pgMar w:top="1474" w:right="1417" w:bottom="1247" w:left="1417" w:header="851" w:footer="851" w:gutter="0"/>
          <w:pgNumType w:start="1"/>
          <w:cols w:space="720" w:num="1"/>
        </w:sectPr>
      </w:pPr>
    </w:p>
    <w:p>
      <w:pPr>
        <w:jc w:val="center"/>
        <w:rPr>
          <w:rFonts w:hint="eastAsia" w:ascii="仿宋" w:hAnsi="仿宋" w:eastAsia="仿宋" w:cs="仿宋"/>
          <w:b/>
          <w:bCs/>
          <w:color w:val="auto"/>
          <w:kern w:val="0"/>
          <w:sz w:val="36"/>
          <w:highlight w:val="none"/>
        </w:rPr>
      </w:pPr>
      <w:r>
        <w:rPr>
          <w:rFonts w:hint="eastAsia" w:ascii="仿宋" w:hAnsi="仿宋" w:eastAsia="仿宋" w:cs="仿宋"/>
          <w:b/>
          <w:bCs/>
          <w:color w:val="auto"/>
          <w:kern w:val="0"/>
          <w:sz w:val="36"/>
          <w:highlight w:val="none"/>
        </w:rPr>
        <w:t>第一部分  招标公告</w:t>
      </w:r>
      <w:bookmarkEnd w:id="3"/>
    </w:p>
    <w:p>
      <w:pPr>
        <w:spacing w:line="300" w:lineRule="exact"/>
        <w:jc w:val="center"/>
        <w:rPr>
          <w:rFonts w:hint="eastAsia" w:ascii="仿宋" w:hAnsi="仿宋" w:eastAsia="仿宋" w:cs="仿宋"/>
          <w:color w:val="auto"/>
          <w:spacing w:val="6"/>
          <w:sz w:val="21"/>
          <w:szCs w:val="21"/>
          <w:highlight w:val="none"/>
        </w:rPr>
      </w:pP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u w:val="single"/>
          <w:lang w:eastAsia="zh-CN"/>
        </w:rPr>
        <w:t>2025年2月嵊州市公共交通有限公司车辆保险采购项目</w:t>
      </w:r>
      <w:r>
        <w:rPr>
          <w:rFonts w:hint="eastAsia" w:ascii="仿宋" w:hAnsi="仿宋" w:eastAsia="仿宋" w:cs="仿宋"/>
          <w:color w:val="auto"/>
          <w:szCs w:val="24"/>
          <w:highlight w:val="none"/>
        </w:rPr>
        <w:t>的潜在投标人应在</w:t>
      </w:r>
      <w:r>
        <w:rPr>
          <w:rFonts w:hint="eastAsia" w:ascii="仿宋" w:hAnsi="仿宋" w:eastAsia="仿宋" w:cs="仿宋"/>
          <w:color w:val="auto"/>
          <w:spacing w:val="6"/>
          <w:szCs w:val="24"/>
          <w:highlight w:val="none"/>
        </w:rPr>
        <w:t>乐采云平台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"http://www.zcygov.cn/获取采购文件，并于2023年"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https://www.lecaiyun.com/</w:t>
      </w:r>
      <w:r>
        <w:rPr>
          <w:rStyle w:val="36"/>
          <w:rFonts w:hint="eastAsia" w:ascii="仿宋" w:hAnsi="仿宋" w:eastAsia="仿宋" w:cs="仿宋"/>
          <w:color w:val="auto"/>
          <w:szCs w:val="24"/>
          <w:highlight w:val="none"/>
          <w:u w:val="none"/>
        </w:rPr>
        <w:t>获取采购文件，并于</w:t>
      </w:r>
      <w:r>
        <w:rPr>
          <w:rStyle w:val="36"/>
          <w:rFonts w:hint="eastAsia" w:ascii="仿宋" w:hAnsi="仿宋" w:eastAsia="仿宋" w:cs="仿宋"/>
          <w:color w:val="auto"/>
          <w:szCs w:val="24"/>
          <w:highlight w:val="none"/>
          <w:u w:val="single"/>
          <w:lang w:val="en-US" w:eastAsia="zh-CN"/>
        </w:rPr>
        <w:t>2025</w:t>
      </w:r>
      <w:r>
        <w:rPr>
          <w:rStyle w:val="36"/>
          <w:rFonts w:hint="eastAsia" w:ascii="仿宋" w:hAnsi="仿宋" w:eastAsia="仿宋" w:cs="仿宋"/>
          <w:color w:val="auto"/>
          <w:szCs w:val="24"/>
          <w:highlight w:val="none"/>
          <w:u w:val="none"/>
        </w:rPr>
        <w:t>年</w:t>
      </w:r>
      <w:r>
        <w:rPr>
          <w:rStyle w:val="36"/>
          <w:rFonts w:hint="eastAsia" w:ascii="仿宋" w:hAnsi="仿宋" w:eastAsia="仿宋" w:cs="仿宋"/>
          <w:color w:val="auto"/>
          <w:szCs w:val="24"/>
          <w:highlight w:val="none"/>
          <w:u w:val="none"/>
        </w:rPr>
        <w:fldChar w:fldCharType="end"/>
      </w:r>
      <w:r>
        <w:rPr>
          <w:rStyle w:val="36"/>
          <w:rFonts w:hint="eastAsia" w:ascii="仿宋" w:hAnsi="仿宋" w:eastAsia="仿宋" w:cs="仿宋"/>
          <w:color w:val="auto"/>
          <w:szCs w:val="24"/>
          <w:highlight w:val="none"/>
          <w:u w:val="single"/>
          <w:lang w:val="en-US" w:eastAsia="zh-CN"/>
        </w:rPr>
        <w:t>02</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u w:val="single"/>
          <w:lang w:val="en-US" w:eastAsia="zh-CN"/>
        </w:rPr>
        <w:t xml:space="preserve">17 </w:t>
      </w:r>
      <w:r>
        <w:rPr>
          <w:rFonts w:hint="eastAsia" w:ascii="仿宋" w:hAnsi="仿宋" w:eastAsia="仿宋" w:cs="仿宋"/>
          <w:color w:val="auto"/>
          <w:szCs w:val="24"/>
          <w:highlight w:val="none"/>
        </w:rPr>
        <w:t>日</w:t>
      </w:r>
      <w:r>
        <w:rPr>
          <w:rFonts w:hint="eastAsia" w:ascii="仿宋" w:hAnsi="仿宋" w:eastAsia="仿宋" w:cs="仿宋"/>
          <w:color w:val="auto"/>
          <w:szCs w:val="24"/>
          <w:highlight w:val="none"/>
          <w:u w:val="single"/>
          <w:lang w:val="en-US" w:eastAsia="zh-CN"/>
        </w:rPr>
        <w:t xml:space="preserve"> 09</w:t>
      </w:r>
      <w:r>
        <w:rPr>
          <w:rFonts w:hint="eastAsia" w:ascii="仿宋" w:hAnsi="仿宋" w:eastAsia="仿宋" w:cs="仿宋"/>
          <w:color w:val="auto"/>
          <w:szCs w:val="24"/>
          <w:highlight w:val="none"/>
        </w:rPr>
        <w:t>点</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u w:val="single"/>
          <w:lang w:val="en-US" w:eastAsia="zh-CN"/>
        </w:rPr>
        <w:t>30</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分</w:t>
      </w:r>
      <w:r>
        <w:rPr>
          <w:rFonts w:hint="eastAsia" w:ascii="仿宋" w:hAnsi="仿宋" w:eastAsia="仿宋" w:cs="仿宋"/>
          <w:bCs/>
          <w:color w:val="auto"/>
          <w:szCs w:val="24"/>
          <w:highlight w:val="none"/>
        </w:rPr>
        <w:t>（北京时间）前递交投标文件</w:t>
      </w:r>
      <w:r>
        <w:rPr>
          <w:rFonts w:hint="eastAsia" w:ascii="仿宋" w:hAnsi="仿宋" w:eastAsia="仿宋" w:cs="仿宋"/>
          <w:color w:val="auto"/>
          <w:szCs w:val="24"/>
          <w:highlight w:val="none"/>
        </w:rPr>
        <w:t>。</w:t>
      </w:r>
    </w:p>
    <w:p>
      <w:pPr>
        <w:spacing w:line="440" w:lineRule="exact"/>
        <w:rPr>
          <w:rFonts w:hint="eastAsia" w:ascii="仿宋" w:hAnsi="仿宋" w:eastAsia="仿宋" w:cs="仿宋"/>
          <w:b/>
          <w:bCs/>
          <w:color w:val="auto"/>
          <w:spacing w:val="6"/>
          <w:szCs w:val="24"/>
          <w:highlight w:val="none"/>
        </w:rPr>
      </w:pPr>
      <w:bookmarkStart w:id="4" w:name="_Toc28359079"/>
      <w:bookmarkStart w:id="5" w:name="_Toc35393621"/>
      <w:bookmarkStart w:id="6" w:name="_Toc28359002"/>
      <w:bookmarkStart w:id="7" w:name="_Toc35393790"/>
      <w:bookmarkStart w:id="8" w:name="_Hlk24379207"/>
      <w:r>
        <w:rPr>
          <w:rFonts w:hint="eastAsia" w:ascii="仿宋" w:hAnsi="仿宋" w:eastAsia="仿宋" w:cs="仿宋"/>
          <w:b/>
          <w:bCs/>
          <w:color w:val="auto"/>
          <w:spacing w:val="6"/>
          <w:szCs w:val="24"/>
          <w:highlight w:val="none"/>
        </w:rPr>
        <w:t>一、项目基本情况</w:t>
      </w:r>
      <w:bookmarkEnd w:id="4"/>
      <w:bookmarkEnd w:id="5"/>
      <w:bookmarkEnd w:id="6"/>
      <w:bookmarkEnd w:id="7"/>
    </w:p>
    <w:p>
      <w:pPr>
        <w:spacing w:line="480" w:lineRule="exact"/>
        <w:ind w:firstLine="480" w:firstLineChars="200"/>
        <w:rPr>
          <w:rFonts w:hint="eastAsia" w:ascii="仿宋" w:hAnsi="仿宋" w:eastAsia="仿宋" w:cs="仿宋"/>
          <w:color w:val="auto"/>
          <w:highlight w:val="none"/>
          <w:u w:val="single"/>
          <w:lang w:val="en-US"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highlight w:val="none"/>
          <w:u w:val="none"/>
          <w:lang w:val="en-US" w:eastAsia="zh-CN"/>
        </w:rPr>
        <w:t xml:space="preserve"> ZJHY-SZ2025004</w:t>
      </w:r>
    </w:p>
    <w:p>
      <w:pPr>
        <w:spacing w:line="48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项目名称：</w:t>
      </w:r>
      <w:r>
        <w:rPr>
          <w:rFonts w:hint="eastAsia" w:ascii="仿宋" w:hAnsi="仿宋" w:eastAsia="仿宋" w:cs="仿宋"/>
          <w:color w:val="auto"/>
          <w:highlight w:val="none"/>
          <w:u w:val="none"/>
          <w:lang w:eastAsia="zh-CN"/>
        </w:rPr>
        <w:t xml:space="preserve">2025年2月嵊州市公共交通有限公司车辆保险采购项目 </w:t>
      </w:r>
    </w:p>
    <w:bookmarkEnd w:id="8"/>
    <w:p>
      <w:pPr>
        <w:spacing w:line="480" w:lineRule="exact"/>
        <w:ind w:firstLine="480" w:firstLineChars="2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元）</w:t>
      </w:r>
      <w:r>
        <w:rPr>
          <w:rFonts w:hint="eastAsia" w:ascii="仿宋" w:hAnsi="仿宋" w:eastAsia="仿宋" w:cs="仿宋"/>
          <w:color w:val="auto"/>
          <w:szCs w:val="24"/>
          <w:highlight w:val="none"/>
        </w:rPr>
        <w:t>：</w:t>
      </w:r>
      <w:r>
        <w:rPr>
          <w:rFonts w:hint="eastAsia" w:ascii="仿宋" w:hAnsi="仿宋" w:eastAsia="仿宋" w:cs="仿宋"/>
          <w:color w:val="auto"/>
          <w:kern w:val="2"/>
          <w:sz w:val="24"/>
          <w:szCs w:val="24"/>
          <w:highlight w:val="none"/>
          <w:lang w:val="en-US" w:eastAsia="zh-CN" w:bidi="ar-SA"/>
        </w:rPr>
        <w:t>420000.00</w:t>
      </w:r>
    </w:p>
    <w:p>
      <w:pPr>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最高限价</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元）</w:t>
      </w:r>
      <w:r>
        <w:rPr>
          <w:rFonts w:hint="eastAsia" w:ascii="仿宋" w:hAnsi="仿宋" w:eastAsia="仿宋" w:cs="仿宋"/>
          <w:color w:val="auto"/>
          <w:szCs w:val="24"/>
          <w:highlight w:val="none"/>
        </w:rPr>
        <w:t>：</w:t>
      </w:r>
      <w:r>
        <w:rPr>
          <w:rFonts w:hint="eastAsia" w:ascii="仿宋" w:hAnsi="仿宋" w:eastAsia="仿宋" w:cs="仿宋"/>
          <w:color w:val="auto"/>
          <w:kern w:val="2"/>
          <w:sz w:val="24"/>
          <w:szCs w:val="24"/>
          <w:highlight w:val="none"/>
          <w:lang w:val="en-US" w:eastAsia="zh-CN" w:bidi="ar-SA"/>
        </w:rPr>
        <w:t>420000.00</w:t>
      </w:r>
    </w:p>
    <w:p>
      <w:pPr>
        <w:pStyle w:val="8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tbl>
      <w:tblPr>
        <w:tblStyle w:val="31"/>
        <w:tblW w:w="5602" w:type="pct"/>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07"/>
        <w:gridCol w:w="2681"/>
        <w:gridCol w:w="845"/>
        <w:gridCol w:w="845"/>
        <w:gridCol w:w="1416"/>
        <w:gridCol w:w="1589"/>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65" w:hRule="atLeast"/>
          <w:tblCellSpacing w:w="15" w:type="dxa"/>
        </w:trPr>
        <w:tc>
          <w:tcPr>
            <w:tcW w:w="444" w:type="pct"/>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标项</w:t>
            </w:r>
          </w:p>
        </w:tc>
        <w:tc>
          <w:tcPr>
            <w:tcW w:w="1366" w:type="pct"/>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标项信息</w:t>
            </w:r>
          </w:p>
        </w:tc>
        <w:tc>
          <w:tcPr>
            <w:tcW w:w="420" w:type="pct"/>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w:t>
            </w:r>
          </w:p>
        </w:tc>
        <w:tc>
          <w:tcPr>
            <w:tcW w:w="420" w:type="pct"/>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单位</w:t>
            </w:r>
          </w:p>
        </w:tc>
        <w:tc>
          <w:tcPr>
            <w:tcW w:w="714" w:type="pct"/>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服务期限（年）</w:t>
            </w:r>
          </w:p>
        </w:tc>
        <w:tc>
          <w:tcPr>
            <w:tcW w:w="803" w:type="pct"/>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预算金额（元）</w:t>
            </w:r>
          </w:p>
        </w:tc>
        <w:tc>
          <w:tcPr>
            <w:tcW w:w="707" w:type="pct"/>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简要</w:t>
            </w:r>
          </w:p>
          <w:p>
            <w:pPr>
              <w:widowControl/>
              <w:wordWrap w:val="0"/>
              <w:spacing w:line="400" w:lineRule="exact"/>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规格描述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blCellSpacing w:w="15" w:type="dxa"/>
        </w:trPr>
        <w:tc>
          <w:tcPr>
            <w:tcW w:w="444" w:type="pct"/>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一</w:t>
            </w:r>
          </w:p>
        </w:tc>
        <w:tc>
          <w:tcPr>
            <w:tcW w:w="1366" w:type="pct"/>
            <w:tcMar>
              <w:top w:w="75" w:type="dxa"/>
              <w:left w:w="150" w:type="dxa"/>
              <w:bottom w:w="75" w:type="dxa"/>
              <w:right w:w="150" w:type="dxa"/>
            </w:tcMar>
            <w:vAlign w:val="center"/>
          </w:tcPr>
          <w:p>
            <w:pPr>
              <w:widowControl/>
              <w:wordWrap w:val="0"/>
              <w:spacing w:line="400" w:lineRule="exact"/>
              <w:jc w:val="left"/>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品牌：金龙</w:t>
            </w:r>
          </w:p>
          <w:p>
            <w:pPr>
              <w:widowControl/>
              <w:wordWrap w:val="0"/>
              <w:spacing w:line="400" w:lineRule="exact"/>
              <w:jc w:val="left"/>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eastAsia="zh-CN"/>
              </w:rPr>
              <w:t>车型：公交车</w:t>
            </w:r>
          </w:p>
          <w:p>
            <w:pPr>
              <w:widowControl/>
              <w:wordWrap w:val="0"/>
              <w:spacing w:line="400" w:lineRule="exact"/>
              <w:jc w:val="left"/>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eastAsia="zh-CN"/>
              </w:rPr>
              <w:t>核载数：</w:t>
            </w:r>
            <w:r>
              <w:rPr>
                <w:rFonts w:hint="eastAsia" w:ascii="仿宋" w:hAnsi="仿宋" w:eastAsia="仿宋" w:cs="仿宋"/>
                <w:bCs/>
                <w:color w:val="auto"/>
                <w:sz w:val="24"/>
                <w:highlight w:val="none"/>
                <w:lang w:val="en-US" w:eastAsia="zh-CN"/>
              </w:rPr>
              <w:t>55</w:t>
            </w:r>
            <w:r>
              <w:rPr>
                <w:rFonts w:hint="eastAsia" w:ascii="仿宋" w:hAnsi="仿宋" w:eastAsia="仿宋" w:cs="仿宋"/>
                <w:bCs/>
                <w:color w:val="auto"/>
                <w:sz w:val="24"/>
                <w:highlight w:val="none"/>
                <w:lang w:eastAsia="zh-CN"/>
              </w:rPr>
              <w:t>人</w:t>
            </w:r>
          </w:p>
        </w:tc>
        <w:tc>
          <w:tcPr>
            <w:tcW w:w="420" w:type="pct"/>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6</w:t>
            </w:r>
          </w:p>
        </w:tc>
        <w:tc>
          <w:tcPr>
            <w:tcW w:w="420" w:type="pct"/>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辆</w:t>
            </w:r>
          </w:p>
        </w:tc>
        <w:tc>
          <w:tcPr>
            <w:tcW w:w="714" w:type="pct"/>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w:t>
            </w:r>
          </w:p>
        </w:tc>
        <w:tc>
          <w:tcPr>
            <w:tcW w:w="803" w:type="pct"/>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180000.00</w:t>
            </w:r>
          </w:p>
        </w:tc>
        <w:tc>
          <w:tcPr>
            <w:tcW w:w="707" w:type="pct"/>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详见</w:t>
            </w:r>
          </w:p>
          <w:p>
            <w:pPr>
              <w:widowControl/>
              <w:wordWrap w:val="0"/>
              <w:spacing w:line="40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eastAsia="zh-CN"/>
              </w:rPr>
              <w:t>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blCellSpacing w:w="15" w:type="dxa"/>
        </w:trPr>
        <w:tc>
          <w:tcPr>
            <w:tcW w:w="444" w:type="pct"/>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二</w:t>
            </w:r>
          </w:p>
        </w:tc>
        <w:tc>
          <w:tcPr>
            <w:tcW w:w="1366" w:type="pct"/>
            <w:tcMar>
              <w:top w:w="75" w:type="dxa"/>
              <w:left w:w="150" w:type="dxa"/>
              <w:bottom w:w="75" w:type="dxa"/>
              <w:right w:w="150" w:type="dxa"/>
            </w:tcMar>
            <w:vAlign w:val="center"/>
          </w:tcPr>
          <w:p>
            <w:pPr>
              <w:widowControl/>
              <w:wordWrap w:val="0"/>
              <w:spacing w:line="400" w:lineRule="exact"/>
              <w:jc w:val="left"/>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品牌：比亚迪（新车）车型：客运大巴</w:t>
            </w:r>
          </w:p>
          <w:p>
            <w:pPr>
              <w:widowControl/>
              <w:wordWrap w:val="0"/>
              <w:spacing w:line="400" w:lineRule="exact"/>
              <w:jc w:val="left"/>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核载数：38人</w:t>
            </w:r>
          </w:p>
        </w:tc>
        <w:tc>
          <w:tcPr>
            <w:tcW w:w="420" w:type="pct"/>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8</w:t>
            </w:r>
          </w:p>
        </w:tc>
        <w:tc>
          <w:tcPr>
            <w:tcW w:w="420" w:type="pct"/>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eastAsia="zh-CN"/>
              </w:rPr>
              <w:t>辆</w:t>
            </w:r>
          </w:p>
        </w:tc>
        <w:tc>
          <w:tcPr>
            <w:tcW w:w="714" w:type="pct"/>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w:t>
            </w:r>
          </w:p>
        </w:tc>
        <w:tc>
          <w:tcPr>
            <w:tcW w:w="803" w:type="pct"/>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240000.00</w:t>
            </w:r>
          </w:p>
        </w:tc>
        <w:tc>
          <w:tcPr>
            <w:tcW w:w="707" w:type="pct"/>
            <w:tcMar>
              <w:top w:w="75" w:type="dxa"/>
              <w:left w:w="150" w:type="dxa"/>
              <w:bottom w:w="75" w:type="dxa"/>
              <w:right w:w="150" w:type="dxa"/>
            </w:tcMar>
            <w:vAlign w:val="center"/>
          </w:tcPr>
          <w:p>
            <w:pPr>
              <w:widowControl/>
              <w:wordWrap w:val="0"/>
              <w:spacing w:line="400" w:lineRule="exact"/>
              <w:jc w:val="center"/>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详见</w:t>
            </w:r>
          </w:p>
          <w:p>
            <w:pPr>
              <w:widowControl/>
              <w:wordWrap w:val="0"/>
              <w:spacing w:line="400" w:lineRule="exact"/>
              <w:jc w:val="center"/>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招标文件</w:t>
            </w:r>
          </w:p>
        </w:tc>
      </w:tr>
    </w:tbl>
    <w:p>
      <w:pPr>
        <w:pStyle w:val="80"/>
        <w:spacing w:afterLines="0" w:line="440" w:lineRule="exact"/>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简要规格描述或项目基本概况介绍、用途：详见采购文件 </w:t>
      </w:r>
    </w:p>
    <w:p>
      <w:pPr>
        <w:pStyle w:val="80"/>
        <w:spacing w:afterLines="0" w:line="440" w:lineRule="exact"/>
        <w:ind w:firstLine="480"/>
        <w:rPr>
          <w:rFonts w:hint="eastAsia" w:ascii="仿宋" w:hAnsi="仿宋" w:eastAsia="仿宋" w:cs="仿宋"/>
          <w:color w:val="auto"/>
          <w:highlight w:val="none"/>
          <w:u w:val="none"/>
          <w:lang w:val="en-US" w:eastAsia="zh-CN"/>
        </w:rPr>
      </w:pPr>
      <w:r>
        <w:rPr>
          <w:rFonts w:hint="eastAsia" w:ascii="仿宋" w:hAnsi="仿宋" w:eastAsia="仿宋" w:cs="仿宋"/>
          <w:color w:val="auto"/>
          <w:kern w:val="2"/>
          <w:sz w:val="24"/>
          <w:szCs w:val="24"/>
          <w:highlight w:val="none"/>
          <w:lang w:val="en-US" w:eastAsia="zh-CN" w:bidi="ar-SA"/>
        </w:rPr>
        <w:t>合同履约期限：</w:t>
      </w:r>
      <w:r>
        <w:rPr>
          <w:rFonts w:hint="eastAsia" w:ascii="仿宋" w:hAnsi="仿宋" w:eastAsia="仿宋" w:cs="仿宋"/>
          <w:color w:val="auto"/>
          <w:highlight w:val="none"/>
          <w:u w:val="none"/>
          <w:lang w:val="en-US" w:eastAsia="zh-CN"/>
        </w:rPr>
        <w:t>两年</w:t>
      </w:r>
      <w:r>
        <w:rPr>
          <w:rFonts w:hint="eastAsia" w:ascii="仿宋" w:hAnsi="仿宋" w:eastAsia="仿宋" w:cs="仿宋"/>
          <w:color w:val="auto"/>
          <w:highlight w:val="none"/>
          <w:u w:val="none"/>
          <w:lang w:eastAsia="zh-CN"/>
        </w:rPr>
        <w:t>。</w:t>
      </w:r>
    </w:p>
    <w:p>
      <w:pPr>
        <w:spacing w:line="440" w:lineRule="exact"/>
        <w:ind w:firstLine="480" w:firstLineChars="200"/>
        <w:rPr>
          <w:rFonts w:hint="eastAsia" w:ascii="仿宋" w:hAnsi="仿宋" w:eastAsia="仿宋" w:cs="仿宋"/>
          <w:color w:val="auto"/>
          <w:kern w:val="2"/>
          <w:sz w:val="24"/>
          <w:szCs w:val="24"/>
          <w:highlight w:val="none"/>
          <w:lang w:val="en-US" w:eastAsia="zh-CN" w:bidi="ar-SA"/>
        </w:rPr>
      </w:pPr>
      <w:bookmarkStart w:id="9" w:name="_Toc28359080"/>
      <w:bookmarkStart w:id="10" w:name="_Toc35393791"/>
      <w:bookmarkStart w:id="11" w:name="_Toc28359003"/>
      <w:bookmarkStart w:id="12" w:name="_Toc35393622"/>
      <w:r>
        <w:rPr>
          <w:rFonts w:hint="eastAsia" w:ascii="仿宋" w:hAnsi="仿宋" w:eastAsia="仿宋" w:cs="仿宋"/>
          <w:color w:val="auto"/>
          <w:kern w:val="2"/>
          <w:sz w:val="24"/>
          <w:szCs w:val="24"/>
          <w:highlight w:val="none"/>
          <w:lang w:val="en-US" w:eastAsia="zh-CN" w:bidi="ar-SA"/>
        </w:rPr>
        <w:t>本项目接受联合体投标：</w:t>
      </w:r>
      <w:r>
        <w:rPr>
          <w:rFonts w:hint="eastAsia" w:ascii="仿宋" w:hAnsi="仿宋" w:eastAsia="仿宋" w:cs="仿宋"/>
          <w:color w:val="auto"/>
          <w:kern w:val="0"/>
          <w:sz w:val="24"/>
          <w:szCs w:val="24"/>
          <w:highlight w:val="none"/>
          <w:lang w:eastAsia="zh-CN"/>
        </w:rPr>
        <w:t>□是</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2"/>
          <w:sz w:val="24"/>
          <w:szCs w:val="24"/>
          <w:highlight w:val="none"/>
          <w:lang w:val="en-US" w:eastAsia="zh-CN" w:bidi="ar-SA"/>
        </w:rPr>
        <w:t>否。</w:t>
      </w:r>
    </w:p>
    <w:p>
      <w:pPr>
        <w:spacing w:line="440" w:lineRule="exact"/>
        <w:rPr>
          <w:rFonts w:hint="eastAsia" w:ascii="仿宋" w:hAnsi="仿宋" w:eastAsia="仿宋" w:cs="仿宋"/>
          <w:b/>
          <w:bCs/>
          <w:color w:val="auto"/>
          <w:spacing w:val="6"/>
          <w:szCs w:val="24"/>
          <w:highlight w:val="none"/>
        </w:rPr>
      </w:pPr>
      <w:r>
        <w:rPr>
          <w:rFonts w:hint="eastAsia" w:ascii="仿宋" w:hAnsi="仿宋" w:eastAsia="仿宋" w:cs="仿宋"/>
          <w:b/>
          <w:bCs/>
          <w:color w:val="auto"/>
          <w:spacing w:val="6"/>
          <w:szCs w:val="24"/>
          <w:highlight w:val="none"/>
        </w:rPr>
        <w:t>二、</w:t>
      </w:r>
      <w:r>
        <w:rPr>
          <w:rFonts w:hint="eastAsia" w:ascii="仿宋" w:hAnsi="仿宋" w:eastAsia="仿宋" w:cs="仿宋"/>
          <w:b/>
          <w:bCs/>
          <w:color w:val="auto"/>
          <w:spacing w:val="6"/>
          <w:szCs w:val="24"/>
          <w:highlight w:val="none"/>
          <w:lang w:val="en-US" w:eastAsia="zh-CN"/>
        </w:rPr>
        <w:t>申请人</w:t>
      </w:r>
      <w:r>
        <w:rPr>
          <w:rFonts w:hint="eastAsia" w:ascii="仿宋" w:hAnsi="仿宋" w:eastAsia="仿宋" w:cs="仿宋"/>
          <w:b/>
          <w:bCs/>
          <w:color w:val="auto"/>
          <w:spacing w:val="6"/>
          <w:szCs w:val="24"/>
          <w:highlight w:val="none"/>
        </w:rPr>
        <w:t>的资格要求：</w:t>
      </w:r>
      <w:bookmarkEnd w:id="9"/>
      <w:bookmarkEnd w:id="10"/>
      <w:bookmarkEnd w:id="11"/>
      <w:bookmarkEnd w:id="12"/>
    </w:p>
    <w:p>
      <w:pPr>
        <w:spacing w:line="440" w:lineRule="exact"/>
        <w:ind w:firstLine="480" w:firstLineChars="200"/>
        <w:rPr>
          <w:rFonts w:hint="eastAsia" w:ascii="仿宋" w:hAnsi="仿宋" w:eastAsia="仿宋" w:cs="仿宋"/>
          <w:snapToGrid w:val="0"/>
          <w:color w:val="auto"/>
          <w:kern w:val="28"/>
          <w:sz w:val="24"/>
          <w:szCs w:val="20"/>
          <w:highlight w:val="none"/>
        </w:rPr>
      </w:pPr>
      <w:bookmarkStart w:id="13" w:name="_Toc35393792"/>
      <w:bookmarkStart w:id="14" w:name="_Toc35393623"/>
      <w:bookmarkStart w:id="15" w:name="_Toc28359004"/>
      <w:bookmarkStart w:id="16" w:name="_Toc28359081"/>
      <w:r>
        <w:rPr>
          <w:rFonts w:hint="eastAsia" w:ascii="仿宋" w:hAnsi="仿宋" w:eastAsia="仿宋" w:cs="仿宋"/>
          <w:snapToGrid w:val="0"/>
          <w:color w:val="auto"/>
          <w:kern w:val="28"/>
          <w:sz w:val="24"/>
          <w:szCs w:val="20"/>
          <w:highlight w:val="none"/>
        </w:rPr>
        <w:t>1.具有独立承担民事责任的能力；</w:t>
      </w:r>
    </w:p>
    <w:p>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2.具有良好的商业信誉；</w:t>
      </w:r>
    </w:p>
    <w:p>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3.具有履行合同所必需的设备和专业技术，售后保障等能力；</w:t>
      </w:r>
    </w:p>
    <w:p>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4.有依法缴纳税收和社会保障资金的良好记录；</w:t>
      </w:r>
    </w:p>
    <w:p>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5.参加采购活动前三年内，没有重大违法记录，严重失信行为和行贿记录；</w:t>
      </w:r>
    </w:p>
    <w:p>
      <w:pPr>
        <w:spacing w:line="440" w:lineRule="exact"/>
        <w:ind w:firstLine="480" w:firstLineChars="200"/>
        <w:rPr>
          <w:rFonts w:hint="default"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6.法律、行政法规规定的其他条件。</w:t>
      </w:r>
    </w:p>
    <w:p>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t>7</w:t>
      </w:r>
      <w:r>
        <w:rPr>
          <w:rFonts w:hint="eastAsia" w:ascii="仿宋" w:hAnsi="仿宋" w:eastAsia="仿宋" w:cs="仿宋"/>
          <w:snapToGrid w:val="0"/>
          <w:color w:val="auto"/>
          <w:kern w:val="28"/>
          <w:sz w:val="24"/>
          <w:szCs w:val="20"/>
          <w:highlight w:val="none"/>
        </w:rPr>
        <w:t>.未被“信用</w:t>
      </w:r>
      <w:r>
        <w:rPr>
          <w:rFonts w:hint="eastAsia" w:ascii="仿宋" w:hAnsi="仿宋" w:eastAsia="仿宋" w:cs="仿宋"/>
          <w:color w:val="auto"/>
          <w:kern w:val="2"/>
          <w:sz w:val="24"/>
          <w:szCs w:val="24"/>
          <w:highlight w:val="none"/>
          <w:lang w:val="en-US" w:eastAsia="zh-CN" w:bidi="ar-SA"/>
        </w:rPr>
        <w:t>中国</w:t>
      </w:r>
      <w:r>
        <w:rPr>
          <w:rFonts w:hint="eastAsia" w:ascii="仿宋" w:hAnsi="仿宋" w:eastAsia="仿宋" w:cs="仿宋"/>
          <w:snapToGrid w:val="0"/>
          <w:color w:val="auto"/>
          <w:kern w:val="28"/>
          <w:sz w:val="24"/>
          <w:szCs w:val="20"/>
          <w:highlight w:val="none"/>
        </w:rPr>
        <w:t>”（www.creditchina.gov.cn)、中国政府采购网（www.ccgp.gov.cn）列入失信被执行人、重大税收违法案件当事人名单、政府采购严重违法失信行为记录名单；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.本项目的特定资格要求：</w:t>
      </w:r>
    </w:p>
    <w:p>
      <w:pPr>
        <w:spacing w:line="440" w:lineRule="exact"/>
        <w:ind w:firstLine="482" w:firstLineChars="200"/>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eastAsia="zh-CN"/>
        </w:rPr>
        <w:t>(1)具有中国保险监督管理委员颁发的《经营保险业务许可证》;</w:t>
      </w:r>
    </w:p>
    <w:p>
      <w:pPr>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(2)须经国家保险监督管理机构批准的在中华人民共和国境内设立和营业的保险公司或其授权的分支公司，并依法核定许可经营车辆保险业务的保险公司。</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单位负责人为同一人或者存在直接控股、管理关系的不同供应商，不得参加同一合同项下的采购活动；为采购项目提供整体设计、规范编制或者项目管理、监理、检测等服务后不得再参加该采购项目的其他采购活动。</w:t>
      </w:r>
    </w:p>
    <w:p>
      <w:pPr>
        <w:spacing w:line="440" w:lineRule="exact"/>
        <w:rPr>
          <w:rFonts w:hint="eastAsia" w:ascii="仿宋" w:hAnsi="仿宋" w:eastAsia="仿宋" w:cs="仿宋"/>
          <w:b/>
          <w:bCs/>
          <w:color w:val="auto"/>
          <w:spacing w:val="6"/>
          <w:szCs w:val="24"/>
          <w:highlight w:val="none"/>
        </w:rPr>
      </w:pPr>
      <w:r>
        <w:rPr>
          <w:rFonts w:hint="eastAsia" w:ascii="仿宋" w:hAnsi="仿宋" w:eastAsia="仿宋" w:cs="仿宋"/>
          <w:b/>
          <w:bCs/>
          <w:color w:val="auto"/>
          <w:spacing w:val="6"/>
          <w:szCs w:val="24"/>
          <w:highlight w:val="none"/>
        </w:rPr>
        <w:t>三、获取</w:t>
      </w:r>
      <w:bookmarkEnd w:id="13"/>
      <w:bookmarkEnd w:id="14"/>
      <w:bookmarkEnd w:id="15"/>
      <w:bookmarkEnd w:id="16"/>
      <w:r>
        <w:rPr>
          <w:rFonts w:hint="eastAsia" w:ascii="仿宋" w:hAnsi="仿宋" w:eastAsia="仿宋" w:cs="仿宋"/>
          <w:b/>
          <w:bCs/>
          <w:color w:val="auto"/>
          <w:spacing w:val="6"/>
          <w:szCs w:val="24"/>
          <w:highlight w:val="none"/>
          <w:lang w:val="en-US" w:eastAsia="zh-CN"/>
        </w:rPr>
        <w:t>招标</w:t>
      </w:r>
      <w:r>
        <w:rPr>
          <w:rFonts w:hint="eastAsia" w:ascii="仿宋" w:hAnsi="仿宋" w:eastAsia="仿宋" w:cs="仿宋"/>
          <w:b/>
          <w:bCs/>
          <w:color w:val="auto"/>
          <w:spacing w:val="6"/>
          <w:szCs w:val="24"/>
          <w:highlight w:val="none"/>
        </w:rPr>
        <w:t>文件</w:t>
      </w:r>
    </w:p>
    <w:p>
      <w:pPr>
        <w:spacing w:line="440" w:lineRule="exact"/>
        <w:ind w:firstLine="482" w:firstLineChars="200"/>
        <w:rPr>
          <w:rFonts w:hint="eastAsia" w:ascii="仿宋" w:hAnsi="仿宋" w:eastAsia="仿宋" w:cs="仿宋"/>
          <w:color w:val="auto"/>
          <w:sz w:val="24"/>
          <w:highlight w:val="none"/>
        </w:rPr>
      </w:pPr>
      <w:bookmarkStart w:id="17" w:name="_Toc28359082"/>
      <w:bookmarkStart w:id="18" w:name="_Toc28359005"/>
      <w:bookmarkStart w:id="19" w:name="_Toc35393624"/>
      <w:bookmarkStart w:id="20" w:name="_Toc35393793"/>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lang w:val="en-US" w:eastAsia="zh-CN"/>
        </w:rPr>
        <w:t>2025年02月17日</w:t>
      </w:r>
      <w:r>
        <w:rPr>
          <w:rFonts w:hint="eastAsia" w:ascii="仿宋" w:hAnsi="仿宋" w:eastAsia="仿宋" w:cs="仿宋"/>
          <w:bCs/>
          <w:color w:val="auto"/>
          <w:highlight w:val="none"/>
          <w:u w:val="single"/>
          <w:lang w:val="en-US" w:eastAsia="zh-CN"/>
        </w:rPr>
        <w:t>09点30分</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乐采云平台（https://www.lecaiyun.com/） </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供应商登录乐采云平台https://www.lecaiyun.com/在线申请获取采购文件（进入“项目采购”应用，在获取采购文件菜单中选择项目，申请获取采购文件）。 </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Style w:val="25"/>
        <w:widowControl/>
        <w:spacing w:line="460" w:lineRule="exact"/>
        <w:outlineLvl w:val="1"/>
        <w:rPr>
          <w:rFonts w:hint="eastAsia" w:ascii="仿宋" w:hAnsi="仿宋" w:eastAsia="仿宋" w:cs="仿宋"/>
          <w:b/>
          <w:color w:val="auto"/>
          <w:highlight w:val="none"/>
        </w:rPr>
      </w:pPr>
      <w:r>
        <w:rPr>
          <w:rFonts w:hint="eastAsia" w:ascii="仿宋" w:hAnsi="仿宋" w:eastAsia="仿宋" w:cs="仿宋"/>
          <w:bCs/>
          <w:color w:val="auto"/>
          <w:szCs w:val="20"/>
          <w:highlight w:val="none"/>
        </w:rPr>
        <w:t> </w:t>
      </w:r>
      <w:bookmarkStart w:id="21" w:name="_Toc208"/>
      <w:bookmarkStart w:id="22" w:name="_Toc413"/>
      <w:r>
        <w:rPr>
          <w:rFonts w:hint="eastAsia" w:ascii="仿宋" w:hAnsi="仿宋" w:eastAsia="仿宋" w:cs="仿宋"/>
          <w:b/>
          <w:color w:val="auto"/>
          <w:highlight w:val="none"/>
        </w:rPr>
        <w:t>四、提交投标文件截止时间、开标时间和地点</w:t>
      </w:r>
      <w:bookmarkEnd w:id="21"/>
      <w:bookmarkEnd w:id="22"/>
    </w:p>
    <w:p>
      <w:pPr>
        <w:pStyle w:val="25"/>
        <w:widowControl/>
        <w:spacing w:line="480" w:lineRule="exact"/>
        <w:ind w:firstLine="480" w:firstLineChars="200"/>
        <w:rPr>
          <w:rFonts w:hint="eastAsia" w:ascii="仿宋" w:hAnsi="仿宋" w:eastAsia="仿宋" w:cs="仿宋"/>
          <w:bCs/>
          <w:color w:val="auto"/>
          <w:highlight w:val="none"/>
        </w:rPr>
      </w:pPr>
      <w:r>
        <w:rPr>
          <w:rFonts w:hint="eastAsia" w:ascii="仿宋" w:hAnsi="仿宋" w:eastAsia="仿宋" w:cs="仿宋"/>
          <w:bCs/>
          <w:color w:val="auto"/>
          <w:highlight w:val="none"/>
        </w:rPr>
        <w:t>提交投标文件截止时间：</w:t>
      </w:r>
      <w:r>
        <w:rPr>
          <w:rFonts w:hint="eastAsia" w:ascii="仿宋" w:hAnsi="仿宋" w:eastAsia="仿宋" w:cs="仿宋"/>
          <w:bCs/>
          <w:color w:val="auto"/>
          <w:highlight w:val="none"/>
          <w:u w:val="single"/>
          <w:lang w:val="en-US" w:eastAsia="zh-CN"/>
        </w:rPr>
        <w:t>2025年02月17日 09点30分</w:t>
      </w:r>
      <w:r>
        <w:rPr>
          <w:rFonts w:hint="eastAsia" w:ascii="仿宋" w:hAnsi="仿宋" w:eastAsia="仿宋" w:cs="仿宋"/>
          <w:bCs/>
          <w:color w:val="auto"/>
          <w:highlight w:val="none"/>
        </w:rPr>
        <w:t>（北京时间）</w:t>
      </w:r>
    </w:p>
    <w:p>
      <w:pPr>
        <w:pStyle w:val="25"/>
        <w:widowControl/>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highlight w:val="none"/>
        </w:rPr>
        <w:t>投标地点（网址）：</w:t>
      </w:r>
      <w:r>
        <w:rPr>
          <w:rFonts w:hint="eastAsia" w:ascii="仿宋" w:hAnsi="仿宋" w:eastAsia="仿宋" w:cs="仿宋"/>
          <w:color w:val="auto"/>
          <w:sz w:val="24"/>
          <w:highlight w:val="none"/>
        </w:rPr>
        <w:t>乐采云平台（https://www.lecaiyun.com/）</w:t>
      </w:r>
    </w:p>
    <w:p>
      <w:pPr>
        <w:pStyle w:val="25"/>
        <w:widowControl/>
        <w:spacing w:line="480" w:lineRule="exact"/>
        <w:ind w:firstLine="480" w:firstLineChars="200"/>
        <w:rPr>
          <w:rFonts w:hint="eastAsia" w:ascii="仿宋" w:hAnsi="仿宋" w:eastAsia="仿宋" w:cs="仿宋"/>
          <w:bCs/>
          <w:color w:val="auto"/>
          <w:highlight w:val="none"/>
        </w:rPr>
      </w:pPr>
      <w:r>
        <w:rPr>
          <w:rFonts w:hint="eastAsia" w:ascii="仿宋" w:hAnsi="仿宋" w:eastAsia="仿宋" w:cs="仿宋"/>
          <w:bCs/>
          <w:color w:val="auto"/>
          <w:highlight w:val="none"/>
        </w:rPr>
        <w:t>开标时间：</w:t>
      </w:r>
      <w:r>
        <w:rPr>
          <w:rFonts w:hint="eastAsia" w:ascii="仿宋" w:hAnsi="仿宋" w:eastAsia="仿宋" w:cs="仿宋"/>
          <w:bCs/>
          <w:color w:val="auto"/>
          <w:highlight w:val="none"/>
          <w:u w:val="single"/>
          <w:lang w:val="en-US" w:eastAsia="zh-CN"/>
        </w:rPr>
        <w:t>2025年02月17日 09点30分</w:t>
      </w:r>
      <w:r>
        <w:rPr>
          <w:rFonts w:hint="eastAsia" w:ascii="仿宋" w:hAnsi="仿宋" w:eastAsia="仿宋" w:cs="仿宋"/>
          <w:bCs/>
          <w:color w:val="auto"/>
          <w:highlight w:val="none"/>
        </w:rPr>
        <w:t>（北京时间）</w:t>
      </w:r>
    </w:p>
    <w:p>
      <w:pPr>
        <w:spacing w:line="480" w:lineRule="exact"/>
        <w:ind w:firstLine="480" w:firstLineChars="200"/>
        <w:rPr>
          <w:rFonts w:hint="eastAsia" w:ascii="仿宋" w:hAnsi="仿宋" w:eastAsia="仿宋" w:cs="仿宋"/>
          <w:bCs/>
          <w:color w:val="auto"/>
          <w:highlight w:val="none"/>
        </w:rPr>
      </w:pPr>
      <w:r>
        <w:rPr>
          <w:rFonts w:hint="eastAsia" w:ascii="仿宋" w:hAnsi="仿宋" w:eastAsia="仿宋" w:cs="仿宋"/>
          <w:bCs/>
          <w:color w:val="auto"/>
          <w:highlight w:val="none"/>
        </w:rPr>
        <w:t>开标地点（网址）：乐采云平台（https://www.lecaiyun.com/）</w:t>
      </w:r>
    </w:p>
    <w:p>
      <w:pPr>
        <w:pStyle w:val="25"/>
        <w:widowControl/>
        <w:spacing w:line="460" w:lineRule="exact"/>
        <w:rPr>
          <w:rFonts w:hint="eastAsia" w:ascii="仿宋" w:hAnsi="仿宋" w:eastAsia="仿宋" w:cs="仿宋"/>
          <w:b/>
          <w:color w:val="auto"/>
          <w:highlight w:val="none"/>
        </w:rPr>
      </w:pPr>
      <w:bookmarkStart w:id="23" w:name="_Toc14112"/>
      <w:bookmarkStart w:id="24" w:name="_Toc5110"/>
      <w:r>
        <w:rPr>
          <w:rFonts w:hint="eastAsia" w:ascii="仿宋" w:hAnsi="仿宋" w:eastAsia="仿宋" w:cs="仿宋"/>
          <w:b/>
          <w:color w:val="auto"/>
          <w:highlight w:val="none"/>
          <w:lang w:val="en-US" w:eastAsia="zh-CN"/>
        </w:rPr>
        <w:t>五</w:t>
      </w:r>
      <w:r>
        <w:rPr>
          <w:rFonts w:hint="eastAsia" w:ascii="仿宋" w:hAnsi="仿宋" w:eastAsia="仿宋" w:cs="仿宋"/>
          <w:b/>
          <w:color w:val="auto"/>
          <w:highlight w:val="none"/>
        </w:rPr>
        <w:t>、公告期限</w:t>
      </w:r>
      <w:bookmarkEnd w:id="23"/>
      <w:bookmarkEnd w:id="24"/>
    </w:p>
    <w:p>
      <w:pPr>
        <w:pStyle w:val="25"/>
        <w:widowControl/>
        <w:spacing w:line="460" w:lineRule="exact"/>
        <w:ind w:firstLine="480" w:firstLineChars="200"/>
        <w:rPr>
          <w:rFonts w:hint="eastAsia" w:ascii="仿宋" w:hAnsi="仿宋" w:eastAsia="仿宋" w:cs="仿宋"/>
          <w:bCs/>
          <w:color w:val="auto"/>
          <w:highlight w:val="none"/>
        </w:rPr>
      </w:pPr>
      <w:r>
        <w:rPr>
          <w:rFonts w:hint="eastAsia" w:ascii="仿宋" w:hAnsi="仿宋" w:eastAsia="仿宋" w:cs="仿宋"/>
          <w:bCs/>
          <w:color w:val="auto"/>
          <w:highlight w:val="none"/>
        </w:rPr>
        <w:t>自本公告发布之日起5个工作日。</w:t>
      </w:r>
    </w:p>
    <w:p>
      <w:pPr>
        <w:widowControl/>
        <w:spacing w:line="500" w:lineRule="exact"/>
        <w:rPr>
          <w:rFonts w:hint="eastAsia" w:ascii="仿宋" w:hAnsi="仿宋" w:eastAsia="仿宋" w:cs="仿宋"/>
          <w:bCs/>
          <w:color w:val="auto"/>
          <w:highlight w:val="none"/>
        </w:rPr>
      </w:pPr>
      <w:r>
        <w:rPr>
          <w:rFonts w:hint="eastAsia" w:ascii="仿宋" w:hAnsi="仿宋" w:eastAsia="仿宋" w:cs="仿宋"/>
          <w:b/>
          <w:bCs/>
          <w:color w:val="auto"/>
          <w:spacing w:val="6"/>
          <w:szCs w:val="24"/>
          <w:highlight w:val="none"/>
          <w:lang w:val="en-US" w:eastAsia="zh-CN"/>
        </w:rPr>
        <w:t>六</w:t>
      </w:r>
      <w:r>
        <w:rPr>
          <w:rFonts w:hint="eastAsia" w:ascii="仿宋" w:hAnsi="仿宋" w:eastAsia="仿宋" w:cs="仿宋"/>
          <w:b/>
          <w:bCs/>
          <w:color w:val="auto"/>
          <w:spacing w:val="6"/>
          <w:szCs w:val="24"/>
          <w:highlight w:val="none"/>
        </w:rPr>
        <w:t>、其他补充事宜</w:t>
      </w:r>
    </w:p>
    <w:p>
      <w:pPr>
        <w:pStyle w:val="25"/>
        <w:widowControl/>
        <w:numPr>
          <w:ilvl w:val="0"/>
          <w:numId w:val="4"/>
        </w:numPr>
        <w:spacing w:line="460" w:lineRule="exact"/>
        <w:ind w:firstLine="480" w:firstLineChars="200"/>
        <w:jc w:val="left"/>
        <w:rPr>
          <w:rFonts w:hint="eastAsia" w:ascii="仿宋" w:hAnsi="仿宋" w:eastAsia="仿宋" w:cs="仿宋"/>
          <w:color w:val="auto"/>
          <w:highlight w:val="none"/>
        </w:rPr>
      </w:pPr>
      <w:r>
        <w:rPr>
          <w:rFonts w:hint="eastAsia" w:ascii="仿宋" w:hAnsi="仿宋" w:eastAsia="仿宋" w:cs="仿宋"/>
          <w:bCs/>
          <w:color w:val="auto"/>
          <w:highlight w:val="none"/>
        </w:rPr>
        <w:t>供应商认为采购文件使自己的权益受到损害的，可以自获取采购文件之日或者采购文件公告期限届满之日（公告期限届满后获取采购文件的，以公告期限届满之日为准）起7个工作日内，以书面形式向采购代理机构提出质疑。质疑供应商对采购代理机构的答复不满意或者采购代理机构未在规定的时间内作出答复的，</w:t>
      </w:r>
      <w:r>
        <w:rPr>
          <w:rFonts w:hint="eastAsia" w:ascii="仿宋" w:hAnsi="仿宋" w:eastAsia="仿宋" w:cs="仿宋"/>
          <w:color w:val="auto"/>
          <w:szCs w:val="24"/>
          <w:highlight w:val="none"/>
        </w:rPr>
        <w:t>可以在答复期满后十五个工作日</w:t>
      </w:r>
      <w:r>
        <w:rPr>
          <w:rFonts w:hint="eastAsia" w:ascii="仿宋" w:hAnsi="仿宋" w:eastAsia="仿宋" w:cs="仿宋"/>
          <w:color w:val="auto"/>
          <w:szCs w:val="24"/>
          <w:highlight w:val="none"/>
          <w:lang w:val="en-US" w:eastAsia="zh-CN"/>
        </w:rPr>
        <w:t>内根据嵊国资委【2023】1号文件的规定</w:t>
      </w:r>
      <w:r>
        <w:rPr>
          <w:rFonts w:hint="eastAsia" w:ascii="仿宋" w:hAnsi="仿宋" w:eastAsia="仿宋" w:cs="仿宋"/>
          <w:color w:val="auto"/>
          <w:szCs w:val="24"/>
          <w:highlight w:val="none"/>
        </w:rPr>
        <w:t>提出投诉。</w:t>
      </w:r>
    </w:p>
    <w:bookmarkEnd w:id="17"/>
    <w:bookmarkEnd w:id="18"/>
    <w:bookmarkEnd w:id="19"/>
    <w:bookmarkEnd w:id="20"/>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1）电子招投标的说明：①电子招投标：本项目以数据电文形式，依托“乐采云平台（www.lecaiyun.com）”进行招投标活动，不接受纸质投标文件；②投标准备：注册账号--点击“商家入驻”，进行采购供应商资料填写；申领CA数字证书---申领流程详见“浙江企业采购信息服务网-下载专区-电子交易客户端-CA驱动和申领流程”；安装“乐采云电子交易客户端”----前往“浙江企业采购信息服务网--在线下载一电子交易端”进行下载并安装；③招标文件的获取：使用账号登录或者使用CA登录乐采云平台（www.lecaiyun.com）；进入“项目采购”应用，在获取采购文件菜单中选择项目，获取招标文件；④投标文件的制作：在“乐采云电子交易客户端”中完成“填写基本信息”、“导入投标文件”、“标书关联”、“标书检查”、“电子签名”、“生成电子标书”等操作；⑤采购人、采购机构将依托乐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乐采云平台，还可以在投标截止时间前直接提交或者以顺丰快递（建议）方式递交备份投标文件1份。⑨投标文件的解密：投标人按照平台提示和招标文件的规定在半小时内完成在线解密。通过乐采云平台（www.lecaiyun.com）上传递交的投标文件无法按时解密，投标供应商递交了备份投标文件的，以备份投标文件为依据，否则视为投标文件撤回。通过“乐采云平台”上传递交的投标文件已按时解密的，备份投标文件自动失效。投标人仅提交备份投标文件，没有在乐采云电子交易平台传输递交投标文件的，投标无效；⑩具体操作指南：详见乐采云平台“服务中心-帮助文档-项目采购-操作流程-电子招投标-采购项目电子交易管理操作指南-供应商”。</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pacing w:val="6"/>
          <w:szCs w:val="24"/>
          <w:highlight w:val="none"/>
        </w:rPr>
      </w:pPr>
      <w:r>
        <w:rPr>
          <w:rFonts w:hint="eastAsia" w:ascii="仿宋" w:hAnsi="仿宋" w:eastAsia="仿宋" w:cs="仿宋"/>
          <w:b/>
          <w:bCs/>
          <w:color w:val="auto"/>
          <w:spacing w:val="6"/>
          <w:szCs w:val="24"/>
          <w:highlight w:val="none"/>
          <w:lang w:val="en-US" w:eastAsia="zh-CN"/>
        </w:rPr>
        <w:t>七</w:t>
      </w:r>
      <w:r>
        <w:rPr>
          <w:rFonts w:hint="eastAsia" w:ascii="仿宋" w:hAnsi="仿宋" w:eastAsia="仿宋" w:cs="仿宋"/>
          <w:b/>
          <w:bCs/>
          <w:color w:val="auto"/>
          <w:spacing w:val="6"/>
          <w:szCs w:val="24"/>
          <w:highlight w:val="none"/>
        </w:rPr>
        <w:t>、对本次采购提出询问、质疑、投诉，请按以下方式联系</w:t>
      </w:r>
    </w:p>
    <w:p>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 w:hAnsi="仿宋" w:eastAsia="仿宋" w:cs="仿宋"/>
          <w:bCs/>
          <w:color w:val="auto"/>
          <w:szCs w:val="24"/>
          <w:highlight w:val="none"/>
        </w:rPr>
      </w:pPr>
      <w:r>
        <w:rPr>
          <w:rFonts w:hint="eastAsia" w:ascii="仿宋" w:hAnsi="仿宋" w:eastAsia="仿宋" w:cs="仿宋"/>
          <w:color w:val="auto"/>
          <w:kern w:val="0"/>
          <w:sz w:val="27"/>
          <w:szCs w:val="27"/>
          <w:highlight w:val="none"/>
        </w:rPr>
        <w:t xml:space="preserve">  </w:t>
      </w:r>
      <w:r>
        <w:rPr>
          <w:rFonts w:hint="eastAsia" w:ascii="仿宋" w:hAnsi="仿宋" w:eastAsia="仿宋" w:cs="仿宋"/>
          <w:bCs/>
          <w:color w:val="auto"/>
          <w:szCs w:val="24"/>
          <w:highlight w:val="none"/>
        </w:rPr>
        <w:t>1.采购人信息</w:t>
      </w:r>
    </w:p>
    <w:p>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ascii="仿宋" w:hAnsi="仿宋" w:eastAsia="仿宋" w:cs="仿宋"/>
          <w:bCs/>
          <w:color w:val="auto"/>
          <w:szCs w:val="24"/>
          <w:highlight w:val="none"/>
          <w:lang w:eastAsia="zh-CN"/>
        </w:rPr>
      </w:pPr>
      <w:r>
        <w:rPr>
          <w:rFonts w:hint="eastAsia" w:ascii="仿宋" w:hAnsi="仿宋" w:eastAsia="仿宋" w:cs="仿宋"/>
          <w:bCs/>
          <w:color w:val="auto"/>
          <w:szCs w:val="24"/>
          <w:highlight w:val="none"/>
        </w:rPr>
        <w:t> 名   称：</w:t>
      </w:r>
      <w:r>
        <w:rPr>
          <w:rFonts w:hint="eastAsia" w:ascii="仿宋" w:hAnsi="仿宋" w:eastAsia="仿宋" w:cs="仿宋"/>
          <w:bCs/>
          <w:color w:val="auto"/>
          <w:szCs w:val="24"/>
          <w:highlight w:val="none"/>
          <w:lang w:eastAsia="zh-CN"/>
        </w:rPr>
        <w:t>嵊州市公共交通有限公司</w:t>
      </w:r>
    </w:p>
    <w:p>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ascii="仿宋" w:hAnsi="仿宋" w:eastAsia="仿宋" w:cs="仿宋"/>
          <w:bCs/>
          <w:color w:val="auto"/>
          <w:szCs w:val="24"/>
          <w:highlight w:val="none"/>
          <w:lang w:eastAsia="zh-CN"/>
        </w:rPr>
      </w:pPr>
      <w:r>
        <w:rPr>
          <w:rFonts w:hint="eastAsia" w:ascii="仿宋" w:hAnsi="仿宋" w:eastAsia="仿宋" w:cs="仿宋"/>
          <w:bCs/>
          <w:color w:val="auto"/>
          <w:szCs w:val="24"/>
          <w:highlight w:val="none"/>
        </w:rPr>
        <w:t> 地   址：</w:t>
      </w:r>
      <w:r>
        <w:rPr>
          <w:rFonts w:hint="eastAsia" w:ascii="仿宋" w:hAnsi="仿宋" w:eastAsia="仿宋" w:cs="仿宋"/>
          <w:bCs/>
          <w:color w:val="auto"/>
          <w:szCs w:val="24"/>
          <w:highlight w:val="none"/>
          <w:lang w:eastAsia="zh-CN"/>
        </w:rPr>
        <w:t>浙江省绍兴市嵊州市浦口街道华发南路88号</w:t>
      </w:r>
    </w:p>
    <w:p>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ascii="仿宋" w:hAnsi="仿宋" w:eastAsia="仿宋" w:cs="仿宋"/>
          <w:bCs/>
          <w:color w:val="auto"/>
          <w:szCs w:val="24"/>
          <w:highlight w:val="none"/>
          <w:lang w:val="en-US" w:eastAsia="zh-CN"/>
        </w:rPr>
      </w:pPr>
      <w:r>
        <w:rPr>
          <w:rFonts w:hint="eastAsia" w:ascii="仿宋" w:hAnsi="仿宋" w:eastAsia="仿宋" w:cs="仿宋"/>
          <w:bCs/>
          <w:color w:val="auto"/>
          <w:szCs w:val="24"/>
          <w:highlight w:val="none"/>
          <w:lang w:val="en-US" w:eastAsia="zh-CN"/>
        </w:rPr>
        <w:t>项目联系人：赵工</w:t>
      </w:r>
    </w:p>
    <w:p>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ascii="仿宋" w:hAnsi="仿宋" w:eastAsia="仿宋" w:cs="仿宋"/>
          <w:bCs/>
          <w:color w:val="auto"/>
          <w:szCs w:val="24"/>
          <w:highlight w:val="none"/>
          <w:lang w:val="en-US" w:eastAsia="zh-CN"/>
        </w:rPr>
      </w:pPr>
      <w:r>
        <w:rPr>
          <w:rFonts w:hint="eastAsia" w:ascii="仿宋" w:hAnsi="仿宋" w:eastAsia="仿宋" w:cs="仿宋"/>
          <w:bCs/>
          <w:color w:val="auto"/>
          <w:szCs w:val="24"/>
          <w:highlight w:val="none"/>
          <w:lang w:val="en-US" w:eastAsia="zh-CN"/>
        </w:rPr>
        <w:t>联系电话：0575-83815023</w:t>
      </w:r>
    </w:p>
    <w:p>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default" w:ascii="仿宋" w:hAnsi="仿宋" w:eastAsia="仿宋" w:cs="仿宋"/>
          <w:bCs/>
          <w:color w:val="auto"/>
          <w:szCs w:val="24"/>
          <w:highlight w:val="none"/>
          <w:lang w:val="en-US" w:eastAsia="zh-CN"/>
        </w:rPr>
      </w:pPr>
      <w:r>
        <w:rPr>
          <w:rFonts w:hint="eastAsia" w:ascii="仿宋" w:hAnsi="仿宋" w:eastAsia="仿宋" w:cs="仿宋"/>
          <w:bCs/>
          <w:color w:val="auto"/>
          <w:szCs w:val="24"/>
          <w:highlight w:val="none"/>
          <w:lang w:val="en-US" w:eastAsia="zh-CN"/>
        </w:rPr>
        <w:t>质疑联系人：黄工</w:t>
      </w:r>
    </w:p>
    <w:p>
      <w:pPr>
        <w:keepNext w:val="0"/>
        <w:keepLines w:val="0"/>
        <w:pageBreakBefore w:val="0"/>
        <w:widowControl/>
        <w:kinsoku/>
        <w:wordWrap/>
        <w:overflowPunct/>
        <w:topLinePunct w:val="0"/>
        <w:autoSpaceDE/>
        <w:autoSpaceDN/>
        <w:bidi w:val="0"/>
        <w:adjustRightInd/>
        <w:snapToGrid/>
        <w:spacing w:line="480" w:lineRule="exact"/>
        <w:ind w:firstLine="345"/>
        <w:jc w:val="left"/>
        <w:textAlignment w:val="auto"/>
        <w:rPr>
          <w:rFonts w:hint="eastAsia" w:ascii="仿宋" w:hAnsi="仿宋" w:eastAsia="仿宋" w:cs="仿宋"/>
          <w:bCs/>
          <w:color w:val="auto"/>
          <w:szCs w:val="24"/>
          <w:highlight w:val="none"/>
          <w:lang w:val="en-US"/>
        </w:rPr>
      </w:pPr>
      <w:r>
        <w:rPr>
          <w:rFonts w:hint="eastAsia" w:ascii="仿宋" w:hAnsi="仿宋" w:eastAsia="仿宋" w:cs="仿宋"/>
          <w:bCs/>
          <w:color w:val="auto"/>
          <w:szCs w:val="24"/>
          <w:highlight w:val="none"/>
          <w:lang w:val="en-US" w:eastAsia="zh-CN"/>
        </w:rPr>
        <w:t>联系电话：18675326917</w:t>
      </w:r>
    </w:p>
    <w:p>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 xml:space="preserve">   </w:t>
      </w:r>
      <w:r>
        <w:rPr>
          <w:rFonts w:hint="eastAsia" w:ascii="仿宋" w:hAnsi="仿宋" w:eastAsia="仿宋" w:cs="仿宋"/>
          <w:bCs/>
          <w:color w:val="auto"/>
          <w:szCs w:val="24"/>
          <w:highlight w:val="none"/>
          <w:lang w:val="en-US" w:eastAsia="zh-CN"/>
        </w:rPr>
        <w:t xml:space="preserve"> </w:t>
      </w:r>
      <w:r>
        <w:rPr>
          <w:rFonts w:hint="eastAsia" w:ascii="仿宋" w:hAnsi="仿宋" w:eastAsia="仿宋" w:cs="仿宋"/>
          <w:bCs/>
          <w:color w:val="auto"/>
          <w:szCs w:val="24"/>
          <w:highlight w:val="none"/>
        </w:rPr>
        <w:t>2.采购代理机构信息            </w:t>
      </w:r>
    </w:p>
    <w:p>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    名   称：</w:t>
      </w:r>
      <w:r>
        <w:rPr>
          <w:rFonts w:hint="eastAsia" w:ascii="仿宋" w:hAnsi="仿宋" w:eastAsia="仿宋" w:cs="仿宋"/>
          <w:bCs/>
          <w:color w:val="auto"/>
          <w:szCs w:val="24"/>
          <w:highlight w:val="none"/>
          <w:lang w:eastAsia="zh-CN"/>
        </w:rPr>
        <w:t>浙江华耀建设咨询有限公司</w:t>
      </w:r>
      <w:r>
        <w:rPr>
          <w:rFonts w:hint="eastAsia" w:ascii="仿宋" w:hAnsi="仿宋" w:eastAsia="仿宋" w:cs="仿宋"/>
          <w:bCs/>
          <w:color w:val="auto"/>
          <w:szCs w:val="24"/>
          <w:highlight w:val="none"/>
        </w:rPr>
        <w:t>       </w:t>
      </w:r>
    </w:p>
    <w:p>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    地   址：</w:t>
      </w:r>
      <w:r>
        <w:rPr>
          <w:rFonts w:hint="eastAsia" w:ascii="仿宋" w:hAnsi="仿宋" w:eastAsia="仿宋" w:cs="仿宋"/>
          <w:bCs/>
          <w:color w:val="auto"/>
          <w:szCs w:val="24"/>
          <w:highlight w:val="none"/>
          <w:lang w:eastAsia="zh-CN"/>
        </w:rPr>
        <w:t>嵊州市新悦路88号君悦大厦七楼</w:t>
      </w:r>
      <w:r>
        <w:rPr>
          <w:rFonts w:hint="eastAsia" w:ascii="仿宋" w:hAnsi="仿宋" w:eastAsia="仿宋" w:cs="仿宋"/>
          <w:bCs/>
          <w:color w:val="auto"/>
          <w:szCs w:val="24"/>
          <w:highlight w:val="none"/>
        </w:rPr>
        <w:t>      </w:t>
      </w:r>
    </w:p>
    <w:p>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 w:hAnsi="仿宋" w:eastAsia="仿宋" w:cs="仿宋"/>
          <w:bCs/>
          <w:color w:val="auto"/>
          <w:szCs w:val="24"/>
          <w:highlight w:val="none"/>
          <w:lang w:eastAsia="zh-CN"/>
        </w:rPr>
      </w:pPr>
      <w:r>
        <w:rPr>
          <w:rFonts w:hint="eastAsia" w:ascii="仿宋" w:hAnsi="仿宋" w:eastAsia="仿宋" w:cs="仿宋"/>
          <w:bCs/>
          <w:color w:val="auto"/>
          <w:szCs w:val="24"/>
          <w:highlight w:val="none"/>
        </w:rPr>
        <w:t xml:space="preserve">   </w:t>
      </w:r>
      <w:r>
        <w:rPr>
          <w:rFonts w:hint="eastAsia" w:ascii="仿宋" w:hAnsi="仿宋" w:eastAsia="仿宋" w:cs="仿宋"/>
          <w:bCs/>
          <w:color w:val="auto"/>
          <w:szCs w:val="24"/>
          <w:highlight w:val="none"/>
          <w:lang w:val="en-US" w:eastAsia="zh-CN"/>
        </w:rPr>
        <w:t>项目</w:t>
      </w:r>
      <w:r>
        <w:rPr>
          <w:rFonts w:hint="eastAsia" w:ascii="仿宋" w:hAnsi="仿宋" w:eastAsia="仿宋" w:cs="仿宋"/>
          <w:bCs/>
          <w:color w:val="auto"/>
          <w:szCs w:val="24"/>
          <w:highlight w:val="none"/>
        </w:rPr>
        <w:t>联系人</w:t>
      </w:r>
      <w:r>
        <w:rPr>
          <w:rFonts w:hint="eastAsia" w:ascii="仿宋" w:hAnsi="仿宋" w:eastAsia="仿宋" w:cs="仿宋"/>
          <w:bCs/>
          <w:color w:val="auto"/>
          <w:szCs w:val="24"/>
          <w:highlight w:val="none"/>
          <w:lang w:eastAsia="zh-CN"/>
        </w:rPr>
        <w:t>（</w:t>
      </w:r>
      <w:r>
        <w:rPr>
          <w:rFonts w:hint="eastAsia" w:ascii="仿宋" w:hAnsi="仿宋" w:eastAsia="仿宋" w:cs="仿宋"/>
          <w:bCs/>
          <w:color w:val="auto"/>
          <w:szCs w:val="24"/>
          <w:highlight w:val="none"/>
          <w:lang w:val="en-US" w:eastAsia="zh-CN"/>
        </w:rPr>
        <w:t>询问）：</w:t>
      </w:r>
      <w:r>
        <w:rPr>
          <w:rFonts w:hint="eastAsia" w:ascii="仿宋" w:hAnsi="仿宋" w:eastAsia="仿宋" w:cs="仿宋"/>
          <w:bCs/>
          <w:color w:val="auto"/>
          <w:szCs w:val="24"/>
          <w:highlight w:val="none"/>
          <w:lang w:eastAsia="zh-CN"/>
        </w:rPr>
        <w:t>何女士</w:t>
      </w:r>
    </w:p>
    <w:p>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仿宋" w:hAnsi="仿宋" w:eastAsia="仿宋" w:cs="仿宋"/>
          <w:b/>
          <w:bCs/>
          <w:color w:val="auto"/>
          <w:kern w:val="0"/>
          <w:sz w:val="36"/>
          <w:highlight w:val="none"/>
        </w:rPr>
      </w:pPr>
      <w:r>
        <w:rPr>
          <w:rFonts w:hint="eastAsia" w:ascii="仿宋" w:hAnsi="仿宋" w:eastAsia="仿宋" w:cs="仿宋"/>
          <w:bCs/>
          <w:color w:val="auto"/>
          <w:szCs w:val="24"/>
          <w:highlight w:val="none"/>
          <w:lang w:val="en-US" w:eastAsia="zh-CN"/>
        </w:rPr>
        <w:t>项目</w:t>
      </w:r>
      <w:r>
        <w:rPr>
          <w:rFonts w:hint="eastAsia" w:ascii="仿宋" w:hAnsi="仿宋" w:eastAsia="仿宋" w:cs="仿宋"/>
          <w:bCs/>
          <w:color w:val="auto"/>
          <w:szCs w:val="24"/>
          <w:highlight w:val="none"/>
        </w:rPr>
        <w:t>联系方式</w:t>
      </w:r>
      <w:r>
        <w:rPr>
          <w:rFonts w:hint="eastAsia" w:ascii="仿宋" w:hAnsi="仿宋" w:eastAsia="仿宋" w:cs="仿宋"/>
          <w:bCs/>
          <w:color w:val="auto"/>
          <w:szCs w:val="24"/>
          <w:highlight w:val="none"/>
          <w:lang w:eastAsia="zh-CN"/>
        </w:rPr>
        <w:t>（</w:t>
      </w:r>
      <w:r>
        <w:rPr>
          <w:rFonts w:hint="eastAsia" w:ascii="仿宋" w:hAnsi="仿宋" w:eastAsia="仿宋" w:cs="仿宋"/>
          <w:bCs/>
          <w:color w:val="auto"/>
          <w:szCs w:val="24"/>
          <w:highlight w:val="none"/>
          <w:lang w:val="en-US" w:eastAsia="zh-CN"/>
        </w:rPr>
        <w:t>询问）</w:t>
      </w:r>
      <w:r>
        <w:rPr>
          <w:rFonts w:hint="eastAsia" w:ascii="仿宋" w:hAnsi="仿宋" w:eastAsia="仿宋" w:cs="仿宋"/>
          <w:bCs/>
          <w:color w:val="auto"/>
          <w:szCs w:val="24"/>
          <w:highlight w:val="none"/>
        </w:rPr>
        <w:t>：</w:t>
      </w:r>
      <w:r>
        <w:rPr>
          <w:rFonts w:hint="eastAsia" w:ascii="仿宋" w:hAnsi="仿宋" w:eastAsia="仿宋" w:cs="仿宋"/>
          <w:bCs/>
          <w:color w:val="auto"/>
          <w:szCs w:val="24"/>
          <w:highlight w:val="none"/>
          <w:lang w:eastAsia="zh-CN"/>
        </w:rPr>
        <w:t>15167557859</w:t>
      </w:r>
      <w:r>
        <w:rPr>
          <w:rFonts w:hint="eastAsia" w:ascii="仿宋" w:hAnsi="仿宋" w:eastAsia="仿宋" w:cs="仿宋"/>
          <w:bCs/>
          <w:color w:val="auto"/>
          <w:szCs w:val="24"/>
          <w:highlight w:val="none"/>
        </w:rPr>
        <w:t>  </w:t>
      </w:r>
    </w:p>
    <w:p>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仿宋" w:hAnsi="仿宋" w:eastAsia="仿宋" w:cs="仿宋"/>
          <w:bCs/>
          <w:color w:val="auto"/>
          <w:szCs w:val="24"/>
          <w:highlight w:val="none"/>
          <w:lang w:val="en-US" w:eastAsia="zh-CN"/>
        </w:rPr>
      </w:pPr>
      <w:r>
        <w:rPr>
          <w:rFonts w:hint="eastAsia" w:ascii="仿宋" w:hAnsi="仿宋" w:eastAsia="仿宋" w:cs="仿宋"/>
          <w:bCs/>
          <w:color w:val="auto"/>
          <w:szCs w:val="24"/>
          <w:highlight w:val="none"/>
          <w:lang w:val="en-US" w:eastAsia="zh-CN"/>
        </w:rPr>
        <w:t>质疑联系人：郑女士</w:t>
      </w:r>
    </w:p>
    <w:p>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仿宋" w:hAnsi="仿宋" w:eastAsia="仿宋" w:cs="仿宋"/>
          <w:bCs/>
          <w:color w:val="auto"/>
          <w:szCs w:val="24"/>
          <w:highlight w:val="none"/>
          <w:lang w:val="en-US" w:eastAsia="zh-CN"/>
        </w:rPr>
      </w:pPr>
      <w:r>
        <w:rPr>
          <w:rFonts w:hint="eastAsia" w:ascii="仿宋" w:hAnsi="仿宋" w:eastAsia="仿宋" w:cs="仿宋"/>
          <w:bCs/>
          <w:color w:val="auto"/>
          <w:szCs w:val="24"/>
          <w:highlight w:val="none"/>
          <w:lang w:val="en-US" w:eastAsia="zh-CN"/>
        </w:rPr>
        <w:t>质疑</w:t>
      </w:r>
      <w:r>
        <w:rPr>
          <w:rFonts w:hint="eastAsia" w:ascii="仿宋" w:hAnsi="仿宋" w:eastAsia="仿宋" w:cs="仿宋"/>
          <w:bCs/>
          <w:color w:val="auto"/>
          <w:szCs w:val="24"/>
          <w:highlight w:val="none"/>
        </w:rPr>
        <w:t>联系方式</w:t>
      </w:r>
      <w:r>
        <w:rPr>
          <w:rFonts w:hint="eastAsia" w:ascii="仿宋" w:hAnsi="仿宋" w:eastAsia="仿宋" w:cs="仿宋"/>
          <w:bCs/>
          <w:color w:val="auto"/>
          <w:szCs w:val="24"/>
          <w:highlight w:val="none"/>
          <w:lang w:eastAsia="zh-CN"/>
        </w:rPr>
        <w:t>：</w:t>
      </w:r>
      <w:bookmarkStart w:id="25" w:name="_Toc513456147"/>
      <w:r>
        <w:rPr>
          <w:rFonts w:hint="eastAsia" w:ascii="仿宋" w:hAnsi="仿宋" w:eastAsia="仿宋" w:cs="仿宋"/>
          <w:bCs/>
          <w:color w:val="auto"/>
          <w:szCs w:val="24"/>
          <w:highlight w:val="none"/>
          <w:lang w:val="en-US" w:eastAsia="zh-CN"/>
        </w:rPr>
        <w:t>0575-81392050</w:t>
      </w:r>
    </w:p>
    <w:p>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 xml:space="preserve">3.采购监督管理部门信息： </w:t>
      </w:r>
    </w:p>
    <w:p>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仿宋" w:hAnsi="仿宋" w:eastAsia="仿宋" w:cs="仿宋"/>
          <w:bCs/>
          <w:color w:val="auto"/>
          <w:szCs w:val="24"/>
          <w:highlight w:val="none"/>
          <w:lang w:val="en-US" w:eastAsia="zh-CN"/>
        </w:rPr>
      </w:pPr>
      <w:r>
        <w:rPr>
          <w:rFonts w:hint="eastAsia" w:ascii="仿宋" w:hAnsi="仿宋" w:eastAsia="仿宋" w:cs="仿宋"/>
          <w:bCs/>
          <w:color w:val="auto"/>
          <w:szCs w:val="24"/>
          <w:highlight w:val="none"/>
          <w:lang w:val="en-US" w:eastAsia="zh-CN"/>
        </w:rPr>
        <w:t>名    称： 嵊州市交通投资发展集团有限公司 </w:t>
      </w:r>
    </w:p>
    <w:p>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仿宋" w:hAnsi="仿宋" w:eastAsia="仿宋" w:cs="仿宋"/>
          <w:bCs/>
          <w:color w:val="auto"/>
          <w:szCs w:val="24"/>
          <w:highlight w:val="none"/>
          <w:lang w:val="en-US" w:eastAsia="zh-CN"/>
        </w:rPr>
      </w:pPr>
      <w:r>
        <w:rPr>
          <w:rFonts w:hint="eastAsia" w:ascii="仿宋" w:hAnsi="仿宋" w:eastAsia="仿宋" w:cs="仿宋"/>
          <w:bCs/>
          <w:color w:val="auto"/>
          <w:szCs w:val="24"/>
          <w:highlight w:val="none"/>
          <w:lang w:val="en-US" w:eastAsia="zh-CN"/>
        </w:rPr>
        <w:t xml:space="preserve">地    址： </w:t>
      </w:r>
      <w:r>
        <w:rPr>
          <w:rFonts w:hint="eastAsia" w:ascii="仿宋" w:hAnsi="仿宋" w:eastAsia="仿宋" w:cs="仿宋"/>
          <w:bCs/>
          <w:color w:val="auto"/>
          <w:szCs w:val="24"/>
          <w:highlight w:val="none"/>
          <w:lang w:eastAsia="zh-CN"/>
        </w:rPr>
        <w:t>嵊州市华发南路88号</w:t>
      </w:r>
    </w:p>
    <w:p>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仿宋" w:hAnsi="仿宋" w:eastAsia="仿宋" w:cs="仿宋"/>
          <w:bCs/>
          <w:color w:val="auto"/>
          <w:szCs w:val="24"/>
          <w:highlight w:val="none"/>
          <w:lang w:val="en-US" w:eastAsia="zh-CN"/>
        </w:rPr>
      </w:pPr>
      <w:r>
        <w:rPr>
          <w:rFonts w:hint="eastAsia" w:ascii="仿宋" w:hAnsi="仿宋" w:eastAsia="仿宋" w:cs="仿宋"/>
          <w:bCs/>
          <w:color w:val="auto"/>
          <w:szCs w:val="24"/>
          <w:highlight w:val="none"/>
        </w:rPr>
        <w:t>传    真：</w:t>
      </w:r>
      <w:r>
        <w:rPr>
          <w:rFonts w:hint="eastAsia" w:ascii="仿宋" w:hAnsi="仿宋" w:eastAsia="仿宋" w:cs="仿宋"/>
          <w:bCs/>
          <w:color w:val="auto"/>
          <w:szCs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联系人 ：</w:t>
      </w:r>
      <w:r>
        <w:rPr>
          <w:rFonts w:hint="eastAsia" w:ascii="仿宋" w:hAnsi="仿宋" w:eastAsia="仿宋" w:cs="仿宋"/>
          <w:bCs/>
          <w:color w:val="auto"/>
          <w:szCs w:val="24"/>
          <w:highlight w:val="none"/>
          <w:lang w:eastAsia="zh-CN"/>
        </w:rPr>
        <w:t>赵渝</w:t>
      </w:r>
    </w:p>
    <w:p>
      <w:pPr>
        <w:keepNext w:val="0"/>
        <w:keepLines w:val="0"/>
        <w:pageBreakBefore w:val="0"/>
        <w:widowControl/>
        <w:kinsoku/>
        <w:wordWrap/>
        <w:overflowPunct/>
        <w:topLinePunct w:val="0"/>
        <w:autoSpaceDE/>
        <w:autoSpaceDN/>
        <w:bidi w:val="0"/>
        <w:adjustRightInd/>
        <w:snapToGrid/>
        <w:spacing w:line="480" w:lineRule="exact"/>
        <w:ind w:firstLine="360"/>
        <w:jc w:val="left"/>
        <w:textAlignment w:val="auto"/>
        <w:rPr>
          <w:rFonts w:hint="eastAsia" w:ascii="仿宋" w:hAnsi="仿宋" w:eastAsia="仿宋" w:cs="仿宋"/>
          <w:bCs/>
          <w:color w:val="auto"/>
          <w:szCs w:val="24"/>
          <w:highlight w:val="none"/>
        </w:rPr>
      </w:pPr>
      <w:r>
        <w:rPr>
          <w:rFonts w:hint="eastAsia" w:ascii="仿宋" w:hAnsi="仿宋" w:eastAsia="仿宋" w:cs="仿宋"/>
          <w:bCs/>
          <w:color w:val="auto"/>
          <w:szCs w:val="24"/>
          <w:highlight w:val="none"/>
        </w:rPr>
        <w:t>监督投诉电话：</w:t>
      </w:r>
      <w:r>
        <w:rPr>
          <w:rFonts w:hint="eastAsia" w:ascii="仿宋" w:hAnsi="仿宋" w:eastAsia="仿宋" w:cs="仿宋"/>
          <w:bCs/>
          <w:color w:val="auto"/>
          <w:szCs w:val="24"/>
          <w:highlight w:val="none"/>
          <w:lang w:val="en-US" w:eastAsia="zh-CN"/>
        </w:rPr>
        <w:t>0575-83815023</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若对项目采购电子交易系统操作有疑问，可登录乐采云（https://www.lecaiyun.com/），点击右侧咨询小采，获取采小蜜智能服务管家帮助，或拨打乐采云服务热线95763获取热线服务帮助。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pStyle w:val="3"/>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color w:val="auto"/>
          <w:kern w:val="0"/>
          <w:sz w:val="36"/>
          <w:highlight w:val="none"/>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color w:val="auto"/>
          <w:kern w:val="0"/>
          <w:sz w:val="36"/>
          <w:highlight w:val="none"/>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 w:hAnsi="仿宋" w:eastAsia="仿宋" w:cs="仿宋"/>
          <w:b/>
          <w:bCs/>
          <w:color w:val="auto"/>
          <w:kern w:val="0"/>
          <w:sz w:val="36"/>
          <w:highlight w:val="none"/>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color w:val="auto"/>
          <w:kern w:val="0"/>
          <w:sz w:val="36"/>
          <w:highlight w:val="none"/>
        </w:rPr>
      </w:pPr>
      <w:r>
        <w:rPr>
          <w:rFonts w:hint="eastAsia" w:ascii="仿宋" w:hAnsi="仿宋" w:eastAsia="仿宋" w:cs="仿宋"/>
          <w:b/>
          <w:bCs/>
          <w:color w:val="auto"/>
          <w:kern w:val="0"/>
          <w:sz w:val="36"/>
          <w:highlight w:val="none"/>
        </w:rPr>
        <w:t>第二部分 投标须知</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color w:val="auto"/>
          <w:kern w:val="0"/>
          <w:sz w:val="36"/>
          <w:highlight w:val="none"/>
        </w:rPr>
      </w:pPr>
      <w:bookmarkStart w:id="26" w:name="_Hlk47616320"/>
      <w:r>
        <w:rPr>
          <w:rFonts w:hint="eastAsia" w:ascii="仿宋" w:hAnsi="仿宋" w:eastAsia="仿宋" w:cs="仿宋"/>
          <w:b/>
          <w:bCs/>
          <w:color w:val="auto"/>
          <w:kern w:val="0"/>
          <w:sz w:val="36"/>
          <w:highlight w:val="none"/>
        </w:rPr>
        <w:t>前附表</w:t>
      </w:r>
    </w:p>
    <w:tbl>
      <w:tblPr>
        <w:tblStyle w:val="3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260"/>
        <w:gridCol w:w="7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8483" w:type="dxa"/>
            <w:gridSpan w:val="2"/>
            <w:vAlign w:val="center"/>
          </w:tcPr>
          <w:p>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8483" w:type="dxa"/>
            <w:gridSpan w:val="2"/>
            <w:vAlign w:val="center"/>
          </w:tcPr>
          <w:p>
            <w:pPr>
              <w:snapToGrid w:val="0"/>
              <w:spacing w:line="440" w:lineRule="exact"/>
              <w:rPr>
                <w:rFonts w:hint="eastAsia" w:ascii="仿宋" w:hAnsi="仿宋" w:eastAsia="仿宋" w:cs="仿宋"/>
                <w:color w:val="auto"/>
                <w:sz w:val="24"/>
                <w:szCs w:val="24"/>
                <w:highlight w:val="none"/>
                <w:u w:val="single"/>
              </w:rPr>
            </w:pPr>
            <w:r>
              <w:rPr>
                <w:rFonts w:hint="eastAsia" w:ascii="仿宋" w:hAnsi="仿宋" w:eastAsia="仿宋" w:cs="仿宋"/>
                <w:b/>
                <w:color w:val="auto"/>
                <w:sz w:val="24"/>
                <w:szCs w:val="24"/>
                <w:highlight w:val="none"/>
                <w:lang w:val="en-US" w:eastAsia="zh-CN"/>
              </w:rPr>
              <w:t>投标人按照项目要求</w:t>
            </w:r>
            <w:r>
              <w:rPr>
                <w:rFonts w:hint="eastAsia" w:ascii="仿宋" w:hAnsi="仿宋" w:eastAsia="仿宋" w:cs="仿宋"/>
                <w:b/>
                <w:color w:val="auto"/>
                <w:sz w:val="24"/>
                <w:szCs w:val="24"/>
                <w:highlight w:val="none"/>
              </w:rPr>
              <w:t>特许资格、资信证明文件（如果有）：</w:t>
            </w:r>
          </w:p>
          <w:p>
            <w:pPr>
              <w:spacing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8483" w:type="dxa"/>
            <w:gridSpan w:val="2"/>
            <w:vAlign w:val="center"/>
          </w:tcPr>
          <w:p>
            <w:pPr>
              <w:keepNext w:val="0"/>
              <w:keepLines w:val="0"/>
              <w:pageBreakBefore w:val="0"/>
              <w:widowControl w:val="0"/>
              <w:kinsoku/>
              <w:wordWrap/>
              <w:overflowPunct/>
              <w:topLinePunct w:val="0"/>
              <w:bidi w:val="0"/>
              <w:snapToGrid w:val="0"/>
              <w:spacing w:line="5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资格审查方式：</w:t>
            </w:r>
          </w:p>
          <w:p>
            <w:pPr>
              <w:keepNext w:val="0"/>
              <w:keepLines w:val="0"/>
              <w:pageBreakBefore w:val="0"/>
              <w:widowControl w:val="0"/>
              <w:kinsoku/>
              <w:wordWrap/>
              <w:overflowPunct/>
              <w:topLinePunct w:val="0"/>
              <w:bidi w:val="0"/>
              <w:snapToGrid w:val="0"/>
              <w:spacing w:line="5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1.资格后审。</w:t>
            </w:r>
          </w:p>
          <w:p>
            <w:pPr>
              <w:keepNext w:val="0"/>
              <w:keepLines w:val="0"/>
              <w:pageBreakBefore w:val="0"/>
              <w:widowControl w:val="0"/>
              <w:kinsoku/>
              <w:wordWrap/>
              <w:overflowPunct/>
              <w:topLinePunct w:val="0"/>
              <w:bidi w:val="0"/>
              <w:snapToGrid w:val="0"/>
              <w:spacing w:line="5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w:t>
            </w:r>
            <w:r>
              <w:rPr>
                <w:rFonts w:hint="eastAsia" w:ascii="仿宋" w:hAnsi="仿宋" w:eastAsia="仿宋" w:cs="仿宋"/>
                <w:b/>
                <w:color w:val="auto"/>
                <w:sz w:val="24"/>
                <w:szCs w:val="24"/>
                <w:highlight w:val="none"/>
                <w:lang w:val="en-US" w:eastAsia="zh-CN"/>
              </w:rPr>
              <w:t>扫描</w:t>
            </w:r>
            <w:r>
              <w:rPr>
                <w:rFonts w:hint="eastAsia" w:ascii="仿宋" w:hAnsi="仿宋" w:eastAsia="仿宋" w:cs="仿宋"/>
                <w:b/>
                <w:color w:val="auto"/>
                <w:sz w:val="24"/>
                <w:szCs w:val="24"/>
                <w:highlight w:val="none"/>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8483" w:type="dxa"/>
            <w:gridSpan w:val="2"/>
            <w:vAlign w:val="center"/>
          </w:tcPr>
          <w:p>
            <w:pPr>
              <w:keepNext w:val="0"/>
              <w:keepLines w:val="0"/>
              <w:pageBreakBefore w:val="0"/>
              <w:widowControl w:val="0"/>
              <w:kinsoku/>
              <w:wordWrap/>
              <w:overflowPunct/>
              <w:topLinePunct w:val="0"/>
              <w:autoSpaceDE w:val="0"/>
              <w:autoSpaceDN w:val="0"/>
              <w:bidi w:val="0"/>
              <w:spacing w:line="500" w:lineRule="exact"/>
              <w:textAlignment w:val="bottom"/>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投标有效期：</w:t>
            </w:r>
            <w:r>
              <w:rPr>
                <w:rFonts w:hint="eastAsia" w:ascii="仿宋" w:hAnsi="仿宋" w:eastAsia="仿宋" w:cs="仿宋"/>
                <w:color w:val="auto"/>
                <w:sz w:val="24"/>
                <w:szCs w:val="24"/>
                <w:highlight w:val="none"/>
              </w:rPr>
              <w:t>投标有效期为从提交投标文件的截止之日起90天。</w:t>
            </w:r>
            <w:r>
              <w:rPr>
                <w:rFonts w:hint="eastAsia" w:ascii="仿宋" w:hAnsi="仿宋" w:eastAsia="仿宋" w:cs="仿宋"/>
                <w:b/>
                <w:color w:val="auto"/>
                <w:sz w:val="24"/>
                <w:szCs w:val="24"/>
                <w:highlight w:val="none"/>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8483" w:type="dxa"/>
            <w:gridSpan w:val="2"/>
            <w:vAlign w:val="center"/>
          </w:tcPr>
          <w:p>
            <w:pPr>
              <w:keepNext w:val="0"/>
              <w:keepLines w:val="0"/>
              <w:pageBreakBefore w:val="0"/>
              <w:widowControl w:val="0"/>
              <w:kinsoku/>
              <w:wordWrap/>
              <w:overflowPunct/>
              <w:topLinePunct w:val="0"/>
              <w:bidi w:val="0"/>
              <w:spacing w:line="500" w:lineRule="exac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转包：</w:t>
            </w:r>
            <w:r>
              <w:rPr>
                <w:rFonts w:hint="eastAsia" w:ascii="仿宋" w:hAnsi="仿宋" w:eastAsia="仿宋" w:cs="仿宋"/>
                <w:color w:val="auto"/>
                <w:sz w:val="24"/>
                <w:szCs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483" w:type="dxa"/>
            <w:gridSpan w:val="2"/>
            <w:vAlign w:val="center"/>
          </w:tcPr>
          <w:p>
            <w:pPr>
              <w:keepNext w:val="0"/>
              <w:keepLines w:val="0"/>
              <w:pageBreakBefore w:val="0"/>
              <w:widowControl w:val="0"/>
              <w:kinsoku/>
              <w:wordWrap/>
              <w:overflowPunct/>
              <w:topLinePunct w:val="0"/>
              <w:bidi w:val="0"/>
              <w:spacing w:line="500" w:lineRule="exact"/>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分包：</w:t>
            </w:r>
            <w:r>
              <w:rPr>
                <w:rFonts w:hint="eastAsia" w:ascii="仿宋" w:hAnsi="仿宋" w:eastAsia="仿宋" w:cs="仿宋"/>
                <w:b w:val="0"/>
                <w:bCs/>
                <w:color w:val="auto"/>
                <w:sz w:val="24"/>
                <w:szCs w:val="24"/>
                <w:highlight w:val="none"/>
                <w:lang w:val="en-US" w:eastAsia="zh-CN"/>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8483" w:type="dxa"/>
            <w:gridSpan w:val="2"/>
            <w:vAlign w:val="center"/>
          </w:tcPr>
          <w:p>
            <w:pPr>
              <w:keepNext w:val="0"/>
              <w:keepLines w:val="0"/>
              <w:pageBreakBefore w:val="0"/>
              <w:widowControl w:val="0"/>
              <w:kinsoku/>
              <w:wordWrap/>
              <w:overflowPunct/>
              <w:topLinePunct w:val="0"/>
              <w:bidi w:val="0"/>
              <w:spacing w:line="500" w:lineRule="exac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投标文件份数：</w:t>
            </w:r>
            <w:r>
              <w:rPr>
                <w:rFonts w:hint="eastAsia" w:ascii="仿宋" w:hAnsi="仿宋" w:eastAsia="仿宋" w:cs="仿宋"/>
                <w:color w:val="auto"/>
                <w:sz w:val="24"/>
                <w:szCs w:val="24"/>
                <w:highlight w:val="none"/>
              </w:rPr>
              <w:t>本项目实行网上投标，供应商于“</w:t>
            </w:r>
            <w:r>
              <w:rPr>
                <w:rFonts w:hint="eastAsia" w:ascii="仿宋" w:hAnsi="仿宋" w:eastAsia="仿宋" w:cs="仿宋"/>
                <w:color w:val="auto"/>
                <w:sz w:val="24"/>
                <w:szCs w:val="24"/>
                <w:highlight w:val="none"/>
                <w:lang w:val="en-US" w:eastAsia="zh-CN"/>
              </w:rPr>
              <w:t>乐</w:t>
            </w:r>
            <w:r>
              <w:rPr>
                <w:rFonts w:hint="eastAsia" w:ascii="仿宋" w:hAnsi="仿宋" w:eastAsia="仿宋" w:cs="仿宋"/>
                <w:color w:val="auto"/>
                <w:sz w:val="24"/>
                <w:szCs w:val="24"/>
                <w:highlight w:val="none"/>
              </w:rPr>
              <w:t>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8483" w:type="dxa"/>
            <w:gridSpan w:val="2"/>
            <w:vAlign w:val="center"/>
          </w:tcPr>
          <w:p>
            <w:pPr>
              <w:autoSpaceDE w:val="0"/>
              <w:autoSpaceDN w:val="0"/>
              <w:spacing w:line="336" w:lineRule="auto"/>
              <w:textAlignment w:val="bottom"/>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开标前答疑会或现场考察：</w:t>
            </w:r>
          </w:p>
          <w:p>
            <w:pPr>
              <w:spacing w:line="336"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 xml:space="preserve"> A</w:t>
            </w:r>
            <w:r>
              <w:rPr>
                <w:rFonts w:hint="eastAsia" w:ascii="仿宋" w:hAnsi="仿宋" w:eastAsia="仿宋" w:cs="仿宋"/>
                <w:color w:val="auto"/>
                <w:sz w:val="24"/>
                <w:szCs w:val="24"/>
                <w:highlight w:val="none"/>
              </w:rPr>
              <w:t>不组织。</w:t>
            </w:r>
          </w:p>
          <w:p>
            <w:pPr>
              <w:keepNext w:val="0"/>
              <w:keepLines w:val="0"/>
              <w:pageBreakBefore w:val="0"/>
              <w:widowControl w:val="0"/>
              <w:kinsoku/>
              <w:wordWrap/>
              <w:overflowPunct/>
              <w:topLinePunct w:val="0"/>
              <w:autoSpaceDE w:val="0"/>
              <w:autoSpaceDN w:val="0"/>
              <w:bidi w:val="0"/>
              <w:spacing w:line="500" w:lineRule="exact"/>
              <w:textAlignment w:val="bottom"/>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B组织，</w:t>
            </w: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,地点：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，联系方式：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8483" w:type="dxa"/>
            <w:gridSpan w:val="2"/>
            <w:vAlign w:val="center"/>
          </w:tcPr>
          <w:p>
            <w:pPr>
              <w:spacing w:line="336"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样品提供：</w:t>
            </w:r>
          </w:p>
          <w:p>
            <w:pPr>
              <w:spacing w:line="336"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 xml:space="preserve"> A</w:t>
            </w:r>
            <w:r>
              <w:rPr>
                <w:rFonts w:hint="eastAsia" w:ascii="仿宋" w:hAnsi="仿宋" w:eastAsia="仿宋" w:cs="仿宋"/>
                <w:color w:val="auto"/>
                <w:sz w:val="24"/>
                <w:szCs w:val="24"/>
                <w:highlight w:val="none"/>
              </w:rPr>
              <w:t>不要求提供。</w:t>
            </w:r>
          </w:p>
          <w:p>
            <w:pPr>
              <w:spacing w:line="440" w:lineRule="exact"/>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□B要求提供，</w:t>
            </w:r>
          </w:p>
          <w:p>
            <w:pPr>
              <w:spacing w:line="44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pPr>
              <w:spacing w:line="44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pPr>
              <w:spacing w:line="44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44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pPr>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336" w:lineRule="auto"/>
              <w:rPr>
                <w:rFonts w:hint="eastAsia" w:ascii="仿宋" w:hAnsi="仿宋" w:eastAsia="仿宋" w:cs="仿宋"/>
                <w:b/>
                <w:color w:val="auto"/>
                <w:sz w:val="24"/>
                <w:szCs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8483" w:type="dxa"/>
            <w:gridSpan w:val="2"/>
            <w:vAlign w:val="center"/>
          </w:tcPr>
          <w:p>
            <w:pPr>
              <w:spacing w:beforeLines="0" w:afterLines="0" w:line="4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分钟（编制时可根据项目情况进行调整），讲解次序以磋商响应文件解密时间先后次序为准。讲解演示结束后按要求解答评标委员会提问。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w:t>
            </w:r>
            <w:r>
              <w:rPr>
                <w:rFonts w:hint="eastAsia" w:ascii="仿宋" w:hAnsi="仿宋" w:eastAsia="仿宋" w:cs="仿宋"/>
                <w:color w:val="auto"/>
                <w:sz w:val="24"/>
                <w:szCs w:val="24"/>
                <w:highlight w:val="none"/>
                <w:lang w:val="en-US" w:eastAsia="zh-CN"/>
              </w:rPr>
              <w:t>乐</w:t>
            </w:r>
            <w:r>
              <w:rPr>
                <w:rFonts w:hint="eastAsia" w:ascii="仿宋" w:hAnsi="仿宋" w:eastAsia="仿宋" w:cs="仿宋"/>
                <w:color w:val="auto"/>
                <w:sz w:val="24"/>
                <w:szCs w:val="24"/>
                <w:highlight w:val="none"/>
                <w:lang w:val="zh-CN"/>
              </w:rPr>
              <w:t>采云平台在线讲解演示。</w:t>
            </w:r>
            <w:r>
              <w:rPr>
                <w:rFonts w:hint="eastAsia" w:ascii="仿宋" w:hAnsi="仿宋" w:eastAsia="仿宋" w:cs="仿宋"/>
                <w:color w:val="auto"/>
                <w:sz w:val="24"/>
                <w:szCs w:val="24"/>
                <w:highlight w:val="none"/>
                <w:lang w:val="en-US" w:eastAsia="zh-CN"/>
              </w:rPr>
              <w:t>乐</w:t>
            </w:r>
            <w:r>
              <w:rPr>
                <w:rFonts w:hint="eastAsia" w:ascii="仿宋" w:hAnsi="仿宋" w:eastAsia="仿宋" w:cs="仿宋"/>
                <w:color w:val="auto"/>
                <w:sz w:val="24"/>
                <w:szCs w:val="24"/>
                <w:highlight w:val="none"/>
                <w:lang w:val="zh-CN"/>
              </w:rPr>
              <w:t>采云平台在线讲解需供应商根据</w:t>
            </w:r>
            <w:r>
              <w:rPr>
                <w:rFonts w:hint="eastAsia" w:ascii="仿宋" w:hAnsi="仿宋" w:eastAsia="仿宋" w:cs="仿宋"/>
                <w:color w:val="auto"/>
                <w:sz w:val="24"/>
                <w:szCs w:val="24"/>
                <w:highlight w:val="none"/>
                <w:lang w:val="en-US" w:eastAsia="zh-CN"/>
              </w:rPr>
              <w:t>乐</w:t>
            </w:r>
            <w:r>
              <w:rPr>
                <w:rFonts w:hint="eastAsia" w:ascii="仿宋" w:hAnsi="仿宋" w:eastAsia="仿宋" w:cs="仿宋"/>
                <w:color w:val="auto"/>
                <w:sz w:val="24"/>
                <w:szCs w:val="24"/>
                <w:highlight w:val="none"/>
                <w:lang w:val="zh-CN"/>
              </w:rPr>
              <w:t>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szCs w:val="24"/>
                <w:highlight w:val="none"/>
                <w:lang w:val="zh-CN"/>
              </w:rPr>
              <w:t>讲解演示人员不超过</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spacing w:line="50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w:t>
            </w:r>
            <w:r>
              <w:rPr>
                <w:rFonts w:hint="eastAsia" w:ascii="仿宋" w:hAnsi="仿宋" w:eastAsia="仿宋" w:cs="仿宋"/>
                <w:color w:val="auto"/>
                <w:sz w:val="24"/>
                <w:szCs w:val="24"/>
                <w:highlight w:val="none"/>
                <w:lang w:val="en-US" w:eastAsia="zh-CN"/>
              </w:rPr>
              <w:t>参</w:t>
            </w:r>
            <w:r>
              <w:rPr>
                <w:rFonts w:hint="eastAsia" w:ascii="仿宋" w:hAnsi="仿宋" w:eastAsia="仿宋" w:cs="仿宋"/>
                <w:color w:val="auto"/>
                <w:sz w:val="24"/>
                <w:szCs w:val="24"/>
                <w:highlight w:val="none"/>
                <w:lang w:val="zh-CN"/>
              </w:rPr>
              <w:t>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260" w:type="dxa"/>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进口</w:t>
            </w:r>
          </w:p>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产品</w:t>
            </w:r>
          </w:p>
        </w:tc>
        <w:tc>
          <w:tcPr>
            <w:tcW w:w="7223" w:type="dxa"/>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本项目不</w:t>
            </w:r>
            <w:r>
              <w:rPr>
                <w:rFonts w:hint="eastAsia" w:ascii="仿宋" w:hAnsi="仿宋" w:eastAsia="仿宋" w:cs="仿宋"/>
                <w:color w:val="auto"/>
                <w:sz w:val="24"/>
                <w:szCs w:val="24"/>
                <w:highlight w:val="none"/>
                <w:lang w:val="en-US" w:eastAsia="zh-CN"/>
              </w:rPr>
              <w:t>允许</w:t>
            </w:r>
            <w:r>
              <w:rPr>
                <w:rFonts w:hint="eastAsia" w:ascii="仿宋" w:hAnsi="仿宋" w:eastAsia="仿宋" w:cs="仿宋"/>
                <w:color w:val="auto"/>
                <w:sz w:val="24"/>
                <w:szCs w:val="24"/>
                <w:highlight w:val="none"/>
              </w:rPr>
              <w:t>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11</w:t>
            </w:r>
          </w:p>
        </w:tc>
        <w:tc>
          <w:tcPr>
            <w:tcW w:w="1260" w:type="dxa"/>
            <w:vAlign w:val="center"/>
          </w:tcPr>
          <w:p>
            <w:pPr>
              <w:keepNext w:val="0"/>
              <w:keepLines w:val="0"/>
              <w:pageBreakBefore w:val="0"/>
              <w:widowControl w:val="0"/>
              <w:kinsoku/>
              <w:wordWrap/>
              <w:overflowPunct/>
              <w:topLinePunct w:val="0"/>
              <w:bidi w:val="0"/>
              <w:adjustRightInd w:val="0"/>
              <w:snapToGrid w:val="0"/>
              <w:spacing w:line="500" w:lineRule="exact"/>
              <w:ind w:left="14" w:leftChars="0" w:right="0" w:rightChars="0" w:hanging="14" w:hangingChars="7"/>
              <w:jc w:val="center"/>
              <w:rPr>
                <w:rFonts w:hint="eastAsia" w:ascii="仿宋" w:hAnsi="仿宋" w:eastAsia="仿宋" w:cs="仿宋"/>
                <w:b/>
                <w:color w:val="auto"/>
                <w:spacing w:val="-20"/>
                <w:kern w:val="2"/>
                <w:sz w:val="24"/>
                <w:highlight w:val="none"/>
                <w:lang w:val="en-US" w:eastAsia="zh-CN" w:bidi="ar-SA"/>
              </w:rPr>
            </w:pPr>
            <w:r>
              <w:rPr>
                <w:rFonts w:hint="eastAsia" w:ascii="仿宋" w:hAnsi="仿宋" w:eastAsia="仿宋" w:cs="仿宋"/>
                <w:b/>
                <w:color w:val="auto"/>
                <w:spacing w:val="-20"/>
                <w:sz w:val="24"/>
                <w:highlight w:val="none"/>
              </w:rPr>
              <w:t>项目属性与核心产品</w:t>
            </w:r>
          </w:p>
        </w:tc>
        <w:tc>
          <w:tcPr>
            <w:tcW w:w="7223"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highlight w:val="none"/>
                <w:u w:val="single"/>
                <w:lang w:val="en-US" w:eastAsia="zh-CN"/>
              </w:rPr>
            </w:pPr>
            <w:r>
              <w:rPr>
                <w:rFonts w:hint="eastAsia" w:ascii="仿宋" w:hAnsi="仿宋" w:eastAsia="仿宋" w:cs="仿宋"/>
                <w:color w:val="auto"/>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textAlignment w:val="auto"/>
              <w:rPr>
                <w:rFonts w:hint="eastAsia" w:ascii="仿宋" w:hAnsi="仿宋" w:eastAsia="仿宋" w:cs="仿宋"/>
                <w:color w:val="auto"/>
                <w:kern w:val="2"/>
                <w:sz w:val="24"/>
                <w:highlight w:val="none"/>
                <w:lang w:val="en-US" w:eastAsia="zh-CN" w:bidi="ar-SA"/>
              </w:rPr>
            </w:pPr>
            <w:sdt>
              <w:sdtPr>
                <w:rPr>
                  <w:rFonts w:hint="eastAsia" w:ascii="仿宋" w:hAnsi="仿宋" w:eastAsia="仿宋" w:cs="仿宋"/>
                  <w:color w:val="auto"/>
                  <w:kern w:val="0"/>
                  <w:sz w:val="24"/>
                  <w:szCs w:val="24"/>
                  <w:highlight w:val="none"/>
                </w:rPr>
                <w:id w:val="11"/>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sym w:font="Wingdings" w:char="F0FE"/>
                </w:r>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5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126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备份投标文件</w:t>
            </w:r>
          </w:p>
        </w:tc>
        <w:tc>
          <w:tcPr>
            <w:tcW w:w="7223"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备份投标文件送达地点：州市新悦路88号君悦大厦七楼；备份投标文件签收人员联系电话：15167557859 。采购人、采购机构不强制或变相强制投标人提交备份投标文件。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Merge w:val="restart"/>
            <w:vAlign w:val="center"/>
          </w:tcPr>
          <w:p>
            <w:pPr>
              <w:keepNext w:val="0"/>
              <w:keepLines w:val="0"/>
              <w:pageBreakBefore w:val="0"/>
              <w:widowControl w:val="0"/>
              <w:kinsoku/>
              <w:wordWrap/>
              <w:overflowPunct/>
              <w:topLinePunct w:val="0"/>
              <w:bidi w:val="0"/>
              <w:adjustRightInd/>
              <w:spacing w:line="5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p>
        </w:tc>
        <w:tc>
          <w:tcPr>
            <w:tcW w:w="1260" w:type="dxa"/>
            <w:vMerge w:val="restart"/>
            <w:vAlign w:val="center"/>
          </w:tcPr>
          <w:p>
            <w:pPr>
              <w:keepNext w:val="0"/>
              <w:keepLines w:val="0"/>
              <w:pageBreakBefore w:val="0"/>
              <w:widowControl w:val="0"/>
              <w:kinsoku/>
              <w:wordWrap/>
              <w:overflowPunct/>
              <w:topLinePunct w:val="0"/>
              <w:bidi w:val="0"/>
              <w:adjustRightInd/>
              <w:snapToGrid w:val="0"/>
              <w:spacing w:line="5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投标人信用信息事项</w:t>
            </w:r>
          </w:p>
        </w:tc>
        <w:tc>
          <w:tcPr>
            <w:tcW w:w="7223" w:type="dxa"/>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信用信息查询渠道及截止时间：</w:t>
            </w:r>
            <w:r>
              <w:rPr>
                <w:rFonts w:hint="eastAsia" w:ascii="仿宋" w:hAnsi="仿宋" w:eastAsia="仿宋" w:cs="仿宋"/>
                <w:color w:val="auto"/>
                <w:sz w:val="24"/>
                <w:szCs w:val="24"/>
                <w:highlight w:val="none"/>
              </w:rPr>
              <w:t>采购人或采购代理机构将通过“信用中国”网站(www.creditchina.gov.cn)、中国政府采购网(www.ccgp.gov.cn)渠道查询投标人</w:t>
            </w:r>
            <w:r>
              <w:rPr>
                <w:rFonts w:hint="eastAsia" w:ascii="仿宋" w:hAnsi="仿宋" w:eastAsia="仿宋" w:cs="仿宋"/>
                <w:b/>
                <w:color w:val="auto"/>
                <w:sz w:val="24"/>
                <w:szCs w:val="24"/>
                <w:highlight w:val="none"/>
              </w:rPr>
              <w:t>开标当天</w:t>
            </w:r>
            <w:r>
              <w:rPr>
                <w:rFonts w:hint="eastAsia" w:ascii="仿宋" w:hAnsi="仿宋" w:eastAsia="仿宋" w:cs="仿宋"/>
                <w:color w:val="auto"/>
                <w:sz w:val="24"/>
                <w:szCs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Merge w:val="continue"/>
            <w:vAlign w:val="center"/>
          </w:tcPr>
          <w:p>
            <w:pPr>
              <w:keepNext w:val="0"/>
              <w:keepLines w:val="0"/>
              <w:pageBreakBefore w:val="0"/>
              <w:widowControl w:val="0"/>
              <w:kinsoku/>
              <w:wordWrap/>
              <w:overflowPunct/>
              <w:topLinePunct w:val="0"/>
              <w:bidi w:val="0"/>
              <w:adjustRightInd/>
              <w:spacing w:line="500" w:lineRule="exact"/>
              <w:jc w:val="center"/>
              <w:textAlignment w:val="auto"/>
              <w:rPr>
                <w:rFonts w:hint="eastAsia" w:ascii="仿宋" w:hAnsi="仿宋" w:eastAsia="仿宋" w:cs="仿宋"/>
                <w:color w:val="auto"/>
                <w:sz w:val="24"/>
                <w:szCs w:val="24"/>
                <w:highlight w:val="none"/>
              </w:rPr>
            </w:pPr>
          </w:p>
        </w:tc>
        <w:tc>
          <w:tcPr>
            <w:tcW w:w="1260" w:type="dxa"/>
            <w:vMerge w:val="continue"/>
            <w:vAlign w:val="center"/>
          </w:tcPr>
          <w:p>
            <w:pPr>
              <w:keepNext w:val="0"/>
              <w:keepLines w:val="0"/>
              <w:pageBreakBefore w:val="0"/>
              <w:widowControl w:val="0"/>
              <w:kinsoku/>
              <w:wordWrap/>
              <w:overflowPunct/>
              <w:topLinePunct w:val="0"/>
              <w:bidi w:val="0"/>
              <w:adjustRightInd/>
              <w:snapToGrid w:val="0"/>
              <w:spacing w:line="500" w:lineRule="exact"/>
              <w:textAlignment w:val="auto"/>
              <w:rPr>
                <w:rFonts w:hint="eastAsia" w:ascii="仿宋" w:hAnsi="仿宋" w:eastAsia="仿宋" w:cs="仿宋"/>
                <w:b/>
                <w:color w:val="auto"/>
                <w:sz w:val="24"/>
                <w:szCs w:val="24"/>
                <w:highlight w:val="none"/>
              </w:rPr>
            </w:pPr>
          </w:p>
        </w:tc>
        <w:tc>
          <w:tcPr>
            <w:tcW w:w="7223" w:type="dxa"/>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信用信息查询记录和证据留存的具体方式：</w:t>
            </w:r>
            <w:r>
              <w:rPr>
                <w:rFonts w:hint="eastAsia" w:ascii="仿宋" w:hAnsi="仿宋" w:eastAsia="仿宋" w:cs="仿宋"/>
                <w:color w:val="auto"/>
                <w:sz w:val="24"/>
                <w:szCs w:val="24"/>
                <w:highlight w:val="none"/>
              </w:rPr>
              <w:t>采购人或采购代理机构</w:t>
            </w:r>
            <w:r>
              <w:rPr>
                <w:rFonts w:hint="eastAsia" w:ascii="仿宋" w:hAnsi="仿宋" w:eastAsia="仿宋" w:cs="仿宋"/>
                <w:color w:val="auto"/>
                <w:spacing w:val="-6"/>
                <w:sz w:val="24"/>
                <w:szCs w:val="24"/>
                <w:highlight w:val="none"/>
              </w:rPr>
              <w:t>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Merge w:val="continue"/>
            <w:vAlign w:val="center"/>
          </w:tcPr>
          <w:p>
            <w:pPr>
              <w:keepNext w:val="0"/>
              <w:keepLines w:val="0"/>
              <w:pageBreakBefore w:val="0"/>
              <w:widowControl w:val="0"/>
              <w:kinsoku/>
              <w:wordWrap/>
              <w:overflowPunct/>
              <w:topLinePunct w:val="0"/>
              <w:bidi w:val="0"/>
              <w:adjustRightInd/>
              <w:spacing w:line="500" w:lineRule="exact"/>
              <w:jc w:val="center"/>
              <w:textAlignment w:val="auto"/>
              <w:rPr>
                <w:rFonts w:hint="eastAsia" w:ascii="仿宋" w:hAnsi="仿宋" w:eastAsia="仿宋" w:cs="仿宋"/>
                <w:color w:val="auto"/>
                <w:sz w:val="24"/>
                <w:szCs w:val="24"/>
                <w:highlight w:val="none"/>
              </w:rPr>
            </w:pPr>
          </w:p>
        </w:tc>
        <w:tc>
          <w:tcPr>
            <w:tcW w:w="1260" w:type="dxa"/>
            <w:vMerge w:val="continue"/>
            <w:vAlign w:val="center"/>
          </w:tcPr>
          <w:p>
            <w:pPr>
              <w:keepNext w:val="0"/>
              <w:keepLines w:val="0"/>
              <w:pageBreakBefore w:val="0"/>
              <w:widowControl w:val="0"/>
              <w:kinsoku/>
              <w:wordWrap/>
              <w:overflowPunct/>
              <w:topLinePunct w:val="0"/>
              <w:bidi w:val="0"/>
              <w:adjustRightInd/>
              <w:snapToGrid w:val="0"/>
              <w:spacing w:line="500" w:lineRule="exact"/>
              <w:textAlignment w:val="auto"/>
              <w:rPr>
                <w:rFonts w:hint="eastAsia" w:ascii="仿宋" w:hAnsi="仿宋" w:eastAsia="仿宋" w:cs="仿宋"/>
                <w:b/>
                <w:color w:val="auto"/>
                <w:sz w:val="24"/>
                <w:szCs w:val="24"/>
                <w:highlight w:val="none"/>
              </w:rPr>
            </w:pPr>
          </w:p>
        </w:tc>
        <w:tc>
          <w:tcPr>
            <w:tcW w:w="7223" w:type="dxa"/>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信用信息的使用规则：</w:t>
            </w:r>
            <w:r>
              <w:rPr>
                <w:rFonts w:hint="eastAsia" w:ascii="仿宋" w:hAnsi="仿宋" w:eastAsia="仿宋" w:cs="仿宋"/>
                <w:color w:val="auto"/>
                <w:sz w:val="24"/>
                <w:szCs w:val="24"/>
                <w:highlight w:val="none"/>
              </w:rPr>
              <w:t>经查询列入失信被执行人名单、重大税收违法案件当事人名单、政府采购严重违法失信行为记录名单的投标人将被拒绝参与采购活动。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14</w:t>
            </w:r>
          </w:p>
        </w:tc>
        <w:tc>
          <w:tcPr>
            <w:tcW w:w="8483" w:type="dxa"/>
            <w:gridSpan w:val="2"/>
            <w:vAlign w:val="center"/>
          </w:tcPr>
          <w:p>
            <w:pPr>
              <w:snapToGrid w:val="0"/>
              <w:spacing w:line="440" w:lineRule="exac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需要落实的采购政策：包括保护环境、节约能源、促进中小企业发展等。详见招标文件第二部分总则。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spacing w:line="440" w:lineRule="exact"/>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rPr>
              <w:t>15</w:t>
            </w:r>
          </w:p>
        </w:tc>
        <w:tc>
          <w:tcPr>
            <w:tcW w:w="8483" w:type="dxa"/>
            <w:gridSpan w:val="2"/>
            <w:vAlign w:val="center"/>
          </w:tcPr>
          <w:p>
            <w:pPr>
              <w:snapToGrid w:val="0"/>
              <w:spacing w:line="440" w:lineRule="exact"/>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更正补充公告请自行登录</w:t>
            </w:r>
            <w:r>
              <w:rPr>
                <w:rFonts w:hint="eastAsia" w:ascii="仿宋" w:hAnsi="仿宋" w:eastAsia="仿宋" w:cs="仿宋"/>
                <w:color w:val="auto"/>
                <w:sz w:val="24"/>
                <w:highlight w:val="none"/>
                <w:lang w:val="en-US" w:eastAsia="zh-CN"/>
              </w:rPr>
              <w:t>乐采云</w:t>
            </w:r>
            <w:r>
              <w:rPr>
                <w:rFonts w:hint="eastAsia" w:ascii="仿宋" w:hAnsi="仿宋" w:eastAsia="仿宋" w:cs="仿宋"/>
                <w:color w:val="auto"/>
                <w:sz w:val="24"/>
                <w:highlight w:val="none"/>
              </w:rPr>
              <w:t>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keepNext w:val="0"/>
              <w:keepLines w:val="0"/>
              <w:pageBreakBefore w:val="0"/>
              <w:widowControl w:val="0"/>
              <w:kinsoku/>
              <w:wordWrap/>
              <w:overflowPunct/>
              <w:topLinePunct w:val="0"/>
              <w:bidi w:val="0"/>
              <w:adjustRightInd/>
              <w:spacing w:line="5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p>
        </w:tc>
        <w:tc>
          <w:tcPr>
            <w:tcW w:w="8483" w:type="dxa"/>
            <w:gridSpan w:val="2"/>
            <w:vAlign w:val="center"/>
          </w:tcPr>
          <w:p>
            <w:pPr>
              <w:keepNext w:val="0"/>
              <w:keepLines w:val="0"/>
              <w:pageBreakBefore w:val="0"/>
              <w:widowControl w:val="0"/>
              <w:kinsoku/>
              <w:wordWrap/>
              <w:overflowPunct/>
              <w:topLinePunct w:val="0"/>
              <w:bidi w:val="0"/>
              <w:adjustRightInd/>
              <w:snapToGrid w:val="0"/>
              <w:spacing w:line="5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投标与开标注意事项：</w:t>
            </w:r>
          </w:p>
          <w:p>
            <w:pPr>
              <w:keepNext w:val="0"/>
              <w:keepLines w:val="0"/>
              <w:pageBreakBefore w:val="0"/>
              <w:widowControl w:val="0"/>
              <w:kinsoku/>
              <w:wordWrap/>
              <w:overflowPunct/>
              <w:topLinePunct w:val="0"/>
              <w:bidi w:val="0"/>
              <w:adjustRightInd/>
              <w:snapToGrid w:val="0"/>
              <w:spacing w:line="5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snapToGrid w:val="0"/>
              <w:spacing w:line="5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keepNext w:val="0"/>
              <w:keepLines w:val="0"/>
              <w:pageBreakBefore w:val="0"/>
              <w:widowControl w:val="0"/>
              <w:kinsoku/>
              <w:wordWrap/>
              <w:overflowPunct/>
              <w:topLinePunct w:val="0"/>
              <w:bidi w:val="0"/>
              <w:adjustRightInd/>
              <w:snapToGrid w:val="0"/>
              <w:spacing w:line="5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供应商将</w:t>
            </w:r>
            <w:r>
              <w:rPr>
                <w:rFonts w:hint="eastAsia" w:ascii="仿宋" w:hAnsi="仿宋" w:eastAsia="仿宋" w:cs="仿宋"/>
                <w:color w:val="auto"/>
                <w:sz w:val="24"/>
                <w:szCs w:val="24"/>
                <w:highlight w:val="none"/>
                <w:lang w:val="en-US" w:eastAsia="zh-CN"/>
              </w:rPr>
              <w:t>乐</w:t>
            </w:r>
            <w:r>
              <w:rPr>
                <w:rFonts w:hint="eastAsia" w:ascii="仿宋" w:hAnsi="仿宋" w:eastAsia="仿宋" w:cs="仿宋"/>
                <w:color w:val="auto"/>
                <w:sz w:val="24"/>
                <w:szCs w:val="24"/>
                <w:highlight w:val="none"/>
              </w:rPr>
              <w:t>采云电子交易客户端下载、安装完成后，可通过账号密码或CA登录客户端进行投标文件制作。在使用</w:t>
            </w:r>
            <w:r>
              <w:rPr>
                <w:rFonts w:hint="eastAsia" w:ascii="仿宋" w:hAnsi="仿宋" w:eastAsia="仿宋" w:cs="仿宋"/>
                <w:color w:val="auto"/>
                <w:sz w:val="24"/>
                <w:szCs w:val="24"/>
                <w:highlight w:val="none"/>
                <w:lang w:val="en-US" w:eastAsia="zh-CN"/>
              </w:rPr>
              <w:t>乐</w:t>
            </w:r>
            <w:r>
              <w:rPr>
                <w:rFonts w:hint="eastAsia" w:ascii="仿宋" w:hAnsi="仿宋" w:eastAsia="仿宋" w:cs="仿宋"/>
                <w:color w:val="auto"/>
                <w:sz w:val="24"/>
                <w:szCs w:val="24"/>
                <w:highlight w:val="none"/>
              </w:rPr>
              <w:t>采云投标客户端时，建议使用WIN7及以上操作系统。</w:t>
            </w:r>
          </w:p>
          <w:p>
            <w:pPr>
              <w:keepNext w:val="0"/>
              <w:keepLines w:val="0"/>
              <w:pageBreakBefore w:val="0"/>
              <w:widowControl w:val="0"/>
              <w:kinsoku/>
              <w:wordWrap/>
              <w:overflowPunct/>
              <w:topLinePunct w:val="0"/>
              <w:bidi w:val="0"/>
              <w:adjustRightInd/>
              <w:snapToGrid w:val="0"/>
              <w:spacing w:line="5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注：供应商先要申领CA，取得CA后需要在</w:t>
            </w:r>
            <w:r>
              <w:rPr>
                <w:rFonts w:hint="eastAsia" w:ascii="仿宋" w:hAnsi="仿宋" w:eastAsia="仿宋" w:cs="仿宋"/>
                <w:color w:val="auto"/>
                <w:sz w:val="24"/>
                <w:szCs w:val="24"/>
                <w:highlight w:val="none"/>
                <w:lang w:val="en-US" w:eastAsia="zh-CN"/>
              </w:rPr>
              <w:t>乐</w:t>
            </w:r>
            <w:r>
              <w:rPr>
                <w:rFonts w:hint="eastAsia" w:ascii="仿宋" w:hAnsi="仿宋" w:eastAsia="仿宋" w:cs="仿宋"/>
                <w:color w:val="auto"/>
                <w:sz w:val="24"/>
                <w:szCs w:val="24"/>
                <w:highlight w:val="none"/>
              </w:rPr>
              <w:t>采云平台进行绑定，CA相关操作可参考《CA申领操作指南》和《CA管理操作指南》。完成CA数字证书办理在资料齐全的情况下预计7个工作日左右，建议供应商获取招标文件后立即办理。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snapToGrid w:val="0"/>
              <w:spacing w:line="5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3.投标文件制作、递交、解密：</w:t>
            </w:r>
          </w:p>
          <w:p>
            <w:pPr>
              <w:keepNext w:val="0"/>
              <w:keepLines w:val="0"/>
              <w:pageBreakBefore w:val="0"/>
              <w:widowControl w:val="0"/>
              <w:kinsoku/>
              <w:wordWrap/>
              <w:overflowPunct/>
              <w:topLinePunct w:val="0"/>
              <w:bidi w:val="0"/>
              <w:adjustRightInd/>
              <w:snapToGrid w:val="0"/>
              <w:spacing w:line="5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3.1应按照本项目招标文件和</w:t>
            </w:r>
            <w:r>
              <w:rPr>
                <w:rFonts w:hint="eastAsia" w:ascii="仿宋" w:hAnsi="仿宋" w:eastAsia="仿宋" w:cs="仿宋"/>
                <w:color w:val="auto"/>
                <w:sz w:val="24"/>
                <w:szCs w:val="24"/>
                <w:highlight w:val="none"/>
                <w:lang w:val="en-US" w:eastAsia="zh-CN"/>
              </w:rPr>
              <w:t>乐</w:t>
            </w:r>
            <w:r>
              <w:rPr>
                <w:rFonts w:hint="eastAsia" w:ascii="仿宋" w:hAnsi="仿宋" w:eastAsia="仿宋" w:cs="仿宋"/>
                <w:color w:val="auto"/>
                <w:sz w:val="24"/>
                <w:szCs w:val="24"/>
                <w:highlight w:val="none"/>
              </w:rPr>
              <w:t>采云平台的要求编制、加密传输投标文件。供应商在使用系统进行投标的过程中遇到涉及平台使用的任何问题，可致电</w:t>
            </w:r>
            <w:r>
              <w:rPr>
                <w:rFonts w:hint="eastAsia" w:ascii="仿宋" w:hAnsi="仿宋" w:eastAsia="仿宋" w:cs="仿宋"/>
                <w:color w:val="auto"/>
                <w:sz w:val="24"/>
                <w:szCs w:val="24"/>
                <w:highlight w:val="none"/>
                <w:lang w:val="en-US" w:eastAsia="zh-CN"/>
              </w:rPr>
              <w:t>乐</w:t>
            </w:r>
            <w:r>
              <w:rPr>
                <w:rFonts w:hint="eastAsia" w:ascii="仿宋" w:hAnsi="仿宋" w:eastAsia="仿宋" w:cs="仿宋"/>
                <w:color w:val="auto"/>
                <w:sz w:val="24"/>
                <w:szCs w:val="24"/>
                <w:highlight w:val="none"/>
              </w:rPr>
              <w:t>采云平台技术支持热线咨询，联系方式：</w:t>
            </w:r>
            <w:r>
              <w:rPr>
                <w:rFonts w:hint="eastAsia" w:ascii="仿宋" w:hAnsi="仿宋" w:eastAsia="仿宋" w:cs="仿宋"/>
                <w:color w:val="auto"/>
                <w:sz w:val="24"/>
                <w:szCs w:val="24"/>
                <w:highlight w:val="none"/>
                <w:lang w:val="en-US" w:eastAsia="zh-CN"/>
              </w:rPr>
              <w:t>95763</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bidi w:val="0"/>
              <w:adjustRightInd/>
              <w:snapToGrid w:val="0"/>
              <w:spacing w:line="5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3.2投标人通过“</w:t>
            </w:r>
            <w:r>
              <w:rPr>
                <w:rFonts w:hint="eastAsia" w:ascii="仿宋" w:hAnsi="仿宋" w:eastAsia="仿宋" w:cs="仿宋"/>
                <w:color w:val="auto"/>
                <w:sz w:val="24"/>
                <w:szCs w:val="24"/>
                <w:highlight w:val="none"/>
                <w:lang w:val="en-US" w:eastAsia="zh-CN"/>
              </w:rPr>
              <w:t>乐</w:t>
            </w:r>
            <w:r>
              <w:rPr>
                <w:rFonts w:hint="eastAsia" w:ascii="仿宋" w:hAnsi="仿宋" w:eastAsia="仿宋" w:cs="仿宋"/>
                <w:color w:val="auto"/>
                <w:sz w:val="24"/>
                <w:szCs w:val="24"/>
                <w:highlight w:val="none"/>
              </w:rPr>
              <w:t>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snapToGrid w:val="0"/>
              <w:spacing w:line="5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3.3开标时间后30分钟内供应商可以登录“</w:t>
            </w:r>
            <w:r>
              <w:rPr>
                <w:rFonts w:hint="eastAsia" w:ascii="仿宋" w:hAnsi="仿宋" w:eastAsia="仿宋" w:cs="仿宋"/>
                <w:color w:val="auto"/>
                <w:sz w:val="24"/>
                <w:szCs w:val="24"/>
                <w:highlight w:val="none"/>
                <w:lang w:val="en-US" w:eastAsia="zh-CN"/>
              </w:rPr>
              <w:t>乐</w:t>
            </w:r>
            <w:r>
              <w:rPr>
                <w:rFonts w:hint="eastAsia" w:ascii="仿宋" w:hAnsi="仿宋" w:eastAsia="仿宋" w:cs="仿宋"/>
                <w:color w:val="auto"/>
                <w:sz w:val="24"/>
                <w:szCs w:val="24"/>
                <w:highlight w:val="none"/>
              </w:rPr>
              <w:t>采云”平台，用“项目采购-开标评标”功能进行解密投标文件。若供应商</w:t>
            </w:r>
            <w:r>
              <w:rPr>
                <w:rFonts w:hint="eastAsia" w:ascii="仿宋" w:hAnsi="仿宋" w:eastAsia="仿宋" w:cs="仿宋"/>
                <w:b/>
                <w:color w:val="auto"/>
                <w:sz w:val="24"/>
                <w:szCs w:val="24"/>
                <w:highlight w:val="none"/>
                <w:u w:val="single"/>
              </w:rPr>
              <w:t>未按时解密的</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u w:val="single"/>
              </w:rPr>
              <w:t>视为投标文件撤回</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Merge w:val="restart"/>
            <w:vAlign w:val="center"/>
          </w:tcPr>
          <w:p>
            <w:pPr>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c>
          <w:tcPr>
            <w:tcW w:w="8483" w:type="dxa"/>
            <w:gridSpan w:val="2"/>
            <w:shd w:val="clear" w:color="auto" w:fill="auto"/>
            <w:vAlign w:val="center"/>
          </w:tcPr>
          <w:p>
            <w:pPr>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textAlignment w:val="center"/>
              <w:rPr>
                <w:rFonts w:hint="eastAsia" w:ascii="仿宋" w:hAnsi="仿宋" w:eastAsia="仿宋" w:cs="仿宋"/>
                <w:color w:val="auto"/>
                <w:kern w:val="2"/>
                <w:sz w:val="24"/>
                <w:highlight w:val="none"/>
                <w:lang w:val="en-US" w:eastAsia="zh-CN" w:bidi="ar-SA"/>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Merge w:val="continue"/>
            <w:vAlign w:val="center"/>
          </w:tcPr>
          <w:p>
            <w:pPr>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color w:val="auto"/>
                <w:sz w:val="24"/>
                <w:szCs w:val="24"/>
                <w:highlight w:val="none"/>
                <w:lang w:val="en-US" w:eastAsia="zh-CN"/>
              </w:rPr>
            </w:pPr>
          </w:p>
        </w:tc>
        <w:tc>
          <w:tcPr>
            <w:tcW w:w="8483" w:type="dxa"/>
            <w:gridSpan w:val="2"/>
            <w:shd w:val="clear" w:color="auto" w:fill="auto"/>
            <w:vAlign w:val="center"/>
          </w:tcPr>
          <w:p>
            <w:pPr>
              <w:spacing w:line="440" w:lineRule="exact"/>
              <w:textAlignment w:val="center"/>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textAlignment w:val="center"/>
              <w:rPr>
                <w:rFonts w:hint="eastAsia" w:ascii="仿宋" w:hAnsi="仿宋" w:eastAsia="仿宋" w:cs="仿宋"/>
                <w:b/>
                <w:color w:val="auto"/>
                <w:kern w:val="2"/>
                <w:sz w:val="24"/>
                <w:highlight w:val="none"/>
                <w:lang w:val="en-US" w:eastAsia="zh-CN" w:bidi="ar-SA"/>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57" w:type="dxa"/>
            <w:vAlign w:val="center"/>
          </w:tcPr>
          <w:p>
            <w:pPr>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w:t>
            </w:r>
          </w:p>
        </w:tc>
        <w:tc>
          <w:tcPr>
            <w:tcW w:w="8483"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before="0" w:beforeLines="50" w:line="288" w:lineRule="auto"/>
              <w:ind w:firstLine="72" w:firstLineChars="3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本项目代理服务费：根据项目的中标金额，采用差额定率累进法进行计算，</w:t>
            </w:r>
            <w:r>
              <w:rPr>
                <w:rFonts w:hint="eastAsia" w:ascii="仿宋" w:hAnsi="仿宋" w:eastAsia="仿宋" w:cs="仿宋"/>
                <w:color w:val="auto"/>
                <w:sz w:val="24"/>
                <w:szCs w:val="24"/>
                <w:highlight w:val="none"/>
                <w:lang w:eastAsia="zh-CN"/>
              </w:rPr>
              <w:t>按以下</w:t>
            </w:r>
            <w:r>
              <w:rPr>
                <w:rFonts w:hint="eastAsia" w:ascii="仿宋" w:hAnsi="仿宋" w:eastAsia="仿宋" w:cs="仿宋"/>
                <w:color w:val="auto"/>
                <w:sz w:val="24"/>
                <w:szCs w:val="24"/>
                <w:highlight w:val="none"/>
              </w:rPr>
              <w:t>费率标准</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lang w:eastAsia="zh-CN"/>
              </w:rPr>
              <w:t>收取，</w:t>
            </w:r>
            <w:r>
              <w:rPr>
                <w:rFonts w:hint="eastAsia" w:ascii="仿宋" w:hAnsi="仿宋" w:eastAsia="仿宋" w:cs="仿宋"/>
                <w:color w:val="auto"/>
                <w:sz w:val="24"/>
                <w:szCs w:val="24"/>
                <w:highlight w:val="none"/>
              </w:rPr>
              <w:t>其他费用按实收取</w:t>
            </w:r>
            <w:r>
              <w:rPr>
                <w:rFonts w:hint="eastAsia" w:ascii="仿宋" w:hAnsi="仿宋" w:eastAsia="仿宋" w:cs="仿宋"/>
                <w:color w:val="auto"/>
                <w:sz w:val="24"/>
                <w:szCs w:val="24"/>
                <w:highlight w:val="none"/>
                <w:lang w:eastAsia="zh-CN"/>
              </w:rPr>
              <w:t>，</w:t>
            </w:r>
            <w:r>
              <w:rPr>
                <w:rFonts w:hint="eastAsia" w:ascii="仿宋" w:hAnsi="仿宋" w:eastAsia="仿宋" w:cs="仿宋"/>
                <w:snapToGrid w:val="0"/>
                <w:color w:val="auto"/>
                <w:kern w:val="28"/>
                <w:sz w:val="24"/>
                <w:szCs w:val="24"/>
                <w:highlight w:val="none"/>
              </w:rPr>
              <w:t>请在投标报价中自行考虑</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中标（成交）供应商在领取中标（成交）通知书时支付</w:t>
            </w:r>
            <w:r>
              <w:rPr>
                <w:rFonts w:hint="eastAsia" w:ascii="仿宋" w:hAnsi="仿宋" w:eastAsia="仿宋" w:cs="仿宋"/>
                <w:color w:val="auto"/>
                <w:sz w:val="24"/>
                <w:szCs w:val="24"/>
                <w:highlight w:val="none"/>
                <w:lang w:eastAsia="zh-CN"/>
              </w:rPr>
              <w:t>。</w:t>
            </w:r>
          </w:p>
          <w:tbl>
            <w:tblPr>
              <w:tblStyle w:val="31"/>
              <w:tblW w:w="62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8"/>
              <w:gridCol w:w="1396"/>
              <w:gridCol w:w="13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40" w:hRule="atLeast"/>
                <w:jc w:val="center"/>
              </w:trPr>
              <w:tc>
                <w:tcPr>
                  <w:tcW w:w="3418" w:type="dxa"/>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pacing w:line="288" w:lineRule="auto"/>
                    <w:jc w:val="left"/>
                    <w:textAlignment w:val="auto"/>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              服务类型</w:t>
                  </w:r>
                </w:p>
                <w:p>
                  <w:pPr>
                    <w:keepNext w:val="0"/>
                    <w:keepLines w:val="0"/>
                    <w:pageBreakBefore w:val="0"/>
                    <w:widowControl/>
                    <w:suppressLineNumbers w:val="0"/>
                    <w:kinsoku/>
                    <w:wordWrap/>
                    <w:overflowPunct/>
                    <w:topLinePunct w:val="0"/>
                    <w:autoSpaceDE/>
                    <w:autoSpaceDN/>
                    <w:bidi w:val="0"/>
                    <w:adjustRightInd w:val="0"/>
                    <w:spacing w:line="288" w:lineRule="auto"/>
                    <w:jc w:val="left"/>
                    <w:textAlignment w:val="auto"/>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中标金额（万元）        </w:t>
                  </w:r>
                </w:p>
              </w:tc>
              <w:tc>
                <w:tcPr>
                  <w:tcW w:w="13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pacing w:line="288" w:lineRule="auto"/>
                    <w:jc w:val="center"/>
                    <w:textAlignment w:val="auto"/>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货物招标</w:t>
                  </w:r>
                </w:p>
              </w:tc>
              <w:tc>
                <w:tcPr>
                  <w:tcW w:w="13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pacing w:line="288" w:lineRule="auto"/>
                    <w:jc w:val="center"/>
                    <w:textAlignment w:val="auto"/>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before="63" w:beforeLines="20" w:line="288" w:lineRule="auto"/>
                    <w:jc w:val="center"/>
                    <w:textAlignment w:val="auto"/>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0-100部分</w:t>
                  </w:r>
                </w:p>
              </w:tc>
              <w:tc>
                <w:tcPr>
                  <w:tcW w:w="13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before="63" w:beforeLines="20" w:line="288" w:lineRule="auto"/>
                    <w:jc w:val="center"/>
                    <w:textAlignment w:val="auto"/>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3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before="63" w:beforeLines="20" w:line="288" w:lineRule="auto"/>
                    <w:jc w:val="center"/>
                    <w:textAlignment w:val="auto"/>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before="63" w:beforeLines="20" w:line="288" w:lineRule="auto"/>
                    <w:jc w:val="center"/>
                    <w:textAlignment w:val="auto"/>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100-500部分</w:t>
                  </w:r>
                </w:p>
              </w:tc>
              <w:tc>
                <w:tcPr>
                  <w:tcW w:w="13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before="63" w:beforeLines="20" w:line="288" w:lineRule="auto"/>
                    <w:jc w:val="center"/>
                    <w:textAlignment w:val="auto"/>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3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before="63" w:beforeLines="20" w:line="288" w:lineRule="auto"/>
                    <w:jc w:val="center"/>
                    <w:textAlignment w:val="auto"/>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before="63" w:beforeLines="20" w:line="288" w:lineRule="auto"/>
                    <w:jc w:val="center"/>
                    <w:textAlignment w:val="auto"/>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500-1000部分</w:t>
                  </w:r>
                </w:p>
              </w:tc>
              <w:tc>
                <w:tcPr>
                  <w:tcW w:w="13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before="63" w:beforeLines="20" w:line="288" w:lineRule="auto"/>
                    <w:jc w:val="center"/>
                    <w:textAlignment w:val="auto"/>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0.8%</w:t>
                  </w:r>
                </w:p>
              </w:tc>
              <w:tc>
                <w:tcPr>
                  <w:tcW w:w="13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spacing w:before="63" w:beforeLines="20" w:line="288" w:lineRule="auto"/>
                    <w:jc w:val="center"/>
                    <w:textAlignment w:val="auto"/>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0.45%</w:t>
                  </w:r>
                </w:p>
              </w:tc>
            </w:tr>
          </w:tbl>
          <w:p>
            <w:pPr>
              <w:keepNext w:val="0"/>
              <w:keepLines w:val="0"/>
              <w:pageBreakBefore w:val="0"/>
              <w:widowControl w:val="0"/>
              <w:kinsoku/>
              <w:wordWrap/>
              <w:overflowPunct/>
              <w:topLinePunct w:val="0"/>
              <w:autoSpaceDE/>
              <w:autoSpaceDN/>
              <w:bidi w:val="0"/>
              <w:adjustRightInd w:val="0"/>
              <w:snapToGrid/>
              <w:spacing w:before="0" w:beforeLines="50" w:line="288" w:lineRule="auto"/>
              <w:ind w:firstLine="72" w:firstLineChars="3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bookmarkStart w:id="27" w:name="OLE_LINK1"/>
            <w:r>
              <w:rPr>
                <w:rFonts w:hint="eastAsia" w:ascii="仿宋" w:hAnsi="仿宋" w:eastAsia="仿宋" w:cs="仿宋"/>
                <w:color w:val="auto"/>
                <w:sz w:val="24"/>
                <w:szCs w:val="24"/>
                <w:highlight w:val="none"/>
              </w:rPr>
              <w:t xml:space="preserve">代理服务费以（转账或现金形式支付）转账账户 </w:t>
            </w:r>
            <w:bookmarkEnd w:id="27"/>
            <w:r>
              <w:rPr>
                <w:rFonts w:hint="eastAsia" w:ascii="仿宋" w:hAnsi="仿宋" w:eastAsia="仿宋" w:cs="仿宋"/>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288" w:lineRule="auto"/>
              <w:ind w:firstLine="72" w:firstLineChars="3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公司名称：</w:t>
            </w:r>
            <w:r>
              <w:rPr>
                <w:rFonts w:hint="eastAsia" w:ascii="仿宋" w:hAnsi="仿宋" w:eastAsia="仿宋" w:cs="仿宋"/>
                <w:color w:val="auto"/>
                <w:sz w:val="24"/>
                <w:szCs w:val="24"/>
                <w:highlight w:val="none"/>
                <w:lang w:eastAsia="zh-CN"/>
              </w:rPr>
              <w:t>浙江华耀建设咨询有限公司嵊州分公司</w:t>
            </w:r>
          </w:p>
          <w:p>
            <w:pPr>
              <w:keepNext w:val="0"/>
              <w:keepLines w:val="0"/>
              <w:pageBreakBefore w:val="0"/>
              <w:widowControl w:val="0"/>
              <w:numPr>
                <w:ilvl w:val="0"/>
                <w:numId w:val="0"/>
              </w:numPr>
              <w:kinsoku/>
              <w:wordWrap/>
              <w:overflowPunct/>
              <w:topLinePunct w:val="0"/>
              <w:autoSpaceDE/>
              <w:autoSpaceDN/>
              <w:bidi w:val="0"/>
              <w:adjustRightInd w:val="0"/>
              <w:snapToGrid/>
              <w:spacing w:line="288" w:lineRule="auto"/>
              <w:ind w:firstLine="72" w:firstLineChars="3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开户银行：建行嵊州市新城支行</w:t>
            </w:r>
          </w:p>
          <w:p>
            <w:pPr>
              <w:keepNext w:val="0"/>
              <w:keepLines w:val="0"/>
              <w:pageBreakBefore w:val="0"/>
              <w:widowControl w:val="0"/>
              <w:numPr>
                <w:ilvl w:val="0"/>
                <w:numId w:val="0"/>
              </w:numPr>
              <w:kinsoku/>
              <w:wordWrap/>
              <w:overflowPunct/>
              <w:topLinePunct w:val="0"/>
              <w:autoSpaceDE/>
              <w:autoSpaceDN/>
              <w:bidi w:val="0"/>
              <w:adjustRightInd w:val="0"/>
              <w:snapToGrid/>
              <w:spacing w:line="288" w:lineRule="auto"/>
              <w:ind w:firstLine="72" w:firstLineChars="3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帐    号：3300 1656 5500 5300 1462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240" w:type="dxa"/>
            <w:gridSpan w:val="3"/>
            <w:vAlign w:val="center"/>
          </w:tcPr>
          <w:p>
            <w:pPr>
              <w:keepNext w:val="0"/>
              <w:keepLines w:val="0"/>
              <w:pageBreakBefore w:val="0"/>
              <w:widowControl w:val="0"/>
              <w:kinsoku/>
              <w:wordWrap/>
              <w:overflowPunct/>
              <w:topLinePunct w:val="0"/>
              <w:bidi w:val="0"/>
              <w:adjustRightIn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40" w:type="dxa"/>
            <w:gridSpan w:val="3"/>
            <w:vAlign w:val="center"/>
          </w:tcPr>
          <w:p>
            <w:pPr>
              <w:keepNext w:val="0"/>
              <w:keepLines w:val="0"/>
              <w:pageBreakBefore w:val="0"/>
              <w:widowControl w:val="0"/>
              <w:kinsoku/>
              <w:wordWrap/>
              <w:overflowPunct/>
              <w:topLinePunct w:val="0"/>
              <w:bidi w:val="0"/>
              <w:adjustRightInd/>
              <w:spacing w:line="40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注：中标人放弃中标资格或因质疑、投诉被取消中标资格或不能履行合同的，本项目重新组织采购。</w:t>
            </w:r>
          </w:p>
        </w:tc>
      </w:tr>
      <w:bookmarkEnd w:id="26"/>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2.4“监督单位”系指招标公告中载明的本项目的监督管理部门。</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2.7“电子交易平台”系指本项目采购活动所依托的乐采云平台（https://www.lecaiyun.com/）。</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val="0"/>
        <w:spacing w:before="156" w:beforeLines="50" w:after="156" w:afterLines="50" w:line="500" w:lineRule="exact"/>
        <w:jc w:val="center"/>
        <w:textAlignment w:val="auto"/>
        <w:rPr>
          <w:rFonts w:hint="eastAsia" w:ascii="仿宋" w:hAnsi="仿宋" w:eastAsia="仿宋" w:cs="仿宋"/>
          <w:color w:val="auto"/>
          <w:sz w:val="36"/>
          <w:szCs w:val="36"/>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1．招标方式</w:t>
      </w:r>
    </w:p>
    <w:p>
      <w:pPr>
        <w:snapToGrid w:val="0"/>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 本次招标采用</w:t>
      </w:r>
      <w:r>
        <w:rPr>
          <w:rFonts w:hint="eastAsia" w:ascii="仿宋" w:hAnsi="仿宋" w:eastAsia="仿宋" w:cs="仿宋"/>
          <w:b/>
          <w:color w:val="auto"/>
          <w:kern w:val="0"/>
          <w:sz w:val="24"/>
          <w:szCs w:val="24"/>
          <w:highlight w:val="none"/>
        </w:rPr>
        <w:t>公开招标</w:t>
      </w:r>
      <w:r>
        <w:rPr>
          <w:rFonts w:hint="eastAsia" w:ascii="仿宋" w:hAnsi="仿宋" w:eastAsia="仿宋" w:cs="仿宋"/>
          <w:color w:val="auto"/>
          <w:sz w:val="24"/>
          <w:szCs w:val="24"/>
          <w:highlight w:val="none"/>
        </w:rPr>
        <w:t>方式进行。</w:t>
      </w:r>
    </w:p>
    <w:p>
      <w:pPr>
        <w:snapToGrid w:val="0"/>
        <w:spacing w:line="440" w:lineRule="exact"/>
        <w:ind w:firstLine="480" w:firstLineChars="20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1.2 如某一标项投标人或实质性响应招标文件的投标人不足三家时，由采购人重新组织招标或按有关规定实施。</w:t>
      </w:r>
    </w:p>
    <w:p>
      <w:pPr>
        <w:snapToGrid w:val="0"/>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 本次招标设定限价，即招标公告中公布的各标项预算金额或最高限价（各标项之间的预算金额不能互相调整）。</w:t>
      </w:r>
    </w:p>
    <w:p>
      <w:pPr>
        <w:pStyle w:val="13"/>
        <w:snapToGrid w:val="0"/>
        <w:spacing w:after="0" w:line="440" w:lineRule="exact"/>
        <w:ind w:left="0" w:leftChars="0" w:firstLine="0" w:firstLineChars="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2.授权委托</w:t>
      </w:r>
    </w:p>
    <w:p>
      <w:pPr>
        <w:pStyle w:val="8"/>
        <w:numPr>
          <w:ilvl w:val="0"/>
          <w:numId w:val="0"/>
        </w:numPr>
        <w:spacing w:afterLines="0"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 投标费用</w:t>
      </w:r>
    </w:p>
    <w:p>
      <w:pPr>
        <w:pStyle w:val="8"/>
        <w:numPr>
          <w:ilvl w:val="0"/>
          <w:numId w:val="0"/>
        </w:numPr>
        <w:spacing w:afterLines="0"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投标人应自行承担编制投标文件及参加本次投标所涉及的一切费用。不管投标结果如何，招标人对上述费用不负任何责任。</w:t>
      </w:r>
    </w:p>
    <w:p>
      <w:pPr>
        <w:numPr>
          <w:ilvl w:val="0"/>
          <w:numId w:val="5"/>
        </w:numPr>
        <w:snapToGrid w:val="0"/>
        <w:spacing w:line="44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b/>
          <w:color w:val="auto"/>
          <w:sz w:val="24"/>
          <w:szCs w:val="24"/>
          <w:highlight w:val="none"/>
        </w:rPr>
        <w:t>招标文件的修改</w:t>
      </w:r>
    </w:p>
    <w:p>
      <w:pPr>
        <w:numPr>
          <w:ilvl w:val="0"/>
          <w:numId w:val="0"/>
        </w:numPr>
        <w:snapToGrid w:val="0"/>
        <w:spacing w:line="440" w:lineRule="exact"/>
        <w:ind w:firstLine="482"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4.1</w:t>
      </w:r>
      <w:r>
        <w:rPr>
          <w:rFonts w:hint="eastAsia" w:ascii="仿宋" w:hAnsi="仿宋" w:eastAsia="仿宋" w:cs="仿宋"/>
          <w:color w:val="auto"/>
          <w:sz w:val="24"/>
          <w:szCs w:val="24"/>
          <w:highlight w:val="none"/>
          <w:lang w:val="en-US" w:eastAsia="zh-CN"/>
        </w:rPr>
        <w:t>招标文件包括本招标文件及所有的招标答疑记录（澄清、修改）和发出的补充通知。</w:t>
      </w:r>
    </w:p>
    <w:p>
      <w:pPr>
        <w:numPr>
          <w:ilvl w:val="0"/>
          <w:numId w:val="0"/>
        </w:numPr>
        <w:snapToGrid w:val="0"/>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4.2招标文件的澄清  </w:t>
      </w:r>
    </w:p>
    <w:p>
      <w:pPr>
        <w:numPr>
          <w:ilvl w:val="0"/>
          <w:numId w:val="0"/>
        </w:numPr>
        <w:snapToGrid w:val="0"/>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对招标文件如有疑点要求澄清，可用书面形式（包括并不仅限于纸质、信件和数据电文(包括电报、电传、传真、电子数据交换和电子邮件）等通知招标人，但通知不得迟于开标前7日使招标人收到，招标人将予以答复。如有必要，可将不说明来源的答复发给所有投标人。</w:t>
      </w:r>
    </w:p>
    <w:p>
      <w:pPr>
        <w:pStyle w:val="8"/>
        <w:keepNext w:val="0"/>
        <w:keepLines w:val="0"/>
        <w:pageBreakBefore w:val="0"/>
        <w:widowControl w:val="0"/>
        <w:numPr>
          <w:ilvl w:val="0"/>
          <w:numId w:val="0"/>
        </w:numPr>
        <w:kinsoku/>
        <w:wordWrap/>
        <w:overflowPunct/>
        <w:topLinePunct w:val="0"/>
        <w:autoSpaceDE/>
        <w:autoSpaceDN/>
        <w:bidi w:val="0"/>
        <w:adjustRightInd/>
        <w:spacing w:line="480" w:lineRule="exact"/>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4.3招标文件的修改</w:t>
      </w:r>
    </w:p>
    <w:p>
      <w:pPr>
        <w:pStyle w:val="8"/>
        <w:keepNext w:val="0"/>
        <w:keepLines w:val="0"/>
        <w:pageBreakBefore w:val="0"/>
        <w:widowControl w:val="0"/>
        <w:numPr>
          <w:ilvl w:val="0"/>
          <w:numId w:val="0"/>
        </w:numPr>
        <w:kinsoku/>
        <w:wordWrap/>
        <w:overflowPunct/>
        <w:topLinePunct w:val="0"/>
        <w:autoSpaceDE/>
        <w:autoSpaceDN/>
        <w:bidi w:val="0"/>
        <w:adjustRightInd/>
        <w:spacing w:line="48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4.3.1在投标截止时间前，招标人有权修改招标文件，</w:t>
      </w:r>
      <w:r>
        <w:rPr>
          <w:rFonts w:hint="eastAsia" w:ascii="仿宋" w:hAnsi="仿宋" w:eastAsia="仿宋" w:cs="仿宋"/>
          <w:color w:val="auto"/>
          <w:kern w:val="2"/>
          <w:sz w:val="24"/>
          <w:szCs w:val="24"/>
          <w:highlight w:val="none"/>
          <w:lang w:val="en-US" w:eastAsia="zh-CN" w:bidi="ar-SA"/>
        </w:rPr>
        <w:t>将会在发布招标公告的网站上发布更正公告。澄清或者修改的内容可能影响投标文件编制的，更正公告在提交投标截止时间至少15日前发出；不足15日的，采购人应当顺延提交投标文件的截止时间。</w:t>
      </w:r>
    </w:p>
    <w:p>
      <w:pPr>
        <w:pStyle w:val="8"/>
        <w:keepNext w:val="0"/>
        <w:keepLines w:val="0"/>
        <w:pageBreakBefore w:val="0"/>
        <w:widowControl w:val="0"/>
        <w:numPr>
          <w:ilvl w:val="0"/>
          <w:numId w:val="0"/>
        </w:numPr>
        <w:kinsoku/>
        <w:wordWrap/>
        <w:overflowPunct/>
        <w:topLinePunct w:val="0"/>
        <w:autoSpaceDE/>
        <w:autoSpaceDN/>
        <w:bidi w:val="0"/>
        <w:adjustRightInd/>
        <w:spacing w:line="480" w:lineRule="exact"/>
        <w:ind w:leftChars="-200" w:firstLine="960" w:firstLineChars="4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4.3.2</w:t>
      </w:r>
      <w:r>
        <w:rPr>
          <w:rFonts w:hint="eastAsia" w:ascii="仿宋" w:hAnsi="仿宋" w:eastAsia="仿宋" w:cs="仿宋"/>
          <w:color w:val="auto"/>
          <w:kern w:val="2"/>
          <w:sz w:val="24"/>
          <w:szCs w:val="24"/>
          <w:highlight w:val="none"/>
          <w:lang w:val="en-US" w:eastAsia="zh-CN" w:bidi="ar-SA"/>
        </w:rPr>
        <w:t>更正公告为招标文件的组成部分，一经在网站发布，视同已通知所有招标文件的收受人，不再采用其它方式传达相关信息, 若因未能及时了解到上述网站上发布的相关信息而导致的一切后果自行承担。</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6"/>
        </w:numPr>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投标文件的语言、计量单位、形式及效力</w:t>
      </w:r>
    </w:p>
    <w:p>
      <w:pPr>
        <w:snapToGrid w:val="0"/>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1.5投标文件的形式和效力</w:t>
      </w:r>
    </w:p>
    <w:p>
      <w:pPr>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1.5.1投标文件为电子投标文件，电子投标文件按“</w:t>
      </w:r>
      <w:r>
        <w:rPr>
          <w:rFonts w:hint="eastAsia" w:ascii="仿宋" w:hAnsi="仿宋" w:eastAsia="仿宋" w:cs="仿宋"/>
          <w:b/>
          <w:color w:val="auto"/>
          <w:sz w:val="24"/>
          <w:szCs w:val="24"/>
          <w:highlight w:val="none"/>
          <w:lang w:val="en-US" w:eastAsia="zh-CN"/>
        </w:rPr>
        <w:t>乐</w:t>
      </w:r>
      <w:r>
        <w:rPr>
          <w:rFonts w:hint="eastAsia" w:ascii="仿宋" w:hAnsi="仿宋" w:eastAsia="仿宋" w:cs="仿宋"/>
          <w:b/>
          <w:color w:val="auto"/>
          <w:sz w:val="24"/>
          <w:szCs w:val="24"/>
          <w:highlight w:val="none"/>
        </w:rPr>
        <w:t>采云供应商项目采购-电子招投标操作指南”及本招标文件要求制作、加密传输。</w:t>
      </w:r>
    </w:p>
    <w:p>
      <w:pPr>
        <w:snapToGrid w:val="0"/>
        <w:spacing w:line="440" w:lineRule="exact"/>
        <w:ind w:firstLine="482" w:firstLineChars="200"/>
        <w:jc w:val="left"/>
        <w:rPr>
          <w:rFonts w:hint="eastAsia" w:ascii="仿宋" w:hAnsi="仿宋" w:eastAsia="仿宋" w:cs="仿宋"/>
          <w:b/>
          <w:color w:val="auto"/>
          <w:sz w:val="24"/>
          <w:szCs w:val="24"/>
          <w:highlight w:val="none"/>
          <w:u w:val="single"/>
        </w:rPr>
      </w:pPr>
      <w:r>
        <w:rPr>
          <w:rFonts w:hint="eastAsia" w:ascii="仿宋" w:hAnsi="仿宋" w:eastAsia="仿宋" w:cs="仿宋"/>
          <w:b/>
          <w:color w:val="auto"/>
          <w:sz w:val="24"/>
          <w:szCs w:val="24"/>
          <w:highlight w:val="none"/>
          <w:u w:val="single"/>
        </w:rPr>
        <w:t>1.5.2投标文件的效力：</w:t>
      </w:r>
    </w:p>
    <w:p>
      <w:pPr>
        <w:snapToGrid w:val="0"/>
        <w:spacing w:line="440" w:lineRule="exact"/>
        <w:ind w:firstLine="472" w:firstLineChars="196"/>
        <w:jc w:val="left"/>
        <w:rPr>
          <w:rFonts w:hint="eastAsia" w:ascii="仿宋" w:hAnsi="仿宋" w:eastAsia="仿宋" w:cs="仿宋"/>
          <w:b/>
          <w:color w:val="auto"/>
          <w:sz w:val="24"/>
          <w:szCs w:val="24"/>
          <w:highlight w:val="none"/>
          <w:u w:val="single"/>
        </w:rPr>
      </w:pPr>
      <w:r>
        <w:rPr>
          <w:rFonts w:hint="eastAsia" w:ascii="仿宋" w:hAnsi="仿宋" w:eastAsia="仿宋" w:cs="仿宋"/>
          <w:b/>
          <w:color w:val="auto"/>
          <w:sz w:val="24"/>
          <w:szCs w:val="24"/>
          <w:highlight w:val="none"/>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pPr>
        <w:keepNext w:val="0"/>
        <w:keepLines w:val="0"/>
        <w:pageBreakBefore w:val="0"/>
        <w:widowControl w:val="0"/>
        <w:kinsoku/>
        <w:wordWrap/>
        <w:overflowPunct/>
        <w:topLinePunct w:val="0"/>
        <w:autoSpaceDE/>
        <w:autoSpaceDN/>
        <w:bidi w:val="0"/>
        <w:spacing w:line="480" w:lineRule="exact"/>
        <w:ind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投标文件由</w:t>
      </w:r>
      <w:r>
        <w:rPr>
          <w:rFonts w:hint="eastAsia" w:ascii="仿宋" w:hAnsi="仿宋" w:eastAsia="仿宋" w:cs="仿宋"/>
          <w:b/>
          <w:bCs/>
          <w:color w:val="auto"/>
          <w:sz w:val="24"/>
          <w:szCs w:val="24"/>
          <w:highlight w:val="none"/>
          <w:lang w:eastAsia="zh-CN"/>
        </w:rPr>
        <w:t>“资格文件”、</w:t>
      </w:r>
      <w:r>
        <w:rPr>
          <w:rFonts w:hint="eastAsia" w:ascii="仿宋" w:hAnsi="仿宋" w:eastAsia="仿宋" w:cs="仿宋"/>
          <w:b/>
          <w:bCs/>
          <w:color w:val="auto"/>
          <w:sz w:val="24"/>
          <w:szCs w:val="24"/>
          <w:highlight w:val="none"/>
        </w:rPr>
        <w:t>“商务技术文件资料”、“报价文件资料”</w:t>
      </w:r>
      <w:r>
        <w:rPr>
          <w:rFonts w:hint="eastAsia" w:ascii="仿宋" w:hAnsi="仿宋" w:eastAsia="仿宋" w:cs="仿宋"/>
          <w:b/>
          <w:bCs/>
          <w:color w:val="auto"/>
          <w:sz w:val="24"/>
          <w:szCs w:val="24"/>
          <w:highlight w:val="none"/>
          <w:lang w:eastAsia="zh-CN"/>
        </w:rPr>
        <w:t>三</w:t>
      </w:r>
      <w:r>
        <w:rPr>
          <w:rFonts w:hint="eastAsia" w:ascii="仿宋" w:hAnsi="仿宋" w:eastAsia="仿宋" w:cs="仿宋"/>
          <w:b/>
          <w:bCs/>
          <w:color w:val="auto"/>
          <w:sz w:val="24"/>
          <w:szCs w:val="24"/>
          <w:highlight w:val="none"/>
        </w:rPr>
        <w:t>部分组成，其中电子投标文件中所须加盖公章部分均应采用电子签章。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2.1.1</w:t>
      </w:r>
      <w:r>
        <w:rPr>
          <w:rFonts w:hint="eastAsia" w:ascii="仿宋" w:hAnsi="仿宋" w:eastAsia="仿宋" w:cs="仿宋"/>
          <w:color w:val="auto"/>
          <w:kern w:val="0"/>
          <w:sz w:val="24"/>
          <w:szCs w:val="24"/>
          <w:highlight w:val="none"/>
          <w:lang w:eastAsia="zh-CN"/>
        </w:rPr>
        <w:t>营业执照扫描件</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2.1.2</w:t>
      </w:r>
      <w:r>
        <w:rPr>
          <w:rFonts w:hint="eastAsia" w:ascii="仿宋" w:hAnsi="仿宋" w:eastAsia="仿宋" w:cs="仿宋"/>
          <w:color w:val="auto"/>
          <w:kern w:val="0"/>
          <w:sz w:val="24"/>
          <w:szCs w:val="24"/>
          <w:highlight w:val="none"/>
          <w:lang w:val="zh-CN"/>
        </w:rPr>
        <w:t>符合参加采购活动应当具备的一般条件的承诺函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kern w:val="0"/>
          <w:sz w:val="24"/>
          <w:szCs w:val="24"/>
          <w:highlight w:val="none"/>
          <w:lang w:val="en-US" w:eastAsia="zh-CN"/>
        </w:rPr>
        <w:t>2.1.3</w:t>
      </w:r>
      <w:r>
        <w:rPr>
          <w:rFonts w:hint="eastAsia" w:ascii="仿宋" w:hAnsi="仿宋" w:eastAsia="仿宋" w:cs="仿宋"/>
          <w:color w:val="auto"/>
          <w:sz w:val="24"/>
          <w:szCs w:val="24"/>
          <w:highlight w:val="none"/>
        </w:rPr>
        <w:t>特定资格要求需提供的证明材料</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若有）</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2.</w:t>
      </w:r>
      <w:r>
        <w:rPr>
          <w:rFonts w:hint="eastAsia" w:ascii="仿宋" w:hAnsi="仿宋" w:eastAsia="仿宋" w:cs="仿宋"/>
          <w:b/>
          <w:color w:val="auto"/>
          <w:sz w:val="24"/>
          <w:szCs w:val="24"/>
          <w:highlight w:val="none"/>
        </w:rPr>
        <w:t>2商务技术</w:t>
      </w:r>
      <w:r>
        <w:rPr>
          <w:rFonts w:hint="eastAsia" w:ascii="仿宋" w:hAnsi="仿宋" w:eastAsia="仿宋" w:cs="仿宋"/>
          <w:b/>
          <w:color w:val="auto"/>
          <w:sz w:val="24"/>
          <w:szCs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line="460" w:lineRule="exact"/>
        <w:ind w:firstLine="720" w:firstLineChars="3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w:t>
      </w: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函；</w:t>
      </w:r>
    </w:p>
    <w:p>
      <w:pPr>
        <w:keepNext w:val="0"/>
        <w:keepLines w:val="0"/>
        <w:pageBreakBefore w:val="0"/>
        <w:widowControl w:val="0"/>
        <w:kinsoku/>
        <w:wordWrap/>
        <w:overflowPunct/>
        <w:topLinePunct w:val="0"/>
        <w:bidi w:val="0"/>
        <w:adjustRightInd w:val="0"/>
        <w:snapToGrid w:val="0"/>
        <w:spacing w:line="460" w:lineRule="exact"/>
        <w:ind w:firstLine="720" w:firstLineChars="3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法定代表人身份证明书；</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2.2.3</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法定代表人授权委托书</w:t>
      </w:r>
      <w:r>
        <w:rPr>
          <w:rFonts w:hint="eastAsia" w:ascii="仿宋" w:hAnsi="仿宋" w:eastAsia="仿宋" w:cs="仿宋"/>
          <w:color w:val="auto"/>
          <w:sz w:val="24"/>
          <w:szCs w:val="24"/>
          <w:highlight w:val="none"/>
          <w:lang w:val="en-US" w:eastAsia="zh-CN"/>
        </w:rPr>
        <w:t>及</w:t>
      </w:r>
      <w:r>
        <w:rPr>
          <w:rFonts w:hint="eastAsia" w:ascii="仿宋" w:hAnsi="仿宋" w:eastAsia="仿宋" w:cs="仿宋"/>
          <w:color w:val="auto"/>
          <w:sz w:val="24"/>
          <w:szCs w:val="24"/>
          <w:highlight w:val="none"/>
          <w:lang w:eastAsia="zh-CN"/>
        </w:rPr>
        <w:t>授权代表社保证明（</w:t>
      </w:r>
      <w:r>
        <w:rPr>
          <w:rFonts w:hint="eastAsia" w:ascii="仿宋" w:hAnsi="仿宋" w:eastAsia="仿宋" w:cs="仿宋"/>
          <w:color w:val="auto"/>
          <w:sz w:val="24"/>
          <w:szCs w:val="24"/>
          <w:highlight w:val="none"/>
          <w:lang w:val="en-US" w:eastAsia="zh-CN"/>
        </w:rPr>
        <w:t>若委托</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2.2.4</w:t>
      </w:r>
      <w:r>
        <w:rPr>
          <w:rFonts w:hint="eastAsia" w:ascii="仿宋" w:hAnsi="仿宋" w:eastAsia="仿宋" w:cs="仿宋"/>
          <w:color w:val="auto"/>
          <w:sz w:val="24"/>
          <w:szCs w:val="24"/>
          <w:highlight w:val="none"/>
          <w:lang w:val="en-US" w:eastAsia="zh-CN"/>
        </w:rPr>
        <w:t xml:space="preserve"> 评分索引表；</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2.2.5 商务响应表；</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2.2.6 供应商廉洁自律承诺书；</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2.2.7 同类业绩证明；</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2.2.8 </w:t>
      </w:r>
      <w:r>
        <w:rPr>
          <w:rFonts w:hint="eastAsia" w:ascii="仿宋" w:hAnsi="仿宋" w:eastAsia="仿宋" w:cs="仿宋"/>
          <w:color w:val="auto"/>
          <w:kern w:val="2"/>
          <w:sz w:val="24"/>
          <w:szCs w:val="24"/>
          <w:highlight w:val="none"/>
          <w:lang w:val="en-US" w:eastAsia="zh-CN" w:bidi="ar"/>
        </w:rPr>
        <w:t>服务渠道</w:t>
      </w:r>
      <w:r>
        <w:rPr>
          <w:rFonts w:hint="eastAsia" w:ascii="仿宋" w:hAnsi="仿宋" w:eastAsia="仿宋" w:cs="仿宋"/>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2.2.9</w:t>
      </w:r>
      <w:r>
        <w:rPr>
          <w:rFonts w:hint="eastAsia" w:ascii="仿宋" w:hAnsi="仿宋" w:eastAsia="仿宋" w:cs="仿宋"/>
          <w:color w:val="auto"/>
          <w:kern w:val="2"/>
          <w:sz w:val="24"/>
          <w:szCs w:val="24"/>
          <w:highlight w:val="none"/>
          <w:lang w:val="en-US" w:eastAsia="zh-CN" w:bidi="ar"/>
        </w:rPr>
        <w:t>承保服务方案；</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2.2.10</w:t>
      </w:r>
      <w:r>
        <w:rPr>
          <w:rFonts w:hint="eastAsia" w:ascii="仿宋" w:hAnsi="仿宋" w:eastAsia="仿宋" w:cs="仿宋"/>
          <w:color w:val="auto"/>
          <w:kern w:val="2"/>
          <w:sz w:val="24"/>
          <w:szCs w:val="24"/>
          <w:highlight w:val="none"/>
          <w:lang w:val="en-US" w:eastAsia="zh-CN" w:bidi="ar"/>
        </w:rPr>
        <w:t>偿付能力充足率</w:t>
      </w:r>
      <w:r>
        <w:rPr>
          <w:rFonts w:hint="eastAsia" w:ascii="仿宋" w:hAnsi="仿宋" w:eastAsia="仿宋" w:cs="仿宋"/>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2.2.11 </w:t>
      </w:r>
      <w:r>
        <w:rPr>
          <w:rFonts w:hint="eastAsia" w:ascii="仿宋" w:hAnsi="仿宋" w:eastAsia="仿宋" w:cs="仿宋"/>
          <w:color w:val="auto"/>
          <w:kern w:val="2"/>
          <w:sz w:val="24"/>
          <w:szCs w:val="24"/>
          <w:highlight w:val="none"/>
          <w:lang w:val="en-US" w:eastAsia="zh-CN" w:bidi="ar"/>
        </w:rPr>
        <w:t>理赔服务方案</w:t>
      </w:r>
      <w:r>
        <w:rPr>
          <w:rFonts w:hint="eastAsia" w:ascii="仿宋" w:hAnsi="仿宋" w:eastAsia="仿宋" w:cs="仿宋"/>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szCs w:val="24"/>
          <w:highlight w:val="none"/>
          <w:lang w:val="en-US" w:eastAsia="zh-CN"/>
        </w:rPr>
        <w:t xml:space="preserve">2.2.12 </w:t>
      </w:r>
      <w:r>
        <w:rPr>
          <w:rFonts w:hint="eastAsia" w:ascii="仿宋" w:hAnsi="仿宋" w:eastAsia="仿宋" w:cs="仿宋"/>
          <w:color w:val="auto"/>
          <w:kern w:val="2"/>
          <w:sz w:val="24"/>
          <w:szCs w:val="24"/>
          <w:highlight w:val="none"/>
          <w:lang w:val="en-US" w:eastAsia="zh-CN" w:bidi="ar"/>
        </w:rPr>
        <w:t>服务团队</w:t>
      </w:r>
    </w:p>
    <w:p>
      <w:pPr>
        <w:pStyle w:val="40"/>
        <w:keepNext w:val="0"/>
        <w:keepLines w:val="0"/>
        <w:pageBreakBefore w:val="0"/>
        <w:widowControl w:val="0"/>
        <w:kinsoku/>
        <w:wordWrap/>
        <w:overflowPunct/>
        <w:topLinePunct w:val="0"/>
        <w:bidi w:val="0"/>
        <w:adjustRightInd w:val="0"/>
        <w:spacing w:beforeLines="0" w:afterLines="0" w:line="460" w:lineRule="exact"/>
        <w:ind w:firstLine="720" w:firstLineChars="300"/>
        <w:textAlignment w:val="auto"/>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2.2.13 服务承诺</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
        </w:rPr>
        <w:t xml:space="preserve">2.2.14 </w:t>
      </w:r>
      <w:r>
        <w:rPr>
          <w:rFonts w:hint="eastAsia" w:ascii="仿宋" w:hAnsi="仿宋" w:eastAsia="仿宋" w:cs="仿宋"/>
          <w:color w:val="auto"/>
          <w:sz w:val="24"/>
          <w:szCs w:val="24"/>
          <w:highlight w:val="none"/>
          <w:lang w:val="en-US" w:eastAsia="zh-CN"/>
        </w:rPr>
        <w:t>投标人认为需要说明的其他文件和说明（若有）。</w:t>
      </w:r>
    </w:p>
    <w:p>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textAlignment w:val="auto"/>
        <w:rPr>
          <w:rFonts w:hint="eastAsia" w:ascii="仿宋" w:hAnsi="仿宋" w:eastAsia="仿宋" w:cs="仿宋"/>
          <w:b/>
          <w:color w:val="auto"/>
          <w:sz w:val="24"/>
          <w:szCs w:val="24"/>
          <w:highlight w:val="none"/>
          <w:lang w:val="zh-CN"/>
        </w:rPr>
      </w:pPr>
      <w:r>
        <w:rPr>
          <w:rFonts w:hint="eastAsia" w:ascii="仿宋" w:hAnsi="仿宋" w:eastAsia="仿宋" w:cs="仿宋"/>
          <w:b/>
          <w:bCs/>
          <w:i w:val="0"/>
          <w:iCs w:val="0"/>
          <w:color w:val="auto"/>
          <w:kern w:val="2"/>
          <w:sz w:val="24"/>
          <w:szCs w:val="24"/>
          <w:highlight w:val="none"/>
          <w:vertAlign w:val="baseline"/>
          <w:lang w:val="zh-CN" w:eastAsia="zh-CN" w:bidi="ar-SA"/>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60" w:lineRule="exact"/>
        <w:ind w:left="0" w:leftChars="0" w:firstLine="720" w:firstLineChars="3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2.3.1开标一览表（报价表）；</w:t>
      </w:r>
    </w:p>
    <w:p>
      <w:pPr>
        <w:pStyle w:val="40"/>
        <w:ind w:firstLine="720" w:firstLineChars="3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2.3.2 </w:t>
      </w:r>
      <w:r>
        <w:rPr>
          <w:rFonts w:hint="eastAsia" w:ascii="仿宋" w:hAnsi="仿宋" w:eastAsia="仿宋" w:cs="仿宋"/>
          <w:color w:val="auto"/>
          <w:highlight w:val="none"/>
        </w:rPr>
        <w:t>投标人针对报价需要说明的其他文件和说明</w:t>
      </w:r>
      <w:r>
        <w:rPr>
          <w:rFonts w:hint="eastAsia" w:ascii="仿宋" w:hAnsi="仿宋" w:eastAsia="仿宋" w:cs="仿宋"/>
          <w:color w:val="auto"/>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line="460" w:lineRule="exact"/>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3. 投标报价</w:t>
      </w:r>
    </w:p>
    <w:p>
      <w:pPr>
        <w:pStyle w:val="15"/>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3.1投标人应按招标文件中《开标一览表》等附表要求填写。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3.2报价包括本次项目实施的物资、设备、劳务、管理、材料、交通费、保险、利润、税金、政策性收费以及实施本项目所需的其他一切费用，投标人应列入而未列入其中的费用及招标代理服务费均包含在总价之中，均视为已包含在内，风险由投标人承担。</w:t>
      </w:r>
    </w:p>
    <w:p>
      <w:pPr>
        <w:pStyle w:val="15"/>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3.3招标文件未列明，而投标人认为必需的费用也需列入报价。</w:t>
      </w:r>
    </w:p>
    <w:p>
      <w:pPr>
        <w:tabs>
          <w:tab w:val="left" w:pos="525"/>
        </w:tabs>
        <w:spacing w:line="440" w:lineRule="exact"/>
        <w:ind w:firstLine="482" w:firstLineChars="200"/>
        <w:jc w:val="left"/>
        <w:rPr>
          <w:rFonts w:hint="eastAsia" w:ascii="仿宋" w:hAnsi="仿宋" w:eastAsia="仿宋" w:cs="仿宋"/>
          <w:color w:val="auto"/>
          <w:sz w:val="24"/>
          <w:szCs w:val="24"/>
          <w:highlight w:val="none"/>
        </w:rPr>
      </w:pPr>
      <w:r>
        <w:rPr>
          <w:rFonts w:hint="eastAsia" w:ascii="仿宋" w:hAnsi="仿宋" w:eastAsia="仿宋" w:cs="仿宋"/>
          <w:b/>
          <w:bCs/>
          <w:color w:val="auto"/>
          <w:kern w:val="2"/>
          <w:sz w:val="24"/>
          <w:szCs w:val="24"/>
          <w:highlight w:val="none"/>
          <w:lang w:val="en-US" w:eastAsia="zh-CN" w:bidi="ar-SA"/>
        </w:rPr>
        <w:t>3.4投标报价只允许有一个报价，有选择的报价将不予接受（除指定外）。</w:t>
      </w:r>
    </w:p>
    <w:p>
      <w:pPr>
        <w:pStyle w:val="28"/>
        <w:autoSpaceDE/>
        <w:autoSpaceDN/>
        <w:snapToGrid w:val="0"/>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4.</w:t>
      </w:r>
      <w:r>
        <w:rPr>
          <w:rFonts w:hint="eastAsia" w:ascii="仿宋" w:hAnsi="仿宋" w:eastAsia="仿宋" w:cs="仿宋"/>
          <w:b/>
          <w:color w:val="auto"/>
          <w:sz w:val="24"/>
          <w:szCs w:val="24"/>
          <w:highlight w:val="none"/>
        </w:rPr>
        <w:t>投标文件的编制和签署</w:t>
      </w:r>
    </w:p>
    <w:p>
      <w:pPr>
        <w:snapToGrid w:val="0"/>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zh-CN"/>
        </w:rPr>
        <w:t>.2投标人进行电子投标应安装客户端软件—“乐采云电子交易客户端”，并按照招标文件和电子交易平台的要求编制并加密投标文件。投标人未按规定加密的投标文件，电子交易平台将拒收并提示。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zh-CN"/>
        </w:rPr>
        <w:t>.3使用“乐采云电子交易客户端”需要提前申领CA数字证书，申领流程请自行前往“</w:t>
      </w:r>
      <w:r>
        <w:rPr>
          <w:rFonts w:hint="eastAsia" w:ascii="仿宋" w:hAnsi="仿宋" w:eastAsia="仿宋" w:cs="仿宋"/>
          <w:color w:val="auto"/>
          <w:kern w:val="2"/>
          <w:sz w:val="24"/>
          <w:szCs w:val="24"/>
          <w:highlight w:val="none"/>
          <w:lang w:val="en-US" w:eastAsia="zh-CN" w:bidi="ar-SA"/>
        </w:rPr>
        <w:t>浙江企业采购信息服务网</w:t>
      </w:r>
      <w:r>
        <w:rPr>
          <w:rFonts w:hint="eastAsia" w:ascii="仿宋" w:hAnsi="仿宋" w:eastAsia="仿宋" w:cs="仿宋"/>
          <w:color w:val="auto"/>
          <w:sz w:val="24"/>
          <w:szCs w:val="24"/>
          <w:highlight w:val="none"/>
          <w:lang w:val="zh-CN"/>
        </w:rPr>
        <w:t>-下载专区-电子交易客户端-CA驱动和申领流程”进行查阅。</w:t>
      </w:r>
    </w:p>
    <w:p>
      <w:pPr>
        <w:snapToGrid w:val="0"/>
        <w:spacing w:line="440" w:lineRule="exact"/>
        <w:ind w:firstLine="480"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4.4</w:t>
      </w:r>
      <w:r>
        <w:rPr>
          <w:rFonts w:hint="eastAsia" w:ascii="仿宋" w:hAnsi="仿宋" w:eastAsia="仿宋" w:cs="仿宋"/>
          <w:color w:val="auto"/>
          <w:sz w:val="24"/>
          <w:szCs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4.5</w:t>
      </w:r>
      <w:r>
        <w:rPr>
          <w:rFonts w:hint="eastAsia" w:ascii="仿宋" w:hAnsi="仿宋" w:eastAsia="仿宋" w:cs="仿宋"/>
          <w:color w:val="auto"/>
          <w:sz w:val="24"/>
          <w:szCs w:val="24"/>
          <w:highlight w:val="none"/>
          <w:lang w:val="zh-CN"/>
        </w:rPr>
        <w:t>为确保网上操作合法、有效和安全，投标人应当在投标截止时间前完成在“乐采云平台”的身份认证，确保在电子投标过程中能够对相关数据电文进行加密和使用电子签名。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4.6</w:t>
      </w:r>
      <w:r>
        <w:rPr>
          <w:rFonts w:hint="eastAsia" w:ascii="仿宋" w:hAnsi="仿宋" w:eastAsia="仿宋" w:cs="仿宋"/>
          <w:color w:val="auto"/>
          <w:sz w:val="24"/>
          <w:szCs w:val="24"/>
          <w:highlight w:val="none"/>
          <w:lang w:val="zh-CN"/>
        </w:rPr>
        <w:t>招标文件对投标文件签署、盖章的要求适用于电子签名。</w:t>
      </w:r>
    </w:p>
    <w:p>
      <w:pPr>
        <w:pStyle w:val="108"/>
        <w:spacing w:before="0" w:line="44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 投标文件的提交、补充、修改、撤回</w:t>
      </w:r>
    </w:p>
    <w:p>
      <w:pPr>
        <w:snapToGrid w:val="0"/>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6.投标有效期</w:t>
      </w:r>
    </w:p>
    <w:p>
      <w:pPr>
        <w:snapToGrid w:val="0"/>
        <w:spacing w:line="440" w:lineRule="exact"/>
        <w:ind w:firstLine="480" w:firstLineChars="20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6.2投标文件合格投递后，自投标截止日期起，在投标有效期内有效。</w:t>
      </w:r>
    </w:p>
    <w:p>
      <w:pPr>
        <w:pStyle w:val="108"/>
        <w:spacing w:before="0" w:line="440" w:lineRule="exact"/>
        <w:ind w:firstLine="48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spacing w:line="640" w:lineRule="exact"/>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四、开标和评标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1.2投标人登录乐采云平台，用“项目采购-开标评标”功能对电子投标文件进行在线解密。在线解密电子投标文件时间为开标时间起30分钟内。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特别说明：乐采云公司如对电子化开标及评审程序有调整的，按调整后的程序操作。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w:t>
      </w:r>
      <w:r>
        <w:rPr>
          <w:rFonts w:hint="eastAsia" w:ascii="仿宋" w:hAnsi="仿宋" w:eastAsia="仿宋" w:cs="仿宋"/>
          <w:color w:val="auto"/>
          <w:sz w:val="24"/>
          <w:highlight w:val="none"/>
          <w:u w:val="single"/>
        </w:rPr>
        <w:t>五</w:t>
      </w:r>
      <w:r>
        <w:rPr>
          <w:rFonts w:hint="eastAsia" w:ascii="仿宋" w:hAnsi="仿宋" w:eastAsia="仿宋" w:cs="仿宋"/>
          <w:color w:val="auto"/>
          <w:sz w:val="24"/>
          <w:highlight w:val="none"/>
        </w:rPr>
        <w:t>人以上单数。</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供应商通过乐采云平台交换的数据电文必须进行电子签章。</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8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4．投标文件的初审鉴定</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 xml:space="preserve">5. </w:t>
      </w:r>
      <w:r>
        <w:rPr>
          <w:rFonts w:hint="eastAsia" w:ascii="仿宋" w:hAnsi="仿宋" w:eastAsia="仿宋" w:cs="仿宋"/>
          <w:b/>
          <w:color w:val="auto"/>
          <w:sz w:val="24"/>
          <w:szCs w:val="24"/>
          <w:highlight w:val="none"/>
        </w:rPr>
        <w:t>投标文件报价出现前后不一致的，按照下列规定修正：</w:t>
      </w:r>
    </w:p>
    <w:p>
      <w:pPr>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5.2大写金额和小写金额不一致的，以大写金额为准；</w:t>
      </w:r>
    </w:p>
    <w:p>
      <w:pPr>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5.3单价金额小数点或者百分比有明显错位的，以开标一览表的总价为准，并修改单价；</w:t>
      </w:r>
    </w:p>
    <w:p>
      <w:pPr>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5.4总价金额与按单价汇总金额不一致的，以单价金额计算结果为准。</w:t>
      </w:r>
    </w:p>
    <w:p>
      <w:pPr>
        <w:spacing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同时出现两种以上不一致的，按照前款规定的顺序修正。</w:t>
      </w:r>
      <w:r>
        <w:rPr>
          <w:rFonts w:hint="eastAsia" w:ascii="仿宋" w:hAnsi="仿宋" w:eastAsia="仿宋" w:cs="仿宋"/>
          <w:bCs/>
          <w:color w:val="auto"/>
          <w:sz w:val="24"/>
          <w:szCs w:val="24"/>
          <w:highlight w:val="none"/>
        </w:rPr>
        <w:t>修正后的报价</w:t>
      </w:r>
      <w:r>
        <w:rPr>
          <w:rFonts w:hint="eastAsia" w:ascii="仿宋" w:hAnsi="仿宋" w:eastAsia="仿宋" w:cs="仿宋"/>
          <w:bCs/>
          <w:color w:val="auto"/>
          <w:sz w:val="24"/>
          <w:szCs w:val="24"/>
          <w:highlight w:val="none"/>
          <w:lang w:val="en-US" w:eastAsia="zh-CN"/>
        </w:rPr>
        <w:t>参</w:t>
      </w:r>
      <w:r>
        <w:rPr>
          <w:rFonts w:hint="eastAsia" w:ascii="仿宋" w:hAnsi="仿宋" w:eastAsia="仿宋" w:cs="仿宋"/>
          <w:bCs/>
          <w:color w:val="auto"/>
          <w:sz w:val="24"/>
          <w:szCs w:val="24"/>
          <w:highlight w:val="none"/>
        </w:rPr>
        <w:t>照财政部公布第87号令 《政府采购货物和服务招标投标管理办法》</w:t>
      </w:r>
      <w:r>
        <w:rPr>
          <w:rFonts w:hint="eastAsia" w:ascii="仿宋" w:hAnsi="仿宋" w:eastAsia="仿宋" w:cs="仿宋"/>
          <w:color w:val="auto"/>
          <w:sz w:val="24"/>
          <w:szCs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6.投标文件的评审、比较和否决</w:t>
      </w:r>
    </w:p>
    <w:p>
      <w:pPr>
        <w:spacing w:line="48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6.1评标委员会将对在实质上响应招标文件要求的投标文件进行评估和比较。</w:t>
      </w:r>
    </w:p>
    <w:p>
      <w:pPr>
        <w:spacing w:line="48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6.2在评审过程中，评标委员会可以书面形式要求投标人就投标文件含义不明确的内容可对其通过</w:t>
      </w:r>
      <w:r>
        <w:rPr>
          <w:rFonts w:hint="eastAsia" w:ascii="仿宋" w:hAnsi="仿宋" w:eastAsia="仿宋" w:cs="仿宋"/>
          <w:color w:val="auto"/>
          <w:sz w:val="24"/>
          <w:szCs w:val="24"/>
          <w:highlight w:val="none"/>
          <w:lang w:val="en-US" w:eastAsia="zh-CN"/>
        </w:rPr>
        <w:t>乐</w:t>
      </w:r>
      <w:r>
        <w:rPr>
          <w:rFonts w:hint="eastAsia" w:ascii="仿宋" w:hAnsi="仿宋" w:eastAsia="仿宋" w:cs="仿宋"/>
          <w:color w:val="auto"/>
          <w:sz w:val="24"/>
          <w:szCs w:val="24"/>
          <w:highlight w:val="none"/>
        </w:rPr>
        <w:t>采云平台进行书面说明并提供相关材料，但不得超过投标文件的范围或者改变投标文件的实质性内容。</w:t>
      </w:r>
    </w:p>
    <w:p>
      <w:pPr>
        <w:spacing w:line="48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6.4在评审过程中，如属于实质性偏离或符合无效响应条件的，应当询问相关投标人，并可对其通过</w:t>
      </w:r>
      <w:r>
        <w:rPr>
          <w:rFonts w:hint="eastAsia" w:ascii="仿宋" w:hAnsi="仿宋" w:eastAsia="仿宋" w:cs="仿宋"/>
          <w:color w:val="auto"/>
          <w:sz w:val="24"/>
          <w:szCs w:val="24"/>
          <w:highlight w:val="none"/>
          <w:lang w:val="en-US" w:eastAsia="zh-CN"/>
        </w:rPr>
        <w:t>乐</w:t>
      </w:r>
      <w:r>
        <w:rPr>
          <w:rFonts w:hint="eastAsia" w:ascii="仿宋" w:hAnsi="仿宋" w:eastAsia="仿宋" w:cs="仿宋"/>
          <w:color w:val="auto"/>
          <w:sz w:val="24"/>
          <w:szCs w:val="24"/>
          <w:highlight w:val="none"/>
        </w:rPr>
        <w:t>采云平台进行线上确认，但不允许对偏离条款进行补充、修正或撤回。</w:t>
      </w:r>
    </w:p>
    <w:p>
      <w:pPr>
        <w:spacing w:line="48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6.6汇总（商务技术得分情况）。评标委员会各成员应当独立对每个投标人的商务技术（资信）文件进行评价，并汇总商务技术得分情况。</w:t>
      </w:r>
    </w:p>
    <w:p>
      <w:pPr>
        <w:spacing w:line="48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6.7 报价审核。对符合采购需求且通过商务技术（资信）评审的投标人的报价的合理性、准确性等进行审查核实。</w:t>
      </w:r>
    </w:p>
    <w:p>
      <w:pPr>
        <w:spacing w:line="48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6.7.1评标委员会认为投标人的报价明显低于其他通过符合性审查投标人的报价，有可能影响产品质量或者不能诚信履约的，应当要求其在评标现场合理的时间内通过</w:t>
      </w:r>
      <w:r>
        <w:rPr>
          <w:rFonts w:hint="eastAsia" w:ascii="仿宋" w:hAnsi="仿宋" w:eastAsia="仿宋" w:cs="仿宋"/>
          <w:color w:val="auto"/>
          <w:sz w:val="24"/>
          <w:szCs w:val="24"/>
          <w:highlight w:val="none"/>
          <w:lang w:val="en-US" w:eastAsia="zh-CN"/>
        </w:rPr>
        <w:t>乐</w:t>
      </w:r>
      <w:r>
        <w:rPr>
          <w:rFonts w:hint="eastAsia" w:ascii="仿宋" w:hAnsi="仿宋" w:eastAsia="仿宋" w:cs="仿宋"/>
          <w:color w:val="auto"/>
          <w:sz w:val="24"/>
          <w:szCs w:val="24"/>
          <w:highlight w:val="none"/>
        </w:rPr>
        <w:t>采云平台提供线上说明，必要时提交相关证明材料。</w:t>
      </w:r>
    </w:p>
    <w:p>
      <w:pPr>
        <w:spacing w:line="48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6.7.3如需投标价格修正，</w:t>
      </w:r>
      <w:r>
        <w:rPr>
          <w:rFonts w:hint="eastAsia" w:ascii="仿宋" w:hAnsi="仿宋" w:eastAsia="仿宋" w:cs="仿宋"/>
          <w:color w:val="auto"/>
          <w:sz w:val="24"/>
          <w:szCs w:val="24"/>
          <w:highlight w:val="none"/>
          <w:lang w:val="en-US" w:eastAsia="zh-CN"/>
        </w:rPr>
        <w:t>参照</w:t>
      </w:r>
      <w:r>
        <w:rPr>
          <w:rFonts w:hint="eastAsia" w:ascii="仿宋" w:hAnsi="仿宋" w:eastAsia="仿宋" w:cs="仿宋"/>
          <w:color w:val="auto"/>
          <w:sz w:val="24"/>
          <w:szCs w:val="24"/>
          <w:highlight w:val="none"/>
        </w:rPr>
        <w:t>财政部87号令第五十九条的规定对投标价格进行修正。</w:t>
      </w:r>
    </w:p>
    <w:p>
      <w:pPr>
        <w:spacing w:line="48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6.8评标委员会依据招标文件规定的评标标准和方法，对投标文件进行评审和比较后，向</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提供书面评标报告，并按得分高低排序推荐中标候选供应商。</w:t>
      </w:r>
    </w:p>
    <w:p>
      <w:pPr>
        <w:pStyle w:val="8"/>
        <w:widowControl w:val="0"/>
        <w:numPr>
          <w:ilvl w:val="0"/>
          <w:numId w:val="0"/>
        </w:numPr>
        <w:spacing w:afterLines="0" w:line="440" w:lineRule="exact"/>
        <w:ind w:leftChars="-200"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pPr>
        <w:pStyle w:val="8"/>
        <w:widowControl w:val="0"/>
        <w:numPr>
          <w:ilvl w:val="0"/>
          <w:numId w:val="0"/>
        </w:numPr>
        <w:spacing w:afterLines="0"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5"/>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投标文件有下列情形之一的作无效投标处理：</w:t>
      </w:r>
    </w:p>
    <w:p>
      <w:pPr>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8.1未按照招标文件规定要求电子签章、签字或盖章的；</w:t>
      </w:r>
    </w:p>
    <w:p>
      <w:pPr>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8.2单位负责人为同一人或者存在直接控股、管理关系的不同供应商参加同一合同项下的采购活动的（均无效）；</w:t>
      </w:r>
    </w:p>
    <w:p>
      <w:pPr>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8.4投标人不具备招标文件中规定的资格要求的（投标人未提供有效的资格证明文件的，视为投标人不具备招标文件中规定的资格要求）；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8.8投标文件中的投标函无投标人的电子签章或填写不全的；</w:t>
      </w:r>
    </w:p>
    <w:p>
      <w:pPr>
        <w:tabs>
          <w:tab w:val="left" w:pos="3870"/>
          <w:tab w:val="left" w:pos="4085"/>
        </w:tabs>
        <w:snapToGrid w:val="0"/>
        <w:spacing w:line="440" w:lineRule="exact"/>
        <w:ind w:firstLine="482" w:firstLineChars="200"/>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8.9报</w:t>
      </w:r>
      <w:r>
        <w:rPr>
          <w:rFonts w:hint="eastAsia" w:ascii="仿宋" w:hAnsi="仿宋" w:eastAsia="仿宋" w:cs="仿宋"/>
          <w:b/>
          <w:color w:val="auto"/>
          <w:sz w:val="24"/>
          <w:szCs w:val="24"/>
          <w:highlight w:val="none"/>
        </w:rPr>
        <w:t>价一经涂改，未在涂改处加盖投标单位公章或者未经法定代表人或其授权代表签字或盖章的；</w:t>
      </w:r>
    </w:p>
    <w:p>
      <w:pPr>
        <w:tabs>
          <w:tab w:val="left" w:pos="3870"/>
          <w:tab w:val="left" w:pos="4085"/>
        </w:tabs>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8.10</w:t>
      </w:r>
      <w:r>
        <w:rPr>
          <w:rFonts w:hint="eastAsia" w:ascii="仿宋" w:hAnsi="仿宋" w:eastAsia="仿宋" w:cs="仿宋"/>
          <w:b/>
          <w:color w:val="auto"/>
          <w:sz w:val="24"/>
          <w:szCs w:val="24"/>
          <w:highlight w:val="none"/>
        </w:rPr>
        <w:t>未按招标文件规定的格式填写，或对招标服务或技术或产品等要求未详细应答或应答内容不全、有缺失的,经评标委员会认定为无法评审的；</w:t>
      </w:r>
    </w:p>
    <w:p>
      <w:pPr>
        <w:pStyle w:val="15"/>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8.11出现同一标的物或本次招标产品(服务)内的主要产品(重要组成部分)出现商务技术（资信）文件资料、报价文件资料描述不一致或前后描述不一致，经评标委员会认定后为无法评审的；</w:t>
      </w:r>
    </w:p>
    <w:p>
      <w:pPr>
        <w:pStyle w:val="15"/>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8.12《技术偏离说明表》不真实填写或弄虚作假的；</w:t>
      </w:r>
    </w:p>
    <w:p>
      <w:pPr>
        <w:tabs>
          <w:tab w:val="left" w:pos="3870"/>
          <w:tab w:val="left" w:pos="4085"/>
        </w:tabs>
        <w:snapToGrid w:val="0"/>
        <w:spacing w:line="440" w:lineRule="exact"/>
        <w:ind w:firstLine="482" w:firstLineChars="200"/>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sz w:val="24"/>
          <w:szCs w:val="24"/>
          <w:highlight w:val="none"/>
        </w:rPr>
        <w:t>8.13投</w:t>
      </w:r>
      <w:r>
        <w:rPr>
          <w:rFonts w:hint="eastAsia" w:ascii="仿宋" w:hAnsi="仿宋" w:eastAsia="仿宋" w:cs="仿宋"/>
          <w:b/>
          <w:color w:val="auto"/>
          <w:kern w:val="0"/>
          <w:sz w:val="24"/>
          <w:szCs w:val="24"/>
          <w:highlight w:val="none"/>
        </w:rPr>
        <w:t>标文件含有采购人不能接受的附加条件；</w:t>
      </w:r>
    </w:p>
    <w:p>
      <w:pPr>
        <w:tabs>
          <w:tab w:val="left" w:pos="3870"/>
          <w:tab w:val="left" w:pos="4085"/>
        </w:tabs>
        <w:snapToGrid w:val="0"/>
        <w:spacing w:line="440" w:lineRule="exact"/>
        <w:ind w:firstLine="482" w:firstLineChars="200"/>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8.14评</w:t>
      </w:r>
      <w:r>
        <w:rPr>
          <w:rFonts w:hint="eastAsia" w:ascii="仿宋" w:hAnsi="仿宋" w:eastAsia="仿宋" w:cs="仿宋"/>
          <w:b/>
          <w:color w:val="auto"/>
          <w:sz w:val="24"/>
          <w:szCs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8.15报价超过招标文件中规定的预算金额或最高限价的；</w:t>
      </w:r>
    </w:p>
    <w:p>
      <w:pPr>
        <w:tabs>
          <w:tab w:val="left" w:pos="3870"/>
          <w:tab w:val="left" w:pos="4085"/>
        </w:tabs>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8.16投标文件“商务技术（资信）文件资料”部分中出现《开标一览表》相关内容的；</w:t>
      </w:r>
    </w:p>
    <w:p>
      <w:pPr>
        <w:tabs>
          <w:tab w:val="left" w:pos="3870"/>
          <w:tab w:val="left" w:pos="4085"/>
        </w:tabs>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8.18《开标一览表》填写不完整或字迹不能辨认或有漏项的，经评标委员会认定属于重大偏差的；</w:t>
      </w:r>
    </w:p>
    <w:p>
      <w:pPr>
        <w:tabs>
          <w:tab w:val="left" w:pos="3870"/>
          <w:tab w:val="left" w:pos="4085"/>
        </w:tabs>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8.19投标人对根据修正原则修正后的报价不确认的；</w:t>
      </w:r>
    </w:p>
    <w:p>
      <w:pPr>
        <w:tabs>
          <w:tab w:val="left" w:pos="3870"/>
          <w:tab w:val="left" w:pos="4085"/>
        </w:tabs>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8.20.1使用伪造、变造的许可证件；</w:t>
      </w:r>
    </w:p>
    <w:p>
      <w:pPr>
        <w:tabs>
          <w:tab w:val="left" w:pos="3870"/>
          <w:tab w:val="left" w:pos="4085"/>
        </w:tabs>
        <w:snapToGrid w:val="0"/>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8.20.2提供虚假的财务状况或者业绩；</w:t>
      </w:r>
    </w:p>
    <w:p>
      <w:pPr>
        <w:tabs>
          <w:tab w:val="left" w:pos="3870"/>
          <w:tab w:val="left" w:pos="4085"/>
        </w:tabs>
        <w:snapToGrid w:val="0"/>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8.20.3提供虚假的项目负责人或者主要技术人员简历、劳动关系证明；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8.20.4提供虚假的信用状况；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8.20.5其他弄虚作假的行为。</w:t>
      </w:r>
    </w:p>
    <w:p>
      <w:pPr>
        <w:tabs>
          <w:tab w:val="left" w:pos="3870"/>
          <w:tab w:val="left" w:pos="4085"/>
        </w:tabs>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8.22有下列情形之一的，属于恶意串通，其投标无效：</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8.22.1供应商直接或者间接从采购人或者采购机构处获得其他供应商的相关情况并修改其投标文件或者响应文件；</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8.22.2供应商按照采购人或者采购机构的授意撤换、修改投标文件或者响应文件；</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8.22.3供应商之间协商报价、技术方案等投标文件或者响应文件的实质性内容；</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8.22.4属于同一集团、协会、商会等组织成员的供应商按照该组织要求协同参加采购活动；</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8.22.5供应商之间事先约定由某一特定供应商中标、成交；</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8.22.6供应商之间商定部分供应商放弃参加采购活动或者放弃中标、成交；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8.23评标委员会认定有重大偏差或实质性不响应招标文件要求的；</w:t>
      </w:r>
    </w:p>
    <w:p>
      <w:pPr>
        <w:tabs>
          <w:tab w:val="left" w:pos="3870"/>
          <w:tab w:val="left" w:pos="4085"/>
        </w:tabs>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8.24报价文件中出现2个(含)以上的报价或方案的；</w:t>
      </w:r>
    </w:p>
    <w:p>
      <w:pPr>
        <w:spacing w:line="44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8.25其他违反法律、法规的情形。</w:t>
      </w:r>
    </w:p>
    <w:p>
      <w:pPr>
        <w:snapToGrid w:val="0"/>
        <w:spacing w:line="440" w:lineRule="exac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9. 评标过程保密</w:t>
      </w:r>
    </w:p>
    <w:p>
      <w:pPr>
        <w:snapToGrid w:val="0"/>
        <w:spacing w:line="44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9.1</w:t>
      </w:r>
      <w:r>
        <w:rPr>
          <w:rFonts w:hint="eastAsia" w:ascii="仿宋" w:hAnsi="仿宋" w:eastAsia="仿宋" w:cs="仿宋"/>
          <w:color w:val="auto"/>
          <w:sz w:val="24"/>
          <w:szCs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9.2 在评标期间，投标人企图影响招标人或</w:t>
      </w:r>
      <w:r>
        <w:rPr>
          <w:rFonts w:hint="eastAsia" w:ascii="仿宋" w:hAnsi="仿宋" w:eastAsia="仿宋" w:cs="仿宋"/>
          <w:color w:val="auto"/>
          <w:sz w:val="24"/>
          <w:szCs w:val="24"/>
          <w:highlight w:val="none"/>
        </w:rPr>
        <w:t>评标委员会</w:t>
      </w:r>
      <w:r>
        <w:rPr>
          <w:rFonts w:hint="eastAsia" w:ascii="仿宋" w:hAnsi="仿宋" w:eastAsia="仿宋" w:cs="仿宋"/>
          <w:color w:val="auto"/>
          <w:kern w:val="0"/>
          <w:sz w:val="24"/>
          <w:szCs w:val="24"/>
          <w:highlight w:val="none"/>
        </w:rPr>
        <w:t>的任何活动，都将导致投标被拒绝，并由其承担相应的法律责任。</w:t>
      </w:r>
    </w:p>
    <w:p>
      <w:pPr>
        <w:pStyle w:val="15"/>
        <w:spacing w:line="800" w:lineRule="exact"/>
        <w:ind w:firstLine="726"/>
        <w:jc w:val="center"/>
        <w:rPr>
          <w:rFonts w:hint="eastAsia" w:ascii="仿宋" w:hAnsi="仿宋" w:eastAsia="仿宋" w:cs="仿宋"/>
          <w:b/>
          <w:color w:val="auto"/>
          <w:sz w:val="36"/>
          <w:szCs w:val="36"/>
          <w:highlight w:val="none"/>
        </w:rPr>
      </w:pPr>
      <w:bookmarkStart w:id="28" w:name="_Toc81372776"/>
      <w:bookmarkStart w:id="29" w:name="_Toc84325929"/>
      <w:bookmarkStart w:id="30" w:name="_Toc81372953"/>
      <w:r>
        <w:rPr>
          <w:rFonts w:hint="eastAsia" w:ascii="仿宋" w:hAnsi="仿宋" w:eastAsia="仿宋" w:cs="仿宋"/>
          <w:b/>
          <w:color w:val="auto"/>
          <w:sz w:val="36"/>
          <w:szCs w:val="36"/>
          <w:highlight w:val="none"/>
        </w:rPr>
        <w:t>五、授予合同</w:t>
      </w:r>
    </w:p>
    <w:p>
      <w:pPr>
        <w:pStyle w:val="8"/>
        <w:numPr>
          <w:ilvl w:val="0"/>
          <w:numId w:val="0"/>
        </w:numPr>
        <w:spacing w:afterLines="0" w:line="440" w:lineRule="exact"/>
        <w:ind w:leftChars="-200"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1.中标条件</w:t>
      </w:r>
    </w:p>
    <w:p>
      <w:pPr>
        <w:pStyle w:val="8"/>
        <w:numPr>
          <w:ilvl w:val="0"/>
          <w:numId w:val="0"/>
        </w:numPr>
        <w:spacing w:afterLines="0" w:line="440" w:lineRule="exact"/>
        <w:ind w:leftChars="-200"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1.1投标文件基本符合招标文件要求；</w:t>
      </w:r>
    </w:p>
    <w:p>
      <w:pPr>
        <w:pStyle w:val="8"/>
        <w:numPr>
          <w:ilvl w:val="0"/>
          <w:numId w:val="0"/>
        </w:numPr>
        <w:spacing w:afterLines="0" w:line="440" w:lineRule="exact"/>
        <w:ind w:leftChars="-200"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1.2投标人有很好的执行合同的能力；</w:t>
      </w:r>
    </w:p>
    <w:p>
      <w:pPr>
        <w:pStyle w:val="8"/>
        <w:numPr>
          <w:ilvl w:val="0"/>
          <w:numId w:val="0"/>
        </w:numPr>
        <w:spacing w:afterLines="0" w:line="440" w:lineRule="exact"/>
        <w:ind w:leftChars="-200"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1.3实施方案最合理并对招标人最为有利，最大限度满足招标文件的要求；</w:t>
      </w:r>
    </w:p>
    <w:p>
      <w:pPr>
        <w:pStyle w:val="8"/>
        <w:numPr>
          <w:ilvl w:val="0"/>
          <w:numId w:val="0"/>
        </w:numPr>
        <w:spacing w:afterLines="0" w:line="440" w:lineRule="exact"/>
        <w:ind w:leftChars="-200"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1.4投标人能够提供质量技术、商务经济占综合优势的系统及服务。</w:t>
      </w:r>
    </w:p>
    <w:p>
      <w:pPr>
        <w:pStyle w:val="8"/>
        <w:numPr>
          <w:ilvl w:val="0"/>
          <w:numId w:val="0"/>
        </w:numPr>
        <w:spacing w:afterLines="0" w:line="440" w:lineRule="exact"/>
        <w:ind w:leftChars="-200"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1.5招标人将把中标通知书授予最佳投标者，但最低价不是中标的绝对保证。</w:t>
      </w:r>
    </w:p>
    <w:bookmarkEnd w:id="28"/>
    <w:bookmarkEnd w:id="29"/>
    <w:bookmarkEnd w:id="30"/>
    <w:p>
      <w:pPr>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2.中标确认</w:t>
      </w:r>
    </w:p>
    <w:p>
      <w:pPr>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2.1采购人应当自收到评标报告之日起５个工作日内，在评标报告确定的中标候选人名单中按顺序确定中标人。</w:t>
      </w:r>
    </w:p>
    <w:p>
      <w:pPr>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2.2采购人在收到评标报告5个工作日内未按评标报告推荐的中标候选人顺序确定中标人，视同按评标报告推荐的顺序确定的中标候选人为中标人。</w:t>
      </w:r>
    </w:p>
    <w:p>
      <w:pPr>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3．中标通知</w:t>
      </w:r>
    </w:p>
    <w:p>
      <w:pPr>
        <w:pStyle w:val="108"/>
        <w:tabs>
          <w:tab w:val="left" w:pos="0"/>
        </w:tabs>
        <w:spacing w:before="0"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w:t>
      </w:r>
      <w:r>
        <w:rPr>
          <w:rFonts w:hint="eastAsia" w:ascii="仿宋" w:hAnsi="仿宋" w:eastAsia="仿宋" w:cs="仿宋"/>
          <w:color w:val="auto"/>
          <w:kern w:val="0"/>
          <w:sz w:val="24"/>
          <w:szCs w:val="24"/>
          <w:highlight w:val="none"/>
        </w:rPr>
        <w:t>采购代理机构</w:t>
      </w:r>
      <w:r>
        <w:rPr>
          <w:rFonts w:hint="eastAsia" w:ascii="仿宋" w:hAnsi="仿宋" w:eastAsia="仿宋" w:cs="仿宋"/>
          <w:color w:val="auto"/>
          <w:sz w:val="24"/>
          <w:szCs w:val="24"/>
          <w:highlight w:val="none"/>
        </w:rPr>
        <w:t>对中标结果在指定媒体</w:t>
      </w:r>
      <w:r>
        <w:rPr>
          <w:rFonts w:hint="eastAsia" w:ascii="仿宋" w:hAnsi="仿宋" w:eastAsia="仿宋" w:cs="仿宋"/>
          <w:color w:val="auto"/>
          <w:kern w:val="0"/>
          <w:sz w:val="24"/>
          <w:szCs w:val="24"/>
          <w:highlight w:val="none"/>
          <w:lang w:val="en-US" w:eastAsia="zh-CN" w:bidi="ar-SA"/>
        </w:rPr>
        <w:t>（乐采云平台</w:t>
      </w:r>
      <w:r>
        <w:rPr>
          <w:rFonts w:hint="eastAsia" w:ascii="仿宋" w:hAnsi="仿宋" w:eastAsia="仿宋" w:cs="仿宋"/>
          <w:color w:val="auto"/>
          <w:kern w:val="0"/>
          <w:sz w:val="24"/>
          <w:szCs w:val="24"/>
          <w:highlight w:val="none"/>
          <w:lang w:val="en-US" w:eastAsia="zh-CN" w:bidi="ar-SA"/>
        </w:rPr>
        <w:fldChar w:fldCharType="begin"/>
      </w:r>
      <w:r>
        <w:rPr>
          <w:rFonts w:hint="eastAsia" w:ascii="仿宋" w:hAnsi="仿宋" w:eastAsia="仿宋" w:cs="仿宋"/>
          <w:color w:val="auto"/>
          <w:kern w:val="0"/>
          <w:sz w:val="24"/>
          <w:szCs w:val="24"/>
          <w:highlight w:val="none"/>
          <w:lang w:val="en-US" w:eastAsia="zh-CN" w:bidi="ar-SA"/>
        </w:rPr>
        <w:instrText xml:space="preserve"> HYPERLINK "http://www.zcygov.cn/获取采购文件，并于2023年" </w:instrText>
      </w:r>
      <w:r>
        <w:rPr>
          <w:rFonts w:hint="eastAsia" w:ascii="仿宋" w:hAnsi="仿宋" w:eastAsia="仿宋" w:cs="仿宋"/>
          <w:color w:val="auto"/>
          <w:kern w:val="0"/>
          <w:sz w:val="24"/>
          <w:szCs w:val="24"/>
          <w:highlight w:val="none"/>
          <w:lang w:val="en-US" w:eastAsia="zh-CN" w:bidi="ar-SA"/>
        </w:rPr>
        <w:fldChar w:fldCharType="separate"/>
      </w:r>
      <w:r>
        <w:rPr>
          <w:rFonts w:hint="eastAsia" w:ascii="仿宋" w:hAnsi="仿宋" w:eastAsia="仿宋" w:cs="仿宋"/>
          <w:color w:val="auto"/>
          <w:kern w:val="0"/>
          <w:sz w:val="24"/>
          <w:szCs w:val="24"/>
          <w:highlight w:val="none"/>
          <w:lang w:val="en-US" w:eastAsia="zh-CN" w:bidi="ar-SA"/>
        </w:rPr>
        <w:t>http://www.zcygov.cn/</w:t>
      </w:r>
      <w:r>
        <w:rPr>
          <w:rFonts w:hint="eastAsia" w:ascii="仿宋" w:hAnsi="仿宋" w:eastAsia="仿宋" w:cs="仿宋"/>
          <w:color w:val="auto"/>
          <w:kern w:val="0"/>
          <w:sz w:val="24"/>
          <w:szCs w:val="24"/>
          <w:highlight w:val="none"/>
          <w:lang w:val="en-US" w:eastAsia="zh-CN" w:bidi="ar-SA"/>
        </w:rPr>
        <w:fldChar w:fldCharType="end"/>
      </w: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kern w:val="0"/>
          <w:sz w:val="24"/>
          <w:szCs w:val="24"/>
          <w:highlight w:val="none"/>
        </w:rPr>
        <w:t>发布中标公告，中标公告期限为1个工作日。</w:t>
      </w:r>
    </w:p>
    <w:p>
      <w:pPr>
        <w:tabs>
          <w:tab w:val="left" w:pos="0"/>
        </w:tabs>
        <w:spacing w:line="440" w:lineRule="exact"/>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3.2在采购代理机构发出中标通知书前，中标供应商如有违反有关法律法规和本项目要求行为的，则取消该投标人的中标资格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szCs w:val="24"/>
          <w:highlight w:val="none"/>
          <w:lang w:val="zh-CN"/>
        </w:rPr>
        <w:t>。</w:t>
      </w:r>
    </w:p>
    <w:p>
      <w:pPr>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4．履约保证金</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jc w:val="left"/>
        <w:textAlignment w:val="auto"/>
        <w:outlineLvl w:val="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履约保证金递交形式：银行支票、电汇、保函等。</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outlineLvl w:val="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履约保证金的金额：</w:t>
      </w:r>
      <w:r>
        <w:rPr>
          <w:rFonts w:hint="eastAsia" w:ascii="仿宋" w:hAnsi="仿宋" w:eastAsia="仿宋" w:cs="仿宋"/>
          <w:b w:val="0"/>
          <w:bCs/>
          <w:color w:val="auto"/>
          <w:sz w:val="24"/>
          <w:szCs w:val="24"/>
          <w:highlight w:val="none"/>
          <w:lang w:val="en-US" w:eastAsia="zh-CN"/>
        </w:rPr>
        <w:t>中标金额的1%计取。</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outlineLvl w:val="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履约保证金的递交时间：中标通知书发出之日起5个工作日内。</w:t>
      </w:r>
    </w:p>
    <w:p>
      <w:pPr>
        <w:spacing w:line="440" w:lineRule="exact"/>
        <w:ind w:firstLine="480" w:firstLineChars="20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履约保证金的期限：</w:t>
      </w:r>
      <w:r>
        <w:rPr>
          <w:rFonts w:hint="eastAsia" w:ascii="仿宋" w:hAnsi="仿宋" w:eastAsia="仿宋" w:cs="仿宋"/>
          <w:color w:val="auto"/>
          <w:sz w:val="24"/>
          <w:szCs w:val="24"/>
          <w:highlight w:val="none"/>
          <w:lang w:val="en-US" w:eastAsia="zh-CN"/>
        </w:rPr>
        <w:t>服务</w:t>
      </w:r>
      <w:r>
        <w:rPr>
          <w:rFonts w:hint="eastAsia" w:ascii="仿宋" w:hAnsi="仿宋" w:eastAsia="仿宋" w:cs="仿宋"/>
          <w:snapToGrid w:val="0"/>
          <w:color w:val="auto"/>
          <w:kern w:val="0"/>
          <w:sz w:val="24"/>
          <w:szCs w:val="24"/>
          <w:highlight w:val="none"/>
        </w:rPr>
        <w:t>期满</w:t>
      </w:r>
      <w:r>
        <w:rPr>
          <w:rFonts w:hint="eastAsia" w:ascii="仿宋" w:hAnsi="仿宋" w:eastAsia="仿宋" w:cs="仿宋"/>
          <w:snapToGrid w:val="0"/>
          <w:color w:val="auto"/>
          <w:kern w:val="0"/>
          <w:sz w:val="24"/>
          <w:szCs w:val="24"/>
          <w:highlight w:val="none"/>
          <w:lang w:val="en-US" w:eastAsia="zh-CN"/>
        </w:rPr>
        <w:t>无违约问题后30</w:t>
      </w:r>
      <w:r>
        <w:rPr>
          <w:rFonts w:hint="eastAsia" w:ascii="仿宋" w:hAnsi="仿宋" w:eastAsia="仿宋" w:cs="仿宋"/>
          <w:snapToGrid w:val="0"/>
          <w:color w:val="auto"/>
          <w:kern w:val="0"/>
          <w:sz w:val="24"/>
          <w:szCs w:val="24"/>
          <w:highlight w:val="none"/>
        </w:rPr>
        <w:t>日内无息退回。</w:t>
      </w:r>
    </w:p>
    <w:p>
      <w:pPr>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．合同签订及备案</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outlineLvl w:val="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5.1中标人应当在中标通知书发出之日起30天内与采购人签订合同，自采购合同签订之日起3个工作日内，通过电子交易平台进行备案。</w:t>
      </w:r>
    </w:p>
    <w:p>
      <w:pPr>
        <w:spacing w:line="440" w:lineRule="exact"/>
        <w:ind w:firstLine="480" w:firstLineChars="20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5.2如中标人为联合体的，由联合体成员各方法定代表人或其授权代表与采购人代表签订合同。</w:t>
      </w:r>
    </w:p>
    <w:p>
      <w:pPr>
        <w:keepNext w:val="0"/>
        <w:keepLines w:val="0"/>
        <w:pageBreakBefore w:val="0"/>
        <w:widowControl w:val="0"/>
        <w:kinsoku/>
        <w:wordWrap/>
        <w:overflowPunct/>
        <w:topLinePunct w:val="0"/>
        <w:autoSpaceDE/>
        <w:autoSpaceDN/>
        <w:bidi w:val="0"/>
        <w:adjustRightInd/>
        <w:spacing w:line="48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6.4</w:t>
      </w:r>
      <w:r>
        <w:rPr>
          <w:rFonts w:hint="eastAsia" w:ascii="仿宋" w:hAnsi="仿宋" w:eastAsia="仿宋" w:cs="仿宋"/>
          <w:color w:val="auto"/>
          <w:sz w:val="24"/>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6.5</w:t>
      </w:r>
      <w:r>
        <w:rPr>
          <w:rFonts w:hint="eastAsia" w:ascii="仿宋" w:hAnsi="仿宋" w:eastAsia="仿宋" w:cs="仿宋"/>
          <w:color w:val="auto"/>
          <w:sz w:val="24"/>
          <w:highlight w:val="none"/>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监管部门。</w:t>
      </w:r>
    </w:p>
    <w:p>
      <w:pPr>
        <w:keepNext w:val="0"/>
        <w:keepLines w:val="0"/>
        <w:pageBreakBefore w:val="0"/>
        <w:widowControl w:val="0"/>
        <w:kinsoku/>
        <w:wordWrap/>
        <w:overflowPunct/>
        <w:topLinePunct w:val="0"/>
        <w:autoSpaceDE/>
        <w:autoSpaceDN/>
        <w:bidi w:val="0"/>
        <w:adjustRightInd/>
        <w:spacing w:line="48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spacing w:line="460" w:lineRule="exact"/>
        <w:ind w:firstLine="420"/>
        <w:rPr>
          <w:rFonts w:hint="eastAsia" w:ascii="仿宋" w:hAnsi="仿宋" w:eastAsia="仿宋" w:cs="仿宋"/>
          <w:color w:val="auto"/>
          <w:szCs w:val="24"/>
          <w:highlight w:val="none"/>
        </w:rPr>
      </w:pPr>
      <w:r>
        <w:rPr>
          <w:rFonts w:hint="eastAsia" w:ascii="仿宋" w:hAnsi="仿宋" w:eastAsia="仿宋" w:cs="仿宋"/>
          <w:color w:val="auto"/>
          <w:szCs w:val="24"/>
          <w:highlight w:val="none"/>
        </w:rPr>
        <w:t>供应商（投标人，下同）可以依法提起质疑和投诉</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质疑函范本、投诉书范本请到浙江政府采购网下载专区下载。</w:t>
      </w:r>
    </w:p>
    <w:p>
      <w:pPr>
        <w:autoSpaceDE w:val="0"/>
        <w:autoSpaceDN w:val="0"/>
        <w:spacing w:line="360" w:lineRule="auto"/>
        <w:ind w:firstLine="472" w:firstLineChars="196"/>
        <w:jc w:val="left"/>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1.供应商询问</w:t>
      </w:r>
    </w:p>
    <w:p>
      <w:pPr>
        <w:pStyle w:val="15"/>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供应商对采购活动事项有疑问的，可以向采购机构提出询问，采购机构将对供应商依法提出的询问作出答复，但答复的内容不得涉及商业秘密。</w:t>
      </w:r>
    </w:p>
    <w:p>
      <w:pPr>
        <w:spacing w:line="440" w:lineRule="exact"/>
        <w:ind w:firstLine="241" w:firstLineChars="100"/>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 供应商质疑</w:t>
      </w:r>
    </w:p>
    <w:p>
      <w:pPr>
        <w:spacing w:line="44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.1质疑提出时效</w:t>
      </w:r>
    </w:p>
    <w:p>
      <w:pPr>
        <w:spacing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.1.1提出质疑的供应商应当是参与所质疑项目采购活动的供应商。潜在供应商已依法获取其可质疑的采购文件的，可以对该文件提出质疑。</w:t>
      </w:r>
    </w:p>
    <w:p>
      <w:pPr>
        <w:spacing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440" w:lineRule="exact"/>
        <w:ind w:firstLine="434" w:firstLineChars="181"/>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.1.2.1对采购文件提出质疑的，质疑期限为供应商获得采购文件之日或者采购文件公告期限届满之日起计算，采购文件在获取截止之日后获得的，应当自采购文件公告期限届满之日起计算。</w:t>
      </w:r>
    </w:p>
    <w:p>
      <w:pPr>
        <w:spacing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.1.2.2对采购过程提出质疑的，质疑期限为各采购程序环节结束之日起计算。</w:t>
      </w:r>
    </w:p>
    <w:p>
      <w:pPr>
        <w:spacing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.1.2.3对采购结果提出质疑的，质疑期限自采购结果公告期限届满之日起计算。</w:t>
      </w:r>
    </w:p>
    <w:p>
      <w:pPr>
        <w:spacing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.1.2.4对同一采购程序环节的质疑，供应商须一次性提出。</w:t>
      </w:r>
    </w:p>
    <w:p>
      <w:pPr>
        <w:spacing w:line="44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bCs/>
          <w:color w:val="auto"/>
          <w:kern w:val="0"/>
          <w:sz w:val="24"/>
          <w:szCs w:val="24"/>
          <w:highlight w:val="none"/>
          <w:lang w:val="en-US" w:eastAsia="zh-CN"/>
        </w:rPr>
        <w:t>2</w:t>
      </w:r>
      <w:r>
        <w:rPr>
          <w:rFonts w:hint="eastAsia" w:ascii="仿宋" w:hAnsi="仿宋" w:eastAsia="仿宋" w:cs="仿宋"/>
          <w:b/>
          <w:bCs/>
          <w:color w:val="auto"/>
          <w:kern w:val="0"/>
          <w:sz w:val="24"/>
          <w:szCs w:val="24"/>
          <w:highlight w:val="none"/>
          <w:lang w:val="zh-CN"/>
        </w:rPr>
        <w:t>.</w:t>
      </w:r>
      <w:r>
        <w:rPr>
          <w:rFonts w:hint="eastAsia" w:ascii="仿宋" w:hAnsi="仿宋" w:eastAsia="仿宋" w:cs="仿宋"/>
          <w:b/>
          <w:bCs/>
          <w:color w:val="auto"/>
          <w:kern w:val="0"/>
          <w:sz w:val="24"/>
          <w:szCs w:val="24"/>
          <w:highlight w:val="none"/>
        </w:rPr>
        <w:t>2</w:t>
      </w:r>
      <w:r>
        <w:rPr>
          <w:rFonts w:hint="eastAsia" w:ascii="仿宋" w:hAnsi="仿宋" w:eastAsia="仿宋" w:cs="仿宋"/>
          <w:b/>
          <w:bCs/>
          <w:color w:val="auto"/>
          <w:kern w:val="0"/>
          <w:sz w:val="24"/>
          <w:szCs w:val="24"/>
          <w:highlight w:val="none"/>
          <w:lang w:val="zh-CN"/>
        </w:rPr>
        <w:t>质疑函</w:t>
      </w:r>
    </w:p>
    <w:p>
      <w:pPr>
        <w:spacing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.2.1供应商提出质疑应当提交质疑函和必要的证明材料。质疑函应当包括下列内容：</w:t>
      </w:r>
    </w:p>
    <w:p>
      <w:pPr>
        <w:spacing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供应商的姓名或者名称、地址、邮编、联系人及联系电话；</w:t>
      </w:r>
    </w:p>
    <w:p>
      <w:pPr>
        <w:spacing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质疑项目的名称、编号；</w:t>
      </w:r>
    </w:p>
    <w:p>
      <w:pPr>
        <w:spacing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具体、明确的质疑事项和与质疑事项相关的请求；</w:t>
      </w:r>
    </w:p>
    <w:p>
      <w:pPr>
        <w:spacing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事实依据；</w:t>
      </w:r>
    </w:p>
    <w:p>
      <w:pPr>
        <w:spacing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必要的法律依据；</w:t>
      </w:r>
    </w:p>
    <w:p>
      <w:pPr>
        <w:spacing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提出质疑的日期。</w:t>
      </w:r>
    </w:p>
    <w:p>
      <w:pPr>
        <w:spacing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供应商提交的质疑函需一式三份。供应商为自然人的，应当由本人签字；供应商为法人或者其他组织的，应当由法定代表人、主要负责人，或者其授权代表签字或者盖章，并加盖公章。</w:t>
      </w:r>
    </w:p>
    <w:p>
      <w:pPr>
        <w:spacing w:line="44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质疑函范本及制作说明详见附件。</w:t>
      </w:r>
    </w:p>
    <w:p>
      <w:pPr>
        <w:spacing w:line="440" w:lineRule="exact"/>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rPr>
        <w:t>.供应商投诉</w:t>
      </w:r>
    </w:p>
    <w:p>
      <w:pPr>
        <w:spacing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.1质疑供应商对采购人或采购代理机构的答复不满意或者采购人、采购代理机构未在规定的时间内作出答复的，可以在答复期满后十五个工作日内向采购监督管理部门提出投诉。</w:t>
      </w:r>
    </w:p>
    <w:p>
      <w:pPr>
        <w:spacing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.2供应商投诉的事项不得超出已质疑事项的范围，基于质疑答复内容提出的投诉事项除外。</w:t>
      </w:r>
    </w:p>
    <w:p>
      <w:pPr>
        <w:spacing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4.3供应商投诉应当有明确的请求和必要的证明材料。</w:t>
      </w:r>
    </w:p>
    <w:p>
      <w:pPr>
        <w:spacing w:line="44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4.4以联合体形式参加采购活动的，其投诉应当由组成联合体的所有供应商共同提出。</w:t>
      </w:r>
    </w:p>
    <w:p>
      <w:pPr>
        <w:snapToGrid w:val="0"/>
        <w:spacing w:line="440" w:lineRule="exact"/>
        <w:jc w:val="left"/>
        <w:outlineLvl w:val="0"/>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投诉书范本及制作说明详见附件。</w:t>
      </w:r>
    </w:p>
    <w:p>
      <w:pPr>
        <w:pStyle w:val="2"/>
        <w:spacing w:line="440" w:lineRule="exact"/>
        <w:ind w:firstLine="480" w:firstLineChars="200"/>
        <w:rPr>
          <w:rFonts w:hint="eastAsia" w:ascii="仿宋" w:hAnsi="仿宋" w:eastAsia="仿宋" w:cs="仿宋"/>
          <w:color w:val="auto"/>
          <w:sz w:val="24"/>
          <w:szCs w:val="24"/>
          <w:highlight w:val="none"/>
        </w:rPr>
        <w:sectPr>
          <w:footerReference r:id="rId4" w:type="default"/>
          <w:pgSz w:w="11906" w:h="16838"/>
          <w:pgMar w:top="1474" w:right="1814" w:bottom="1474" w:left="1814" w:header="851" w:footer="834" w:gutter="0"/>
          <w:pgNumType w:start="1"/>
          <w:cols w:space="720" w:num="1"/>
          <w:docGrid w:linePitch="312" w:charSpace="0"/>
        </w:sectPr>
      </w:pPr>
    </w:p>
    <w:p>
      <w:pPr>
        <w:pageBreakBefore/>
        <w:snapToGrid w:val="0"/>
        <w:spacing w:line="800" w:lineRule="exact"/>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kern w:val="0"/>
          <w:sz w:val="36"/>
          <w:highlight w:val="none"/>
        </w:rPr>
        <w:t>第三部分</w:t>
      </w:r>
      <w:r>
        <w:rPr>
          <w:rFonts w:hint="eastAsia" w:ascii="仿宋" w:hAnsi="仿宋" w:eastAsia="仿宋" w:cs="仿宋"/>
          <w:b/>
          <w:bCs/>
          <w:color w:val="auto"/>
          <w:kern w:val="0"/>
          <w:sz w:val="36"/>
          <w:highlight w:val="none"/>
          <w:lang w:val="en-US" w:eastAsia="zh-CN"/>
        </w:rPr>
        <w:t xml:space="preserve"> </w:t>
      </w:r>
      <w:r>
        <w:rPr>
          <w:rFonts w:hint="eastAsia" w:ascii="仿宋" w:hAnsi="仿宋" w:eastAsia="仿宋" w:cs="仿宋"/>
          <w:b/>
          <w:bCs/>
          <w:color w:val="auto"/>
          <w:kern w:val="0"/>
          <w:sz w:val="36"/>
          <w:highlight w:val="none"/>
        </w:rPr>
        <w:t>招标项目范围及要求</w:t>
      </w:r>
      <w:bookmarkEnd w:id="25"/>
      <w:bookmarkStart w:id="31" w:name="_Toc513456151"/>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一、项目概况</w:t>
      </w:r>
    </w:p>
    <w:p>
      <w:pPr>
        <w:spacing w:line="360" w:lineRule="auto"/>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为促进公交车安全防御与保险服务相结合，实现运输企业与保险公司合作共赢，故决定将本公司所属公交车辆交通事故责任强制险、车辆损失险、第三者商业责任险、承运人旅客责任险及不计免赔率特约险等保险服务进行采购。</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二、服务内容</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本项目为2025年2月嵊州市公共交通有限公司车辆保险采购项目。具体车辆险种：交通事故责任强制险、机动车商业险（车损险、第三者责任险300万、所有险种的不计免赔险）、承运人责任险每座150万（含站位）。(具体车辆信息、险种及日期以采购方提供的清单为准)。</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2.供应商报名参加投标后，必须就招标文件中的全部服务内容进行投标。</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3.车辆投保具体清单：</w:t>
      </w:r>
    </w:p>
    <w:p>
      <w:pPr>
        <w:pStyle w:val="97"/>
        <w:keepNext w:val="0"/>
        <w:keepLines w:val="0"/>
        <w:pageBreakBefore w:val="0"/>
        <w:widowControl w:val="0"/>
        <w:kinsoku/>
        <w:wordWrap/>
        <w:overflowPunct/>
        <w:topLinePunct w:val="0"/>
        <w:autoSpaceDE/>
        <w:autoSpaceDN/>
        <w:bidi w:val="0"/>
        <w:adjustRightInd/>
        <w:snapToGrid/>
        <w:spacing w:after="157" w:afterLines="50"/>
        <w:ind w:firstLine="0" w:firstLineChars="0"/>
        <w:textAlignment w:val="auto"/>
        <w:rPr>
          <w:rFonts w:hint="eastAsia"/>
          <w:color w:val="auto"/>
          <w:lang w:val="en-US" w:eastAsia="zh-CN"/>
        </w:rPr>
      </w:pPr>
      <w:r>
        <w:rPr>
          <w:rFonts w:hint="eastAsia" w:ascii="仿宋" w:hAnsi="仿宋" w:eastAsia="仿宋" w:cs="仿宋"/>
          <w:b w:val="0"/>
          <w:bCs w:val="0"/>
          <w:color w:val="auto"/>
          <w:sz w:val="24"/>
          <w:szCs w:val="22"/>
          <w:lang w:val="en-US" w:eastAsia="zh-CN"/>
        </w:rPr>
        <w:t>标段一：</w:t>
      </w:r>
    </w:p>
    <w:p>
      <w:pPr>
        <w:pStyle w:val="97"/>
        <w:keepNext w:val="0"/>
        <w:keepLines w:val="0"/>
        <w:pageBreakBefore w:val="0"/>
        <w:widowControl w:val="0"/>
        <w:kinsoku/>
        <w:wordWrap/>
        <w:overflowPunct/>
        <w:topLinePunct w:val="0"/>
        <w:autoSpaceDE/>
        <w:autoSpaceDN/>
        <w:bidi w:val="0"/>
        <w:adjustRightInd/>
        <w:snapToGrid/>
        <w:spacing w:after="157" w:afterLines="50"/>
        <w:ind w:firstLine="0" w:firstLineChars="0"/>
        <w:textAlignment w:val="auto"/>
        <w:rPr>
          <w:rFonts w:hint="eastAsia"/>
          <w:color w:val="auto"/>
          <w:lang w:val="en-US" w:eastAsia="zh-CN"/>
        </w:rPr>
      </w:pPr>
      <w:r>
        <w:rPr>
          <w:rFonts w:hint="eastAsia" w:ascii="仿宋" w:hAnsi="仿宋" w:eastAsia="仿宋" w:cs="仿宋"/>
          <w:b w:val="0"/>
          <w:bCs w:val="0"/>
          <w:color w:val="auto"/>
          <w:sz w:val="24"/>
          <w:szCs w:val="22"/>
          <w:lang w:val="en-US" w:eastAsia="zh-CN"/>
        </w:rPr>
        <w:t>标段一：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标项一：</w:t>
      </w:r>
    </w:p>
    <w:tbl>
      <w:tblPr>
        <w:tblStyle w:val="31"/>
        <w:tblW w:w="10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118"/>
        <w:gridCol w:w="1247"/>
        <w:gridCol w:w="1587"/>
        <w:gridCol w:w="3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94"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序号</w:t>
            </w:r>
          </w:p>
        </w:tc>
        <w:tc>
          <w:tcPr>
            <w:tcW w:w="3118"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保险项目</w:t>
            </w:r>
          </w:p>
        </w:tc>
        <w:tc>
          <w:tcPr>
            <w:tcW w:w="1247"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服务期限</w:t>
            </w:r>
          </w:p>
        </w:tc>
        <w:tc>
          <w:tcPr>
            <w:tcW w:w="1587"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预算价（元）</w:t>
            </w:r>
          </w:p>
        </w:tc>
        <w:tc>
          <w:tcPr>
            <w:tcW w:w="3288"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94"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p>
        </w:tc>
        <w:tc>
          <w:tcPr>
            <w:tcW w:w="311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left"/>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en-US" w:eastAsia="zh-CN" w:bidi="ar-SA"/>
              </w:rPr>
              <w:t>交通事故责任强制险</w:t>
            </w:r>
          </w:p>
        </w:tc>
        <w:tc>
          <w:tcPr>
            <w:tcW w:w="1247"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2年</w:t>
            </w:r>
          </w:p>
        </w:tc>
        <w:tc>
          <w:tcPr>
            <w:tcW w:w="1587" w:type="dxa"/>
            <w:vMerge w:val="restart"/>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180000/2年</w:t>
            </w:r>
          </w:p>
        </w:tc>
        <w:tc>
          <w:tcPr>
            <w:tcW w:w="3288" w:type="dxa"/>
            <w:vMerge w:val="restart"/>
            <w:noWrap w:val="0"/>
            <w:vAlign w:val="center"/>
          </w:tcPr>
          <w:p>
            <w:pPr>
              <w:widowControl/>
              <w:wordWrap w:val="0"/>
              <w:spacing w:line="400" w:lineRule="exact"/>
              <w:jc w:val="left"/>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品牌：金龙</w:t>
            </w:r>
          </w:p>
          <w:p>
            <w:pPr>
              <w:widowControl/>
              <w:wordWrap w:val="0"/>
              <w:spacing w:line="400" w:lineRule="exact"/>
              <w:ind w:left="720" w:hanging="720" w:hangingChars="300"/>
              <w:jc w:val="left"/>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eastAsia="zh-CN"/>
              </w:rPr>
              <w:t>车型：</w:t>
            </w:r>
            <w:r>
              <w:rPr>
                <w:rFonts w:hint="eastAsia" w:ascii="仿宋" w:hAnsi="仿宋" w:eastAsia="仿宋" w:cs="仿宋"/>
                <w:bCs/>
                <w:color w:val="auto"/>
                <w:sz w:val="24"/>
                <w:highlight w:val="none"/>
                <w:lang w:val="en-US" w:eastAsia="zh-CN"/>
              </w:rPr>
              <w:t>公交车</w:t>
            </w:r>
          </w:p>
          <w:p>
            <w:pPr>
              <w:widowControl/>
              <w:wordWrap w:val="0"/>
              <w:spacing w:line="400" w:lineRule="exact"/>
              <w:ind w:left="720" w:hanging="720" w:hangingChars="300"/>
              <w:jc w:val="left"/>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w:t>
            </w:r>
            <w:r>
              <w:rPr>
                <w:rFonts w:hint="eastAsia" w:ascii="仿宋" w:hAnsi="仿宋" w:eastAsia="仿宋" w:cs="仿宋"/>
                <w:bCs/>
                <w:color w:val="auto"/>
                <w:sz w:val="24"/>
                <w:highlight w:val="none"/>
                <w:lang w:eastAsia="zh-CN"/>
              </w:rPr>
              <w:t>金龙牌</w:t>
            </w:r>
            <w:r>
              <w:rPr>
                <w:rFonts w:hint="eastAsia" w:ascii="仿宋" w:hAnsi="仿宋" w:eastAsia="仿宋" w:cs="仿宋"/>
                <w:bCs/>
                <w:color w:val="auto"/>
                <w:sz w:val="24"/>
                <w:highlight w:val="none"/>
                <w:lang w:val="en-US" w:eastAsia="zh-CN"/>
              </w:rPr>
              <w:t>XMQ6850AGCHEVD55）</w:t>
            </w:r>
          </w:p>
          <w:p>
            <w:pPr>
              <w:widowControl/>
              <w:wordWrap w:val="0"/>
              <w:spacing w:line="400" w:lineRule="exact"/>
              <w:jc w:val="left"/>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核载数：</w:t>
            </w:r>
            <w:r>
              <w:rPr>
                <w:rFonts w:hint="eastAsia" w:ascii="仿宋" w:hAnsi="仿宋" w:eastAsia="仿宋" w:cs="仿宋"/>
                <w:bCs/>
                <w:color w:val="auto"/>
                <w:sz w:val="24"/>
                <w:highlight w:val="none"/>
                <w:lang w:val="en-US" w:eastAsia="zh-CN"/>
              </w:rPr>
              <w:t>55</w:t>
            </w:r>
            <w:r>
              <w:rPr>
                <w:rFonts w:hint="eastAsia" w:ascii="仿宋" w:hAnsi="仿宋" w:eastAsia="仿宋" w:cs="仿宋"/>
                <w:bCs/>
                <w:color w:val="auto"/>
                <w:sz w:val="24"/>
                <w:highlight w:val="none"/>
                <w:lang w:eastAsia="zh-CN"/>
              </w:rPr>
              <w:t>人</w:t>
            </w:r>
          </w:p>
          <w:p>
            <w:pPr>
              <w:pStyle w:val="40"/>
              <w:keepNext w:val="0"/>
              <w:keepLines w:val="0"/>
              <w:pageBreakBefore w:val="0"/>
              <w:widowControl/>
              <w:suppressLineNumbers w:val="0"/>
              <w:kinsoku/>
              <w:wordWrap/>
              <w:overflowPunct/>
              <w:topLinePunct w:val="0"/>
              <w:autoSpaceDE/>
              <w:autoSpaceDN/>
              <w:bidi w:val="0"/>
              <w:snapToGrid/>
              <w:spacing w:before="0" w:beforeAutospacing="0" w:after="0" w:afterAutospacing="0" w:line="288" w:lineRule="auto"/>
              <w:ind w:left="0" w:right="0" w:firstLine="0" w:firstLineChars="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eastAsia="zh-CN"/>
              </w:rPr>
              <w:t>数量：</w:t>
            </w:r>
            <w:r>
              <w:rPr>
                <w:rFonts w:hint="eastAsia" w:ascii="仿宋" w:hAnsi="仿宋" w:eastAsia="仿宋" w:cs="仿宋"/>
                <w:bCs/>
                <w:color w:val="auto"/>
                <w:sz w:val="24"/>
                <w:highlight w:val="none"/>
                <w:lang w:val="en-US" w:eastAsia="zh-CN"/>
              </w:rPr>
              <w:t>6辆（原有车辆）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94"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w:t>
            </w:r>
          </w:p>
        </w:tc>
        <w:tc>
          <w:tcPr>
            <w:tcW w:w="311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机动车商业险</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left"/>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en-US" w:eastAsia="zh-CN" w:bidi="ar-SA"/>
              </w:rPr>
              <w:t>（第三者责任险300万）</w:t>
            </w:r>
          </w:p>
        </w:tc>
        <w:tc>
          <w:tcPr>
            <w:tcW w:w="1247"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en-US" w:eastAsia="zh-CN" w:bidi="ar-SA"/>
              </w:rPr>
              <w:t>2年</w:t>
            </w:r>
          </w:p>
        </w:tc>
        <w:tc>
          <w:tcPr>
            <w:tcW w:w="1587" w:type="dxa"/>
            <w:vMerge w:val="continue"/>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left"/>
              <w:textAlignment w:val="auto"/>
              <w:rPr>
                <w:rFonts w:hint="eastAsia" w:ascii="仿宋" w:hAnsi="仿宋" w:eastAsia="仿宋" w:cs="仿宋"/>
                <w:color w:val="auto"/>
                <w:kern w:val="2"/>
                <w:sz w:val="24"/>
                <w:szCs w:val="24"/>
                <w:highlight w:val="none"/>
                <w:lang w:val="zh-CN" w:eastAsia="zh-CN" w:bidi="ar-SA"/>
              </w:rPr>
            </w:pPr>
          </w:p>
        </w:tc>
        <w:tc>
          <w:tcPr>
            <w:tcW w:w="3288" w:type="dxa"/>
            <w:vMerge w:val="continue"/>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left"/>
              <w:textAlignment w:val="auto"/>
              <w:rPr>
                <w:rFonts w:hint="eastAsia" w:ascii="仿宋" w:hAnsi="仿宋" w:eastAsia="仿宋" w:cs="仿宋"/>
                <w:color w:val="auto"/>
                <w:kern w:val="2"/>
                <w:sz w:val="24"/>
                <w:szCs w:val="24"/>
                <w:highlight w:val="none"/>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94"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w:t>
            </w:r>
          </w:p>
        </w:tc>
        <w:tc>
          <w:tcPr>
            <w:tcW w:w="311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left"/>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en-US" w:eastAsia="zh-CN" w:bidi="ar-SA"/>
              </w:rPr>
              <w:t>承运人责任险（每座150万）</w:t>
            </w:r>
          </w:p>
        </w:tc>
        <w:tc>
          <w:tcPr>
            <w:tcW w:w="1247"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en-US" w:eastAsia="zh-CN" w:bidi="ar-SA"/>
              </w:rPr>
              <w:t>2年</w:t>
            </w:r>
          </w:p>
        </w:tc>
        <w:tc>
          <w:tcPr>
            <w:tcW w:w="1587" w:type="dxa"/>
            <w:vMerge w:val="continue"/>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left"/>
              <w:textAlignment w:val="auto"/>
              <w:rPr>
                <w:rFonts w:hint="eastAsia" w:ascii="仿宋" w:hAnsi="仿宋" w:eastAsia="仿宋" w:cs="仿宋"/>
                <w:color w:val="auto"/>
                <w:kern w:val="2"/>
                <w:sz w:val="24"/>
                <w:szCs w:val="24"/>
                <w:highlight w:val="none"/>
                <w:lang w:val="zh-CN" w:eastAsia="zh-CN" w:bidi="ar-SA"/>
              </w:rPr>
            </w:pPr>
          </w:p>
        </w:tc>
        <w:tc>
          <w:tcPr>
            <w:tcW w:w="3288" w:type="dxa"/>
            <w:vMerge w:val="continue"/>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left"/>
              <w:textAlignment w:val="auto"/>
              <w:rPr>
                <w:rFonts w:hint="eastAsia" w:ascii="仿宋" w:hAnsi="仿宋" w:eastAsia="仿宋" w:cs="仿宋"/>
                <w:color w:val="auto"/>
                <w:kern w:val="2"/>
                <w:sz w:val="24"/>
                <w:szCs w:val="24"/>
                <w:highlight w:val="none"/>
                <w:lang w:val="zh-CN" w:eastAsia="zh-CN" w:bidi="ar-SA"/>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标项二：</w:t>
      </w:r>
    </w:p>
    <w:tbl>
      <w:tblPr>
        <w:tblStyle w:val="31"/>
        <w:tblW w:w="10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118"/>
        <w:gridCol w:w="1247"/>
        <w:gridCol w:w="1587"/>
        <w:gridCol w:w="3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94"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序号</w:t>
            </w:r>
          </w:p>
        </w:tc>
        <w:tc>
          <w:tcPr>
            <w:tcW w:w="3118"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保险项目</w:t>
            </w:r>
          </w:p>
        </w:tc>
        <w:tc>
          <w:tcPr>
            <w:tcW w:w="1247"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服务期限</w:t>
            </w:r>
          </w:p>
        </w:tc>
        <w:tc>
          <w:tcPr>
            <w:tcW w:w="1587"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预算价（元）</w:t>
            </w:r>
          </w:p>
        </w:tc>
        <w:tc>
          <w:tcPr>
            <w:tcW w:w="3288"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94"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w:t>
            </w:r>
          </w:p>
        </w:tc>
        <w:tc>
          <w:tcPr>
            <w:tcW w:w="311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left"/>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en-US" w:eastAsia="zh-CN" w:bidi="ar-SA"/>
              </w:rPr>
              <w:t>交通事故责任强制险</w:t>
            </w:r>
          </w:p>
        </w:tc>
        <w:tc>
          <w:tcPr>
            <w:tcW w:w="1247"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2年</w:t>
            </w:r>
          </w:p>
        </w:tc>
        <w:tc>
          <w:tcPr>
            <w:tcW w:w="1587" w:type="dxa"/>
            <w:vMerge w:val="restart"/>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240000/2年</w:t>
            </w:r>
          </w:p>
        </w:tc>
        <w:tc>
          <w:tcPr>
            <w:tcW w:w="3288" w:type="dxa"/>
            <w:vMerge w:val="restart"/>
            <w:noWrap w:val="0"/>
            <w:vAlign w:val="center"/>
          </w:tcPr>
          <w:p>
            <w:pPr>
              <w:widowControl/>
              <w:wordWrap w:val="0"/>
              <w:spacing w:line="400" w:lineRule="exact"/>
              <w:jc w:val="left"/>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品牌：比亚迪</w:t>
            </w:r>
          </w:p>
          <w:p>
            <w:pPr>
              <w:widowControl/>
              <w:wordWrap w:val="0"/>
              <w:spacing w:line="400" w:lineRule="exact"/>
              <w:jc w:val="left"/>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车型：客运大巴</w:t>
            </w:r>
          </w:p>
          <w:p>
            <w:pPr>
              <w:widowControl/>
              <w:wordWrap w:val="0"/>
              <w:spacing w:line="400" w:lineRule="exact"/>
              <w:jc w:val="left"/>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（BYD6112C4BEV1）</w:t>
            </w:r>
          </w:p>
          <w:p>
            <w:pPr>
              <w:pStyle w:val="40"/>
              <w:keepNext w:val="0"/>
              <w:keepLines w:val="0"/>
              <w:pageBreakBefore w:val="0"/>
              <w:widowControl/>
              <w:suppressLineNumbers w:val="0"/>
              <w:kinsoku/>
              <w:wordWrap/>
              <w:overflowPunct/>
              <w:topLinePunct w:val="0"/>
              <w:autoSpaceDE/>
              <w:autoSpaceDN/>
              <w:bidi w:val="0"/>
              <w:snapToGrid/>
              <w:spacing w:before="0" w:beforeAutospacing="0" w:after="0" w:afterAutospacing="0" w:line="288" w:lineRule="auto"/>
              <w:ind w:left="0" w:right="0" w:firstLine="0" w:firstLineChars="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核载数：38人</w:t>
            </w:r>
          </w:p>
          <w:p>
            <w:pPr>
              <w:pStyle w:val="40"/>
              <w:keepNext w:val="0"/>
              <w:keepLines w:val="0"/>
              <w:pageBreakBefore w:val="0"/>
              <w:widowControl/>
              <w:suppressLineNumbers w:val="0"/>
              <w:kinsoku/>
              <w:wordWrap/>
              <w:overflowPunct/>
              <w:topLinePunct w:val="0"/>
              <w:autoSpaceDE/>
              <w:autoSpaceDN/>
              <w:bidi w:val="0"/>
              <w:snapToGrid/>
              <w:spacing w:before="0" w:beforeAutospacing="0" w:after="0" w:afterAutospacing="0" w:line="288" w:lineRule="auto"/>
              <w:ind w:left="0" w:right="0" w:firstLine="0" w:firstLineChars="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eastAsia="zh-CN"/>
              </w:rPr>
              <w:t>数量：</w:t>
            </w:r>
            <w:r>
              <w:rPr>
                <w:rFonts w:hint="eastAsia" w:ascii="仿宋" w:hAnsi="仿宋" w:eastAsia="仿宋" w:cs="仿宋"/>
                <w:bCs/>
                <w:color w:val="auto"/>
                <w:sz w:val="24"/>
                <w:highlight w:val="none"/>
                <w:lang w:val="en-US" w:eastAsia="zh-CN"/>
              </w:rPr>
              <w:t>8辆（新车，车价848000元/辆）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94"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w:t>
            </w:r>
          </w:p>
        </w:tc>
        <w:tc>
          <w:tcPr>
            <w:tcW w:w="311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机动车商业险</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left"/>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en-US" w:eastAsia="zh-CN" w:bidi="ar-SA"/>
              </w:rPr>
              <w:t>（第三者责任险300万）</w:t>
            </w:r>
          </w:p>
        </w:tc>
        <w:tc>
          <w:tcPr>
            <w:tcW w:w="1247"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en-US" w:eastAsia="zh-CN" w:bidi="ar-SA"/>
              </w:rPr>
              <w:t>2年</w:t>
            </w:r>
          </w:p>
        </w:tc>
        <w:tc>
          <w:tcPr>
            <w:tcW w:w="1587" w:type="dxa"/>
            <w:vMerge w:val="continue"/>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left"/>
              <w:textAlignment w:val="auto"/>
              <w:rPr>
                <w:rFonts w:hint="eastAsia" w:ascii="仿宋" w:hAnsi="仿宋" w:eastAsia="仿宋" w:cs="仿宋"/>
                <w:color w:val="auto"/>
                <w:kern w:val="2"/>
                <w:sz w:val="24"/>
                <w:szCs w:val="24"/>
                <w:highlight w:val="none"/>
                <w:lang w:val="zh-CN" w:eastAsia="zh-CN" w:bidi="ar-SA"/>
              </w:rPr>
            </w:pPr>
          </w:p>
        </w:tc>
        <w:tc>
          <w:tcPr>
            <w:tcW w:w="3288" w:type="dxa"/>
            <w:vMerge w:val="continue"/>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left"/>
              <w:textAlignment w:val="auto"/>
              <w:rPr>
                <w:rFonts w:hint="eastAsia" w:ascii="仿宋" w:hAnsi="仿宋" w:eastAsia="仿宋" w:cs="仿宋"/>
                <w:color w:val="auto"/>
                <w:kern w:val="2"/>
                <w:sz w:val="24"/>
                <w:szCs w:val="24"/>
                <w:highlight w:val="none"/>
                <w:lang w:val="zh-CN"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94"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w:t>
            </w:r>
          </w:p>
        </w:tc>
        <w:tc>
          <w:tcPr>
            <w:tcW w:w="311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left"/>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en-US" w:eastAsia="zh-CN" w:bidi="ar-SA"/>
              </w:rPr>
              <w:t>承运人责任险（每座150万）</w:t>
            </w:r>
          </w:p>
        </w:tc>
        <w:tc>
          <w:tcPr>
            <w:tcW w:w="1247" w:type="dxa"/>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en-US" w:eastAsia="zh-CN" w:bidi="ar-SA"/>
              </w:rPr>
              <w:t>2年</w:t>
            </w:r>
          </w:p>
        </w:tc>
        <w:tc>
          <w:tcPr>
            <w:tcW w:w="1587" w:type="dxa"/>
            <w:vMerge w:val="continue"/>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left"/>
              <w:textAlignment w:val="auto"/>
              <w:rPr>
                <w:rFonts w:hint="eastAsia" w:ascii="仿宋" w:hAnsi="仿宋" w:eastAsia="仿宋" w:cs="仿宋"/>
                <w:color w:val="auto"/>
                <w:kern w:val="2"/>
                <w:sz w:val="24"/>
                <w:szCs w:val="24"/>
                <w:highlight w:val="none"/>
                <w:lang w:val="zh-CN" w:eastAsia="zh-CN" w:bidi="ar-SA"/>
              </w:rPr>
            </w:pPr>
          </w:p>
        </w:tc>
        <w:tc>
          <w:tcPr>
            <w:tcW w:w="3288" w:type="dxa"/>
            <w:vMerge w:val="continue"/>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right="0" w:firstLine="0" w:firstLineChars="0"/>
              <w:jc w:val="left"/>
              <w:textAlignment w:val="auto"/>
              <w:rPr>
                <w:rFonts w:hint="eastAsia" w:ascii="仿宋" w:hAnsi="仿宋" w:eastAsia="仿宋" w:cs="仿宋"/>
                <w:color w:val="auto"/>
                <w:kern w:val="2"/>
                <w:sz w:val="24"/>
                <w:szCs w:val="24"/>
                <w:highlight w:val="none"/>
                <w:lang w:val="zh-CN" w:eastAsia="zh-CN" w:bidi="ar-SA"/>
              </w:rPr>
            </w:pPr>
          </w:p>
        </w:tc>
      </w:tr>
    </w:tbl>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三、服务期限</w:t>
      </w:r>
    </w:p>
    <w:p>
      <w:pPr>
        <w:spacing w:line="360" w:lineRule="auto"/>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服务期限为2年（具体以采购人通知为准）。投标人中标后，须按中标保险费与嵊州市公共交通有限公司签订保险服务合同，并签发保单。</w:t>
      </w:r>
    </w:p>
    <w:p>
      <w:pPr>
        <w:spacing w:line="360" w:lineRule="auto"/>
        <w:ind w:firstLine="0" w:firstLineChars="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四、服务要求</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1.投标人应指派专人负责采购人的保险业务联系工作。确保采购人获得优先服务的权利，享受大客户的便利条件。</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2.投标人应设有24小时全天报案服务电话，并设专人受理报案、接待、理赔。</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中标人在接到投保人的出险报案后,市区范围内的理赔人员应于0.5小时以内,市郊1小时内赶到现场。超过该时限,视为保险公司已到达现场,事故车可自行移位,以被保险人留存的现场资料及处理事故的相关材料为依据进行全额赔付。投保车辆出险后,中标人须根据投保人的要求提供全程上门服务:包括到全国各地帮助理赔及参与交警及法院调解处理相关费用由中标方负责。</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4.发生交通事故，采购人如有需预付赔款、医药费等，中标方必须及时预付。</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5.赔款时限：20000元以下1个工作日内；20000-100000元3个工作日内；100000元以上10个工作日内。</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6.对发生保险事故的车辆，在嵊州市范围实行免费拖车施救。</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7.依法判决的理赔案处理应以法院判决的标准全额赔付。</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8.投标人应对投保车辆建立用户档案，开展跟踪服务，对各个保险标的及保险情况进行信息化管理。</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9.投标人不得限制采购人要求的出险次数。对承保车辆不得加扣多次事故免赔率。</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10.保险生效时间以保单中载述的起止时间为准。采购人的保险费按约定支付后，投标人须及时出具全额保单，不得拖延。</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11.投标人应提供保险知识、出险索赔程序，安全等方面的咨询服务，并举行定期的主题活动，宣传保险安全知识。</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12.投标人应协助采购人做好对投保经办人的廉政工作，不得以任何形式向投保方提供回扣。</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13.投标人的中标保险费即为合同履行价格，必须按中标保险费签发保单，若发现中标人不按此规定执行，一经查实立即取消中标人保险资格。</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14.保密要求：与本项目有关的资料及数据成果中涉及国家秘密的内容，均要求按照《国家保密法》及相关法律法规执行。涉及单位秘密或财务数据的，投标人应当保密。</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五、保险范围明细及特别服务要求</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1.保险项目明细</w:t>
      </w:r>
    </w:p>
    <w:tbl>
      <w:tblPr>
        <w:tblStyle w:val="31"/>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2578"/>
        <w:gridCol w:w="4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内容</w:t>
            </w:r>
          </w:p>
        </w:tc>
        <w:tc>
          <w:tcPr>
            <w:tcW w:w="25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投保标的项目</w:t>
            </w:r>
          </w:p>
        </w:tc>
        <w:tc>
          <w:tcPr>
            <w:tcW w:w="49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保额及险种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16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车辆及承运人</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责任保险</w:t>
            </w:r>
          </w:p>
        </w:tc>
        <w:tc>
          <w:tcPr>
            <w:tcW w:w="25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交通事故责任强制险</w:t>
            </w:r>
          </w:p>
        </w:tc>
        <w:tc>
          <w:tcPr>
            <w:tcW w:w="49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按国家相关规定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216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25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机动车商业险</w:t>
            </w:r>
          </w:p>
        </w:tc>
        <w:tc>
          <w:tcPr>
            <w:tcW w:w="49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车损险、第三者责任险300万、所有险种的不计免赔险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16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25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承运人责任险</w:t>
            </w:r>
          </w:p>
        </w:tc>
        <w:tc>
          <w:tcPr>
            <w:tcW w:w="49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88" w:lineRule="auto"/>
              <w:ind w:left="0" w:right="0" w:firstLine="0" w:firstLineChars="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每座150万（含站位）</w:t>
            </w:r>
          </w:p>
        </w:tc>
      </w:tr>
    </w:tbl>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2.特别服务要求</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关于误工费、护理费的赔偿处理标准：投标方进行承诺及描述（包括但不限于以下内容：护理人数；抢救及治疗各阶段的护理赔偿标准和出院护理标准；收入较高者的实际收入减少的误工损失，退休返聘人员的误工费计算标准，无固定收入者以及各种户籍性质相对应的误工费赔偿标准）。</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2）误工时间的确认标准：请投标方承诺及描述实际理赔处理中的标准（不以公安部GB/T521-2004的规定期限作为唯一参考标准）。</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精神损失费的赔偿处理，请详细说明投标方实际理赔处理中的标准，如死亡、残疾事故的最高不同赔偿限额（要求按照法院调解的金额在交强险内作为第一顺序赔偿，法院依法判决的案件，以实际判决金额赔付）。</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4）关于对医疗费及营养费、鉴定费赔付，由投标人进行承诺及描述。</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5）后续治疗费用的赔偿：在伤者没有痊愈的状况下进行结案时，按照总医疗费的一定比例向伤者支付后续治疗费用，本比例由投标者自行承诺（该比例不得低于已发生医疗费用的30%）。</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6）关于涉及车损、第三者人伤以及车上乘客伤害小额赔案处理的需求，承诺不影响次年保费。</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7）属于人伤案的，采购人可以自行委托保险评估公司进行案件处理，投标人是否同意按评估公司处理方案进行理赔，由投标人承诺。</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8）为有效避免和减少事故发生，投标人应定期为采购人提相关安全知识培训，请投标人如何对驾驶员安全培训学习进行描述。</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9）属于采购人保额内自付费用，由投标人进行承诺及描述。</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10）为减少交通事故，由投标人提供防御性驾驶行为分析仪，并对仪器的品牌、性能及兼容性进行描述及承诺（具备哪些功能）。</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六、其他要求</w:t>
      </w:r>
    </w:p>
    <w:p>
      <w:pPr>
        <w:spacing w:line="360" w:lineRule="auto"/>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对车上乘客（包括司机和乘务人员）在车上发生意外事故，按照旅客运输合同责任赔付，整案赔付金额在10000元以下的，无事故证明及责任认定书，提供车载监控视频后，按旅客运输合同责任处理；10000元以上事故，提供相关事故证明及车载监控视频后，按旅客运输合同责任处理。</w:t>
      </w:r>
    </w:p>
    <w:p>
      <w:pPr>
        <w:spacing w:line="360" w:lineRule="auto"/>
        <w:ind w:firstLine="240" w:firstLineChars="1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七、商务响应表</w:t>
      </w:r>
    </w:p>
    <w:tbl>
      <w:tblPr>
        <w:tblStyle w:val="31"/>
        <w:tblW w:w="92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50"/>
        <w:gridCol w:w="752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bookmarkStart w:id="32" w:name="OLE_LINK16" w:colFirst="0" w:colLast="0"/>
            <w:r>
              <w:rPr>
                <w:rFonts w:hint="eastAsia" w:ascii="仿宋" w:hAnsi="仿宋" w:eastAsia="仿宋" w:cs="仿宋"/>
                <w:color w:val="auto"/>
                <w:kern w:val="2"/>
                <w:sz w:val="24"/>
                <w:szCs w:val="24"/>
                <w:highlight w:val="none"/>
                <w:lang w:val="en-US" w:eastAsia="zh-CN" w:bidi="ar-SA"/>
              </w:rPr>
              <w:t>服务期限</w:t>
            </w:r>
          </w:p>
        </w:tc>
        <w:tc>
          <w:tcPr>
            <w:tcW w:w="7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20" w:firstLineChars="5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服务期限2年（具体以采购人通知为准）。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服务时间</w:t>
            </w:r>
          </w:p>
        </w:tc>
        <w:tc>
          <w:tcPr>
            <w:tcW w:w="7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20" w:firstLineChars="5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保费到账后24小时内提供保单。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结算依据</w:t>
            </w:r>
          </w:p>
        </w:tc>
        <w:tc>
          <w:tcPr>
            <w:tcW w:w="7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tabs>
                <w:tab w:val="left" w:pos="900"/>
              </w:tabs>
              <w:kinsoku/>
              <w:wordWrap/>
              <w:overflowPunct/>
              <w:topLinePunct w:val="0"/>
              <w:autoSpaceDE/>
              <w:autoSpaceDN/>
              <w:bidi w:val="0"/>
              <w:adjustRightInd/>
              <w:snapToGrid/>
              <w:spacing w:before="0" w:beforeAutospacing="0" w:after="0" w:afterAutospacing="0" w:line="288" w:lineRule="auto"/>
              <w:ind w:right="0" w:firstLine="120" w:firstLineChars="5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按中标价结算（第二年保费由供应商自行承担风险）。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83"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付款方式</w:t>
            </w:r>
          </w:p>
        </w:tc>
        <w:tc>
          <w:tcPr>
            <w:tcW w:w="7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20" w:firstLineChars="5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1、签订合同后3个工作日内付清第一年全额保费，以此类推。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20" w:firstLineChars="5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2、中标人在收到投保单位汇出的保险费当日（以到账时间为准）出具保单和正式发票，并于24小时内送至投保单位。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20" w:firstLineChars="5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3.期内报废/转卖车辆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20" w:firstLineChars="5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报废/转卖的车辆，保费于退保时一次性结清，并于7个工作日内转入采购人指定账户。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保险责任期限</w:t>
            </w:r>
          </w:p>
        </w:tc>
        <w:tc>
          <w:tcPr>
            <w:tcW w:w="7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120" w:firstLineChars="5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保费一年一交，投保后保险有效期为1年。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履约保证金</w:t>
            </w:r>
          </w:p>
        </w:tc>
        <w:tc>
          <w:tcPr>
            <w:tcW w:w="7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63" w:beforeLines="20" w:line="288" w:lineRule="auto"/>
              <w:jc w:val="left"/>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en-US" w:eastAsia="zh-CN" w:bidi="ar-SA"/>
              </w:rPr>
              <w:t>履约保证金按中标金额的1%计取，中标单位中标通知书发出后5个工作日内向采购人递交履约保证金（银行支票、电汇、保函等方式），履约保证金待服务期满无违约问题后30日内无息退回。</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风险控制价</w:t>
            </w:r>
          </w:p>
        </w:tc>
        <w:tc>
          <w:tcPr>
            <w:tcW w:w="75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before="63" w:beforeLines="20" w:line="288"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zh-CN" w:eastAsia="zh-CN" w:bidi="ar-SA"/>
              </w:rPr>
              <w:t>本项目设风险控制价，风险控制价为预算金额的70%（即标项一：126000元；标项二：168000元）；若成交供应商的成交价低于该风险控制价的，成交供应商应在缴纳履约保证金的同时必须额外补交成交总价与风险控制价之差额（差额保证金不接受保函），成交供应商不缴纳的视为放弃成交，本项目重新组织招标,相关损失由放弃成交的成交供应商承担。差额保证金在服务期满后无息退还。若中标单位对项目无法按要求完成的，差额保证金不予退还，并按合同赔偿相应损失。</w:t>
            </w:r>
          </w:p>
        </w:tc>
      </w:tr>
      <w:bookmarkEnd w:id="32"/>
    </w:tbl>
    <w:p>
      <w:pPr>
        <w:spacing w:line="240" w:lineRule="auto"/>
        <w:ind w:left="0" w:leftChars="0" w:firstLine="0" w:firstLineChars="0"/>
        <w:jc w:val="both"/>
        <w:rPr>
          <w:rFonts w:hint="eastAsia" w:ascii="仿宋" w:hAnsi="仿宋" w:eastAsia="仿宋" w:cs="仿宋"/>
          <w:b/>
          <w:color w:val="auto"/>
          <w:sz w:val="32"/>
          <w:szCs w:val="32"/>
          <w:highlight w:val="none"/>
        </w:rPr>
      </w:pPr>
    </w:p>
    <w:p>
      <w:pPr>
        <w:jc w:val="left"/>
        <w:rPr>
          <w:rFonts w:hint="eastAsia" w:ascii="仿宋" w:hAnsi="仿宋" w:eastAsia="仿宋" w:cs="仿宋"/>
          <w:b/>
          <w:color w:val="auto"/>
          <w:sz w:val="24"/>
          <w:szCs w:val="24"/>
          <w:highlight w:val="none"/>
        </w:rPr>
      </w:pPr>
    </w:p>
    <w:p>
      <w:pPr>
        <w:jc w:val="left"/>
        <w:rPr>
          <w:rFonts w:hint="eastAsia" w:ascii="仿宋" w:hAnsi="仿宋" w:eastAsia="仿宋" w:cs="仿宋"/>
          <w:b/>
          <w:color w:val="auto"/>
          <w:sz w:val="24"/>
          <w:szCs w:val="24"/>
          <w:highlight w:val="none"/>
        </w:rPr>
      </w:pPr>
    </w:p>
    <w:p>
      <w:pPr>
        <w:jc w:val="left"/>
        <w:rPr>
          <w:rFonts w:hint="eastAsia" w:ascii="仿宋" w:hAnsi="仿宋" w:eastAsia="仿宋" w:cs="仿宋"/>
          <w:b/>
          <w:color w:val="auto"/>
          <w:sz w:val="24"/>
          <w:szCs w:val="24"/>
          <w:highlight w:val="none"/>
        </w:rPr>
      </w:pPr>
    </w:p>
    <w:p>
      <w:pPr>
        <w:jc w:val="left"/>
        <w:rPr>
          <w:rFonts w:hint="eastAsia" w:ascii="仿宋" w:hAnsi="仿宋" w:eastAsia="仿宋" w:cs="仿宋"/>
          <w:b/>
          <w:color w:val="auto"/>
          <w:sz w:val="24"/>
          <w:szCs w:val="24"/>
          <w:highlight w:val="none"/>
        </w:rPr>
      </w:pPr>
    </w:p>
    <w:p>
      <w:pPr>
        <w:jc w:val="left"/>
        <w:rPr>
          <w:rFonts w:hint="eastAsia" w:ascii="仿宋" w:hAnsi="仿宋" w:eastAsia="仿宋" w:cs="仿宋"/>
          <w:b/>
          <w:color w:val="auto"/>
          <w:sz w:val="24"/>
          <w:szCs w:val="24"/>
          <w:highlight w:val="none"/>
        </w:rPr>
      </w:pPr>
    </w:p>
    <w:p>
      <w:pPr>
        <w:jc w:val="left"/>
        <w:rPr>
          <w:rFonts w:hint="eastAsia" w:ascii="仿宋" w:hAnsi="仿宋" w:eastAsia="仿宋" w:cs="仿宋"/>
          <w:b/>
          <w:color w:val="auto"/>
          <w:sz w:val="24"/>
          <w:szCs w:val="24"/>
          <w:highlight w:val="none"/>
        </w:rPr>
      </w:pPr>
    </w:p>
    <w:p>
      <w:pPr>
        <w:jc w:val="left"/>
        <w:rPr>
          <w:rFonts w:hint="eastAsia" w:ascii="仿宋" w:hAnsi="仿宋" w:eastAsia="仿宋" w:cs="仿宋"/>
          <w:b/>
          <w:color w:val="auto"/>
          <w:sz w:val="24"/>
          <w:szCs w:val="24"/>
          <w:highlight w:val="none"/>
        </w:rPr>
      </w:pPr>
    </w:p>
    <w:p>
      <w:pPr>
        <w:jc w:val="left"/>
        <w:rPr>
          <w:rFonts w:hint="eastAsia" w:ascii="仿宋" w:hAnsi="仿宋" w:eastAsia="仿宋" w:cs="仿宋"/>
          <w:b/>
          <w:color w:val="auto"/>
          <w:sz w:val="24"/>
          <w:szCs w:val="24"/>
          <w:highlight w:val="none"/>
        </w:rPr>
      </w:pPr>
    </w:p>
    <w:p>
      <w:pPr>
        <w:jc w:val="left"/>
        <w:rPr>
          <w:rFonts w:hint="eastAsia" w:ascii="仿宋" w:hAnsi="仿宋" w:eastAsia="仿宋" w:cs="仿宋"/>
          <w:b/>
          <w:color w:val="auto"/>
          <w:sz w:val="24"/>
          <w:szCs w:val="24"/>
          <w:highlight w:val="none"/>
        </w:rPr>
      </w:pPr>
    </w:p>
    <w:p>
      <w:pPr>
        <w:jc w:val="left"/>
        <w:rPr>
          <w:rFonts w:hint="eastAsia" w:ascii="仿宋" w:hAnsi="仿宋" w:eastAsia="仿宋" w:cs="仿宋"/>
          <w:b/>
          <w:color w:val="auto"/>
          <w:sz w:val="24"/>
          <w:szCs w:val="24"/>
          <w:highlight w:val="none"/>
        </w:rPr>
      </w:pPr>
    </w:p>
    <w:p>
      <w:pPr>
        <w:jc w:val="left"/>
        <w:rPr>
          <w:rFonts w:hint="eastAsia" w:ascii="仿宋" w:hAnsi="仿宋" w:eastAsia="仿宋" w:cs="仿宋"/>
          <w:b/>
          <w:color w:val="auto"/>
          <w:sz w:val="24"/>
          <w:szCs w:val="24"/>
          <w:highlight w:val="none"/>
        </w:rPr>
      </w:pPr>
    </w:p>
    <w:p>
      <w:pPr>
        <w:jc w:val="left"/>
        <w:rPr>
          <w:rFonts w:hint="eastAsia" w:ascii="仿宋" w:hAnsi="仿宋" w:eastAsia="仿宋" w:cs="仿宋"/>
          <w:b/>
          <w:color w:val="auto"/>
          <w:sz w:val="24"/>
          <w:szCs w:val="24"/>
          <w:highlight w:val="none"/>
        </w:rPr>
      </w:pPr>
    </w:p>
    <w:p>
      <w:pPr>
        <w:jc w:val="left"/>
        <w:rPr>
          <w:rFonts w:hint="eastAsia" w:ascii="仿宋" w:hAnsi="仿宋" w:eastAsia="仿宋" w:cs="仿宋"/>
          <w:b/>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spacing w:before="157" w:beforeLines="50" w:after="157" w:afterLines="5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附：</w:t>
      </w:r>
      <w:r>
        <w:rPr>
          <w:rFonts w:hint="eastAsia" w:ascii="仿宋" w:hAnsi="仿宋" w:eastAsia="仿宋" w:cs="仿宋"/>
          <w:b/>
          <w:color w:val="auto"/>
          <w:sz w:val="24"/>
          <w:szCs w:val="24"/>
        </w:rPr>
        <w:t>2019年6辆8.5米的金龙</w:t>
      </w:r>
    </w:p>
    <w:p>
      <w:pPr>
        <w:rPr>
          <w:rFonts w:hint="eastAsia"/>
          <w:color w:val="auto"/>
        </w:rPr>
      </w:pPr>
      <w:r>
        <w:rPr>
          <w:color w:val="auto"/>
        </w:rPr>
        <w:drawing>
          <wp:inline distT="0" distB="0" distL="0" distR="0">
            <wp:extent cx="5274310" cy="1903095"/>
            <wp:effectExtent l="0" t="0" r="1397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srcRect/>
                    <a:stretch>
                      <a:fillRect/>
                    </a:stretch>
                  </pic:blipFill>
                  <pic:spPr>
                    <a:xfrm>
                      <a:off x="0" y="0"/>
                      <a:ext cx="5274310" cy="1903351"/>
                    </a:xfrm>
                    <a:prstGeom prst="rect">
                      <a:avLst/>
                    </a:prstGeom>
                    <a:noFill/>
                    <a:ln w="9525">
                      <a:noFill/>
                      <a:miter lim="800000"/>
                      <a:headEnd/>
                      <a:tailEnd/>
                    </a:ln>
                  </pic:spPr>
                </pic:pic>
              </a:graphicData>
            </a:graphic>
          </wp:inline>
        </w:drawing>
      </w:r>
    </w:p>
    <w:p>
      <w:pPr>
        <w:rPr>
          <w:rFonts w:hint="eastAsia"/>
          <w:color w:val="auto"/>
        </w:rPr>
      </w:pPr>
    </w:p>
    <w:p>
      <w:pPr>
        <w:rPr>
          <w:rFonts w:hint="eastAsia"/>
          <w:color w:val="auto"/>
        </w:rPr>
      </w:pPr>
      <w:r>
        <w:rPr>
          <w:color w:val="auto"/>
        </w:rPr>
        <w:drawing>
          <wp:inline distT="0" distB="0" distL="0" distR="0">
            <wp:extent cx="2664460" cy="1741170"/>
            <wp:effectExtent l="0" t="0" r="254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srcRect/>
                    <a:stretch>
                      <a:fillRect/>
                    </a:stretch>
                  </pic:blipFill>
                  <pic:spPr>
                    <a:xfrm>
                      <a:off x="0" y="0"/>
                      <a:ext cx="2669844" cy="1744779"/>
                    </a:xfrm>
                    <a:prstGeom prst="rect">
                      <a:avLst/>
                    </a:prstGeom>
                    <a:noFill/>
                    <a:ln w="9525">
                      <a:noFill/>
                      <a:miter lim="800000"/>
                      <a:headEnd/>
                      <a:tailEnd/>
                    </a:ln>
                  </pic:spPr>
                </pic:pic>
              </a:graphicData>
            </a:graphic>
          </wp:inline>
        </w:drawing>
      </w:r>
      <w:r>
        <w:rPr>
          <w:rFonts w:hint="eastAsia"/>
          <w:color w:val="auto"/>
        </w:rPr>
        <w:t xml:space="preserve"> </w:t>
      </w:r>
      <w:r>
        <w:rPr>
          <w:rFonts w:hint="eastAsia"/>
          <w:color w:val="auto"/>
        </w:rPr>
        <w:drawing>
          <wp:inline distT="0" distB="0" distL="0" distR="0">
            <wp:extent cx="2456180" cy="1868170"/>
            <wp:effectExtent l="0" t="0" r="1270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srcRect/>
                    <a:stretch>
                      <a:fillRect/>
                    </a:stretch>
                  </pic:blipFill>
                  <pic:spPr>
                    <a:xfrm>
                      <a:off x="0" y="0"/>
                      <a:ext cx="2459683" cy="1870775"/>
                    </a:xfrm>
                    <a:prstGeom prst="rect">
                      <a:avLst/>
                    </a:prstGeom>
                    <a:noFill/>
                    <a:ln w="9525">
                      <a:noFill/>
                      <a:miter lim="800000"/>
                      <a:headEnd/>
                      <a:tailEnd/>
                    </a:ln>
                  </pic:spPr>
                </pic:pic>
              </a:graphicData>
            </a:graphic>
          </wp:inline>
        </w:drawing>
      </w:r>
    </w:p>
    <w:p>
      <w:pPr>
        <w:rPr>
          <w:rFonts w:hint="eastAsia"/>
          <w:color w:val="auto"/>
        </w:rPr>
      </w:pPr>
    </w:p>
    <w:p>
      <w:pPr>
        <w:rPr>
          <w:rFonts w:hint="eastAsia"/>
          <w:color w:val="auto"/>
        </w:rPr>
      </w:pPr>
      <w:r>
        <w:rPr>
          <w:color w:val="auto"/>
        </w:rPr>
        <w:drawing>
          <wp:inline distT="0" distB="0" distL="0" distR="0">
            <wp:extent cx="5274310" cy="1974850"/>
            <wp:effectExtent l="0" t="0" r="1397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srcRect/>
                    <a:stretch>
                      <a:fillRect/>
                    </a:stretch>
                  </pic:blipFill>
                  <pic:spPr>
                    <a:xfrm>
                      <a:off x="0" y="0"/>
                      <a:ext cx="5274310" cy="1974923"/>
                    </a:xfrm>
                    <a:prstGeom prst="rect">
                      <a:avLst/>
                    </a:prstGeom>
                    <a:noFill/>
                    <a:ln w="9525">
                      <a:noFill/>
                      <a:miter lim="800000"/>
                      <a:headEnd/>
                      <a:tailEnd/>
                    </a:ln>
                  </pic:spPr>
                </pic:pic>
              </a:graphicData>
            </a:graphic>
          </wp:inline>
        </w:drawing>
      </w:r>
    </w:p>
    <w:p>
      <w:pPr>
        <w:rPr>
          <w:rFonts w:hint="eastAsia"/>
          <w:color w:val="auto"/>
        </w:rPr>
      </w:pPr>
    </w:p>
    <w:p>
      <w:pPr>
        <w:rPr>
          <w:rFonts w:hint="eastAsia"/>
          <w:color w:val="auto"/>
        </w:rPr>
      </w:pPr>
      <w:r>
        <w:rPr>
          <w:color w:val="auto"/>
        </w:rPr>
        <w:drawing>
          <wp:inline distT="0" distB="0" distL="0" distR="0">
            <wp:extent cx="5274310" cy="2042160"/>
            <wp:effectExtent l="0" t="0" r="139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srcRect/>
                    <a:stretch>
                      <a:fillRect/>
                    </a:stretch>
                  </pic:blipFill>
                  <pic:spPr>
                    <a:xfrm>
                      <a:off x="0" y="0"/>
                      <a:ext cx="5274310" cy="2042272"/>
                    </a:xfrm>
                    <a:prstGeom prst="rect">
                      <a:avLst/>
                    </a:prstGeom>
                    <a:noFill/>
                    <a:ln w="9525">
                      <a:noFill/>
                      <a:miter lim="800000"/>
                      <a:headEnd/>
                      <a:tailEnd/>
                    </a:ln>
                  </pic:spPr>
                </pic:pic>
              </a:graphicData>
            </a:graphic>
          </wp:inline>
        </w:drawing>
      </w:r>
    </w:p>
    <w:p>
      <w:pPr>
        <w:rPr>
          <w:rFonts w:hint="eastAsia"/>
          <w:color w:val="auto"/>
        </w:rPr>
      </w:pPr>
    </w:p>
    <w:p>
      <w:pPr>
        <w:rPr>
          <w:rFonts w:hint="eastAsia"/>
          <w:color w:val="auto"/>
        </w:rPr>
      </w:pPr>
    </w:p>
    <w:p>
      <w:pPr>
        <w:rPr>
          <w:rFonts w:hint="eastAsia"/>
          <w:color w:val="auto"/>
        </w:rPr>
      </w:pPr>
      <w:r>
        <w:rPr>
          <w:color w:val="auto"/>
        </w:rPr>
        <w:drawing>
          <wp:inline distT="0" distB="0" distL="0" distR="0">
            <wp:extent cx="5274310" cy="2002155"/>
            <wp:effectExtent l="0" t="0" r="1397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srcRect/>
                    <a:stretch>
                      <a:fillRect/>
                    </a:stretch>
                  </pic:blipFill>
                  <pic:spPr>
                    <a:xfrm>
                      <a:off x="0" y="0"/>
                      <a:ext cx="5274310" cy="2002784"/>
                    </a:xfrm>
                    <a:prstGeom prst="rect">
                      <a:avLst/>
                    </a:prstGeom>
                    <a:noFill/>
                    <a:ln w="9525">
                      <a:noFill/>
                      <a:miter lim="800000"/>
                      <a:headEnd/>
                      <a:tailEnd/>
                    </a:ln>
                  </pic:spPr>
                </pic:pic>
              </a:graphicData>
            </a:graphic>
          </wp:inline>
        </w:drawing>
      </w:r>
    </w:p>
    <w:p>
      <w:pPr>
        <w:rPr>
          <w:rFonts w:hint="eastAsia"/>
          <w:color w:val="auto"/>
        </w:rPr>
      </w:pPr>
    </w:p>
    <w:p>
      <w:pPr>
        <w:rPr>
          <w:rFonts w:hint="eastAsia"/>
          <w:color w:val="auto"/>
        </w:rPr>
      </w:pPr>
    </w:p>
    <w:p>
      <w:pPr>
        <w:rPr>
          <w:rFonts w:hint="eastAsia"/>
          <w:color w:val="auto"/>
        </w:rPr>
      </w:pPr>
      <w:r>
        <w:rPr>
          <w:color w:val="auto"/>
        </w:rPr>
        <w:drawing>
          <wp:inline distT="0" distB="0" distL="0" distR="0">
            <wp:extent cx="5274310" cy="1998980"/>
            <wp:effectExtent l="0" t="0" r="13970"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cstate="print"/>
                    <a:srcRect/>
                    <a:stretch>
                      <a:fillRect/>
                    </a:stretch>
                  </pic:blipFill>
                  <pic:spPr>
                    <a:xfrm>
                      <a:off x="0" y="0"/>
                      <a:ext cx="5274310" cy="1999189"/>
                    </a:xfrm>
                    <a:prstGeom prst="rect">
                      <a:avLst/>
                    </a:prstGeom>
                    <a:noFill/>
                    <a:ln w="9525">
                      <a:noFill/>
                      <a:miter lim="800000"/>
                      <a:headEnd/>
                      <a:tailEnd/>
                    </a:ln>
                  </pic:spPr>
                </pic:pic>
              </a:graphicData>
            </a:graphic>
          </wp:inline>
        </w:drawing>
      </w:r>
    </w:p>
    <w:p>
      <w:pPr>
        <w:rPr>
          <w:rFonts w:hint="eastAsia" w:ascii="仿宋" w:hAnsi="仿宋" w:eastAsia="仿宋" w:cs="仿宋"/>
          <w:color w:val="auto"/>
        </w:rPr>
      </w:pPr>
    </w:p>
    <w:p>
      <w:pPr>
        <w:spacing w:line="360" w:lineRule="auto"/>
        <w:jc w:val="both"/>
        <w:outlineLvl w:val="0"/>
        <w:rPr>
          <w:rFonts w:hint="eastAsia" w:ascii="仿宋" w:hAnsi="仿宋" w:eastAsia="仿宋" w:cs="仿宋"/>
          <w:b/>
          <w:color w:val="auto"/>
          <w:sz w:val="36"/>
          <w:szCs w:val="36"/>
          <w:highlight w:val="none"/>
        </w:rPr>
      </w:pPr>
    </w:p>
    <w:p>
      <w:pPr>
        <w:spacing w:line="360" w:lineRule="auto"/>
        <w:jc w:val="both"/>
        <w:outlineLvl w:val="0"/>
        <w:rPr>
          <w:rFonts w:hint="eastAsia" w:ascii="仿宋" w:hAnsi="仿宋" w:eastAsia="仿宋" w:cs="仿宋"/>
          <w:b/>
          <w:color w:val="auto"/>
          <w:sz w:val="36"/>
          <w:szCs w:val="36"/>
          <w:highlight w:val="none"/>
        </w:rPr>
      </w:pPr>
    </w:p>
    <w:p>
      <w:pPr>
        <w:spacing w:line="360" w:lineRule="auto"/>
        <w:jc w:val="both"/>
        <w:outlineLvl w:val="0"/>
        <w:rPr>
          <w:rFonts w:hint="eastAsia" w:ascii="仿宋" w:hAnsi="仿宋" w:eastAsia="仿宋" w:cs="仿宋"/>
          <w:b/>
          <w:color w:val="auto"/>
          <w:sz w:val="36"/>
          <w:szCs w:val="36"/>
          <w:highlight w:val="none"/>
        </w:rPr>
      </w:pPr>
    </w:p>
    <w:p>
      <w:pPr>
        <w:spacing w:line="360" w:lineRule="auto"/>
        <w:jc w:val="both"/>
        <w:outlineLvl w:val="0"/>
        <w:rPr>
          <w:rFonts w:hint="eastAsia" w:ascii="仿宋" w:hAnsi="仿宋" w:eastAsia="仿宋" w:cs="仿宋"/>
          <w:b/>
          <w:color w:val="auto"/>
          <w:sz w:val="36"/>
          <w:szCs w:val="36"/>
          <w:highlight w:val="none"/>
        </w:rPr>
      </w:pPr>
    </w:p>
    <w:p>
      <w:pPr>
        <w:spacing w:line="360" w:lineRule="auto"/>
        <w:jc w:val="both"/>
        <w:outlineLvl w:val="0"/>
        <w:rPr>
          <w:rFonts w:hint="eastAsia" w:ascii="仿宋" w:hAnsi="仿宋" w:eastAsia="仿宋" w:cs="仿宋"/>
          <w:b/>
          <w:color w:val="auto"/>
          <w:sz w:val="36"/>
          <w:szCs w:val="36"/>
          <w:highlight w:val="none"/>
        </w:rPr>
      </w:pPr>
    </w:p>
    <w:p>
      <w:pPr>
        <w:spacing w:line="360" w:lineRule="auto"/>
        <w:jc w:val="both"/>
        <w:outlineLvl w:val="0"/>
        <w:rPr>
          <w:rFonts w:hint="eastAsia" w:ascii="仿宋" w:hAnsi="仿宋" w:eastAsia="仿宋" w:cs="仿宋"/>
          <w:b/>
          <w:color w:val="auto"/>
          <w:sz w:val="36"/>
          <w:szCs w:val="36"/>
          <w:highlight w:val="none"/>
        </w:rPr>
      </w:pPr>
    </w:p>
    <w:p>
      <w:pPr>
        <w:spacing w:line="360" w:lineRule="auto"/>
        <w:jc w:val="both"/>
        <w:outlineLvl w:val="0"/>
        <w:rPr>
          <w:rFonts w:hint="eastAsia" w:ascii="仿宋" w:hAnsi="仿宋" w:eastAsia="仿宋" w:cs="仿宋"/>
          <w:b/>
          <w:color w:val="auto"/>
          <w:sz w:val="36"/>
          <w:szCs w:val="36"/>
          <w:highlight w:val="none"/>
        </w:rPr>
      </w:pPr>
    </w:p>
    <w:p>
      <w:pPr>
        <w:spacing w:line="360" w:lineRule="auto"/>
        <w:jc w:val="both"/>
        <w:outlineLvl w:val="0"/>
        <w:rPr>
          <w:rFonts w:hint="eastAsia" w:ascii="仿宋" w:hAnsi="仿宋" w:eastAsia="仿宋" w:cs="仿宋"/>
          <w:b/>
          <w:color w:val="auto"/>
          <w:sz w:val="36"/>
          <w:szCs w:val="36"/>
          <w:highlight w:val="none"/>
        </w:rPr>
      </w:pPr>
    </w:p>
    <w:p>
      <w:pPr>
        <w:spacing w:line="360" w:lineRule="auto"/>
        <w:jc w:val="both"/>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snapToGrid/>
        <w:spacing w:before="625" w:beforeLines="200" w:line="360" w:lineRule="auto"/>
        <w:jc w:val="center"/>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36"/>
          <w:szCs w:val="36"/>
          <w:highlight w:val="none"/>
        </w:rPr>
        <w:t>第四部分 拟签订的合同文本</w:t>
      </w:r>
    </w:p>
    <w:p>
      <w:pPr>
        <w:keepNext w:val="0"/>
        <w:keepLines w:val="0"/>
        <w:pageBreakBefore w:val="0"/>
        <w:widowControl w:val="0"/>
        <w:kinsoku/>
        <w:wordWrap/>
        <w:overflowPunct/>
        <w:topLinePunct w:val="0"/>
        <w:autoSpaceDE/>
        <w:autoSpaceDN/>
        <w:bidi w:val="0"/>
        <w:adjustRightInd/>
        <w:snapToGrid/>
        <w:spacing w:before="625" w:beforeLines="200" w:line="480" w:lineRule="auto"/>
        <w:jc w:val="center"/>
        <w:textAlignment w:val="auto"/>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spacing w:before="120" w:line="22" w:lineRule="atLeast"/>
        <w:rPr>
          <w:rFonts w:hint="eastAsia" w:ascii="仿宋" w:hAnsi="仿宋" w:eastAsia="仿宋" w:cs="仿宋"/>
          <w:color w:val="auto"/>
          <w:sz w:val="24"/>
          <w:highlight w:val="none"/>
        </w:rPr>
      </w:pPr>
    </w:p>
    <w:p>
      <w:pPr>
        <w:pStyle w:val="4"/>
        <w:tabs>
          <w:tab w:val="left" w:pos="432"/>
        </w:tabs>
        <w:rPr>
          <w:rFonts w:hint="eastAsia" w:ascii="仿宋" w:hAnsi="仿宋" w:eastAsia="仿宋" w:cs="仿宋"/>
          <w:color w:val="auto"/>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p>
      <w:pPr>
        <w:pStyle w:val="113"/>
        <w:spacing w:before="120" w:line="22" w:lineRule="atLeast"/>
        <w:rPr>
          <w:rFonts w:hint="eastAsia" w:ascii="仿宋" w:hAnsi="仿宋" w:eastAsia="仿宋" w:cs="仿宋"/>
          <w:color w:val="auto"/>
          <w:szCs w:val="24"/>
          <w:highlight w:val="none"/>
        </w:rPr>
      </w:pPr>
    </w:p>
    <w:p>
      <w:pPr>
        <w:pStyle w:val="113"/>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w:t>
      </w:r>
    </w:p>
    <w:p>
      <w:pPr>
        <w:rPr>
          <w:rFonts w:hint="eastAsia" w:ascii="仿宋" w:hAnsi="仿宋" w:eastAsia="仿宋" w:cs="仿宋"/>
          <w:color w:val="auto"/>
          <w:kern w:val="0"/>
          <w:sz w:val="24"/>
          <w:highlight w:val="none"/>
        </w:rPr>
      </w:pPr>
    </w:p>
    <w:p>
      <w:pPr>
        <w:spacing w:line="440" w:lineRule="exact"/>
        <w:rPr>
          <w:rFonts w:hint="eastAsia" w:ascii="仿宋" w:hAnsi="仿宋" w:eastAsia="仿宋" w:cs="仿宋"/>
          <w:color w:val="auto"/>
          <w:sz w:val="24"/>
          <w:highlight w:val="none"/>
          <w:lang w:val="zh-CN"/>
        </w:rPr>
      </w:pPr>
    </w:p>
    <w:p>
      <w:pPr>
        <w:spacing w:line="440" w:lineRule="exact"/>
        <w:rPr>
          <w:rFonts w:hint="eastAsia" w:ascii="仿宋" w:hAnsi="仿宋" w:eastAsia="仿宋" w:cs="仿宋"/>
          <w:color w:val="auto"/>
          <w:sz w:val="24"/>
          <w:highlight w:val="none"/>
          <w:lang w:val="zh-CN"/>
        </w:rPr>
      </w:pPr>
    </w:p>
    <w:p>
      <w:pPr>
        <w:spacing w:line="440" w:lineRule="exact"/>
        <w:rPr>
          <w:rFonts w:hint="eastAsia" w:ascii="仿宋" w:hAnsi="仿宋" w:eastAsia="仿宋" w:cs="仿宋"/>
          <w:color w:val="auto"/>
          <w:sz w:val="24"/>
          <w:highlight w:val="none"/>
          <w:lang w:val="zh-CN"/>
        </w:rPr>
      </w:pPr>
    </w:p>
    <w:p>
      <w:pPr>
        <w:pStyle w:val="38"/>
        <w:rPr>
          <w:rFonts w:hint="eastAsia" w:ascii="仿宋" w:hAnsi="仿宋" w:eastAsia="仿宋" w:cs="仿宋"/>
          <w:color w:val="auto"/>
          <w:sz w:val="24"/>
          <w:highlight w:val="none"/>
          <w:lang w:val="zh-CN"/>
        </w:rPr>
      </w:pPr>
    </w:p>
    <w:p>
      <w:pPr>
        <w:pStyle w:val="39"/>
        <w:rPr>
          <w:rFonts w:hint="eastAsia" w:ascii="仿宋" w:hAnsi="仿宋" w:eastAsia="仿宋" w:cs="仿宋"/>
          <w:color w:val="auto"/>
          <w:sz w:val="24"/>
          <w:highlight w:val="none"/>
          <w:lang w:val="zh-CN"/>
        </w:rPr>
      </w:pPr>
    </w:p>
    <w:p>
      <w:pPr>
        <w:rPr>
          <w:rFonts w:hint="eastAsia" w:ascii="仿宋" w:hAnsi="仿宋" w:eastAsia="仿宋" w:cs="仿宋"/>
          <w:color w:val="auto"/>
          <w:sz w:val="24"/>
          <w:highlight w:val="none"/>
          <w:lang w:val="zh-CN"/>
        </w:rPr>
      </w:pPr>
    </w:p>
    <w:p>
      <w:pPr>
        <w:pStyle w:val="38"/>
        <w:rPr>
          <w:rFonts w:hint="eastAsia" w:ascii="仿宋" w:hAnsi="仿宋" w:eastAsia="仿宋" w:cs="仿宋"/>
          <w:color w:val="auto"/>
          <w:sz w:val="24"/>
          <w:highlight w:val="none"/>
          <w:lang w:val="zh-CN"/>
        </w:rPr>
      </w:pPr>
    </w:p>
    <w:p>
      <w:pPr>
        <w:pStyle w:val="39"/>
        <w:rPr>
          <w:rFonts w:hint="eastAsia" w:ascii="仿宋" w:hAnsi="仿宋" w:eastAsia="仿宋" w:cs="仿宋"/>
          <w:color w:val="auto"/>
          <w:highlight w:val="none"/>
          <w:lang w:val="zh-CN"/>
        </w:rPr>
      </w:pPr>
    </w:p>
    <w:p>
      <w:pPr>
        <w:pStyle w:val="39"/>
        <w:rPr>
          <w:rFonts w:hint="eastAsia" w:ascii="仿宋" w:hAnsi="仿宋" w:eastAsia="仿宋" w:cs="仿宋"/>
          <w:color w:val="auto"/>
          <w:sz w:val="24"/>
          <w:highlight w:val="none"/>
          <w:lang w:val="zh-CN"/>
        </w:rPr>
      </w:pPr>
    </w:p>
    <w:p>
      <w:pPr>
        <w:rPr>
          <w:rFonts w:hint="eastAsia" w:ascii="仿宋" w:hAnsi="仿宋" w:eastAsia="仿宋" w:cs="仿宋"/>
          <w:color w:val="auto"/>
          <w:sz w:val="24"/>
          <w:highlight w:val="none"/>
          <w:lang w:val="zh-CN"/>
        </w:rPr>
      </w:pPr>
    </w:p>
    <w:p>
      <w:pPr>
        <w:pageBreakBefore w:val="0"/>
        <w:kinsoku/>
        <w:wordWrap/>
        <w:overflowPunct/>
        <w:topLinePunct w:val="0"/>
        <w:autoSpaceDE/>
        <w:autoSpaceDN/>
        <w:bidi w:val="0"/>
        <w:adjustRightInd/>
        <w:snapToGrid w:val="0"/>
        <w:spacing w:line="480" w:lineRule="exact"/>
        <w:jc w:val="left"/>
        <w:textAlignment w:val="auto"/>
        <w:rPr>
          <w:rFonts w:hint="eastAsia" w:ascii="仿宋" w:hAnsi="仿宋" w:eastAsia="仿宋" w:cs="仿宋"/>
          <w:bCs/>
          <w:color w:val="auto"/>
          <w:sz w:val="24"/>
          <w:szCs w:val="24"/>
          <w:highlight w:val="none"/>
        </w:rPr>
      </w:pPr>
    </w:p>
    <w:p>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甲  方（使用方）：</w:t>
      </w:r>
    </w:p>
    <w:p>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乙  方（供应商）：</w:t>
      </w:r>
    </w:p>
    <w:p>
      <w:pPr>
        <w:pStyle w:val="15"/>
        <w:pageBreakBefore w:val="0"/>
        <w:numPr>
          <w:ilvl w:val="0"/>
          <w:numId w:val="0"/>
        </w:numPr>
        <w:tabs>
          <w:tab w:val="left" w:pos="180"/>
        </w:tabs>
        <w:kinsoku/>
        <w:wordWrap/>
        <w:overflowPunct/>
        <w:topLinePunct w:val="0"/>
        <w:autoSpaceDE/>
        <w:autoSpaceDN/>
        <w:bidi w:val="0"/>
        <w:adjustRightInd/>
        <w:snapToGrid w:val="0"/>
        <w:spacing w:line="480" w:lineRule="exact"/>
        <w:ind w:firstLine="480" w:firstLineChars="200"/>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Cs/>
          <w:color w:val="auto"/>
          <w:sz w:val="24"/>
          <w:szCs w:val="24"/>
          <w:highlight w:val="none"/>
        </w:rPr>
        <w:t>甲、</w:t>
      </w:r>
      <w:r>
        <w:rPr>
          <w:rFonts w:hint="eastAsia" w:ascii="仿宋" w:hAnsi="仿宋" w:eastAsia="仿宋" w:cs="仿宋"/>
          <w:color w:val="auto"/>
          <w:kern w:val="2"/>
          <w:sz w:val="24"/>
          <w:szCs w:val="24"/>
          <w:highlight w:val="none"/>
          <w:lang w:val="en-US" w:eastAsia="zh-CN" w:bidi="ar-SA"/>
        </w:rPr>
        <w:t>乙双方根据</w:t>
      </w:r>
      <w:r>
        <w:rPr>
          <w:rFonts w:hint="eastAsia" w:ascii="仿宋" w:hAnsi="仿宋" w:eastAsia="仿宋" w:cs="仿宋"/>
          <w:color w:val="auto"/>
          <w:kern w:val="2"/>
          <w:sz w:val="24"/>
          <w:szCs w:val="24"/>
          <w:highlight w:val="none"/>
          <w:lang w:val="zh-CN" w:eastAsia="zh-CN" w:bidi="ar-SA"/>
        </w:rPr>
        <w:t>2025年2月嵊州市公共交通有限公司车辆保险采购项目</w:t>
      </w:r>
      <w:r>
        <w:rPr>
          <w:rFonts w:hint="eastAsia" w:ascii="仿宋" w:hAnsi="仿宋" w:eastAsia="仿宋" w:cs="仿宋"/>
          <w:color w:val="auto"/>
          <w:kern w:val="2"/>
          <w:sz w:val="24"/>
          <w:szCs w:val="24"/>
          <w:highlight w:val="none"/>
          <w:lang w:val="en-US" w:eastAsia="zh-CN" w:bidi="ar-SA"/>
        </w:rPr>
        <w:t>（项目编号：ZJHY-SZ2025004）公开招标的</w:t>
      </w:r>
      <w:r>
        <w:rPr>
          <w:rFonts w:hint="eastAsia" w:ascii="仿宋" w:hAnsi="仿宋" w:eastAsia="仿宋" w:cs="仿宋"/>
          <w:b w:val="0"/>
          <w:bCs/>
          <w:color w:val="auto"/>
          <w:kern w:val="2"/>
          <w:sz w:val="24"/>
          <w:szCs w:val="24"/>
          <w:highlight w:val="none"/>
          <w:lang w:val="en-US" w:eastAsia="zh-CN" w:bidi="ar-SA"/>
        </w:rPr>
        <w:t>结果，签署本合同。</w:t>
      </w:r>
    </w:p>
    <w:p>
      <w:pPr>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第一条、合同文件</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下列文件构成本合同的组成部分，应该认为是一个整体，彼此相互解释，相互补充。组成合同的多个文件的优先支配地位的次序如下：</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Chars="20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合同书</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Chars="20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中标通知书</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Chars="20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中标人投标文件(含澄清或询标内容)</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Chars="20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招标文件 (含澄清修改文件)</w:t>
      </w:r>
    </w:p>
    <w:p>
      <w:pPr>
        <w:keepNext w:val="0"/>
        <w:keepLines w:val="0"/>
        <w:pageBreakBefore w:val="0"/>
        <w:widowControl w:val="0"/>
        <w:tabs>
          <w:tab w:val="left" w:pos="900"/>
        </w:tabs>
        <w:suppressAutoHyphens/>
        <w:kinsoku/>
        <w:wordWrap/>
        <w:overflowPunct/>
        <w:topLinePunct w:val="0"/>
        <w:autoSpaceDE/>
        <w:autoSpaceDN/>
        <w:bidi w:val="0"/>
        <w:adjustRightInd/>
        <w:snapToGrid w:val="0"/>
        <w:spacing w:line="48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第二条、承保范围</w:t>
      </w:r>
    </w:p>
    <w:p>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乙方为甲方所有车辆提供</w:t>
      </w:r>
      <w:r>
        <w:rPr>
          <w:rFonts w:hint="eastAsia" w:ascii="仿宋" w:hAnsi="仿宋" w:eastAsia="仿宋" w:cs="仿宋"/>
          <w:color w:val="auto"/>
          <w:sz w:val="24"/>
          <w:szCs w:val="24"/>
          <w:highlight w:val="none"/>
          <w:u w:val="single"/>
        </w:rPr>
        <w:t>车辆及承运人责任保险服务</w:t>
      </w:r>
      <w:r>
        <w:rPr>
          <w:rFonts w:hint="eastAsia" w:ascii="仿宋" w:hAnsi="仿宋" w:eastAsia="仿宋" w:cs="仿宋"/>
          <w:color w:val="auto"/>
          <w:sz w:val="24"/>
          <w:szCs w:val="24"/>
          <w:highlight w:val="none"/>
        </w:rPr>
        <w:t>。</w:t>
      </w:r>
      <w:r>
        <w:rPr>
          <w:rFonts w:hint="eastAsia" w:ascii="仿宋" w:hAnsi="仿宋" w:eastAsia="仿宋" w:cs="仿宋"/>
          <w:color w:val="auto"/>
          <w:kern w:val="2"/>
          <w:sz w:val="24"/>
          <w:szCs w:val="24"/>
          <w:highlight w:val="none"/>
          <w:lang w:val="en-US" w:eastAsia="zh-CN" w:bidi="ar-SA"/>
        </w:rPr>
        <w:t>具体车辆险种：交通事故责任强制险、机动车商业险（车损险、第三者责任险300万、所有险种的不计免赔险）、承运人责任险每座150万（含站位）。(具体车辆信息、险种及日期以采购方提供的清单为准)。</w:t>
      </w:r>
    </w:p>
    <w:p>
      <w:pPr>
        <w:keepNext w:val="0"/>
        <w:keepLines w:val="0"/>
        <w:pageBreakBefore w:val="0"/>
        <w:widowControl w:val="0"/>
        <w:tabs>
          <w:tab w:val="left" w:pos="900"/>
        </w:tabs>
        <w:suppressAutoHyphens/>
        <w:kinsoku/>
        <w:wordWrap/>
        <w:overflowPunct/>
        <w:topLinePunct w:val="0"/>
        <w:autoSpaceDE/>
        <w:autoSpaceDN/>
        <w:bidi w:val="0"/>
        <w:adjustRightInd/>
        <w:snapToGrid w:val="0"/>
        <w:spacing w:line="480" w:lineRule="exact"/>
        <w:ind w:left="0" w:firstLine="482" w:firstLineChars="200"/>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第三条、</w:t>
      </w:r>
      <w:r>
        <w:rPr>
          <w:rFonts w:hint="eastAsia" w:ascii="仿宋" w:hAnsi="仿宋" w:eastAsia="仿宋" w:cs="仿宋"/>
          <w:b/>
          <w:color w:val="auto"/>
          <w:sz w:val="24"/>
          <w:szCs w:val="24"/>
          <w:highlight w:val="none"/>
          <w:lang w:val="en-US" w:eastAsia="zh-CN"/>
        </w:rPr>
        <w:t>服务期</w:t>
      </w:r>
    </w:p>
    <w:p>
      <w:pPr>
        <w:keepNext w:val="0"/>
        <w:keepLines w:val="0"/>
        <w:pageBreakBefore w:val="0"/>
        <w:widowControl w:val="0"/>
        <w:tabs>
          <w:tab w:val="left" w:pos="900"/>
        </w:tabs>
        <w:suppressAutoHyphens/>
        <w:kinsoku/>
        <w:wordWrap/>
        <w:overflowPunct/>
        <w:topLinePunct w:val="0"/>
        <w:autoSpaceDE/>
        <w:autoSpaceDN/>
        <w:bidi w:val="0"/>
        <w:adjustRightInd/>
        <w:snapToGrid w:val="0"/>
        <w:spacing w:line="48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color w:val="auto"/>
          <w:kern w:val="0"/>
          <w:sz w:val="24"/>
          <w:szCs w:val="24"/>
          <w:highlight w:val="none"/>
          <w:lang w:val="en-US" w:eastAsia="zh-CN"/>
        </w:rPr>
        <w:t>服务期</w:t>
      </w:r>
      <w:r>
        <w:rPr>
          <w:rFonts w:hint="eastAsia" w:ascii="仿宋" w:hAnsi="仿宋" w:eastAsia="仿宋" w:cs="仿宋"/>
          <w:b w:val="0"/>
          <w:color w:val="auto"/>
          <w:sz w:val="24"/>
          <w:szCs w:val="24"/>
          <w:highlight w:val="none"/>
          <w:lang w:val="en-US" w:eastAsia="zh-CN"/>
        </w:rPr>
        <w:t>2年</w:t>
      </w:r>
      <w:r>
        <w:rPr>
          <w:rFonts w:hint="eastAsia" w:ascii="仿宋" w:hAnsi="仿宋" w:eastAsia="仿宋" w:cs="仿宋"/>
          <w:color w:val="auto"/>
          <w:sz w:val="24"/>
          <w:szCs w:val="24"/>
          <w:highlight w:val="none"/>
          <w:lang w:val="en-US" w:eastAsia="zh-CN"/>
        </w:rPr>
        <w:t>（具体以采购人通知为准）。</w:t>
      </w:r>
    </w:p>
    <w:p>
      <w:pPr>
        <w:keepNext w:val="0"/>
        <w:keepLines w:val="0"/>
        <w:pageBreakBefore w:val="0"/>
        <w:widowControl w:val="0"/>
        <w:numPr>
          <w:ilvl w:val="0"/>
          <w:numId w:val="0"/>
        </w:numPr>
        <w:tabs>
          <w:tab w:val="left" w:pos="900"/>
        </w:tabs>
        <w:suppressAutoHyphens/>
        <w:kinsoku/>
        <w:wordWrap/>
        <w:overflowPunct/>
        <w:topLinePunct w:val="0"/>
        <w:autoSpaceDE/>
        <w:autoSpaceDN/>
        <w:bidi w:val="0"/>
        <w:adjustRightInd/>
        <w:snapToGrid w:val="0"/>
        <w:spacing w:line="480" w:lineRule="exact"/>
        <w:ind w:firstLine="482" w:firstLineChars="200"/>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第四条、车辆投保数量及金额</w:t>
      </w:r>
    </w:p>
    <w:tbl>
      <w:tblPr>
        <w:tblStyle w:val="31"/>
        <w:tblW w:w="8915"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686"/>
        <w:gridCol w:w="1771"/>
        <w:gridCol w:w="1114"/>
        <w:gridCol w:w="2043"/>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序号</w:t>
            </w:r>
          </w:p>
        </w:tc>
        <w:tc>
          <w:tcPr>
            <w:tcW w:w="16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品牌</w:t>
            </w:r>
          </w:p>
        </w:tc>
        <w:tc>
          <w:tcPr>
            <w:tcW w:w="17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数量</w:t>
            </w:r>
          </w:p>
        </w:tc>
        <w:tc>
          <w:tcPr>
            <w:tcW w:w="11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单位</w:t>
            </w:r>
          </w:p>
        </w:tc>
        <w:tc>
          <w:tcPr>
            <w:tcW w:w="20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color w:val="auto"/>
                <w:kern w:val="0"/>
                <w:sz w:val="24"/>
                <w:szCs w:val="24"/>
                <w:highlight w:val="none"/>
              </w:rPr>
              <w:t>核定载人数</w:t>
            </w:r>
          </w:p>
        </w:tc>
        <w:tc>
          <w:tcPr>
            <w:tcW w:w="15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7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68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17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11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204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仿宋" w:hAnsi="仿宋" w:eastAsia="仿宋" w:cs="仿宋"/>
                <w:color w:val="auto"/>
                <w:sz w:val="24"/>
                <w:szCs w:val="24"/>
                <w:highlight w:val="none"/>
                <w:lang w:val="en-US" w:eastAsia="zh-CN"/>
              </w:rPr>
            </w:pPr>
          </w:p>
        </w:tc>
        <w:tc>
          <w:tcPr>
            <w:tcW w:w="152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915"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合同金额：大写人民币         元整；                  RMB：元</w:t>
            </w:r>
          </w:p>
        </w:tc>
      </w:tr>
    </w:tbl>
    <w:p>
      <w:pPr>
        <w:keepNext w:val="0"/>
        <w:keepLines w:val="0"/>
        <w:pageBreakBefore w:val="0"/>
        <w:widowControl w:val="0"/>
        <w:numPr>
          <w:ilvl w:val="0"/>
          <w:numId w:val="0"/>
        </w:numPr>
        <w:tabs>
          <w:tab w:val="left" w:pos="900"/>
        </w:tabs>
        <w:suppressAutoHyphens/>
        <w:kinsoku/>
        <w:wordWrap/>
        <w:overflowPunct/>
        <w:topLinePunct w:val="0"/>
        <w:autoSpaceDE/>
        <w:autoSpaceDN/>
        <w:bidi w:val="0"/>
        <w:adjustRightInd/>
        <w:snapToGrid w:val="0"/>
        <w:spacing w:line="480" w:lineRule="exact"/>
        <w:ind w:firstLine="482" w:firstLineChars="200"/>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第</w:t>
      </w:r>
      <w:r>
        <w:rPr>
          <w:rFonts w:hint="eastAsia" w:ascii="仿宋" w:hAnsi="仿宋" w:eastAsia="仿宋" w:cs="仿宋"/>
          <w:b/>
          <w:color w:val="auto"/>
          <w:sz w:val="24"/>
          <w:szCs w:val="24"/>
          <w:highlight w:val="none"/>
          <w:lang w:val="en-US" w:eastAsia="zh-CN"/>
        </w:rPr>
        <w:t>五</w:t>
      </w:r>
      <w:r>
        <w:rPr>
          <w:rFonts w:hint="eastAsia" w:ascii="仿宋" w:hAnsi="仿宋" w:eastAsia="仿宋" w:cs="仿宋"/>
          <w:b/>
          <w:color w:val="auto"/>
          <w:sz w:val="24"/>
          <w:szCs w:val="24"/>
          <w:highlight w:val="none"/>
        </w:rPr>
        <w:t>条、</w:t>
      </w:r>
      <w:r>
        <w:rPr>
          <w:rFonts w:hint="eastAsia" w:ascii="仿宋" w:hAnsi="仿宋" w:eastAsia="仿宋" w:cs="仿宋"/>
          <w:b/>
          <w:color w:val="auto"/>
          <w:sz w:val="24"/>
          <w:szCs w:val="24"/>
          <w:highlight w:val="none"/>
          <w:lang w:val="en-US" w:eastAsia="zh-CN"/>
        </w:rPr>
        <w:t>结算依据</w:t>
      </w:r>
    </w:p>
    <w:p>
      <w:pPr>
        <w:keepNext w:val="0"/>
        <w:keepLines w:val="0"/>
        <w:pageBreakBefore w:val="0"/>
        <w:widowControl w:val="0"/>
        <w:tabs>
          <w:tab w:val="left" w:pos="0"/>
        </w:tabs>
        <w:kinsoku/>
        <w:wordWrap/>
        <w:overflowPunct/>
        <w:topLinePunct w:val="0"/>
        <w:autoSpaceDE/>
        <w:autoSpaceDN/>
        <w:bidi w:val="0"/>
        <w:adjustRightInd/>
        <w:snapToGrid w:val="0"/>
        <w:spacing w:line="480" w:lineRule="exact"/>
        <w:ind w:left="0"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按中标价结算（第二年保费由供应商自行承担风险）。</w:t>
      </w:r>
    </w:p>
    <w:p>
      <w:pPr>
        <w:keepNext w:val="0"/>
        <w:keepLines w:val="0"/>
        <w:pageBreakBefore w:val="0"/>
        <w:widowControl w:val="0"/>
        <w:tabs>
          <w:tab w:val="left" w:pos="0"/>
        </w:tabs>
        <w:kinsoku/>
        <w:wordWrap/>
        <w:overflowPunct/>
        <w:topLinePunct w:val="0"/>
        <w:autoSpaceDE/>
        <w:autoSpaceDN/>
        <w:bidi w:val="0"/>
        <w:adjustRightInd/>
        <w:snapToGrid w:val="0"/>
        <w:spacing w:line="480" w:lineRule="exact"/>
        <w:ind w:left="0"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第六条、</w:t>
      </w:r>
      <w:r>
        <w:rPr>
          <w:rFonts w:hint="eastAsia" w:ascii="仿宋" w:hAnsi="仿宋" w:eastAsia="仿宋" w:cs="仿宋"/>
          <w:b/>
          <w:color w:val="auto"/>
          <w:sz w:val="24"/>
          <w:szCs w:val="24"/>
          <w:highlight w:val="none"/>
        </w:rPr>
        <w:t>履约保证金</w:t>
      </w:r>
    </w:p>
    <w:p>
      <w:pPr>
        <w:keepNext w:val="0"/>
        <w:keepLines w:val="0"/>
        <w:pageBreakBefore w:val="0"/>
        <w:widowControl w:val="0"/>
        <w:tabs>
          <w:tab w:val="left" w:pos="900"/>
        </w:tabs>
        <w:kinsoku/>
        <w:wordWrap/>
        <w:overflowPunct/>
        <w:topLinePunct w:val="0"/>
        <w:autoSpaceDE/>
        <w:autoSpaceDN/>
        <w:bidi w:val="0"/>
        <w:adjustRightInd/>
        <w:snapToGrid w:val="0"/>
        <w:spacing w:line="480" w:lineRule="exact"/>
        <w:ind w:left="0"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b w:val="0"/>
          <w:bCs/>
          <w:color w:val="auto"/>
          <w:sz w:val="24"/>
          <w:szCs w:val="24"/>
          <w:highlight w:val="none"/>
          <w:lang w:val="en-US" w:eastAsia="zh-CN"/>
        </w:rPr>
        <w:t>履约保证金按中标金额的1%计取，</w:t>
      </w:r>
      <w:r>
        <w:rPr>
          <w:rFonts w:hint="eastAsia" w:ascii="仿宋" w:hAnsi="仿宋" w:eastAsia="仿宋" w:cs="仿宋"/>
          <w:color w:val="auto"/>
          <w:kern w:val="2"/>
          <w:sz w:val="24"/>
          <w:szCs w:val="24"/>
          <w:highlight w:val="none"/>
          <w:lang w:val="en-US" w:eastAsia="zh-CN" w:bidi="ar-SA"/>
        </w:rPr>
        <w:t>中标单位中标通知书发出后5个工作日内向采购人递交履约保证金</w:t>
      </w:r>
      <w:r>
        <w:rPr>
          <w:rFonts w:hint="eastAsia" w:ascii="仿宋" w:hAnsi="仿宋" w:eastAsia="仿宋" w:cs="仿宋"/>
          <w:color w:val="auto"/>
          <w:spacing w:val="0"/>
          <w:w w:val="100"/>
          <w:position w:val="0"/>
          <w:sz w:val="24"/>
          <w:szCs w:val="24"/>
          <w:highlight w:val="none"/>
          <w:u w:val="none"/>
          <w:shd w:val="clear" w:color="auto" w:fill="auto"/>
          <w:lang w:val="en-US" w:eastAsia="zh-CN" w:bidi="zh-TW"/>
        </w:rPr>
        <w:t>（</w:t>
      </w:r>
      <w:r>
        <w:rPr>
          <w:rFonts w:hint="eastAsia" w:ascii="仿宋" w:hAnsi="仿宋" w:eastAsia="仿宋" w:cs="仿宋"/>
          <w:b w:val="0"/>
          <w:bCs w:val="0"/>
          <w:color w:val="auto"/>
          <w:sz w:val="24"/>
          <w:szCs w:val="24"/>
          <w:highlight w:val="none"/>
          <w:lang w:val="en-US" w:eastAsia="zh-CN"/>
        </w:rPr>
        <w:t>银行支票、电汇、保函等方式</w:t>
      </w:r>
      <w:r>
        <w:rPr>
          <w:rFonts w:hint="eastAsia" w:ascii="仿宋" w:hAnsi="仿宋" w:eastAsia="仿宋" w:cs="仿宋"/>
          <w:color w:val="auto"/>
          <w:spacing w:val="0"/>
          <w:w w:val="100"/>
          <w:position w:val="0"/>
          <w:sz w:val="24"/>
          <w:szCs w:val="24"/>
          <w:highlight w:val="none"/>
          <w:u w:val="none"/>
          <w:shd w:val="clear" w:color="auto" w:fill="auto"/>
          <w:lang w:val="en-US" w:eastAsia="zh-CN" w:bidi="zh-TW"/>
        </w:rPr>
        <w:t>），</w:t>
      </w:r>
      <w:r>
        <w:rPr>
          <w:rFonts w:hint="eastAsia" w:ascii="仿宋" w:hAnsi="仿宋" w:eastAsia="仿宋" w:cs="仿宋"/>
          <w:color w:val="auto"/>
          <w:sz w:val="24"/>
          <w:szCs w:val="24"/>
          <w:highlight w:val="none"/>
        </w:rPr>
        <w:t>履约保证金待</w:t>
      </w:r>
      <w:r>
        <w:rPr>
          <w:rFonts w:hint="eastAsia" w:ascii="仿宋" w:hAnsi="仿宋" w:eastAsia="仿宋" w:cs="仿宋"/>
          <w:color w:val="auto"/>
          <w:sz w:val="24"/>
          <w:szCs w:val="24"/>
          <w:highlight w:val="none"/>
          <w:lang w:val="en-US" w:eastAsia="zh-CN"/>
        </w:rPr>
        <w:t>服务</w:t>
      </w:r>
      <w:r>
        <w:rPr>
          <w:rFonts w:hint="eastAsia" w:ascii="仿宋" w:hAnsi="仿宋" w:eastAsia="仿宋" w:cs="仿宋"/>
          <w:snapToGrid w:val="0"/>
          <w:color w:val="auto"/>
          <w:kern w:val="0"/>
          <w:sz w:val="24"/>
          <w:szCs w:val="24"/>
          <w:highlight w:val="none"/>
        </w:rPr>
        <w:t>期满</w:t>
      </w:r>
      <w:r>
        <w:rPr>
          <w:rFonts w:hint="eastAsia" w:ascii="仿宋" w:hAnsi="仿宋" w:eastAsia="仿宋" w:cs="仿宋"/>
          <w:snapToGrid w:val="0"/>
          <w:color w:val="auto"/>
          <w:kern w:val="0"/>
          <w:sz w:val="24"/>
          <w:szCs w:val="24"/>
          <w:highlight w:val="none"/>
          <w:lang w:val="en-US" w:eastAsia="zh-CN"/>
        </w:rPr>
        <w:t>无违约问题后30</w:t>
      </w:r>
      <w:r>
        <w:rPr>
          <w:rFonts w:hint="eastAsia" w:ascii="仿宋" w:hAnsi="仿宋" w:eastAsia="仿宋" w:cs="仿宋"/>
          <w:snapToGrid w:val="0"/>
          <w:color w:val="auto"/>
          <w:kern w:val="0"/>
          <w:sz w:val="24"/>
          <w:szCs w:val="24"/>
          <w:highlight w:val="none"/>
        </w:rPr>
        <w:t>日内无息退回。</w:t>
      </w:r>
    </w:p>
    <w:p>
      <w:pPr>
        <w:keepNext w:val="0"/>
        <w:keepLines w:val="0"/>
        <w:pageBreakBefore w:val="0"/>
        <w:widowControl w:val="0"/>
        <w:tabs>
          <w:tab w:val="left" w:pos="900"/>
        </w:tabs>
        <w:kinsoku/>
        <w:wordWrap/>
        <w:overflowPunct/>
        <w:topLinePunct w:val="0"/>
        <w:autoSpaceDE/>
        <w:autoSpaceDN/>
        <w:bidi w:val="0"/>
        <w:adjustRightInd/>
        <w:snapToGrid w:val="0"/>
        <w:spacing w:line="48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第</w:t>
      </w:r>
      <w:r>
        <w:rPr>
          <w:rFonts w:hint="eastAsia" w:ascii="仿宋" w:hAnsi="仿宋" w:eastAsia="仿宋" w:cs="仿宋"/>
          <w:b/>
          <w:color w:val="auto"/>
          <w:sz w:val="24"/>
          <w:szCs w:val="24"/>
          <w:highlight w:val="none"/>
          <w:lang w:val="en-US" w:eastAsia="zh-CN"/>
        </w:rPr>
        <w:t>七</w:t>
      </w:r>
      <w:r>
        <w:rPr>
          <w:rFonts w:hint="eastAsia" w:ascii="仿宋" w:hAnsi="仿宋" w:eastAsia="仿宋" w:cs="仿宋"/>
          <w:b/>
          <w:color w:val="auto"/>
          <w:sz w:val="24"/>
          <w:szCs w:val="24"/>
          <w:highlight w:val="none"/>
        </w:rPr>
        <w:t>条、</w:t>
      </w:r>
      <w:r>
        <w:rPr>
          <w:rFonts w:hint="eastAsia" w:ascii="仿宋" w:hAnsi="仿宋" w:eastAsia="仿宋" w:cs="仿宋"/>
          <w:b/>
          <w:color w:val="auto"/>
          <w:sz w:val="24"/>
          <w:szCs w:val="24"/>
          <w:highlight w:val="none"/>
          <w:lang w:val="en-US" w:eastAsia="zh-CN"/>
        </w:rPr>
        <w:t>合同金额及</w:t>
      </w:r>
      <w:r>
        <w:rPr>
          <w:rFonts w:hint="eastAsia" w:ascii="仿宋" w:hAnsi="仿宋" w:eastAsia="仿宋" w:cs="仿宋"/>
          <w:b/>
          <w:color w:val="auto"/>
          <w:sz w:val="24"/>
          <w:szCs w:val="24"/>
          <w:highlight w:val="none"/>
        </w:rPr>
        <w:t>付款方式</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outlineLvl w:val="9"/>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w:t>
      </w:r>
      <w:r>
        <w:rPr>
          <w:rFonts w:hint="eastAsia" w:ascii="仿宋" w:hAnsi="仿宋" w:eastAsia="仿宋" w:cs="仿宋"/>
          <w:b w:val="0"/>
          <w:bCs/>
          <w:color w:val="auto"/>
          <w:sz w:val="24"/>
          <w:szCs w:val="24"/>
          <w:highlight w:val="none"/>
          <w:lang w:val="en-US" w:eastAsia="zh-CN"/>
        </w:rPr>
        <w:t>.</w:t>
      </w:r>
      <w:r>
        <w:rPr>
          <w:rFonts w:hint="eastAsia" w:ascii="仿宋" w:hAnsi="仿宋" w:eastAsia="仿宋" w:cs="仿宋"/>
          <w:b w:val="0"/>
          <w:bCs/>
          <w:color w:val="auto"/>
          <w:sz w:val="24"/>
          <w:szCs w:val="24"/>
          <w:highlight w:val="none"/>
        </w:rPr>
        <w:t>签订合同后3个工作日内付清第一年全额保费，以此类推。</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outlineLvl w:val="9"/>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w:t>
      </w:r>
      <w:r>
        <w:rPr>
          <w:rFonts w:hint="eastAsia" w:ascii="仿宋" w:hAnsi="仿宋" w:eastAsia="仿宋" w:cs="仿宋"/>
          <w:b w:val="0"/>
          <w:bCs/>
          <w:color w:val="auto"/>
          <w:sz w:val="24"/>
          <w:szCs w:val="24"/>
          <w:highlight w:val="none"/>
          <w:lang w:val="en-US" w:eastAsia="zh-CN"/>
        </w:rPr>
        <w:t>.乙方</w:t>
      </w:r>
      <w:r>
        <w:rPr>
          <w:rFonts w:hint="eastAsia" w:ascii="仿宋" w:hAnsi="仿宋" w:eastAsia="仿宋" w:cs="仿宋"/>
          <w:b w:val="0"/>
          <w:bCs/>
          <w:color w:val="auto"/>
          <w:sz w:val="24"/>
          <w:szCs w:val="24"/>
          <w:highlight w:val="none"/>
        </w:rPr>
        <w:t>在收到投保单位汇出的保险费当日（以到账时间为准）出具保单和正式发票，并于24小时内送至投保单位。</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outlineLvl w:val="9"/>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3.期内报废/转卖车辆</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val="0"/>
          <w:bCs/>
          <w:color w:val="auto"/>
          <w:sz w:val="24"/>
          <w:szCs w:val="24"/>
          <w:highlight w:val="none"/>
        </w:rPr>
        <w:t>报废/转卖的车辆，保费于退保时一次性结清，并于7个工作日内转入甲方指定账户。</w:t>
      </w:r>
    </w:p>
    <w:p>
      <w:pPr>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w:t>
      </w:r>
      <w:r>
        <w:rPr>
          <w:rFonts w:hint="eastAsia" w:ascii="仿宋" w:hAnsi="仿宋" w:eastAsia="仿宋" w:cs="仿宋"/>
          <w:b/>
          <w:color w:val="auto"/>
          <w:sz w:val="24"/>
          <w:szCs w:val="24"/>
          <w:highlight w:val="none"/>
          <w:lang w:val="en-US" w:eastAsia="zh-CN"/>
        </w:rPr>
        <w:t>八</w:t>
      </w:r>
      <w:r>
        <w:rPr>
          <w:rFonts w:hint="eastAsia" w:ascii="仿宋" w:hAnsi="仿宋" w:eastAsia="仿宋" w:cs="仿宋"/>
          <w:b/>
          <w:color w:val="auto"/>
          <w:sz w:val="24"/>
          <w:szCs w:val="24"/>
          <w:highlight w:val="none"/>
        </w:rPr>
        <w:t>条、服务要求</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1.乙方应设有24小时全天报案服务电话，并设专人受理索赔接、报案。提供出险索赔程序，保险知识等方面的咨询服务。对投保车辆建立用户档案，开展跟踪服务，保证甲方获得优先服务的权利。</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2.在接到甲方的出险报案后，嵊州市内理赔人员应于</w:t>
      </w:r>
      <w:r>
        <w:rPr>
          <w:rFonts w:hint="eastAsia" w:ascii="仿宋" w:hAnsi="仿宋" w:eastAsia="仿宋" w:cs="仿宋"/>
          <w:color w:val="auto"/>
          <w:kern w:val="2"/>
          <w:sz w:val="24"/>
          <w:szCs w:val="24"/>
          <w:highlight w:val="none"/>
          <w:lang w:val="en-US" w:eastAsia="zh-CN" w:bidi="ar-SA"/>
        </w:rPr>
        <w:t>0.5小时</w:t>
      </w:r>
      <w:r>
        <w:rPr>
          <w:rFonts w:hint="eastAsia" w:ascii="仿宋" w:hAnsi="仿宋" w:eastAsia="仿宋" w:cs="仿宋"/>
          <w:color w:val="auto"/>
          <w:kern w:val="2"/>
          <w:sz w:val="24"/>
          <w:szCs w:val="24"/>
          <w:highlight w:val="none"/>
          <w:lang w:val="en-US" w:eastAsia="zh-CN" w:bidi="ar"/>
        </w:rPr>
        <w:t>内赶到报案现场；嵊州市乡镇地区，理赔人员应于1小时内赶到事故现场；省内其它市、县应于2小时内赶到报案现场或委托当地本系统保险机构查看；外省应及时直接派人前去或委托当地本系统保险机构查看，并派专人协助招标人办理相关的索赔手续。</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3.乙方不得限制投保单位出险次数，对承保车辆不加扣多次事故免赔率。</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4.发生交通事故，甲方如有预付赔款服务需求，乙方确认后必须及时积极预付。</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5.赔款时限：20000元以下1个工作日内；20000-100000元3工作日内； 100000以上10个工作日内。</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6.对发生保险事故的车辆，在嵊州全市范围实行免费拖车。</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7.依法判决的赔案处理应以法院判决的标准全额赔付。</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8.事故伤员抢救、治疗费用由乙方垫付，乙方不得以任何理由推诿拒绝。</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9.所有车辆险保费不得高于投标文件承诺的保费。</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10.</w:t>
      </w:r>
      <w:r>
        <w:rPr>
          <w:rFonts w:hint="eastAsia" w:ascii="仿宋" w:hAnsi="仿宋" w:eastAsia="仿宋" w:cs="仿宋"/>
          <w:bCs/>
          <w:color w:val="auto"/>
          <w:kern w:val="2"/>
          <w:sz w:val="24"/>
          <w:szCs w:val="24"/>
          <w:highlight w:val="none"/>
          <w:lang w:val="en-US" w:eastAsia="zh-CN" w:bidi="ar"/>
        </w:rPr>
        <w:t>误工费、护理费的赔偿处理标准：乙方的承诺和描述（包括但不限于以下内容：护理人数；抢救及治疗各阶段的护理赔偿标准和出院护理标准；收入较高者的实际收入减少的误工损失，退休返聘人员的误工费计算标准，无固定收入者以及各种户籍性质相对应的误工费赔偿标准）。</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11.</w:t>
      </w:r>
      <w:r>
        <w:rPr>
          <w:rFonts w:hint="eastAsia" w:ascii="仿宋" w:hAnsi="仿宋" w:eastAsia="仿宋" w:cs="仿宋"/>
          <w:bCs/>
          <w:color w:val="auto"/>
          <w:kern w:val="2"/>
          <w:sz w:val="24"/>
          <w:szCs w:val="24"/>
          <w:highlight w:val="none"/>
          <w:lang w:val="en-US" w:eastAsia="zh-CN" w:bidi="ar"/>
        </w:rPr>
        <w:t>误工时间的确认标准：乙方的承诺及描述的实际理赔处理标准（不以公安部GB/T521-2004的规定期限作为唯一参考标准）。</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bCs/>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12.</w:t>
      </w:r>
      <w:r>
        <w:rPr>
          <w:rFonts w:hint="eastAsia" w:ascii="仿宋" w:hAnsi="仿宋" w:eastAsia="仿宋" w:cs="仿宋"/>
          <w:bCs/>
          <w:color w:val="auto"/>
          <w:kern w:val="2"/>
          <w:sz w:val="24"/>
          <w:szCs w:val="24"/>
          <w:highlight w:val="none"/>
          <w:lang w:val="en-US" w:eastAsia="zh-CN" w:bidi="ar"/>
        </w:rPr>
        <w:t>精神损失费的赔偿处理，请详细说明投标方实际理赔处理中的标准，如死亡、残疾事故的最高不同赔偿限额</w:t>
      </w:r>
      <w:r>
        <w:rPr>
          <w:rFonts w:hint="eastAsia" w:ascii="仿宋" w:hAnsi="仿宋" w:eastAsia="仿宋" w:cs="仿宋"/>
          <w:color w:val="auto"/>
          <w:kern w:val="2"/>
          <w:sz w:val="24"/>
          <w:szCs w:val="24"/>
          <w:highlight w:val="none"/>
          <w:lang w:val="en-US" w:eastAsia="zh-CN" w:bidi="ar"/>
        </w:rPr>
        <w:t>（要求按照法院调解的金额在交强险内作为第一顺序赔偿，法院依法判决的案件，以实际判决金额赔付）。</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bCs/>
          <w:color w:val="auto"/>
          <w:kern w:val="2"/>
          <w:sz w:val="24"/>
          <w:szCs w:val="24"/>
          <w:highlight w:val="none"/>
          <w:lang w:val="en-US" w:eastAsia="zh-CN" w:bidi="ar"/>
        </w:rPr>
        <w:t>13.</w:t>
      </w:r>
      <w:r>
        <w:rPr>
          <w:rFonts w:hint="eastAsia" w:ascii="仿宋" w:hAnsi="仿宋" w:eastAsia="仿宋" w:cs="仿宋"/>
          <w:color w:val="auto"/>
          <w:kern w:val="2"/>
          <w:sz w:val="24"/>
          <w:szCs w:val="24"/>
          <w:highlight w:val="none"/>
          <w:lang w:val="en-US" w:eastAsia="zh-CN" w:bidi="ar"/>
        </w:rPr>
        <w:t>关于医疗费用及营养费、鉴定费的赔付要求：按乙方投标文件进行承诺及描述执行。</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14.关于保险保额内自付费用：按乙方投标文件进行承诺及描述执行。</w:t>
      </w:r>
    </w:p>
    <w:p>
      <w:pPr>
        <w:pStyle w:val="25"/>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15.后续治疗费用的赔偿：在伤者没有痊愈的状况下进行结案时，按照总医疗费的</w:t>
      </w:r>
      <w:r>
        <w:rPr>
          <w:rFonts w:hint="eastAsia" w:ascii="仿宋" w:hAnsi="仿宋" w:eastAsia="仿宋" w:cs="仿宋"/>
          <w:color w:val="auto"/>
          <w:kern w:val="2"/>
          <w:sz w:val="24"/>
          <w:szCs w:val="24"/>
          <w:highlight w:val="none"/>
          <w:u w:val="single"/>
          <w:lang w:val="en-US" w:eastAsia="zh-CN" w:bidi="ar"/>
        </w:rPr>
        <w:t xml:space="preserve">  </w:t>
      </w:r>
      <w:r>
        <w:rPr>
          <w:rFonts w:hint="eastAsia" w:ascii="仿宋" w:hAnsi="仿宋" w:eastAsia="仿宋" w:cs="仿宋"/>
          <w:color w:val="auto"/>
          <w:kern w:val="2"/>
          <w:sz w:val="24"/>
          <w:szCs w:val="24"/>
          <w:highlight w:val="none"/>
          <w:lang w:val="en-US" w:eastAsia="zh-CN" w:bidi="ar"/>
        </w:rPr>
        <w:t>%向伤者支付后续治疗费用。</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16.协助甲方做好对投保经办人的廉政工作，不得以任何形式向投保人提供回扣。</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17.甲方可就本公司有关工作人员反映的服务问题进行调查，并向乙方进行通报，乙方在收到通报文件后五天内应给予响应。</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18.车辆免费施救以</w:t>
      </w:r>
      <w:r>
        <w:rPr>
          <w:rFonts w:hint="eastAsia" w:ascii="仿宋" w:hAnsi="仿宋" w:eastAsia="仿宋" w:cs="仿宋"/>
          <w:color w:val="auto"/>
          <w:kern w:val="2"/>
          <w:sz w:val="24"/>
          <w:szCs w:val="24"/>
          <w:highlight w:val="none"/>
          <w:u w:val="single"/>
          <w:lang w:val="en-US" w:eastAsia="zh-CN" w:bidi="ar"/>
        </w:rPr>
        <w:t xml:space="preserve">   </w:t>
      </w:r>
      <w:r>
        <w:rPr>
          <w:rFonts w:hint="eastAsia" w:ascii="仿宋" w:hAnsi="仿宋" w:eastAsia="仿宋" w:cs="仿宋"/>
          <w:color w:val="auto"/>
          <w:kern w:val="2"/>
          <w:sz w:val="24"/>
          <w:szCs w:val="24"/>
          <w:highlight w:val="none"/>
          <w:lang w:val="en-US" w:eastAsia="zh-CN" w:bidi="ar"/>
        </w:rPr>
        <w:t>次为限，若乙方不能及时施救而导致甲方自行解决的情况时，具体如何处理办法按乙方承诺执行。</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19.提供相关安全知识培训：按乙方投标文件进行承诺及描述执行。。</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60" w:lineRule="exact"/>
        <w:ind w:left="0" w:right="0" w:firstLine="480"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20、属于人伤案的，甲方可以自行委托保险公估公司进行案件处理，乙方是否同意按公估公司处理方案进行理赔，按乙方投标文件进行承诺及描述执行。</w:t>
      </w:r>
    </w:p>
    <w:p>
      <w:pPr>
        <w:keepNext w:val="0"/>
        <w:keepLines w:val="0"/>
        <w:pageBreakBefore w:val="0"/>
        <w:widowControl w:val="0"/>
        <w:kinsoku/>
        <w:wordWrap/>
        <w:overflowPunct/>
        <w:topLinePunct w:val="0"/>
        <w:autoSpaceDE/>
        <w:autoSpaceDN/>
        <w:bidi w:val="0"/>
        <w:adjustRightInd/>
        <w:snapToGrid w:val="0"/>
        <w:spacing w:line="460" w:lineRule="exact"/>
        <w:ind w:left="0" w:firstLine="480" w:firstLineChars="200"/>
        <w:textAlignment w:val="auto"/>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21.防御性驾驶行为分析仪的性能及兼容性：按乙方投标文件进行承诺及描述执行。</w:t>
      </w:r>
    </w:p>
    <w:p>
      <w:pPr>
        <w:keepNext w:val="0"/>
        <w:keepLines w:val="0"/>
        <w:pageBreakBefore w:val="0"/>
        <w:widowControl w:val="0"/>
        <w:kinsoku/>
        <w:wordWrap/>
        <w:overflowPunct/>
        <w:topLinePunct w:val="0"/>
        <w:autoSpaceDE/>
        <w:autoSpaceDN/>
        <w:bidi w:val="0"/>
        <w:adjustRightInd/>
        <w:snapToGrid w:val="0"/>
        <w:spacing w:line="460" w:lineRule="exact"/>
        <w:ind w:left="0"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w:t>
      </w:r>
      <w:r>
        <w:rPr>
          <w:rFonts w:hint="eastAsia" w:ascii="仿宋" w:hAnsi="仿宋" w:eastAsia="仿宋" w:cs="仿宋"/>
          <w:b/>
          <w:color w:val="auto"/>
          <w:sz w:val="24"/>
          <w:szCs w:val="24"/>
          <w:highlight w:val="none"/>
          <w:lang w:val="en-US" w:eastAsia="zh-CN"/>
        </w:rPr>
        <w:t>九</w:t>
      </w:r>
      <w:r>
        <w:rPr>
          <w:rFonts w:hint="eastAsia" w:ascii="仿宋" w:hAnsi="仿宋" w:eastAsia="仿宋" w:cs="仿宋"/>
          <w:b/>
          <w:color w:val="auto"/>
          <w:sz w:val="24"/>
          <w:szCs w:val="24"/>
          <w:highlight w:val="none"/>
        </w:rPr>
        <w:t>条、理赔</w:t>
      </w:r>
    </w:p>
    <w:p>
      <w:pPr>
        <w:keepNext w:val="0"/>
        <w:keepLines w:val="0"/>
        <w:pageBreakBefore w:val="0"/>
        <w:widowControl w:val="0"/>
        <w:numPr>
          <w:ilvl w:val="0"/>
          <w:numId w:val="0"/>
        </w:numPr>
        <w:suppressAutoHyphens/>
        <w:kinsoku/>
        <w:wordWrap/>
        <w:overflowPunct/>
        <w:topLinePunct w:val="0"/>
        <w:autoSpaceDE/>
        <w:autoSpaceDN/>
        <w:bidi w:val="0"/>
        <w:adjustRightInd/>
        <w:snapToGrid w:val="0"/>
        <w:spacing w:line="48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甲方的保险车辆出现车损及人伤事故后，乙方应根据服务承诺，对出险车辆及时提出处理意见，在车辆计损时必须以原厂配件价格为基数进行计算，并及时支付赔款。</w:t>
      </w:r>
    </w:p>
    <w:p>
      <w:pPr>
        <w:keepNext w:val="0"/>
        <w:keepLines w:val="0"/>
        <w:pageBreakBefore w:val="0"/>
        <w:widowControl w:val="0"/>
        <w:numPr>
          <w:ilvl w:val="0"/>
          <w:numId w:val="0"/>
        </w:numPr>
        <w:tabs>
          <w:tab w:val="left" w:pos="0"/>
        </w:tabs>
        <w:suppressAutoHyphens/>
        <w:kinsoku/>
        <w:wordWrap/>
        <w:overflowPunct/>
        <w:topLinePunct w:val="0"/>
        <w:autoSpaceDE/>
        <w:autoSpaceDN/>
        <w:bidi w:val="0"/>
        <w:adjustRightInd/>
        <w:snapToGrid w:val="0"/>
        <w:spacing w:line="48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赔偿处理按《机动车辆保险条款》有关条款处理，赔偿标准按照国家现行道路交通事故处理法律法规的相关规定及投保时保险车辆确定保险金额的方式处理，乙方必须主动及时协助甲方处理赔款事宜。</w:t>
      </w:r>
    </w:p>
    <w:p>
      <w:pPr>
        <w:keepNext w:val="0"/>
        <w:keepLines w:val="0"/>
        <w:pageBreakBefore w:val="0"/>
        <w:widowControl w:val="0"/>
        <w:numPr>
          <w:ilvl w:val="0"/>
          <w:numId w:val="0"/>
        </w:numPr>
        <w:tabs>
          <w:tab w:val="left" w:pos="0"/>
        </w:tabs>
        <w:suppressAutoHyphens/>
        <w:kinsoku/>
        <w:wordWrap/>
        <w:overflowPunct/>
        <w:topLinePunct w:val="0"/>
        <w:autoSpaceDE/>
        <w:autoSpaceDN/>
        <w:bidi w:val="0"/>
        <w:adjustRightInd/>
        <w:snapToGrid w:val="0"/>
        <w:spacing w:line="480" w:lineRule="exact"/>
        <w:ind w:leftChars="0"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每月终了后五天内将《</w:t>
      </w:r>
      <w:r>
        <w:rPr>
          <w:rFonts w:hint="eastAsia" w:ascii="仿宋" w:hAnsi="仿宋" w:eastAsia="仿宋" w:cs="仿宋"/>
          <w:color w:val="auto"/>
          <w:sz w:val="24"/>
          <w:szCs w:val="24"/>
          <w:highlight w:val="none"/>
          <w:lang w:eastAsia="zh-CN"/>
        </w:rPr>
        <w:t>嵊州市公共交通有限公司</w:t>
      </w:r>
      <w:r>
        <w:rPr>
          <w:rFonts w:hint="eastAsia" w:ascii="仿宋" w:hAnsi="仿宋" w:eastAsia="仿宋" w:cs="仿宋"/>
          <w:color w:val="auto"/>
          <w:sz w:val="24"/>
          <w:szCs w:val="24"/>
          <w:highlight w:val="none"/>
        </w:rPr>
        <w:t>公交车辆保险赔款汇总表》和每份赔款复印件集中后交甲方备案。</w:t>
      </w:r>
    </w:p>
    <w:p>
      <w:pPr>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第</w:t>
      </w:r>
      <w:r>
        <w:rPr>
          <w:rFonts w:hint="eastAsia" w:ascii="仿宋" w:hAnsi="仿宋" w:eastAsia="仿宋" w:cs="仿宋"/>
          <w:b/>
          <w:color w:val="auto"/>
          <w:sz w:val="24"/>
          <w:szCs w:val="24"/>
          <w:highlight w:val="none"/>
          <w:lang w:val="en-US" w:eastAsia="zh-CN"/>
        </w:rPr>
        <w:t>十</w:t>
      </w:r>
      <w:r>
        <w:rPr>
          <w:rFonts w:hint="eastAsia" w:ascii="仿宋" w:hAnsi="仿宋" w:eastAsia="仿宋" w:cs="仿宋"/>
          <w:b/>
          <w:color w:val="auto"/>
          <w:sz w:val="24"/>
          <w:szCs w:val="24"/>
          <w:highlight w:val="none"/>
        </w:rPr>
        <w:t>条、特别约定</w:t>
      </w:r>
    </w:p>
    <w:p>
      <w:pPr>
        <w:keepNext w:val="0"/>
        <w:keepLines w:val="0"/>
        <w:pageBreakBefore w:val="0"/>
        <w:widowControl w:val="0"/>
        <w:numPr>
          <w:ilvl w:val="0"/>
          <w:numId w:val="7"/>
        </w:numPr>
        <w:suppressAutoHyphens/>
        <w:kinsoku/>
        <w:wordWrap/>
        <w:overflowPunct/>
        <w:topLinePunct w:val="0"/>
        <w:autoSpaceDE/>
        <w:autoSpaceDN/>
        <w:bidi w:val="0"/>
        <w:adjustRightInd/>
        <w:snapToGrid w:val="0"/>
        <w:spacing w:line="48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对于同属甲方公司所有的保险车辆发生双方/多方事故，则视同各方互为第三者。</w:t>
      </w:r>
    </w:p>
    <w:p>
      <w:pPr>
        <w:keepNext w:val="0"/>
        <w:keepLines w:val="0"/>
        <w:pageBreakBefore w:val="0"/>
        <w:widowControl w:val="0"/>
        <w:numPr>
          <w:ilvl w:val="0"/>
          <w:numId w:val="7"/>
        </w:numPr>
        <w:suppressAutoHyphens/>
        <w:kinsoku/>
        <w:wordWrap/>
        <w:overflowPunct/>
        <w:topLinePunct w:val="0"/>
        <w:autoSpaceDE/>
        <w:autoSpaceDN/>
        <w:bidi w:val="0"/>
        <w:adjustRightInd/>
        <w:snapToGrid w:val="0"/>
        <w:spacing w:line="48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鉴于保险车辆的运营特点，其发动机等机器设备执行总成互换制度的保养规范，乙方同意在发生保险事故时，不因保险车辆的发动机号等机器设备型号与车辆行驶证或保单内容不符而拒绝赔偿。</w:t>
      </w:r>
    </w:p>
    <w:p>
      <w:pPr>
        <w:keepNext w:val="0"/>
        <w:keepLines w:val="0"/>
        <w:pageBreakBefore w:val="0"/>
        <w:widowControl w:val="0"/>
        <w:numPr>
          <w:ilvl w:val="0"/>
          <w:numId w:val="7"/>
        </w:numPr>
        <w:suppressAutoHyphens/>
        <w:kinsoku/>
        <w:wordWrap/>
        <w:overflowPunct/>
        <w:topLinePunct w:val="0"/>
        <w:autoSpaceDE/>
        <w:autoSpaceDN/>
        <w:bidi w:val="0"/>
        <w:adjustRightInd/>
        <w:snapToGrid w:val="0"/>
        <w:spacing w:line="48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服务期内乙方的</w:t>
      </w:r>
      <w:r>
        <w:rPr>
          <w:rFonts w:hint="eastAsia" w:ascii="仿宋" w:hAnsi="仿宋" w:eastAsia="仿宋" w:cs="仿宋"/>
          <w:color w:val="auto"/>
          <w:kern w:val="2"/>
          <w:sz w:val="24"/>
          <w:szCs w:val="24"/>
          <w:highlight w:val="none"/>
          <w:lang w:val="en-US" w:eastAsia="zh-CN" w:bidi="ar-SA"/>
        </w:rPr>
        <w:t>中标保险费</w:t>
      </w:r>
      <w:r>
        <w:rPr>
          <w:rFonts w:hint="eastAsia" w:ascii="仿宋" w:hAnsi="仿宋" w:eastAsia="仿宋" w:cs="仿宋"/>
          <w:color w:val="auto"/>
          <w:sz w:val="24"/>
          <w:szCs w:val="24"/>
          <w:highlight w:val="none"/>
        </w:rPr>
        <w:t>适用于甲方的所有（含新增）车辆，甲方所有车辆的投保、退保实行按日计算保费。</w:t>
      </w:r>
    </w:p>
    <w:p>
      <w:pPr>
        <w:pageBreakBefore w:val="0"/>
        <w:kinsoku/>
        <w:wordWrap/>
        <w:overflowPunct/>
        <w:topLinePunct w:val="0"/>
        <w:autoSpaceDE/>
        <w:autoSpaceDN/>
        <w:bidi w:val="0"/>
        <w:adjustRightInd/>
        <w:snapToGrid w:val="0"/>
        <w:spacing w:line="480" w:lineRule="exact"/>
        <w:ind w:firstLine="482" w:firstLineChars="200"/>
        <w:jc w:val="left"/>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4、</w:t>
      </w:r>
      <w:r>
        <w:rPr>
          <w:rFonts w:hint="eastAsia" w:ascii="仿宋" w:hAnsi="仿宋" w:eastAsia="仿宋" w:cs="仿宋"/>
          <w:b/>
          <w:bCs/>
          <w:color w:val="auto"/>
          <w:kern w:val="2"/>
          <w:sz w:val="24"/>
          <w:szCs w:val="24"/>
          <w:highlight w:val="none"/>
          <w:lang w:val="en-US" w:eastAsia="zh-CN" w:bidi="ar-SA"/>
        </w:rPr>
        <w:t>对车上乘客（包括司机和乘务人员）在车上发生意外事故，按照旅客运输合同责任 赔付，整案赔付金额在10000元以下的，无事故证明及责任认定书，提供车载监控视频后，按旅客运输合同责任处理；10000元以上事故，提供相关事故证明及车载监控视频后，按旅客运输合同责任处理。</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40" w:lineRule="exact"/>
        <w:ind w:left="0" w:right="0" w:firstLine="482" w:firstLineChars="2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b/>
          <w:bCs w:val="0"/>
          <w:color w:val="auto"/>
          <w:kern w:val="2"/>
          <w:sz w:val="24"/>
          <w:szCs w:val="24"/>
          <w:highlight w:val="none"/>
          <w:lang w:val="en-US" w:eastAsia="zh-CN" w:bidi="ar"/>
        </w:rPr>
        <w:t>第十一条、合同争议的解决</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40" w:lineRule="exact"/>
        <w:ind w:left="0" w:right="0" w:firstLine="480" w:firstLineChars="200"/>
        <w:jc w:val="both"/>
        <w:textAlignment w:val="auto"/>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本合同履行过程中发生的任何争议，双方当事人均可通过和解或者调解解决；不愿和解、调解或者和解、调解不成的，可以选择以下条款规定的方式解决：</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40" w:lineRule="exact"/>
        <w:ind w:left="0" w:right="0" w:firstLine="456" w:firstLineChars="200"/>
        <w:jc w:val="both"/>
        <w:textAlignment w:val="auto"/>
        <w:rPr>
          <w:rFonts w:hint="eastAsia" w:ascii="仿宋" w:hAnsi="仿宋" w:eastAsia="仿宋" w:cs="仿宋"/>
          <w:color w:val="auto"/>
          <w:spacing w:val="-6"/>
          <w:kern w:val="2"/>
          <w:sz w:val="24"/>
          <w:szCs w:val="24"/>
          <w:highlight w:val="none"/>
          <w:lang w:val="en-US" w:eastAsia="zh-CN" w:bidi="ar"/>
        </w:rPr>
      </w:pPr>
      <w:r>
        <w:rPr>
          <w:rFonts w:hint="eastAsia" w:ascii="仿宋" w:hAnsi="仿宋" w:eastAsia="仿宋" w:cs="仿宋"/>
          <w:color w:val="auto"/>
          <w:spacing w:val="-6"/>
          <w:kern w:val="2"/>
          <w:sz w:val="24"/>
          <w:szCs w:val="24"/>
          <w:highlight w:val="none"/>
          <w:lang w:val="en-US" w:eastAsia="zh-CN" w:bidi="ar"/>
        </w:rPr>
        <w:t>1. 将争议提交</w:t>
      </w:r>
      <w:r>
        <w:rPr>
          <w:rFonts w:hint="eastAsia" w:ascii="仿宋" w:hAnsi="仿宋" w:eastAsia="仿宋" w:cs="仿宋"/>
          <w:color w:val="auto"/>
          <w:spacing w:val="-6"/>
          <w:kern w:val="2"/>
          <w:sz w:val="24"/>
          <w:szCs w:val="24"/>
          <w:highlight w:val="none"/>
          <w:u w:val="single"/>
          <w:lang w:val="en-US" w:eastAsia="zh-CN" w:bidi="ar"/>
        </w:rPr>
        <w:t xml:space="preserve"> 项目所在地 </w:t>
      </w:r>
      <w:r>
        <w:rPr>
          <w:rFonts w:hint="eastAsia" w:ascii="仿宋" w:hAnsi="仿宋" w:eastAsia="仿宋" w:cs="仿宋"/>
          <w:color w:val="auto"/>
          <w:spacing w:val="-6"/>
          <w:kern w:val="2"/>
          <w:sz w:val="24"/>
          <w:szCs w:val="24"/>
          <w:highlight w:val="none"/>
          <w:lang w:val="en-US" w:eastAsia="zh-CN" w:bidi="ar"/>
        </w:rPr>
        <w:t>仲裁委员会依申请仲裁时其现行有效的仲裁规则裁决；</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40" w:lineRule="exact"/>
        <w:ind w:left="0" w:right="0" w:firstLine="480" w:firstLineChars="200"/>
        <w:jc w:val="both"/>
        <w:textAlignment w:val="auto"/>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2. 向</w:t>
      </w:r>
      <w:r>
        <w:rPr>
          <w:rFonts w:hint="eastAsia" w:ascii="仿宋" w:hAnsi="仿宋" w:eastAsia="仿宋" w:cs="仿宋"/>
          <w:color w:val="auto"/>
          <w:kern w:val="2"/>
          <w:sz w:val="24"/>
          <w:szCs w:val="24"/>
          <w:highlight w:val="none"/>
          <w:u w:val="single"/>
          <w:lang w:val="en-US" w:eastAsia="zh-CN" w:bidi="ar"/>
        </w:rPr>
        <w:t xml:space="preserve"> 嵊州市 </w:t>
      </w:r>
      <w:r>
        <w:rPr>
          <w:rFonts w:hint="eastAsia" w:ascii="仿宋" w:hAnsi="仿宋" w:eastAsia="仿宋" w:cs="仿宋"/>
          <w:color w:val="auto"/>
          <w:kern w:val="2"/>
          <w:sz w:val="24"/>
          <w:szCs w:val="24"/>
          <w:highlight w:val="none"/>
          <w:lang w:val="en-US" w:eastAsia="zh-CN" w:bidi="ar"/>
        </w:rPr>
        <w:t>人民法院起诉。</w:t>
      </w:r>
    </w:p>
    <w:p>
      <w:pPr>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第十</w:t>
      </w:r>
      <w:r>
        <w:rPr>
          <w:rFonts w:hint="eastAsia" w:ascii="仿宋" w:hAnsi="仿宋" w:eastAsia="仿宋" w:cs="仿宋"/>
          <w:b/>
          <w:color w:val="auto"/>
          <w:sz w:val="24"/>
          <w:szCs w:val="24"/>
          <w:highlight w:val="none"/>
          <w:lang w:val="en-US" w:eastAsia="zh-CN"/>
        </w:rPr>
        <w:t>二</w:t>
      </w:r>
      <w:r>
        <w:rPr>
          <w:rFonts w:hint="eastAsia" w:ascii="仿宋" w:hAnsi="仿宋" w:eastAsia="仿宋" w:cs="仿宋"/>
          <w:b/>
          <w:color w:val="auto"/>
          <w:sz w:val="24"/>
          <w:szCs w:val="24"/>
          <w:highlight w:val="none"/>
        </w:rPr>
        <w:t>条、违约责任：</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rPr>
        <w:t>乙方有违约情形的，甲方有权从履约保证金中取得补偿。补偿额为因乙方未履约相关合条款而造成的相关经济损失。</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乙方有违约情形的，且情节严重，造成公司经济损失额5万以上的，甲方有权终止合同。</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在保险有效期内，乙方有服务不到位情形被甲方下属公司及工作人员投诉的，甲方进行调查核实，向乙方进行通报。经甲方三次通报仍无效的，甲方有权终止合同。</w:t>
      </w:r>
    </w:p>
    <w:p>
      <w:pPr>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发生上述</w:t>
      </w: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3两种情形的，三年内乙方不得参与甲方机动车保险招投标。甲方选择终止合同的，乙方必须将剩余部分保险费在合同解除后五日内退还甲方。</w:t>
      </w:r>
    </w:p>
    <w:p>
      <w:pPr>
        <w:pStyle w:val="15"/>
        <w:keepNext w:val="0"/>
        <w:keepLines w:val="0"/>
        <w:pageBreakBefore w:val="0"/>
        <w:widowControl w:val="0"/>
        <w:kinsoku/>
        <w:wordWrap/>
        <w:overflowPunct/>
        <w:topLinePunct w:val="0"/>
        <w:autoSpaceDE/>
        <w:autoSpaceDN/>
        <w:bidi w:val="0"/>
        <w:adjustRightInd/>
        <w:snapToGrid w:val="0"/>
        <w:spacing w:line="480" w:lineRule="exact"/>
        <w:ind w:left="0" w:firstLine="482" w:firstLineChars="200"/>
        <w:textAlignment w:val="auto"/>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w:t>
      </w:r>
      <w:r>
        <w:rPr>
          <w:rFonts w:hint="eastAsia" w:ascii="仿宋" w:hAnsi="仿宋" w:eastAsia="仿宋" w:cs="仿宋"/>
          <w:b/>
          <w:color w:val="auto"/>
          <w:sz w:val="24"/>
          <w:szCs w:val="24"/>
          <w:highlight w:val="none"/>
          <w:lang w:val="en-US" w:eastAsia="zh-CN"/>
        </w:rPr>
        <w:t>三</w:t>
      </w:r>
      <w:r>
        <w:rPr>
          <w:rFonts w:hint="eastAsia" w:ascii="仿宋" w:hAnsi="仿宋" w:eastAsia="仿宋" w:cs="仿宋"/>
          <w:b/>
          <w:color w:val="auto"/>
          <w:sz w:val="24"/>
          <w:szCs w:val="24"/>
          <w:highlight w:val="none"/>
        </w:rPr>
        <w:t>条、合同生效及其它</w:t>
      </w:r>
    </w:p>
    <w:p>
      <w:pPr>
        <w:pStyle w:val="15"/>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rPr>
        <w:t>合同经</w:t>
      </w:r>
      <w:r>
        <w:rPr>
          <w:rFonts w:hint="eastAsia" w:ascii="仿宋" w:hAnsi="仿宋" w:eastAsia="仿宋" w:cs="仿宋"/>
          <w:color w:val="auto"/>
          <w:sz w:val="24"/>
          <w:szCs w:val="24"/>
          <w:highlight w:val="none"/>
          <w:lang w:val="en-US" w:eastAsia="zh-CN"/>
        </w:rPr>
        <w:t>双</w:t>
      </w:r>
      <w:r>
        <w:rPr>
          <w:rFonts w:hint="eastAsia" w:ascii="仿宋" w:hAnsi="仿宋" w:eastAsia="仿宋" w:cs="仿宋"/>
          <w:color w:val="auto"/>
          <w:sz w:val="24"/>
          <w:szCs w:val="24"/>
          <w:highlight w:val="none"/>
        </w:rPr>
        <w:t>方法定代表人或授权代表签字并加盖单位公章后生效。</w:t>
      </w:r>
    </w:p>
    <w:p>
      <w:pPr>
        <w:pStyle w:val="15"/>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合同执行中涉及采购资金和采购内容修改或补充的，须经国资部门审批，并签书面补充协议报国资管理部门备案，方可作为主合同不可分割的一部分。</w:t>
      </w:r>
    </w:p>
    <w:p>
      <w:pPr>
        <w:pStyle w:val="15"/>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本合同未尽事宜，遵照《</w:t>
      </w:r>
      <w:r>
        <w:rPr>
          <w:rFonts w:hint="eastAsia" w:ascii="仿宋" w:hAnsi="仿宋" w:eastAsia="仿宋" w:cs="仿宋"/>
          <w:color w:val="auto"/>
          <w:sz w:val="24"/>
          <w:szCs w:val="24"/>
          <w:highlight w:val="none"/>
          <w:lang w:val="en-US" w:eastAsia="zh-CN"/>
        </w:rPr>
        <w:t>中华人民共和国民法典</w:t>
      </w:r>
      <w:r>
        <w:rPr>
          <w:rFonts w:hint="eastAsia" w:ascii="仿宋" w:hAnsi="仿宋" w:eastAsia="仿宋" w:cs="仿宋"/>
          <w:color w:val="auto"/>
          <w:sz w:val="24"/>
          <w:szCs w:val="24"/>
          <w:highlight w:val="none"/>
        </w:rPr>
        <w:t>》有关条文执行。</w:t>
      </w:r>
    </w:p>
    <w:p>
      <w:pPr>
        <w:pStyle w:val="15"/>
        <w:keepNext w:val="0"/>
        <w:keepLines w:val="0"/>
        <w:pageBreakBefore w:val="0"/>
        <w:widowControl w:val="0"/>
        <w:kinsoku/>
        <w:wordWrap/>
        <w:overflowPunct/>
        <w:topLinePunct w:val="0"/>
        <w:autoSpaceDE/>
        <w:autoSpaceDN/>
        <w:bidi w:val="0"/>
        <w:adjustRightInd/>
        <w:snapToGrid w:val="0"/>
        <w:spacing w:line="48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本合同正本一式</w:t>
      </w:r>
      <w:r>
        <w:rPr>
          <w:rFonts w:hint="eastAsia" w:ascii="仿宋" w:hAnsi="仿宋" w:eastAsia="仿宋" w:cs="仿宋"/>
          <w:color w:val="auto"/>
          <w:sz w:val="24"/>
          <w:szCs w:val="24"/>
          <w:highlight w:val="none"/>
          <w:lang w:val="en-US" w:eastAsia="zh-CN"/>
        </w:rPr>
        <w:t>五</w:t>
      </w:r>
      <w:r>
        <w:rPr>
          <w:rFonts w:hint="eastAsia" w:ascii="仿宋" w:hAnsi="仿宋" w:eastAsia="仿宋" w:cs="仿宋"/>
          <w:color w:val="auto"/>
          <w:sz w:val="24"/>
          <w:szCs w:val="24"/>
          <w:highlight w:val="none"/>
        </w:rPr>
        <w:t>份，甲乙双方各执二份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招标代理机构各执一份，具有同等法律效力。</w:t>
      </w:r>
    </w:p>
    <w:p>
      <w:pPr>
        <w:pStyle w:val="15"/>
        <w:pageBreakBefore w:val="0"/>
        <w:kinsoku/>
        <w:wordWrap/>
        <w:overflowPunct/>
        <w:topLinePunct w:val="0"/>
        <w:autoSpaceDE/>
        <w:autoSpaceDN/>
        <w:bidi w:val="0"/>
        <w:adjustRightInd/>
        <w:snapToGrid w:val="0"/>
        <w:spacing w:line="480" w:lineRule="exact"/>
        <w:ind w:firstLine="0" w:firstLineChars="0"/>
        <w:textAlignment w:val="auto"/>
        <w:rPr>
          <w:rFonts w:hint="eastAsia" w:ascii="仿宋" w:hAnsi="仿宋" w:eastAsia="仿宋" w:cs="仿宋"/>
          <w:b/>
          <w:bCs/>
          <w:color w:val="auto"/>
          <w:sz w:val="24"/>
          <w:szCs w:val="24"/>
          <w:highlight w:val="none"/>
        </w:rPr>
      </w:pPr>
    </w:p>
    <w:p>
      <w:pPr>
        <w:pStyle w:val="15"/>
        <w:pageBreakBefore w:val="0"/>
        <w:kinsoku/>
        <w:wordWrap/>
        <w:overflowPunct/>
        <w:topLinePunct w:val="0"/>
        <w:autoSpaceDE/>
        <w:autoSpaceDN/>
        <w:bidi w:val="0"/>
        <w:adjustRightInd/>
        <w:snapToGrid w:val="0"/>
        <w:spacing w:line="48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 xml:space="preserve">甲方（盖章）：                     </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 乙方（盖章）：</w:t>
      </w:r>
    </w:p>
    <w:p>
      <w:pPr>
        <w:pStyle w:val="15"/>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法定代表人或受委托人                 法定代表人或受委托人</w:t>
      </w:r>
    </w:p>
    <w:p>
      <w:pPr>
        <w:pStyle w:val="15"/>
        <w:pageBreakBefore w:val="0"/>
        <w:kinsoku/>
        <w:wordWrap/>
        <w:overflowPunct/>
        <w:topLinePunct w:val="0"/>
        <w:autoSpaceDE/>
        <w:autoSpaceDN/>
        <w:bidi w:val="0"/>
        <w:adjustRightInd/>
        <w:snapToGrid w:val="0"/>
        <w:spacing w:line="480" w:lineRule="exact"/>
        <w:ind w:left="-24" w:leftChars="-85" w:hanging="180" w:hangingChars="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                             （签字）</w:t>
      </w:r>
    </w:p>
    <w:p>
      <w:pPr>
        <w:pStyle w:val="15"/>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地址：                               地址： </w:t>
      </w:r>
    </w:p>
    <w:p>
      <w:pPr>
        <w:pStyle w:val="15"/>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邮编：                               邮编：</w:t>
      </w:r>
    </w:p>
    <w:p>
      <w:pPr>
        <w:pStyle w:val="15"/>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电话：</w:t>
      </w:r>
    </w:p>
    <w:p>
      <w:pPr>
        <w:pStyle w:val="15"/>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                               传真：</w:t>
      </w:r>
    </w:p>
    <w:p>
      <w:pPr>
        <w:pStyle w:val="15"/>
        <w:pageBreakBefore w:val="0"/>
        <w:kinsoku/>
        <w:wordWrap/>
        <w:overflowPunct/>
        <w:topLinePunct w:val="0"/>
        <w:autoSpaceDE/>
        <w:autoSpaceDN/>
        <w:bidi w:val="0"/>
        <w:adjustRightInd/>
        <w:snapToGrid w:val="0"/>
        <w:spacing w:line="480" w:lineRule="exact"/>
        <w:ind w:leftChars="-1" w:hanging="2"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开户银行：</w:t>
      </w:r>
    </w:p>
    <w:p>
      <w:pPr>
        <w:pageBreakBefore w:val="0"/>
        <w:widowControl/>
        <w:kinsoku/>
        <w:wordWrap/>
        <w:overflowPunct/>
        <w:topLinePunct w:val="0"/>
        <w:autoSpaceDE/>
        <w:autoSpaceDN/>
        <w:bidi w:val="0"/>
        <w:adjustRightInd/>
        <w:snapToGrid w:val="0"/>
        <w:spacing w:line="48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帐号：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帐号：</w:t>
      </w:r>
    </w:p>
    <w:p>
      <w:pPr>
        <w:keepNext w:val="0"/>
        <w:keepLines w:val="0"/>
        <w:widowControl w:val="0"/>
        <w:suppressLineNumbers w:val="0"/>
        <w:adjustRightInd w:val="0"/>
        <w:spacing w:before="0" w:beforeAutospacing="0" w:after="0" w:afterAutospacing="0"/>
        <w:ind w:left="0" w:right="0"/>
        <w:jc w:val="both"/>
        <w:rPr>
          <w:rFonts w:hint="eastAsia" w:ascii="仿宋" w:hAnsi="仿宋" w:eastAsia="仿宋" w:cs="仿宋"/>
          <w:b/>
          <w:bCs/>
          <w:color w:val="auto"/>
          <w:sz w:val="24"/>
          <w:highlight w:val="none"/>
        </w:rPr>
      </w:pPr>
    </w:p>
    <w:p>
      <w:pPr>
        <w:pStyle w:val="38"/>
        <w:rPr>
          <w:rFonts w:hint="eastAsia" w:ascii="仿宋" w:hAnsi="仿宋" w:eastAsia="仿宋" w:cs="仿宋"/>
          <w:color w:val="auto"/>
          <w:highlight w:val="none"/>
        </w:rPr>
      </w:pPr>
    </w:p>
    <w:p>
      <w:pPr>
        <w:keepNext w:val="0"/>
        <w:keepLines w:val="0"/>
        <w:widowControl w:val="0"/>
        <w:suppressLineNumbers w:val="0"/>
        <w:adjustRightInd w:val="0"/>
        <w:spacing w:before="0" w:beforeAutospacing="0" w:after="0" w:afterAutospacing="0"/>
        <w:ind w:left="0" w:right="0"/>
        <w:jc w:val="both"/>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注：具体以双方签定的正式合同为准，合同内容不得违背本招标文件实质性要求。</w:t>
      </w:r>
    </w:p>
    <w:p>
      <w:pPr>
        <w:keepNext/>
        <w:keepLines/>
        <w:pageBreakBefore w:val="0"/>
        <w:tabs>
          <w:tab w:val="left" w:pos="432"/>
        </w:tabs>
        <w:kinsoku/>
        <w:wordWrap/>
        <w:overflowPunct/>
        <w:topLinePunct w:val="0"/>
        <w:autoSpaceDE/>
        <w:autoSpaceDN/>
        <w:bidi w:val="0"/>
        <w:adjustRightInd/>
        <w:snapToGrid w:val="0"/>
        <w:spacing w:line="480" w:lineRule="exact"/>
        <w:ind w:left="432" w:firstLine="482"/>
        <w:jc w:val="left"/>
        <w:textAlignment w:val="auto"/>
        <w:outlineLvl w:val="1"/>
        <w:rPr>
          <w:rFonts w:hint="eastAsia" w:ascii="仿宋" w:hAnsi="仿宋" w:eastAsia="仿宋" w:cs="仿宋"/>
          <w:b/>
          <w:bCs/>
          <w:color w:val="auto"/>
          <w:sz w:val="24"/>
          <w:szCs w:val="24"/>
          <w:highlight w:val="none"/>
          <w:lang w:val="zh-CN"/>
        </w:rPr>
      </w:pPr>
    </w:p>
    <w:p>
      <w:pPr>
        <w:spacing w:line="440" w:lineRule="exact"/>
        <w:rPr>
          <w:rFonts w:hint="eastAsia" w:ascii="仿宋" w:hAnsi="仿宋" w:eastAsia="仿宋" w:cs="仿宋"/>
          <w:color w:val="auto"/>
          <w:sz w:val="24"/>
          <w:highlight w:val="none"/>
          <w:lang w:val="zh-CN"/>
        </w:rPr>
      </w:pPr>
    </w:p>
    <w:p>
      <w:pPr>
        <w:spacing w:line="440" w:lineRule="exact"/>
        <w:rPr>
          <w:rFonts w:hint="eastAsia" w:ascii="仿宋" w:hAnsi="仿宋" w:eastAsia="仿宋" w:cs="仿宋"/>
          <w:color w:val="auto"/>
          <w:sz w:val="24"/>
          <w:highlight w:val="none"/>
          <w:lang w:val="zh-CN"/>
        </w:rPr>
      </w:pPr>
    </w:p>
    <w:p>
      <w:pPr>
        <w:pStyle w:val="3"/>
        <w:numPr>
          <w:ilvl w:val="0"/>
          <w:numId w:val="0"/>
        </w:numPr>
        <w:ind w:leftChars="0"/>
        <w:jc w:val="center"/>
        <w:rPr>
          <w:rFonts w:hint="eastAsia" w:ascii="仿宋" w:hAnsi="仿宋" w:eastAsia="仿宋" w:cs="仿宋"/>
          <w:color w:val="auto"/>
          <w:sz w:val="36"/>
          <w:szCs w:val="36"/>
          <w:highlight w:val="none"/>
          <w:lang w:val="en-US" w:eastAsia="zh-CN"/>
        </w:rPr>
      </w:pPr>
    </w:p>
    <w:p>
      <w:pPr>
        <w:rPr>
          <w:rFonts w:hint="eastAsia" w:ascii="仿宋" w:hAnsi="仿宋" w:eastAsia="仿宋" w:cs="仿宋"/>
          <w:color w:val="auto"/>
          <w:sz w:val="36"/>
          <w:szCs w:val="36"/>
          <w:highlight w:val="none"/>
          <w:lang w:val="en-US" w:eastAsia="zh-CN"/>
        </w:rPr>
      </w:pPr>
    </w:p>
    <w:p>
      <w:pPr>
        <w:pStyle w:val="38"/>
        <w:rPr>
          <w:rFonts w:hint="eastAsia" w:ascii="仿宋" w:hAnsi="仿宋" w:eastAsia="仿宋" w:cs="仿宋"/>
          <w:color w:val="auto"/>
          <w:sz w:val="36"/>
          <w:szCs w:val="36"/>
          <w:highlight w:val="none"/>
          <w:lang w:val="en-US" w:eastAsia="zh-CN"/>
        </w:rPr>
      </w:pPr>
    </w:p>
    <w:p>
      <w:pPr>
        <w:pStyle w:val="39"/>
        <w:rPr>
          <w:rFonts w:hint="eastAsia" w:ascii="仿宋" w:hAnsi="仿宋" w:eastAsia="仿宋" w:cs="仿宋"/>
          <w:color w:val="auto"/>
          <w:sz w:val="36"/>
          <w:szCs w:val="36"/>
          <w:highlight w:val="none"/>
          <w:lang w:val="en-US" w:eastAsia="zh-CN"/>
        </w:rPr>
      </w:pPr>
    </w:p>
    <w:p>
      <w:pPr>
        <w:rPr>
          <w:rFonts w:hint="eastAsia" w:ascii="仿宋" w:hAnsi="仿宋" w:eastAsia="仿宋" w:cs="仿宋"/>
          <w:color w:val="auto"/>
          <w:sz w:val="36"/>
          <w:szCs w:val="36"/>
          <w:highlight w:val="none"/>
          <w:lang w:val="en-US" w:eastAsia="zh-CN"/>
        </w:rPr>
      </w:pPr>
    </w:p>
    <w:p>
      <w:pPr>
        <w:pStyle w:val="38"/>
        <w:rPr>
          <w:rFonts w:hint="eastAsia" w:ascii="仿宋" w:hAnsi="仿宋" w:eastAsia="仿宋" w:cs="仿宋"/>
          <w:color w:val="auto"/>
          <w:sz w:val="36"/>
          <w:szCs w:val="36"/>
          <w:highlight w:val="none"/>
          <w:lang w:val="en-US" w:eastAsia="zh-CN"/>
        </w:rPr>
      </w:pPr>
    </w:p>
    <w:p>
      <w:pPr>
        <w:pStyle w:val="39"/>
        <w:rPr>
          <w:rFonts w:hint="eastAsia" w:ascii="仿宋" w:hAnsi="仿宋" w:eastAsia="仿宋" w:cs="仿宋"/>
          <w:color w:val="auto"/>
          <w:sz w:val="36"/>
          <w:szCs w:val="36"/>
          <w:highlight w:val="none"/>
          <w:lang w:val="en-US" w:eastAsia="zh-CN"/>
        </w:rPr>
      </w:pPr>
    </w:p>
    <w:p>
      <w:pPr>
        <w:rPr>
          <w:rFonts w:hint="eastAsia" w:ascii="仿宋" w:hAnsi="仿宋" w:eastAsia="仿宋" w:cs="仿宋"/>
          <w:color w:val="auto"/>
          <w:sz w:val="36"/>
          <w:szCs w:val="36"/>
          <w:highlight w:val="none"/>
          <w:lang w:val="en-US" w:eastAsia="zh-CN"/>
        </w:rPr>
      </w:pPr>
    </w:p>
    <w:p>
      <w:pPr>
        <w:pStyle w:val="38"/>
        <w:rPr>
          <w:rFonts w:hint="eastAsia" w:ascii="仿宋" w:hAnsi="仿宋" w:eastAsia="仿宋" w:cs="仿宋"/>
          <w:color w:val="auto"/>
          <w:sz w:val="36"/>
          <w:szCs w:val="36"/>
          <w:highlight w:val="none"/>
          <w:lang w:val="en-US" w:eastAsia="zh-CN"/>
        </w:rPr>
      </w:pPr>
    </w:p>
    <w:p>
      <w:pPr>
        <w:pStyle w:val="39"/>
        <w:rPr>
          <w:rFonts w:hint="eastAsia" w:ascii="仿宋" w:hAnsi="仿宋" w:eastAsia="仿宋" w:cs="仿宋"/>
          <w:color w:val="auto"/>
          <w:sz w:val="36"/>
          <w:szCs w:val="36"/>
          <w:highlight w:val="none"/>
          <w:lang w:val="en-US" w:eastAsia="zh-CN"/>
        </w:rPr>
      </w:pPr>
    </w:p>
    <w:p>
      <w:pPr>
        <w:rPr>
          <w:rFonts w:hint="eastAsia" w:ascii="仿宋" w:hAnsi="仿宋" w:eastAsia="仿宋" w:cs="仿宋"/>
          <w:color w:val="auto"/>
          <w:sz w:val="36"/>
          <w:szCs w:val="36"/>
          <w:highlight w:val="none"/>
          <w:lang w:val="en-US" w:eastAsia="zh-CN"/>
        </w:rPr>
      </w:pPr>
    </w:p>
    <w:p>
      <w:pPr>
        <w:pStyle w:val="38"/>
        <w:rPr>
          <w:rFonts w:hint="eastAsia" w:ascii="仿宋" w:hAnsi="仿宋" w:eastAsia="仿宋" w:cs="仿宋"/>
          <w:color w:val="auto"/>
          <w:sz w:val="36"/>
          <w:szCs w:val="36"/>
          <w:highlight w:val="none"/>
          <w:lang w:val="en-US" w:eastAsia="zh-CN"/>
        </w:rPr>
      </w:pPr>
    </w:p>
    <w:p>
      <w:pPr>
        <w:pStyle w:val="39"/>
        <w:rPr>
          <w:rFonts w:hint="eastAsia" w:ascii="仿宋" w:hAnsi="仿宋" w:eastAsia="仿宋" w:cs="仿宋"/>
          <w:color w:val="auto"/>
          <w:sz w:val="36"/>
          <w:szCs w:val="36"/>
          <w:highlight w:val="none"/>
          <w:lang w:val="en-US" w:eastAsia="zh-CN"/>
        </w:rPr>
      </w:pPr>
    </w:p>
    <w:p>
      <w:pPr>
        <w:rPr>
          <w:rFonts w:hint="eastAsia" w:ascii="仿宋" w:hAnsi="仿宋" w:eastAsia="仿宋" w:cs="仿宋"/>
          <w:color w:val="auto"/>
          <w:sz w:val="36"/>
          <w:szCs w:val="36"/>
          <w:highlight w:val="none"/>
          <w:lang w:val="en-US" w:eastAsia="zh-CN"/>
        </w:rPr>
      </w:pPr>
    </w:p>
    <w:p>
      <w:pPr>
        <w:pStyle w:val="38"/>
        <w:rPr>
          <w:rFonts w:hint="eastAsia" w:ascii="仿宋" w:hAnsi="仿宋" w:eastAsia="仿宋" w:cs="仿宋"/>
          <w:color w:val="auto"/>
          <w:sz w:val="36"/>
          <w:szCs w:val="36"/>
          <w:highlight w:val="none"/>
          <w:lang w:val="en-US" w:eastAsia="zh-CN"/>
        </w:rPr>
      </w:pPr>
    </w:p>
    <w:p>
      <w:pPr>
        <w:rPr>
          <w:rFonts w:hint="eastAsia" w:ascii="仿宋" w:hAnsi="仿宋" w:eastAsia="仿宋" w:cs="仿宋"/>
          <w:color w:val="auto"/>
          <w:highlight w:val="none"/>
          <w:lang w:val="en-US" w:eastAsia="zh-CN"/>
        </w:rPr>
      </w:pPr>
    </w:p>
    <w:p>
      <w:pPr>
        <w:pStyle w:val="3"/>
        <w:numPr>
          <w:ilvl w:val="0"/>
          <w:numId w:val="0"/>
        </w:numPr>
        <w:ind w:leftChars="0"/>
        <w:jc w:val="center"/>
        <w:rPr>
          <w:rFonts w:hint="eastAsia" w:ascii="仿宋" w:hAnsi="仿宋" w:eastAsia="仿宋" w:cs="仿宋"/>
          <w:color w:val="auto"/>
          <w:highlight w:val="none"/>
        </w:rPr>
      </w:pPr>
      <w:r>
        <w:rPr>
          <w:rFonts w:hint="eastAsia" w:ascii="仿宋" w:hAnsi="仿宋" w:eastAsia="仿宋" w:cs="仿宋"/>
          <w:color w:val="auto"/>
          <w:sz w:val="36"/>
          <w:szCs w:val="36"/>
          <w:highlight w:val="none"/>
          <w:lang w:val="en-US" w:eastAsia="zh-CN"/>
        </w:rPr>
        <w:t xml:space="preserve">第五部分 </w:t>
      </w:r>
      <w:r>
        <w:rPr>
          <w:rFonts w:hint="eastAsia" w:ascii="仿宋" w:hAnsi="仿宋" w:eastAsia="仿宋" w:cs="仿宋"/>
          <w:color w:val="auto"/>
          <w:sz w:val="36"/>
          <w:szCs w:val="36"/>
          <w:highlight w:val="none"/>
        </w:rPr>
        <w:t>评标办法</w:t>
      </w:r>
    </w:p>
    <w:p>
      <w:pPr>
        <w:spacing w:line="440" w:lineRule="exact"/>
        <w:jc w:val="left"/>
        <w:rPr>
          <w:rFonts w:hint="eastAsia" w:ascii="仿宋" w:hAnsi="仿宋" w:eastAsia="仿宋" w:cs="仿宋"/>
          <w:b w:val="0"/>
          <w:i w:val="0"/>
          <w:iCs w:val="0"/>
          <w:color w:val="auto"/>
          <w:kern w:val="0"/>
          <w:sz w:val="24"/>
          <w:szCs w:val="24"/>
          <w:highlight w:val="none"/>
          <w:u w:val="none"/>
          <w:lang w:val="zh-CN" w:eastAsia="zh-CN" w:bidi="ar"/>
        </w:rPr>
      </w:pPr>
      <w:r>
        <w:rPr>
          <w:rFonts w:hint="eastAsia" w:ascii="仿宋" w:hAnsi="仿宋" w:eastAsia="仿宋" w:cs="仿宋"/>
          <w:b w:val="0"/>
          <w:i w:val="0"/>
          <w:iCs w:val="0"/>
          <w:color w:val="auto"/>
          <w:kern w:val="0"/>
          <w:sz w:val="24"/>
          <w:szCs w:val="24"/>
          <w:highlight w:val="none"/>
          <w:u w:val="none"/>
          <w:lang w:val="zh-CN" w:eastAsia="zh-CN" w:bidi="ar"/>
        </w:rPr>
        <w:t>1、评标方法：</w:t>
      </w:r>
    </w:p>
    <w:p>
      <w:pPr>
        <w:spacing w:line="440" w:lineRule="exact"/>
        <w:ind w:firstLine="480" w:firstLineChars="200"/>
        <w:jc w:val="left"/>
        <w:rPr>
          <w:rFonts w:hint="eastAsia" w:ascii="仿宋" w:hAnsi="仿宋" w:eastAsia="仿宋" w:cs="仿宋"/>
          <w:b w:val="0"/>
          <w:i w:val="0"/>
          <w:iCs w:val="0"/>
          <w:color w:val="auto"/>
          <w:kern w:val="0"/>
          <w:sz w:val="24"/>
          <w:szCs w:val="24"/>
          <w:highlight w:val="none"/>
          <w:u w:val="none"/>
          <w:lang w:val="zh-CN" w:eastAsia="zh-CN" w:bidi="ar"/>
        </w:rPr>
      </w:pPr>
      <w:r>
        <w:rPr>
          <w:rFonts w:hint="eastAsia" w:ascii="仿宋" w:hAnsi="仿宋" w:eastAsia="仿宋" w:cs="仿宋"/>
          <w:b w:val="0"/>
          <w:i w:val="0"/>
          <w:iCs w:val="0"/>
          <w:color w:val="auto"/>
          <w:kern w:val="0"/>
          <w:sz w:val="24"/>
          <w:szCs w:val="24"/>
          <w:highlight w:val="none"/>
          <w:u w:val="none"/>
          <w:lang w:val="zh-CN" w:eastAsia="zh-CN" w:bidi="ar"/>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w:t>
      </w:r>
      <w:r>
        <w:rPr>
          <w:rFonts w:hint="eastAsia" w:ascii="仿宋" w:hAnsi="仿宋" w:eastAsia="仿宋" w:cs="仿宋"/>
          <w:b w:val="0"/>
          <w:i w:val="0"/>
          <w:iCs w:val="0"/>
          <w:color w:val="auto"/>
          <w:kern w:val="0"/>
          <w:sz w:val="24"/>
          <w:szCs w:val="24"/>
          <w:highlight w:val="none"/>
          <w:u w:val="none"/>
          <w:lang w:val="en-US" w:eastAsia="zh-CN" w:bidi="ar"/>
        </w:rPr>
        <w:t>为一名，</w:t>
      </w:r>
      <w:r>
        <w:rPr>
          <w:rFonts w:hint="eastAsia" w:ascii="仿宋" w:hAnsi="仿宋" w:eastAsia="仿宋" w:cs="仿宋"/>
          <w:b w:val="0"/>
          <w:i w:val="0"/>
          <w:iCs w:val="0"/>
          <w:color w:val="auto"/>
          <w:kern w:val="0"/>
          <w:sz w:val="24"/>
          <w:szCs w:val="24"/>
          <w:highlight w:val="none"/>
          <w:u w:val="none"/>
          <w:lang w:val="zh-CN" w:eastAsia="zh-CN" w:bidi="ar"/>
        </w:rPr>
        <w:t>中标候选人并列的，采用随机抽取的方式确定。</w:t>
      </w:r>
    </w:p>
    <w:p>
      <w:pPr>
        <w:spacing w:line="440" w:lineRule="exact"/>
        <w:jc w:val="left"/>
        <w:rPr>
          <w:rFonts w:hint="eastAsia" w:ascii="仿宋" w:hAnsi="仿宋" w:eastAsia="仿宋" w:cs="仿宋"/>
          <w:b w:val="0"/>
          <w:i w:val="0"/>
          <w:iCs w:val="0"/>
          <w:color w:val="auto"/>
          <w:kern w:val="0"/>
          <w:sz w:val="24"/>
          <w:szCs w:val="24"/>
          <w:highlight w:val="none"/>
          <w:u w:val="none"/>
          <w:lang w:val="zh-CN" w:eastAsia="zh-CN" w:bidi="ar"/>
        </w:rPr>
      </w:pPr>
      <w:r>
        <w:rPr>
          <w:rFonts w:hint="eastAsia" w:ascii="仿宋" w:hAnsi="仿宋" w:eastAsia="仿宋" w:cs="仿宋"/>
          <w:b w:val="0"/>
          <w:i w:val="0"/>
          <w:iCs w:val="0"/>
          <w:color w:val="auto"/>
          <w:kern w:val="0"/>
          <w:sz w:val="24"/>
          <w:szCs w:val="24"/>
          <w:highlight w:val="none"/>
          <w:u w:val="none"/>
          <w:lang w:val="zh-CN" w:eastAsia="zh-CN" w:bidi="ar"/>
        </w:rPr>
        <w:t>2、评分标准：共100分，其中商务技术分</w:t>
      </w:r>
      <w:r>
        <w:rPr>
          <w:rFonts w:hint="eastAsia" w:ascii="仿宋" w:hAnsi="仿宋" w:eastAsia="仿宋" w:cs="仿宋"/>
          <w:b w:val="0"/>
          <w:i w:val="0"/>
          <w:iCs w:val="0"/>
          <w:color w:val="auto"/>
          <w:kern w:val="0"/>
          <w:sz w:val="24"/>
          <w:szCs w:val="24"/>
          <w:highlight w:val="none"/>
          <w:u w:val="none"/>
          <w:lang w:val="en-US" w:eastAsia="zh-CN" w:bidi="ar"/>
        </w:rPr>
        <w:t>5</w:t>
      </w:r>
      <w:r>
        <w:rPr>
          <w:rFonts w:hint="eastAsia" w:ascii="仿宋" w:hAnsi="仿宋" w:eastAsia="仿宋" w:cs="仿宋"/>
          <w:b w:val="0"/>
          <w:i w:val="0"/>
          <w:iCs w:val="0"/>
          <w:color w:val="auto"/>
          <w:kern w:val="0"/>
          <w:sz w:val="24"/>
          <w:szCs w:val="24"/>
          <w:highlight w:val="none"/>
          <w:u w:val="none"/>
          <w:lang w:val="zh-CN" w:eastAsia="zh-CN" w:bidi="ar"/>
        </w:rPr>
        <w:t>0分，价格分</w:t>
      </w:r>
      <w:r>
        <w:rPr>
          <w:rFonts w:hint="eastAsia" w:ascii="仿宋" w:hAnsi="仿宋" w:eastAsia="仿宋" w:cs="仿宋"/>
          <w:b w:val="0"/>
          <w:i w:val="0"/>
          <w:iCs w:val="0"/>
          <w:color w:val="auto"/>
          <w:kern w:val="0"/>
          <w:sz w:val="24"/>
          <w:szCs w:val="24"/>
          <w:highlight w:val="none"/>
          <w:u w:val="none"/>
          <w:lang w:val="en-US" w:eastAsia="zh-CN" w:bidi="ar"/>
        </w:rPr>
        <w:t>5</w:t>
      </w:r>
      <w:r>
        <w:rPr>
          <w:rFonts w:hint="eastAsia" w:ascii="仿宋" w:hAnsi="仿宋" w:eastAsia="仿宋" w:cs="仿宋"/>
          <w:b w:val="0"/>
          <w:i w:val="0"/>
          <w:iCs w:val="0"/>
          <w:color w:val="auto"/>
          <w:kern w:val="0"/>
          <w:sz w:val="24"/>
          <w:szCs w:val="24"/>
          <w:highlight w:val="none"/>
          <w:u w:val="none"/>
          <w:lang w:val="zh-CN" w:eastAsia="zh-CN" w:bidi="ar"/>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color w:val="auto"/>
          <w:highlight w:val="none"/>
          <w:lang w:val="en-US" w:eastAsia="zh-CN"/>
        </w:rPr>
        <w:t>2.1商务技术分（50分）</w:t>
      </w:r>
      <w:bookmarkEnd w:id="31"/>
      <w:bookmarkStart w:id="33" w:name="_Toc23578"/>
      <w:bookmarkStart w:id="34" w:name="_Toc6326"/>
      <w:bookmarkStart w:id="35" w:name="_Toc1479"/>
    </w:p>
    <w:tbl>
      <w:tblPr>
        <w:tblStyle w:val="32"/>
        <w:tblW w:w="9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2930"/>
        <w:gridCol w:w="3742"/>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45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240" w:firstLineChars="10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评分项目</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评分细则</w:t>
            </w:r>
          </w:p>
        </w:tc>
        <w:tc>
          <w:tcPr>
            <w:tcW w:w="1114"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val="0"/>
              <w:suppressLineNumbers w:val="0"/>
              <w:adjustRightInd w:val="0"/>
              <w:spacing w:before="0" w:beforeAutospacing="0" w:after="0" w:afterAutospacing="0" w:line="24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同类业绩</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根据投标人近三年(自2022年1月1日至今,以合同签订日为准)承保国有企业或行政事业单位车辆保险业绩的,每个合同得1分,最多3分。(提供合同及保险车辆清单扫描件,清单上必须有保单号)</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服务渠道</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根据投标人具备网络、电话、短信、网点及专员等多样化服务渠道，便于投保人对本合作项目的问题咨询，充分体现服务的人性化和各类服务渠道的便捷性等情况进行综合打分。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承保服务</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方案</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根据投标人提供的承保服务方案中提供可行详细的承保方案，保证获得优先服务的权利，成立专门的服务小组，及时签订商业车险和承运人责任险保单等情况进行综合打分。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3"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偿付能力</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充足率</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评标小组根据投标人所属总公司近一年度偿付能力充足率进行比较打分，以下三项内容得分不累计：</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偿付能力充足率超过100%得1分；</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偿付能力充足率超过150%得3分；</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偿付能力充足率超过200%得6分。</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注：评标时提供投标人所属总公司近一年度偿付能力充足率书面材料并加盖公章，否则不得分。需提供2024年第三季度所属总公司由会计事务所出具的审计报告。</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理赔</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服务方案</w:t>
            </w:r>
          </w:p>
        </w:tc>
        <w:tc>
          <w:tcPr>
            <w:tcW w:w="293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 xml:space="preserve">  根据理赔服务方案的</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完整性、合理性、可行性等进行打分</w:t>
            </w:r>
          </w:p>
        </w:tc>
        <w:tc>
          <w:tcPr>
            <w:tcW w:w="37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报案受理</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查勘</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定损</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维修</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结算</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p>
        </w:tc>
        <w:tc>
          <w:tcPr>
            <w:tcW w:w="2930" w:type="dxa"/>
            <w:vMerge w:val="continue"/>
            <w:tcBorders>
              <w:left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索赔程序</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451"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p>
        </w:tc>
        <w:tc>
          <w:tcPr>
            <w:tcW w:w="2930" w:type="dxa"/>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sz w:val="24"/>
                <w:szCs w:val="24"/>
                <w:highlight w:val="none"/>
                <w:lang w:val="en-US"/>
              </w:rPr>
            </w:pPr>
          </w:p>
        </w:tc>
        <w:tc>
          <w:tcPr>
            <w:tcW w:w="374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leftChars="0" w:right="0" w:rightChars="0" w:firstLine="0" w:firstLineChars="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救援设备及服务</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leftChars="0" w:right="0" w:rightChars="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服务团队</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根据投标人针对本项目配置的服务团队整体专业经验和服务能力等情况进行综合打分。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451"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服务承诺</w:t>
            </w: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投标人在合同期内向采购人提供安全管理人员保险理赔业务培训，有明确培训计划，确保采购人、投保人、被保险人充分理解保险、理赔流程等情况进行综合打分。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45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firstLine="0" w:firstLineChars="0"/>
              <w:jc w:val="center"/>
              <w:textAlignment w:val="auto"/>
              <w:rPr>
                <w:rFonts w:hint="eastAsia" w:ascii="仿宋" w:hAnsi="仿宋" w:eastAsia="仿宋" w:cs="仿宋"/>
                <w:color w:val="auto"/>
                <w:sz w:val="24"/>
                <w:szCs w:val="24"/>
                <w:highlight w:val="none"/>
                <w:lang w:val="en-US"/>
              </w:rPr>
            </w:pP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根据投标人针对本项目所提供的投保车辆基于安全保障方面的增值服务方案等情况进行综合打分。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0" w:right="0" w:firstLine="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45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kern w:val="2"/>
                <w:sz w:val="24"/>
                <w:szCs w:val="24"/>
                <w:highlight w:val="none"/>
              </w:rPr>
            </w:pPr>
            <w:bookmarkStart w:id="36" w:name="_Hlk34766359"/>
            <w:bookmarkEnd w:id="36"/>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根据交通事故伤者医疗跟踪服务承诺、重症病人抢救医疗保险额外药类理赔办法承诺等情况进行综合打分。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480" w:right="0" w:hanging="48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45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kern w:val="2"/>
                <w:sz w:val="24"/>
                <w:szCs w:val="24"/>
                <w:highlight w:val="none"/>
              </w:rPr>
            </w:pP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根据投标人承诺在收到提供齐全的索赔材料后的理赔时间等情况进行综合打分。</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480" w:right="0" w:hanging="48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145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60" w:lineRule="exact"/>
              <w:ind w:left="0" w:right="0" w:firstLine="0" w:firstLineChars="0"/>
              <w:jc w:val="both"/>
              <w:textAlignment w:val="auto"/>
              <w:rPr>
                <w:rFonts w:hint="eastAsia" w:ascii="仿宋" w:hAnsi="仿宋" w:eastAsia="仿宋" w:cs="仿宋"/>
                <w:color w:val="auto"/>
                <w:kern w:val="2"/>
                <w:sz w:val="24"/>
                <w:szCs w:val="24"/>
                <w:highlight w:val="none"/>
              </w:rPr>
            </w:pPr>
          </w:p>
        </w:tc>
        <w:tc>
          <w:tcPr>
            <w:tcW w:w="667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right="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投标人具有理赔、查助车达3辆及以上的，得2分；具有理赔、查助车达3辆以下的，得1分。（提供车辆行驶证或设备购买发票等相关证明材料扫描件)</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pacing w:before="0" w:beforeAutospacing="0" w:after="0" w:afterAutospacing="0" w:line="360" w:lineRule="auto"/>
              <w:ind w:left="480" w:right="0" w:hanging="480" w:firstLineChars="0"/>
              <w:jc w:val="center"/>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0-2分</w:t>
            </w: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5</w:t>
      </w:r>
      <w:r>
        <w:rPr>
          <w:rFonts w:hint="eastAsia" w:ascii="仿宋" w:hAnsi="仿宋" w:eastAsia="仿宋" w:cs="仿宋"/>
          <w:b/>
          <w:bCs/>
          <w:iCs/>
          <w:color w:val="auto"/>
          <w:sz w:val="24"/>
          <w:highlight w:val="none"/>
        </w:rPr>
        <w:t>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spacing w:line="440" w:lineRule="exact"/>
        <w:ind w:firstLine="482" w:firstLineChars="200"/>
        <w:rPr>
          <w:rFonts w:hint="eastAsia" w:ascii="仿宋" w:hAnsi="仿宋" w:eastAsia="仿宋" w:cs="仿宋"/>
          <w:b/>
          <w:iCs/>
          <w:color w:val="auto"/>
          <w:sz w:val="24"/>
          <w:highlight w:val="none"/>
        </w:rPr>
      </w:pPr>
      <w:r>
        <w:rPr>
          <w:rFonts w:hint="eastAsia" w:ascii="仿宋" w:hAnsi="仿宋" w:eastAsia="仿宋" w:cs="仿宋"/>
          <w:b/>
          <w:iCs/>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仿宋" w:hAnsi="仿宋" w:eastAsia="仿宋" w:cs="仿宋"/>
          <w:bCs/>
          <w:color w:val="auto"/>
          <w:sz w:val="24"/>
          <w:szCs w:val="24"/>
          <w:highlight w:val="none"/>
        </w:rPr>
      </w:pPr>
      <w:bookmarkStart w:id="37" w:name="_Toc26214"/>
    </w:p>
    <w:p>
      <w:pPr>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仿宋" w:hAnsi="仿宋" w:eastAsia="仿宋" w:cs="仿宋"/>
          <w:bCs/>
          <w:color w:val="auto"/>
          <w:sz w:val="24"/>
          <w:szCs w:val="24"/>
          <w:highlight w:val="none"/>
        </w:rPr>
      </w:pPr>
    </w:p>
    <w:bookmarkEnd w:id="37"/>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both"/>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36" w:lineRule="auto"/>
        <w:jc w:val="center"/>
        <w:outlineLvl w:val="0"/>
        <w:rPr>
          <w:rFonts w:hint="eastAsia" w:ascii="仿宋" w:hAnsi="仿宋" w:eastAsia="仿宋" w:cs="仿宋"/>
          <w:b/>
          <w:color w:val="auto"/>
          <w:kern w:val="0"/>
          <w:sz w:val="36"/>
          <w:szCs w:val="36"/>
          <w:highlight w:val="none"/>
        </w:rPr>
      </w:pPr>
    </w:p>
    <w:p>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36" w:lineRule="auto"/>
        <w:jc w:val="center"/>
        <w:outlineLvl w:val="0"/>
        <w:rPr>
          <w:rFonts w:hint="eastAsia" w:ascii="仿宋" w:hAnsi="仿宋" w:eastAsia="仿宋" w:cs="仿宋"/>
          <w:b/>
          <w:color w:val="auto"/>
          <w:kern w:val="0"/>
          <w:sz w:val="36"/>
          <w:szCs w:val="36"/>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eastAsia="zh-CN"/>
        </w:rPr>
        <w:t>营业执照扫描件</w:t>
      </w:r>
      <w:r>
        <w:rPr>
          <w:rFonts w:hint="eastAsia" w:ascii="仿宋" w:hAnsi="仿宋" w:eastAsia="仿宋" w:cs="仿宋"/>
          <w:color w:val="auto"/>
          <w:kern w:val="0"/>
          <w:sz w:val="24"/>
          <w:szCs w:val="24"/>
          <w:highlight w:val="none"/>
        </w:rPr>
        <w:t>……………………………………………………………（页码）</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lang w:val="zh-CN"/>
        </w:rPr>
        <w:t>）符合参加采购活动应当具备的一般条件的承诺函</w:t>
      </w:r>
      <w:r>
        <w:rPr>
          <w:rFonts w:hint="eastAsia" w:ascii="仿宋" w:hAnsi="仿宋" w:eastAsia="仿宋" w:cs="仿宋"/>
          <w:color w:val="auto"/>
          <w:kern w:val="0"/>
          <w:sz w:val="24"/>
          <w:szCs w:val="24"/>
          <w:highlight w:val="none"/>
        </w:rPr>
        <w:t>………………………（页码）</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sz w:val="24"/>
          <w:szCs w:val="24"/>
          <w:highlight w:val="none"/>
        </w:rPr>
        <w:t>特定资格要求需提供的证明材料</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若有）</w:t>
      </w:r>
      <w:r>
        <w:rPr>
          <w:rFonts w:hint="eastAsia" w:ascii="仿宋" w:hAnsi="仿宋" w:eastAsia="仿宋" w:cs="仿宋"/>
          <w:color w:val="auto"/>
          <w:kern w:val="0"/>
          <w:sz w:val="24"/>
          <w:szCs w:val="24"/>
          <w:highlight w:val="none"/>
        </w:rPr>
        <w:t>………………………………（页码）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bookmarkStart w:id="38" w:name="_GoBack"/>
      <w:bookmarkEnd w:id="38"/>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pStyle w:val="2"/>
        <w:rPr>
          <w:rFonts w:hint="eastAsia" w:ascii="仿宋" w:hAnsi="仿宋" w:eastAsia="仿宋" w:cs="仿宋"/>
          <w:color w:val="auto"/>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pStyle w:val="38"/>
        <w:rPr>
          <w:rFonts w:hint="eastAsia" w:ascii="仿宋" w:hAnsi="仿宋" w:eastAsia="仿宋" w:cs="仿宋"/>
          <w:color w:val="auto"/>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pStyle w:val="3"/>
        <w:rPr>
          <w:rFonts w:hint="eastAsia" w:ascii="仿宋" w:hAnsi="仿宋" w:eastAsia="仿宋" w:cs="仿宋"/>
          <w:color w:val="auto"/>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rPr>
        <w:t>一、</w:t>
      </w:r>
      <w:r>
        <w:rPr>
          <w:rFonts w:hint="eastAsia" w:ascii="仿宋" w:hAnsi="仿宋" w:eastAsia="仿宋" w:cs="仿宋"/>
          <w:b/>
          <w:color w:val="auto"/>
          <w:kern w:val="0"/>
          <w:sz w:val="32"/>
          <w:szCs w:val="32"/>
          <w:highlight w:val="none"/>
          <w:lang w:eastAsia="zh-CN"/>
        </w:rPr>
        <w:t>营业执照扫描件</w:t>
      </w:r>
    </w:p>
    <w:p>
      <w:pPr>
        <w:keepNext w:val="0"/>
        <w:keepLines w:val="0"/>
        <w:pageBreakBefore w:val="0"/>
        <w:widowControl w:val="0"/>
        <w:kinsoku/>
        <w:wordWrap/>
        <w:overflowPunct/>
        <w:topLinePunct w:val="0"/>
        <w:autoSpaceDE/>
        <w:autoSpaceDN/>
        <w:bidi w:val="0"/>
        <w:adjustRightInd w:val="0"/>
        <w:snapToGrid w:val="0"/>
        <w:spacing w:before="937" w:beforeLines="300" w:line="360" w:lineRule="auto"/>
        <w:ind w:right="482"/>
        <w:jc w:val="both"/>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482"/>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符合参加采购活动应当具备的一般条件的承诺函</w:t>
      </w:r>
    </w:p>
    <w:p>
      <w:pPr>
        <w:spacing w:line="48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（采购</w:t>
      </w:r>
      <w:r>
        <w:rPr>
          <w:rFonts w:hint="eastAsia" w:ascii="仿宋" w:hAnsi="仿宋" w:eastAsia="仿宋" w:cs="仿宋"/>
          <w:color w:val="auto"/>
          <w:sz w:val="24"/>
          <w:szCs w:val="24"/>
          <w:highlight w:val="none"/>
          <w:u w:val="single"/>
          <w:lang w:val="en-US" w:eastAsia="zh-CN"/>
        </w:rPr>
        <w:t>人</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采购代理机构）</w:t>
      </w:r>
      <w:r>
        <w:rPr>
          <w:rFonts w:hint="eastAsia" w:ascii="仿宋" w:hAnsi="仿宋" w:eastAsia="仿宋" w:cs="仿宋"/>
          <w:color w:val="auto"/>
          <w:sz w:val="24"/>
          <w:szCs w:val="24"/>
          <w:highlight w:val="none"/>
          <w:u w:val="single"/>
        </w:rPr>
        <w:t>：</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Style w:val="68"/>
          <w:rFonts w:hint="eastAsia" w:ascii="仿宋" w:hAnsi="仿宋" w:eastAsia="仿宋" w:cs="仿宋"/>
          <w:color w:val="auto"/>
          <w:kern w:val="0"/>
          <w:sz w:val="24"/>
          <w:szCs w:val="24"/>
          <w:highlight w:val="none"/>
          <w:u w:val="single" w:color="000000"/>
        </w:rPr>
        <w:t xml:space="preserve">（          项目名称     项目编号   </w:t>
      </w:r>
      <w:r>
        <w:rPr>
          <w:rStyle w:val="68"/>
          <w:rFonts w:hint="eastAsia" w:ascii="仿宋" w:hAnsi="仿宋" w:eastAsia="仿宋" w:cs="仿宋"/>
          <w:color w:val="auto"/>
          <w:kern w:val="0"/>
          <w:sz w:val="24"/>
          <w:szCs w:val="24"/>
          <w:highlight w:val="none"/>
        </w:rPr>
        <w:t>）</w:t>
      </w:r>
      <w:r>
        <w:rPr>
          <w:rFonts w:hint="eastAsia" w:ascii="仿宋" w:hAnsi="仿宋" w:eastAsia="仿宋" w:cs="仿宋"/>
          <w:color w:val="auto"/>
          <w:sz w:val="24"/>
          <w:highlight w:val="none"/>
        </w:rPr>
        <w:t>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w:t>
      </w:r>
      <w:r>
        <w:rPr>
          <w:rFonts w:hint="eastAsia" w:ascii="仿宋" w:hAnsi="仿宋" w:eastAsia="仿宋" w:cs="仿宋"/>
          <w:color w:val="auto"/>
          <w:sz w:val="24"/>
          <w:highlight w:val="none"/>
          <w:lang w:val="en-US" w:eastAsia="zh-CN"/>
        </w:rPr>
        <w:t>以下</w:t>
      </w:r>
      <w:r>
        <w:rPr>
          <w:rFonts w:hint="eastAsia" w:ascii="仿宋" w:hAnsi="仿宋" w:eastAsia="仿宋" w:cs="仿宋"/>
          <w:color w:val="auto"/>
          <w:sz w:val="24"/>
          <w:highlight w:val="none"/>
        </w:rPr>
        <w:t>条件：</w:t>
      </w:r>
    </w:p>
    <w:p>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1、具有独立承担民事责任能力的法人。</w:t>
      </w:r>
    </w:p>
    <w:p>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2、具有良好的商业信誉。</w:t>
      </w:r>
    </w:p>
    <w:p>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3、具有履行合同所必需的设备和专业技术、售后保障等能力。</w:t>
      </w:r>
    </w:p>
    <w:p>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5、参加采购活动前三年内，没有重大违法记录、严重失信行为和行贿记录。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lang w:val="zh-CN"/>
        </w:rPr>
      </w:pPr>
    </w:p>
    <w:p>
      <w:pPr>
        <w:snapToGrid w:val="0"/>
        <w:spacing w:line="360" w:lineRule="auto"/>
        <w:jc w:val="center"/>
        <w:rPr>
          <w:rFonts w:hint="eastAsia" w:ascii="仿宋" w:hAnsi="仿宋" w:eastAsia="仿宋" w:cs="仿宋"/>
          <w:color w:val="auto"/>
          <w:spacing w:val="6"/>
          <w:sz w:val="24"/>
          <w:szCs w:val="24"/>
          <w:highlight w:val="none"/>
        </w:rPr>
      </w:pPr>
      <w:r>
        <w:rPr>
          <w:rFonts w:hint="eastAsia" w:ascii="仿宋" w:hAnsi="仿宋" w:eastAsia="仿宋" w:cs="仿宋"/>
          <w:color w:val="auto"/>
          <w:spacing w:val="6"/>
          <w:kern w:val="0"/>
          <w:sz w:val="24"/>
          <w:szCs w:val="24"/>
          <w:highlight w:val="none"/>
          <w:lang w:val="en-US" w:eastAsia="zh-CN" w:bidi="ar-SA"/>
        </w:rPr>
        <w:t xml:space="preserve">                                投标人(电子签名)</w:t>
      </w:r>
      <w:r>
        <w:rPr>
          <w:rFonts w:hint="eastAsia" w:ascii="仿宋" w:hAnsi="仿宋" w:eastAsia="仿宋" w:cs="仿宋"/>
          <w:color w:val="auto"/>
          <w:spacing w:val="6"/>
          <w:sz w:val="24"/>
          <w:szCs w:val="24"/>
          <w:highlight w:val="none"/>
        </w:rPr>
        <w:t>：</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widowControl/>
        <w:spacing w:line="360" w:lineRule="auto"/>
        <w:jc w:val="both"/>
        <w:rPr>
          <w:rFonts w:hint="eastAsia" w:ascii="仿宋" w:hAnsi="仿宋" w:eastAsia="仿宋" w:cs="仿宋"/>
          <w:b/>
          <w:color w:val="auto"/>
          <w:kern w:val="0"/>
          <w:sz w:val="32"/>
          <w:szCs w:val="32"/>
          <w:highlight w:val="none"/>
          <w:lang w:val="en-US" w:eastAsia="zh-CN"/>
        </w:rPr>
      </w:pPr>
    </w:p>
    <w:p>
      <w:pPr>
        <w:widowControl/>
        <w:spacing w:line="360" w:lineRule="auto"/>
        <w:ind w:left="150"/>
        <w:jc w:val="center"/>
        <w:rPr>
          <w:rFonts w:hint="eastAsia" w:ascii="仿宋" w:hAnsi="仿宋" w:eastAsia="仿宋" w:cs="仿宋"/>
          <w:b/>
          <w:bCs w:val="0"/>
          <w:color w:val="auto"/>
          <w:kern w:val="0"/>
          <w:sz w:val="32"/>
          <w:szCs w:val="32"/>
          <w:highlight w:val="none"/>
          <w:lang w:val="en-US" w:eastAsia="zh-CN"/>
        </w:rPr>
      </w:pPr>
    </w:p>
    <w:p>
      <w:pPr>
        <w:pStyle w:val="3"/>
        <w:jc w:val="both"/>
        <w:rPr>
          <w:rFonts w:hint="eastAsia" w:ascii="仿宋" w:hAnsi="仿宋" w:eastAsia="仿宋" w:cs="仿宋"/>
          <w:color w:val="auto"/>
          <w:highlight w:val="none"/>
          <w:lang w:val="en-US" w:eastAsia="zh-CN"/>
        </w:rPr>
      </w:pPr>
    </w:p>
    <w:p>
      <w:pPr>
        <w:rPr>
          <w:rFonts w:hint="eastAsia" w:ascii="仿宋" w:hAnsi="仿宋" w:eastAsia="仿宋" w:cs="仿宋"/>
          <w:color w:val="auto"/>
          <w:highlight w:val="none"/>
          <w:lang w:val="en-US" w:eastAsia="zh-CN"/>
        </w:rPr>
      </w:pPr>
    </w:p>
    <w:p>
      <w:pPr>
        <w:rPr>
          <w:rFonts w:hint="eastAsia" w:ascii="仿宋" w:hAnsi="仿宋" w:eastAsia="仿宋" w:cs="仿宋"/>
          <w:color w:val="auto"/>
          <w:highlight w:val="none"/>
          <w:lang w:val="en-US" w:eastAsia="zh-CN"/>
        </w:rPr>
      </w:pPr>
    </w:p>
    <w:p>
      <w:pPr>
        <w:rPr>
          <w:rFonts w:hint="eastAsia" w:ascii="仿宋" w:hAnsi="仿宋" w:eastAsia="仿宋" w:cs="仿宋"/>
          <w:color w:val="auto"/>
          <w:highlight w:val="none"/>
          <w:lang w:val="en-US" w:eastAsia="zh-CN"/>
        </w:rPr>
      </w:pPr>
    </w:p>
    <w:p>
      <w:pPr>
        <w:rPr>
          <w:rFonts w:hint="eastAsia" w:ascii="仿宋" w:hAnsi="仿宋" w:eastAsia="仿宋" w:cs="仿宋"/>
          <w:color w:val="auto"/>
          <w:highlight w:val="none"/>
          <w:lang w:val="en-US" w:eastAsia="zh-CN"/>
        </w:rPr>
      </w:pPr>
    </w:p>
    <w:p>
      <w:pPr>
        <w:pStyle w:val="38"/>
        <w:rPr>
          <w:rFonts w:hint="eastAsia" w:ascii="仿宋" w:hAnsi="仿宋" w:eastAsia="仿宋" w:cs="仿宋"/>
          <w:color w:val="auto"/>
          <w:highlight w:val="none"/>
          <w:lang w:eastAsia="zh-CN"/>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（根据</w:t>
      </w:r>
      <w:r>
        <w:rPr>
          <w:rFonts w:hint="eastAsia" w:ascii="仿宋" w:hAnsi="仿宋" w:eastAsia="仿宋" w:cs="仿宋"/>
          <w:b/>
          <w:bCs/>
          <w:color w:val="auto"/>
          <w:sz w:val="24"/>
          <w:highlight w:val="none"/>
          <w:lang w:val="en-US" w:eastAsia="zh-CN"/>
        </w:rPr>
        <w:t>招标</w:t>
      </w:r>
      <w:r>
        <w:rPr>
          <w:rFonts w:hint="eastAsia" w:ascii="仿宋" w:hAnsi="仿宋" w:eastAsia="仿宋" w:cs="仿宋"/>
          <w:b/>
          <w:bCs/>
          <w:color w:val="auto"/>
          <w:sz w:val="24"/>
          <w:highlight w:val="none"/>
        </w:rPr>
        <w:t>公告本项目的特定资格要求提供相应的材料</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w:t>
      </w:r>
    </w:p>
    <w:p>
      <w:pPr>
        <w:spacing w:line="360" w:lineRule="auto"/>
        <w:jc w:val="center"/>
        <w:rPr>
          <w:rFonts w:hint="eastAsia" w:ascii="仿宋" w:hAnsi="仿宋" w:eastAsia="仿宋" w:cs="仿宋"/>
          <w:b/>
          <w:bCs/>
          <w:color w:val="auto"/>
          <w:sz w:val="24"/>
          <w:highlight w:val="none"/>
          <w:lang w:val="zh-CN"/>
        </w:rPr>
      </w:pPr>
    </w:p>
    <w:p>
      <w:pPr>
        <w:pStyle w:val="2"/>
        <w:rPr>
          <w:rFonts w:hint="eastAsia" w:ascii="仿宋" w:hAnsi="仿宋" w:eastAsia="仿宋" w:cs="仿宋"/>
          <w:color w:val="auto"/>
          <w:kern w:val="0"/>
          <w:sz w:val="24"/>
          <w:highlight w:val="none"/>
          <w:lang w:val="zh-CN"/>
        </w:rPr>
      </w:pPr>
    </w:p>
    <w:p>
      <w:pPr>
        <w:snapToGrid w:val="0"/>
        <w:spacing w:line="360" w:lineRule="auto"/>
        <w:ind w:firstLine="480" w:firstLineChars="200"/>
        <w:rPr>
          <w:rFonts w:hint="eastAsia" w:ascii="仿宋" w:hAnsi="仿宋" w:eastAsia="仿宋" w:cs="仿宋"/>
          <w:color w:val="auto"/>
          <w:sz w:val="24"/>
          <w:highlight w:val="none"/>
          <w:lang w:val="zh-CN" w:eastAsia="zh-CN"/>
        </w:rPr>
      </w:pPr>
    </w:p>
    <w:p>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1、具有中国保险监督管理委员颁发的《经营保险业务许可证》;</w:t>
      </w:r>
    </w:p>
    <w:p>
      <w:pPr>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2、须经国家保险监督管理机构批准的在中华人民共和国境内设立和营业的保险公司或其授权的分支公司，并依法核定许可经营车辆保险业务的保险公司。</w:t>
      </w:r>
    </w:p>
    <w:p>
      <w:pPr>
        <w:pStyle w:val="23"/>
        <w:rPr>
          <w:rFonts w:hint="eastAsia" w:ascii="仿宋" w:hAnsi="仿宋" w:eastAsia="仿宋" w:cs="仿宋"/>
          <w:color w:val="auto"/>
          <w:kern w:val="0"/>
          <w:sz w:val="24"/>
          <w:highlight w:val="none"/>
          <w:lang w:val="zh-CN"/>
        </w:rPr>
      </w:pPr>
    </w:p>
    <w:p>
      <w:pPr>
        <w:rPr>
          <w:rFonts w:hint="eastAsia" w:ascii="仿宋" w:hAnsi="仿宋" w:eastAsia="仿宋" w:cs="仿宋"/>
          <w:color w:val="auto"/>
          <w:kern w:val="0"/>
          <w:sz w:val="24"/>
          <w:highlight w:val="none"/>
          <w:lang w:val="zh-CN"/>
        </w:rPr>
      </w:pPr>
    </w:p>
    <w:p>
      <w:pPr>
        <w:pStyle w:val="2"/>
        <w:rPr>
          <w:rFonts w:hint="eastAsia" w:ascii="仿宋" w:hAnsi="仿宋" w:eastAsia="仿宋" w:cs="仿宋"/>
          <w:color w:val="auto"/>
          <w:kern w:val="0"/>
          <w:sz w:val="24"/>
          <w:highlight w:val="none"/>
          <w:lang w:val="zh-CN"/>
        </w:rPr>
      </w:pPr>
    </w:p>
    <w:p>
      <w:pPr>
        <w:pStyle w:val="28"/>
        <w:rPr>
          <w:rFonts w:hint="eastAsia" w:ascii="仿宋" w:hAnsi="仿宋" w:eastAsia="仿宋" w:cs="仿宋"/>
          <w:color w:val="auto"/>
          <w:kern w:val="0"/>
          <w:sz w:val="24"/>
          <w:highlight w:val="none"/>
          <w:lang w:val="zh-CN"/>
        </w:rPr>
      </w:pPr>
    </w:p>
    <w:p>
      <w:pPr>
        <w:pStyle w:val="23"/>
        <w:rPr>
          <w:rFonts w:hint="eastAsia" w:ascii="仿宋" w:hAnsi="仿宋" w:eastAsia="仿宋" w:cs="仿宋"/>
          <w:color w:val="auto"/>
          <w:kern w:val="0"/>
          <w:sz w:val="24"/>
          <w:highlight w:val="none"/>
          <w:lang w:val="zh-CN"/>
        </w:rPr>
      </w:pPr>
    </w:p>
    <w:p>
      <w:pPr>
        <w:rPr>
          <w:rFonts w:hint="eastAsia" w:ascii="仿宋" w:hAnsi="仿宋" w:eastAsia="仿宋" w:cs="仿宋"/>
          <w:color w:val="auto"/>
          <w:kern w:val="0"/>
          <w:sz w:val="24"/>
          <w:highlight w:val="none"/>
          <w:lang w:val="zh-CN"/>
        </w:rPr>
      </w:pPr>
    </w:p>
    <w:p>
      <w:pPr>
        <w:pStyle w:val="2"/>
        <w:rPr>
          <w:rFonts w:hint="eastAsia" w:ascii="仿宋" w:hAnsi="仿宋" w:eastAsia="仿宋" w:cs="仿宋"/>
          <w:color w:val="auto"/>
          <w:kern w:val="0"/>
          <w:sz w:val="24"/>
          <w:highlight w:val="none"/>
          <w:lang w:val="zh-CN"/>
        </w:rPr>
      </w:pPr>
    </w:p>
    <w:p>
      <w:pPr>
        <w:pStyle w:val="28"/>
        <w:rPr>
          <w:rFonts w:hint="eastAsia" w:ascii="仿宋" w:hAnsi="仿宋" w:eastAsia="仿宋" w:cs="仿宋"/>
          <w:color w:val="auto"/>
          <w:kern w:val="0"/>
          <w:sz w:val="24"/>
          <w:highlight w:val="none"/>
          <w:lang w:val="zh-CN"/>
        </w:rPr>
      </w:pPr>
    </w:p>
    <w:p>
      <w:pPr>
        <w:pStyle w:val="23"/>
        <w:rPr>
          <w:rFonts w:hint="eastAsia" w:ascii="仿宋" w:hAnsi="仿宋" w:eastAsia="仿宋" w:cs="仿宋"/>
          <w:color w:val="auto"/>
          <w:kern w:val="0"/>
          <w:sz w:val="24"/>
          <w:highlight w:val="none"/>
          <w:lang w:val="zh-CN"/>
        </w:rPr>
      </w:pPr>
    </w:p>
    <w:p>
      <w:pPr>
        <w:rPr>
          <w:rFonts w:hint="eastAsia" w:ascii="仿宋" w:hAnsi="仿宋" w:eastAsia="仿宋" w:cs="仿宋"/>
          <w:color w:val="auto"/>
          <w:kern w:val="0"/>
          <w:sz w:val="24"/>
          <w:highlight w:val="none"/>
          <w:lang w:val="zh-CN"/>
        </w:rPr>
      </w:pPr>
    </w:p>
    <w:p>
      <w:pPr>
        <w:pStyle w:val="2"/>
        <w:rPr>
          <w:rFonts w:hint="eastAsia" w:ascii="仿宋" w:hAnsi="仿宋" w:eastAsia="仿宋" w:cs="仿宋"/>
          <w:color w:val="auto"/>
          <w:kern w:val="0"/>
          <w:sz w:val="24"/>
          <w:highlight w:val="none"/>
          <w:lang w:val="zh-CN"/>
        </w:rPr>
      </w:pPr>
    </w:p>
    <w:p>
      <w:pPr>
        <w:pStyle w:val="28"/>
        <w:rPr>
          <w:rFonts w:hint="eastAsia" w:ascii="仿宋" w:hAnsi="仿宋" w:eastAsia="仿宋" w:cs="仿宋"/>
          <w:color w:val="auto"/>
          <w:kern w:val="0"/>
          <w:sz w:val="24"/>
          <w:highlight w:val="none"/>
          <w:lang w:val="zh-CN"/>
        </w:rPr>
      </w:pPr>
    </w:p>
    <w:p>
      <w:pPr>
        <w:pStyle w:val="23"/>
        <w:rPr>
          <w:rFonts w:hint="eastAsia" w:ascii="仿宋" w:hAnsi="仿宋" w:eastAsia="仿宋" w:cs="仿宋"/>
          <w:color w:val="auto"/>
          <w:kern w:val="0"/>
          <w:sz w:val="24"/>
          <w:highlight w:val="none"/>
          <w:lang w:val="zh-CN"/>
        </w:rPr>
      </w:pPr>
    </w:p>
    <w:p>
      <w:pPr>
        <w:rPr>
          <w:rFonts w:hint="eastAsia" w:ascii="仿宋" w:hAnsi="仿宋" w:eastAsia="仿宋" w:cs="仿宋"/>
          <w:color w:val="auto"/>
          <w:kern w:val="0"/>
          <w:sz w:val="24"/>
          <w:highlight w:val="none"/>
          <w:lang w:val="zh-CN"/>
        </w:rPr>
      </w:pPr>
    </w:p>
    <w:p>
      <w:pPr>
        <w:pStyle w:val="2"/>
        <w:rPr>
          <w:rFonts w:hint="eastAsia" w:ascii="仿宋" w:hAnsi="仿宋" w:eastAsia="仿宋" w:cs="仿宋"/>
          <w:color w:val="auto"/>
          <w:kern w:val="0"/>
          <w:sz w:val="24"/>
          <w:highlight w:val="none"/>
          <w:lang w:val="zh-CN"/>
        </w:rPr>
      </w:pPr>
    </w:p>
    <w:p>
      <w:pPr>
        <w:pStyle w:val="28"/>
        <w:rPr>
          <w:rFonts w:hint="eastAsia" w:ascii="仿宋" w:hAnsi="仿宋" w:eastAsia="仿宋" w:cs="仿宋"/>
          <w:color w:val="auto"/>
          <w:kern w:val="0"/>
          <w:sz w:val="24"/>
          <w:highlight w:val="none"/>
          <w:lang w:val="zh-CN"/>
        </w:rPr>
      </w:pPr>
    </w:p>
    <w:p>
      <w:pPr>
        <w:pStyle w:val="23"/>
        <w:rPr>
          <w:rFonts w:hint="eastAsia" w:ascii="仿宋" w:hAnsi="仿宋" w:eastAsia="仿宋" w:cs="仿宋"/>
          <w:color w:val="auto"/>
          <w:kern w:val="0"/>
          <w:sz w:val="24"/>
          <w:highlight w:val="none"/>
          <w:lang w:val="zh-CN"/>
        </w:rPr>
      </w:pPr>
    </w:p>
    <w:p>
      <w:pPr>
        <w:rPr>
          <w:rFonts w:hint="eastAsia" w:ascii="仿宋" w:hAnsi="仿宋" w:eastAsia="仿宋" w:cs="仿宋"/>
          <w:color w:val="auto"/>
          <w:kern w:val="0"/>
          <w:sz w:val="24"/>
          <w:highlight w:val="none"/>
          <w:lang w:val="zh-CN"/>
        </w:rPr>
      </w:pPr>
    </w:p>
    <w:p>
      <w:pPr>
        <w:pStyle w:val="3"/>
        <w:rPr>
          <w:rFonts w:hint="eastAsia" w:ascii="仿宋" w:hAnsi="仿宋" w:eastAsia="仿宋" w:cs="仿宋"/>
          <w:color w:val="auto"/>
          <w:kern w:val="0"/>
          <w:sz w:val="24"/>
          <w:highlight w:val="none"/>
          <w:lang w:val="zh-CN"/>
        </w:rPr>
      </w:pPr>
    </w:p>
    <w:p>
      <w:pPr>
        <w:rPr>
          <w:rFonts w:hint="eastAsia" w:ascii="仿宋" w:hAnsi="仿宋" w:eastAsia="仿宋" w:cs="仿宋"/>
          <w:color w:val="auto"/>
          <w:kern w:val="0"/>
          <w:sz w:val="24"/>
          <w:highlight w:val="none"/>
          <w:lang w:val="zh-CN"/>
        </w:rPr>
      </w:pPr>
    </w:p>
    <w:p>
      <w:pPr>
        <w:pStyle w:val="3"/>
        <w:rPr>
          <w:rFonts w:hint="eastAsia" w:ascii="仿宋" w:hAnsi="仿宋" w:eastAsia="仿宋" w:cs="仿宋"/>
          <w:color w:val="auto"/>
          <w:kern w:val="0"/>
          <w:sz w:val="24"/>
          <w:highlight w:val="none"/>
          <w:lang w:val="zh-CN"/>
        </w:rPr>
      </w:pPr>
    </w:p>
    <w:p>
      <w:pPr>
        <w:rPr>
          <w:rFonts w:hint="eastAsia" w:ascii="仿宋" w:hAnsi="仿宋" w:eastAsia="仿宋" w:cs="仿宋"/>
          <w:color w:val="auto"/>
          <w:kern w:val="0"/>
          <w:sz w:val="24"/>
          <w:highlight w:val="none"/>
          <w:lang w:val="zh-CN"/>
        </w:rPr>
      </w:pPr>
    </w:p>
    <w:p>
      <w:pPr>
        <w:pStyle w:val="3"/>
        <w:rPr>
          <w:rFonts w:hint="eastAsia" w:ascii="仿宋" w:hAnsi="仿宋" w:eastAsia="仿宋" w:cs="仿宋"/>
          <w:color w:val="auto"/>
          <w:kern w:val="0"/>
          <w:sz w:val="24"/>
          <w:highlight w:val="none"/>
          <w:lang w:val="zh-CN"/>
        </w:rPr>
      </w:pPr>
    </w:p>
    <w:p>
      <w:pPr>
        <w:rPr>
          <w:rFonts w:hint="eastAsia" w:ascii="仿宋" w:hAnsi="仿宋" w:eastAsia="仿宋" w:cs="仿宋"/>
          <w:color w:val="auto"/>
          <w:kern w:val="0"/>
          <w:sz w:val="24"/>
          <w:highlight w:val="none"/>
          <w:lang w:val="zh-CN"/>
        </w:rPr>
      </w:pPr>
    </w:p>
    <w:p>
      <w:pPr>
        <w:pStyle w:val="38"/>
        <w:spacing w:line="336" w:lineRule="auto"/>
        <w:rPr>
          <w:rFonts w:hint="eastAsia" w:ascii="仿宋" w:hAnsi="仿宋" w:eastAsia="仿宋" w:cs="仿宋"/>
          <w:color w:val="auto"/>
          <w:highlight w:val="none"/>
          <w:lang w:val="zh-CN"/>
        </w:rPr>
      </w:pPr>
    </w:p>
    <w:p>
      <w:pPr>
        <w:jc w:val="center"/>
        <w:rPr>
          <w:rFonts w:hint="eastAsia" w:ascii="仿宋" w:hAnsi="仿宋" w:eastAsia="仿宋" w:cs="仿宋"/>
          <w:b/>
          <w:color w:val="auto"/>
          <w:kern w:val="0"/>
          <w:sz w:val="36"/>
          <w:szCs w:val="36"/>
          <w:highlight w:val="none"/>
        </w:rPr>
      </w:pPr>
    </w:p>
    <w:p>
      <w:pPr>
        <w:jc w:val="center"/>
        <w:rPr>
          <w:rFonts w:hint="eastAsia" w:ascii="仿宋" w:hAnsi="仿宋" w:eastAsia="仿宋" w:cs="仿宋"/>
          <w:b/>
          <w:color w:val="auto"/>
          <w:kern w:val="0"/>
          <w:sz w:val="36"/>
          <w:szCs w:val="36"/>
          <w:highlight w:val="none"/>
        </w:rPr>
      </w:pPr>
    </w:p>
    <w:p>
      <w:pPr>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pStyle w:val="39"/>
        <w:ind w:left="0" w:leftChars="0" w:firstLine="0" w:firstLineChars="0"/>
        <w:rPr>
          <w:rFonts w:hint="eastAsia" w:ascii="仿宋" w:hAnsi="仿宋" w:eastAsia="仿宋" w:cs="仿宋"/>
          <w:color w:val="auto"/>
          <w:highlight w:val="none"/>
          <w:lang w:val="zh-CN"/>
        </w:rPr>
      </w:pPr>
    </w:p>
    <w:p>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w:t>
      </w:r>
      <w:r>
        <w:rPr>
          <w:rFonts w:hint="eastAsia" w:ascii="仿宋" w:hAnsi="仿宋" w:eastAsia="仿宋" w:cs="仿宋"/>
          <w:b/>
          <w:color w:val="auto"/>
          <w:kern w:val="0"/>
          <w:sz w:val="28"/>
          <w:szCs w:val="28"/>
          <w:highlight w:val="none"/>
          <w:lang w:val="en-US" w:eastAsia="zh-CN"/>
        </w:rPr>
        <w:t xml:space="preserve"> </w:t>
      </w:r>
      <w:r>
        <w:rPr>
          <w:rFonts w:hint="eastAsia" w:ascii="仿宋" w:hAnsi="仿宋" w:eastAsia="仿宋" w:cs="仿宋"/>
          <w:b/>
          <w:color w:val="auto"/>
          <w:kern w:val="0"/>
          <w:sz w:val="28"/>
          <w:szCs w:val="28"/>
          <w:highlight w:val="none"/>
        </w:rPr>
        <w:t>录</w:t>
      </w:r>
    </w:p>
    <w:p>
      <w:pPr>
        <w:pStyle w:val="39"/>
        <w:keepNext w:val="0"/>
        <w:keepLines w:val="0"/>
        <w:pageBreakBefore w:val="0"/>
        <w:kinsoku/>
        <w:overflowPunct/>
        <w:topLinePunct w:val="0"/>
        <w:autoSpaceDE/>
        <w:autoSpaceDN/>
        <w:bidi w:val="0"/>
        <w:snapToGrid/>
        <w:spacing w:line="480" w:lineRule="exact"/>
        <w:textAlignment w:val="auto"/>
        <w:rPr>
          <w:rFonts w:hint="eastAsia" w:ascii="仿宋" w:hAnsi="仿宋" w:eastAsia="仿宋" w:cs="仿宋"/>
          <w:color w:val="auto"/>
          <w:sz w:val="24"/>
          <w:szCs w:val="24"/>
          <w:highlight w:val="none"/>
          <w:lang w:val="zh-CN"/>
        </w:rPr>
      </w:pPr>
    </w:p>
    <w:p>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投标函</w:t>
      </w:r>
      <w:r>
        <w:rPr>
          <w:rFonts w:hint="eastAsia" w:ascii="仿宋" w:hAnsi="仿宋" w:eastAsia="仿宋" w:cs="仿宋"/>
          <w:color w:val="auto"/>
          <w:sz w:val="24"/>
          <w:szCs w:val="24"/>
          <w:highlight w:val="none"/>
        </w:rPr>
        <w:t>…………………………………………………………………………（页码）</w:t>
      </w:r>
    </w:p>
    <w:p>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法定代表人身份证明书………………………………………………………（页码）</w:t>
      </w:r>
    </w:p>
    <w:p>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法定代表人授权委托书</w:t>
      </w:r>
      <w:r>
        <w:rPr>
          <w:rFonts w:hint="eastAsia" w:ascii="仿宋" w:hAnsi="仿宋" w:eastAsia="仿宋" w:cs="仿宋"/>
          <w:color w:val="auto"/>
          <w:sz w:val="24"/>
          <w:szCs w:val="24"/>
          <w:highlight w:val="none"/>
          <w:lang w:val="en-US" w:eastAsia="zh-CN"/>
        </w:rPr>
        <w:t>及</w:t>
      </w:r>
      <w:r>
        <w:rPr>
          <w:rFonts w:hint="eastAsia" w:ascii="仿宋" w:hAnsi="仿宋" w:eastAsia="仿宋" w:cs="仿宋"/>
          <w:color w:val="auto"/>
          <w:sz w:val="24"/>
          <w:szCs w:val="24"/>
          <w:highlight w:val="none"/>
          <w:lang w:eastAsia="zh-CN"/>
        </w:rPr>
        <w:t>授权代表社保证明（</w:t>
      </w:r>
      <w:r>
        <w:rPr>
          <w:rFonts w:hint="eastAsia" w:ascii="仿宋" w:hAnsi="仿宋" w:eastAsia="仿宋" w:cs="仿宋"/>
          <w:color w:val="auto"/>
          <w:sz w:val="24"/>
          <w:szCs w:val="24"/>
          <w:highlight w:val="none"/>
          <w:lang w:val="en-US" w:eastAsia="zh-CN"/>
        </w:rPr>
        <w:t>若委托</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…………………（页码）</w:t>
      </w:r>
    </w:p>
    <w:p>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评分索引表</w:t>
      </w:r>
      <w:r>
        <w:rPr>
          <w:rFonts w:hint="eastAsia" w:ascii="仿宋" w:hAnsi="仿宋" w:eastAsia="仿宋" w:cs="仿宋"/>
          <w:color w:val="auto"/>
          <w:sz w:val="24"/>
          <w:szCs w:val="24"/>
          <w:highlight w:val="none"/>
        </w:rPr>
        <w:t>……………………………………………………………………（页码）</w:t>
      </w:r>
    </w:p>
    <w:p>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商务响应表……………………………………………………………………（页码）</w:t>
      </w:r>
    </w:p>
    <w:p>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采购供应商廉洁自律承诺书</w:t>
      </w:r>
      <w:r>
        <w:rPr>
          <w:rFonts w:hint="eastAsia" w:ascii="仿宋" w:hAnsi="仿宋" w:eastAsia="仿宋" w:cs="仿宋"/>
          <w:color w:val="auto"/>
          <w:sz w:val="24"/>
          <w:szCs w:val="24"/>
          <w:highlight w:val="none"/>
        </w:rPr>
        <w:t>……………………………………………（页码）</w:t>
      </w:r>
    </w:p>
    <w:p>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同类</w:t>
      </w:r>
      <w:r>
        <w:rPr>
          <w:rFonts w:hint="eastAsia" w:ascii="仿宋" w:hAnsi="仿宋" w:eastAsia="仿宋" w:cs="仿宋"/>
          <w:color w:val="auto"/>
          <w:sz w:val="24"/>
          <w:szCs w:val="24"/>
          <w:highlight w:val="none"/>
          <w:lang w:val="zh-CN"/>
        </w:rPr>
        <w:t>业绩证明</w:t>
      </w:r>
      <w:r>
        <w:rPr>
          <w:rFonts w:hint="eastAsia" w:ascii="仿宋" w:hAnsi="仿宋" w:eastAsia="仿宋" w:cs="仿宋"/>
          <w:color w:val="auto"/>
          <w:sz w:val="24"/>
          <w:szCs w:val="24"/>
          <w:highlight w:val="none"/>
        </w:rPr>
        <w:t>…………………………………………………………………（页码）</w:t>
      </w:r>
    </w:p>
    <w:p>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2"/>
          <w:sz w:val="24"/>
          <w:szCs w:val="24"/>
          <w:highlight w:val="none"/>
          <w:lang w:val="en-US" w:eastAsia="zh-CN" w:bidi="ar"/>
        </w:rPr>
        <w:t>服务渠道</w:t>
      </w:r>
      <w:r>
        <w:rPr>
          <w:rFonts w:hint="eastAsia" w:ascii="仿宋" w:hAnsi="仿宋" w:eastAsia="仿宋" w:cs="仿宋"/>
          <w:color w:val="auto"/>
          <w:sz w:val="24"/>
          <w:szCs w:val="24"/>
          <w:highlight w:val="none"/>
        </w:rPr>
        <w:t>………………………………………………………………………（页码）</w:t>
      </w:r>
    </w:p>
    <w:p>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2"/>
          <w:sz w:val="24"/>
          <w:szCs w:val="24"/>
          <w:highlight w:val="none"/>
          <w:lang w:val="en-US" w:eastAsia="zh-CN" w:bidi="ar"/>
        </w:rPr>
        <w:t>承保服务方案</w:t>
      </w:r>
      <w:r>
        <w:rPr>
          <w:rFonts w:hint="eastAsia" w:ascii="仿宋" w:hAnsi="仿宋" w:eastAsia="仿宋" w:cs="仿宋"/>
          <w:color w:val="auto"/>
          <w:sz w:val="24"/>
          <w:szCs w:val="24"/>
          <w:highlight w:val="none"/>
        </w:rPr>
        <w:t>…………………………………………………………………（页码）</w:t>
      </w:r>
    </w:p>
    <w:p>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2"/>
          <w:sz w:val="24"/>
          <w:szCs w:val="24"/>
          <w:highlight w:val="none"/>
          <w:lang w:val="en-US" w:eastAsia="zh-CN" w:bidi="ar"/>
        </w:rPr>
        <w:t>偿付能力充足率</w:t>
      </w:r>
      <w:r>
        <w:rPr>
          <w:rFonts w:hint="eastAsia" w:ascii="仿宋" w:hAnsi="仿宋" w:eastAsia="仿宋" w:cs="仿宋"/>
          <w:color w:val="auto"/>
          <w:sz w:val="24"/>
          <w:szCs w:val="24"/>
          <w:highlight w:val="none"/>
        </w:rPr>
        <w:t>………………………………………………………………（页码）</w:t>
      </w:r>
    </w:p>
    <w:p>
      <w:pPr>
        <w:pStyle w:val="83"/>
        <w:keepNext w:val="0"/>
        <w:keepLines w:val="0"/>
        <w:pageBreakBefore w:val="0"/>
        <w:numPr>
          <w:ilvl w:val="0"/>
          <w:numId w:val="8"/>
        </w:numPr>
        <w:kinsoku/>
        <w:overflowPunct/>
        <w:topLinePunct w:val="0"/>
        <w:autoSpaceDE/>
        <w:autoSpaceDN/>
        <w:bidi w:val="0"/>
        <w:snapToGrid/>
        <w:spacing w:line="480" w:lineRule="exact"/>
        <w:ind w:left="0" w:firstLine="0" w:firstLineChars="0"/>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2"/>
          <w:sz w:val="24"/>
          <w:szCs w:val="24"/>
          <w:highlight w:val="none"/>
          <w:lang w:val="en-US" w:eastAsia="zh-CN" w:bidi="ar"/>
        </w:rPr>
        <w:t>理赔服务方案</w:t>
      </w:r>
      <w:r>
        <w:rPr>
          <w:rFonts w:hint="eastAsia" w:ascii="仿宋" w:hAnsi="仿宋" w:eastAsia="仿宋" w:cs="仿宋"/>
          <w:color w:val="auto"/>
          <w:sz w:val="24"/>
          <w:szCs w:val="24"/>
          <w:highlight w:val="none"/>
        </w:rPr>
        <w:t>…………………………………………………………………（页码）</w:t>
      </w:r>
    </w:p>
    <w:p>
      <w:pPr>
        <w:keepNext w:val="0"/>
        <w:keepLines w:val="0"/>
        <w:pageBreakBefore w:val="0"/>
        <w:kinsoku/>
        <w:wordWrap/>
        <w:overflowPunct/>
        <w:topLinePunct w:val="0"/>
        <w:autoSpaceDE/>
        <w:autoSpaceDN/>
        <w:bidi w:val="0"/>
        <w:snapToGrid/>
        <w:spacing w:line="48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kern w:val="2"/>
          <w:sz w:val="24"/>
          <w:szCs w:val="24"/>
          <w:highlight w:val="none"/>
          <w:lang w:val="en-US" w:eastAsia="zh-CN" w:bidi="ar"/>
        </w:rPr>
        <w:t>服务团队</w:t>
      </w:r>
      <w:r>
        <w:rPr>
          <w:rFonts w:hint="eastAsia" w:ascii="仿宋" w:hAnsi="仿宋" w:eastAsia="仿宋" w:cs="仿宋"/>
          <w:color w:val="auto"/>
          <w:sz w:val="24"/>
          <w:szCs w:val="24"/>
          <w:highlight w:val="none"/>
        </w:rPr>
        <w:t>………………………………………………………………………（页码）</w:t>
      </w:r>
    </w:p>
    <w:p>
      <w:pPr>
        <w:keepNext w:val="0"/>
        <w:keepLines w:val="0"/>
        <w:pageBreakBefore w:val="0"/>
        <w:kinsoku/>
        <w:wordWrap/>
        <w:overflowPunct/>
        <w:topLinePunct w:val="0"/>
        <w:autoSpaceDE/>
        <w:autoSpaceDN/>
        <w:bidi w:val="0"/>
        <w:snapToGrid/>
        <w:spacing w:line="480" w:lineRule="exact"/>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2"/>
          <w:sz w:val="24"/>
          <w:szCs w:val="24"/>
          <w:highlight w:val="none"/>
          <w:lang w:val="en-US" w:eastAsia="zh-CN" w:bidi="ar"/>
        </w:rPr>
        <w:t>（13）服务承诺</w:t>
      </w:r>
      <w:r>
        <w:rPr>
          <w:rFonts w:hint="eastAsia" w:ascii="仿宋" w:hAnsi="仿宋" w:eastAsia="仿宋" w:cs="仿宋"/>
          <w:color w:val="auto"/>
          <w:sz w:val="24"/>
          <w:szCs w:val="24"/>
          <w:highlight w:val="none"/>
        </w:rPr>
        <w:t>………………………………………………………………………（页码）</w:t>
      </w:r>
    </w:p>
    <w:p>
      <w:pPr>
        <w:keepNext w:val="0"/>
        <w:keepLines w:val="0"/>
        <w:pageBreakBefore w:val="0"/>
        <w:kinsoku/>
        <w:wordWrap/>
        <w:overflowPunct/>
        <w:topLinePunct w:val="0"/>
        <w:autoSpaceDE/>
        <w:autoSpaceDN/>
        <w:bidi w:val="0"/>
        <w:snapToGrid/>
        <w:spacing w:line="480" w:lineRule="exact"/>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（14）投标人认为需要说明的其他文件和说明（若有）</w:t>
      </w:r>
      <w:r>
        <w:rPr>
          <w:rFonts w:hint="eastAsia" w:ascii="仿宋" w:hAnsi="仿宋" w:eastAsia="仿宋" w:cs="仿宋"/>
          <w:color w:val="auto"/>
          <w:sz w:val="24"/>
          <w:szCs w:val="24"/>
          <w:highlight w:val="none"/>
        </w:rPr>
        <w:t>…………………………</w:t>
      </w:r>
      <w:r>
        <w:rPr>
          <w:rFonts w:hint="eastAsia" w:ascii="仿宋" w:hAnsi="仿宋" w:eastAsia="仿宋" w:cs="仿宋"/>
          <w:color w:val="auto"/>
          <w:kern w:val="2"/>
          <w:sz w:val="24"/>
          <w:szCs w:val="24"/>
          <w:highlight w:val="none"/>
          <w:lang w:val="en-US" w:eastAsia="zh-CN" w:bidi="ar-SA"/>
        </w:rPr>
        <w:t>（页码）</w:t>
      </w:r>
    </w:p>
    <w:p>
      <w:pPr>
        <w:keepNext w:val="0"/>
        <w:keepLines w:val="0"/>
        <w:pageBreakBefore w:val="0"/>
        <w:kinsoku/>
        <w:wordWrap/>
        <w:overflowPunct/>
        <w:topLinePunct w:val="0"/>
        <w:autoSpaceDE/>
        <w:autoSpaceDN/>
        <w:bidi w:val="0"/>
        <w:snapToGrid/>
        <w:spacing w:line="480" w:lineRule="exact"/>
        <w:jc w:val="center"/>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pacing w:line="440" w:lineRule="exact"/>
        <w:jc w:val="center"/>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pacing w:line="440" w:lineRule="exact"/>
        <w:jc w:val="center"/>
        <w:textAlignment w:val="auto"/>
        <w:rPr>
          <w:rFonts w:hint="eastAsia" w:ascii="仿宋" w:hAnsi="仿宋" w:eastAsia="仿宋" w:cs="仿宋"/>
          <w:color w:val="auto"/>
          <w:highlight w:val="none"/>
        </w:rPr>
      </w:pPr>
    </w:p>
    <w:p>
      <w:pPr>
        <w:keepNext w:val="0"/>
        <w:keepLines w:val="0"/>
        <w:pageBreakBefore w:val="0"/>
        <w:kinsoku/>
        <w:wordWrap/>
        <w:overflowPunct/>
        <w:topLinePunct w:val="0"/>
        <w:autoSpaceDE/>
        <w:autoSpaceDN/>
        <w:bidi w:val="0"/>
        <w:spacing w:line="440" w:lineRule="exact"/>
        <w:jc w:val="center"/>
        <w:textAlignment w:val="auto"/>
        <w:rPr>
          <w:rFonts w:hint="eastAsia" w:ascii="仿宋" w:hAnsi="仿宋" w:eastAsia="仿宋" w:cs="仿宋"/>
          <w:color w:val="auto"/>
          <w:highlight w:val="none"/>
        </w:rPr>
      </w:pPr>
    </w:p>
    <w:p>
      <w:pPr>
        <w:keepNext w:val="0"/>
        <w:keepLines w:val="0"/>
        <w:pageBreakBefore w:val="0"/>
        <w:kinsoku/>
        <w:wordWrap/>
        <w:overflowPunct/>
        <w:topLinePunct w:val="0"/>
        <w:autoSpaceDE/>
        <w:autoSpaceDN/>
        <w:bidi w:val="0"/>
        <w:spacing w:line="440" w:lineRule="exact"/>
        <w:jc w:val="center"/>
        <w:textAlignment w:val="auto"/>
        <w:rPr>
          <w:rFonts w:hint="eastAsia" w:ascii="仿宋" w:hAnsi="仿宋" w:eastAsia="仿宋" w:cs="仿宋"/>
          <w:color w:val="auto"/>
          <w:highlight w:val="none"/>
        </w:rPr>
      </w:pPr>
    </w:p>
    <w:p>
      <w:pPr>
        <w:keepNext w:val="0"/>
        <w:keepLines w:val="0"/>
        <w:pageBreakBefore w:val="0"/>
        <w:kinsoku/>
        <w:wordWrap/>
        <w:overflowPunct/>
        <w:topLinePunct w:val="0"/>
        <w:autoSpaceDE/>
        <w:autoSpaceDN/>
        <w:bidi w:val="0"/>
        <w:spacing w:line="440" w:lineRule="exact"/>
        <w:jc w:val="center"/>
        <w:textAlignment w:val="auto"/>
        <w:rPr>
          <w:rFonts w:hint="eastAsia" w:ascii="仿宋" w:hAnsi="仿宋" w:eastAsia="仿宋" w:cs="仿宋"/>
          <w:color w:val="auto"/>
          <w:highlight w:val="none"/>
        </w:rPr>
      </w:pPr>
    </w:p>
    <w:p>
      <w:pPr>
        <w:keepNext w:val="0"/>
        <w:keepLines w:val="0"/>
        <w:pageBreakBefore w:val="0"/>
        <w:kinsoku/>
        <w:wordWrap/>
        <w:overflowPunct/>
        <w:topLinePunct w:val="0"/>
        <w:autoSpaceDE/>
        <w:autoSpaceDN/>
        <w:bidi w:val="0"/>
        <w:spacing w:line="440" w:lineRule="exact"/>
        <w:jc w:val="center"/>
        <w:textAlignment w:val="auto"/>
        <w:rPr>
          <w:rFonts w:hint="eastAsia" w:ascii="仿宋" w:hAnsi="仿宋" w:eastAsia="仿宋" w:cs="仿宋"/>
          <w:color w:val="auto"/>
          <w:highlight w:val="none"/>
        </w:rPr>
      </w:pPr>
    </w:p>
    <w:p>
      <w:pPr>
        <w:keepNext w:val="0"/>
        <w:keepLines w:val="0"/>
        <w:pageBreakBefore w:val="0"/>
        <w:kinsoku/>
        <w:wordWrap/>
        <w:overflowPunct/>
        <w:topLinePunct w:val="0"/>
        <w:autoSpaceDE/>
        <w:autoSpaceDN/>
        <w:bidi w:val="0"/>
        <w:spacing w:line="440" w:lineRule="exact"/>
        <w:jc w:val="center"/>
        <w:textAlignment w:val="auto"/>
        <w:rPr>
          <w:rFonts w:hint="eastAsia" w:ascii="仿宋" w:hAnsi="仿宋" w:eastAsia="仿宋" w:cs="仿宋"/>
          <w:color w:val="auto"/>
          <w:highlight w:val="none"/>
        </w:rPr>
      </w:pPr>
    </w:p>
    <w:p>
      <w:pPr>
        <w:snapToGrid w:val="0"/>
        <w:spacing w:line="360" w:lineRule="auto"/>
        <w:jc w:val="both"/>
        <w:rPr>
          <w:rFonts w:hint="eastAsia" w:ascii="仿宋" w:hAnsi="仿宋" w:eastAsia="仿宋" w:cs="仿宋"/>
          <w:b/>
          <w:color w:val="auto"/>
          <w:kern w:val="0"/>
          <w:sz w:val="32"/>
          <w:szCs w:val="32"/>
          <w:highlight w:val="none"/>
          <w:lang w:val="en-US" w:eastAsia="zh-CN"/>
        </w:rPr>
      </w:pPr>
    </w:p>
    <w:p>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80"/>
        <w:keepNext w:val="0"/>
        <w:keepLines w:val="0"/>
        <w:pageBreakBefore w:val="0"/>
        <w:kinsoku/>
        <w:wordWrap/>
        <w:overflowPunct/>
        <w:topLinePunct w:val="0"/>
        <w:autoSpaceDE/>
        <w:autoSpaceDN/>
        <w:bidi w:val="0"/>
        <w:adjustRightInd/>
        <w:spacing w:afterLines="0" w:line="500" w:lineRule="exact"/>
        <w:ind w:firstLine="0" w:firstLineChars="0"/>
        <w:textAlignment w:val="auto"/>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Cs w:val="21"/>
          <w:highlight w:val="none"/>
        </w:rPr>
        <w:t>（采购</w:t>
      </w:r>
      <w:r>
        <w:rPr>
          <w:rFonts w:hint="eastAsia" w:ascii="仿宋" w:hAnsi="仿宋" w:eastAsia="仿宋" w:cs="仿宋"/>
          <w:color w:val="auto"/>
          <w:szCs w:val="21"/>
          <w:highlight w:val="none"/>
          <w:lang w:val="en-US" w:eastAsia="zh-CN"/>
        </w:rPr>
        <w:t>人</w:t>
      </w:r>
      <w:r>
        <w:rPr>
          <w:rFonts w:hint="eastAsia" w:ascii="仿宋" w:hAnsi="仿宋" w:eastAsia="仿宋" w:cs="仿宋"/>
          <w:color w:val="auto"/>
          <w:szCs w:val="21"/>
          <w:highlight w:val="none"/>
        </w:rPr>
        <w:t>名称）</w:t>
      </w:r>
    </w:p>
    <w:p>
      <w:pPr>
        <w:pStyle w:val="80"/>
        <w:keepNext w:val="0"/>
        <w:keepLines w:val="0"/>
        <w:pageBreakBefore w:val="0"/>
        <w:kinsoku/>
        <w:wordWrap/>
        <w:overflowPunct/>
        <w:topLinePunct w:val="0"/>
        <w:autoSpaceDE/>
        <w:autoSpaceDN/>
        <w:bidi w:val="0"/>
        <w:adjustRightInd/>
        <w:spacing w:afterLines="0" w:line="5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w:t>
      </w:r>
      <w:r>
        <w:rPr>
          <w:rFonts w:hint="eastAsia" w:ascii="仿宋" w:hAnsi="仿宋" w:eastAsia="仿宋" w:cs="仿宋"/>
          <w:b/>
          <w:color w:val="auto"/>
          <w:szCs w:val="24"/>
          <w:highlight w:val="none"/>
          <w:u w:val="single"/>
        </w:rPr>
        <w:t>填写项目名称</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采购</w:t>
      </w:r>
      <w:r>
        <w:rPr>
          <w:rFonts w:hint="eastAsia" w:ascii="仿宋" w:hAnsi="仿宋" w:eastAsia="仿宋" w:cs="仿宋"/>
          <w:color w:val="auto"/>
          <w:szCs w:val="24"/>
          <w:highlight w:val="none"/>
        </w:rPr>
        <w:t>文件的要求，正式授权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80"/>
        <w:keepNext w:val="0"/>
        <w:keepLines w:val="0"/>
        <w:pageBreakBefore w:val="0"/>
        <w:kinsoku/>
        <w:wordWrap/>
        <w:overflowPunct/>
        <w:topLinePunct w:val="0"/>
        <w:autoSpaceDE/>
        <w:autoSpaceDN/>
        <w:bidi w:val="0"/>
        <w:adjustRightInd/>
        <w:spacing w:afterLines="0" w:line="5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w:t>
      </w:r>
      <w:r>
        <w:rPr>
          <w:rFonts w:hint="eastAsia" w:ascii="仿宋" w:hAnsi="仿宋" w:eastAsia="仿宋" w:cs="仿宋"/>
          <w:color w:val="auto"/>
          <w:szCs w:val="24"/>
          <w:highlight w:val="none"/>
          <w:lang w:val="en-US" w:eastAsia="zh-CN"/>
        </w:rPr>
        <w:t>采购</w:t>
      </w:r>
      <w:r>
        <w:rPr>
          <w:rFonts w:hint="eastAsia" w:ascii="仿宋" w:hAnsi="仿宋" w:eastAsia="仿宋" w:cs="仿宋"/>
          <w:color w:val="auto"/>
          <w:szCs w:val="24"/>
          <w:highlight w:val="none"/>
        </w:rPr>
        <w:t>文件的所有条款要求，兹声明同意如下：</w:t>
      </w:r>
    </w:p>
    <w:p>
      <w:pPr>
        <w:pStyle w:val="6"/>
        <w:keepNext w:val="0"/>
        <w:keepLines w:val="0"/>
        <w:pageBreakBefore w:val="0"/>
        <w:kinsoku/>
        <w:wordWrap/>
        <w:overflowPunct/>
        <w:topLinePunct w:val="0"/>
        <w:autoSpaceDE/>
        <w:autoSpaceDN/>
        <w:bidi w:val="0"/>
        <w:adjustRightInd/>
        <w:spacing w:line="500" w:lineRule="exact"/>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80"/>
        <w:keepNext w:val="0"/>
        <w:keepLines w:val="0"/>
        <w:pageBreakBefore w:val="0"/>
        <w:kinsoku/>
        <w:wordWrap/>
        <w:overflowPunct/>
        <w:topLinePunct w:val="0"/>
        <w:autoSpaceDE/>
        <w:autoSpaceDN/>
        <w:bidi w:val="0"/>
        <w:adjustRightInd/>
        <w:spacing w:afterLines="0" w:line="5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中规定的参加采购活动的供应商应当具备的条件。</w:t>
      </w:r>
    </w:p>
    <w:p>
      <w:pPr>
        <w:pStyle w:val="6"/>
        <w:keepNext w:val="0"/>
        <w:keepLines w:val="0"/>
        <w:pageBreakBefore w:val="0"/>
        <w:numPr>
          <w:ilvl w:val="0"/>
          <w:numId w:val="0"/>
        </w:numPr>
        <w:kinsoku/>
        <w:wordWrap/>
        <w:overflowPunct/>
        <w:topLinePunct w:val="0"/>
        <w:autoSpaceDE/>
        <w:autoSpaceDN/>
        <w:bidi w:val="0"/>
        <w:adjustRightInd/>
        <w:spacing w:line="500" w:lineRule="exact"/>
        <w:ind w:left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80"/>
        <w:keepNext w:val="0"/>
        <w:keepLines w:val="0"/>
        <w:pageBreakBefore w:val="0"/>
        <w:kinsoku/>
        <w:wordWrap/>
        <w:overflowPunct/>
        <w:topLinePunct w:val="0"/>
        <w:autoSpaceDE/>
        <w:autoSpaceDN/>
        <w:bidi w:val="0"/>
        <w:adjustRightInd/>
        <w:spacing w:afterLines="0" w:line="5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6"/>
        <w:keepNext w:val="0"/>
        <w:keepLines w:val="0"/>
        <w:pageBreakBefore w:val="0"/>
        <w:numPr>
          <w:ilvl w:val="0"/>
          <w:numId w:val="0"/>
        </w:numPr>
        <w:kinsoku/>
        <w:wordWrap/>
        <w:overflowPunct/>
        <w:topLinePunct w:val="0"/>
        <w:autoSpaceDE/>
        <w:autoSpaceDN/>
        <w:bidi w:val="0"/>
        <w:adjustRightInd/>
        <w:spacing w:line="50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pStyle w:val="80"/>
        <w:keepNext w:val="0"/>
        <w:keepLines w:val="0"/>
        <w:pageBreakBefore w:val="0"/>
        <w:kinsoku/>
        <w:wordWrap/>
        <w:overflowPunct/>
        <w:topLinePunct w:val="0"/>
        <w:autoSpaceDE/>
        <w:autoSpaceDN/>
        <w:bidi w:val="0"/>
        <w:adjustRightInd/>
        <w:spacing w:afterLines="0" w:line="5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6.</w:t>
      </w:r>
      <w:r>
        <w:rPr>
          <w:rFonts w:hint="eastAsia" w:ascii="仿宋" w:hAnsi="仿宋" w:eastAsia="仿宋" w:cs="仿宋"/>
          <w:color w:val="auto"/>
          <w:sz w:val="24"/>
          <w:highlight w:val="none"/>
        </w:rPr>
        <w:t>如在此有效期内，</w:t>
      </w:r>
      <w:r>
        <w:rPr>
          <w:rFonts w:hint="eastAsia" w:ascii="仿宋" w:hAnsi="仿宋" w:eastAsia="仿宋" w:cs="仿宋"/>
          <w:color w:val="auto"/>
          <w:sz w:val="24"/>
          <w:szCs w:val="24"/>
          <w:highlight w:val="none"/>
        </w:rPr>
        <w:t>我方出现下列行为之一者，同意无条件接受采购</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rPr>
        <w:t>及上级部门的处罚。</w:t>
      </w:r>
    </w:p>
    <w:p>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a)提供虚假材料谋取中标、成交的；</w:t>
      </w:r>
    </w:p>
    <w:p>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b)采取不正当手段诋毁、排挤其他供应商的；</w:t>
      </w:r>
    </w:p>
    <w:p>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c)与采购人、其它供应商或者采购代理机构恶意串通的；</w:t>
      </w:r>
    </w:p>
    <w:p>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e)在招标采购过程中与采购人进行协商谈判的；</w:t>
      </w:r>
    </w:p>
    <w:p>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f)拒绝有关部门监督检查或提供虚假情况的。</w:t>
      </w:r>
    </w:p>
    <w:p>
      <w:pPr>
        <w:keepNext w:val="0"/>
        <w:keepLines w:val="0"/>
        <w:pageBreakBefore w:val="0"/>
        <w:kinsoku/>
        <w:wordWrap/>
        <w:overflowPunct/>
        <w:topLinePunct w:val="0"/>
        <w:autoSpaceDE/>
        <w:autoSpaceDN/>
        <w:bidi w:val="0"/>
        <w:adjustRightInd/>
        <w:snapToGrid w:val="0"/>
        <w:spacing w:line="500" w:lineRule="exact"/>
        <w:ind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供应商有前款第a)至e)项情形之一的，中标、成交无效。</w:t>
      </w:r>
    </w:p>
    <w:p>
      <w:pPr>
        <w:pStyle w:val="80"/>
        <w:keepNext w:val="0"/>
        <w:keepLines w:val="0"/>
        <w:pageBreakBefore w:val="0"/>
        <w:kinsoku/>
        <w:wordWrap/>
        <w:overflowPunct/>
        <w:topLinePunct w:val="0"/>
        <w:autoSpaceDE/>
        <w:autoSpaceDN/>
        <w:bidi w:val="0"/>
        <w:adjustRightInd/>
        <w:snapToGrid w:val="0"/>
        <w:spacing w:afterLines="0" w:line="48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80"/>
        <w:keepNext w:val="0"/>
        <w:keepLines w:val="0"/>
        <w:pageBreakBefore w:val="0"/>
        <w:kinsoku/>
        <w:wordWrap/>
        <w:overflowPunct/>
        <w:topLinePunct w:val="0"/>
        <w:autoSpaceDE/>
        <w:autoSpaceDN/>
        <w:bidi w:val="0"/>
        <w:adjustRightInd/>
        <w:snapToGrid w:val="0"/>
        <w:spacing w:afterLines="0" w:line="48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80"/>
        <w:keepNext w:val="0"/>
        <w:keepLines w:val="0"/>
        <w:pageBreakBefore w:val="0"/>
        <w:kinsoku/>
        <w:wordWrap/>
        <w:overflowPunct/>
        <w:topLinePunct w:val="0"/>
        <w:autoSpaceDE/>
        <w:autoSpaceDN/>
        <w:bidi w:val="0"/>
        <w:adjustRightInd/>
        <w:snapToGrid w:val="0"/>
        <w:spacing w:afterLines="0" w:line="48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80"/>
        <w:keepNext w:val="0"/>
        <w:keepLines w:val="0"/>
        <w:pageBreakBefore w:val="0"/>
        <w:kinsoku/>
        <w:wordWrap/>
        <w:overflowPunct/>
        <w:topLinePunct w:val="0"/>
        <w:autoSpaceDE/>
        <w:autoSpaceDN/>
        <w:bidi w:val="0"/>
        <w:adjustRightInd/>
        <w:snapToGrid w:val="0"/>
        <w:spacing w:afterLines="0" w:line="48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法定代表人或授权委托人</w:t>
      </w:r>
      <w:r>
        <w:rPr>
          <w:rFonts w:hint="eastAsia" w:ascii="仿宋" w:hAnsi="仿宋" w:eastAsia="仿宋" w:cs="仿宋"/>
          <w:color w:val="auto"/>
          <w:spacing w:val="20"/>
          <w:szCs w:val="24"/>
          <w:highlight w:val="none"/>
        </w:rPr>
        <w:t>签</w:t>
      </w:r>
      <w:r>
        <w:rPr>
          <w:rFonts w:hint="eastAsia" w:ascii="仿宋" w:hAnsi="仿宋" w:eastAsia="仿宋" w:cs="仿宋"/>
          <w:color w:val="auto"/>
          <w:spacing w:val="20"/>
          <w:szCs w:val="24"/>
          <w:highlight w:val="none"/>
          <w:lang w:val="en-US" w:eastAsia="zh-CN"/>
        </w:rPr>
        <w:t>字</w:t>
      </w:r>
      <w:r>
        <w:rPr>
          <w:rFonts w:hint="eastAsia" w:ascii="仿宋" w:hAnsi="仿宋" w:eastAsia="仿宋" w:cs="仿宋"/>
          <w:color w:val="auto"/>
          <w:spacing w:val="20"/>
          <w:szCs w:val="24"/>
          <w:highlight w:val="none"/>
        </w:rPr>
        <w:t>：</w:t>
      </w:r>
    </w:p>
    <w:p>
      <w:pPr>
        <w:keepNext w:val="0"/>
        <w:keepLines w:val="0"/>
        <w:pageBreakBefore w:val="0"/>
        <w:kinsoku/>
        <w:wordWrap/>
        <w:overflowPunct/>
        <w:topLinePunct w:val="0"/>
        <w:autoSpaceDE/>
        <w:autoSpaceDN/>
        <w:bidi w:val="0"/>
        <w:adjustRightInd/>
        <w:snapToGrid w:val="0"/>
        <w:spacing w:line="480" w:lineRule="exact"/>
        <w:ind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 xml:space="preserve">投标人(电子签名)：　　　　　　　　　日期：  </w:t>
      </w:r>
    </w:p>
    <w:p>
      <w:pPr>
        <w:pStyle w:val="28"/>
        <w:keepNext w:val="0"/>
        <w:keepLines w:val="0"/>
        <w:pageBreakBefore w:val="0"/>
        <w:kinsoku/>
        <w:wordWrap/>
        <w:overflowPunct/>
        <w:topLinePunct w:val="0"/>
        <w:autoSpaceDE/>
        <w:autoSpaceDN/>
        <w:bidi w:val="0"/>
        <w:adjustRightInd/>
        <w:spacing w:after="0" w:line="500" w:lineRule="exact"/>
        <w:ind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Cs w:val="24"/>
          <w:highlight w:val="none"/>
        </w:rPr>
        <w:t xml:space="preserve">  </w:t>
      </w:r>
    </w:p>
    <w:p>
      <w:pPr>
        <w:pStyle w:val="2"/>
        <w:rPr>
          <w:rFonts w:hint="eastAsia" w:ascii="仿宋" w:hAnsi="仿宋" w:eastAsia="仿宋" w:cs="仿宋"/>
          <w:color w:val="auto"/>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480"/>
        <w:jc w:val="center"/>
        <w:textAlignment w:val="auto"/>
        <w:rPr>
          <w:rFonts w:hint="eastAsia" w:ascii="仿宋" w:hAnsi="仿宋" w:eastAsia="仿宋" w:cs="仿宋"/>
          <w:color w:val="auto"/>
          <w:sz w:val="24"/>
          <w:highlight w:val="none"/>
        </w:rPr>
      </w:pPr>
      <w:r>
        <w:rPr>
          <w:rFonts w:hint="eastAsia" w:ascii="仿宋" w:hAnsi="仿宋" w:eastAsia="仿宋" w:cs="仿宋"/>
          <w:b/>
          <w:color w:val="auto"/>
          <w:kern w:val="0"/>
          <w:sz w:val="32"/>
          <w:szCs w:val="32"/>
          <w:highlight w:val="none"/>
          <w:lang w:val="en-US" w:eastAsia="zh-CN"/>
        </w:rPr>
        <w:t>二、法定代表人身份证明书</w:t>
      </w:r>
    </w:p>
    <w:p>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pacing w:line="360" w:lineRule="auto"/>
        <w:ind w:right="322" w:rightChars="134"/>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pacing w:line="360" w:lineRule="auto"/>
        <w:ind w:right="322" w:rightChars="134"/>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pacing w:line="360" w:lineRule="auto"/>
        <w:ind w:right="322" w:rightChars="134"/>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w:t>
      </w:r>
      <w:r>
        <w:rPr>
          <w:rFonts w:hint="eastAsia" w:ascii="仿宋" w:hAnsi="仿宋" w:eastAsia="仿宋" w:cs="仿宋"/>
          <w:color w:val="auto"/>
          <w:sz w:val="24"/>
          <w:highlight w:val="none"/>
          <w:u w:val="single"/>
          <w:lang w:val="en-US" w:eastAsia="zh-CN"/>
        </w:rPr>
        <w:t>供应商</w:t>
      </w:r>
      <w:r>
        <w:rPr>
          <w:rFonts w:hint="eastAsia" w:ascii="仿宋" w:hAnsi="仿宋" w:eastAsia="仿宋" w:cs="仿宋"/>
          <w:color w:val="auto"/>
          <w:sz w:val="24"/>
          <w:highlight w:val="none"/>
          <w:u w:val="single"/>
        </w:rPr>
        <w:t>名称）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的法定代表人。</w:t>
      </w:r>
    </w:p>
    <w:p>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right="480"/>
        <w:jc w:val="righ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szCs w:val="24"/>
          <w:highlight w:val="none"/>
          <w:lang w:val="en-US" w:eastAsia="zh-CN" w:bidi="ar-SA"/>
        </w:rPr>
        <w:t>投标人(电子签名)</w:t>
      </w:r>
      <w:r>
        <w:rPr>
          <w:rFonts w:hint="eastAsia" w:ascii="仿宋" w:hAnsi="仿宋" w:eastAsia="仿宋" w:cs="仿宋"/>
          <w:color w:val="auto"/>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480"/>
        <w:jc w:val="right"/>
        <w:textAlignment w:val="auto"/>
        <w:rPr>
          <w:rFonts w:hint="eastAsia" w:ascii="仿宋" w:hAnsi="仿宋" w:eastAsia="仿宋" w:cs="仿宋"/>
          <w:b/>
          <w:color w:val="auto"/>
          <w:kern w:val="0"/>
          <w:sz w:val="32"/>
          <w:szCs w:val="32"/>
          <w:highlight w:val="none"/>
          <w:lang w:val="en-US" w:eastAsia="zh-CN"/>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   月   日</w:t>
      </w:r>
    </w:p>
    <w:p>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480"/>
        <w:jc w:val="center"/>
        <w:textAlignment w:val="auto"/>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480"/>
        <w:jc w:val="center"/>
        <w:textAlignment w:val="auto"/>
        <w:rPr>
          <w:rFonts w:hint="eastAsia" w:ascii="仿宋" w:hAnsi="仿宋" w:eastAsia="仿宋" w:cs="仿宋"/>
          <w:b/>
          <w:color w:val="auto"/>
          <w:kern w:val="0"/>
          <w:sz w:val="32"/>
          <w:szCs w:val="32"/>
          <w:highlight w:val="none"/>
          <w:lang w:val="en-US" w:eastAsia="zh-CN"/>
        </w:rPr>
      </w:pPr>
    </w:p>
    <w:p>
      <w:pPr>
        <w:pStyle w:val="40"/>
        <w:rPr>
          <w:rFonts w:hint="eastAsia" w:ascii="仿宋" w:hAnsi="仿宋" w:eastAsia="仿宋" w:cs="仿宋"/>
          <w:color w:val="auto"/>
          <w:highlight w:val="none"/>
          <w:lang w:val="en-US" w:eastAsia="zh-CN"/>
        </w:rPr>
      </w:pPr>
    </w:p>
    <w:p>
      <w:pPr>
        <w:pStyle w:val="40"/>
        <w:rPr>
          <w:rFonts w:hint="eastAsia" w:ascii="仿宋" w:hAnsi="仿宋" w:eastAsia="仿宋" w:cs="仿宋"/>
          <w:color w:val="auto"/>
          <w:highlight w:val="none"/>
          <w:lang w:val="en-US" w:eastAsia="zh-CN"/>
        </w:rPr>
      </w:pPr>
    </w:p>
    <w:p>
      <w:pPr>
        <w:pStyle w:val="40"/>
        <w:rPr>
          <w:rFonts w:hint="eastAsia" w:ascii="仿宋" w:hAnsi="仿宋" w:eastAsia="仿宋" w:cs="仿宋"/>
          <w:color w:val="auto"/>
          <w:highlight w:val="none"/>
          <w:lang w:val="en-US" w:eastAsia="zh-CN"/>
        </w:rPr>
      </w:pPr>
    </w:p>
    <w:p>
      <w:pPr>
        <w:pStyle w:val="40"/>
        <w:rPr>
          <w:rFonts w:hint="eastAsia" w:ascii="仿宋" w:hAnsi="仿宋" w:eastAsia="仿宋" w:cs="仿宋"/>
          <w:color w:val="auto"/>
          <w:highlight w:val="none"/>
          <w:lang w:val="en-US" w:eastAsia="zh-CN"/>
        </w:rPr>
      </w:pPr>
    </w:p>
    <w:p>
      <w:pPr>
        <w:pStyle w:val="40"/>
        <w:rPr>
          <w:rFonts w:hint="eastAsia" w:ascii="仿宋" w:hAnsi="仿宋" w:eastAsia="仿宋" w:cs="仿宋"/>
          <w:color w:val="auto"/>
          <w:highlight w:val="none"/>
          <w:lang w:val="en-US" w:eastAsia="zh-CN"/>
        </w:rPr>
      </w:pPr>
    </w:p>
    <w:p>
      <w:pPr>
        <w:pStyle w:val="40"/>
        <w:rPr>
          <w:rFonts w:hint="eastAsia" w:ascii="仿宋" w:hAnsi="仿宋" w:eastAsia="仿宋" w:cs="仿宋"/>
          <w:color w:val="auto"/>
          <w:highlight w:val="none"/>
          <w:lang w:val="en-US" w:eastAsia="zh-CN"/>
        </w:rPr>
      </w:pPr>
    </w:p>
    <w:p>
      <w:pPr>
        <w:pStyle w:val="40"/>
        <w:rPr>
          <w:rFonts w:hint="eastAsia" w:ascii="仿宋" w:hAnsi="仿宋" w:eastAsia="仿宋" w:cs="仿宋"/>
          <w:color w:val="auto"/>
          <w:highlight w:val="none"/>
          <w:lang w:val="en-US" w:eastAsia="zh-CN"/>
        </w:rPr>
      </w:pPr>
    </w:p>
    <w:p>
      <w:pPr>
        <w:pStyle w:val="40"/>
        <w:rPr>
          <w:rFonts w:hint="eastAsia" w:ascii="仿宋" w:hAnsi="仿宋" w:eastAsia="仿宋" w:cs="仿宋"/>
          <w:color w:val="auto"/>
          <w:highlight w:val="none"/>
          <w:lang w:val="en-US" w:eastAsia="zh-CN"/>
        </w:rPr>
      </w:pPr>
    </w:p>
    <w:p>
      <w:pPr>
        <w:pStyle w:val="40"/>
        <w:rPr>
          <w:rFonts w:hint="eastAsia" w:ascii="仿宋" w:hAnsi="仿宋" w:eastAsia="仿宋" w:cs="仿宋"/>
          <w:color w:val="auto"/>
          <w:highlight w:val="none"/>
          <w:lang w:val="en-US" w:eastAsia="zh-CN"/>
        </w:rPr>
      </w:pPr>
    </w:p>
    <w:p>
      <w:pPr>
        <w:pStyle w:val="40"/>
        <w:rPr>
          <w:rFonts w:hint="eastAsia" w:ascii="仿宋" w:hAnsi="仿宋" w:eastAsia="仿宋" w:cs="仿宋"/>
          <w:color w:val="auto"/>
          <w:highlight w:val="none"/>
          <w:lang w:val="en-US" w:eastAsia="zh-CN"/>
        </w:rPr>
      </w:pPr>
    </w:p>
    <w:p>
      <w:pPr>
        <w:pStyle w:val="40"/>
        <w:rPr>
          <w:rFonts w:hint="eastAsia" w:ascii="仿宋" w:hAnsi="仿宋" w:eastAsia="仿宋" w:cs="仿宋"/>
          <w:color w:val="auto"/>
          <w:highlight w:val="none"/>
          <w:lang w:val="en-US" w:eastAsia="zh-CN"/>
        </w:rPr>
      </w:pPr>
    </w:p>
    <w:p>
      <w:pPr>
        <w:pStyle w:val="40"/>
        <w:rPr>
          <w:rFonts w:hint="eastAsia" w:ascii="仿宋" w:hAnsi="仿宋" w:eastAsia="仿宋" w:cs="仿宋"/>
          <w:color w:val="auto"/>
          <w:highlight w:val="none"/>
          <w:lang w:val="en-US" w:eastAsia="zh-CN"/>
        </w:rPr>
      </w:pPr>
    </w:p>
    <w:p>
      <w:pPr>
        <w:pStyle w:val="40"/>
        <w:rPr>
          <w:rFonts w:hint="eastAsia" w:ascii="仿宋" w:hAnsi="仿宋" w:eastAsia="仿宋" w:cs="仿宋"/>
          <w:color w:val="auto"/>
          <w:highlight w:val="none"/>
          <w:lang w:val="en-US" w:eastAsia="zh-CN"/>
        </w:rPr>
      </w:pPr>
    </w:p>
    <w:p>
      <w:pPr>
        <w:pStyle w:val="40"/>
        <w:rPr>
          <w:rFonts w:hint="eastAsia" w:ascii="仿宋" w:hAnsi="仿宋" w:eastAsia="仿宋" w:cs="仿宋"/>
          <w:color w:val="auto"/>
          <w:highlight w:val="none"/>
          <w:lang w:val="en-US" w:eastAsia="zh-CN"/>
        </w:rPr>
      </w:pPr>
    </w:p>
    <w:p>
      <w:pPr>
        <w:pStyle w:val="40"/>
        <w:rPr>
          <w:rFonts w:hint="eastAsia" w:ascii="仿宋" w:hAnsi="仿宋" w:eastAsia="仿宋" w:cs="仿宋"/>
          <w:color w:val="auto"/>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480"/>
        <w:jc w:val="both"/>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480"/>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480"/>
        <w:jc w:val="center"/>
        <w:textAlignment w:val="auto"/>
        <w:rPr>
          <w:rFonts w:hint="eastAsia" w:ascii="仿宋" w:hAnsi="仿宋" w:eastAsia="仿宋" w:cs="仿宋"/>
          <w:color w:val="auto"/>
          <w:sz w:val="24"/>
          <w:highlight w:val="none"/>
        </w:rPr>
      </w:pPr>
      <w:r>
        <w:rPr>
          <w:rFonts w:hint="eastAsia" w:ascii="仿宋" w:hAnsi="仿宋" w:eastAsia="仿宋" w:cs="仿宋"/>
          <w:b/>
          <w:color w:val="auto"/>
          <w:kern w:val="0"/>
          <w:sz w:val="32"/>
          <w:szCs w:val="32"/>
          <w:highlight w:val="none"/>
          <w:lang w:val="en-US" w:eastAsia="zh-CN"/>
        </w:rPr>
        <w:t>三、法定代表人授权委托书及授权代表社保证明（若委托）</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w:t>
      </w:r>
      <w:r>
        <w:rPr>
          <w:rFonts w:hint="eastAsia" w:ascii="仿宋" w:hAnsi="仿宋" w:eastAsia="仿宋" w:cs="仿宋"/>
          <w:color w:val="auto"/>
          <w:sz w:val="24"/>
          <w:highlight w:val="none"/>
          <w:u w:val="single"/>
          <w:lang w:val="en-US" w:eastAsia="zh-CN"/>
        </w:rPr>
        <w:t>供应商</w:t>
      </w:r>
      <w:r>
        <w:rPr>
          <w:rFonts w:hint="eastAsia" w:ascii="仿宋" w:hAnsi="仿宋" w:eastAsia="仿宋" w:cs="仿宋"/>
          <w:color w:val="auto"/>
          <w:sz w:val="24"/>
          <w:highlight w:val="none"/>
          <w:u w:val="single"/>
        </w:rPr>
        <w:t>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附：法定代表人身份证扫描件及委托代理人身份证扫描件</w:t>
      </w:r>
    </w:p>
    <w:p>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p>
    <w:p>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授权代表（签字或盖章）：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性别：               年龄：</w:t>
      </w:r>
    </w:p>
    <w:p>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单位：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部门：               职务：</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 xml:space="preserve">办公地址：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联系电话：           传真：</w:t>
      </w:r>
    </w:p>
    <w:p>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p>
    <w:p>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szCs w:val="24"/>
          <w:highlight w:val="none"/>
          <w:lang w:val="en-US" w:eastAsia="zh-CN" w:bidi="ar-SA"/>
        </w:rPr>
        <w:t>投标人</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电子签名</w:t>
      </w:r>
      <w:r>
        <w:rPr>
          <w:rFonts w:hint="eastAsia" w:ascii="仿宋" w:hAnsi="仿宋" w:eastAsia="仿宋" w:cs="仿宋"/>
          <w:color w:val="auto"/>
          <w:sz w:val="24"/>
          <w:highlight w:val="none"/>
        </w:rPr>
        <w:t>）：</w:t>
      </w:r>
    </w:p>
    <w:p>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p>
    <w:p>
      <w:pPr>
        <w:keepNext w:val="0"/>
        <w:keepLines w:val="0"/>
        <w:pageBreakBefore w:val="0"/>
        <w:kinsoku/>
        <w:wordWrap/>
        <w:overflowPunct/>
        <w:topLinePunct w:val="0"/>
        <w:autoSpaceDE/>
        <w:autoSpaceDN/>
        <w:bidi w:val="0"/>
        <w:adjustRightIn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napToGrid w:val="0"/>
        <w:spacing w:line="360" w:lineRule="auto"/>
        <w:ind w:right="480"/>
        <w:jc w:val="right"/>
        <w:rPr>
          <w:rFonts w:hint="eastAsia" w:ascii="仿宋" w:hAnsi="仿宋" w:eastAsia="仿宋" w:cs="仿宋"/>
          <w:b/>
          <w:color w:val="auto"/>
          <w:kern w:val="0"/>
          <w:sz w:val="32"/>
          <w:szCs w:val="32"/>
          <w:highlight w:val="none"/>
          <w:lang w:val="en-US" w:eastAsia="zh-CN"/>
        </w:rPr>
      </w:pPr>
      <w:r>
        <w:rPr>
          <w:rFonts w:hint="eastAsia" w:ascii="仿宋" w:hAnsi="仿宋" w:eastAsia="仿宋" w:cs="仿宋"/>
          <w:color w:val="auto"/>
          <w:sz w:val="24"/>
          <w:highlight w:val="none"/>
        </w:rPr>
        <w:t>日期：    年   月   日</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highlight w:val="none"/>
        </w:rPr>
      </w:pPr>
      <w:r>
        <w:rPr>
          <w:rFonts w:hint="eastAsia" w:ascii="仿宋" w:hAnsi="仿宋" w:eastAsia="仿宋" w:cs="仿宋"/>
          <w:b/>
          <w:bCs w:val="0"/>
          <w:color w:val="auto"/>
          <w:kern w:val="0"/>
          <w:sz w:val="24"/>
          <w:szCs w:val="24"/>
          <w:highlight w:val="none"/>
          <w:lang w:val="en-US" w:eastAsia="zh-CN"/>
        </w:rPr>
        <w:t>提供由社保机构出具的该授权代表的社保证明（1.如该授权代表为离退休返聘人员的，需提供退休证明及单位聘用证明;2.如由第三方代理社保事项的，则需提供加盖供应商公章的委托代理协议扫描件）</w:t>
      </w:r>
    </w:p>
    <w:p>
      <w:pPr>
        <w:rPr>
          <w:rFonts w:hint="eastAsia" w:ascii="仿宋" w:hAnsi="仿宋" w:eastAsia="仿宋" w:cs="仿宋"/>
          <w:b/>
          <w:bCs w:val="0"/>
          <w:color w:val="auto"/>
          <w:kern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bCs w:val="0"/>
          <w:color w:val="auto"/>
          <w:kern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bCs w:val="0"/>
          <w:color w:val="auto"/>
          <w:kern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bCs w:val="0"/>
          <w:color w:val="auto"/>
          <w:kern w:val="0"/>
          <w:sz w:val="32"/>
          <w:szCs w:val="32"/>
          <w:highlight w:val="none"/>
          <w:lang w:val="en-US" w:eastAsia="zh-CN"/>
        </w:rPr>
        <w:t>四、评分索引表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650"/>
        <w:gridCol w:w="2476"/>
        <w:gridCol w:w="992"/>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exact"/>
          <w:jc w:val="center"/>
        </w:trPr>
        <w:tc>
          <w:tcPr>
            <w:tcW w:w="94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650"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评审内容</w:t>
            </w:r>
          </w:p>
        </w:tc>
        <w:tc>
          <w:tcPr>
            <w:tcW w:w="24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评分细则及要求</w:t>
            </w:r>
          </w:p>
        </w:tc>
        <w:tc>
          <w:tcPr>
            <w:tcW w:w="992"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c>
          <w:tcPr>
            <w:tcW w:w="12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对应页码</w:t>
            </w:r>
          </w:p>
        </w:tc>
        <w:tc>
          <w:tcPr>
            <w:tcW w:w="113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650"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24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992"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276"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c>
          <w:tcPr>
            <w:tcW w:w="1134" w:type="dxa"/>
            <w:noWrap w:val="0"/>
            <w:vAlign w:val="center"/>
          </w:tcPr>
          <w:p>
            <w:pPr>
              <w:adjustRightInd/>
              <w:spacing w:line="380" w:lineRule="exact"/>
              <w:jc w:val="center"/>
              <w:outlineLvl w:val="9"/>
              <w:rPr>
                <w:rFonts w:hint="eastAsia" w:ascii="仿宋" w:hAnsi="仿宋" w:eastAsia="仿宋" w:cs="仿宋"/>
                <w:color w:val="auto"/>
                <w:sz w:val="24"/>
                <w:szCs w:val="24"/>
                <w:highlight w:val="none"/>
              </w:rPr>
            </w:pPr>
          </w:p>
        </w:tc>
      </w:tr>
    </w:tbl>
    <w:p>
      <w:pPr>
        <w:keepNext w:val="0"/>
        <w:keepLines w:val="0"/>
        <w:pageBreakBefore w:val="0"/>
        <w:widowControl w:val="0"/>
        <w:kinsoku/>
        <w:wordWrap/>
        <w:overflowPunct/>
        <w:topLinePunct w:val="0"/>
        <w:autoSpaceDE/>
        <w:autoSpaceDN/>
        <w:bidi w:val="0"/>
        <w:adjustRightInd w:val="0"/>
        <w:snapToGrid/>
        <w:spacing w:line="360" w:lineRule="auto"/>
        <w:ind w:firstLine="240" w:firstLineChars="100"/>
        <w:jc w:val="both"/>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对应第五部分评标方法及标准（报价除外）</w:t>
      </w: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b/>
          <w:color w:val="auto"/>
          <w:kern w:val="0"/>
          <w:sz w:val="32"/>
          <w:szCs w:val="32"/>
          <w:highlight w:val="none"/>
          <w:lang w:eastAsia="zh-CN"/>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rPr>
          <w:rFonts w:hint="eastAsia" w:ascii="仿宋" w:hAnsi="仿宋" w:eastAsia="仿宋" w:cs="仿宋"/>
          <w:b/>
          <w:color w:val="auto"/>
          <w:kern w:val="0"/>
          <w:sz w:val="32"/>
          <w:szCs w:val="32"/>
          <w:highlight w:val="none"/>
          <w:lang w:val="en-US" w:eastAsia="zh-CN"/>
        </w:rPr>
      </w:pPr>
    </w:p>
    <w:p>
      <w:pP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2891" w:firstLineChars="900"/>
        <w:jc w:val="both"/>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2891" w:firstLineChars="900"/>
        <w:jc w:val="both"/>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五、</w:t>
      </w:r>
      <w:r>
        <w:rPr>
          <w:rFonts w:hint="eastAsia" w:ascii="仿宋" w:hAnsi="仿宋" w:eastAsia="仿宋" w:cs="仿宋"/>
          <w:b/>
          <w:color w:val="auto"/>
          <w:kern w:val="0"/>
          <w:sz w:val="32"/>
          <w:szCs w:val="32"/>
          <w:highlight w:val="none"/>
        </w:rPr>
        <w:t>商务响应表</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31"/>
        <w:tblW w:w="0" w:type="auto"/>
        <w:tblInd w:w="-17"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2072"/>
        <w:gridCol w:w="2544"/>
        <w:gridCol w:w="1795"/>
        <w:gridCol w:w="2485"/>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2072"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w:t>
            </w:r>
          </w:p>
        </w:tc>
        <w:tc>
          <w:tcPr>
            <w:tcW w:w="254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采购</w:t>
            </w:r>
            <w:r>
              <w:rPr>
                <w:rFonts w:hint="eastAsia" w:ascii="仿宋" w:hAnsi="仿宋" w:eastAsia="仿宋" w:cs="仿宋"/>
                <w:color w:val="auto"/>
                <w:szCs w:val="24"/>
                <w:highlight w:val="none"/>
              </w:rPr>
              <w:t>文件要求</w:t>
            </w:r>
          </w:p>
        </w:tc>
        <w:tc>
          <w:tcPr>
            <w:tcW w:w="179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是否响应</w:t>
            </w:r>
          </w:p>
        </w:tc>
        <w:tc>
          <w:tcPr>
            <w:tcW w:w="24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投标人的承诺或说明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14" w:hRule="atLeast"/>
        </w:trPr>
        <w:tc>
          <w:tcPr>
            <w:tcW w:w="2072"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19" w:hRule="atLeast"/>
        </w:trPr>
        <w:tc>
          <w:tcPr>
            <w:tcW w:w="2072"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38" w:hRule="atLeast"/>
        </w:trPr>
        <w:tc>
          <w:tcPr>
            <w:tcW w:w="2072"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43" w:right="0"/>
              <w:jc w:val="center"/>
              <w:rPr>
                <w:rFonts w:hint="eastAsia" w:ascii="仿宋" w:hAnsi="仿宋" w:eastAsia="仿宋" w:cs="仿宋"/>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43" w:right="0"/>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20" w:hRule="atLeast"/>
        </w:trPr>
        <w:tc>
          <w:tcPr>
            <w:tcW w:w="2072"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c>
          <w:tcPr>
            <w:tcW w:w="2072"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1"/>
                <w:highlight w:val="none"/>
              </w:rPr>
            </w:pPr>
          </w:p>
        </w:tc>
        <w:tc>
          <w:tcPr>
            <w:tcW w:w="2544"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1"/>
                <w:highlight w:val="none"/>
              </w:rPr>
            </w:pPr>
          </w:p>
        </w:tc>
        <w:tc>
          <w:tcPr>
            <w:tcW w:w="179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1"/>
                <w:highlight w:val="none"/>
              </w:rPr>
            </w:pPr>
          </w:p>
        </w:tc>
        <w:tc>
          <w:tcPr>
            <w:tcW w:w="24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Lines="50" w:beforeAutospacing="0" w:after="0" w:afterAutospacing="0" w:line="360" w:lineRule="auto"/>
              <w:ind w:left="0" w:right="0"/>
              <w:jc w:val="center"/>
              <w:rPr>
                <w:rFonts w:hint="eastAsia" w:ascii="仿宋" w:hAnsi="仿宋" w:eastAsia="仿宋" w:cs="仿宋"/>
                <w:color w:val="auto"/>
                <w:szCs w:val="21"/>
                <w:highlight w:val="none"/>
              </w:rPr>
            </w:pPr>
          </w:p>
        </w:tc>
      </w:tr>
    </w:tbl>
    <w:p>
      <w:pPr>
        <w:pStyle w:val="15"/>
        <w:spacing w:after="156" w:line="480" w:lineRule="auto"/>
        <w:jc w:val="left"/>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注：</w:t>
      </w:r>
      <w:r>
        <w:rPr>
          <w:rFonts w:hint="eastAsia" w:ascii="仿宋" w:hAnsi="仿宋" w:eastAsia="仿宋" w:cs="仿宋"/>
          <w:b/>
          <w:color w:val="auto"/>
          <w:sz w:val="24"/>
          <w:szCs w:val="24"/>
          <w:highlight w:val="none"/>
        </w:rPr>
        <w:t>如不填写本表，则视为完全响应</w:t>
      </w:r>
      <w:r>
        <w:rPr>
          <w:rFonts w:hint="eastAsia" w:ascii="仿宋" w:hAnsi="仿宋" w:eastAsia="仿宋" w:cs="仿宋"/>
          <w:b/>
          <w:color w:val="auto"/>
          <w:sz w:val="24"/>
          <w:szCs w:val="24"/>
          <w:highlight w:val="none"/>
          <w:lang w:val="en-US" w:eastAsia="zh-CN"/>
        </w:rPr>
        <w:t>采购</w:t>
      </w:r>
      <w:r>
        <w:rPr>
          <w:rFonts w:hint="eastAsia" w:ascii="仿宋" w:hAnsi="仿宋" w:eastAsia="仿宋" w:cs="仿宋"/>
          <w:b/>
          <w:color w:val="auto"/>
          <w:sz w:val="24"/>
          <w:szCs w:val="24"/>
          <w:highlight w:val="none"/>
        </w:rPr>
        <w:t>文件。</w:t>
      </w:r>
    </w:p>
    <w:p>
      <w:pPr>
        <w:snapToGrid w:val="0"/>
        <w:spacing w:beforeLines="50" w:line="360" w:lineRule="auto"/>
        <w:rPr>
          <w:rFonts w:hint="eastAsia" w:ascii="仿宋" w:hAnsi="仿宋" w:eastAsia="仿宋" w:cs="仿宋"/>
          <w:color w:val="auto"/>
          <w:szCs w:val="21"/>
          <w:highlight w:val="none"/>
        </w:rPr>
      </w:pPr>
    </w:p>
    <w:p>
      <w:pPr>
        <w:snapToGrid w:val="0"/>
        <w:spacing w:before="50" w:after="50" w:line="600" w:lineRule="exact"/>
        <w:rPr>
          <w:rFonts w:hint="eastAsia" w:ascii="仿宋" w:hAnsi="仿宋" w:eastAsia="仿宋" w:cs="仿宋"/>
          <w:color w:val="auto"/>
          <w:spacing w:val="20"/>
          <w:szCs w:val="21"/>
          <w:highlight w:val="none"/>
          <w:u w:val="single"/>
        </w:rPr>
      </w:pPr>
      <w:r>
        <w:rPr>
          <w:rFonts w:hint="eastAsia" w:ascii="仿宋" w:hAnsi="仿宋" w:eastAsia="仿宋" w:cs="仿宋"/>
          <w:color w:val="auto"/>
          <w:szCs w:val="21"/>
          <w:highlight w:val="none"/>
        </w:rPr>
        <w:t xml:space="preserve">  法定代表人或授权委托人</w:t>
      </w:r>
      <w:r>
        <w:rPr>
          <w:rFonts w:hint="eastAsia" w:ascii="仿宋" w:hAnsi="仿宋" w:eastAsia="仿宋" w:cs="仿宋"/>
          <w:color w:val="auto"/>
          <w:spacing w:val="20"/>
          <w:szCs w:val="21"/>
          <w:highlight w:val="none"/>
        </w:rPr>
        <w:t>签</w:t>
      </w:r>
      <w:r>
        <w:rPr>
          <w:rFonts w:hint="eastAsia" w:ascii="仿宋" w:hAnsi="仿宋" w:eastAsia="仿宋" w:cs="仿宋"/>
          <w:color w:val="auto"/>
          <w:spacing w:val="20"/>
          <w:szCs w:val="21"/>
          <w:highlight w:val="none"/>
          <w:lang w:val="en-US" w:eastAsia="zh-CN"/>
        </w:rPr>
        <w:t>字</w:t>
      </w:r>
      <w:r>
        <w:rPr>
          <w:rFonts w:hint="eastAsia" w:ascii="仿宋" w:hAnsi="仿宋" w:eastAsia="仿宋" w:cs="仿宋"/>
          <w:color w:val="auto"/>
          <w:spacing w:val="20"/>
          <w:szCs w:val="21"/>
          <w:highlight w:val="none"/>
        </w:rPr>
        <w:t>：</w:t>
      </w:r>
    </w:p>
    <w:p>
      <w:pPr>
        <w:snapToGrid w:val="0"/>
        <w:spacing w:before="50" w:after="50" w:line="6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 xml:space="preserve"> 投标人</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zh-CN"/>
        </w:rPr>
        <w:t>电子签名</w:t>
      </w:r>
      <w:r>
        <w:rPr>
          <w:rFonts w:hint="eastAsia" w:ascii="仿宋" w:hAnsi="仿宋" w:eastAsia="仿宋" w:cs="仿宋"/>
          <w:color w:val="auto"/>
          <w:szCs w:val="21"/>
          <w:highlight w:val="none"/>
        </w:rPr>
        <w:t>）：</w:t>
      </w:r>
    </w:p>
    <w:p>
      <w:pPr>
        <w:snapToGrid w:val="0"/>
        <w:spacing w:before="50" w:after="50" w:line="600" w:lineRule="exact"/>
        <w:rPr>
          <w:rFonts w:hint="eastAsia" w:ascii="仿宋" w:hAnsi="仿宋" w:eastAsia="仿宋" w:cs="仿宋"/>
          <w:color w:val="auto"/>
          <w:szCs w:val="21"/>
          <w:highlight w:val="none"/>
        </w:rPr>
      </w:pPr>
      <w:r>
        <w:rPr>
          <w:rFonts w:hint="eastAsia" w:ascii="仿宋" w:hAnsi="仿宋" w:eastAsia="仿宋" w:cs="仿宋"/>
          <w:color w:val="auto"/>
          <w:spacing w:val="20"/>
          <w:szCs w:val="21"/>
          <w:highlight w:val="none"/>
        </w:rPr>
        <w:t xml:space="preserve">  日         期：</w:t>
      </w:r>
    </w:p>
    <w:p>
      <w:pPr>
        <w:spacing w:line="360" w:lineRule="auto"/>
        <w:rPr>
          <w:rFonts w:hint="eastAsia" w:ascii="仿宋" w:hAnsi="仿宋" w:eastAsia="仿宋" w:cs="仿宋"/>
          <w:b/>
          <w:bCs/>
          <w:color w:val="auto"/>
          <w:szCs w:val="21"/>
          <w:highlight w:val="none"/>
        </w:rPr>
      </w:pPr>
    </w:p>
    <w:p>
      <w:pPr>
        <w:spacing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注：此表仅提供了表格形式，投标人可按此表格格式进行扩展。</w:t>
      </w:r>
    </w:p>
    <w:p>
      <w:pPr>
        <w:spacing w:line="480" w:lineRule="exact"/>
        <w:ind w:right="-108" w:firstLine="720"/>
        <w:jc w:val="center"/>
        <w:rPr>
          <w:rFonts w:hint="eastAsia" w:ascii="仿宋" w:hAnsi="仿宋" w:eastAsia="仿宋" w:cs="仿宋"/>
          <w:color w:val="auto"/>
          <w:highlight w:val="none"/>
        </w:rPr>
      </w:pPr>
    </w:p>
    <w:p>
      <w:pPr>
        <w:spacing w:line="360" w:lineRule="auto"/>
        <w:ind w:right="420"/>
        <w:rPr>
          <w:rFonts w:hint="eastAsia" w:ascii="仿宋" w:hAnsi="仿宋" w:eastAsia="仿宋" w:cs="仿宋"/>
          <w:b/>
          <w:bCs/>
          <w:color w:val="auto"/>
          <w:sz w:val="32"/>
          <w:szCs w:val="32"/>
          <w:highlight w:val="none"/>
        </w:rPr>
      </w:pPr>
    </w:p>
    <w:p>
      <w:pPr>
        <w:widowControl/>
        <w:adjustRightInd/>
        <w:jc w:val="left"/>
        <w:rPr>
          <w:rFonts w:hint="eastAsia" w:ascii="仿宋" w:hAnsi="仿宋" w:eastAsia="仿宋" w:cs="仿宋"/>
          <w:b/>
          <w:bCs/>
          <w:color w:val="auto"/>
          <w:sz w:val="32"/>
          <w:szCs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both"/>
        <w:textAlignment w:val="auto"/>
        <w:rPr>
          <w:rFonts w:hint="eastAsia" w:ascii="仿宋" w:hAnsi="仿宋" w:eastAsia="仿宋" w:cs="仿宋"/>
          <w:b/>
          <w:color w:val="auto"/>
          <w:kern w:val="0"/>
          <w:sz w:val="32"/>
          <w:szCs w:val="32"/>
          <w:highlight w:val="none"/>
          <w:lang w:val="en-US" w:eastAsia="zh-CN"/>
        </w:rPr>
      </w:pPr>
    </w:p>
    <w:p>
      <w:pPr>
        <w:spacing w:line="480" w:lineRule="exact"/>
        <w:ind w:right="-108" w:firstLine="720"/>
        <w:jc w:val="center"/>
        <w:rPr>
          <w:rFonts w:hint="eastAsia" w:ascii="仿宋" w:hAnsi="仿宋" w:eastAsia="仿宋" w:cs="仿宋"/>
          <w:color w:val="auto"/>
          <w:highlight w:val="none"/>
        </w:rPr>
      </w:pPr>
    </w:p>
    <w:p>
      <w:pP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br w:type="page"/>
      </w:r>
    </w:p>
    <w:p>
      <w:pPr>
        <w:widowControl/>
        <w:adjustRightInd/>
        <w:jc w:val="center"/>
        <w:rPr>
          <w:rFonts w:hint="eastAsia" w:ascii="仿宋" w:hAnsi="仿宋" w:eastAsia="仿宋" w:cs="仿宋"/>
          <w:b/>
          <w:color w:val="auto"/>
          <w:kern w:val="0"/>
          <w:sz w:val="32"/>
          <w:szCs w:val="32"/>
          <w:highlight w:val="none"/>
          <w:lang w:val="en-US"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550"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550"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firstLine="4560" w:firstLineChars="19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38"/>
        <w:jc w:val="center"/>
        <w:rPr>
          <w:rFonts w:hint="eastAsia" w:ascii="仿宋" w:hAnsi="仿宋" w:eastAsia="仿宋" w:cs="仿宋"/>
          <w:b/>
          <w:bCs/>
          <w:color w:val="auto"/>
          <w:sz w:val="24"/>
          <w:highlight w:val="none"/>
        </w:rPr>
      </w:pPr>
    </w:p>
    <w:p>
      <w:pP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lang w:eastAsia="zh-CN"/>
        </w:rPr>
        <w:br w:type="page"/>
      </w:r>
    </w:p>
    <w:p>
      <w:pPr>
        <w:keepNext w:val="0"/>
        <w:keepLines w:val="0"/>
        <w:pageBreakBefore w:val="0"/>
        <w:widowControl w:val="0"/>
        <w:kinsoku/>
        <w:wordWrap/>
        <w:overflowPunct/>
        <w:topLinePunct w:val="0"/>
        <w:bidi w:val="0"/>
        <w:adjustRightInd w:val="0"/>
        <w:snapToGrid/>
        <w:spacing w:line="36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32"/>
          <w:szCs w:val="32"/>
          <w:highlight w:val="none"/>
          <w:lang w:val="en-US"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sz w:val="32"/>
          <w:szCs w:val="32"/>
          <w:highlight w:val="none"/>
          <w:lang w:val="en-US" w:eastAsia="zh-CN"/>
        </w:rPr>
        <w:t>同类</w:t>
      </w:r>
      <w:r>
        <w:rPr>
          <w:rFonts w:hint="eastAsia" w:ascii="仿宋" w:hAnsi="仿宋" w:eastAsia="仿宋" w:cs="仿宋"/>
          <w:b/>
          <w:color w:val="auto"/>
          <w:kern w:val="0"/>
          <w:sz w:val="32"/>
          <w:szCs w:val="32"/>
          <w:highlight w:val="none"/>
          <w:lang w:val="zh-CN"/>
        </w:rPr>
        <w:t>业绩证明</w:t>
      </w:r>
    </w:p>
    <w:tbl>
      <w:tblPr>
        <w:tblStyle w:val="31"/>
        <w:tblW w:w="8634" w:type="dxa"/>
        <w:tblInd w:w="108" w:type="dxa"/>
        <w:tblLayout w:type="fixed"/>
        <w:tblCellMar>
          <w:top w:w="0" w:type="dxa"/>
          <w:left w:w="108" w:type="dxa"/>
          <w:bottom w:w="0" w:type="dxa"/>
          <w:right w:w="108" w:type="dxa"/>
        </w:tblCellMar>
      </w:tblPr>
      <w:tblGrid>
        <w:gridCol w:w="1438"/>
        <w:gridCol w:w="834"/>
        <w:gridCol w:w="1400"/>
        <w:gridCol w:w="1183"/>
        <w:gridCol w:w="1708"/>
        <w:gridCol w:w="1014"/>
        <w:gridCol w:w="1057"/>
      </w:tblGrid>
      <w:tr>
        <w:tblPrEx>
          <w:tblCellMar>
            <w:top w:w="0" w:type="dxa"/>
            <w:left w:w="108" w:type="dxa"/>
            <w:bottom w:w="0" w:type="dxa"/>
            <w:right w:w="108" w:type="dxa"/>
          </w:tblCellMar>
        </w:tblPrEx>
        <w:trPr>
          <w:trHeight w:val="692" w:hRule="atLeast"/>
        </w:trPr>
        <w:tc>
          <w:tcPr>
            <w:tcW w:w="1438" w:type="dxa"/>
            <w:vMerge w:val="restart"/>
            <w:tcBorders>
              <w:top w:val="single" w:color="auto" w:sz="6" w:space="0"/>
              <w:left w:val="single" w:color="auto" w:sz="6" w:space="0"/>
              <w:right w:val="single" w:color="auto" w:sz="6" w:space="0"/>
            </w:tcBorders>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834" w:type="dxa"/>
            <w:vMerge w:val="restart"/>
            <w:tcBorders>
              <w:top w:val="single" w:color="auto" w:sz="6" w:space="0"/>
              <w:left w:val="single" w:color="auto" w:sz="6" w:space="0"/>
              <w:right w:val="single" w:color="auto" w:sz="6" w:space="0"/>
            </w:tcBorders>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类型</w:t>
            </w:r>
          </w:p>
        </w:tc>
        <w:tc>
          <w:tcPr>
            <w:tcW w:w="1400" w:type="dxa"/>
            <w:vMerge w:val="restart"/>
            <w:tcBorders>
              <w:top w:val="single" w:color="auto" w:sz="6" w:space="0"/>
              <w:left w:val="single" w:color="auto" w:sz="6" w:space="0"/>
              <w:right w:val="single" w:color="auto" w:sz="6" w:space="0"/>
            </w:tcBorders>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简要描述</w:t>
            </w:r>
          </w:p>
        </w:tc>
        <w:tc>
          <w:tcPr>
            <w:tcW w:w="1183" w:type="dxa"/>
            <w:vMerge w:val="restart"/>
            <w:tcBorders>
              <w:top w:val="single" w:color="auto" w:sz="6" w:space="0"/>
              <w:left w:val="single" w:color="auto" w:sz="6" w:space="0"/>
              <w:right w:val="single" w:color="auto" w:sz="6" w:space="0"/>
            </w:tcBorders>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w:t>
            </w:r>
          </w:p>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金额</w:t>
            </w:r>
          </w:p>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（万元）</w:t>
            </w:r>
          </w:p>
        </w:tc>
        <w:tc>
          <w:tcPr>
            <w:tcW w:w="1708" w:type="dxa"/>
            <w:vMerge w:val="restart"/>
            <w:tcBorders>
              <w:top w:val="single" w:color="auto" w:sz="6" w:space="0"/>
              <w:left w:val="single" w:color="auto" w:sz="6" w:space="0"/>
              <w:right w:val="single" w:color="auto" w:sz="6" w:space="0"/>
            </w:tcBorders>
            <w:vAlign w:val="center"/>
          </w:tcPr>
          <w:p>
            <w:pPr>
              <w:adjustRightInd/>
              <w:spacing w:line="380" w:lineRule="exact"/>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项目地址与采购单位联系电话</w:t>
            </w:r>
          </w:p>
        </w:tc>
        <w:tc>
          <w:tcPr>
            <w:tcW w:w="1014" w:type="dxa"/>
            <w:tcBorders>
              <w:top w:val="single" w:color="auto" w:sz="6" w:space="0"/>
              <w:left w:val="single" w:color="auto" w:sz="6" w:space="0"/>
              <w:bottom w:val="single" w:color="auto" w:sz="6" w:space="0"/>
              <w:right w:val="single" w:color="auto" w:sz="6" w:space="0"/>
            </w:tcBorders>
            <w:vAlign w:val="center"/>
          </w:tcPr>
          <w:p>
            <w:pPr>
              <w:adjustRightInd/>
              <w:spacing w:line="380" w:lineRule="exact"/>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页码</w:t>
            </w:r>
          </w:p>
        </w:tc>
        <w:tc>
          <w:tcPr>
            <w:tcW w:w="1057" w:type="dxa"/>
            <w:vMerge w:val="restart"/>
            <w:tcBorders>
              <w:top w:val="single" w:color="auto" w:sz="6" w:space="0"/>
              <w:left w:val="single" w:color="auto" w:sz="6" w:space="0"/>
              <w:right w:val="single" w:color="auto" w:sz="6" w:space="0"/>
            </w:tcBorders>
            <w:vAlign w:val="center"/>
          </w:tcPr>
          <w:p>
            <w:pPr>
              <w:adjustRightInd/>
              <w:spacing w:line="380" w:lineRule="exact"/>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备注</w:t>
            </w:r>
          </w:p>
        </w:tc>
      </w:tr>
      <w:tr>
        <w:tblPrEx>
          <w:tblCellMar>
            <w:top w:w="0" w:type="dxa"/>
            <w:left w:w="108" w:type="dxa"/>
            <w:bottom w:w="0" w:type="dxa"/>
            <w:right w:w="108" w:type="dxa"/>
          </w:tblCellMar>
        </w:tblPrEx>
        <w:trPr>
          <w:trHeight w:val="692" w:hRule="atLeast"/>
        </w:trPr>
        <w:tc>
          <w:tcPr>
            <w:tcW w:w="1438"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仿宋" w:hAnsi="仿宋" w:eastAsia="仿宋" w:cs="仿宋"/>
                <w:color w:val="auto"/>
                <w:highlight w:val="none"/>
              </w:rPr>
            </w:pPr>
          </w:p>
        </w:tc>
        <w:tc>
          <w:tcPr>
            <w:tcW w:w="834"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仿宋" w:hAnsi="仿宋" w:eastAsia="仿宋" w:cs="仿宋"/>
                <w:color w:val="auto"/>
                <w:highlight w:val="none"/>
              </w:rPr>
            </w:pPr>
          </w:p>
        </w:tc>
        <w:tc>
          <w:tcPr>
            <w:tcW w:w="1400"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仿宋" w:hAnsi="仿宋" w:eastAsia="仿宋" w:cs="仿宋"/>
                <w:color w:val="auto"/>
                <w:highlight w:val="none"/>
              </w:rPr>
            </w:pPr>
          </w:p>
        </w:tc>
        <w:tc>
          <w:tcPr>
            <w:tcW w:w="1183"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仿宋" w:hAnsi="仿宋" w:eastAsia="仿宋" w:cs="仿宋"/>
                <w:color w:val="auto"/>
                <w:highlight w:val="none"/>
              </w:rPr>
            </w:pPr>
          </w:p>
        </w:tc>
        <w:tc>
          <w:tcPr>
            <w:tcW w:w="1708"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仿宋" w:hAnsi="仿宋" w:eastAsia="仿宋" w:cs="仿宋"/>
                <w:color w:val="auto"/>
                <w:highlight w:val="none"/>
              </w:rPr>
            </w:pPr>
          </w:p>
        </w:tc>
        <w:tc>
          <w:tcPr>
            <w:tcW w:w="1014" w:type="dxa"/>
            <w:tcBorders>
              <w:top w:val="single" w:color="auto" w:sz="6" w:space="0"/>
              <w:left w:val="single" w:color="auto" w:sz="6" w:space="0"/>
              <w:bottom w:val="single" w:color="auto" w:sz="6" w:space="0"/>
              <w:right w:val="single" w:color="auto" w:sz="6" w:space="0"/>
            </w:tcBorders>
            <w:vAlign w:val="center"/>
          </w:tcPr>
          <w:p>
            <w:pPr>
              <w:adjustRightInd/>
              <w:spacing w:line="380" w:lineRule="exact"/>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合同</w:t>
            </w:r>
          </w:p>
        </w:tc>
        <w:tc>
          <w:tcPr>
            <w:tcW w:w="1057" w:type="dxa"/>
            <w:vMerge w:val="continue"/>
            <w:tcBorders>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仿宋" w:hAnsi="仿宋" w:eastAsia="仿宋" w:cs="仿宋"/>
                <w:color w:val="auto"/>
                <w:sz w:val="24"/>
                <w:highlight w:val="none"/>
                <w:lang w:val="en-US" w:eastAsia="zh-CN"/>
              </w:rPr>
            </w:pPr>
          </w:p>
        </w:tc>
      </w:tr>
      <w:tr>
        <w:tblPrEx>
          <w:tblCellMar>
            <w:top w:w="0" w:type="dxa"/>
            <w:left w:w="108" w:type="dxa"/>
            <w:bottom w:w="0" w:type="dxa"/>
            <w:right w:w="108" w:type="dxa"/>
          </w:tblCellMar>
        </w:tblPrEx>
        <w:trPr>
          <w:trHeight w:val="659" w:hRule="atLeast"/>
        </w:trPr>
        <w:tc>
          <w:tcPr>
            <w:tcW w:w="143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43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43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43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43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43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83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400"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183"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708"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014"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c>
          <w:tcPr>
            <w:tcW w:w="1057" w:type="dxa"/>
            <w:tcBorders>
              <w:top w:val="single" w:color="auto" w:sz="6" w:space="0"/>
              <w:left w:val="single" w:color="auto" w:sz="6" w:space="0"/>
              <w:bottom w:val="single" w:color="auto" w:sz="6" w:space="0"/>
              <w:right w:val="single" w:color="auto" w:sz="6" w:space="0"/>
            </w:tcBorders>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p>
    <w:p>
      <w:pPr>
        <w:pStyle w:val="3"/>
        <w:rPr>
          <w:rFonts w:hint="eastAsia" w:ascii="仿宋" w:hAnsi="仿宋" w:eastAsia="仿宋" w:cs="仿宋"/>
          <w:color w:val="auto"/>
          <w:highlight w:val="none"/>
        </w:rPr>
      </w:pPr>
    </w:p>
    <w:p>
      <w:pPr>
        <w:autoSpaceDE w:val="0"/>
        <w:autoSpaceDN w:val="0"/>
        <w:spacing w:line="360" w:lineRule="auto"/>
        <w:jc w:val="right"/>
        <w:rPr>
          <w:rFonts w:hint="eastAsia" w:ascii="仿宋" w:hAnsi="仿宋" w:eastAsia="仿宋" w:cs="仿宋"/>
          <w:color w:val="auto"/>
          <w:sz w:val="24"/>
          <w:highlight w:val="none"/>
        </w:rPr>
      </w:pPr>
    </w:p>
    <w:p>
      <w:pPr>
        <w:spacing w:line="336" w:lineRule="auto"/>
        <w:ind w:firstLine="3600" w:firstLineChars="1500"/>
        <w:jc w:val="righ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w:t>
      </w:r>
      <w:r>
        <w:rPr>
          <w:rFonts w:hint="eastAsia" w:ascii="仿宋" w:hAnsi="仿宋" w:eastAsia="仿宋" w:cs="仿宋"/>
          <w:color w:val="auto"/>
          <w:sz w:val="24"/>
          <w:highlight w:val="none"/>
        </w:rPr>
        <w:t xml:space="preserve">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期：  年   月   日</w:t>
      </w:r>
    </w:p>
    <w:p>
      <w:pPr>
        <w:spacing w:line="336" w:lineRule="auto"/>
        <w:jc w:val="center"/>
        <w:rPr>
          <w:rFonts w:hint="eastAsia" w:ascii="仿宋" w:hAnsi="仿宋" w:eastAsia="仿宋" w:cs="仿宋"/>
          <w:b/>
          <w:bCs/>
          <w:color w:val="auto"/>
          <w:sz w:val="32"/>
          <w:szCs w:val="32"/>
          <w:highlight w:val="none"/>
          <w:lang w:val="en-US" w:eastAsia="zh-CN"/>
        </w:rPr>
      </w:pPr>
    </w:p>
    <w:p>
      <w:pPr>
        <w:spacing w:line="336" w:lineRule="auto"/>
        <w:jc w:val="center"/>
        <w:rPr>
          <w:rFonts w:hint="eastAsia" w:ascii="仿宋" w:hAnsi="仿宋" w:eastAsia="仿宋" w:cs="仿宋"/>
          <w:b/>
          <w:bCs/>
          <w:color w:val="auto"/>
          <w:sz w:val="32"/>
          <w:szCs w:val="32"/>
          <w:highlight w:val="none"/>
          <w:lang w:val="en-US" w:eastAsia="zh-CN"/>
        </w:rPr>
      </w:pPr>
    </w:p>
    <w:p>
      <w:pPr>
        <w:spacing w:line="336" w:lineRule="auto"/>
        <w:jc w:val="center"/>
        <w:rPr>
          <w:rFonts w:hint="eastAsia" w:ascii="仿宋" w:hAnsi="仿宋" w:eastAsia="仿宋" w:cs="仿宋"/>
          <w:b/>
          <w:bCs/>
          <w:color w:val="auto"/>
          <w:sz w:val="32"/>
          <w:szCs w:val="32"/>
          <w:highlight w:val="none"/>
          <w:lang w:val="en-US" w:eastAsia="zh-CN"/>
        </w:rPr>
      </w:pPr>
    </w:p>
    <w:p>
      <w:pPr>
        <w:spacing w:line="336" w:lineRule="auto"/>
        <w:jc w:val="center"/>
        <w:rPr>
          <w:rFonts w:hint="eastAsia" w:ascii="仿宋" w:hAnsi="仿宋" w:eastAsia="仿宋" w:cs="仿宋"/>
          <w:b/>
          <w:bCs/>
          <w:color w:val="auto"/>
          <w:sz w:val="32"/>
          <w:szCs w:val="32"/>
          <w:highlight w:val="none"/>
          <w:lang w:val="en-US" w:eastAsia="zh-CN"/>
        </w:rPr>
      </w:pPr>
    </w:p>
    <w:p>
      <w:pPr>
        <w:spacing w:line="336" w:lineRule="auto"/>
        <w:jc w:val="center"/>
        <w:rPr>
          <w:rFonts w:hint="eastAsia" w:ascii="仿宋" w:hAnsi="仿宋" w:eastAsia="仿宋" w:cs="仿宋"/>
          <w:b/>
          <w:bCs/>
          <w:color w:val="auto"/>
          <w:sz w:val="32"/>
          <w:szCs w:val="32"/>
          <w:highlight w:val="none"/>
          <w:lang w:val="en-US" w:eastAsia="zh-CN"/>
        </w:rPr>
      </w:pPr>
    </w:p>
    <w:p>
      <w:pPr>
        <w:spacing w:line="336" w:lineRule="auto"/>
        <w:jc w:val="center"/>
        <w:rPr>
          <w:rFonts w:hint="eastAsia" w:ascii="仿宋" w:hAnsi="仿宋" w:eastAsia="仿宋" w:cs="仿宋"/>
          <w:b/>
          <w:bCs/>
          <w:color w:val="auto"/>
          <w:sz w:val="32"/>
          <w:szCs w:val="32"/>
          <w:highlight w:val="none"/>
          <w:lang w:val="en-US" w:eastAsia="zh-CN"/>
        </w:rPr>
      </w:pPr>
    </w:p>
    <w:p>
      <w:pPr>
        <w:spacing w:line="336" w:lineRule="auto"/>
        <w:jc w:val="center"/>
        <w:rPr>
          <w:rFonts w:hint="eastAsia" w:ascii="仿宋" w:hAnsi="仿宋" w:eastAsia="仿宋" w:cs="仿宋"/>
          <w:b/>
          <w:bCs/>
          <w:color w:val="auto"/>
          <w:sz w:val="32"/>
          <w:szCs w:val="32"/>
          <w:highlight w:val="none"/>
          <w:lang w:val="en-US" w:eastAsia="zh-CN"/>
        </w:rPr>
      </w:pPr>
    </w:p>
    <w:p>
      <w:pPr>
        <w:spacing w:line="336" w:lineRule="auto"/>
        <w:jc w:val="center"/>
        <w:rPr>
          <w:rFonts w:hint="eastAsia" w:ascii="仿宋" w:hAnsi="仿宋" w:eastAsia="仿宋" w:cs="仿宋"/>
          <w:b/>
          <w:bCs/>
          <w:color w:val="auto"/>
          <w:sz w:val="32"/>
          <w:szCs w:val="32"/>
          <w:highlight w:val="none"/>
          <w:lang w:val="en-US" w:eastAsia="zh-CN"/>
        </w:rPr>
      </w:pPr>
    </w:p>
    <w:p>
      <w:pPr>
        <w:spacing w:line="336" w:lineRule="auto"/>
        <w:jc w:val="center"/>
        <w:rPr>
          <w:rFonts w:hint="eastAsia" w:ascii="仿宋" w:hAnsi="仿宋" w:eastAsia="仿宋" w:cs="仿宋"/>
          <w:b/>
          <w:bCs/>
          <w:color w:val="auto"/>
          <w:sz w:val="32"/>
          <w:szCs w:val="32"/>
          <w:highlight w:val="none"/>
          <w:lang w:val="en-US" w:eastAsia="zh-CN"/>
        </w:rPr>
      </w:pPr>
    </w:p>
    <w:p>
      <w:pPr>
        <w:spacing w:line="336" w:lineRule="auto"/>
        <w:jc w:val="center"/>
        <w:rPr>
          <w:rFonts w:hint="eastAsia" w:ascii="仿宋" w:hAnsi="仿宋" w:eastAsia="仿宋" w:cs="仿宋"/>
          <w:b/>
          <w:bCs/>
          <w:color w:val="auto"/>
          <w:sz w:val="32"/>
          <w:szCs w:val="32"/>
          <w:highlight w:val="none"/>
          <w:lang w:val="en-US"/>
        </w:rPr>
      </w:pP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lang w:val="zh-CN"/>
        </w:rPr>
        <w:t>、</w:t>
      </w:r>
      <w:r>
        <w:rPr>
          <w:rFonts w:hint="eastAsia" w:ascii="仿宋" w:hAnsi="仿宋" w:eastAsia="仿宋" w:cs="仿宋"/>
          <w:b/>
          <w:bCs/>
          <w:color w:val="auto"/>
          <w:sz w:val="32"/>
          <w:szCs w:val="32"/>
          <w:highlight w:val="none"/>
          <w:lang w:val="en-US" w:eastAsia="zh-CN"/>
        </w:rPr>
        <w:t>服务渠道</w:t>
      </w:r>
    </w:p>
    <w:p>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根据采购需求及</w:t>
      </w:r>
      <w:r>
        <w:rPr>
          <w:rFonts w:hint="eastAsia" w:ascii="仿宋" w:hAnsi="仿宋" w:eastAsia="仿宋" w:cs="仿宋"/>
          <w:color w:val="auto"/>
          <w:sz w:val="24"/>
          <w:highlight w:val="none"/>
          <w:lang w:eastAsia="zh-CN"/>
        </w:rPr>
        <w:t>采购</w:t>
      </w:r>
      <w:r>
        <w:rPr>
          <w:rFonts w:hint="eastAsia" w:ascii="仿宋" w:hAnsi="仿宋" w:eastAsia="仿宋" w:cs="仿宋"/>
          <w:color w:val="auto"/>
          <w:sz w:val="24"/>
          <w:highlight w:val="none"/>
        </w:rPr>
        <w:t>文件</w:t>
      </w:r>
      <w:r>
        <w:rPr>
          <w:rFonts w:hint="eastAsia" w:ascii="仿宋" w:hAnsi="仿宋" w:eastAsia="仿宋" w:cs="仿宋"/>
          <w:color w:val="auto"/>
          <w:sz w:val="24"/>
          <w:highlight w:val="none"/>
          <w:lang w:val="en-US" w:eastAsia="zh-CN"/>
        </w:rPr>
        <w:t>评分</w:t>
      </w:r>
      <w:r>
        <w:rPr>
          <w:rFonts w:hint="eastAsia" w:ascii="仿宋" w:hAnsi="仿宋" w:eastAsia="仿宋" w:cs="仿宋"/>
          <w:color w:val="auto"/>
          <w:sz w:val="24"/>
          <w:highlight w:val="none"/>
        </w:rPr>
        <w:t>要求编制）</w:t>
      </w: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九、承保服务方案</w:t>
      </w:r>
    </w:p>
    <w:p>
      <w:pPr>
        <w:spacing w:line="360" w:lineRule="auto"/>
        <w:ind w:firstLine="480" w:firstLineChars="20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根据采购需求及</w:t>
      </w:r>
      <w:r>
        <w:rPr>
          <w:rFonts w:hint="eastAsia" w:ascii="仿宋" w:hAnsi="仿宋" w:eastAsia="仿宋" w:cs="仿宋"/>
          <w:color w:val="auto"/>
          <w:sz w:val="24"/>
          <w:highlight w:val="none"/>
          <w:lang w:eastAsia="zh-CN"/>
        </w:rPr>
        <w:t>采购</w:t>
      </w:r>
      <w:r>
        <w:rPr>
          <w:rFonts w:hint="eastAsia" w:ascii="仿宋" w:hAnsi="仿宋" w:eastAsia="仿宋" w:cs="仿宋"/>
          <w:color w:val="auto"/>
          <w:sz w:val="24"/>
          <w:highlight w:val="none"/>
        </w:rPr>
        <w:t>文件</w:t>
      </w:r>
      <w:r>
        <w:rPr>
          <w:rFonts w:hint="eastAsia" w:ascii="仿宋" w:hAnsi="仿宋" w:eastAsia="仿宋" w:cs="仿宋"/>
          <w:color w:val="auto"/>
          <w:sz w:val="24"/>
          <w:highlight w:val="none"/>
          <w:lang w:val="en-US" w:eastAsia="zh-CN"/>
        </w:rPr>
        <w:t>评分</w:t>
      </w:r>
      <w:r>
        <w:rPr>
          <w:rFonts w:hint="eastAsia" w:ascii="仿宋" w:hAnsi="仿宋" w:eastAsia="仿宋" w:cs="仿宋"/>
          <w:color w:val="auto"/>
          <w:sz w:val="24"/>
          <w:highlight w:val="none"/>
        </w:rPr>
        <w:t>要求编制）</w:t>
      </w: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w:t>
      </w:r>
      <w:r>
        <w:rPr>
          <w:rFonts w:hint="eastAsia" w:ascii="仿宋" w:hAnsi="仿宋" w:eastAsia="仿宋" w:cs="仿宋"/>
          <w:b/>
          <w:bCs/>
          <w:color w:val="auto"/>
          <w:sz w:val="32"/>
          <w:szCs w:val="32"/>
          <w:highlight w:val="none"/>
          <w:lang w:val="en-US" w:eastAsia="zh-CN"/>
        </w:rPr>
        <w:t>偿付能力充足率</w:t>
      </w:r>
    </w:p>
    <w:p>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根据采购需求及</w:t>
      </w:r>
      <w:r>
        <w:rPr>
          <w:rFonts w:hint="eastAsia" w:ascii="仿宋" w:hAnsi="仿宋" w:eastAsia="仿宋" w:cs="仿宋"/>
          <w:color w:val="auto"/>
          <w:sz w:val="24"/>
          <w:highlight w:val="none"/>
          <w:lang w:eastAsia="zh-CN"/>
        </w:rPr>
        <w:t>采购</w:t>
      </w:r>
      <w:r>
        <w:rPr>
          <w:rFonts w:hint="eastAsia" w:ascii="仿宋" w:hAnsi="仿宋" w:eastAsia="仿宋" w:cs="仿宋"/>
          <w:color w:val="auto"/>
          <w:sz w:val="24"/>
          <w:highlight w:val="none"/>
        </w:rPr>
        <w:t>文件</w:t>
      </w:r>
      <w:r>
        <w:rPr>
          <w:rFonts w:hint="eastAsia" w:ascii="仿宋" w:hAnsi="仿宋" w:eastAsia="仿宋" w:cs="仿宋"/>
          <w:color w:val="auto"/>
          <w:sz w:val="24"/>
          <w:highlight w:val="none"/>
          <w:lang w:val="en-US" w:eastAsia="zh-CN"/>
        </w:rPr>
        <w:t>评分</w:t>
      </w:r>
      <w:r>
        <w:rPr>
          <w:rFonts w:hint="eastAsia" w:ascii="仿宋" w:hAnsi="仿宋" w:eastAsia="仿宋" w:cs="仿宋"/>
          <w:color w:val="auto"/>
          <w:sz w:val="24"/>
          <w:highlight w:val="none"/>
        </w:rPr>
        <w:t>要求编制）</w:t>
      </w: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十一、理赔服务方案</w:t>
      </w:r>
    </w:p>
    <w:p>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根据采购需求及</w:t>
      </w:r>
      <w:r>
        <w:rPr>
          <w:rFonts w:hint="eastAsia" w:ascii="仿宋" w:hAnsi="仿宋" w:eastAsia="仿宋" w:cs="仿宋"/>
          <w:color w:val="auto"/>
          <w:sz w:val="24"/>
          <w:highlight w:val="none"/>
          <w:lang w:eastAsia="zh-CN"/>
        </w:rPr>
        <w:t>采购</w:t>
      </w:r>
      <w:r>
        <w:rPr>
          <w:rFonts w:hint="eastAsia" w:ascii="仿宋" w:hAnsi="仿宋" w:eastAsia="仿宋" w:cs="仿宋"/>
          <w:color w:val="auto"/>
          <w:sz w:val="24"/>
          <w:highlight w:val="none"/>
        </w:rPr>
        <w:t>文件</w:t>
      </w:r>
      <w:r>
        <w:rPr>
          <w:rFonts w:hint="eastAsia" w:ascii="仿宋" w:hAnsi="仿宋" w:eastAsia="仿宋" w:cs="仿宋"/>
          <w:color w:val="auto"/>
          <w:sz w:val="24"/>
          <w:highlight w:val="none"/>
          <w:lang w:val="en-US" w:eastAsia="zh-CN"/>
        </w:rPr>
        <w:t>评分</w:t>
      </w:r>
      <w:r>
        <w:rPr>
          <w:rFonts w:hint="eastAsia" w:ascii="仿宋" w:hAnsi="仿宋" w:eastAsia="仿宋" w:cs="仿宋"/>
          <w:color w:val="auto"/>
          <w:sz w:val="24"/>
          <w:highlight w:val="none"/>
        </w:rPr>
        <w:t>要求编制）</w:t>
      </w: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二、服务团队</w:t>
      </w:r>
    </w:p>
    <w:p>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根据采购需求及</w:t>
      </w:r>
      <w:r>
        <w:rPr>
          <w:rFonts w:hint="eastAsia" w:ascii="仿宋" w:hAnsi="仿宋" w:eastAsia="仿宋" w:cs="仿宋"/>
          <w:color w:val="auto"/>
          <w:sz w:val="24"/>
          <w:highlight w:val="none"/>
          <w:lang w:eastAsia="zh-CN"/>
        </w:rPr>
        <w:t>采购</w:t>
      </w:r>
      <w:r>
        <w:rPr>
          <w:rFonts w:hint="eastAsia" w:ascii="仿宋" w:hAnsi="仿宋" w:eastAsia="仿宋" w:cs="仿宋"/>
          <w:color w:val="auto"/>
          <w:sz w:val="24"/>
          <w:highlight w:val="none"/>
        </w:rPr>
        <w:t>文件</w:t>
      </w:r>
      <w:r>
        <w:rPr>
          <w:rFonts w:hint="eastAsia" w:ascii="仿宋" w:hAnsi="仿宋" w:eastAsia="仿宋" w:cs="仿宋"/>
          <w:color w:val="auto"/>
          <w:sz w:val="24"/>
          <w:highlight w:val="none"/>
          <w:lang w:val="en-US" w:eastAsia="zh-CN"/>
        </w:rPr>
        <w:t>评分</w:t>
      </w:r>
      <w:r>
        <w:rPr>
          <w:rFonts w:hint="eastAsia" w:ascii="仿宋" w:hAnsi="仿宋" w:eastAsia="仿宋" w:cs="仿宋"/>
          <w:color w:val="auto"/>
          <w:sz w:val="24"/>
          <w:highlight w:val="none"/>
        </w:rPr>
        <w:t>要求编制）</w:t>
      </w: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hint="eastAsia" w:ascii="仿宋" w:hAnsi="仿宋" w:eastAsia="仿宋" w:cs="仿宋"/>
          <w:b/>
          <w:bCs/>
          <w:color w:val="auto"/>
          <w:sz w:val="32"/>
          <w:szCs w:val="32"/>
          <w:highlight w:val="none"/>
          <w:lang w:val="en-US" w:eastAsia="zh-CN"/>
        </w:rPr>
      </w:pPr>
    </w:p>
    <w:p>
      <w:pPr>
        <w:spacing w:line="336" w:lineRule="auto"/>
        <w:jc w:val="cente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十三、服务承诺</w:t>
      </w:r>
    </w:p>
    <w:p>
      <w:pPr>
        <w:autoSpaceDE w:val="0"/>
        <w:autoSpaceDN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根据采购需求及</w:t>
      </w:r>
      <w:r>
        <w:rPr>
          <w:rFonts w:hint="eastAsia" w:ascii="仿宋" w:hAnsi="仿宋" w:eastAsia="仿宋" w:cs="仿宋"/>
          <w:color w:val="auto"/>
          <w:sz w:val="24"/>
          <w:highlight w:val="none"/>
          <w:lang w:eastAsia="zh-CN"/>
        </w:rPr>
        <w:t>采购</w:t>
      </w:r>
      <w:r>
        <w:rPr>
          <w:rFonts w:hint="eastAsia" w:ascii="仿宋" w:hAnsi="仿宋" w:eastAsia="仿宋" w:cs="仿宋"/>
          <w:color w:val="auto"/>
          <w:sz w:val="24"/>
          <w:highlight w:val="none"/>
        </w:rPr>
        <w:t>文件</w:t>
      </w:r>
      <w:r>
        <w:rPr>
          <w:rFonts w:hint="eastAsia" w:ascii="仿宋" w:hAnsi="仿宋" w:eastAsia="仿宋" w:cs="仿宋"/>
          <w:color w:val="auto"/>
          <w:sz w:val="24"/>
          <w:highlight w:val="none"/>
          <w:lang w:val="en-US" w:eastAsia="zh-CN"/>
        </w:rPr>
        <w:t>评分</w:t>
      </w:r>
      <w:r>
        <w:rPr>
          <w:rFonts w:hint="eastAsia" w:ascii="仿宋" w:hAnsi="仿宋" w:eastAsia="仿宋" w:cs="仿宋"/>
          <w:color w:val="auto"/>
          <w:sz w:val="24"/>
          <w:highlight w:val="none"/>
        </w:rPr>
        <w:t>要求编制）</w:t>
      </w: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kern w:val="0"/>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36" w:lineRule="auto"/>
        <w:ind w:firstLine="3600" w:firstLineChars="15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ind w:firstLine="964" w:firstLineChars="300"/>
        <w:jc w:val="both"/>
        <w:rPr>
          <w:rFonts w:hint="eastAsia" w:ascii="仿宋" w:hAnsi="仿宋" w:eastAsia="仿宋" w:cs="仿宋"/>
          <w:color w:val="auto"/>
          <w:sz w:val="24"/>
          <w:highlight w:val="none"/>
        </w:rPr>
      </w:pPr>
      <w:r>
        <w:rPr>
          <w:rFonts w:hint="eastAsia" w:ascii="仿宋" w:hAnsi="仿宋" w:eastAsia="仿宋" w:cs="仿宋"/>
          <w:b/>
          <w:bCs/>
          <w:color w:val="auto"/>
          <w:sz w:val="32"/>
          <w:szCs w:val="32"/>
          <w:highlight w:val="none"/>
          <w:lang w:val="en-US" w:eastAsia="zh-CN"/>
        </w:rPr>
        <w:t>十四、投标人认为</w:t>
      </w:r>
      <w:r>
        <w:rPr>
          <w:rFonts w:hint="eastAsia" w:ascii="仿宋" w:hAnsi="仿宋" w:eastAsia="仿宋" w:cs="仿宋"/>
          <w:b/>
          <w:bCs/>
          <w:color w:val="auto"/>
          <w:sz w:val="32"/>
          <w:szCs w:val="32"/>
          <w:highlight w:val="none"/>
        </w:rPr>
        <w:t>需要说明的其他文件和说明（若有）</w:t>
      </w:r>
    </w:p>
    <w:p>
      <w:pPr>
        <w:keepNext w:val="0"/>
        <w:keepLines w:val="0"/>
        <w:pageBreakBefore w:val="0"/>
        <w:widowControl w:val="0"/>
        <w:kinsoku/>
        <w:wordWrap/>
        <w:overflowPunct/>
        <w:topLinePunct w:val="0"/>
        <w:autoSpaceDE/>
        <w:autoSpaceDN/>
        <w:bidi w:val="0"/>
        <w:adjustRightInd w:val="0"/>
        <w:snapToGrid/>
        <w:spacing w:before="282" w:beforeLines="90" w:line="336" w:lineRule="auto"/>
        <w:ind w:firstLine="3600" w:firstLineChars="15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hint="eastAsia" w:ascii="仿宋" w:hAnsi="仿宋" w:eastAsia="仿宋" w:cs="仿宋"/>
          <w:b/>
          <w:color w:val="auto"/>
          <w:sz w:val="36"/>
          <w:szCs w:val="36"/>
          <w:highlight w:val="none"/>
        </w:rPr>
      </w:pPr>
    </w:p>
    <w:p>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pPr>
        <w:spacing w:line="336" w:lineRule="auto"/>
        <w:jc w:val="center"/>
        <w:outlineLvl w:val="0"/>
        <w:rPr>
          <w:rFonts w:hint="eastAsia" w:ascii="仿宋" w:hAnsi="仿宋" w:eastAsia="仿宋" w:cs="仿宋"/>
          <w:b/>
          <w:color w:val="auto"/>
          <w:kern w:val="0"/>
          <w:sz w:val="36"/>
          <w:szCs w:val="36"/>
          <w:highlight w:val="none"/>
        </w:rPr>
      </w:pPr>
    </w:p>
    <w:p>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36" w:lineRule="auto"/>
        <w:jc w:val="center"/>
        <w:outlineLvl w:val="0"/>
        <w:rPr>
          <w:rFonts w:hint="eastAsia" w:ascii="仿宋" w:hAnsi="仿宋" w:eastAsia="仿宋" w:cs="仿宋"/>
          <w:b/>
          <w:color w:val="auto"/>
          <w:kern w:val="0"/>
          <w:sz w:val="36"/>
          <w:szCs w:val="36"/>
          <w:highlight w:val="none"/>
        </w:rPr>
      </w:pPr>
    </w:p>
    <w:p>
      <w:pPr>
        <w:snapToGrid w:val="0"/>
        <w:spacing w:line="360" w:lineRule="auto"/>
        <w:ind w:firstLine="480" w:firstLineChars="200"/>
        <w:jc w:val="left"/>
        <w:rPr>
          <w:rFonts w:hint="eastAsia" w:ascii="仿宋" w:hAnsi="仿宋" w:eastAsia="仿宋" w:cs="仿宋"/>
          <w:color w:val="auto"/>
          <w:highlight w:val="none"/>
        </w:rPr>
      </w:pPr>
    </w:p>
    <w:p>
      <w:pPr>
        <w:snapToGrid w:val="0"/>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 xml:space="preserve">（1）开标一览表（格式见附件1）； </w:t>
      </w:r>
    </w:p>
    <w:p>
      <w:pPr>
        <w:snapToGrid w:val="0"/>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）投标人针对报价需要说明的其他文件和说明（附件</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、格式自拟）。</w:t>
      </w:r>
    </w:p>
    <w:p>
      <w:pPr>
        <w:spacing w:line="360" w:lineRule="auto"/>
        <w:rPr>
          <w:rFonts w:hint="eastAsia" w:ascii="仿宋" w:hAnsi="仿宋" w:eastAsia="仿宋" w:cs="仿宋"/>
          <w:b/>
          <w:color w:val="auto"/>
          <w:spacing w:val="6"/>
          <w:sz w:val="28"/>
          <w:szCs w:val="28"/>
          <w:highlight w:val="none"/>
        </w:rPr>
      </w:pPr>
    </w:p>
    <w:p>
      <w:pPr>
        <w:spacing w:line="360" w:lineRule="auto"/>
        <w:ind w:firstLine="482"/>
        <w:rPr>
          <w:rFonts w:hint="eastAsia" w:ascii="仿宋" w:hAnsi="仿宋" w:eastAsia="仿宋" w:cs="仿宋"/>
          <w:color w:val="auto"/>
          <w:highlight w:val="none"/>
        </w:rPr>
      </w:pPr>
    </w:p>
    <w:p>
      <w:pPr>
        <w:pStyle w:val="28"/>
        <w:spacing w:line="360" w:lineRule="auto"/>
        <w:ind w:firstLine="240"/>
        <w:rPr>
          <w:rFonts w:hint="eastAsia" w:ascii="仿宋" w:hAnsi="仿宋" w:eastAsia="仿宋" w:cs="仿宋"/>
          <w:color w:val="auto"/>
          <w:highlight w:val="none"/>
        </w:rPr>
      </w:pPr>
    </w:p>
    <w:p>
      <w:pPr>
        <w:pStyle w:val="28"/>
        <w:spacing w:line="360" w:lineRule="auto"/>
        <w:ind w:firstLine="240"/>
        <w:rPr>
          <w:rFonts w:hint="eastAsia" w:ascii="仿宋" w:hAnsi="仿宋" w:eastAsia="仿宋" w:cs="仿宋"/>
          <w:color w:val="auto"/>
          <w:highlight w:val="none"/>
        </w:rPr>
      </w:pPr>
    </w:p>
    <w:p>
      <w:pPr>
        <w:pStyle w:val="28"/>
        <w:spacing w:line="360" w:lineRule="auto"/>
        <w:ind w:firstLine="240"/>
        <w:rPr>
          <w:rFonts w:hint="eastAsia" w:ascii="仿宋" w:hAnsi="仿宋" w:eastAsia="仿宋" w:cs="仿宋"/>
          <w:color w:val="auto"/>
          <w:highlight w:val="none"/>
        </w:rPr>
      </w:pPr>
    </w:p>
    <w:p>
      <w:pPr>
        <w:pStyle w:val="28"/>
        <w:spacing w:line="360" w:lineRule="auto"/>
        <w:ind w:firstLine="240"/>
        <w:rPr>
          <w:rFonts w:hint="eastAsia" w:ascii="仿宋" w:hAnsi="仿宋" w:eastAsia="仿宋" w:cs="仿宋"/>
          <w:color w:val="auto"/>
          <w:highlight w:val="none"/>
        </w:rPr>
      </w:pPr>
    </w:p>
    <w:p>
      <w:pPr>
        <w:pStyle w:val="28"/>
        <w:spacing w:line="360" w:lineRule="auto"/>
        <w:ind w:firstLine="240"/>
        <w:rPr>
          <w:rFonts w:hint="eastAsia" w:ascii="仿宋" w:hAnsi="仿宋" w:eastAsia="仿宋" w:cs="仿宋"/>
          <w:color w:val="auto"/>
          <w:highlight w:val="none"/>
        </w:rPr>
      </w:pPr>
    </w:p>
    <w:p>
      <w:pPr>
        <w:pStyle w:val="24"/>
        <w:spacing w:line="390" w:lineRule="exact"/>
        <w:ind w:firstLine="480" w:firstLineChars="200"/>
        <w:rPr>
          <w:rFonts w:hint="eastAsia" w:ascii="仿宋" w:hAnsi="仿宋" w:eastAsia="仿宋" w:cs="仿宋"/>
          <w:color w:val="auto"/>
          <w:szCs w:val="21"/>
          <w:highlight w:val="none"/>
        </w:rPr>
      </w:pPr>
    </w:p>
    <w:p>
      <w:pPr>
        <w:spacing w:line="360" w:lineRule="auto"/>
        <w:rPr>
          <w:rFonts w:hint="eastAsia" w:ascii="仿宋" w:hAnsi="仿宋" w:eastAsia="仿宋" w:cs="仿宋"/>
          <w:b/>
          <w:color w:val="auto"/>
          <w:spacing w:val="6"/>
          <w:szCs w:val="21"/>
          <w:highlight w:val="none"/>
        </w:rPr>
      </w:pPr>
    </w:p>
    <w:p>
      <w:pPr>
        <w:spacing w:line="360" w:lineRule="auto"/>
        <w:rPr>
          <w:rFonts w:hint="eastAsia" w:ascii="仿宋" w:hAnsi="仿宋" w:eastAsia="仿宋" w:cs="仿宋"/>
          <w:b/>
          <w:color w:val="auto"/>
          <w:spacing w:val="6"/>
          <w:szCs w:val="21"/>
          <w:highlight w:val="none"/>
        </w:rPr>
      </w:pPr>
    </w:p>
    <w:p>
      <w:pPr>
        <w:snapToGrid w:val="0"/>
        <w:spacing w:before="50" w:line="360" w:lineRule="auto"/>
        <w:jc w:val="center"/>
        <w:rPr>
          <w:rFonts w:hint="eastAsia" w:ascii="仿宋" w:hAnsi="仿宋" w:eastAsia="仿宋" w:cs="仿宋"/>
          <w:color w:val="auto"/>
          <w:szCs w:val="21"/>
          <w:highlight w:val="none"/>
        </w:rPr>
      </w:pPr>
    </w:p>
    <w:p>
      <w:pPr>
        <w:snapToGrid w:val="0"/>
        <w:spacing w:before="50" w:line="360" w:lineRule="auto"/>
        <w:jc w:val="center"/>
        <w:rPr>
          <w:rFonts w:hint="eastAsia" w:ascii="仿宋" w:hAnsi="仿宋" w:eastAsia="仿宋" w:cs="仿宋"/>
          <w:color w:val="auto"/>
          <w:szCs w:val="21"/>
          <w:highlight w:val="none"/>
        </w:rPr>
      </w:pPr>
    </w:p>
    <w:p>
      <w:pPr>
        <w:pStyle w:val="28"/>
        <w:ind w:firstLine="210"/>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rPr>
        <w:br w:type="page"/>
      </w:r>
    </w:p>
    <w:p>
      <w:pPr>
        <w:snapToGrid w:val="0"/>
        <w:spacing w:line="600" w:lineRule="exact"/>
        <w:jc w:val="center"/>
        <w:rPr>
          <w:rFonts w:hint="eastAsia" w:ascii="仿宋" w:hAnsi="仿宋" w:eastAsia="仿宋" w:cs="仿宋"/>
          <w:bCs/>
          <w:color w:val="auto"/>
          <w:sz w:val="36"/>
          <w:szCs w:val="36"/>
          <w:highlight w:val="none"/>
        </w:rPr>
      </w:pPr>
    </w:p>
    <w:p>
      <w:pPr>
        <w:snapToGrid w:val="0"/>
        <w:spacing w:before="50" w:afterLines="50"/>
        <w:jc w:val="center"/>
        <w:rPr>
          <w:rFonts w:hint="eastAsia" w:ascii="仿宋" w:hAnsi="仿宋" w:eastAsia="仿宋" w:cs="仿宋"/>
          <w:bCs/>
          <w:color w:val="auto"/>
          <w:sz w:val="36"/>
          <w:szCs w:val="36"/>
          <w:highlight w:val="none"/>
          <w:lang w:eastAsia="zh-CN"/>
        </w:rPr>
      </w:pPr>
      <w:r>
        <w:rPr>
          <w:rFonts w:hint="eastAsia" w:ascii="仿宋" w:hAnsi="仿宋" w:eastAsia="仿宋" w:cs="仿宋"/>
          <w:b/>
          <w:bCs/>
          <w:color w:val="auto"/>
          <w:sz w:val="28"/>
          <w:szCs w:val="28"/>
          <w:highlight w:val="none"/>
          <w:lang w:val="en-US" w:eastAsia="zh-CN"/>
        </w:rPr>
        <w:t>一、</w:t>
      </w:r>
      <w:r>
        <w:rPr>
          <w:rFonts w:hint="eastAsia" w:ascii="仿宋" w:hAnsi="仿宋" w:eastAsia="仿宋" w:cs="仿宋"/>
          <w:b/>
          <w:bCs/>
          <w:color w:val="auto"/>
          <w:sz w:val="28"/>
          <w:szCs w:val="28"/>
          <w:highlight w:val="none"/>
        </w:rPr>
        <w:t>开标一览表（报价表）</w:t>
      </w:r>
      <w:r>
        <w:rPr>
          <w:rFonts w:hint="eastAsia" w:ascii="仿宋" w:hAnsi="仿宋" w:eastAsia="仿宋" w:cs="仿宋"/>
          <w:b/>
          <w:bCs/>
          <w:color w:val="auto"/>
          <w:sz w:val="28"/>
          <w:szCs w:val="28"/>
          <w:highlight w:val="none"/>
          <w:lang w:eastAsia="zh-CN"/>
        </w:rPr>
        <w:t>（标项一、二分别报价）</w:t>
      </w:r>
    </w:p>
    <w:p>
      <w:pPr>
        <w:rPr>
          <w:rFonts w:hint="eastAsia" w:ascii="仿宋" w:hAnsi="仿宋" w:eastAsia="仿宋" w:cs="仿宋"/>
          <w:color w:val="auto"/>
          <w:szCs w:val="21"/>
          <w:highlight w:val="none"/>
          <w:u w:val="single"/>
        </w:rPr>
      </w:pPr>
    </w:p>
    <w:tbl>
      <w:tblPr>
        <w:tblStyle w:val="31"/>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3101"/>
        <w:gridCol w:w="163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874"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标</w:t>
            </w:r>
            <w:r>
              <w:rPr>
                <w:rFonts w:hint="eastAsia" w:ascii="仿宋" w:hAnsi="仿宋" w:eastAsia="仿宋" w:cs="仿宋"/>
                <w:b/>
                <w:color w:val="auto"/>
                <w:sz w:val="24"/>
                <w:szCs w:val="24"/>
                <w:highlight w:val="none"/>
                <w:lang w:eastAsia="zh-CN"/>
              </w:rPr>
              <w:t>项</w:t>
            </w:r>
            <w:r>
              <w:rPr>
                <w:rFonts w:hint="eastAsia" w:ascii="仿宋" w:hAnsi="仿宋" w:eastAsia="仿宋" w:cs="仿宋"/>
                <w:b/>
                <w:color w:val="auto"/>
                <w:sz w:val="24"/>
                <w:szCs w:val="24"/>
                <w:highlight w:val="none"/>
              </w:rPr>
              <w:t>号</w:t>
            </w:r>
          </w:p>
        </w:tc>
        <w:tc>
          <w:tcPr>
            <w:tcW w:w="3101"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标的内容</w:t>
            </w:r>
          </w:p>
        </w:tc>
        <w:tc>
          <w:tcPr>
            <w:tcW w:w="4803"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投标报价</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二年）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4"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p>
        </w:tc>
        <w:tc>
          <w:tcPr>
            <w:tcW w:w="3101"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p>
        </w:tc>
        <w:tc>
          <w:tcPr>
            <w:tcW w:w="1631"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小写</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元）</w:t>
            </w:r>
          </w:p>
        </w:tc>
        <w:tc>
          <w:tcPr>
            <w:tcW w:w="3172"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大写</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874"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p>
        </w:tc>
        <w:tc>
          <w:tcPr>
            <w:tcW w:w="3101"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color w:val="auto"/>
                <w:sz w:val="24"/>
                <w:szCs w:val="24"/>
                <w:highlight w:val="none"/>
              </w:rPr>
            </w:pPr>
          </w:p>
        </w:tc>
        <w:tc>
          <w:tcPr>
            <w:tcW w:w="1631" w:type="dxa"/>
            <w:vAlign w:val="center"/>
          </w:tcPr>
          <w:p>
            <w:pPr>
              <w:keepNext w:val="0"/>
              <w:keepLines w:val="0"/>
              <w:suppressLineNumbers w:val="0"/>
              <w:spacing w:before="0" w:beforeAutospacing="0" w:after="0" w:afterAutospacing="0" w:line="240" w:lineRule="auto"/>
              <w:ind w:left="0" w:right="0"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w:t>
            </w:r>
          </w:p>
        </w:tc>
        <w:tc>
          <w:tcPr>
            <w:tcW w:w="3172" w:type="dxa"/>
            <w:vAlign w:val="center"/>
          </w:tcPr>
          <w:p>
            <w:pPr>
              <w:keepNext w:val="0"/>
              <w:keepLines w:val="0"/>
              <w:suppressLineNumbers w:val="0"/>
              <w:spacing w:before="0" w:beforeAutospacing="0" w:after="0" w:afterAutospacing="0" w:line="700" w:lineRule="exact"/>
              <w:ind w:left="0" w:right="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人民币</w:t>
            </w:r>
          </w:p>
        </w:tc>
      </w:tr>
    </w:tbl>
    <w:p>
      <w:pPr>
        <w:rPr>
          <w:rFonts w:hint="eastAsia" w:ascii="仿宋" w:hAnsi="仿宋" w:eastAsia="仿宋" w:cs="仿宋"/>
          <w:i/>
          <w:color w:val="auto"/>
          <w:szCs w:val="21"/>
          <w:highlight w:val="none"/>
        </w:rPr>
      </w:pP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color w:val="auto"/>
          <w:kern w:val="0"/>
          <w:sz w:val="24"/>
          <w:szCs w:val="24"/>
          <w:highlight w:val="none"/>
          <w:lang w:val="zh-CN"/>
        </w:rPr>
        <w:t>注：</w:t>
      </w:r>
      <w:r>
        <w:rPr>
          <w:rFonts w:hint="eastAsia" w:ascii="仿宋" w:hAnsi="仿宋" w:eastAsia="仿宋" w:cs="仿宋"/>
          <w:color w:val="auto"/>
          <w:kern w:val="0"/>
          <w:sz w:val="24"/>
          <w:szCs w:val="24"/>
          <w:highlight w:val="none"/>
          <w:lang w:val="zh-CN"/>
        </w:rPr>
        <w:t>有关本项目实施所涉及的一切费用均计入报价。</w:t>
      </w:r>
      <w:r>
        <w:rPr>
          <w:rFonts w:hint="eastAsia" w:ascii="仿宋" w:hAnsi="仿宋" w:eastAsia="仿宋" w:cs="仿宋"/>
          <w:b/>
          <w:color w:val="auto"/>
          <w:kern w:val="0"/>
          <w:sz w:val="24"/>
          <w:szCs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szCs w:val="24"/>
          <w:highlight w:val="none"/>
          <w:lang w:val="zh-CN"/>
        </w:rPr>
        <w:t>，</w:t>
      </w:r>
      <w:r>
        <w:rPr>
          <w:rFonts w:hint="eastAsia" w:ascii="仿宋" w:hAnsi="仿宋" w:eastAsia="仿宋" w:cs="仿宋"/>
          <w:b/>
          <w:color w:val="auto"/>
          <w:kern w:val="0"/>
          <w:sz w:val="24"/>
          <w:szCs w:val="24"/>
          <w:highlight w:val="none"/>
          <w:lang w:val="zh-CN"/>
        </w:rPr>
        <w:t>不得出现“0元”“免费赠送”等形式的无偿报价，</w:t>
      </w:r>
      <w:r>
        <w:rPr>
          <w:rFonts w:hint="eastAsia" w:ascii="仿宋" w:hAnsi="仿宋" w:eastAsia="仿宋" w:cs="仿宋"/>
          <w:b/>
          <w:color w:val="auto"/>
          <w:kern w:val="0"/>
          <w:sz w:val="24"/>
          <w:szCs w:val="24"/>
          <w:highlight w:val="none"/>
        </w:rPr>
        <w:t>否则视为</w:t>
      </w:r>
      <w:r>
        <w:rPr>
          <w:rFonts w:hint="eastAsia" w:ascii="仿宋" w:hAnsi="仿宋" w:eastAsia="仿宋" w:cs="仿宋"/>
          <w:b/>
          <w:color w:val="auto"/>
          <w:sz w:val="24"/>
          <w:szCs w:val="24"/>
          <w:highlight w:val="none"/>
        </w:rPr>
        <w:t>投标文件含有采购人不能接受的附加条件的，投标无效</w:t>
      </w:r>
      <w:r>
        <w:rPr>
          <w:rFonts w:hint="eastAsia" w:ascii="仿宋" w:hAnsi="仿宋" w:eastAsia="仿宋" w:cs="仿宋"/>
          <w:b/>
          <w:color w:val="auto"/>
          <w:kern w:val="0"/>
          <w:sz w:val="24"/>
          <w:szCs w:val="24"/>
          <w:highlight w:val="none"/>
          <w:lang w:val="zh-CN"/>
        </w:rPr>
        <w:t>。</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仿宋" w:hAnsi="仿宋" w:eastAsia="仿宋" w:cs="仿宋"/>
          <w:color w:val="auto"/>
          <w:szCs w:val="21"/>
          <w:highlight w:val="none"/>
        </w:rPr>
      </w:pPr>
    </w:p>
    <w:p>
      <w:pPr>
        <w:spacing w:line="600" w:lineRule="exact"/>
        <w:ind w:right="48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投标人</w:t>
      </w:r>
      <w:r>
        <w:rPr>
          <w:rFonts w:hint="eastAsia" w:ascii="仿宋" w:hAnsi="仿宋" w:eastAsia="仿宋" w:cs="仿宋"/>
          <w:color w:val="auto"/>
          <w:szCs w:val="21"/>
          <w:highlight w:val="none"/>
        </w:rPr>
        <w:t>名称（电子签名）：</w:t>
      </w:r>
    </w:p>
    <w:p>
      <w:pPr>
        <w:spacing w:line="600" w:lineRule="exact"/>
        <w:jc w:val="righ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法定代表人或授权委托人签字：            </w:t>
      </w:r>
    </w:p>
    <w:p>
      <w:pPr>
        <w:spacing w:line="600" w:lineRule="exact"/>
        <w:jc w:val="righ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年    月     日</w:t>
      </w:r>
    </w:p>
    <w:p>
      <w:pPr>
        <w:rPr>
          <w:rFonts w:hint="eastAsia" w:ascii="仿宋" w:hAnsi="仿宋" w:eastAsia="仿宋" w:cs="仿宋"/>
          <w:b/>
          <w:color w:val="auto"/>
          <w:spacing w:val="6"/>
          <w:sz w:val="28"/>
          <w:szCs w:val="28"/>
          <w:highlight w:val="none"/>
        </w:rPr>
      </w:pPr>
      <w:r>
        <w:rPr>
          <w:rFonts w:hint="eastAsia" w:ascii="仿宋" w:hAnsi="仿宋" w:eastAsia="仿宋" w:cs="仿宋"/>
          <w:color w:val="auto"/>
          <w:sz w:val="21"/>
          <w:szCs w:val="21"/>
          <w:highlight w:val="none"/>
        </w:rPr>
        <w:br w:type="page"/>
      </w:r>
    </w:p>
    <w:p>
      <w:pPr>
        <w:snapToGrid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lang w:val="en-US" w:eastAsia="zh-CN"/>
        </w:rPr>
        <w:t>二、</w:t>
      </w:r>
      <w:r>
        <w:rPr>
          <w:rFonts w:hint="eastAsia" w:ascii="仿宋" w:hAnsi="仿宋" w:eastAsia="仿宋" w:cs="仿宋"/>
          <w:b/>
          <w:color w:val="auto"/>
          <w:spacing w:val="6"/>
          <w:sz w:val="32"/>
          <w:szCs w:val="32"/>
          <w:highlight w:val="none"/>
        </w:rPr>
        <w:t>投标人针对报价需要说明的其他文件和说明（格式自拟）</w:t>
      </w:r>
    </w:p>
    <w:p>
      <w:pPr>
        <w:spacing w:line="588" w:lineRule="exact"/>
        <w:rPr>
          <w:rFonts w:hint="eastAsia" w:ascii="仿宋" w:hAnsi="仿宋" w:eastAsia="仿宋" w:cs="仿宋"/>
          <w:color w:val="auto"/>
          <w:szCs w:val="21"/>
          <w:highlight w:val="none"/>
        </w:rPr>
      </w:pPr>
    </w:p>
    <w:p>
      <w:pPr>
        <w:rPr>
          <w:rFonts w:hint="eastAsia" w:ascii="仿宋" w:hAnsi="仿宋" w:eastAsia="仿宋" w:cs="仿宋"/>
          <w:color w:val="auto"/>
          <w:highlight w:val="none"/>
        </w:rPr>
      </w:pPr>
    </w:p>
    <w:p>
      <w:pPr>
        <w:pStyle w:val="3"/>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8"/>
        <w:keepNext w:val="0"/>
        <w:keepLines w:val="0"/>
        <w:pageBreakBefore w:val="0"/>
        <w:widowControl w:val="0"/>
        <w:kinsoku/>
        <w:wordWrap/>
        <w:overflowPunct/>
        <w:topLinePunct w:val="0"/>
        <w:autoSpaceDE/>
        <w:autoSpaceDN/>
        <w:bidi w:val="0"/>
        <w:adjustRightInd/>
        <w:snapToGrid/>
        <w:spacing w:before="157" w:beforeLines="50" w:line="440" w:lineRule="exact"/>
        <w:ind w:firstLine="360"/>
        <w:jc w:val="center"/>
        <w:textAlignment w:val="auto"/>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t>采购活动现场确认声明书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（此声明书投标文件中不用做，开标后供应商通过邮件形式将经授权代表签署的《采购活动现场确认声明书》扫描件发至代理机构经办人邮箱</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"mailto:360745117@qq.com"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lang w:eastAsia="zh-CN"/>
        </w:rPr>
        <w:t>1293656544@qq.com</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t>，联系人：</w:t>
      </w:r>
      <w:r>
        <w:rPr>
          <w:rFonts w:hint="eastAsia" w:ascii="仿宋" w:hAnsi="仿宋" w:eastAsia="仿宋" w:cs="仿宋"/>
          <w:color w:val="auto"/>
          <w:highlight w:val="none"/>
          <w:lang w:eastAsia="zh-CN"/>
        </w:rPr>
        <w:t>何嘉逸</w:t>
      </w:r>
      <w:r>
        <w:rPr>
          <w:rFonts w:hint="eastAsia" w:ascii="仿宋" w:hAnsi="仿宋" w:eastAsia="仿宋" w:cs="仿宋"/>
          <w:color w:val="auto"/>
          <w:highlight w:val="none"/>
        </w:rPr>
        <w:t>，电话：</w:t>
      </w:r>
      <w:r>
        <w:rPr>
          <w:rFonts w:hint="eastAsia" w:ascii="仿宋" w:hAnsi="仿宋" w:eastAsia="仿宋" w:cs="仿宋"/>
          <w:color w:val="auto"/>
          <w:highlight w:val="none"/>
          <w:lang w:eastAsia="zh-CN"/>
        </w:rPr>
        <w:t>15167557859</w:t>
      </w:r>
      <w:r>
        <w:rPr>
          <w:rFonts w:hint="eastAsia" w:ascii="仿宋" w:hAnsi="仿宋" w:eastAsia="仿宋" w:cs="仿宋"/>
          <w:color w:val="auto"/>
          <w:highlight w:val="none"/>
        </w:rPr>
        <w:t>）</w:t>
      </w:r>
    </w:p>
    <w:p>
      <w:pPr>
        <w:pStyle w:val="47"/>
        <w:keepNext w:val="0"/>
        <w:keepLines w:val="0"/>
        <w:pageBreakBefore w:val="0"/>
        <w:kinsoku/>
        <w:wordWrap/>
        <w:overflowPunct/>
        <w:topLinePunct w:val="0"/>
        <w:autoSpaceDE/>
        <w:autoSpaceDN/>
        <w:bidi w:val="0"/>
        <w:adjustRightInd/>
        <w:snapToGrid w:val="0"/>
        <w:spacing w:beforeLines="100" w:line="460" w:lineRule="exact"/>
        <w:textAlignment w:val="auto"/>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t>（采</w:t>
      </w:r>
      <w:r>
        <w:rPr>
          <w:rFonts w:hint="eastAsia" w:ascii="仿宋" w:hAnsi="仿宋" w:eastAsia="仿宋" w:cs="仿宋"/>
          <w:color w:val="auto"/>
          <w:kern w:val="0"/>
          <w:szCs w:val="24"/>
          <w:highlight w:val="none"/>
          <w:lang w:val="en-US" w:eastAsia="zh-CN"/>
        </w:rPr>
        <w:t>购代理</w:t>
      </w:r>
      <w:r>
        <w:rPr>
          <w:rFonts w:hint="eastAsia" w:ascii="仿宋" w:hAnsi="仿宋" w:eastAsia="仿宋" w:cs="仿宋"/>
          <w:color w:val="auto"/>
          <w:kern w:val="0"/>
          <w:szCs w:val="24"/>
          <w:highlight w:val="none"/>
        </w:rPr>
        <w:t>机构名称）：</w:t>
      </w:r>
    </w:p>
    <w:p>
      <w:pPr>
        <w:keepNext w:val="0"/>
        <w:keepLines w:val="0"/>
        <w:pageBreakBefore w:val="0"/>
        <w:tabs>
          <w:tab w:val="left" w:pos="9640"/>
        </w:tabs>
        <w:kinsoku/>
        <w:wordWrap/>
        <w:overflowPunct/>
        <w:topLinePunct w:val="0"/>
        <w:autoSpaceDE/>
        <w:autoSpaceDN/>
        <w:bidi w:val="0"/>
        <w:adjustRightInd/>
        <w:spacing w:line="460" w:lineRule="exact"/>
        <w:ind w:firstLine="504"/>
        <w:jc w:val="left"/>
        <w:textAlignment w:val="auto"/>
        <w:rPr>
          <w:rFonts w:hint="eastAsia" w:ascii="仿宋" w:hAnsi="仿宋" w:eastAsia="仿宋" w:cs="仿宋"/>
          <w:color w:val="auto"/>
          <w:spacing w:val="6"/>
          <w:highlight w:val="none"/>
        </w:rPr>
      </w:pPr>
      <w:r>
        <w:rPr>
          <w:rFonts w:hint="eastAsia" w:ascii="仿宋" w:hAnsi="仿宋" w:eastAsia="仿宋" w:cs="仿宋"/>
          <w:color w:val="auto"/>
          <w:spacing w:val="6"/>
          <w:highlight w:val="none"/>
        </w:rPr>
        <w:t xml:space="preserve"> 本人（授权代表姓名）经由（单位</w:t>
      </w:r>
      <w:r>
        <w:rPr>
          <w:rFonts w:hint="eastAsia" w:ascii="仿宋" w:hAnsi="仿宋" w:eastAsia="仿宋" w:cs="仿宋"/>
          <w:color w:val="auto"/>
          <w:spacing w:val="6"/>
          <w:highlight w:val="none"/>
          <w:lang w:val="en-US" w:eastAsia="zh-CN"/>
        </w:rPr>
        <w:t xml:space="preserve">         </w:t>
      </w:r>
      <w:r>
        <w:rPr>
          <w:rFonts w:hint="eastAsia" w:ascii="仿宋" w:hAnsi="仿宋" w:eastAsia="仿宋" w:cs="仿宋"/>
          <w:color w:val="auto"/>
          <w:spacing w:val="6"/>
          <w:highlight w:val="none"/>
        </w:rPr>
        <w:t>) （法定代表人姓名）合法授权参加</w:t>
      </w:r>
      <w:r>
        <w:rPr>
          <w:rFonts w:hint="eastAsia" w:ascii="仿宋" w:hAnsi="仿宋" w:eastAsia="仿宋" w:cs="仿宋"/>
          <w:color w:val="auto"/>
          <w:spacing w:val="6"/>
          <w:highlight w:val="none"/>
          <w:u w:val="single"/>
          <w:lang w:val="en-US" w:eastAsia="zh-CN"/>
        </w:rPr>
        <w:t xml:space="preserve">            </w:t>
      </w:r>
      <w:r>
        <w:rPr>
          <w:rFonts w:hint="eastAsia" w:ascii="仿宋" w:hAnsi="仿宋" w:eastAsia="仿宋" w:cs="仿宋"/>
          <w:color w:val="auto"/>
          <w:kern w:val="0"/>
          <w:highlight w:val="none"/>
          <w:u w:val="single"/>
        </w:rPr>
        <w:t>项目</w:t>
      </w:r>
      <w:r>
        <w:rPr>
          <w:rFonts w:hint="eastAsia" w:ascii="仿宋" w:hAnsi="仿宋" w:eastAsia="仿宋" w:cs="仿宋"/>
          <w:color w:val="auto"/>
          <w:spacing w:val="6"/>
          <w:highlight w:val="none"/>
        </w:rPr>
        <w:t>（</w:t>
      </w:r>
      <w:r>
        <w:rPr>
          <w:rFonts w:hint="eastAsia" w:ascii="仿宋" w:hAnsi="仿宋" w:eastAsia="仿宋" w:cs="仿宋"/>
          <w:color w:val="auto"/>
          <w:spacing w:val="6"/>
          <w:highlight w:val="none"/>
          <w:lang w:val="en-US" w:eastAsia="zh-CN"/>
        </w:rPr>
        <w:t>项目</w:t>
      </w:r>
      <w:r>
        <w:rPr>
          <w:rFonts w:hint="eastAsia" w:ascii="仿宋" w:hAnsi="仿宋" w:eastAsia="仿宋" w:cs="仿宋"/>
          <w:color w:val="auto"/>
          <w:spacing w:val="6"/>
          <w:highlight w:val="none"/>
        </w:rPr>
        <w:t>编号：</w:t>
      </w:r>
      <w:r>
        <w:rPr>
          <w:rFonts w:hint="eastAsia" w:ascii="仿宋" w:hAnsi="仿宋" w:eastAsia="仿宋" w:cs="仿宋"/>
          <w:color w:val="auto"/>
          <w:spacing w:val="6"/>
          <w:highlight w:val="none"/>
          <w:lang w:val="en-US" w:eastAsia="zh-CN"/>
        </w:rPr>
        <w:t xml:space="preserve">         </w:t>
      </w:r>
      <w:r>
        <w:rPr>
          <w:rFonts w:hint="eastAsia" w:ascii="仿宋" w:hAnsi="仿宋" w:eastAsia="仿宋" w:cs="仿宋"/>
          <w:color w:val="auto"/>
          <w:spacing w:val="6"/>
          <w:highlight w:val="none"/>
        </w:rPr>
        <w:t xml:space="preserve">）采购活动，经与本单位法人代表（负责人）联系确认，现就有关公平竞争事项郑重声明如下： </w:t>
      </w:r>
    </w:p>
    <w:p>
      <w:pPr>
        <w:pStyle w:val="48"/>
        <w:keepNext w:val="0"/>
        <w:keepLines w:val="0"/>
        <w:pageBreakBefore w:val="0"/>
        <w:widowControl/>
        <w:numPr>
          <w:ilvl w:val="0"/>
          <w:numId w:val="9"/>
        </w:numPr>
        <w:kinsoku/>
        <w:wordWrap/>
        <w:overflowPunct/>
        <w:topLinePunct w:val="0"/>
        <w:autoSpaceDE/>
        <w:autoSpaceDN/>
        <w:bidi w:val="0"/>
        <w:adjustRightInd/>
        <w:snapToGrid w:val="0"/>
        <w:spacing w:line="460" w:lineRule="exact"/>
        <w:ind w:firstLine="453" w:firstLineChars="189"/>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 xml:space="preserve">本单位与采购人之间 </w:t>
      </w:r>
      <w:r>
        <w:rPr>
          <w:rFonts w:hint="eastAsia" w:ascii="仿宋" w:hAnsi="仿宋" w:eastAsia="仿宋" w:cs="仿宋"/>
          <w:color w:val="auto"/>
          <w:kern w:val="0"/>
          <w:szCs w:val="24"/>
          <w:highlight w:val="none"/>
          <w:lang w:eastAsia="zh-CN"/>
        </w:rPr>
        <w:t>□</w:t>
      </w:r>
      <w:r>
        <w:rPr>
          <w:rFonts w:hint="eastAsia" w:ascii="仿宋" w:hAnsi="仿宋" w:eastAsia="仿宋" w:cs="仿宋"/>
          <w:color w:val="auto"/>
          <w:kern w:val="0"/>
          <w:szCs w:val="24"/>
          <w:highlight w:val="none"/>
        </w:rPr>
        <w:t>不存在利害关系 □存在下列利害关系：</w:t>
      </w:r>
    </w:p>
    <w:p>
      <w:pPr>
        <w:pStyle w:val="48"/>
        <w:keepNext w:val="0"/>
        <w:keepLines w:val="0"/>
        <w:pageBreakBefore w:val="0"/>
        <w:widowControl/>
        <w:kinsoku/>
        <w:wordWrap/>
        <w:overflowPunct/>
        <w:topLinePunct w:val="0"/>
        <w:autoSpaceDE/>
        <w:autoSpaceDN/>
        <w:bidi w:val="0"/>
        <w:adjustRightInd/>
        <w:snapToGrid w:val="0"/>
        <w:spacing w:line="460" w:lineRule="exact"/>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 xml:space="preserve">    A.投资关系    B.行政隶属关系    C.业务指导关系</w:t>
      </w:r>
    </w:p>
    <w:p>
      <w:pPr>
        <w:pStyle w:val="48"/>
        <w:keepNext w:val="0"/>
        <w:keepLines w:val="0"/>
        <w:pageBreakBefore w:val="0"/>
        <w:widowControl/>
        <w:kinsoku/>
        <w:wordWrap/>
        <w:overflowPunct/>
        <w:topLinePunct w:val="0"/>
        <w:autoSpaceDE/>
        <w:autoSpaceDN/>
        <w:bidi w:val="0"/>
        <w:adjustRightInd/>
        <w:snapToGrid w:val="0"/>
        <w:spacing w:line="460" w:lineRule="exact"/>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 xml:space="preserve">    D.其他可能</w:t>
      </w:r>
      <w:r>
        <w:rPr>
          <w:rFonts w:hint="eastAsia" w:ascii="仿宋" w:hAnsi="仿宋" w:eastAsia="仿宋" w:cs="仿宋"/>
          <w:color w:val="auto"/>
          <w:szCs w:val="24"/>
          <w:highlight w:val="none"/>
        </w:rPr>
        <w:t>影响采购公正的</w:t>
      </w:r>
      <w:r>
        <w:rPr>
          <w:rFonts w:hint="eastAsia" w:ascii="仿宋" w:hAnsi="仿宋" w:eastAsia="仿宋" w:cs="仿宋"/>
          <w:color w:val="auto"/>
          <w:kern w:val="0"/>
          <w:szCs w:val="24"/>
          <w:highlight w:val="none"/>
        </w:rPr>
        <w:t>利害关系</w:t>
      </w:r>
      <w:r>
        <w:rPr>
          <w:rFonts w:hint="eastAsia" w:ascii="仿宋" w:hAnsi="仿宋" w:eastAsia="仿宋" w:cs="仿宋"/>
          <w:color w:val="auto"/>
          <w:kern w:val="0"/>
          <w:szCs w:val="24"/>
          <w:highlight w:val="none"/>
          <w:u w:val="single"/>
        </w:rPr>
        <w:t>（如有，请如实说明）</w:t>
      </w:r>
      <w:r>
        <w:rPr>
          <w:rFonts w:hint="eastAsia" w:ascii="仿宋" w:hAnsi="仿宋" w:eastAsia="仿宋" w:cs="仿宋"/>
          <w:color w:val="auto"/>
          <w:kern w:val="0"/>
          <w:szCs w:val="24"/>
          <w:highlight w:val="none"/>
        </w:rPr>
        <w:t>。</w:t>
      </w:r>
    </w:p>
    <w:p>
      <w:pPr>
        <w:pStyle w:val="48"/>
        <w:keepNext w:val="0"/>
        <w:keepLines w:val="0"/>
        <w:pageBreakBefore w:val="0"/>
        <w:widowControl/>
        <w:kinsoku/>
        <w:wordWrap/>
        <w:overflowPunct/>
        <w:topLinePunct w:val="0"/>
        <w:autoSpaceDE/>
        <w:autoSpaceDN/>
        <w:bidi w:val="0"/>
        <w:adjustRightInd/>
        <w:snapToGrid w:val="0"/>
        <w:spacing w:line="460" w:lineRule="exact"/>
        <w:textAlignment w:val="auto"/>
        <w:rPr>
          <w:rFonts w:hint="eastAsia" w:ascii="仿宋" w:hAnsi="仿宋" w:eastAsia="仿宋" w:cs="仿宋"/>
          <w:color w:val="auto"/>
          <w:kern w:val="0"/>
          <w:szCs w:val="24"/>
          <w:highlight w:val="none"/>
        </w:rPr>
      </w:pPr>
      <w:r>
        <w:rPr>
          <w:rFonts w:hint="eastAsia" w:ascii="仿宋" w:hAnsi="仿宋" w:eastAsia="仿宋" w:cs="仿宋"/>
          <w:color w:val="auto"/>
          <w:spacing w:val="6"/>
          <w:szCs w:val="24"/>
          <w:highlight w:val="none"/>
        </w:rPr>
        <w:t xml:space="preserve">    二、</w:t>
      </w:r>
      <w:r>
        <w:rPr>
          <w:rFonts w:hint="eastAsia" w:ascii="仿宋" w:hAnsi="仿宋" w:eastAsia="仿宋" w:cs="仿宋"/>
          <w:color w:val="auto"/>
          <w:kern w:val="0"/>
          <w:szCs w:val="24"/>
          <w:highlight w:val="none"/>
        </w:rPr>
        <w:t>现已清楚知道参加本项目采购活动的其他所有供应商名称，本单位□与其他所有供应商之间均不存在利害关系 □与</w:t>
      </w:r>
      <w:r>
        <w:rPr>
          <w:rFonts w:hint="eastAsia" w:ascii="仿宋" w:hAnsi="仿宋" w:eastAsia="仿宋" w:cs="仿宋"/>
          <w:color w:val="auto"/>
          <w:kern w:val="0"/>
          <w:szCs w:val="24"/>
          <w:highlight w:val="none"/>
          <w:u w:val="single"/>
        </w:rPr>
        <w:t xml:space="preserve">                        （供应商名称) </w:t>
      </w:r>
      <w:r>
        <w:rPr>
          <w:rFonts w:hint="eastAsia" w:ascii="仿宋" w:hAnsi="仿宋" w:eastAsia="仿宋" w:cs="仿宋"/>
          <w:color w:val="auto"/>
          <w:kern w:val="0"/>
          <w:szCs w:val="24"/>
          <w:highlight w:val="none"/>
        </w:rPr>
        <w:t>之间存在下列利害关系：</w:t>
      </w:r>
    </w:p>
    <w:p>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 xml:space="preserve">    A.法定代表人或负责人或实际控制人是同一人</w:t>
      </w:r>
    </w:p>
    <w:p>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int="eastAsia" w:ascii="仿宋" w:hAnsi="仿宋" w:eastAsia="仿宋" w:cs="仿宋"/>
          <w:color w:val="auto"/>
          <w:spacing w:val="6"/>
          <w:szCs w:val="24"/>
          <w:highlight w:val="none"/>
        </w:rPr>
      </w:pPr>
      <w:r>
        <w:rPr>
          <w:rFonts w:hint="eastAsia" w:ascii="仿宋" w:hAnsi="仿宋" w:eastAsia="仿宋" w:cs="仿宋"/>
          <w:color w:val="auto"/>
          <w:kern w:val="0"/>
          <w:szCs w:val="24"/>
          <w:highlight w:val="none"/>
        </w:rPr>
        <w:t xml:space="preserve">    B.法定代表人或负责人或实际控制人是夫妻关系</w:t>
      </w:r>
    </w:p>
    <w:p>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int="eastAsia" w:ascii="仿宋" w:hAnsi="仿宋" w:eastAsia="仿宋" w:cs="仿宋"/>
          <w:color w:val="auto"/>
          <w:spacing w:val="6"/>
          <w:szCs w:val="24"/>
          <w:highlight w:val="none"/>
        </w:rPr>
      </w:pPr>
      <w:r>
        <w:rPr>
          <w:rFonts w:hint="eastAsia" w:ascii="仿宋" w:hAnsi="仿宋" w:eastAsia="仿宋" w:cs="仿宋"/>
          <w:color w:val="auto"/>
          <w:kern w:val="0"/>
          <w:szCs w:val="24"/>
          <w:highlight w:val="none"/>
        </w:rPr>
        <w:t xml:space="preserve">    C.法定代表人或负责人或实际控制人是直系血亲关系</w:t>
      </w:r>
    </w:p>
    <w:p>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int="eastAsia" w:ascii="仿宋" w:hAnsi="仿宋" w:eastAsia="仿宋" w:cs="仿宋"/>
          <w:color w:val="auto"/>
          <w:spacing w:val="6"/>
          <w:szCs w:val="24"/>
          <w:highlight w:val="none"/>
        </w:rPr>
      </w:pPr>
      <w:r>
        <w:rPr>
          <w:rFonts w:hint="eastAsia" w:ascii="仿宋" w:hAnsi="仿宋" w:eastAsia="仿宋" w:cs="仿宋"/>
          <w:color w:val="auto"/>
          <w:kern w:val="0"/>
          <w:szCs w:val="24"/>
          <w:highlight w:val="none"/>
        </w:rPr>
        <w:t xml:space="preserve">    D.法定代表人或负责人或实际控制人存在三代以内旁系血亲关系</w:t>
      </w:r>
    </w:p>
    <w:p>
      <w:pPr>
        <w:pStyle w:val="47"/>
        <w:keepNext w:val="0"/>
        <w:keepLines w:val="0"/>
        <w:pageBreakBefore w:val="0"/>
        <w:widowControl w:val="0"/>
        <w:kinsoku/>
        <w:wordWrap/>
        <w:overflowPunct/>
        <w:topLinePunct w:val="0"/>
        <w:autoSpaceDE/>
        <w:autoSpaceDN/>
        <w:bidi w:val="0"/>
        <w:adjustRightInd/>
        <w:snapToGrid w:val="0"/>
        <w:spacing w:line="460" w:lineRule="exact"/>
        <w:ind w:firstLine="480" w:firstLineChars="200"/>
        <w:jc w:val="both"/>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E.法定代表人或负责人或实际控制人存在近姻亲关系</w:t>
      </w:r>
    </w:p>
    <w:p>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 xml:space="preserve">    F.法定代表人或负责人或实际控制人存在股份控制或实际控制关系</w:t>
      </w:r>
    </w:p>
    <w:p>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outlineLvl w:val="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 xml:space="preserve">    G.存在共同直接或间接投资设立子公司、联营企业和合营企业情况</w:t>
      </w:r>
    </w:p>
    <w:p>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int="eastAsia" w:ascii="仿宋" w:hAnsi="仿宋" w:eastAsia="仿宋" w:cs="仿宋"/>
          <w:color w:val="auto"/>
          <w:szCs w:val="24"/>
          <w:highlight w:val="none"/>
        </w:rPr>
      </w:pPr>
      <w:r>
        <w:rPr>
          <w:rFonts w:hint="eastAsia" w:ascii="仿宋" w:hAnsi="仿宋" w:eastAsia="仿宋" w:cs="仿宋"/>
          <w:color w:val="auto"/>
          <w:kern w:val="0"/>
          <w:szCs w:val="24"/>
          <w:highlight w:val="none"/>
        </w:rPr>
        <w:t xml:space="preserve">    H.存在分级代理或代销关系、同一生产制造商关系、</w:t>
      </w:r>
      <w:r>
        <w:rPr>
          <w:rFonts w:hint="eastAsia" w:ascii="仿宋" w:hAnsi="仿宋" w:eastAsia="仿宋" w:cs="仿宋"/>
          <w:color w:val="auto"/>
          <w:szCs w:val="24"/>
          <w:highlight w:val="none"/>
        </w:rPr>
        <w:t>管理关系、重要业务（占主营业务收入50%以上）或重要财务往来关系（如融资）等其他实质性控制关系</w:t>
      </w:r>
    </w:p>
    <w:p>
      <w:pPr>
        <w:pStyle w:val="47"/>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int="eastAsia" w:ascii="仿宋" w:hAnsi="仿宋" w:eastAsia="仿宋" w:cs="仿宋"/>
          <w:color w:val="auto"/>
          <w:spacing w:val="6"/>
          <w:szCs w:val="24"/>
          <w:highlight w:val="none"/>
        </w:rPr>
      </w:pPr>
      <w:r>
        <w:rPr>
          <w:rFonts w:hint="eastAsia" w:ascii="仿宋" w:hAnsi="仿宋" w:eastAsia="仿宋" w:cs="仿宋"/>
          <w:color w:val="auto"/>
          <w:szCs w:val="24"/>
          <w:highlight w:val="none"/>
        </w:rPr>
        <w:t xml:space="preserve">    I</w:t>
      </w:r>
      <w:r>
        <w:rPr>
          <w:rFonts w:hint="eastAsia" w:ascii="仿宋" w:hAnsi="仿宋" w:eastAsia="仿宋" w:cs="仿宋"/>
          <w:color w:val="auto"/>
          <w:kern w:val="0"/>
          <w:szCs w:val="24"/>
          <w:highlight w:val="none"/>
        </w:rPr>
        <w:t>.</w:t>
      </w:r>
      <w:r>
        <w:rPr>
          <w:rFonts w:hint="eastAsia" w:ascii="仿宋" w:hAnsi="仿宋" w:eastAsia="仿宋" w:cs="仿宋"/>
          <w:color w:val="auto"/>
          <w:szCs w:val="24"/>
          <w:highlight w:val="none"/>
        </w:rPr>
        <w:t>其他利害关系情况</w:t>
      </w:r>
      <w:r>
        <w:rPr>
          <w:rFonts w:hint="eastAsia" w:ascii="仿宋" w:hAnsi="仿宋" w:eastAsia="仿宋" w:cs="仿宋"/>
          <w:color w:val="auto"/>
          <w:kern w:val="0"/>
          <w:szCs w:val="24"/>
          <w:highlight w:val="none"/>
        </w:rPr>
        <w:t>。</w:t>
      </w:r>
    </w:p>
    <w:p>
      <w:pPr>
        <w:pStyle w:val="48"/>
        <w:keepNext w:val="0"/>
        <w:keepLines w:val="0"/>
        <w:pageBreakBefore w:val="0"/>
        <w:widowControl/>
        <w:numPr>
          <w:ilvl w:val="0"/>
          <w:numId w:val="10"/>
        </w:numPr>
        <w:kinsoku/>
        <w:wordWrap/>
        <w:overflowPunct/>
        <w:topLinePunct w:val="0"/>
        <w:autoSpaceDE/>
        <w:autoSpaceDN/>
        <w:bidi w:val="0"/>
        <w:adjustRightInd/>
        <w:snapToGrid w:val="0"/>
        <w:spacing w:line="460" w:lineRule="exact"/>
        <w:ind w:firstLine="453" w:firstLineChars="189"/>
        <w:textAlignment w:val="auto"/>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我发现</w:t>
      </w:r>
      <w:r>
        <w:rPr>
          <w:rFonts w:hint="eastAsia" w:ascii="仿宋" w:hAnsi="仿宋" w:eastAsia="仿宋" w:cs="仿宋"/>
          <w:color w:val="auto"/>
          <w:kern w:val="0"/>
          <w:szCs w:val="24"/>
          <w:highlight w:val="none"/>
          <w:u w:val="single"/>
          <w:lang w:val="en-US" w:eastAsia="zh-CN"/>
        </w:rPr>
        <w:t xml:space="preserve">        </w:t>
      </w:r>
      <w:r>
        <w:rPr>
          <w:rFonts w:hint="eastAsia" w:ascii="仿宋" w:hAnsi="仿宋" w:eastAsia="仿宋" w:cs="仿宋"/>
          <w:color w:val="auto"/>
          <w:kern w:val="0"/>
          <w:szCs w:val="24"/>
          <w:highlight w:val="none"/>
        </w:rPr>
        <w:t>供应商之间存在或可能存在上述第二条第</w:t>
      </w:r>
      <w:r>
        <w:rPr>
          <w:rFonts w:hint="eastAsia" w:ascii="仿宋" w:hAnsi="仿宋" w:eastAsia="仿宋" w:cs="仿宋"/>
          <w:color w:val="auto"/>
          <w:kern w:val="0"/>
          <w:szCs w:val="24"/>
          <w:highlight w:val="none"/>
          <w:u w:val="single"/>
          <w:lang w:val="en-US" w:eastAsia="zh-CN"/>
        </w:rPr>
        <w:t xml:space="preserve">    </w:t>
      </w:r>
      <w:r>
        <w:rPr>
          <w:rFonts w:hint="eastAsia" w:ascii="仿宋" w:hAnsi="仿宋" w:eastAsia="仿宋" w:cs="仿宋"/>
          <w:color w:val="auto"/>
          <w:kern w:val="0"/>
          <w:szCs w:val="24"/>
          <w:highlight w:val="none"/>
        </w:rPr>
        <w:t>项利害关系。</w:t>
      </w:r>
    </w:p>
    <w:p>
      <w:pPr>
        <w:pStyle w:val="47"/>
        <w:widowControl w:val="0"/>
        <w:snapToGrid w:val="0"/>
        <w:spacing w:line="500" w:lineRule="exact"/>
        <w:ind w:firstLine="480" w:firstLineChars="200"/>
        <w:jc w:val="center"/>
        <w:rPr>
          <w:rFonts w:hint="eastAsia" w:ascii="仿宋" w:hAnsi="仿宋" w:eastAsia="仿宋" w:cs="仿宋"/>
          <w:color w:val="auto"/>
          <w:szCs w:val="24"/>
          <w:highlight w:val="none"/>
        </w:rPr>
      </w:pPr>
    </w:p>
    <w:p>
      <w:pPr>
        <w:pStyle w:val="47"/>
        <w:widowControl w:val="0"/>
        <w:snapToGrid w:val="0"/>
        <w:spacing w:line="500" w:lineRule="exact"/>
        <w:ind w:firstLine="480" w:firstLineChars="20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供应商代表签名：</w:t>
      </w:r>
    </w:p>
    <w:p>
      <w:pPr>
        <w:adjustRightInd w:val="0"/>
        <w:ind w:firstLine="0" w:firstLineChars="0"/>
        <w:jc w:val="left"/>
        <w:rPr>
          <w:rFonts w:hint="eastAsia" w:ascii="仿宋" w:hAnsi="仿宋" w:eastAsia="仿宋" w:cs="仿宋"/>
          <w:b/>
          <w:color w:val="auto"/>
          <w:spacing w:val="6"/>
          <w:sz w:val="32"/>
          <w:szCs w:val="32"/>
          <w:highlight w:val="none"/>
        </w:rPr>
      </w:pPr>
    </w:p>
    <w:p>
      <w:pPr>
        <w:adjustRightInd w:val="0"/>
        <w:ind w:firstLine="0" w:firstLineChars="0"/>
        <w:jc w:val="left"/>
        <w:rPr>
          <w:rFonts w:hint="eastAsia" w:ascii="仿宋" w:hAnsi="仿宋" w:eastAsia="仿宋" w:cs="仿宋"/>
          <w:b/>
          <w:color w:val="auto"/>
          <w:spacing w:val="6"/>
          <w:sz w:val="32"/>
          <w:szCs w:val="32"/>
          <w:highlight w:val="none"/>
        </w:rPr>
      </w:pPr>
    </w:p>
    <w:p>
      <w:pPr>
        <w:adjustRightInd w:val="0"/>
        <w:ind w:firstLine="0" w:firstLineChars="0"/>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一、质疑供应商基本信息</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质疑供应商：</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地址：邮编：</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联系人：联系电话：</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地址：邮编：</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二、质疑项目基本情况</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质疑项目的编号：包号：</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采购人名称：</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采购文件获取日期：</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三、质疑事项具体内容</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质疑事项1：</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法律依据：</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质疑事项2</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四、与质疑事项相关的质疑请求</w:t>
      </w:r>
    </w:p>
    <w:p>
      <w:pPr>
        <w:keepNext w:val="0"/>
        <w:keepLines w:val="0"/>
        <w:pageBreakBefore w:val="0"/>
        <w:kinsoku/>
        <w:wordWrap/>
        <w:overflowPunct/>
        <w:topLinePunct w:val="0"/>
        <w:autoSpaceDE/>
        <w:autoSpaceDN/>
        <w:bidi w:val="0"/>
        <w:adjustRightInd w:val="0"/>
        <w:snapToGrid w:val="0"/>
        <w:spacing w:line="400" w:lineRule="exact"/>
        <w:ind w:firstLine="0" w:firstLineChars="0"/>
        <w:textAlignment w:val="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请求：</w:t>
      </w:r>
    </w:p>
    <w:p>
      <w:pPr>
        <w:keepNext w:val="0"/>
        <w:keepLines w:val="0"/>
        <w:pageBreakBefore w:val="0"/>
        <w:kinsoku/>
        <w:wordWrap/>
        <w:overflowPunct/>
        <w:topLinePunct w:val="0"/>
        <w:autoSpaceDE/>
        <w:autoSpaceDN/>
        <w:bidi w:val="0"/>
        <w:adjustRightInd w:val="0"/>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签字(签章)：公章：</w:t>
      </w:r>
    </w:p>
    <w:p>
      <w:pPr>
        <w:keepNext w:val="0"/>
        <w:keepLines w:val="0"/>
        <w:pageBreakBefore w:val="0"/>
        <w:kinsoku/>
        <w:wordWrap/>
        <w:overflowPunct/>
        <w:topLinePunct w:val="0"/>
        <w:autoSpaceDE/>
        <w:autoSpaceDN/>
        <w:bidi w:val="0"/>
        <w:adjustRightInd w:val="0"/>
        <w:spacing w:line="400" w:lineRule="exact"/>
        <w:ind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日期：</w:t>
      </w:r>
    </w:p>
    <w:p>
      <w:pPr>
        <w:keepNext w:val="0"/>
        <w:keepLines w:val="0"/>
        <w:pageBreakBefore w:val="0"/>
        <w:kinsoku/>
        <w:wordWrap/>
        <w:overflowPunct/>
        <w:topLinePunct w:val="0"/>
        <w:autoSpaceDE/>
        <w:autoSpaceDN/>
        <w:bidi w:val="0"/>
        <w:adjustRightInd w:val="0"/>
        <w:spacing w:line="400" w:lineRule="exact"/>
        <w:ind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质疑函制作说明：</w:t>
      </w:r>
    </w:p>
    <w:p>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1.供应商提出质疑时，应提交质疑函和必要的证明材料。</w:t>
      </w:r>
    </w:p>
    <w:p>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szCs w:val="24"/>
          <w:highlight w:val="none"/>
        </w:rPr>
        <w:t>供应商签署的授权委托书。授权委托书应载明代理人的姓名或者名称、代理事项、具体权限、期限和相关事项。</w:t>
      </w:r>
    </w:p>
    <w:p>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3.质疑供应商若对项目的某一分包进行质疑，质疑函中应列明具体分包号。</w:t>
      </w:r>
    </w:p>
    <w:p>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4.质疑函的质疑事项应具体、明确，并有必要的事实依据和法律依据。</w:t>
      </w:r>
    </w:p>
    <w:p>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5.质疑函的质疑请求应与质疑事项相关。</w:t>
      </w:r>
    </w:p>
    <w:p>
      <w:pPr>
        <w:keepNext w:val="0"/>
        <w:keepLines w:val="0"/>
        <w:pageBreakBefore w:val="0"/>
        <w:widowControl/>
        <w:kinsoku/>
        <w:wordWrap/>
        <w:overflowPunct/>
        <w:topLinePunct w:val="0"/>
        <w:autoSpaceDE/>
        <w:autoSpaceDN/>
        <w:bidi w:val="0"/>
        <w:adjustRightInd w:val="0"/>
        <w:spacing w:line="400" w:lineRule="exact"/>
        <w:ind w:firstLine="48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6.质疑供应商为自然人的，质疑函应由本人签字；质疑供应商为法人或者其他组织的，质疑函应由法定代表人、主要负责人，或者其授权代表签字或者盖章，并加盖公章。    </w:t>
      </w:r>
      <w:bookmarkEnd w:id="33"/>
      <w:bookmarkEnd w:id="34"/>
      <w:bookmarkEnd w:id="35"/>
    </w:p>
    <w:p>
      <w:pPr>
        <w:pStyle w:val="38"/>
        <w:rPr>
          <w:rFonts w:hint="eastAsia" w:ascii="仿宋" w:hAnsi="仿宋" w:eastAsia="仿宋" w:cs="仿宋"/>
          <w:color w:val="auto"/>
          <w:sz w:val="24"/>
          <w:szCs w:val="24"/>
          <w:highlight w:val="none"/>
        </w:rPr>
      </w:pPr>
    </w:p>
    <w:p>
      <w:pPr>
        <w:pStyle w:val="39"/>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rPr>
          <w:rFonts w:hint="eastAsia" w:ascii="仿宋" w:hAnsi="仿宋" w:eastAsia="仿宋" w:cs="仿宋"/>
          <w:color w:val="auto"/>
          <w:highlight w:val="none"/>
        </w:rPr>
      </w:pPr>
    </w:p>
    <w:sectPr>
      <w:headerReference r:id="rId5" w:type="default"/>
      <w:footerReference r:id="rId6" w:type="default"/>
      <w:pgSz w:w="11906" w:h="16838"/>
      <w:pgMar w:top="1134" w:right="1289" w:bottom="1134" w:left="1797" w:header="851" w:footer="851"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
    <w:altName w:val="GENISO"/>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GENISO">
    <w:panose1 w:val="02000400000000000000"/>
    <w:charset w:val="00"/>
    <w:family w:val="auto"/>
    <w:pitch w:val="default"/>
    <w:sig w:usb0="00000003" w:usb1="00000000" w:usb2="00000040" w:usb3="00000000" w:csb0="0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59"/>
      <w:docPartObj>
        <w:docPartGallery w:val="autotext"/>
      </w:docPartObj>
    </w:sdtPr>
    <w:sdtContent>
      <w:p>
        <w:pPr>
          <w:pStyle w:val="19"/>
          <w:jc w:val="center"/>
          <w:rPr>
            <w:rFonts w:hint="default"/>
            <w:lang w:val="en-US" w:eastAsia="zh-CN"/>
          </w:rPr>
        </w:pPr>
        <w:r>
          <w:fldChar w:fldCharType="begin"/>
        </w:r>
        <w:r>
          <w:instrText xml:space="preserve"> PAGE   \* MERGEFORMAT </w:instrText>
        </w:r>
        <w:r>
          <w:fldChar w:fldCharType="separate"/>
        </w:r>
        <w:r>
          <w:rPr>
            <w:lang w:val="zh-CN"/>
          </w:rPr>
          <w:t>31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34</w:t>
                    </w:r>
                    <w:r>
                      <w:fldChar w:fldCharType="end"/>
                    </w:r>
                  </w:p>
                </w:txbxContent>
              </v:textbox>
            </v:shape>
          </w:pict>
        </mc:Fallback>
      </mc:AlternateContent>
    </w:r>
    <w:r>
      <w:rPr>
        <w:rFonts w:hint="eastAsia" w:ascii="宋体" w:hAnsi="宋体" w:eastAsia="宋体" w:cs="宋体"/>
        <w:sz w:val="18"/>
        <w:szCs w:val="18"/>
        <w:u w:val="single"/>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rPr>
        <w:rFonts w:hint="default" w:ascii="宋体" w:hAnsi="宋体" w:eastAsia="宋体" w:cs="宋体"/>
        <w:color w:val="auto"/>
        <w:sz w:val="18"/>
        <w:szCs w:val="18"/>
        <w:u w:val="none"/>
        <w:lang w:val="en-US"/>
      </w:rPr>
    </w:pPr>
    <w:r>
      <w:rPr>
        <w:rFonts w:hint="eastAsia" w:ascii="宋体" w:hAnsi="宋体" w:eastAsia="宋体" w:cs="宋体"/>
        <w:color w:val="auto"/>
        <w:sz w:val="18"/>
        <w:szCs w:val="18"/>
        <w:highlight w:val="none"/>
        <w:u w:val="none"/>
        <w:lang w:val="en-US" w:eastAsia="zh-CN"/>
      </w:rPr>
      <w:t>浙江华耀建设咨询有限公司                                           招标编号  ZJHY-SZ2025004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pPr>
    <w:r>
      <w:rPr>
        <w:rFonts w:hint="eastAsia" w:ascii="宋体" w:hAnsi="宋体" w:eastAsia="宋体" w:cs="宋体"/>
        <w:color w:val="auto"/>
        <w:sz w:val="18"/>
        <w:szCs w:val="18"/>
        <w:highlight w:val="none"/>
        <w:u w:val="none"/>
        <w:lang w:val="en-US" w:eastAsia="zh-CN"/>
      </w:rPr>
      <w:t>浙江华耀建设咨询有限公司                                                  招标编号  ZJHY-SZ2025004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31DEDF"/>
    <w:multiLevelType w:val="multilevel"/>
    <w:tmpl w:val="A731DEDF"/>
    <w:lvl w:ilvl="0" w:tentative="0">
      <w:start w:val="4"/>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D16E957A"/>
    <w:multiLevelType w:val="singleLevel"/>
    <w:tmpl w:val="D16E957A"/>
    <w:lvl w:ilvl="0" w:tentative="0">
      <w:start w:val="1"/>
      <w:numFmt w:val="decimal"/>
      <w:lvlText w:val="%1."/>
      <w:lvlJc w:val="left"/>
      <w:pPr>
        <w:tabs>
          <w:tab w:val="left" w:pos="312"/>
        </w:tabs>
      </w:pPr>
    </w:lvl>
  </w:abstractNum>
  <w:abstractNum w:abstractNumId="2">
    <w:nsid w:val="FDBDBD64"/>
    <w:multiLevelType w:val="singleLevel"/>
    <w:tmpl w:val="FDBDBD64"/>
    <w:lvl w:ilvl="0" w:tentative="0">
      <w:start w:val="1"/>
      <w:numFmt w:val="decimal"/>
      <w:pStyle w:val="14"/>
      <w:lvlText w:val="%1."/>
      <w:lvlJc w:val="left"/>
      <w:pPr>
        <w:tabs>
          <w:tab w:val="left" w:pos="1200"/>
        </w:tabs>
        <w:ind w:left="1200" w:hanging="360"/>
      </w:pPr>
    </w:lvl>
  </w:abstractNum>
  <w:abstractNum w:abstractNumId="3">
    <w:nsid w:val="FFFFFF88"/>
    <w:multiLevelType w:val="singleLevel"/>
    <w:tmpl w:val="FFFFFF88"/>
    <w:lvl w:ilvl="0" w:tentative="0">
      <w:start w:val="1"/>
      <w:numFmt w:val="decimal"/>
      <w:pStyle w:val="8"/>
      <w:lvlText w:val="%1."/>
      <w:lvlJc w:val="left"/>
      <w:pPr>
        <w:tabs>
          <w:tab w:val="left" w:pos="360"/>
        </w:tabs>
        <w:ind w:left="360" w:hanging="360" w:hangingChars="200"/>
      </w:pPr>
    </w:lvl>
  </w:abstractNum>
  <w:abstractNum w:abstractNumId="4">
    <w:nsid w:val="00000000"/>
    <w:multiLevelType w:val="singleLevel"/>
    <w:tmpl w:val="00000000"/>
    <w:lvl w:ilvl="0" w:tentative="0">
      <w:start w:val="1"/>
      <w:numFmt w:val="decimal"/>
      <w:suff w:val="nothing"/>
      <w:lvlText w:val="（%1）"/>
      <w:lvlJc w:val="left"/>
    </w:lvl>
  </w:abstractNum>
  <w:abstractNum w:abstractNumId="5">
    <w:nsid w:val="00000006"/>
    <w:multiLevelType w:val="multilevel"/>
    <w:tmpl w:val="00000006"/>
    <w:lvl w:ilvl="0" w:tentative="0">
      <w:start w:val="1"/>
      <w:numFmt w:val="decimal"/>
      <w:lvlText w:val="%1."/>
      <w:lvlJc w:val="left"/>
      <w:pPr>
        <w:tabs>
          <w:tab w:val="left" w:pos="902"/>
        </w:tabs>
        <w:ind w:left="1052" w:hanging="420"/>
      </w:pPr>
    </w:lvl>
    <w:lvl w:ilvl="1" w:tentative="0">
      <w:start w:val="1"/>
      <w:numFmt w:val="lowerLetter"/>
      <w:lvlText w:val="%2)"/>
      <w:lvlJc w:val="left"/>
      <w:pPr>
        <w:tabs>
          <w:tab w:val="left" w:pos="1322"/>
        </w:tabs>
        <w:ind w:left="1472" w:hanging="420"/>
      </w:pPr>
    </w:lvl>
    <w:lvl w:ilvl="2" w:tentative="0">
      <w:start w:val="1"/>
      <w:numFmt w:val="lowerRoman"/>
      <w:lvlText w:val="%3."/>
      <w:lvlJc w:val="right"/>
      <w:pPr>
        <w:tabs>
          <w:tab w:val="left" w:pos="1742"/>
        </w:tabs>
        <w:ind w:left="1892" w:hanging="420"/>
      </w:pPr>
    </w:lvl>
    <w:lvl w:ilvl="3" w:tentative="0">
      <w:start w:val="1"/>
      <w:numFmt w:val="decimal"/>
      <w:lvlText w:val="%4."/>
      <w:lvlJc w:val="left"/>
      <w:pPr>
        <w:tabs>
          <w:tab w:val="left" w:pos="2162"/>
        </w:tabs>
        <w:ind w:left="2312" w:hanging="420"/>
      </w:pPr>
    </w:lvl>
    <w:lvl w:ilvl="4" w:tentative="0">
      <w:start w:val="1"/>
      <w:numFmt w:val="lowerLetter"/>
      <w:lvlText w:val="%5)"/>
      <w:lvlJc w:val="left"/>
      <w:pPr>
        <w:tabs>
          <w:tab w:val="left" w:pos="2582"/>
        </w:tabs>
        <w:ind w:left="2732" w:hanging="420"/>
      </w:pPr>
    </w:lvl>
    <w:lvl w:ilvl="5" w:tentative="0">
      <w:start w:val="1"/>
      <w:numFmt w:val="lowerRoman"/>
      <w:lvlText w:val="%6."/>
      <w:lvlJc w:val="right"/>
      <w:pPr>
        <w:tabs>
          <w:tab w:val="left" w:pos="3002"/>
        </w:tabs>
        <w:ind w:left="3152" w:hanging="420"/>
      </w:pPr>
    </w:lvl>
    <w:lvl w:ilvl="6" w:tentative="0">
      <w:start w:val="1"/>
      <w:numFmt w:val="decimal"/>
      <w:lvlText w:val="%7."/>
      <w:lvlJc w:val="left"/>
      <w:pPr>
        <w:tabs>
          <w:tab w:val="left" w:pos="3422"/>
        </w:tabs>
        <w:ind w:left="3572" w:hanging="420"/>
      </w:pPr>
    </w:lvl>
    <w:lvl w:ilvl="7" w:tentative="0">
      <w:start w:val="1"/>
      <w:numFmt w:val="lowerLetter"/>
      <w:lvlText w:val="%8)"/>
      <w:lvlJc w:val="left"/>
      <w:pPr>
        <w:tabs>
          <w:tab w:val="left" w:pos="3842"/>
        </w:tabs>
        <w:ind w:left="3992" w:hanging="420"/>
      </w:pPr>
    </w:lvl>
    <w:lvl w:ilvl="8" w:tentative="0">
      <w:start w:val="1"/>
      <w:numFmt w:val="lowerRoman"/>
      <w:lvlText w:val="%9."/>
      <w:lvlJc w:val="right"/>
      <w:pPr>
        <w:tabs>
          <w:tab w:val="left" w:pos="4262"/>
        </w:tabs>
        <w:ind w:left="4412" w:hanging="420"/>
      </w:pPr>
    </w:lvl>
  </w:abstractNum>
  <w:abstractNum w:abstractNumId="6">
    <w:nsid w:val="37DF4A40"/>
    <w:multiLevelType w:val="singleLevel"/>
    <w:tmpl w:val="37DF4A40"/>
    <w:lvl w:ilvl="0" w:tentative="0">
      <w:start w:val="1"/>
      <w:numFmt w:val="decimal"/>
      <w:pStyle w:val="6"/>
      <w:lvlText w:val="%1."/>
      <w:lvlJc w:val="left"/>
      <w:pPr>
        <w:tabs>
          <w:tab w:val="left" w:pos="780"/>
        </w:tabs>
        <w:ind w:left="780" w:hanging="360"/>
      </w:pPr>
    </w:lvl>
  </w:abstractNum>
  <w:abstractNum w:abstractNumId="7">
    <w:nsid w:val="54F403B5"/>
    <w:multiLevelType w:val="singleLevel"/>
    <w:tmpl w:val="54F403B5"/>
    <w:lvl w:ilvl="0" w:tentative="0">
      <w:start w:val="1"/>
      <w:numFmt w:val="chineseCounting"/>
      <w:suff w:val="nothing"/>
      <w:lvlText w:val="%1、"/>
      <w:lvlJc w:val="left"/>
    </w:lvl>
  </w:abstractNum>
  <w:abstractNum w:abstractNumId="8">
    <w:nsid w:val="557FD3DA"/>
    <w:multiLevelType w:val="singleLevel"/>
    <w:tmpl w:val="557FD3DA"/>
    <w:lvl w:ilvl="0" w:tentative="0">
      <w:start w:val="3"/>
      <w:numFmt w:val="chineseCounting"/>
      <w:suff w:val="nothing"/>
      <w:lvlText w:val="%1、"/>
      <w:lvlJc w:val="left"/>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1"/>
  </w:num>
  <w:num w:numId="5">
    <w:abstractNumId w:val="0"/>
  </w:num>
  <w:num w:numId="6">
    <w:abstractNumId w:val="9"/>
  </w:num>
  <w:num w:numId="7">
    <w:abstractNumId w:val="5"/>
  </w:num>
  <w:num w:numId="8">
    <w:abstractNumId w:val="4"/>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5MWE4ZDUwYTYwNTE2NTMwMjNiZjI1M2ZjNjgyMzAifQ=="/>
  </w:docVars>
  <w:rsids>
    <w:rsidRoot w:val="00013255"/>
    <w:rsid w:val="00013255"/>
    <w:rsid w:val="000166EB"/>
    <w:rsid w:val="00027CDF"/>
    <w:rsid w:val="00031F0D"/>
    <w:rsid w:val="00043144"/>
    <w:rsid w:val="0006409E"/>
    <w:rsid w:val="00086AAA"/>
    <w:rsid w:val="00092509"/>
    <w:rsid w:val="000943F3"/>
    <w:rsid w:val="000973F2"/>
    <w:rsid w:val="000B50C7"/>
    <w:rsid w:val="000C40D6"/>
    <w:rsid w:val="000D068E"/>
    <w:rsid w:val="000E6478"/>
    <w:rsid w:val="000E675B"/>
    <w:rsid w:val="000F4900"/>
    <w:rsid w:val="00102456"/>
    <w:rsid w:val="00102B2E"/>
    <w:rsid w:val="001030B5"/>
    <w:rsid w:val="00104201"/>
    <w:rsid w:val="00105D32"/>
    <w:rsid w:val="00110BBD"/>
    <w:rsid w:val="00115618"/>
    <w:rsid w:val="00123322"/>
    <w:rsid w:val="001317C1"/>
    <w:rsid w:val="00137B84"/>
    <w:rsid w:val="00154675"/>
    <w:rsid w:val="00162152"/>
    <w:rsid w:val="00166961"/>
    <w:rsid w:val="001746B3"/>
    <w:rsid w:val="0018391E"/>
    <w:rsid w:val="001A3BFF"/>
    <w:rsid w:val="001A4F04"/>
    <w:rsid w:val="001A5B05"/>
    <w:rsid w:val="001C21D2"/>
    <w:rsid w:val="001D18AB"/>
    <w:rsid w:val="001D1961"/>
    <w:rsid w:val="001F18E2"/>
    <w:rsid w:val="001F290D"/>
    <w:rsid w:val="001F3B77"/>
    <w:rsid w:val="00203F43"/>
    <w:rsid w:val="00204F87"/>
    <w:rsid w:val="00216F62"/>
    <w:rsid w:val="00236524"/>
    <w:rsid w:val="00242DD9"/>
    <w:rsid w:val="00247EB6"/>
    <w:rsid w:val="00252247"/>
    <w:rsid w:val="00254D60"/>
    <w:rsid w:val="0025786A"/>
    <w:rsid w:val="00262733"/>
    <w:rsid w:val="00270620"/>
    <w:rsid w:val="00270BB0"/>
    <w:rsid w:val="00273880"/>
    <w:rsid w:val="00285358"/>
    <w:rsid w:val="0029345F"/>
    <w:rsid w:val="002A0D94"/>
    <w:rsid w:val="002C0859"/>
    <w:rsid w:val="002C2CAD"/>
    <w:rsid w:val="002E2146"/>
    <w:rsid w:val="002E59DF"/>
    <w:rsid w:val="00303F39"/>
    <w:rsid w:val="00320871"/>
    <w:rsid w:val="00323BD2"/>
    <w:rsid w:val="00363D1B"/>
    <w:rsid w:val="00386EBE"/>
    <w:rsid w:val="00387933"/>
    <w:rsid w:val="00387BC4"/>
    <w:rsid w:val="003A2D9E"/>
    <w:rsid w:val="003A5417"/>
    <w:rsid w:val="003B3EF0"/>
    <w:rsid w:val="003D5573"/>
    <w:rsid w:val="003E4683"/>
    <w:rsid w:val="004277C9"/>
    <w:rsid w:val="00446222"/>
    <w:rsid w:val="00455712"/>
    <w:rsid w:val="00461122"/>
    <w:rsid w:val="00462249"/>
    <w:rsid w:val="004B7001"/>
    <w:rsid w:val="004D4BD3"/>
    <w:rsid w:val="004D65B1"/>
    <w:rsid w:val="004D6899"/>
    <w:rsid w:val="004E2A2C"/>
    <w:rsid w:val="004F7CEB"/>
    <w:rsid w:val="00500CBB"/>
    <w:rsid w:val="005221C7"/>
    <w:rsid w:val="0054088A"/>
    <w:rsid w:val="0054524C"/>
    <w:rsid w:val="00556BCB"/>
    <w:rsid w:val="005A28DD"/>
    <w:rsid w:val="005A42FA"/>
    <w:rsid w:val="005A503E"/>
    <w:rsid w:val="005C088A"/>
    <w:rsid w:val="005C1676"/>
    <w:rsid w:val="005C76BB"/>
    <w:rsid w:val="005D21B5"/>
    <w:rsid w:val="005D4380"/>
    <w:rsid w:val="005E1CD9"/>
    <w:rsid w:val="005E6636"/>
    <w:rsid w:val="005E7B2B"/>
    <w:rsid w:val="006046E5"/>
    <w:rsid w:val="00612384"/>
    <w:rsid w:val="0061264F"/>
    <w:rsid w:val="006217BC"/>
    <w:rsid w:val="00637476"/>
    <w:rsid w:val="006474C9"/>
    <w:rsid w:val="0065211C"/>
    <w:rsid w:val="006554EE"/>
    <w:rsid w:val="0066601C"/>
    <w:rsid w:val="006836D3"/>
    <w:rsid w:val="006872D9"/>
    <w:rsid w:val="006D15A9"/>
    <w:rsid w:val="006D1CB4"/>
    <w:rsid w:val="006D1E21"/>
    <w:rsid w:val="006D2CD0"/>
    <w:rsid w:val="006D5CC9"/>
    <w:rsid w:val="006E0C85"/>
    <w:rsid w:val="006E12E4"/>
    <w:rsid w:val="006E4A62"/>
    <w:rsid w:val="006E6927"/>
    <w:rsid w:val="006E6D7B"/>
    <w:rsid w:val="00717CE8"/>
    <w:rsid w:val="00737E1D"/>
    <w:rsid w:val="00740C9B"/>
    <w:rsid w:val="00745795"/>
    <w:rsid w:val="007526DE"/>
    <w:rsid w:val="00755EEF"/>
    <w:rsid w:val="007646C7"/>
    <w:rsid w:val="007701B1"/>
    <w:rsid w:val="007736D2"/>
    <w:rsid w:val="00797432"/>
    <w:rsid w:val="007C1215"/>
    <w:rsid w:val="007C14C1"/>
    <w:rsid w:val="007C2628"/>
    <w:rsid w:val="007C2CDB"/>
    <w:rsid w:val="007C5513"/>
    <w:rsid w:val="007D637E"/>
    <w:rsid w:val="007F178D"/>
    <w:rsid w:val="00837BC8"/>
    <w:rsid w:val="00857E02"/>
    <w:rsid w:val="0088405E"/>
    <w:rsid w:val="00884A94"/>
    <w:rsid w:val="008906BF"/>
    <w:rsid w:val="008B5F98"/>
    <w:rsid w:val="008C2CD3"/>
    <w:rsid w:val="008E0C60"/>
    <w:rsid w:val="008F3559"/>
    <w:rsid w:val="00931B9D"/>
    <w:rsid w:val="00950938"/>
    <w:rsid w:val="009A2630"/>
    <w:rsid w:val="009A3274"/>
    <w:rsid w:val="009C0F8E"/>
    <w:rsid w:val="009C7398"/>
    <w:rsid w:val="009E3E84"/>
    <w:rsid w:val="009E41E4"/>
    <w:rsid w:val="009F2B74"/>
    <w:rsid w:val="00A316B4"/>
    <w:rsid w:val="00A35E4F"/>
    <w:rsid w:val="00A56502"/>
    <w:rsid w:val="00A63A56"/>
    <w:rsid w:val="00A775BA"/>
    <w:rsid w:val="00A77A87"/>
    <w:rsid w:val="00A8310F"/>
    <w:rsid w:val="00A95595"/>
    <w:rsid w:val="00A96843"/>
    <w:rsid w:val="00AA5080"/>
    <w:rsid w:val="00AC075E"/>
    <w:rsid w:val="00AE1E21"/>
    <w:rsid w:val="00AE2C9D"/>
    <w:rsid w:val="00AE448C"/>
    <w:rsid w:val="00AE51DC"/>
    <w:rsid w:val="00AE6FF9"/>
    <w:rsid w:val="00AF4E2F"/>
    <w:rsid w:val="00B12686"/>
    <w:rsid w:val="00B3403E"/>
    <w:rsid w:val="00B3769C"/>
    <w:rsid w:val="00B507A3"/>
    <w:rsid w:val="00B55DA3"/>
    <w:rsid w:val="00B72143"/>
    <w:rsid w:val="00B776BF"/>
    <w:rsid w:val="00B83D59"/>
    <w:rsid w:val="00BB567F"/>
    <w:rsid w:val="00BC4A01"/>
    <w:rsid w:val="00BC4E2D"/>
    <w:rsid w:val="00BD59DA"/>
    <w:rsid w:val="00BE2553"/>
    <w:rsid w:val="00BF581F"/>
    <w:rsid w:val="00BF5F1B"/>
    <w:rsid w:val="00C11B86"/>
    <w:rsid w:val="00C645C4"/>
    <w:rsid w:val="00C77375"/>
    <w:rsid w:val="00CA49EA"/>
    <w:rsid w:val="00CC51DF"/>
    <w:rsid w:val="00CD2556"/>
    <w:rsid w:val="00CD309D"/>
    <w:rsid w:val="00CE38B2"/>
    <w:rsid w:val="00CF377E"/>
    <w:rsid w:val="00CF537F"/>
    <w:rsid w:val="00D02837"/>
    <w:rsid w:val="00D25DFE"/>
    <w:rsid w:val="00D2706A"/>
    <w:rsid w:val="00D65AAF"/>
    <w:rsid w:val="00D66AF0"/>
    <w:rsid w:val="00D73674"/>
    <w:rsid w:val="00D76AB3"/>
    <w:rsid w:val="00D85D7D"/>
    <w:rsid w:val="00D86022"/>
    <w:rsid w:val="00D86938"/>
    <w:rsid w:val="00D92F87"/>
    <w:rsid w:val="00D94740"/>
    <w:rsid w:val="00D9717E"/>
    <w:rsid w:val="00DA58E7"/>
    <w:rsid w:val="00DC13D1"/>
    <w:rsid w:val="00DC533E"/>
    <w:rsid w:val="00DE1B95"/>
    <w:rsid w:val="00DE78F3"/>
    <w:rsid w:val="00DF0970"/>
    <w:rsid w:val="00DF7CCC"/>
    <w:rsid w:val="00E16EF2"/>
    <w:rsid w:val="00E16FC7"/>
    <w:rsid w:val="00E23BCA"/>
    <w:rsid w:val="00E25E80"/>
    <w:rsid w:val="00E26010"/>
    <w:rsid w:val="00E36E93"/>
    <w:rsid w:val="00E7316F"/>
    <w:rsid w:val="00E75FBE"/>
    <w:rsid w:val="00E76AEC"/>
    <w:rsid w:val="00E76CD3"/>
    <w:rsid w:val="00E84C3F"/>
    <w:rsid w:val="00E911C1"/>
    <w:rsid w:val="00EA000B"/>
    <w:rsid w:val="00EA40E8"/>
    <w:rsid w:val="00EB0547"/>
    <w:rsid w:val="00ED452B"/>
    <w:rsid w:val="00EF25F4"/>
    <w:rsid w:val="00F01B62"/>
    <w:rsid w:val="00F24582"/>
    <w:rsid w:val="00F3262D"/>
    <w:rsid w:val="00F35305"/>
    <w:rsid w:val="00F41897"/>
    <w:rsid w:val="00F41CBC"/>
    <w:rsid w:val="00F71E41"/>
    <w:rsid w:val="00F759B6"/>
    <w:rsid w:val="00F83193"/>
    <w:rsid w:val="00F84D83"/>
    <w:rsid w:val="00F9039A"/>
    <w:rsid w:val="00F92AF4"/>
    <w:rsid w:val="00F939DD"/>
    <w:rsid w:val="00FB01E8"/>
    <w:rsid w:val="00FB1A53"/>
    <w:rsid w:val="00FC0114"/>
    <w:rsid w:val="00FC7526"/>
    <w:rsid w:val="00FE6EBA"/>
    <w:rsid w:val="00FF0ACE"/>
    <w:rsid w:val="00FF51CB"/>
    <w:rsid w:val="01062EEC"/>
    <w:rsid w:val="011B0745"/>
    <w:rsid w:val="01205D5C"/>
    <w:rsid w:val="0147778C"/>
    <w:rsid w:val="016E5167"/>
    <w:rsid w:val="017D4F5C"/>
    <w:rsid w:val="018E5AF2"/>
    <w:rsid w:val="01916C5A"/>
    <w:rsid w:val="019F1377"/>
    <w:rsid w:val="01BB2C92"/>
    <w:rsid w:val="01C20BC1"/>
    <w:rsid w:val="01CF32DE"/>
    <w:rsid w:val="01D04FBC"/>
    <w:rsid w:val="01EB45BC"/>
    <w:rsid w:val="01F43679"/>
    <w:rsid w:val="01F66ABD"/>
    <w:rsid w:val="02117D9A"/>
    <w:rsid w:val="0224688D"/>
    <w:rsid w:val="022F4BD9"/>
    <w:rsid w:val="02313F99"/>
    <w:rsid w:val="024E0ADE"/>
    <w:rsid w:val="0284056C"/>
    <w:rsid w:val="028B5457"/>
    <w:rsid w:val="02A90FBB"/>
    <w:rsid w:val="02B40E52"/>
    <w:rsid w:val="02C46BBB"/>
    <w:rsid w:val="02CB0818"/>
    <w:rsid w:val="02F53218"/>
    <w:rsid w:val="03215DBB"/>
    <w:rsid w:val="03411FB9"/>
    <w:rsid w:val="03505229"/>
    <w:rsid w:val="035F6CF1"/>
    <w:rsid w:val="039756DF"/>
    <w:rsid w:val="03A8028B"/>
    <w:rsid w:val="03B44E81"/>
    <w:rsid w:val="03B804CE"/>
    <w:rsid w:val="03BD5AE4"/>
    <w:rsid w:val="03D66BA6"/>
    <w:rsid w:val="03E01183"/>
    <w:rsid w:val="03F60FF6"/>
    <w:rsid w:val="03F92894"/>
    <w:rsid w:val="04221DEB"/>
    <w:rsid w:val="042518DB"/>
    <w:rsid w:val="04267B2D"/>
    <w:rsid w:val="043A7135"/>
    <w:rsid w:val="046A433F"/>
    <w:rsid w:val="0472778E"/>
    <w:rsid w:val="0486237A"/>
    <w:rsid w:val="048B5BE2"/>
    <w:rsid w:val="049D5915"/>
    <w:rsid w:val="04A10F62"/>
    <w:rsid w:val="04A96068"/>
    <w:rsid w:val="04D07A99"/>
    <w:rsid w:val="04D26AF3"/>
    <w:rsid w:val="04E470A0"/>
    <w:rsid w:val="05014901"/>
    <w:rsid w:val="05277AB9"/>
    <w:rsid w:val="05301B95"/>
    <w:rsid w:val="05445D91"/>
    <w:rsid w:val="05597A8E"/>
    <w:rsid w:val="058873C0"/>
    <w:rsid w:val="05A01219"/>
    <w:rsid w:val="05AB5E10"/>
    <w:rsid w:val="05D80FC6"/>
    <w:rsid w:val="05ED6429"/>
    <w:rsid w:val="0616597F"/>
    <w:rsid w:val="066F6E3E"/>
    <w:rsid w:val="068C79F0"/>
    <w:rsid w:val="068F128E"/>
    <w:rsid w:val="06AB431A"/>
    <w:rsid w:val="06AD62E4"/>
    <w:rsid w:val="06BA27AF"/>
    <w:rsid w:val="06D4668A"/>
    <w:rsid w:val="06F55595"/>
    <w:rsid w:val="070D7056"/>
    <w:rsid w:val="07101A69"/>
    <w:rsid w:val="071D689A"/>
    <w:rsid w:val="071F0864"/>
    <w:rsid w:val="07351E35"/>
    <w:rsid w:val="07372051"/>
    <w:rsid w:val="073E4803"/>
    <w:rsid w:val="0748600C"/>
    <w:rsid w:val="075141CC"/>
    <w:rsid w:val="077C5CB6"/>
    <w:rsid w:val="078A03D3"/>
    <w:rsid w:val="078A2181"/>
    <w:rsid w:val="078D1C71"/>
    <w:rsid w:val="07A31495"/>
    <w:rsid w:val="07C65DE2"/>
    <w:rsid w:val="07D7113E"/>
    <w:rsid w:val="07F910B5"/>
    <w:rsid w:val="07FF1354"/>
    <w:rsid w:val="08040B54"/>
    <w:rsid w:val="080C0DE8"/>
    <w:rsid w:val="081B06DA"/>
    <w:rsid w:val="08234384"/>
    <w:rsid w:val="082D6FB0"/>
    <w:rsid w:val="0844165D"/>
    <w:rsid w:val="08444A26"/>
    <w:rsid w:val="08457EB8"/>
    <w:rsid w:val="08652BE4"/>
    <w:rsid w:val="086C1887"/>
    <w:rsid w:val="08875300"/>
    <w:rsid w:val="08A033DC"/>
    <w:rsid w:val="08AE022E"/>
    <w:rsid w:val="08B03AF4"/>
    <w:rsid w:val="08C23B9D"/>
    <w:rsid w:val="08CE0793"/>
    <w:rsid w:val="08D15B8E"/>
    <w:rsid w:val="08DD2784"/>
    <w:rsid w:val="08F04266"/>
    <w:rsid w:val="08FD6983"/>
    <w:rsid w:val="09095327"/>
    <w:rsid w:val="09150170"/>
    <w:rsid w:val="09250379"/>
    <w:rsid w:val="092521FD"/>
    <w:rsid w:val="092B1742"/>
    <w:rsid w:val="0935611C"/>
    <w:rsid w:val="09756E61"/>
    <w:rsid w:val="09817015"/>
    <w:rsid w:val="09A11A04"/>
    <w:rsid w:val="09BE43BF"/>
    <w:rsid w:val="09CD1A12"/>
    <w:rsid w:val="09CD37EC"/>
    <w:rsid w:val="09DA6CC4"/>
    <w:rsid w:val="09EB2C7F"/>
    <w:rsid w:val="09F81004"/>
    <w:rsid w:val="09FE0FC7"/>
    <w:rsid w:val="0A014064"/>
    <w:rsid w:val="0A21587C"/>
    <w:rsid w:val="0A2A7C4B"/>
    <w:rsid w:val="0A434869"/>
    <w:rsid w:val="0A637BEA"/>
    <w:rsid w:val="0A64315D"/>
    <w:rsid w:val="0A6676D3"/>
    <w:rsid w:val="0A6F38B0"/>
    <w:rsid w:val="0A821835"/>
    <w:rsid w:val="0A913826"/>
    <w:rsid w:val="0AA96DC2"/>
    <w:rsid w:val="0AC77248"/>
    <w:rsid w:val="0AD67BFB"/>
    <w:rsid w:val="0AD91B48"/>
    <w:rsid w:val="0AE222D4"/>
    <w:rsid w:val="0AF049F1"/>
    <w:rsid w:val="0AFD2902"/>
    <w:rsid w:val="0B093D05"/>
    <w:rsid w:val="0B100BEF"/>
    <w:rsid w:val="0B5D195B"/>
    <w:rsid w:val="0B6745CE"/>
    <w:rsid w:val="0B9F6417"/>
    <w:rsid w:val="0BE16F32"/>
    <w:rsid w:val="0BEA32BC"/>
    <w:rsid w:val="0BF2247E"/>
    <w:rsid w:val="0C07025C"/>
    <w:rsid w:val="0C160487"/>
    <w:rsid w:val="0C18330D"/>
    <w:rsid w:val="0C214339"/>
    <w:rsid w:val="0C28640C"/>
    <w:rsid w:val="0C59158F"/>
    <w:rsid w:val="0C5B7150"/>
    <w:rsid w:val="0C7E602C"/>
    <w:rsid w:val="0C8A5EE5"/>
    <w:rsid w:val="0CAF268A"/>
    <w:rsid w:val="0CB33F28"/>
    <w:rsid w:val="0CB64338"/>
    <w:rsid w:val="0CBE627B"/>
    <w:rsid w:val="0CE265BB"/>
    <w:rsid w:val="0CFD33F5"/>
    <w:rsid w:val="0D0303AB"/>
    <w:rsid w:val="0D077DD0"/>
    <w:rsid w:val="0D181FDD"/>
    <w:rsid w:val="0D2564A8"/>
    <w:rsid w:val="0D2855D6"/>
    <w:rsid w:val="0D35493D"/>
    <w:rsid w:val="0D557AE1"/>
    <w:rsid w:val="0D7C256C"/>
    <w:rsid w:val="0D9C49BC"/>
    <w:rsid w:val="0D9C676A"/>
    <w:rsid w:val="0DAC2718"/>
    <w:rsid w:val="0DAF0B93"/>
    <w:rsid w:val="0DD20D46"/>
    <w:rsid w:val="0DD405FA"/>
    <w:rsid w:val="0E181E5A"/>
    <w:rsid w:val="0E325AC7"/>
    <w:rsid w:val="0E3A41D5"/>
    <w:rsid w:val="0E4137B5"/>
    <w:rsid w:val="0E417312"/>
    <w:rsid w:val="0E5168C6"/>
    <w:rsid w:val="0E606C70"/>
    <w:rsid w:val="0E9C09EC"/>
    <w:rsid w:val="0E9E29B6"/>
    <w:rsid w:val="0EB01236"/>
    <w:rsid w:val="0EC341CA"/>
    <w:rsid w:val="0EE8653B"/>
    <w:rsid w:val="0EFA4090"/>
    <w:rsid w:val="0F227D2C"/>
    <w:rsid w:val="0F783207"/>
    <w:rsid w:val="0F8B51DE"/>
    <w:rsid w:val="0FBC7E0D"/>
    <w:rsid w:val="0FD05A2E"/>
    <w:rsid w:val="10135065"/>
    <w:rsid w:val="101D790A"/>
    <w:rsid w:val="10321608"/>
    <w:rsid w:val="103435D2"/>
    <w:rsid w:val="103A226A"/>
    <w:rsid w:val="10581E37"/>
    <w:rsid w:val="105A46BB"/>
    <w:rsid w:val="10771710"/>
    <w:rsid w:val="107F3A01"/>
    <w:rsid w:val="108654B0"/>
    <w:rsid w:val="109835A9"/>
    <w:rsid w:val="10985132"/>
    <w:rsid w:val="10A5002C"/>
    <w:rsid w:val="10AC449C"/>
    <w:rsid w:val="10AD2A04"/>
    <w:rsid w:val="10B22F56"/>
    <w:rsid w:val="10B95885"/>
    <w:rsid w:val="10C77FA2"/>
    <w:rsid w:val="10CA7A92"/>
    <w:rsid w:val="10CF6E57"/>
    <w:rsid w:val="10FE773C"/>
    <w:rsid w:val="110D3F66"/>
    <w:rsid w:val="112B49AA"/>
    <w:rsid w:val="113B0990"/>
    <w:rsid w:val="11427AB6"/>
    <w:rsid w:val="114E1FB0"/>
    <w:rsid w:val="118002EE"/>
    <w:rsid w:val="119079DF"/>
    <w:rsid w:val="119500A0"/>
    <w:rsid w:val="11EE155E"/>
    <w:rsid w:val="11F94050"/>
    <w:rsid w:val="120174E4"/>
    <w:rsid w:val="12174F59"/>
    <w:rsid w:val="121C60CC"/>
    <w:rsid w:val="122D269E"/>
    <w:rsid w:val="124A34D7"/>
    <w:rsid w:val="126134A6"/>
    <w:rsid w:val="1283439D"/>
    <w:rsid w:val="12955E7E"/>
    <w:rsid w:val="1299771C"/>
    <w:rsid w:val="129A3494"/>
    <w:rsid w:val="12C26621"/>
    <w:rsid w:val="12C66037"/>
    <w:rsid w:val="12F2507E"/>
    <w:rsid w:val="1305022D"/>
    <w:rsid w:val="13165211"/>
    <w:rsid w:val="131B2827"/>
    <w:rsid w:val="13280AA0"/>
    <w:rsid w:val="13392CAD"/>
    <w:rsid w:val="13396D64"/>
    <w:rsid w:val="136956F4"/>
    <w:rsid w:val="13763AD6"/>
    <w:rsid w:val="139323BD"/>
    <w:rsid w:val="13A22600"/>
    <w:rsid w:val="13A36BE1"/>
    <w:rsid w:val="13AF4D1D"/>
    <w:rsid w:val="13DA335F"/>
    <w:rsid w:val="13E744B7"/>
    <w:rsid w:val="13E9022F"/>
    <w:rsid w:val="13E96481"/>
    <w:rsid w:val="14063EDB"/>
    <w:rsid w:val="141E7F46"/>
    <w:rsid w:val="142432AD"/>
    <w:rsid w:val="143A6CDD"/>
    <w:rsid w:val="14460456"/>
    <w:rsid w:val="144638D4"/>
    <w:rsid w:val="144D6A10"/>
    <w:rsid w:val="145456B6"/>
    <w:rsid w:val="14650326"/>
    <w:rsid w:val="14681A9C"/>
    <w:rsid w:val="14891A12"/>
    <w:rsid w:val="149C7998"/>
    <w:rsid w:val="14E629C1"/>
    <w:rsid w:val="14FB2910"/>
    <w:rsid w:val="15033573"/>
    <w:rsid w:val="15527217"/>
    <w:rsid w:val="156A1844"/>
    <w:rsid w:val="156E30E2"/>
    <w:rsid w:val="157E709D"/>
    <w:rsid w:val="1582093B"/>
    <w:rsid w:val="15A11260"/>
    <w:rsid w:val="15B716F5"/>
    <w:rsid w:val="15E74C42"/>
    <w:rsid w:val="16027CCE"/>
    <w:rsid w:val="16145F48"/>
    <w:rsid w:val="16302145"/>
    <w:rsid w:val="164B53B3"/>
    <w:rsid w:val="164E6A70"/>
    <w:rsid w:val="16A91EF8"/>
    <w:rsid w:val="16C74B4B"/>
    <w:rsid w:val="16D056D6"/>
    <w:rsid w:val="16D276A1"/>
    <w:rsid w:val="173A48D6"/>
    <w:rsid w:val="173B2B09"/>
    <w:rsid w:val="174840AA"/>
    <w:rsid w:val="174A117A"/>
    <w:rsid w:val="174D31CB"/>
    <w:rsid w:val="17683B61"/>
    <w:rsid w:val="177B3894"/>
    <w:rsid w:val="177E5564"/>
    <w:rsid w:val="17914E66"/>
    <w:rsid w:val="179606CE"/>
    <w:rsid w:val="17A54DB5"/>
    <w:rsid w:val="17CA65CA"/>
    <w:rsid w:val="17DC00C1"/>
    <w:rsid w:val="17EE050A"/>
    <w:rsid w:val="17FB2C27"/>
    <w:rsid w:val="18027B12"/>
    <w:rsid w:val="18131D1F"/>
    <w:rsid w:val="18491BE4"/>
    <w:rsid w:val="1876405C"/>
    <w:rsid w:val="18802DD1"/>
    <w:rsid w:val="18E70460"/>
    <w:rsid w:val="18F118EC"/>
    <w:rsid w:val="190065EC"/>
    <w:rsid w:val="19006747"/>
    <w:rsid w:val="192B4E46"/>
    <w:rsid w:val="193F77BA"/>
    <w:rsid w:val="19457534"/>
    <w:rsid w:val="194B6C84"/>
    <w:rsid w:val="19570331"/>
    <w:rsid w:val="19670574"/>
    <w:rsid w:val="1988673C"/>
    <w:rsid w:val="198A7DBF"/>
    <w:rsid w:val="19B60BB4"/>
    <w:rsid w:val="19CE23A1"/>
    <w:rsid w:val="19E25E4D"/>
    <w:rsid w:val="1A023DF9"/>
    <w:rsid w:val="1A085187"/>
    <w:rsid w:val="1A143B2C"/>
    <w:rsid w:val="1A271AB1"/>
    <w:rsid w:val="1A2A3962"/>
    <w:rsid w:val="1A3A3AD9"/>
    <w:rsid w:val="1A8910F2"/>
    <w:rsid w:val="1A9C249F"/>
    <w:rsid w:val="1AAB26E2"/>
    <w:rsid w:val="1AAC0209"/>
    <w:rsid w:val="1ABC02B9"/>
    <w:rsid w:val="1ADA5C1D"/>
    <w:rsid w:val="1ADF2883"/>
    <w:rsid w:val="1AF007D6"/>
    <w:rsid w:val="1B0167A6"/>
    <w:rsid w:val="1B0A2335"/>
    <w:rsid w:val="1B132036"/>
    <w:rsid w:val="1B1F1EE0"/>
    <w:rsid w:val="1B206ED8"/>
    <w:rsid w:val="1B481CDF"/>
    <w:rsid w:val="1B4A3CA9"/>
    <w:rsid w:val="1B4E306E"/>
    <w:rsid w:val="1B544B28"/>
    <w:rsid w:val="1B642891"/>
    <w:rsid w:val="1B9F38C9"/>
    <w:rsid w:val="1BCD0437"/>
    <w:rsid w:val="1BD065D5"/>
    <w:rsid w:val="1BFF0584"/>
    <w:rsid w:val="1C1A55C0"/>
    <w:rsid w:val="1C5D5C5E"/>
    <w:rsid w:val="1C824A3B"/>
    <w:rsid w:val="1C827F34"/>
    <w:rsid w:val="1C8950B0"/>
    <w:rsid w:val="1C9571A6"/>
    <w:rsid w:val="1CB00110"/>
    <w:rsid w:val="1CBB4733"/>
    <w:rsid w:val="1CC47A8B"/>
    <w:rsid w:val="1CE25E31"/>
    <w:rsid w:val="1D1502E7"/>
    <w:rsid w:val="1D184A7F"/>
    <w:rsid w:val="1D1D5F85"/>
    <w:rsid w:val="1D5C1A72"/>
    <w:rsid w:val="1D5D51DB"/>
    <w:rsid w:val="1D6468E0"/>
    <w:rsid w:val="1D844E1C"/>
    <w:rsid w:val="1D8B05A9"/>
    <w:rsid w:val="1D943902"/>
    <w:rsid w:val="1DAB29F9"/>
    <w:rsid w:val="1DB160B1"/>
    <w:rsid w:val="1DB82CDF"/>
    <w:rsid w:val="1DBD62FA"/>
    <w:rsid w:val="1DC31AF1"/>
    <w:rsid w:val="1DD7559C"/>
    <w:rsid w:val="1DDA68EC"/>
    <w:rsid w:val="1DE2466D"/>
    <w:rsid w:val="1DEB2387"/>
    <w:rsid w:val="1DF4613B"/>
    <w:rsid w:val="1E01086B"/>
    <w:rsid w:val="1E6C2189"/>
    <w:rsid w:val="1E7D4396"/>
    <w:rsid w:val="1EA10FA5"/>
    <w:rsid w:val="1EBD0C36"/>
    <w:rsid w:val="1EC73863"/>
    <w:rsid w:val="1ED24649"/>
    <w:rsid w:val="1ED476E4"/>
    <w:rsid w:val="1ED71AE4"/>
    <w:rsid w:val="1EDB1B30"/>
    <w:rsid w:val="1EE401DE"/>
    <w:rsid w:val="1F026649"/>
    <w:rsid w:val="1F0829B6"/>
    <w:rsid w:val="1F0C1276"/>
    <w:rsid w:val="1F2E5690"/>
    <w:rsid w:val="1F5F3A9B"/>
    <w:rsid w:val="1F777037"/>
    <w:rsid w:val="1F7C63FB"/>
    <w:rsid w:val="1F7D3F22"/>
    <w:rsid w:val="1F896D6A"/>
    <w:rsid w:val="1F8D23B7"/>
    <w:rsid w:val="1F8F25D3"/>
    <w:rsid w:val="1F9803AC"/>
    <w:rsid w:val="1FA12306"/>
    <w:rsid w:val="1FA94D17"/>
    <w:rsid w:val="1FB7615B"/>
    <w:rsid w:val="1FD13710"/>
    <w:rsid w:val="1FDA1374"/>
    <w:rsid w:val="1FDB5917"/>
    <w:rsid w:val="1FF57F5C"/>
    <w:rsid w:val="20174376"/>
    <w:rsid w:val="202B4C70"/>
    <w:rsid w:val="20407429"/>
    <w:rsid w:val="204B206D"/>
    <w:rsid w:val="20711CD8"/>
    <w:rsid w:val="20A25B7C"/>
    <w:rsid w:val="20D44015"/>
    <w:rsid w:val="20E1356A"/>
    <w:rsid w:val="20E96B05"/>
    <w:rsid w:val="213B685C"/>
    <w:rsid w:val="214A5CFC"/>
    <w:rsid w:val="218B47EA"/>
    <w:rsid w:val="21D40771"/>
    <w:rsid w:val="21EE6B6B"/>
    <w:rsid w:val="21FE57EE"/>
    <w:rsid w:val="220A23E4"/>
    <w:rsid w:val="22105521"/>
    <w:rsid w:val="2228286B"/>
    <w:rsid w:val="223631D9"/>
    <w:rsid w:val="223905D4"/>
    <w:rsid w:val="223C6316"/>
    <w:rsid w:val="226407A8"/>
    <w:rsid w:val="226C6405"/>
    <w:rsid w:val="228C4BA7"/>
    <w:rsid w:val="2297451F"/>
    <w:rsid w:val="22B01086"/>
    <w:rsid w:val="22BA5BB9"/>
    <w:rsid w:val="22C83912"/>
    <w:rsid w:val="22D64075"/>
    <w:rsid w:val="22E93163"/>
    <w:rsid w:val="22EA5B1F"/>
    <w:rsid w:val="231C21FE"/>
    <w:rsid w:val="23201794"/>
    <w:rsid w:val="23452FA8"/>
    <w:rsid w:val="23505B5E"/>
    <w:rsid w:val="23563407"/>
    <w:rsid w:val="235F050E"/>
    <w:rsid w:val="23871813"/>
    <w:rsid w:val="238D507B"/>
    <w:rsid w:val="23982D72"/>
    <w:rsid w:val="23A7445B"/>
    <w:rsid w:val="23A91789"/>
    <w:rsid w:val="23BB4C27"/>
    <w:rsid w:val="23BC770E"/>
    <w:rsid w:val="23D700A4"/>
    <w:rsid w:val="23E12CD1"/>
    <w:rsid w:val="23FC5D5D"/>
    <w:rsid w:val="240268DD"/>
    <w:rsid w:val="240D1D18"/>
    <w:rsid w:val="241308D1"/>
    <w:rsid w:val="241A61E3"/>
    <w:rsid w:val="241E5CD3"/>
    <w:rsid w:val="242022A8"/>
    <w:rsid w:val="242332EA"/>
    <w:rsid w:val="2429118E"/>
    <w:rsid w:val="244B0A92"/>
    <w:rsid w:val="247C5AB7"/>
    <w:rsid w:val="24857B00"/>
    <w:rsid w:val="24870232"/>
    <w:rsid w:val="24870CFE"/>
    <w:rsid w:val="249B7324"/>
    <w:rsid w:val="24AA57B9"/>
    <w:rsid w:val="24AE5A41"/>
    <w:rsid w:val="24BE4E0B"/>
    <w:rsid w:val="24C148B0"/>
    <w:rsid w:val="24E52C95"/>
    <w:rsid w:val="24F31271"/>
    <w:rsid w:val="254030B0"/>
    <w:rsid w:val="255A3128"/>
    <w:rsid w:val="256B13EC"/>
    <w:rsid w:val="256C2A6E"/>
    <w:rsid w:val="257D4C7B"/>
    <w:rsid w:val="25AE12D9"/>
    <w:rsid w:val="25BE4D89"/>
    <w:rsid w:val="25FF1B34"/>
    <w:rsid w:val="260158AC"/>
    <w:rsid w:val="26386260"/>
    <w:rsid w:val="26445799"/>
    <w:rsid w:val="265C6F87"/>
    <w:rsid w:val="26747E2C"/>
    <w:rsid w:val="26971D6D"/>
    <w:rsid w:val="26A37EBE"/>
    <w:rsid w:val="26A55B5E"/>
    <w:rsid w:val="26E054C2"/>
    <w:rsid w:val="26E1123A"/>
    <w:rsid w:val="26FD42C6"/>
    <w:rsid w:val="270513CC"/>
    <w:rsid w:val="272555CB"/>
    <w:rsid w:val="27433CA3"/>
    <w:rsid w:val="2749750B"/>
    <w:rsid w:val="274E2D73"/>
    <w:rsid w:val="275F6D2E"/>
    <w:rsid w:val="276E0D20"/>
    <w:rsid w:val="278247CB"/>
    <w:rsid w:val="279F537D"/>
    <w:rsid w:val="27A43C03"/>
    <w:rsid w:val="27C070A1"/>
    <w:rsid w:val="28285372"/>
    <w:rsid w:val="28373807"/>
    <w:rsid w:val="284101E2"/>
    <w:rsid w:val="288B3B53"/>
    <w:rsid w:val="289F315B"/>
    <w:rsid w:val="28A569C3"/>
    <w:rsid w:val="28B77131"/>
    <w:rsid w:val="28C46526"/>
    <w:rsid w:val="28C66939"/>
    <w:rsid w:val="28D76D98"/>
    <w:rsid w:val="29234CB6"/>
    <w:rsid w:val="292518B2"/>
    <w:rsid w:val="293164A9"/>
    <w:rsid w:val="29325D7D"/>
    <w:rsid w:val="29341AF5"/>
    <w:rsid w:val="293715E5"/>
    <w:rsid w:val="294E705B"/>
    <w:rsid w:val="295959FF"/>
    <w:rsid w:val="295A0AA5"/>
    <w:rsid w:val="29624F82"/>
    <w:rsid w:val="298C36DF"/>
    <w:rsid w:val="29B0436D"/>
    <w:rsid w:val="29B6075C"/>
    <w:rsid w:val="29BB3FC4"/>
    <w:rsid w:val="29C53533"/>
    <w:rsid w:val="29CD3D28"/>
    <w:rsid w:val="29EE439A"/>
    <w:rsid w:val="29F51284"/>
    <w:rsid w:val="2A247DBB"/>
    <w:rsid w:val="2A2A78D0"/>
    <w:rsid w:val="2A2B739C"/>
    <w:rsid w:val="2A2F7D67"/>
    <w:rsid w:val="2A307BB1"/>
    <w:rsid w:val="2A3C3357"/>
    <w:rsid w:val="2A4D7312"/>
    <w:rsid w:val="2A577D75"/>
    <w:rsid w:val="2A587A65"/>
    <w:rsid w:val="2A7C7BF7"/>
    <w:rsid w:val="2A866380"/>
    <w:rsid w:val="2A950CB9"/>
    <w:rsid w:val="2A9F5694"/>
    <w:rsid w:val="2AAF1D7B"/>
    <w:rsid w:val="2ADC0696"/>
    <w:rsid w:val="2AF43C32"/>
    <w:rsid w:val="2B08148B"/>
    <w:rsid w:val="2B1A2E54"/>
    <w:rsid w:val="2B334FBF"/>
    <w:rsid w:val="2B3C1135"/>
    <w:rsid w:val="2B522706"/>
    <w:rsid w:val="2B572F02"/>
    <w:rsid w:val="2B680673"/>
    <w:rsid w:val="2B6C5576"/>
    <w:rsid w:val="2B7579F7"/>
    <w:rsid w:val="2B7E6805"/>
    <w:rsid w:val="2B9D7E25"/>
    <w:rsid w:val="2BBD4024"/>
    <w:rsid w:val="2BC41BFF"/>
    <w:rsid w:val="2BD31A99"/>
    <w:rsid w:val="2BD62420"/>
    <w:rsid w:val="2C0954BB"/>
    <w:rsid w:val="2C147DB3"/>
    <w:rsid w:val="2C4B5AD3"/>
    <w:rsid w:val="2C5B55EB"/>
    <w:rsid w:val="2C626979"/>
    <w:rsid w:val="2C635C8A"/>
    <w:rsid w:val="2C673F8F"/>
    <w:rsid w:val="2C954FA0"/>
    <w:rsid w:val="2CDE5FD9"/>
    <w:rsid w:val="2CDF446E"/>
    <w:rsid w:val="2CED26E7"/>
    <w:rsid w:val="2D012636"/>
    <w:rsid w:val="2D026A64"/>
    <w:rsid w:val="2D08417F"/>
    <w:rsid w:val="2D087520"/>
    <w:rsid w:val="2D2D342B"/>
    <w:rsid w:val="2D4A18E7"/>
    <w:rsid w:val="2D4D7629"/>
    <w:rsid w:val="2D7921CC"/>
    <w:rsid w:val="2D825525"/>
    <w:rsid w:val="2D85560F"/>
    <w:rsid w:val="2DB66924"/>
    <w:rsid w:val="2DDF3957"/>
    <w:rsid w:val="2DEE7921"/>
    <w:rsid w:val="2DF06932"/>
    <w:rsid w:val="2DF504E4"/>
    <w:rsid w:val="2E057F04"/>
    <w:rsid w:val="2E183793"/>
    <w:rsid w:val="2E652751"/>
    <w:rsid w:val="2E690493"/>
    <w:rsid w:val="2E755089"/>
    <w:rsid w:val="2E761EA4"/>
    <w:rsid w:val="2E7A26A0"/>
    <w:rsid w:val="2E8928E3"/>
    <w:rsid w:val="2EA65243"/>
    <w:rsid w:val="2EAC35C2"/>
    <w:rsid w:val="2EB040E3"/>
    <w:rsid w:val="2EB5368F"/>
    <w:rsid w:val="2EB64566"/>
    <w:rsid w:val="2ED51684"/>
    <w:rsid w:val="2EE47B19"/>
    <w:rsid w:val="2EFA10EB"/>
    <w:rsid w:val="2EFA733D"/>
    <w:rsid w:val="2F033533"/>
    <w:rsid w:val="2F13711A"/>
    <w:rsid w:val="2F4E1D0F"/>
    <w:rsid w:val="2F5051AF"/>
    <w:rsid w:val="2F7865AA"/>
    <w:rsid w:val="2F8512FC"/>
    <w:rsid w:val="2F8A06C1"/>
    <w:rsid w:val="2FA51A55"/>
    <w:rsid w:val="2FC21522"/>
    <w:rsid w:val="2FDE6606"/>
    <w:rsid w:val="2FF344B8"/>
    <w:rsid w:val="2FF7387C"/>
    <w:rsid w:val="2FF81ACE"/>
    <w:rsid w:val="2FFB511A"/>
    <w:rsid w:val="301F34FF"/>
    <w:rsid w:val="30226B4B"/>
    <w:rsid w:val="30284935"/>
    <w:rsid w:val="307373A7"/>
    <w:rsid w:val="30B579BF"/>
    <w:rsid w:val="30B8300C"/>
    <w:rsid w:val="30BF439A"/>
    <w:rsid w:val="30C10112"/>
    <w:rsid w:val="30CD2F5B"/>
    <w:rsid w:val="30D16C82"/>
    <w:rsid w:val="311E2422"/>
    <w:rsid w:val="315A40C3"/>
    <w:rsid w:val="3183186B"/>
    <w:rsid w:val="31895FFA"/>
    <w:rsid w:val="31927D00"/>
    <w:rsid w:val="319E66A5"/>
    <w:rsid w:val="31AE37B4"/>
    <w:rsid w:val="31B47C77"/>
    <w:rsid w:val="31B732C3"/>
    <w:rsid w:val="31E63BA8"/>
    <w:rsid w:val="32116E77"/>
    <w:rsid w:val="3212499D"/>
    <w:rsid w:val="3220355E"/>
    <w:rsid w:val="322E7A29"/>
    <w:rsid w:val="323C0742"/>
    <w:rsid w:val="324059AE"/>
    <w:rsid w:val="32456B21"/>
    <w:rsid w:val="32737B32"/>
    <w:rsid w:val="32902492"/>
    <w:rsid w:val="329D51D9"/>
    <w:rsid w:val="32AE70E0"/>
    <w:rsid w:val="32B36CE5"/>
    <w:rsid w:val="32B37F2E"/>
    <w:rsid w:val="32B617CD"/>
    <w:rsid w:val="32CD730F"/>
    <w:rsid w:val="32FC14D0"/>
    <w:rsid w:val="33062754"/>
    <w:rsid w:val="330C763F"/>
    <w:rsid w:val="331F55C4"/>
    <w:rsid w:val="33260700"/>
    <w:rsid w:val="33294694"/>
    <w:rsid w:val="332C1A8F"/>
    <w:rsid w:val="333D5A4A"/>
    <w:rsid w:val="335039CF"/>
    <w:rsid w:val="3353526D"/>
    <w:rsid w:val="336934AE"/>
    <w:rsid w:val="338423DD"/>
    <w:rsid w:val="33AB1439"/>
    <w:rsid w:val="33E04D53"/>
    <w:rsid w:val="33F33F5C"/>
    <w:rsid w:val="341837B7"/>
    <w:rsid w:val="34321327"/>
    <w:rsid w:val="343E1A7A"/>
    <w:rsid w:val="34403A44"/>
    <w:rsid w:val="34481525"/>
    <w:rsid w:val="344A7002"/>
    <w:rsid w:val="344D7F0F"/>
    <w:rsid w:val="34680092"/>
    <w:rsid w:val="347D3C45"/>
    <w:rsid w:val="348410F4"/>
    <w:rsid w:val="34884A4A"/>
    <w:rsid w:val="34987531"/>
    <w:rsid w:val="34AA5A97"/>
    <w:rsid w:val="34D81948"/>
    <w:rsid w:val="34E56399"/>
    <w:rsid w:val="35165311"/>
    <w:rsid w:val="35223E70"/>
    <w:rsid w:val="35311149"/>
    <w:rsid w:val="35386E11"/>
    <w:rsid w:val="35804783"/>
    <w:rsid w:val="35931E3C"/>
    <w:rsid w:val="35A16764"/>
    <w:rsid w:val="35B4648C"/>
    <w:rsid w:val="35D25868"/>
    <w:rsid w:val="35DC779C"/>
    <w:rsid w:val="361C403D"/>
    <w:rsid w:val="36363350"/>
    <w:rsid w:val="363A74FC"/>
    <w:rsid w:val="363C12E4"/>
    <w:rsid w:val="363E4EB4"/>
    <w:rsid w:val="36545584"/>
    <w:rsid w:val="367D0F7F"/>
    <w:rsid w:val="36883480"/>
    <w:rsid w:val="36AC53C0"/>
    <w:rsid w:val="36B85B13"/>
    <w:rsid w:val="36C73FA8"/>
    <w:rsid w:val="36D358EB"/>
    <w:rsid w:val="36F43125"/>
    <w:rsid w:val="370451FC"/>
    <w:rsid w:val="371B60A2"/>
    <w:rsid w:val="372633C5"/>
    <w:rsid w:val="372C602D"/>
    <w:rsid w:val="373B4C58"/>
    <w:rsid w:val="374455F9"/>
    <w:rsid w:val="374B2E2B"/>
    <w:rsid w:val="375C0B95"/>
    <w:rsid w:val="37D5272F"/>
    <w:rsid w:val="37EA083E"/>
    <w:rsid w:val="37EF52B0"/>
    <w:rsid w:val="37F05781"/>
    <w:rsid w:val="382F44FB"/>
    <w:rsid w:val="3836588A"/>
    <w:rsid w:val="38397128"/>
    <w:rsid w:val="383E029A"/>
    <w:rsid w:val="38507FCD"/>
    <w:rsid w:val="38545D10"/>
    <w:rsid w:val="38613F89"/>
    <w:rsid w:val="386F66A6"/>
    <w:rsid w:val="38741F0E"/>
    <w:rsid w:val="38807E5C"/>
    <w:rsid w:val="38A00F55"/>
    <w:rsid w:val="38A65E3F"/>
    <w:rsid w:val="38A81BB8"/>
    <w:rsid w:val="38B425CD"/>
    <w:rsid w:val="38E52E0C"/>
    <w:rsid w:val="38E70932"/>
    <w:rsid w:val="38F80D91"/>
    <w:rsid w:val="3905525C"/>
    <w:rsid w:val="3905700A"/>
    <w:rsid w:val="39134975"/>
    <w:rsid w:val="3927034E"/>
    <w:rsid w:val="39331DC9"/>
    <w:rsid w:val="393A4F06"/>
    <w:rsid w:val="394713D0"/>
    <w:rsid w:val="39477622"/>
    <w:rsid w:val="394C7064"/>
    <w:rsid w:val="39587E67"/>
    <w:rsid w:val="39673821"/>
    <w:rsid w:val="396F0447"/>
    <w:rsid w:val="39721ED6"/>
    <w:rsid w:val="3980268B"/>
    <w:rsid w:val="39842625"/>
    <w:rsid w:val="398A630E"/>
    <w:rsid w:val="39954087"/>
    <w:rsid w:val="399B34CA"/>
    <w:rsid w:val="39BF7EC2"/>
    <w:rsid w:val="39CD3FCC"/>
    <w:rsid w:val="39DE7F87"/>
    <w:rsid w:val="39EF3F42"/>
    <w:rsid w:val="3A290CED"/>
    <w:rsid w:val="3A471CD1"/>
    <w:rsid w:val="3A5C534F"/>
    <w:rsid w:val="3A6769CF"/>
    <w:rsid w:val="3A963B49"/>
    <w:rsid w:val="3AB24F6F"/>
    <w:rsid w:val="3AD44EE6"/>
    <w:rsid w:val="3ADC2E01"/>
    <w:rsid w:val="3AEC66D3"/>
    <w:rsid w:val="3AEF3ACE"/>
    <w:rsid w:val="3B060D7E"/>
    <w:rsid w:val="3B0C0B24"/>
    <w:rsid w:val="3B131EB2"/>
    <w:rsid w:val="3B457B92"/>
    <w:rsid w:val="3B4E4C98"/>
    <w:rsid w:val="3B6E0E96"/>
    <w:rsid w:val="3B781D15"/>
    <w:rsid w:val="3B857E51"/>
    <w:rsid w:val="3BB04799"/>
    <w:rsid w:val="3BB6283D"/>
    <w:rsid w:val="3BBF7944"/>
    <w:rsid w:val="3BD55EF8"/>
    <w:rsid w:val="3BDD601C"/>
    <w:rsid w:val="3BE671AF"/>
    <w:rsid w:val="3BEC625F"/>
    <w:rsid w:val="3C0E61D6"/>
    <w:rsid w:val="3C3C71E7"/>
    <w:rsid w:val="3C5E715D"/>
    <w:rsid w:val="3C68449E"/>
    <w:rsid w:val="3CC03974"/>
    <w:rsid w:val="3CC21C64"/>
    <w:rsid w:val="3CC66AB0"/>
    <w:rsid w:val="3CC87600"/>
    <w:rsid w:val="3CD94A35"/>
    <w:rsid w:val="3D475E43"/>
    <w:rsid w:val="3D4E0F7F"/>
    <w:rsid w:val="3D5227F9"/>
    <w:rsid w:val="3D5567B2"/>
    <w:rsid w:val="3D566086"/>
    <w:rsid w:val="3D803DBC"/>
    <w:rsid w:val="3D8C4591"/>
    <w:rsid w:val="3D8E5820"/>
    <w:rsid w:val="3D956BAE"/>
    <w:rsid w:val="3D9C41C3"/>
    <w:rsid w:val="3DB31B27"/>
    <w:rsid w:val="3DB50FFF"/>
    <w:rsid w:val="3DB9344B"/>
    <w:rsid w:val="3DF77869"/>
    <w:rsid w:val="3E141C6C"/>
    <w:rsid w:val="3E3A1504"/>
    <w:rsid w:val="3E587BDC"/>
    <w:rsid w:val="3E7A2248"/>
    <w:rsid w:val="3E832EAB"/>
    <w:rsid w:val="3E94330A"/>
    <w:rsid w:val="3EC55271"/>
    <w:rsid w:val="3ED92ACB"/>
    <w:rsid w:val="3EDB4A95"/>
    <w:rsid w:val="3EED5E94"/>
    <w:rsid w:val="3EF142B8"/>
    <w:rsid w:val="3F0D09C6"/>
    <w:rsid w:val="3F3348D1"/>
    <w:rsid w:val="3F43263A"/>
    <w:rsid w:val="3F636838"/>
    <w:rsid w:val="3F676329"/>
    <w:rsid w:val="3F6820A1"/>
    <w:rsid w:val="3F6C393F"/>
    <w:rsid w:val="3FC07A99"/>
    <w:rsid w:val="3FDC2ADC"/>
    <w:rsid w:val="4013025E"/>
    <w:rsid w:val="40354679"/>
    <w:rsid w:val="4037219F"/>
    <w:rsid w:val="403A1342"/>
    <w:rsid w:val="403E7FF9"/>
    <w:rsid w:val="40672358"/>
    <w:rsid w:val="408829FA"/>
    <w:rsid w:val="408D6263"/>
    <w:rsid w:val="40953369"/>
    <w:rsid w:val="409C0254"/>
    <w:rsid w:val="40B3559D"/>
    <w:rsid w:val="40E13F83"/>
    <w:rsid w:val="40E63BC5"/>
    <w:rsid w:val="40F475A0"/>
    <w:rsid w:val="41055DF9"/>
    <w:rsid w:val="410C52E4"/>
    <w:rsid w:val="41236F59"/>
    <w:rsid w:val="41264427"/>
    <w:rsid w:val="412A1D04"/>
    <w:rsid w:val="4148218A"/>
    <w:rsid w:val="4157061F"/>
    <w:rsid w:val="415723CD"/>
    <w:rsid w:val="416045CA"/>
    <w:rsid w:val="416F5968"/>
    <w:rsid w:val="41703483"/>
    <w:rsid w:val="41831414"/>
    <w:rsid w:val="41A25D3E"/>
    <w:rsid w:val="41AE46E3"/>
    <w:rsid w:val="41AF045B"/>
    <w:rsid w:val="41BD0482"/>
    <w:rsid w:val="41DB0F75"/>
    <w:rsid w:val="41E2022F"/>
    <w:rsid w:val="41EA4FEF"/>
    <w:rsid w:val="41FD4D22"/>
    <w:rsid w:val="42075BA1"/>
    <w:rsid w:val="420E6F2F"/>
    <w:rsid w:val="42360234"/>
    <w:rsid w:val="42415557"/>
    <w:rsid w:val="4252745A"/>
    <w:rsid w:val="426A2D60"/>
    <w:rsid w:val="42813BA5"/>
    <w:rsid w:val="42A930FC"/>
    <w:rsid w:val="42AB6E74"/>
    <w:rsid w:val="42CD6DEA"/>
    <w:rsid w:val="42D1070F"/>
    <w:rsid w:val="42D71A17"/>
    <w:rsid w:val="42E2557F"/>
    <w:rsid w:val="42F212B5"/>
    <w:rsid w:val="43094AB8"/>
    <w:rsid w:val="431F6279"/>
    <w:rsid w:val="43315D2E"/>
    <w:rsid w:val="435C1F1C"/>
    <w:rsid w:val="436A288B"/>
    <w:rsid w:val="437B6846"/>
    <w:rsid w:val="43A318F9"/>
    <w:rsid w:val="43A86F10"/>
    <w:rsid w:val="43AC2E51"/>
    <w:rsid w:val="43E04A33"/>
    <w:rsid w:val="440120F5"/>
    <w:rsid w:val="44145283"/>
    <w:rsid w:val="441F5D36"/>
    <w:rsid w:val="44202F4A"/>
    <w:rsid w:val="44242A3A"/>
    <w:rsid w:val="4427077C"/>
    <w:rsid w:val="443928F3"/>
    <w:rsid w:val="445F7F16"/>
    <w:rsid w:val="446812D2"/>
    <w:rsid w:val="446F7A2D"/>
    <w:rsid w:val="44871D79"/>
    <w:rsid w:val="449F0313"/>
    <w:rsid w:val="44A44B31"/>
    <w:rsid w:val="44A91191"/>
    <w:rsid w:val="44AB6CB7"/>
    <w:rsid w:val="44B20203"/>
    <w:rsid w:val="44D426B2"/>
    <w:rsid w:val="44DF1057"/>
    <w:rsid w:val="44F248E6"/>
    <w:rsid w:val="44F405A8"/>
    <w:rsid w:val="451A208F"/>
    <w:rsid w:val="453749EF"/>
    <w:rsid w:val="453C3DB3"/>
    <w:rsid w:val="455235D7"/>
    <w:rsid w:val="45576E3F"/>
    <w:rsid w:val="45594965"/>
    <w:rsid w:val="455E1F7C"/>
    <w:rsid w:val="45637592"/>
    <w:rsid w:val="456A4DC4"/>
    <w:rsid w:val="458C7D0B"/>
    <w:rsid w:val="45B82995"/>
    <w:rsid w:val="45C5024D"/>
    <w:rsid w:val="45C81AEB"/>
    <w:rsid w:val="45E2466F"/>
    <w:rsid w:val="4611121F"/>
    <w:rsid w:val="46184820"/>
    <w:rsid w:val="46342CDD"/>
    <w:rsid w:val="465B470D"/>
    <w:rsid w:val="467066EF"/>
    <w:rsid w:val="468C2B19"/>
    <w:rsid w:val="46A9191C"/>
    <w:rsid w:val="46BB4D1E"/>
    <w:rsid w:val="46CD560B"/>
    <w:rsid w:val="46CE4EDF"/>
    <w:rsid w:val="46CF76DE"/>
    <w:rsid w:val="46FF32EA"/>
    <w:rsid w:val="470321F6"/>
    <w:rsid w:val="47044DA5"/>
    <w:rsid w:val="47347438"/>
    <w:rsid w:val="473A07C7"/>
    <w:rsid w:val="476B0980"/>
    <w:rsid w:val="47AC0237"/>
    <w:rsid w:val="47CF316E"/>
    <w:rsid w:val="47DB3D58"/>
    <w:rsid w:val="47E64B5C"/>
    <w:rsid w:val="47EA0BE5"/>
    <w:rsid w:val="47EB386F"/>
    <w:rsid w:val="47FB4ABF"/>
    <w:rsid w:val="48135CD5"/>
    <w:rsid w:val="481676AF"/>
    <w:rsid w:val="482A083B"/>
    <w:rsid w:val="48314507"/>
    <w:rsid w:val="48362D3C"/>
    <w:rsid w:val="48456DA7"/>
    <w:rsid w:val="4856518C"/>
    <w:rsid w:val="485D29BF"/>
    <w:rsid w:val="48643D4D"/>
    <w:rsid w:val="48A4239B"/>
    <w:rsid w:val="48B77A66"/>
    <w:rsid w:val="48C52312"/>
    <w:rsid w:val="490270C2"/>
    <w:rsid w:val="492E2692"/>
    <w:rsid w:val="493B2612"/>
    <w:rsid w:val="493E738B"/>
    <w:rsid w:val="4941408E"/>
    <w:rsid w:val="4970736E"/>
    <w:rsid w:val="4981448B"/>
    <w:rsid w:val="49861AA1"/>
    <w:rsid w:val="498D2E30"/>
    <w:rsid w:val="49A5202F"/>
    <w:rsid w:val="49B06B1E"/>
    <w:rsid w:val="49BA6EF9"/>
    <w:rsid w:val="49C65A76"/>
    <w:rsid w:val="49D56C33"/>
    <w:rsid w:val="49E113CD"/>
    <w:rsid w:val="49EC3FFA"/>
    <w:rsid w:val="49F7299F"/>
    <w:rsid w:val="4A162E25"/>
    <w:rsid w:val="4A201EF6"/>
    <w:rsid w:val="4A2D4613"/>
    <w:rsid w:val="4A370FED"/>
    <w:rsid w:val="4A404346"/>
    <w:rsid w:val="4A52355A"/>
    <w:rsid w:val="4A8568AA"/>
    <w:rsid w:val="4A867F75"/>
    <w:rsid w:val="4A8F69E9"/>
    <w:rsid w:val="4A9664FF"/>
    <w:rsid w:val="4AB03279"/>
    <w:rsid w:val="4AC7411F"/>
    <w:rsid w:val="4ADA735A"/>
    <w:rsid w:val="4AE27640"/>
    <w:rsid w:val="4AE66C9B"/>
    <w:rsid w:val="4B7D0C82"/>
    <w:rsid w:val="4B984363"/>
    <w:rsid w:val="4BA44460"/>
    <w:rsid w:val="4BA72908"/>
    <w:rsid w:val="4BB01057"/>
    <w:rsid w:val="4BB96C17"/>
    <w:rsid w:val="4BCD39B7"/>
    <w:rsid w:val="4BD4520F"/>
    <w:rsid w:val="4BD9235C"/>
    <w:rsid w:val="4C002510"/>
    <w:rsid w:val="4C0118B3"/>
    <w:rsid w:val="4C0F3FD0"/>
    <w:rsid w:val="4C107D48"/>
    <w:rsid w:val="4C5145E8"/>
    <w:rsid w:val="4C520360"/>
    <w:rsid w:val="4C567E51"/>
    <w:rsid w:val="4C57465C"/>
    <w:rsid w:val="4C5900BC"/>
    <w:rsid w:val="4C7D362F"/>
    <w:rsid w:val="4C7E73A7"/>
    <w:rsid w:val="4C8E7415"/>
    <w:rsid w:val="4C907553"/>
    <w:rsid w:val="4C955995"/>
    <w:rsid w:val="4C995F8F"/>
    <w:rsid w:val="4CA25A14"/>
    <w:rsid w:val="4CA94424"/>
    <w:rsid w:val="4CAD46FD"/>
    <w:rsid w:val="4CC11A74"/>
    <w:rsid w:val="4CC81A74"/>
    <w:rsid w:val="4CCB02D2"/>
    <w:rsid w:val="4CD11285"/>
    <w:rsid w:val="4CD60F91"/>
    <w:rsid w:val="4CDA2830"/>
    <w:rsid w:val="4CDD5E7C"/>
    <w:rsid w:val="4CF80F08"/>
    <w:rsid w:val="4CFD094D"/>
    <w:rsid w:val="4CFF2296"/>
    <w:rsid w:val="4D094EC3"/>
    <w:rsid w:val="4D241CFD"/>
    <w:rsid w:val="4D48391E"/>
    <w:rsid w:val="4D4971D6"/>
    <w:rsid w:val="4D7054B5"/>
    <w:rsid w:val="4D814A59"/>
    <w:rsid w:val="4D9F1383"/>
    <w:rsid w:val="4DAD0C28"/>
    <w:rsid w:val="4DD728CB"/>
    <w:rsid w:val="4DE06DD5"/>
    <w:rsid w:val="4E044BF2"/>
    <w:rsid w:val="4E0B07C7"/>
    <w:rsid w:val="4E261AA5"/>
    <w:rsid w:val="4E540A58"/>
    <w:rsid w:val="4EA74993"/>
    <w:rsid w:val="4EB22E53"/>
    <w:rsid w:val="4EC3497B"/>
    <w:rsid w:val="4F04425E"/>
    <w:rsid w:val="4F0E056F"/>
    <w:rsid w:val="4F3A75B6"/>
    <w:rsid w:val="4F5F154A"/>
    <w:rsid w:val="4F701D58"/>
    <w:rsid w:val="4FAF7EFA"/>
    <w:rsid w:val="4FC13833"/>
    <w:rsid w:val="50080C22"/>
    <w:rsid w:val="501E21C5"/>
    <w:rsid w:val="50395ABF"/>
    <w:rsid w:val="505869A7"/>
    <w:rsid w:val="506F14E1"/>
    <w:rsid w:val="5089032A"/>
    <w:rsid w:val="50983711"/>
    <w:rsid w:val="50A440DB"/>
    <w:rsid w:val="50B45B0C"/>
    <w:rsid w:val="50E13A61"/>
    <w:rsid w:val="51051E45"/>
    <w:rsid w:val="510F6820"/>
    <w:rsid w:val="51177ECF"/>
    <w:rsid w:val="5119144D"/>
    <w:rsid w:val="51595CED"/>
    <w:rsid w:val="516F72BF"/>
    <w:rsid w:val="51856AE2"/>
    <w:rsid w:val="519136D9"/>
    <w:rsid w:val="519E14F8"/>
    <w:rsid w:val="51AF590D"/>
    <w:rsid w:val="51BA49DE"/>
    <w:rsid w:val="51BC1787"/>
    <w:rsid w:val="51D610EC"/>
    <w:rsid w:val="51E86599"/>
    <w:rsid w:val="51F04020"/>
    <w:rsid w:val="51FE0D6E"/>
    <w:rsid w:val="521237FC"/>
    <w:rsid w:val="524349D3"/>
    <w:rsid w:val="524D5555"/>
    <w:rsid w:val="525F0713"/>
    <w:rsid w:val="528F6754"/>
    <w:rsid w:val="529671F9"/>
    <w:rsid w:val="529C2335"/>
    <w:rsid w:val="529E1C09"/>
    <w:rsid w:val="52B0193D"/>
    <w:rsid w:val="52B551A5"/>
    <w:rsid w:val="52BE04FE"/>
    <w:rsid w:val="52C04276"/>
    <w:rsid w:val="52DE64AA"/>
    <w:rsid w:val="531E2D4A"/>
    <w:rsid w:val="532365B3"/>
    <w:rsid w:val="53373E0C"/>
    <w:rsid w:val="533D7674"/>
    <w:rsid w:val="53467176"/>
    <w:rsid w:val="53476745"/>
    <w:rsid w:val="538E5F89"/>
    <w:rsid w:val="53B611D5"/>
    <w:rsid w:val="53D33B35"/>
    <w:rsid w:val="53DE6642"/>
    <w:rsid w:val="53E53868"/>
    <w:rsid w:val="53F227FF"/>
    <w:rsid w:val="53F96D5D"/>
    <w:rsid w:val="54091C4C"/>
    <w:rsid w:val="540D0751"/>
    <w:rsid w:val="54210D44"/>
    <w:rsid w:val="5422529D"/>
    <w:rsid w:val="542A76F3"/>
    <w:rsid w:val="5452714F"/>
    <w:rsid w:val="545A03D8"/>
    <w:rsid w:val="547D1CF3"/>
    <w:rsid w:val="549E2395"/>
    <w:rsid w:val="54A10956"/>
    <w:rsid w:val="54F16968"/>
    <w:rsid w:val="54F9581D"/>
    <w:rsid w:val="54FD35CB"/>
    <w:rsid w:val="54FE120F"/>
    <w:rsid w:val="55230AEC"/>
    <w:rsid w:val="55474D90"/>
    <w:rsid w:val="5556122E"/>
    <w:rsid w:val="55690BF5"/>
    <w:rsid w:val="556B681E"/>
    <w:rsid w:val="557E543A"/>
    <w:rsid w:val="559B4E20"/>
    <w:rsid w:val="55A16DFF"/>
    <w:rsid w:val="55C951EF"/>
    <w:rsid w:val="55D95479"/>
    <w:rsid w:val="55EA4A72"/>
    <w:rsid w:val="55F01743"/>
    <w:rsid w:val="55F80501"/>
    <w:rsid w:val="55FB7373"/>
    <w:rsid w:val="560B3A5A"/>
    <w:rsid w:val="565F3DA6"/>
    <w:rsid w:val="566B44F9"/>
    <w:rsid w:val="566D64C3"/>
    <w:rsid w:val="569C6DA8"/>
    <w:rsid w:val="56A24C36"/>
    <w:rsid w:val="56AD68BF"/>
    <w:rsid w:val="56AE2637"/>
    <w:rsid w:val="56BF65F2"/>
    <w:rsid w:val="56CD680F"/>
    <w:rsid w:val="56F71F0D"/>
    <w:rsid w:val="56FC7846"/>
    <w:rsid w:val="572648C3"/>
    <w:rsid w:val="572927F8"/>
    <w:rsid w:val="572D203D"/>
    <w:rsid w:val="573B5D90"/>
    <w:rsid w:val="574B1842"/>
    <w:rsid w:val="576A47B0"/>
    <w:rsid w:val="57701263"/>
    <w:rsid w:val="57802226"/>
    <w:rsid w:val="578C4726"/>
    <w:rsid w:val="578D66F1"/>
    <w:rsid w:val="57A10B57"/>
    <w:rsid w:val="57DB3900"/>
    <w:rsid w:val="57E24C8E"/>
    <w:rsid w:val="57E9601D"/>
    <w:rsid w:val="57FB365A"/>
    <w:rsid w:val="580764A3"/>
    <w:rsid w:val="58080C65"/>
    <w:rsid w:val="582157B7"/>
    <w:rsid w:val="583E3F5E"/>
    <w:rsid w:val="58474AF1"/>
    <w:rsid w:val="58594DCC"/>
    <w:rsid w:val="58607995"/>
    <w:rsid w:val="58896EB8"/>
    <w:rsid w:val="5895585D"/>
    <w:rsid w:val="58A03E85"/>
    <w:rsid w:val="58A67F87"/>
    <w:rsid w:val="58B45C07"/>
    <w:rsid w:val="58DA3BB7"/>
    <w:rsid w:val="58E42340"/>
    <w:rsid w:val="58F05189"/>
    <w:rsid w:val="59030A18"/>
    <w:rsid w:val="59097FF9"/>
    <w:rsid w:val="590D4ADB"/>
    <w:rsid w:val="590E3FC1"/>
    <w:rsid w:val="59247A93"/>
    <w:rsid w:val="592D31E7"/>
    <w:rsid w:val="59505DD3"/>
    <w:rsid w:val="59575208"/>
    <w:rsid w:val="595E20F3"/>
    <w:rsid w:val="59706A3E"/>
    <w:rsid w:val="59A450EF"/>
    <w:rsid w:val="59B47F65"/>
    <w:rsid w:val="59BE4D82"/>
    <w:rsid w:val="59BE5FF6"/>
    <w:rsid w:val="59C12681"/>
    <w:rsid w:val="59CD7278"/>
    <w:rsid w:val="59D77FD1"/>
    <w:rsid w:val="59E200C2"/>
    <w:rsid w:val="59ED3476"/>
    <w:rsid w:val="59F2732D"/>
    <w:rsid w:val="59FE68ED"/>
    <w:rsid w:val="5A006C9B"/>
    <w:rsid w:val="5A04713E"/>
    <w:rsid w:val="5A366BCB"/>
    <w:rsid w:val="5A455061"/>
    <w:rsid w:val="5AA050D8"/>
    <w:rsid w:val="5AA734EC"/>
    <w:rsid w:val="5AC468CD"/>
    <w:rsid w:val="5AC92B10"/>
    <w:rsid w:val="5ACB37B8"/>
    <w:rsid w:val="5ADC4F12"/>
    <w:rsid w:val="5AE107FB"/>
    <w:rsid w:val="5B13515F"/>
    <w:rsid w:val="5B177AA6"/>
    <w:rsid w:val="5B394BC5"/>
    <w:rsid w:val="5B3A6B8F"/>
    <w:rsid w:val="5B5C222A"/>
    <w:rsid w:val="5B765E19"/>
    <w:rsid w:val="5B775548"/>
    <w:rsid w:val="5B835BCD"/>
    <w:rsid w:val="5B8A71CF"/>
    <w:rsid w:val="5B9E711E"/>
    <w:rsid w:val="5BAF4E87"/>
    <w:rsid w:val="5BD201FA"/>
    <w:rsid w:val="5BDA4A94"/>
    <w:rsid w:val="5BEB6D33"/>
    <w:rsid w:val="5BFC7A7E"/>
    <w:rsid w:val="5C1709D2"/>
    <w:rsid w:val="5C25514A"/>
    <w:rsid w:val="5C2C64D8"/>
    <w:rsid w:val="5C443FC5"/>
    <w:rsid w:val="5C4A0BAB"/>
    <w:rsid w:val="5C4F21C6"/>
    <w:rsid w:val="5C657C3C"/>
    <w:rsid w:val="5CBA3AE4"/>
    <w:rsid w:val="5CD14553"/>
    <w:rsid w:val="5CFE75C2"/>
    <w:rsid w:val="5D0E3E30"/>
    <w:rsid w:val="5D156F6C"/>
    <w:rsid w:val="5D1839D2"/>
    <w:rsid w:val="5D2E60F1"/>
    <w:rsid w:val="5D667D88"/>
    <w:rsid w:val="5D746389"/>
    <w:rsid w:val="5D9500AD"/>
    <w:rsid w:val="5DBB1B81"/>
    <w:rsid w:val="5DD9443E"/>
    <w:rsid w:val="5DEA664B"/>
    <w:rsid w:val="5DED7EE9"/>
    <w:rsid w:val="5E2926FE"/>
    <w:rsid w:val="5E3E0745"/>
    <w:rsid w:val="5E420235"/>
    <w:rsid w:val="5E5B4E53"/>
    <w:rsid w:val="5E7F3237"/>
    <w:rsid w:val="5E826883"/>
    <w:rsid w:val="5E846949"/>
    <w:rsid w:val="5E954808"/>
    <w:rsid w:val="5E9E175A"/>
    <w:rsid w:val="5EAF2AE6"/>
    <w:rsid w:val="5EBA426F"/>
    <w:rsid w:val="5EC62C14"/>
    <w:rsid w:val="5ECC7AFE"/>
    <w:rsid w:val="5ED657BB"/>
    <w:rsid w:val="5EDD50A1"/>
    <w:rsid w:val="5EF86B45"/>
    <w:rsid w:val="5EFD0600"/>
    <w:rsid w:val="5F0B6879"/>
    <w:rsid w:val="5F2E6A0B"/>
    <w:rsid w:val="5F4E49B7"/>
    <w:rsid w:val="5F5A7800"/>
    <w:rsid w:val="5F766F13"/>
    <w:rsid w:val="5F7A0949"/>
    <w:rsid w:val="5F954394"/>
    <w:rsid w:val="5FAF7B5C"/>
    <w:rsid w:val="5FCC6AA8"/>
    <w:rsid w:val="5FD2383A"/>
    <w:rsid w:val="5FF23595"/>
    <w:rsid w:val="5FFA069B"/>
    <w:rsid w:val="60017C7C"/>
    <w:rsid w:val="602624D9"/>
    <w:rsid w:val="602C4CF9"/>
    <w:rsid w:val="6058433C"/>
    <w:rsid w:val="6075096D"/>
    <w:rsid w:val="607641C6"/>
    <w:rsid w:val="608120FB"/>
    <w:rsid w:val="608C39E9"/>
    <w:rsid w:val="60AE0CBB"/>
    <w:rsid w:val="60B44CEE"/>
    <w:rsid w:val="60EC092C"/>
    <w:rsid w:val="610E08A2"/>
    <w:rsid w:val="611B20B9"/>
    <w:rsid w:val="615F4C5A"/>
    <w:rsid w:val="61761FA3"/>
    <w:rsid w:val="61952D71"/>
    <w:rsid w:val="619E7E05"/>
    <w:rsid w:val="619F1626"/>
    <w:rsid w:val="61D27B22"/>
    <w:rsid w:val="61F45CEA"/>
    <w:rsid w:val="62015D11"/>
    <w:rsid w:val="622A34BA"/>
    <w:rsid w:val="623205C0"/>
    <w:rsid w:val="625D09DE"/>
    <w:rsid w:val="627C183B"/>
    <w:rsid w:val="6291178B"/>
    <w:rsid w:val="62BE4EA7"/>
    <w:rsid w:val="62D022B3"/>
    <w:rsid w:val="62E06D1C"/>
    <w:rsid w:val="62F12229"/>
    <w:rsid w:val="62F35FA1"/>
    <w:rsid w:val="6300421A"/>
    <w:rsid w:val="630D63C6"/>
    <w:rsid w:val="632E0D88"/>
    <w:rsid w:val="633F2F95"/>
    <w:rsid w:val="63493A10"/>
    <w:rsid w:val="635A1B7D"/>
    <w:rsid w:val="63807109"/>
    <w:rsid w:val="63871D3B"/>
    <w:rsid w:val="63C27722"/>
    <w:rsid w:val="63C32B18"/>
    <w:rsid w:val="63DB022A"/>
    <w:rsid w:val="63E92F01"/>
    <w:rsid w:val="63F907C6"/>
    <w:rsid w:val="641F7AB2"/>
    <w:rsid w:val="64395C36"/>
    <w:rsid w:val="64630F05"/>
    <w:rsid w:val="646507D9"/>
    <w:rsid w:val="648B3FB8"/>
    <w:rsid w:val="648F6CB2"/>
    <w:rsid w:val="64A66BD3"/>
    <w:rsid w:val="64AD03D2"/>
    <w:rsid w:val="64E738E4"/>
    <w:rsid w:val="65000783"/>
    <w:rsid w:val="650112CB"/>
    <w:rsid w:val="6509385A"/>
    <w:rsid w:val="650A75D2"/>
    <w:rsid w:val="653F3F71"/>
    <w:rsid w:val="657D6F6E"/>
    <w:rsid w:val="65B37C6A"/>
    <w:rsid w:val="65C05B14"/>
    <w:rsid w:val="65C309CF"/>
    <w:rsid w:val="65D8322D"/>
    <w:rsid w:val="65DE4CE7"/>
    <w:rsid w:val="65E17B5A"/>
    <w:rsid w:val="65E240AB"/>
    <w:rsid w:val="66252916"/>
    <w:rsid w:val="662621EA"/>
    <w:rsid w:val="66285F62"/>
    <w:rsid w:val="66293A88"/>
    <w:rsid w:val="66390AFD"/>
    <w:rsid w:val="667411A7"/>
    <w:rsid w:val="6692162D"/>
    <w:rsid w:val="669D46E2"/>
    <w:rsid w:val="669E7FD2"/>
    <w:rsid w:val="66A51361"/>
    <w:rsid w:val="66A827DC"/>
    <w:rsid w:val="66B45A48"/>
    <w:rsid w:val="66D9725C"/>
    <w:rsid w:val="671464E6"/>
    <w:rsid w:val="67242BCD"/>
    <w:rsid w:val="672D4A0D"/>
    <w:rsid w:val="673152EA"/>
    <w:rsid w:val="673F17B5"/>
    <w:rsid w:val="67437A3D"/>
    <w:rsid w:val="674548F2"/>
    <w:rsid w:val="676314F1"/>
    <w:rsid w:val="67742476"/>
    <w:rsid w:val="67751F14"/>
    <w:rsid w:val="678673E4"/>
    <w:rsid w:val="67A812F4"/>
    <w:rsid w:val="67B70DFE"/>
    <w:rsid w:val="67B83316"/>
    <w:rsid w:val="67BC2E06"/>
    <w:rsid w:val="67D53EC8"/>
    <w:rsid w:val="67E45EB9"/>
    <w:rsid w:val="67EC1211"/>
    <w:rsid w:val="67F1102B"/>
    <w:rsid w:val="68093B71"/>
    <w:rsid w:val="680B78E9"/>
    <w:rsid w:val="6821234D"/>
    <w:rsid w:val="682C160E"/>
    <w:rsid w:val="685F19E3"/>
    <w:rsid w:val="686F60CA"/>
    <w:rsid w:val="6873723D"/>
    <w:rsid w:val="68967484"/>
    <w:rsid w:val="68B47F81"/>
    <w:rsid w:val="68B735CD"/>
    <w:rsid w:val="68BC3EF8"/>
    <w:rsid w:val="68D777CC"/>
    <w:rsid w:val="68E47376"/>
    <w:rsid w:val="68F4037D"/>
    <w:rsid w:val="6922167D"/>
    <w:rsid w:val="692350BF"/>
    <w:rsid w:val="693370F8"/>
    <w:rsid w:val="6945507D"/>
    <w:rsid w:val="69470DF5"/>
    <w:rsid w:val="694B5C28"/>
    <w:rsid w:val="696E6CF7"/>
    <w:rsid w:val="6984688D"/>
    <w:rsid w:val="698C6808"/>
    <w:rsid w:val="699E02E9"/>
    <w:rsid w:val="69CF3481"/>
    <w:rsid w:val="69D00DEB"/>
    <w:rsid w:val="69FF31EF"/>
    <w:rsid w:val="6A1A2066"/>
    <w:rsid w:val="6A222CC8"/>
    <w:rsid w:val="6A5F5CCB"/>
    <w:rsid w:val="6A615EE7"/>
    <w:rsid w:val="6A6766E4"/>
    <w:rsid w:val="6A7A2B04"/>
    <w:rsid w:val="6A965BB5"/>
    <w:rsid w:val="6AA10091"/>
    <w:rsid w:val="6AA61B4B"/>
    <w:rsid w:val="6AB8592C"/>
    <w:rsid w:val="6AC02C0D"/>
    <w:rsid w:val="6ADE3093"/>
    <w:rsid w:val="6B0F5943"/>
    <w:rsid w:val="6B4A697B"/>
    <w:rsid w:val="6B6C68F1"/>
    <w:rsid w:val="6B96571C"/>
    <w:rsid w:val="6BA442DD"/>
    <w:rsid w:val="6BB42046"/>
    <w:rsid w:val="6BBB1626"/>
    <w:rsid w:val="6BC424DC"/>
    <w:rsid w:val="6BDB75D3"/>
    <w:rsid w:val="6BE23524"/>
    <w:rsid w:val="6BF95CAB"/>
    <w:rsid w:val="6C1A70D2"/>
    <w:rsid w:val="6C53185F"/>
    <w:rsid w:val="6C801A18"/>
    <w:rsid w:val="6C835763"/>
    <w:rsid w:val="6C9C6D62"/>
    <w:rsid w:val="6CA976D1"/>
    <w:rsid w:val="6CAB51F7"/>
    <w:rsid w:val="6CB00A5F"/>
    <w:rsid w:val="6CDF5853"/>
    <w:rsid w:val="6CE85CBF"/>
    <w:rsid w:val="6CF74924"/>
    <w:rsid w:val="6D015F84"/>
    <w:rsid w:val="6D17288C"/>
    <w:rsid w:val="6D266F73"/>
    <w:rsid w:val="6D323B6A"/>
    <w:rsid w:val="6D390A55"/>
    <w:rsid w:val="6D410509"/>
    <w:rsid w:val="6D5B09CB"/>
    <w:rsid w:val="6D655CEE"/>
    <w:rsid w:val="6D6F4477"/>
    <w:rsid w:val="6DAF6F69"/>
    <w:rsid w:val="6DB43A90"/>
    <w:rsid w:val="6DC718F1"/>
    <w:rsid w:val="6DF06593"/>
    <w:rsid w:val="6E057C20"/>
    <w:rsid w:val="6E1F7C4B"/>
    <w:rsid w:val="6E641B01"/>
    <w:rsid w:val="6E7066F8"/>
    <w:rsid w:val="6E805CF1"/>
    <w:rsid w:val="6E82642B"/>
    <w:rsid w:val="6F03756C"/>
    <w:rsid w:val="6F1C23DC"/>
    <w:rsid w:val="6F27744D"/>
    <w:rsid w:val="6F2F6E1D"/>
    <w:rsid w:val="6F3843B2"/>
    <w:rsid w:val="6F4A141A"/>
    <w:rsid w:val="6F533DC0"/>
    <w:rsid w:val="6F6D70DC"/>
    <w:rsid w:val="6F8A5598"/>
    <w:rsid w:val="6FB645DF"/>
    <w:rsid w:val="6FBB39A3"/>
    <w:rsid w:val="6FCE7B7A"/>
    <w:rsid w:val="6FD56AEC"/>
    <w:rsid w:val="6FE729EA"/>
    <w:rsid w:val="6FF0654E"/>
    <w:rsid w:val="7020414E"/>
    <w:rsid w:val="702A0B29"/>
    <w:rsid w:val="702A28D7"/>
    <w:rsid w:val="703210FB"/>
    <w:rsid w:val="703B6CD7"/>
    <w:rsid w:val="703D260A"/>
    <w:rsid w:val="703E67C2"/>
    <w:rsid w:val="70455963"/>
    <w:rsid w:val="70596D82"/>
    <w:rsid w:val="705C33D8"/>
    <w:rsid w:val="70A42689"/>
    <w:rsid w:val="70BD374B"/>
    <w:rsid w:val="70E319B5"/>
    <w:rsid w:val="70F133F4"/>
    <w:rsid w:val="71031AA6"/>
    <w:rsid w:val="71067269"/>
    <w:rsid w:val="711374C5"/>
    <w:rsid w:val="71314722"/>
    <w:rsid w:val="71467832"/>
    <w:rsid w:val="7148086A"/>
    <w:rsid w:val="71610C71"/>
    <w:rsid w:val="71641ECA"/>
    <w:rsid w:val="71A4397A"/>
    <w:rsid w:val="71A5106C"/>
    <w:rsid w:val="71A566B9"/>
    <w:rsid w:val="71A87F57"/>
    <w:rsid w:val="71D84CE0"/>
    <w:rsid w:val="723932A5"/>
    <w:rsid w:val="72473C14"/>
    <w:rsid w:val="72542C05"/>
    <w:rsid w:val="725B1FB2"/>
    <w:rsid w:val="725B2386"/>
    <w:rsid w:val="72747C8C"/>
    <w:rsid w:val="728B1D53"/>
    <w:rsid w:val="728B549A"/>
    <w:rsid w:val="728F1117"/>
    <w:rsid w:val="72907369"/>
    <w:rsid w:val="72BF7C4E"/>
    <w:rsid w:val="72C54B39"/>
    <w:rsid w:val="72DF6B7C"/>
    <w:rsid w:val="72F07E08"/>
    <w:rsid w:val="72FD155C"/>
    <w:rsid w:val="73610D05"/>
    <w:rsid w:val="739E095E"/>
    <w:rsid w:val="73AB1F81"/>
    <w:rsid w:val="73CA68AB"/>
    <w:rsid w:val="73CB44C1"/>
    <w:rsid w:val="73E6120B"/>
    <w:rsid w:val="73EB05CF"/>
    <w:rsid w:val="73F13E37"/>
    <w:rsid w:val="741B0EB4"/>
    <w:rsid w:val="7420296E"/>
    <w:rsid w:val="7459523B"/>
    <w:rsid w:val="74746816"/>
    <w:rsid w:val="747B5DF7"/>
    <w:rsid w:val="74A25132"/>
    <w:rsid w:val="74B35591"/>
    <w:rsid w:val="74CF1C9F"/>
    <w:rsid w:val="74D15A17"/>
    <w:rsid w:val="74F82FA3"/>
    <w:rsid w:val="75016C0B"/>
    <w:rsid w:val="75044386"/>
    <w:rsid w:val="75071439"/>
    <w:rsid w:val="751678CE"/>
    <w:rsid w:val="7517700E"/>
    <w:rsid w:val="7522622B"/>
    <w:rsid w:val="75271ADB"/>
    <w:rsid w:val="753239A2"/>
    <w:rsid w:val="75480117"/>
    <w:rsid w:val="7557416E"/>
    <w:rsid w:val="756B19C7"/>
    <w:rsid w:val="756D3991"/>
    <w:rsid w:val="75A40753"/>
    <w:rsid w:val="75D566CD"/>
    <w:rsid w:val="75E63744"/>
    <w:rsid w:val="76065B94"/>
    <w:rsid w:val="7621477C"/>
    <w:rsid w:val="76440735"/>
    <w:rsid w:val="76612DCA"/>
    <w:rsid w:val="76642521"/>
    <w:rsid w:val="76666421"/>
    <w:rsid w:val="766D79C1"/>
    <w:rsid w:val="76780840"/>
    <w:rsid w:val="76966F18"/>
    <w:rsid w:val="76AA4597"/>
    <w:rsid w:val="76AF3B36"/>
    <w:rsid w:val="76C27D0D"/>
    <w:rsid w:val="76DA5057"/>
    <w:rsid w:val="76E2215D"/>
    <w:rsid w:val="76EC6B38"/>
    <w:rsid w:val="76FC5BC6"/>
    <w:rsid w:val="771B741D"/>
    <w:rsid w:val="772207AC"/>
    <w:rsid w:val="772B58B2"/>
    <w:rsid w:val="77487007"/>
    <w:rsid w:val="777668B4"/>
    <w:rsid w:val="778E5E41"/>
    <w:rsid w:val="77985E5E"/>
    <w:rsid w:val="77A967D7"/>
    <w:rsid w:val="77E872FF"/>
    <w:rsid w:val="77FC6F6B"/>
    <w:rsid w:val="78320EC2"/>
    <w:rsid w:val="78550278"/>
    <w:rsid w:val="787E5EB6"/>
    <w:rsid w:val="788758AB"/>
    <w:rsid w:val="789E20B4"/>
    <w:rsid w:val="78C230D4"/>
    <w:rsid w:val="78DB3308"/>
    <w:rsid w:val="78DC14F7"/>
    <w:rsid w:val="78DC44DF"/>
    <w:rsid w:val="78E26444"/>
    <w:rsid w:val="78F30652"/>
    <w:rsid w:val="791F1447"/>
    <w:rsid w:val="79224A93"/>
    <w:rsid w:val="795C61F7"/>
    <w:rsid w:val="795D0B6D"/>
    <w:rsid w:val="79646E59"/>
    <w:rsid w:val="796C5D0E"/>
    <w:rsid w:val="797D709E"/>
    <w:rsid w:val="798412AA"/>
    <w:rsid w:val="798870BE"/>
    <w:rsid w:val="798F7942"/>
    <w:rsid w:val="799A0ACD"/>
    <w:rsid w:val="79B25D48"/>
    <w:rsid w:val="79B87C08"/>
    <w:rsid w:val="79C36487"/>
    <w:rsid w:val="79F10830"/>
    <w:rsid w:val="79FA5A10"/>
    <w:rsid w:val="7A09605E"/>
    <w:rsid w:val="7A0F3269"/>
    <w:rsid w:val="7A287E87"/>
    <w:rsid w:val="7A480529"/>
    <w:rsid w:val="7A676AD2"/>
    <w:rsid w:val="7A715CD2"/>
    <w:rsid w:val="7A765096"/>
    <w:rsid w:val="7ABC0ABE"/>
    <w:rsid w:val="7B0242B2"/>
    <w:rsid w:val="7B095F0A"/>
    <w:rsid w:val="7B203254"/>
    <w:rsid w:val="7B332F87"/>
    <w:rsid w:val="7B4512D9"/>
    <w:rsid w:val="7B4B6523"/>
    <w:rsid w:val="7B8F3F36"/>
    <w:rsid w:val="7B9C6593"/>
    <w:rsid w:val="7BA21EBB"/>
    <w:rsid w:val="7BC65BA9"/>
    <w:rsid w:val="7BD012A5"/>
    <w:rsid w:val="7BF0290E"/>
    <w:rsid w:val="7BFD33D2"/>
    <w:rsid w:val="7C125D37"/>
    <w:rsid w:val="7C1E3C37"/>
    <w:rsid w:val="7C480CB4"/>
    <w:rsid w:val="7C501917"/>
    <w:rsid w:val="7C6364E6"/>
    <w:rsid w:val="7C776EA4"/>
    <w:rsid w:val="7C8F0691"/>
    <w:rsid w:val="7C977546"/>
    <w:rsid w:val="7CA103C5"/>
    <w:rsid w:val="7CA35EEB"/>
    <w:rsid w:val="7CCF6CE0"/>
    <w:rsid w:val="7CF60710"/>
    <w:rsid w:val="7D0D7808"/>
    <w:rsid w:val="7D0F17D2"/>
    <w:rsid w:val="7D276244"/>
    <w:rsid w:val="7D536175"/>
    <w:rsid w:val="7D537911"/>
    <w:rsid w:val="7D7004C3"/>
    <w:rsid w:val="7D9B26AB"/>
    <w:rsid w:val="7DBB1012"/>
    <w:rsid w:val="7DD6409E"/>
    <w:rsid w:val="7DE95B7F"/>
    <w:rsid w:val="7DF6306A"/>
    <w:rsid w:val="7E0155BF"/>
    <w:rsid w:val="7E9975A5"/>
    <w:rsid w:val="7EB536D1"/>
    <w:rsid w:val="7EBE0DBA"/>
    <w:rsid w:val="7ECB34D7"/>
    <w:rsid w:val="7ECE7E1D"/>
    <w:rsid w:val="7ED14F91"/>
    <w:rsid w:val="7ED72141"/>
    <w:rsid w:val="7EF742CC"/>
    <w:rsid w:val="7EF96296"/>
    <w:rsid w:val="7F016C0F"/>
    <w:rsid w:val="7F016EF9"/>
    <w:rsid w:val="7F2639C1"/>
    <w:rsid w:val="7F2F3A66"/>
    <w:rsid w:val="7F3217A8"/>
    <w:rsid w:val="7F4E6660"/>
    <w:rsid w:val="7F572FBC"/>
    <w:rsid w:val="7F6C6A68"/>
    <w:rsid w:val="7F78494A"/>
    <w:rsid w:val="7F866A55"/>
    <w:rsid w:val="7F9D0021"/>
    <w:rsid w:val="7F9F508F"/>
    <w:rsid w:val="7FB14DC3"/>
    <w:rsid w:val="7FCE0033"/>
    <w:rsid w:val="7FDA33F8"/>
    <w:rsid w:val="7FE01204"/>
    <w:rsid w:val="7FF058EB"/>
    <w:rsid w:val="FDFF2F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微软雅黑"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qFormat="1"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qFormat="1"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4"/>
      <w:lang w:val="en-US" w:eastAsia="zh-CN" w:bidi="ar-SA"/>
    </w:rPr>
  </w:style>
  <w:style w:type="paragraph" w:styleId="3">
    <w:name w:val="heading 1"/>
    <w:basedOn w:val="1"/>
    <w:next w:val="1"/>
    <w:link w:val="43"/>
    <w:autoRedefine/>
    <w:qFormat/>
    <w:uiPriority w:val="9"/>
    <w:pPr>
      <w:spacing w:line="360" w:lineRule="auto"/>
      <w:jc w:val="center"/>
      <w:outlineLvl w:val="0"/>
    </w:pPr>
    <w:rPr>
      <w:rFonts w:eastAsia="隶书"/>
      <w:b/>
      <w:sz w:val="36"/>
      <w:szCs w:val="36"/>
    </w:rPr>
  </w:style>
  <w:style w:type="paragraph" w:styleId="4">
    <w:name w:val="heading 2"/>
    <w:basedOn w:val="1"/>
    <w:next w:val="1"/>
    <w:link w:val="44"/>
    <w:autoRedefine/>
    <w:qFormat/>
    <w:uiPriority w:val="9"/>
    <w:pPr>
      <w:keepNext/>
      <w:keepLines/>
      <w:outlineLvl w:val="1"/>
    </w:pPr>
    <w:rPr>
      <w:rFonts w:ascii="Arial" w:hAnsi="Arial" w:eastAsia="黑体" w:cs="Arial"/>
      <w:b/>
      <w:sz w:val="32"/>
      <w:szCs w:val="32"/>
    </w:rPr>
  </w:style>
  <w:style w:type="paragraph" w:styleId="5">
    <w:name w:val="heading 3"/>
    <w:basedOn w:val="1"/>
    <w:next w:val="1"/>
    <w:link w:val="52"/>
    <w:autoRedefine/>
    <w:qFormat/>
    <w:uiPriority w:val="9"/>
    <w:pPr>
      <w:keepNext/>
      <w:keepLines/>
      <w:tabs>
        <w:tab w:val="left" w:pos="778"/>
      </w:tabs>
      <w:spacing w:beforeLines="50" w:afterLines="50" w:line="360" w:lineRule="auto"/>
      <w:ind w:firstLine="138" w:firstLineChars="49"/>
      <w:outlineLvl w:val="2"/>
    </w:pPr>
    <w:rPr>
      <w:rFonts w:ascii="Arial" w:hAnsi="Arial"/>
      <w:b/>
      <w:kern w:val="0"/>
      <w:sz w:val="28"/>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45"/>
    <w:autoRedefine/>
    <w:unhideWhenUsed/>
    <w:qFormat/>
    <w:uiPriority w:val="0"/>
    <w:pPr>
      <w:spacing w:after="120"/>
    </w:pPr>
  </w:style>
  <w:style w:type="paragraph" w:styleId="6">
    <w:name w:val="List Number 2"/>
    <w:basedOn w:val="1"/>
    <w:autoRedefine/>
    <w:semiHidden/>
    <w:unhideWhenUsed/>
    <w:qFormat/>
    <w:uiPriority w:val="99"/>
    <w:pPr>
      <w:numPr>
        <w:ilvl w:val="0"/>
        <w:numId w:val="1"/>
      </w:numPr>
    </w:pPr>
  </w:style>
  <w:style w:type="paragraph" w:styleId="7">
    <w:name w:val="table of authorities"/>
    <w:basedOn w:val="1"/>
    <w:next w:val="1"/>
    <w:autoRedefine/>
    <w:qFormat/>
    <w:uiPriority w:val="0"/>
    <w:pPr>
      <w:ind w:left="420" w:leftChars="200"/>
    </w:pPr>
  </w:style>
  <w:style w:type="paragraph" w:styleId="8">
    <w:name w:val="List Number"/>
    <w:basedOn w:val="1"/>
    <w:autoRedefine/>
    <w:unhideWhenUsed/>
    <w:qFormat/>
    <w:uiPriority w:val="0"/>
    <w:pPr>
      <w:numPr>
        <w:ilvl w:val="0"/>
        <w:numId w:val="2"/>
      </w:numPr>
      <w:contextualSpacing/>
    </w:pPr>
  </w:style>
  <w:style w:type="paragraph" w:styleId="9">
    <w:name w:val="Normal Indent"/>
    <w:basedOn w:val="1"/>
    <w:next w:val="1"/>
    <w:link w:val="71"/>
    <w:autoRedefine/>
    <w:qFormat/>
    <w:uiPriority w:val="0"/>
    <w:pPr>
      <w:ind w:firstLine="420"/>
    </w:pPr>
  </w:style>
  <w:style w:type="paragraph" w:styleId="10">
    <w:name w:val="caption"/>
    <w:basedOn w:val="1"/>
    <w:next w:val="1"/>
    <w:autoRedefine/>
    <w:qFormat/>
    <w:uiPriority w:val="0"/>
    <w:pPr>
      <w:spacing w:before="152" w:after="160"/>
    </w:pPr>
    <w:rPr>
      <w:rFonts w:ascii="Arial" w:hAnsi="Arial" w:eastAsia="黑体" w:cs="Arial"/>
      <w:sz w:val="20"/>
    </w:rPr>
  </w:style>
  <w:style w:type="paragraph" w:styleId="11">
    <w:name w:val="annotation text"/>
    <w:basedOn w:val="1"/>
    <w:link w:val="53"/>
    <w:autoRedefine/>
    <w:qFormat/>
    <w:uiPriority w:val="0"/>
    <w:pPr>
      <w:jc w:val="left"/>
    </w:pPr>
  </w:style>
  <w:style w:type="paragraph" w:styleId="12">
    <w:name w:val="Body Text 3"/>
    <w:basedOn w:val="1"/>
    <w:link w:val="54"/>
    <w:autoRedefine/>
    <w:qFormat/>
    <w:uiPriority w:val="0"/>
    <w:pPr>
      <w:snapToGrid w:val="0"/>
      <w:spacing w:before="50" w:after="50"/>
    </w:pPr>
    <w:rPr>
      <w:rFonts w:hAnsi="宋体" w:eastAsia="仿宋_GB2312"/>
      <w:b/>
      <w:bCs/>
    </w:rPr>
  </w:style>
  <w:style w:type="paragraph" w:styleId="13">
    <w:name w:val="Body Text Indent"/>
    <w:basedOn w:val="1"/>
    <w:link w:val="55"/>
    <w:autoRedefine/>
    <w:qFormat/>
    <w:uiPriority w:val="0"/>
    <w:pPr>
      <w:spacing w:line="200" w:lineRule="exact"/>
      <w:ind w:firstLine="301"/>
    </w:pPr>
    <w:rPr>
      <w:rFonts w:ascii="宋体" w:hAnsi="Courier New"/>
      <w:spacing w:val="-4"/>
      <w:sz w:val="18"/>
    </w:rPr>
  </w:style>
  <w:style w:type="paragraph" w:styleId="14">
    <w:name w:val="List Number 3"/>
    <w:basedOn w:val="1"/>
    <w:autoRedefine/>
    <w:semiHidden/>
    <w:unhideWhenUsed/>
    <w:qFormat/>
    <w:uiPriority w:val="99"/>
    <w:pPr>
      <w:numPr>
        <w:ilvl w:val="0"/>
        <w:numId w:val="3"/>
      </w:numPr>
    </w:pPr>
  </w:style>
  <w:style w:type="paragraph" w:styleId="15">
    <w:name w:val="Plain Text"/>
    <w:basedOn w:val="1"/>
    <w:next w:val="16"/>
    <w:link w:val="56"/>
    <w:autoRedefine/>
    <w:qFormat/>
    <w:uiPriority w:val="0"/>
    <w:rPr>
      <w:rFonts w:ascii="宋体" w:hAnsi="Courier New"/>
      <w:sz w:val="21"/>
    </w:rPr>
  </w:style>
  <w:style w:type="paragraph" w:customStyle="1" w:styleId="16">
    <w:name w:val="TOC 标题4"/>
    <w:next w:val="1"/>
    <w:qFormat/>
    <w:uiPriority w:val="0"/>
    <w:pPr>
      <w:wordWrap w:val="0"/>
    </w:pPr>
    <w:rPr>
      <w:rFonts w:ascii="Times New Roman" w:hAnsi="Times New Roman" w:eastAsia="宋体" w:cs="Times New Roman"/>
      <w:sz w:val="32"/>
      <w:lang w:val="en-US" w:eastAsia="zh-CN" w:bidi="ar-SA"/>
    </w:rPr>
  </w:style>
  <w:style w:type="paragraph" w:styleId="17">
    <w:name w:val="Date"/>
    <w:next w:val="1"/>
    <w:link w:val="57"/>
    <w:autoRedefine/>
    <w:qFormat/>
    <w:uiPriority w:val="99"/>
    <w:pPr>
      <w:jc w:val="both"/>
    </w:pPr>
    <w:rPr>
      <w:rFonts w:ascii="楷体_GB2312" w:hAnsi="Times New Roman" w:eastAsia="楷体_GB2312" w:cs="Times New Roman"/>
      <w:sz w:val="32"/>
      <w:lang w:val="en-US" w:eastAsia="zh-CN" w:bidi="ar-SA"/>
    </w:rPr>
  </w:style>
  <w:style w:type="paragraph" w:styleId="18">
    <w:name w:val="Balloon Text"/>
    <w:basedOn w:val="1"/>
    <w:link w:val="58"/>
    <w:autoRedefine/>
    <w:qFormat/>
    <w:uiPriority w:val="0"/>
    <w:rPr>
      <w:sz w:val="18"/>
      <w:szCs w:val="18"/>
    </w:rPr>
  </w:style>
  <w:style w:type="paragraph" w:styleId="19">
    <w:name w:val="footer"/>
    <w:basedOn w:val="1"/>
    <w:link w:val="59"/>
    <w:autoRedefine/>
    <w:qFormat/>
    <w:uiPriority w:val="99"/>
    <w:pPr>
      <w:tabs>
        <w:tab w:val="center" w:pos="4153"/>
        <w:tab w:val="right" w:pos="8306"/>
      </w:tabs>
      <w:snapToGrid w:val="0"/>
      <w:jc w:val="left"/>
    </w:pPr>
    <w:rPr>
      <w:rFonts w:eastAsia="黑体"/>
      <w:snapToGrid w:val="0"/>
      <w:sz w:val="18"/>
      <w:szCs w:val="18"/>
    </w:rPr>
  </w:style>
  <w:style w:type="paragraph" w:styleId="20">
    <w:name w:val="header"/>
    <w:basedOn w:val="1"/>
    <w:link w:val="60"/>
    <w:autoRedefine/>
    <w:qFormat/>
    <w:uiPriority w:val="99"/>
    <w:pPr>
      <w:pBdr>
        <w:bottom w:val="single" w:color="auto" w:sz="6" w:space="1"/>
      </w:pBdr>
      <w:tabs>
        <w:tab w:val="center" w:pos="4153"/>
        <w:tab w:val="right" w:pos="8306"/>
      </w:tabs>
      <w:snapToGrid w:val="0"/>
      <w:jc w:val="center"/>
    </w:pPr>
    <w:rPr>
      <w:rFonts w:eastAsia="仿宋_GB2312"/>
      <w:sz w:val="18"/>
      <w:szCs w:val="24"/>
    </w:rPr>
  </w:style>
  <w:style w:type="paragraph" w:styleId="21">
    <w:name w:val="toc 1"/>
    <w:next w:val="1"/>
    <w:autoRedefine/>
    <w:qFormat/>
    <w:uiPriority w:val="39"/>
    <w:pPr>
      <w:widowControl w:val="0"/>
    </w:pPr>
    <w:rPr>
      <w:rFonts w:ascii="Times New Roman" w:hAnsi="Times New Roman" w:eastAsia="宋体" w:cs="Times New Roman"/>
      <w:b/>
      <w:caps/>
      <w:kern w:val="2"/>
      <w:lang w:val="en-US" w:eastAsia="zh-CN" w:bidi="ar-SA"/>
    </w:rPr>
  </w:style>
  <w:style w:type="paragraph" w:styleId="22">
    <w:name w:val="List"/>
    <w:basedOn w:val="1"/>
    <w:autoRedefine/>
    <w:qFormat/>
    <w:uiPriority w:val="0"/>
    <w:pPr>
      <w:ind w:left="200" w:hanging="200" w:hangingChars="200"/>
    </w:pPr>
    <w:rPr>
      <w:sz w:val="28"/>
    </w:rPr>
  </w:style>
  <w:style w:type="paragraph" w:styleId="23">
    <w:name w:val="toc 6"/>
    <w:basedOn w:val="1"/>
    <w:next w:val="1"/>
    <w:autoRedefine/>
    <w:qFormat/>
    <w:uiPriority w:val="0"/>
    <w:pPr>
      <w:ind w:left="2100" w:leftChars="1000"/>
    </w:pPr>
  </w:style>
  <w:style w:type="paragraph" w:styleId="24">
    <w:name w:val="Body Text 2"/>
    <w:basedOn w:val="1"/>
    <w:autoRedefine/>
    <w:qFormat/>
    <w:uiPriority w:val="0"/>
    <w:pPr>
      <w:spacing w:after="120" w:line="480" w:lineRule="auto"/>
    </w:pPr>
    <w:rPr>
      <w:rFonts w:ascii="Calibri" w:hAnsi="Calibri"/>
      <w:szCs w:val="22"/>
    </w:rPr>
  </w:style>
  <w:style w:type="paragraph" w:styleId="25">
    <w:name w:val="Normal (Web)"/>
    <w:basedOn w:val="1"/>
    <w:link w:val="74"/>
    <w:autoRedefine/>
    <w:qFormat/>
    <w:uiPriority w:val="0"/>
    <w:rPr>
      <w:szCs w:val="24"/>
    </w:rPr>
  </w:style>
  <w:style w:type="paragraph" w:styleId="26">
    <w:name w:val="Title"/>
    <w:basedOn w:val="1"/>
    <w:next w:val="1"/>
    <w:link w:val="61"/>
    <w:autoRedefine/>
    <w:qFormat/>
    <w:uiPriority w:val="0"/>
    <w:pPr>
      <w:spacing w:before="240" w:after="60"/>
      <w:jc w:val="center"/>
      <w:outlineLvl w:val="0"/>
    </w:pPr>
    <w:rPr>
      <w:rFonts w:ascii="Cambria" w:hAnsi="Cambria"/>
      <w:b/>
      <w:bCs/>
      <w:kern w:val="28"/>
      <w:sz w:val="32"/>
      <w:szCs w:val="32"/>
    </w:rPr>
  </w:style>
  <w:style w:type="paragraph" w:styleId="27">
    <w:name w:val="annotation subject"/>
    <w:basedOn w:val="11"/>
    <w:next w:val="11"/>
    <w:link w:val="62"/>
    <w:autoRedefine/>
    <w:qFormat/>
    <w:uiPriority w:val="0"/>
    <w:rPr>
      <w:b/>
      <w:bCs/>
    </w:rPr>
  </w:style>
  <w:style w:type="paragraph" w:styleId="28">
    <w:name w:val="Body Text First Indent"/>
    <w:basedOn w:val="2"/>
    <w:next w:val="1"/>
    <w:link w:val="46"/>
    <w:autoRedefine/>
    <w:unhideWhenUsed/>
    <w:qFormat/>
    <w:uiPriority w:val="0"/>
    <w:pPr>
      <w:ind w:firstLine="420" w:firstLineChars="100"/>
    </w:pPr>
  </w:style>
  <w:style w:type="paragraph" w:styleId="29">
    <w:name w:val="Body Text First Indent 2"/>
    <w:basedOn w:val="13"/>
    <w:next w:val="30"/>
    <w:link w:val="63"/>
    <w:autoRedefine/>
    <w:unhideWhenUsed/>
    <w:qFormat/>
    <w:uiPriority w:val="99"/>
    <w:pPr>
      <w:spacing w:after="120"/>
      <w:ind w:left="420" w:leftChars="200" w:firstLine="420"/>
    </w:pPr>
    <w:rPr>
      <w:rFonts w:cs="宋体"/>
      <w:sz w:val="21"/>
      <w:szCs w:val="21"/>
    </w:rPr>
  </w:style>
  <w:style w:type="paragraph" w:customStyle="1" w:styleId="30">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table" w:styleId="32">
    <w:name w:val="Table Grid"/>
    <w:basedOn w:val="31"/>
    <w:autoRedefine/>
    <w:qFormat/>
    <w:uiPriority w:val="0"/>
    <w:pPr>
      <w:widowControl w:val="0"/>
      <w:jc w:val="both"/>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autoRedefine/>
    <w:qFormat/>
    <w:uiPriority w:val="22"/>
    <w:rPr>
      <w:b/>
      <w:bCs/>
    </w:rPr>
  </w:style>
  <w:style w:type="character" w:styleId="35">
    <w:name w:val="page number"/>
    <w:basedOn w:val="33"/>
    <w:autoRedefine/>
    <w:qFormat/>
    <w:uiPriority w:val="0"/>
  </w:style>
  <w:style w:type="character" w:styleId="36">
    <w:name w:val="Hyperlink"/>
    <w:autoRedefine/>
    <w:qFormat/>
    <w:uiPriority w:val="99"/>
    <w:rPr>
      <w:color w:val="0000FF"/>
      <w:u w:val="single"/>
    </w:rPr>
  </w:style>
  <w:style w:type="character" w:styleId="37">
    <w:name w:val="annotation reference"/>
    <w:autoRedefine/>
    <w:qFormat/>
    <w:uiPriority w:val="0"/>
    <w:rPr>
      <w:sz w:val="21"/>
      <w:szCs w:val="21"/>
    </w:rPr>
  </w:style>
  <w:style w:type="paragraph" w:customStyle="1" w:styleId="38">
    <w:name w:val="Default"/>
    <w:next w:val="39"/>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9">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40">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41">
    <w:name w:val="xl53"/>
    <w:basedOn w:val="1"/>
    <w:next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rPr>
  </w:style>
  <w:style w:type="paragraph" w:customStyle="1" w:styleId="42">
    <w:name w:val="Heading1"/>
    <w:basedOn w:val="1"/>
    <w:next w:val="1"/>
    <w:autoRedefine/>
    <w:qFormat/>
    <w:uiPriority w:val="0"/>
    <w:pPr>
      <w:keepNext/>
      <w:keepLines/>
      <w:spacing w:before="340" w:after="330" w:line="578" w:lineRule="auto"/>
      <w:ind w:left="425" w:hanging="425"/>
    </w:pPr>
    <w:rPr>
      <w:rFonts w:eastAsia="仿宋_GB2312"/>
      <w:b/>
      <w:kern w:val="44"/>
      <w:sz w:val="44"/>
    </w:rPr>
  </w:style>
  <w:style w:type="character" w:customStyle="1" w:styleId="43">
    <w:name w:val="标题 1 字符"/>
    <w:basedOn w:val="33"/>
    <w:link w:val="3"/>
    <w:autoRedefine/>
    <w:qFormat/>
    <w:uiPriority w:val="9"/>
    <w:rPr>
      <w:rFonts w:eastAsia="隶书"/>
      <w:b/>
      <w:kern w:val="2"/>
      <w:sz w:val="36"/>
      <w:szCs w:val="36"/>
    </w:rPr>
  </w:style>
  <w:style w:type="character" w:customStyle="1" w:styleId="44">
    <w:name w:val="标题 2 字符"/>
    <w:basedOn w:val="33"/>
    <w:link w:val="4"/>
    <w:autoRedefine/>
    <w:qFormat/>
    <w:uiPriority w:val="0"/>
    <w:rPr>
      <w:rFonts w:ascii="Arial" w:hAnsi="Arial" w:eastAsia="黑体" w:cs="Arial"/>
      <w:b/>
      <w:kern w:val="2"/>
      <w:sz w:val="32"/>
      <w:szCs w:val="32"/>
    </w:rPr>
  </w:style>
  <w:style w:type="character" w:customStyle="1" w:styleId="45">
    <w:name w:val="正文文本 字符"/>
    <w:basedOn w:val="33"/>
    <w:link w:val="2"/>
    <w:autoRedefine/>
    <w:qFormat/>
    <w:uiPriority w:val="0"/>
    <w:rPr>
      <w:kern w:val="2"/>
      <w:sz w:val="21"/>
      <w:szCs w:val="24"/>
    </w:rPr>
  </w:style>
  <w:style w:type="character" w:customStyle="1" w:styleId="46">
    <w:name w:val="正文文本首行缩进 字符"/>
    <w:basedOn w:val="45"/>
    <w:link w:val="28"/>
    <w:autoRedefine/>
    <w:semiHidden/>
    <w:qFormat/>
    <w:uiPriority w:val="99"/>
    <w:rPr>
      <w:kern w:val="2"/>
      <w:sz w:val="21"/>
      <w:szCs w:val="24"/>
    </w:rPr>
  </w:style>
  <w:style w:type="paragraph" w:customStyle="1" w:styleId="47">
    <w:name w:val="纯文本1"/>
    <w:basedOn w:val="1"/>
    <w:autoRedefine/>
    <w:qFormat/>
    <w:uiPriority w:val="0"/>
    <w:pPr>
      <w:widowControl/>
      <w:jc w:val="left"/>
    </w:pPr>
    <w:rPr>
      <w:rFonts w:ascii="宋体" w:hAnsi="Courier New"/>
      <w:color w:val="000000"/>
      <w:kern w:val="1"/>
    </w:rPr>
  </w:style>
  <w:style w:type="paragraph" w:customStyle="1" w:styleId="48">
    <w:name w:val="正文1"/>
    <w:basedOn w:val="1"/>
    <w:autoRedefine/>
    <w:qFormat/>
    <w:uiPriority w:val="0"/>
    <w:rPr>
      <w:color w:val="000000"/>
      <w:kern w:val="1"/>
    </w:rPr>
  </w:style>
  <w:style w:type="paragraph" w:customStyle="1" w:styleId="49">
    <w:name w:val="+正文"/>
    <w:basedOn w:val="1"/>
    <w:autoRedefine/>
    <w:qFormat/>
    <w:uiPriority w:val="0"/>
    <w:pPr>
      <w:spacing w:line="360" w:lineRule="auto"/>
      <w:ind w:firstLine="200"/>
    </w:pPr>
    <w:rPr>
      <w:kern w:val="1"/>
    </w:rPr>
  </w:style>
  <w:style w:type="paragraph" w:customStyle="1" w:styleId="50">
    <w:name w:val="样式 列表编号 + 段后: 0.5 行"/>
    <w:basedOn w:val="8"/>
    <w:autoRedefine/>
    <w:qFormat/>
    <w:uiPriority w:val="0"/>
    <w:pPr>
      <w:numPr>
        <w:ilvl w:val="0"/>
        <w:numId w:val="0"/>
      </w:numPr>
      <w:tabs>
        <w:tab w:val="left" w:pos="720"/>
      </w:tabs>
      <w:ind w:left="720" w:hanging="360"/>
      <w:contextualSpacing w:val="0"/>
    </w:pPr>
  </w:style>
  <w:style w:type="paragraph" w:customStyle="1" w:styleId="51">
    <w:name w:val="正文 + 宋体"/>
    <w:basedOn w:val="1"/>
    <w:autoRedefine/>
    <w:qFormat/>
    <w:uiPriority w:val="0"/>
    <w:pPr>
      <w:spacing w:before="31" w:line="400" w:lineRule="atLeast"/>
      <w:ind w:firstLine="420"/>
    </w:pPr>
    <w:rPr>
      <w:rFonts w:ascii="宋体" w:hAnsi="宋体" w:cs="宋体"/>
      <w:kern w:val="1"/>
    </w:rPr>
  </w:style>
  <w:style w:type="character" w:customStyle="1" w:styleId="52">
    <w:name w:val="标题 3 字符"/>
    <w:basedOn w:val="33"/>
    <w:link w:val="5"/>
    <w:autoRedefine/>
    <w:qFormat/>
    <w:uiPriority w:val="0"/>
    <w:rPr>
      <w:rFonts w:ascii="Arial" w:hAnsi="Arial" w:eastAsia="宋体"/>
      <w:b/>
      <w:sz w:val="28"/>
    </w:rPr>
  </w:style>
  <w:style w:type="character" w:customStyle="1" w:styleId="53">
    <w:name w:val="批注文字 字符"/>
    <w:basedOn w:val="33"/>
    <w:link w:val="11"/>
    <w:autoRedefine/>
    <w:qFormat/>
    <w:uiPriority w:val="0"/>
    <w:rPr>
      <w:rFonts w:ascii="Times New Roman" w:hAnsi="Times New Roman" w:eastAsia="宋体"/>
      <w:kern w:val="2"/>
      <w:sz w:val="24"/>
    </w:rPr>
  </w:style>
  <w:style w:type="character" w:customStyle="1" w:styleId="54">
    <w:name w:val="正文文本 3 字符"/>
    <w:basedOn w:val="33"/>
    <w:link w:val="12"/>
    <w:autoRedefine/>
    <w:qFormat/>
    <w:uiPriority w:val="0"/>
    <w:rPr>
      <w:rFonts w:ascii="Times New Roman" w:hAnsi="宋体" w:eastAsia="仿宋_GB2312"/>
      <w:b/>
      <w:bCs/>
      <w:kern w:val="2"/>
      <w:sz w:val="24"/>
    </w:rPr>
  </w:style>
  <w:style w:type="character" w:customStyle="1" w:styleId="55">
    <w:name w:val="正文文本缩进 字符"/>
    <w:basedOn w:val="33"/>
    <w:link w:val="13"/>
    <w:autoRedefine/>
    <w:qFormat/>
    <w:uiPriority w:val="0"/>
    <w:rPr>
      <w:rFonts w:ascii="宋体" w:hAnsi="Courier New" w:eastAsia="宋体"/>
      <w:spacing w:val="-4"/>
      <w:kern w:val="2"/>
      <w:sz w:val="18"/>
    </w:rPr>
  </w:style>
  <w:style w:type="character" w:customStyle="1" w:styleId="56">
    <w:name w:val="纯文本 字符"/>
    <w:basedOn w:val="33"/>
    <w:link w:val="15"/>
    <w:autoRedefine/>
    <w:qFormat/>
    <w:uiPriority w:val="0"/>
    <w:rPr>
      <w:rFonts w:ascii="宋体" w:hAnsi="Courier New" w:eastAsia="宋体"/>
      <w:kern w:val="2"/>
      <w:sz w:val="21"/>
    </w:rPr>
  </w:style>
  <w:style w:type="character" w:customStyle="1" w:styleId="57">
    <w:name w:val="日期 字符"/>
    <w:basedOn w:val="33"/>
    <w:link w:val="17"/>
    <w:autoRedefine/>
    <w:qFormat/>
    <w:uiPriority w:val="99"/>
    <w:rPr>
      <w:rFonts w:ascii="楷体_GB2312" w:hAnsi="Times New Roman" w:eastAsia="楷体_GB2312"/>
      <w:sz w:val="32"/>
    </w:rPr>
  </w:style>
  <w:style w:type="character" w:customStyle="1" w:styleId="58">
    <w:name w:val="批注框文本 字符"/>
    <w:basedOn w:val="33"/>
    <w:link w:val="18"/>
    <w:autoRedefine/>
    <w:qFormat/>
    <w:uiPriority w:val="0"/>
    <w:rPr>
      <w:rFonts w:ascii="Times New Roman" w:hAnsi="Times New Roman" w:eastAsia="宋体"/>
      <w:kern w:val="2"/>
      <w:sz w:val="18"/>
      <w:szCs w:val="18"/>
    </w:rPr>
  </w:style>
  <w:style w:type="character" w:customStyle="1" w:styleId="59">
    <w:name w:val="页脚 字符"/>
    <w:basedOn w:val="33"/>
    <w:link w:val="19"/>
    <w:autoRedefine/>
    <w:qFormat/>
    <w:uiPriority w:val="99"/>
    <w:rPr>
      <w:rFonts w:ascii="Times New Roman" w:hAnsi="Times New Roman" w:eastAsia="黑体"/>
      <w:snapToGrid w:val="0"/>
      <w:kern w:val="2"/>
      <w:sz w:val="18"/>
      <w:szCs w:val="18"/>
    </w:rPr>
  </w:style>
  <w:style w:type="character" w:customStyle="1" w:styleId="60">
    <w:name w:val="页眉 字符"/>
    <w:basedOn w:val="33"/>
    <w:link w:val="20"/>
    <w:autoRedefine/>
    <w:qFormat/>
    <w:uiPriority w:val="99"/>
    <w:rPr>
      <w:rFonts w:ascii="Times New Roman" w:hAnsi="Times New Roman" w:eastAsia="仿宋_GB2312"/>
      <w:kern w:val="2"/>
      <w:sz w:val="18"/>
      <w:szCs w:val="24"/>
    </w:rPr>
  </w:style>
  <w:style w:type="character" w:customStyle="1" w:styleId="61">
    <w:name w:val="标题 字符"/>
    <w:basedOn w:val="33"/>
    <w:link w:val="26"/>
    <w:autoRedefine/>
    <w:qFormat/>
    <w:uiPriority w:val="0"/>
    <w:rPr>
      <w:rFonts w:ascii="Cambria" w:hAnsi="Cambria" w:eastAsia="宋体"/>
      <w:b/>
      <w:bCs/>
      <w:kern w:val="28"/>
      <w:sz w:val="32"/>
      <w:szCs w:val="32"/>
    </w:rPr>
  </w:style>
  <w:style w:type="character" w:customStyle="1" w:styleId="62">
    <w:name w:val="批注主题 字符"/>
    <w:basedOn w:val="53"/>
    <w:link w:val="27"/>
    <w:autoRedefine/>
    <w:qFormat/>
    <w:uiPriority w:val="0"/>
    <w:rPr>
      <w:rFonts w:ascii="Times New Roman" w:hAnsi="Times New Roman" w:eastAsia="宋体"/>
      <w:b/>
      <w:bCs/>
      <w:kern w:val="2"/>
      <w:sz w:val="24"/>
    </w:rPr>
  </w:style>
  <w:style w:type="character" w:customStyle="1" w:styleId="63">
    <w:name w:val="正文文本首行缩进 2 字符"/>
    <w:basedOn w:val="55"/>
    <w:link w:val="29"/>
    <w:autoRedefine/>
    <w:qFormat/>
    <w:uiPriority w:val="99"/>
    <w:rPr>
      <w:rFonts w:ascii="宋体" w:hAnsi="Courier New" w:eastAsia="宋体" w:cs="宋体"/>
      <w:spacing w:val="-4"/>
      <w:kern w:val="2"/>
      <w:sz w:val="21"/>
      <w:szCs w:val="21"/>
    </w:rPr>
  </w:style>
  <w:style w:type="paragraph" w:customStyle="1" w:styleId="64">
    <w:name w:val="GP正文(无首行缩进)"/>
    <w:autoRedefine/>
    <w:qFormat/>
    <w:uiPriority w:val="99"/>
    <w:pPr>
      <w:widowControl w:val="0"/>
      <w:spacing w:line="360" w:lineRule="auto"/>
    </w:pPr>
    <w:rPr>
      <w:rFonts w:ascii="Times New Roman" w:hAnsi="Times New Roman" w:eastAsia="宋体" w:cs="Times New Roman"/>
      <w:color w:val="000000"/>
      <w:kern w:val="1"/>
      <w:sz w:val="24"/>
      <w:szCs w:val="21"/>
      <w:lang w:val="en-US" w:eastAsia="zh-CN" w:bidi="ar-SA"/>
    </w:rPr>
  </w:style>
  <w:style w:type="paragraph" w:customStyle="1" w:styleId="65">
    <w:name w:val="表格文字"/>
    <w:basedOn w:val="15"/>
    <w:next w:val="2"/>
    <w:autoRedefine/>
    <w:qFormat/>
    <w:uiPriority w:val="0"/>
    <w:pPr>
      <w:jc w:val="left"/>
    </w:pPr>
    <w:rPr>
      <w:sz w:val="24"/>
    </w:rPr>
  </w:style>
  <w:style w:type="paragraph" w:customStyle="1" w:styleId="66">
    <w:name w:val="样式 宋体"/>
    <w:basedOn w:val="1"/>
    <w:next w:val="1"/>
    <w:autoRedefine/>
    <w:qFormat/>
    <w:uiPriority w:val="0"/>
    <w:pPr>
      <w:widowControl/>
    </w:pPr>
    <w:rPr>
      <w:rFonts w:ascii="宋体"/>
      <w:color w:val="000000"/>
    </w:rPr>
  </w:style>
  <w:style w:type="paragraph" w:customStyle="1" w:styleId="67">
    <w:name w:val="reader-word-layer reader-word-s1-8"/>
    <w:basedOn w:val="1"/>
    <w:autoRedefine/>
    <w:qFormat/>
    <w:uiPriority w:val="0"/>
    <w:pPr>
      <w:widowControl/>
      <w:spacing w:before="100" w:beforeAutospacing="1" w:after="100" w:afterAutospacing="1"/>
      <w:jc w:val="left"/>
    </w:pPr>
    <w:rPr>
      <w:rFonts w:ascii="宋体" w:hAnsi="宋体" w:cs="宋体"/>
      <w:kern w:val="0"/>
    </w:rPr>
  </w:style>
  <w:style w:type="character" w:customStyle="1" w:styleId="68">
    <w:name w:val="NormalCharacter"/>
    <w:autoRedefine/>
    <w:qFormat/>
    <w:uiPriority w:val="0"/>
  </w:style>
  <w:style w:type="paragraph" w:customStyle="1" w:styleId="69">
    <w:name w:val="UserStyle_89"/>
    <w:basedOn w:val="1"/>
    <w:autoRedefine/>
    <w:qFormat/>
    <w:uiPriority w:val="0"/>
    <w:pPr>
      <w:ind w:firstLine="420"/>
      <w:jc w:val="left"/>
    </w:pPr>
    <w:rPr>
      <w:kern w:val="0"/>
    </w:rPr>
  </w:style>
  <w:style w:type="paragraph" w:customStyle="1" w:styleId="70">
    <w:name w:val="HtmlNormal"/>
    <w:basedOn w:val="1"/>
    <w:autoRedefine/>
    <w:qFormat/>
    <w:uiPriority w:val="0"/>
    <w:pPr>
      <w:spacing w:before="100" w:beforeAutospacing="1" w:after="100" w:afterAutospacing="1"/>
      <w:jc w:val="left"/>
    </w:pPr>
    <w:rPr>
      <w:rFonts w:ascii="Arial Unicode MS" w:hAnsi="Arial Unicode MS" w:eastAsia="Arial Unicode MS"/>
      <w:color w:val="000000"/>
      <w:kern w:val="0"/>
      <w:sz w:val="19"/>
      <w:szCs w:val="19"/>
    </w:rPr>
  </w:style>
  <w:style w:type="character" w:customStyle="1" w:styleId="71">
    <w:name w:val="正文缩进 字符"/>
    <w:link w:val="9"/>
    <w:autoRedefine/>
    <w:qFormat/>
    <w:uiPriority w:val="0"/>
    <w:rPr>
      <w:rFonts w:ascii="Times New Roman" w:hAnsi="Times New Roman" w:eastAsia="宋体"/>
      <w:kern w:val="2"/>
      <w:sz w:val="24"/>
    </w:rPr>
  </w:style>
  <w:style w:type="character" w:customStyle="1" w:styleId="72">
    <w:name w:val="point_normal1"/>
    <w:autoRedefine/>
    <w:qFormat/>
    <w:uiPriority w:val="0"/>
    <w:rPr>
      <w:rFonts w:hint="default" w:ascii="Arial" w:hAnsi="Arial"/>
      <w:sz w:val="22"/>
    </w:rPr>
  </w:style>
  <w:style w:type="paragraph" w:customStyle="1" w:styleId="73">
    <w:name w:val="p0"/>
    <w:basedOn w:val="1"/>
    <w:autoRedefine/>
    <w:qFormat/>
    <w:uiPriority w:val="99"/>
    <w:pPr>
      <w:widowControl/>
      <w:spacing w:before="100" w:beforeAutospacing="1" w:after="100" w:afterAutospacing="1"/>
      <w:jc w:val="left"/>
    </w:pPr>
    <w:rPr>
      <w:rFonts w:ascii="宋体" w:hAnsi="宋体"/>
      <w:kern w:val="0"/>
    </w:rPr>
  </w:style>
  <w:style w:type="character" w:customStyle="1" w:styleId="74">
    <w:name w:val="普通(网站) 字符"/>
    <w:link w:val="25"/>
    <w:autoRedefine/>
    <w:qFormat/>
    <w:uiPriority w:val="0"/>
    <w:rPr>
      <w:rFonts w:ascii="Times New Roman" w:hAnsi="Times New Roman" w:eastAsia="宋体"/>
      <w:kern w:val="2"/>
      <w:sz w:val="24"/>
      <w:szCs w:val="24"/>
    </w:rPr>
  </w:style>
  <w:style w:type="character" w:customStyle="1" w:styleId="75">
    <w:name w:val="bookmark-item"/>
    <w:basedOn w:val="33"/>
    <w:autoRedefine/>
    <w:qFormat/>
    <w:uiPriority w:val="0"/>
  </w:style>
  <w:style w:type="paragraph" w:customStyle="1" w:styleId="76">
    <w:name w:val="列出段落1"/>
    <w:basedOn w:val="1"/>
    <w:autoRedefine/>
    <w:unhideWhenUsed/>
    <w:qFormat/>
    <w:uiPriority w:val="34"/>
    <w:pPr>
      <w:ind w:firstLine="420" w:firstLineChars="200"/>
    </w:pPr>
  </w:style>
  <w:style w:type="paragraph" w:customStyle="1" w:styleId="77">
    <w:name w:val="!表格正文"/>
    <w:basedOn w:val="1"/>
    <w:autoRedefine/>
    <w:qFormat/>
    <w:uiPriority w:val="0"/>
    <w:rPr>
      <w:rFonts w:cs="Calibri"/>
      <w:kern w:val="0"/>
      <w:szCs w:val="21"/>
    </w:rPr>
  </w:style>
  <w:style w:type="paragraph" w:customStyle="1" w:styleId="78">
    <w:name w:val="列出段落11"/>
    <w:basedOn w:val="1"/>
    <w:autoRedefine/>
    <w:qFormat/>
    <w:uiPriority w:val="0"/>
    <w:pPr>
      <w:ind w:firstLine="420"/>
    </w:pPr>
    <w:rPr>
      <w:rFonts w:ascii="Calibri" w:hAnsi="Calibri"/>
      <w:sz w:val="21"/>
    </w:rPr>
  </w:style>
  <w:style w:type="paragraph" w:customStyle="1" w:styleId="79">
    <w:name w:val="_正文段落"/>
    <w:basedOn w:val="1"/>
    <w:autoRedefine/>
    <w:qFormat/>
    <w:uiPriority w:val="99"/>
    <w:pPr>
      <w:spacing w:beforeLines="15" w:afterLines="30"/>
    </w:pPr>
    <w:rPr>
      <w:rFonts w:ascii="Calibri" w:hAnsi="Calibri"/>
      <w:szCs w:val="24"/>
    </w:rPr>
  </w:style>
  <w:style w:type="paragraph" w:customStyle="1" w:styleId="80">
    <w:name w:val="正文段"/>
    <w:basedOn w:val="1"/>
    <w:autoRedefine/>
    <w:qFormat/>
    <w:uiPriority w:val="0"/>
    <w:pPr>
      <w:widowControl/>
      <w:snapToGrid w:val="0"/>
      <w:spacing w:afterLines="50"/>
      <w:ind w:firstLine="200" w:firstLineChars="200"/>
    </w:pPr>
    <w:rPr>
      <w:kern w:val="0"/>
    </w:rPr>
  </w:style>
  <w:style w:type="paragraph" w:customStyle="1" w:styleId="81">
    <w:name w:val="CM4"/>
    <w:basedOn w:val="38"/>
    <w:next w:val="38"/>
    <w:autoRedefine/>
    <w:unhideWhenUsed/>
    <w:qFormat/>
    <w:uiPriority w:val="0"/>
    <w:pPr>
      <w:adjustRightInd/>
      <w:spacing w:line="411" w:lineRule="atLeast"/>
    </w:pPr>
    <w:rPr>
      <w:rFonts w:cs="Times New Roman"/>
      <w:szCs w:val="20"/>
    </w:rPr>
  </w:style>
  <w:style w:type="paragraph" w:customStyle="1" w:styleId="82">
    <w:name w:val="CM5"/>
    <w:basedOn w:val="38"/>
    <w:next w:val="38"/>
    <w:autoRedefine/>
    <w:unhideWhenUsed/>
    <w:qFormat/>
    <w:uiPriority w:val="0"/>
    <w:pPr>
      <w:adjustRightInd/>
      <w:spacing w:line="408" w:lineRule="atLeast"/>
    </w:pPr>
    <w:rPr>
      <w:rFonts w:cs="Times New Roman"/>
      <w:szCs w:val="20"/>
    </w:rPr>
  </w:style>
  <w:style w:type="paragraph" w:customStyle="1" w:styleId="83">
    <w:name w:val="样式5"/>
    <w:basedOn w:val="1"/>
    <w:autoRedefine/>
    <w:qFormat/>
    <w:uiPriority w:val="99"/>
    <w:pPr>
      <w:spacing w:line="360" w:lineRule="auto"/>
      <w:ind w:firstLine="200" w:firstLineChars="200"/>
      <w:jc w:val="left"/>
    </w:pPr>
  </w:style>
  <w:style w:type="character" w:customStyle="1" w:styleId="84">
    <w:name w:val="纯文本 Char3"/>
    <w:autoRedefine/>
    <w:qFormat/>
    <w:uiPriority w:val="0"/>
    <w:rPr>
      <w:rFonts w:ascii="??" w:hAnsi="??" w:eastAsia="??" w:cs="宋体"/>
      <w:kern w:val="2"/>
      <w:sz w:val="21"/>
      <w:szCs w:val="21"/>
    </w:rPr>
  </w:style>
  <w:style w:type="paragraph" w:customStyle="1" w:styleId="85">
    <w:name w:val="1册标题1"/>
    <w:basedOn w:val="1"/>
    <w:next w:val="1"/>
    <w:autoRedefine/>
    <w:qFormat/>
    <w:uiPriority w:val="0"/>
    <w:pPr>
      <w:spacing w:beforeLines="50" w:afterLines="50" w:line="300" w:lineRule="auto"/>
      <w:jc w:val="center"/>
      <w:outlineLvl w:val="0"/>
    </w:pPr>
    <w:rPr>
      <w:rFonts w:ascii="Arial" w:hAnsi="Arial" w:eastAsia="黑体"/>
      <w:b/>
      <w:bCs/>
      <w:sz w:val="48"/>
    </w:rPr>
  </w:style>
  <w:style w:type="paragraph" w:customStyle="1" w:styleId="86">
    <w:name w:val="无间隔2"/>
    <w:autoRedefine/>
    <w:qFormat/>
    <w:uiPriority w:val="99"/>
    <w:rPr>
      <w:rFonts w:ascii="Times New Roman" w:hAnsi="Times New Roman" w:eastAsia="Times New Roman" w:cs="Times New Roman"/>
      <w:kern w:val="2"/>
      <w:sz w:val="22"/>
      <w:szCs w:val="22"/>
      <w:lang w:val="en-US" w:eastAsia="zh-CN" w:bidi="ar-SA"/>
    </w:rPr>
  </w:style>
  <w:style w:type="paragraph" w:styleId="87">
    <w:name w:val="List Paragraph"/>
    <w:basedOn w:val="1"/>
    <w:autoRedefine/>
    <w:unhideWhenUsed/>
    <w:qFormat/>
    <w:uiPriority w:val="0"/>
    <w:pPr>
      <w:ind w:firstLine="420" w:firstLineChars="200"/>
    </w:pPr>
  </w:style>
  <w:style w:type="paragraph" w:customStyle="1" w:styleId="88">
    <w:name w:val="列表段落1"/>
    <w:basedOn w:val="1"/>
    <w:autoRedefine/>
    <w:qFormat/>
    <w:uiPriority w:val="99"/>
    <w:pPr>
      <w:spacing w:line="360" w:lineRule="auto"/>
      <w:ind w:firstLine="420" w:firstLineChars="200"/>
    </w:pPr>
    <w:rPr>
      <w:sz w:val="21"/>
    </w:rPr>
  </w:style>
  <w:style w:type="paragraph" w:customStyle="1" w:styleId="89">
    <w:name w:val="段落正文"/>
    <w:basedOn w:val="11"/>
    <w:link w:val="90"/>
    <w:autoRedefine/>
    <w:qFormat/>
    <w:uiPriority w:val="0"/>
    <w:pPr>
      <w:adjustRightInd w:val="0"/>
      <w:snapToGrid w:val="0"/>
      <w:spacing w:line="360" w:lineRule="auto"/>
      <w:ind w:firstLine="420" w:firstLineChars="200"/>
      <w:jc w:val="both"/>
    </w:pPr>
    <w:rPr>
      <w:sz w:val="21"/>
      <w:szCs w:val="21"/>
    </w:rPr>
  </w:style>
  <w:style w:type="character" w:customStyle="1" w:styleId="90">
    <w:name w:val="段落正文 字符"/>
    <w:basedOn w:val="53"/>
    <w:link w:val="89"/>
    <w:autoRedefine/>
    <w:qFormat/>
    <w:uiPriority w:val="0"/>
    <w:rPr>
      <w:rFonts w:ascii="Times New Roman" w:hAnsi="Times New Roman" w:eastAsia="宋体"/>
      <w:kern w:val="2"/>
      <w:sz w:val="21"/>
      <w:szCs w:val="21"/>
    </w:rPr>
  </w:style>
  <w:style w:type="paragraph" w:customStyle="1" w:styleId="91">
    <w:name w:val="正文格式"/>
    <w:basedOn w:val="1"/>
    <w:link w:val="92"/>
    <w:autoRedefine/>
    <w:qFormat/>
    <w:uiPriority w:val="0"/>
    <w:pPr>
      <w:spacing w:beforeLines="50" w:afterLines="50" w:line="360" w:lineRule="auto"/>
      <w:ind w:firstLine="480" w:firstLineChars="200"/>
    </w:pPr>
    <w:rPr>
      <w:kern w:val="0"/>
      <w:szCs w:val="24"/>
      <w:lang w:val="en-GB"/>
    </w:rPr>
  </w:style>
  <w:style w:type="character" w:customStyle="1" w:styleId="92">
    <w:name w:val="正文格式 Char"/>
    <w:link w:val="91"/>
    <w:autoRedefine/>
    <w:qFormat/>
    <w:uiPriority w:val="0"/>
    <w:rPr>
      <w:rFonts w:ascii="Times New Roman" w:hAnsi="Times New Roman" w:eastAsia="宋体"/>
      <w:sz w:val="24"/>
      <w:szCs w:val="24"/>
      <w:lang w:val="en-GB"/>
    </w:rPr>
  </w:style>
  <w:style w:type="character" w:customStyle="1" w:styleId="93">
    <w:name w:val="Unresolved Mention"/>
    <w:basedOn w:val="33"/>
    <w:autoRedefine/>
    <w:semiHidden/>
    <w:unhideWhenUsed/>
    <w:qFormat/>
    <w:uiPriority w:val="99"/>
    <w:rPr>
      <w:color w:val="605E5C"/>
      <w:shd w:val="clear" w:color="auto" w:fill="E1DFDD"/>
    </w:rPr>
  </w:style>
  <w:style w:type="table" w:customStyle="1" w:styleId="94">
    <w:name w:val="网格型浅色1"/>
    <w:basedOn w:val="31"/>
    <w:autoRedefine/>
    <w:qFormat/>
    <w:uiPriority w:val="40"/>
    <w:rPr>
      <w:kern w:val="2"/>
      <w:sz w:val="21"/>
      <w:szCs w:val="22"/>
    </w:rPr>
    <w:tblPr>
      <w:tblBorders>
        <w:top w:val="single" w:color="80C588" w:themeColor="background1" w:themeShade="BF" w:sz="4" w:space="0"/>
        <w:left w:val="single" w:color="80C588" w:themeColor="background1" w:themeShade="BF" w:sz="4" w:space="0"/>
        <w:bottom w:val="single" w:color="80C588" w:themeColor="background1" w:themeShade="BF" w:sz="4" w:space="0"/>
        <w:right w:val="single" w:color="80C588" w:themeColor="background1" w:themeShade="BF" w:sz="4" w:space="0"/>
        <w:insideH w:val="single" w:color="80C588" w:themeColor="background1" w:themeShade="BF" w:sz="4" w:space="0"/>
        <w:insideV w:val="single" w:color="80C588" w:themeColor="background1" w:themeShade="BF" w:sz="4" w:space="0"/>
      </w:tblBorders>
    </w:tblPr>
  </w:style>
  <w:style w:type="paragraph" w:customStyle="1" w:styleId="95">
    <w:name w:val="正文缩进2"/>
    <w:basedOn w:val="1"/>
    <w:autoRedefine/>
    <w:qFormat/>
    <w:uiPriority w:val="0"/>
    <w:pPr>
      <w:spacing w:before="60"/>
      <w:ind w:firstLine="476"/>
    </w:pPr>
  </w:style>
  <w:style w:type="paragraph" w:customStyle="1" w:styleId="96">
    <w:name w:val="图"/>
    <w:basedOn w:val="1"/>
    <w:autoRedefine/>
    <w:qFormat/>
    <w:uiPriority w:val="0"/>
    <w:pPr>
      <w:keepNext/>
      <w:spacing w:before="60" w:after="60" w:line="300" w:lineRule="auto"/>
      <w:jc w:val="center"/>
    </w:pPr>
    <w:rPr>
      <w:spacing w:val="20"/>
      <w:sz w:val="24"/>
      <w:szCs w:val="20"/>
    </w:rPr>
  </w:style>
  <w:style w:type="paragraph" w:customStyle="1" w:styleId="97">
    <w:name w:val="_Style 3"/>
    <w:basedOn w:val="1"/>
    <w:autoRedefine/>
    <w:qFormat/>
    <w:uiPriority w:val="1"/>
    <w:pPr>
      <w:pBdr>
        <w:bottom w:val="single" w:color="auto" w:sz="6" w:space="1"/>
      </w:pBdr>
      <w:jc w:val="center"/>
    </w:pPr>
    <w:rPr>
      <w:rFonts w:ascii="Arial" w:hAnsi="Calibri"/>
      <w:vanish/>
      <w:sz w:val="16"/>
    </w:rPr>
  </w:style>
  <w:style w:type="paragraph" w:customStyle="1" w:styleId="98">
    <w:name w:val="Table Paragraph"/>
    <w:basedOn w:val="1"/>
    <w:autoRedefine/>
    <w:qFormat/>
    <w:uiPriority w:val="1"/>
    <w:pPr>
      <w:autoSpaceDE w:val="0"/>
      <w:autoSpaceDN w:val="0"/>
      <w:jc w:val="left"/>
    </w:pPr>
    <w:rPr>
      <w:rFonts w:ascii="宋体" w:hAnsi="宋体" w:cs="宋体"/>
      <w:kern w:val="0"/>
      <w:sz w:val="22"/>
      <w:szCs w:val="22"/>
      <w:lang w:val="zh-CN" w:bidi="zh-CN"/>
    </w:rPr>
  </w:style>
  <w:style w:type="character" w:customStyle="1" w:styleId="99">
    <w:name w:val="font12"/>
    <w:basedOn w:val="33"/>
    <w:autoRedefine/>
    <w:qFormat/>
    <w:uiPriority w:val="0"/>
    <w:rPr>
      <w:rFonts w:hint="eastAsia" w:ascii="宋体" w:hAnsi="宋体" w:eastAsia="宋体" w:cs="宋体"/>
      <w:color w:val="000000"/>
      <w:sz w:val="24"/>
      <w:szCs w:val="24"/>
      <w:u w:val="none"/>
    </w:rPr>
  </w:style>
  <w:style w:type="character" w:customStyle="1" w:styleId="100">
    <w:name w:val="font11"/>
    <w:basedOn w:val="33"/>
    <w:autoRedefine/>
    <w:qFormat/>
    <w:uiPriority w:val="0"/>
    <w:rPr>
      <w:rFonts w:hint="eastAsia" w:ascii="等线" w:hAnsi="等线" w:eastAsia="等线" w:cs="等线"/>
      <w:b/>
      <w:bCs/>
      <w:color w:val="000000"/>
      <w:sz w:val="44"/>
      <w:szCs w:val="44"/>
      <w:u w:val="none"/>
    </w:rPr>
  </w:style>
  <w:style w:type="character" w:customStyle="1" w:styleId="101">
    <w:name w:val="font21"/>
    <w:basedOn w:val="33"/>
    <w:autoRedefine/>
    <w:qFormat/>
    <w:uiPriority w:val="0"/>
    <w:rPr>
      <w:rFonts w:hint="eastAsia" w:ascii="等线" w:hAnsi="等线" w:eastAsia="等线" w:cs="等线"/>
      <w:b/>
      <w:bCs/>
      <w:color w:val="000000"/>
      <w:sz w:val="32"/>
      <w:szCs w:val="32"/>
      <w:u w:val="none"/>
    </w:rPr>
  </w:style>
  <w:style w:type="character" w:customStyle="1" w:styleId="102">
    <w:name w:val="font31"/>
    <w:basedOn w:val="33"/>
    <w:autoRedefine/>
    <w:qFormat/>
    <w:uiPriority w:val="0"/>
    <w:rPr>
      <w:rFonts w:hint="eastAsia" w:ascii="宋体" w:hAnsi="宋体" w:eastAsia="宋体" w:cs="宋体"/>
      <w:b/>
      <w:bCs/>
      <w:color w:val="000000"/>
      <w:sz w:val="24"/>
      <w:szCs w:val="24"/>
      <w:u w:val="none"/>
    </w:rPr>
  </w:style>
  <w:style w:type="character" w:customStyle="1" w:styleId="103">
    <w:name w:val="font51"/>
    <w:basedOn w:val="33"/>
    <w:autoRedefine/>
    <w:qFormat/>
    <w:uiPriority w:val="0"/>
    <w:rPr>
      <w:rFonts w:hint="eastAsia" w:ascii="宋体" w:hAnsi="宋体" w:eastAsia="宋体" w:cs="宋体"/>
      <w:color w:val="000000"/>
      <w:sz w:val="24"/>
      <w:szCs w:val="24"/>
      <w:u w:val="none"/>
    </w:rPr>
  </w:style>
  <w:style w:type="character" w:customStyle="1" w:styleId="104">
    <w:name w:val="font41"/>
    <w:basedOn w:val="33"/>
    <w:autoRedefine/>
    <w:qFormat/>
    <w:uiPriority w:val="0"/>
    <w:rPr>
      <w:rFonts w:hint="eastAsia" w:ascii="宋体" w:hAnsi="宋体" w:eastAsia="宋体" w:cs="宋体"/>
      <w:color w:val="000000"/>
      <w:sz w:val="24"/>
      <w:szCs w:val="24"/>
      <w:u w:val="none"/>
    </w:rPr>
  </w:style>
  <w:style w:type="paragraph" w:customStyle="1" w:styleId="105">
    <w:name w:val="BodyText1I2"/>
    <w:basedOn w:val="106"/>
    <w:autoRedefine/>
    <w:qFormat/>
    <w:uiPriority w:val="0"/>
    <w:pPr>
      <w:ind w:left="420" w:leftChars="200" w:firstLine="420" w:firstLineChars="200"/>
      <w:jc w:val="both"/>
      <w:textAlignment w:val="baseline"/>
    </w:pPr>
  </w:style>
  <w:style w:type="paragraph" w:customStyle="1" w:styleId="106">
    <w:name w:val="BodyTextIndent"/>
    <w:basedOn w:val="1"/>
    <w:next w:val="107"/>
    <w:autoRedefine/>
    <w:qFormat/>
    <w:uiPriority w:val="0"/>
    <w:pPr>
      <w:ind w:left="420" w:leftChars="200" w:firstLine="480" w:firstLineChars="200"/>
      <w:jc w:val="both"/>
      <w:textAlignment w:val="baseline"/>
    </w:pPr>
    <w:rPr>
      <w:kern w:val="2"/>
      <w:sz w:val="24"/>
      <w:szCs w:val="24"/>
      <w:lang w:val="en-US" w:eastAsia="zh-CN" w:bidi="ar-SA"/>
    </w:rPr>
  </w:style>
  <w:style w:type="paragraph" w:customStyle="1" w:styleId="107">
    <w:name w:val="EnvelopeReturn"/>
    <w:basedOn w:val="1"/>
    <w:autoRedefine/>
    <w:qFormat/>
    <w:uiPriority w:val="0"/>
    <w:pPr>
      <w:snapToGrid w:val="0"/>
      <w:jc w:val="both"/>
      <w:textAlignment w:val="baseline"/>
    </w:pPr>
    <w:rPr>
      <w:rFonts w:ascii="Arial" w:hAnsi="Arial"/>
      <w:kern w:val="2"/>
      <w:sz w:val="21"/>
      <w:szCs w:val="24"/>
      <w:lang w:val="en-US" w:eastAsia="zh-CN" w:bidi="ar-SA"/>
    </w:rPr>
  </w:style>
  <w:style w:type="paragraph" w:customStyle="1" w:styleId="108">
    <w:name w:val="正文2"/>
    <w:basedOn w:val="1"/>
    <w:autoRedefine/>
    <w:qFormat/>
    <w:uiPriority w:val="0"/>
    <w:pPr>
      <w:spacing w:before="156" w:line="360" w:lineRule="auto"/>
      <w:ind w:firstLine="510" w:firstLineChars="200"/>
    </w:pPr>
    <w:rPr>
      <w:sz w:val="24"/>
      <w:szCs w:val="20"/>
    </w:rPr>
  </w:style>
  <w:style w:type="paragraph" w:customStyle="1" w:styleId="109">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11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1">
    <w:name w:val="Body Text First Indent 2"/>
    <w:autoRedefine/>
    <w:qFormat/>
    <w:uiPriority w:val="0"/>
    <w:pPr>
      <w:widowControl w:val="0"/>
      <w:spacing w:after="120" w:afterLines="0" w:line="240" w:lineRule="auto"/>
      <w:ind w:left="420" w:leftChars="200" w:firstLine="420"/>
      <w:jc w:val="both"/>
    </w:pPr>
    <w:rPr>
      <w:rFonts w:ascii="Times New Roman" w:hAnsi="Times New Roman" w:eastAsia="宋体" w:cs="宋体"/>
      <w:color w:val="000000"/>
      <w:kern w:val="2"/>
      <w:sz w:val="21"/>
      <w:szCs w:val="21"/>
      <w:lang w:val="en-US" w:eastAsia="zh-CN" w:bidi="ar-SA"/>
    </w:rPr>
  </w:style>
  <w:style w:type="paragraph" w:customStyle="1" w:styleId="112">
    <w:name w:val="正文缩进1"/>
    <w:basedOn w:val="1"/>
    <w:next w:val="1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113">
    <w:name w:val="索引 11"/>
    <w:basedOn w:val="1"/>
    <w:next w:val="1"/>
    <w:qFormat/>
    <w:uiPriority w:val="99"/>
    <w:pPr>
      <w:adjustRightInd/>
      <w:spacing w:line="360" w:lineRule="auto"/>
    </w:pPr>
    <w:rPr>
      <w:rFonts w:ascii="仿宋_GB2312" w:eastAsia="仿宋_GB2312"/>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59</Pages>
  <Words>4669</Words>
  <Characters>5216</Characters>
  <Lines>271</Lines>
  <Paragraphs>76</Paragraphs>
  <TotalTime>54</TotalTime>
  <ScaleCrop>false</ScaleCrop>
  <LinksUpToDate>false</LinksUpToDate>
  <CharactersWithSpaces>5412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2021-11-12T16:24:00Z</dcterms:created>
  <dc:creator>NTKO</dc:creator>
  <cp:lastModifiedBy>Administrator</cp:lastModifiedBy>
  <cp:lastPrinted>2025-01-24T03:32:00Z</cp:lastPrinted>
  <dcterms:modified xsi:type="dcterms:W3CDTF">2025-01-27T08:50:23Z</dcterms:modified>
  <cp:revision>199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EDC78DC4FBE041058EE9B11E3664ED7C_13</vt:lpwstr>
  </property>
  <property fmtid="{D5CDD505-2E9C-101B-9397-08002B2CF9AE}" pid="4" name="KSOTemplateDocerSaveRecord">
    <vt:lpwstr>eyJoZGlkIjoiZmQ3ZGRlZTE0ZDUxZGFiZDUwYTdmZTMwZjQ0MjgxOTIiLCJ1c2VySWQiOiIyNTk3NTA0NDkifQ==</vt:lpwstr>
  </property>
</Properties>
</file>