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1BC49">
      <w:pPr>
        <w:shd w:val="clear"/>
        <w:spacing w:line="360" w:lineRule="auto"/>
        <w:jc w:val="center"/>
        <w:rPr>
          <w:rFonts w:cs="仿宋_GB2312" w:asciiTheme="majorEastAsia" w:hAnsiTheme="majorEastAsia" w:eastAsiaTheme="majorEastAsia"/>
          <w:color w:val="auto"/>
          <w:sz w:val="48"/>
          <w:szCs w:val="48"/>
          <w:highlight w:val="none"/>
        </w:rPr>
      </w:pPr>
      <w:bookmarkStart w:id="402" w:name="_GoBack"/>
      <w:r>
        <w:rPr>
          <w:rFonts w:hint="eastAsia" w:cs="仿宋_GB2312" w:asciiTheme="majorEastAsia" w:hAnsiTheme="majorEastAsia" w:eastAsiaTheme="majorEastAsia"/>
          <w:color w:val="auto"/>
          <w:sz w:val="48"/>
          <w:szCs w:val="48"/>
          <w:highlight w:val="none"/>
        </w:rPr>
        <w:t xml:space="preserve"> </w:t>
      </w:r>
    </w:p>
    <w:p w14:paraId="7E7BEF06">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奉化经济开发区滨海新区路灯、景观灯日常维护项目</w:t>
      </w:r>
    </w:p>
    <w:p w14:paraId="7D55EF8C">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77DFE701">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64A4A3F4">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4</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rPr>
        <w:t>396</w:t>
      </w:r>
      <w:r>
        <w:rPr>
          <w:rFonts w:cs="仿宋_GB2312" w:asciiTheme="majorEastAsia" w:hAnsiTheme="majorEastAsia" w:eastAsiaTheme="majorEastAsia"/>
          <w:color w:val="auto"/>
          <w:sz w:val="30"/>
          <w:szCs w:val="30"/>
          <w:highlight w:val="none"/>
        </w:rPr>
        <w:t>D</w:t>
      </w:r>
    </w:p>
    <w:p w14:paraId="1B1DF5C9">
      <w:pPr>
        <w:shd w:val="clear"/>
        <w:spacing w:line="360" w:lineRule="auto"/>
        <w:rPr>
          <w:rFonts w:cs="仿宋_GB2312" w:asciiTheme="majorEastAsia" w:hAnsiTheme="majorEastAsia" w:eastAsiaTheme="majorEastAsia"/>
          <w:color w:val="auto"/>
          <w:sz w:val="28"/>
          <w:szCs w:val="20"/>
          <w:highlight w:val="none"/>
        </w:rPr>
      </w:pPr>
    </w:p>
    <w:p w14:paraId="1B75A3C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3233AFE2">
      <w:pPr>
        <w:shd w:val="clear"/>
        <w:spacing w:line="360" w:lineRule="auto"/>
        <w:jc w:val="center"/>
        <w:rPr>
          <w:rFonts w:cs="仿宋_GB2312" w:asciiTheme="majorEastAsia" w:hAnsiTheme="majorEastAsia" w:eastAsiaTheme="majorEastAsia"/>
          <w:b/>
          <w:color w:val="auto"/>
          <w:sz w:val="44"/>
          <w:szCs w:val="44"/>
          <w:highlight w:val="none"/>
        </w:rPr>
      </w:pPr>
    </w:p>
    <w:p w14:paraId="41A72983">
      <w:pPr>
        <w:pStyle w:val="26"/>
        <w:shd w:val="clear"/>
        <w:ind w:firstLine="560"/>
        <w:rPr>
          <w:color w:val="auto"/>
          <w:highlight w:val="none"/>
        </w:rPr>
      </w:pPr>
    </w:p>
    <w:p w14:paraId="7968AB71">
      <w:pPr>
        <w:pStyle w:val="26"/>
        <w:shd w:val="clear"/>
        <w:ind w:firstLine="560"/>
        <w:rPr>
          <w:color w:val="auto"/>
          <w:highlight w:val="none"/>
        </w:rPr>
      </w:pPr>
    </w:p>
    <w:p w14:paraId="6FA42E22">
      <w:pPr>
        <w:pStyle w:val="26"/>
        <w:shd w:val="clear"/>
        <w:ind w:firstLine="560"/>
        <w:rPr>
          <w:color w:val="auto"/>
          <w:highlight w:val="none"/>
        </w:rPr>
      </w:pPr>
    </w:p>
    <w:p w14:paraId="1EAEF9E7">
      <w:pPr>
        <w:pStyle w:val="26"/>
        <w:shd w:val="clear"/>
        <w:ind w:firstLine="560"/>
        <w:rPr>
          <w:color w:val="auto"/>
          <w:highlight w:val="none"/>
        </w:rPr>
      </w:pPr>
    </w:p>
    <w:p w14:paraId="4F415661">
      <w:pPr>
        <w:pStyle w:val="26"/>
        <w:shd w:val="clear"/>
        <w:ind w:firstLine="560"/>
        <w:rPr>
          <w:color w:val="auto"/>
          <w:highlight w:val="none"/>
        </w:rPr>
      </w:pPr>
    </w:p>
    <w:p w14:paraId="16B97AE3">
      <w:pPr>
        <w:pStyle w:val="26"/>
        <w:shd w:val="clear"/>
        <w:ind w:firstLine="560"/>
        <w:rPr>
          <w:color w:val="auto"/>
          <w:highlight w:val="none"/>
        </w:rPr>
      </w:pPr>
    </w:p>
    <w:p w14:paraId="257D0077">
      <w:pPr>
        <w:shd w:val="clear"/>
        <w:spacing w:line="360" w:lineRule="auto"/>
        <w:jc w:val="center"/>
        <w:rPr>
          <w:rFonts w:cs="仿宋_GB2312" w:asciiTheme="majorEastAsia" w:hAnsiTheme="majorEastAsia" w:eastAsiaTheme="majorEastAsia"/>
          <w:color w:val="auto"/>
          <w:sz w:val="24"/>
          <w:highlight w:val="none"/>
        </w:rPr>
      </w:pPr>
    </w:p>
    <w:p w14:paraId="1EDD3106">
      <w:pPr>
        <w:shd w:val="clear"/>
        <w:spacing w:line="360" w:lineRule="auto"/>
        <w:jc w:val="center"/>
        <w:rPr>
          <w:rFonts w:cs="仿宋_GB2312" w:asciiTheme="majorEastAsia" w:hAnsiTheme="majorEastAsia" w:eastAsiaTheme="majorEastAsia"/>
          <w:color w:val="auto"/>
          <w:sz w:val="24"/>
          <w:highlight w:val="none"/>
        </w:rPr>
      </w:pPr>
    </w:p>
    <w:p w14:paraId="50703F24">
      <w:pPr>
        <w:shd w:val="clear"/>
        <w:spacing w:line="360" w:lineRule="auto"/>
        <w:rPr>
          <w:rFonts w:cs="仿宋_GB2312" w:asciiTheme="majorEastAsia" w:hAnsiTheme="majorEastAsia" w:eastAsiaTheme="majorEastAsia"/>
          <w:color w:val="auto"/>
          <w:sz w:val="32"/>
          <w:szCs w:val="32"/>
          <w:highlight w:val="none"/>
        </w:rPr>
      </w:pPr>
    </w:p>
    <w:p w14:paraId="6CC547B1">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采购人：宁波市奉化区红胜开发建设有限公司</w:t>
      </w:r>
    </w:p>
    <w:p w14:paraId="5B2258CF">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50ED18CF">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4CC2B057">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79635389">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14E6A5E3">
      <w:pPr>
        <w:shd w:val="clear"/>
        <w:spacing w:line="360" w:lineRule="auto"/>
        <w:jc w:val="center"/>
        <w:rPr>
          <w:rFonts w:cs="仿宋_GB2312" w:asciiTheme="majorEastAsia" w:hAnsiTheme="majorEastAsia" w:eastAsiaTheme="majorEastAsia"/>
          <w:color w:val="auto"/>
          <w:sz w:val="24"/>
          <w:highlight w:val="none"/>
        </w:rPr>
      </w:pPr>
    </w:p>
    <w:p w14:paraId="61FE3410">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299C251C">
      <w:pPr>
        <w:shd w:val="clear"/>
        <w:spacing w:line="360" w:lineRule="auto"/>
        <w:rPr>
          <w:rFonts w:cs="仿宋_GB2312" w:asciiTheme="majorEastAsia" w:hAnsiTheme="majorEastAsia" w:eastAsiaTheme="majorEastAsia"/>
          <w:color w:val="auto"/>
          <w:sz w:val="32"/>
          <w:szCs w:val="32"/>
          <w:highlight w:val="none"/>
        </w:rPr>
      </w:pPr>
    </w:p>
    <w:p w14:paraId="2B4C9702">
      <w:pPr>
        <w:shd w:val="clear"/>
        <w:spacing w:line="360" w:lineRule="auto"/>
        <w:rPr>
          <w:rFonts w:cs="仿宋_GB2312" w:asciiTheme="majorEastAsia" w:hAnsiTheme="majorEastAsia" w:eastAsiaTheme="majorEastAsia"/>
          <w:color w:val="auto"/>
          <w:sz w:val="32"/>
          <w:szCs w:val="32"/>
          <w:highlight w:val="none"/>
        </w:rPr>
      </w:pPr>
    </w:p>
    <w:p w14:paraId="5CDF0B8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4C617CB7">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2560A3AA">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60FE61F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5DCC92B6">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77A249F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34A3ED5E">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3EC5E61D">
      <w:pPr>
        <w:shd w:val="clear"/>
        <w:spacing w:line="360" w:lineRule="auto"/>
        <w:ind w:firstLine="549" w:firstLineChars="229"/>
        <w:rPr>
          <w:rFonts w:cs="仿宋" w:asciiTheme="majorEastAsia" w:hAnsiTheme="majorEastAsia" w:eastAsiaTheme="majorEastAsia"/>
          <w:color w:val="auto"/>
          <w:sz w:val="24"/>
          <w:highlight w:val="none"/>
        </w:rPr>
      </w:pPr>
    </w:p>
    <w:p w14:paraId="6D977037">
      <w:pPr>
        <w:shd w:val="clear"/>
        <w:spacing w:line="360" w:lineRule="auto"/>
        <w:ind w:firstLine="549" w:firstLineChars="229"/>
        <w:rPr>
          <w:rFonts w:cs="仿宋" w:asciiTheme="majorEastAsia" w:hAnsiTheme="majorEastAsia" w:eastAsiaTheme="majorEastAsia"/>
          <w:color w:val="auto"/>
          <w:sz w:val="24"/>
          <w:highlight w:val="none"/>
        </w:rPr>
      </w:pPr>
    </w:p>
    <w:p w14:paraId="5532F999">
      <w:pPr>
        <w:shd w:val="clear"/>
        <w:spacing w:line="360" w:lineRule="auto"/>
        <w:ind w:firstLine="549" w:firstLineChars="229"/>
        <w:rPr>
          <w:rFonts w:cs="仿宋" w:asciiTheme="majorEastAsia" w:hAnsiTheme="majorEastAsia" w:eastAsiaTheme="majorEastAsia"/>
          <w:color w:val="auto"/>
          <w:sz w:val="24"/>
          <w:highlight w:val="none"/>
        </w:rPr>
      </w:pPr>
    </w:p>
    <w:p w14:paraId="20AB5534">
      <w:pPr>
        <w:shd w:val="clear"/>
        <w:spacing w:line="360" w:lineRule="auto"/>
        <w:ind w:firstLine="549" w:firstLineChars="229"/>
        <w:rPr>
          <w:rFonts w:cs="仿宋" w:asciiTheme="majorEastAsia" w:hAnsiTheme="majorEastAsia" w:eastAsiaTheme="majorEastAsia"/>
          <w:color w:val="auto"/>
          <w:sz w:val="24"/>
          <w:highlight w:val="none"/>
        </w:rPr>
      </w:pPr>
    </w:p>
    <w:p w14:paraId="4EF8EBE5">
      <w:pPr>
        <w:shd w:val="clear"/>
        <w:spacing w:line="360" w:lineRule="auto"/>
        <w:ind w:firstLine="549" w:firstLineChars="229"/>
        <w:rPr>
          <w:rFonts w:cs="仿宋" w:asciiTheme="majorEastAsia" w:hAnsiTheme="majorEastAsia" w:eastAsiaTheme="majorEastAsia"/>
          <w:color w:val="auto"/>
          <w:sz w:val="24"/>
          <w:highlight w:val="none"/>
        </w:rPr>
      </w:pPr>
    </w:p>
    <w:p w14:paraId="224427C8">
      <w:pPr>
        <w:shd w:val="clear"/>
        <w:spacing w:line="360" w:lineRule="auto"/>
        <w:ind w:firstLine="549" w:firstLineChars="229"/>
        <w:rPr>
          <w:rFonts w:cs="仿宋" w:asciiTheme="majorEastAsia" w:hAnsiTheme="majorEastAsia" w:eastAsiaTheme="majorEastAsia"/>
          <w:color w:val="auto"/>
          <w:sz w:val="24"/>
          <w:highlight w:val="none"/>
        </w:rPr>
      </w:pPr>
    </w:p>
    <w:p w14:paraId="385AC126">
      <w:pPr>
        <w:shd w:val="clear"/>
        <w:spacing w:line="360" w:lineRule="auto"/>
        <w:ind w:firstLine="549" w:firstLineChars="229"/>
        <w:rPr>
          <w:rFonts w:cs="仿宋" w:asciiTheme="majorEastAsia" w:hAnsiTheme="majorEastAsia" w:eastAsiaTheme="majorEastAsia"/>
          <w:color w:val="auto"/>
          <w:sz w:val="24"/>
          <w:highlight w:val="none"/>
        </w:rPr>
      </w:pPr>
    </w:p>
    <w:p w14:paraId="38171A59">
      <w:pPr>
        <w:shd w:val="clear"/>
        <w:spacing w:line="360" w:lineRule="auto"/>
        <w:ind w:firstLine="549" w:firstLineChars="229"/>
        <w:rPr>
          <w:rFonts w:cs="仿宋" w:asciiTheme="majorEastAsia" w:hAnsiTheme="majorEastAsia" w:eastAsiaTheme="majorEastAsia"/>
          <w:color w:val="auto"/>
          <w:sz w:val="24"/>
          <w:highlight w:val="none"/>
        </w:rPr>
      </w:pPr>
    </w:p>
    <w:p w14:paraId="6F10B86C">
      <w:pPr>
        <w:shd w:val="clear"/>
        <w:spacing w:line="360" w:lineRule="auto"/>
        <w:ind w:firstLine="549" w:firstLineChars="229"/>
        <w:rPr>
          <w:rFonts w:cs="仿宋" w:asciiTheme="majorEastAsia" w:hAnsiTheme="majorEastAsia" w:eastAsiaTheme="majorEastAsia"/>
          <w:color w:val="auto"/>
          <w:sz w:val="24"/>
          <w:highlight w:val="none"/>
        </w:rPr>
      </w:pPr>
    </w:p>
    <w:p w14:paraId="62DAADA4">
      <w:pPr>
        <w:shd w:val="clear"/>
        <w:spacing w:line="360" w:lineRule="auto"/>
        <w:ind w:firstLine="549" w:firstLineChars="229"/>
        <w:rPr>
          <w:rFonts w:cs="仿宋" w:asciiTheme="majorEastAsia" w:hAnsiTheme="majorEastAsia" w:eastAsiaTheme="majorEastAsia"/>
          <w:color w:val="auto"/>
          <w:sz w:val="24"/>
          <w:highlight w:val="none"/>
        </w:rPr>
      </w:pPr>
    </w:p>
    <w:p w14:paraId="154A5542">
      <w:pPr>
        <w:shd w:val="clear"/>
        <w:spacing w:line="360" w:lineRule="auto"/>
        <w:ind w:firstLine="549" w:firstLineChars="229"/>
        <w:rPr>
          <w:rFonts w:cs="仿宋" w:asciiTheme="majorEastAsia" w:hAnsiTheme="majorEastAsia" w:eastAsiaTheme="majorEastAsia"/>
          <w:color w:val="auto"/>
          <w:sz w:val="24"/>
          <w:highlight w:val="none"/>
        </w:rPr>
      </w:pPr>
    </w:p>
    <w:p w14:paraId="7480883A">
      <w:pPr>
        <w:shd w:val="clear"/>
        <w:spacing w:line="360" w:lineRule="auto"/>
        <w:ind w:firstLine="549" w:firstLineChars="229"/>
        <w:rPr>
          <w:rFonts w:cs="仿宋" w:asciiTheme="majorEastAsia" w:hAnsiTheme="majorEastAsia" w:eastAsiaTheme="majorEastAsia"/>
          <w:color w:val="auto"/>
          <w:sz w:val="24"/>
          <w:highlight w:val="none"/>
        </w:rPr>
      </w:pPr>
    </w:p>
    <w:p w14:paraId="46E578D6">
      <w:pPr>
        <w:shd w:val="clear"/>
        <w:spacing w:line="360" w:lineRule="auto"/>
        <w:rPr>
          <w:rFonts w:cs="仿宋" w:asciiTheme="majorEastAsia" w:hAnsiTheme="majorEastAsia" w:eastAsiaTheme="majorEastAsia"/>
          <w:color w:val="auto"/>
          <w:sz w:val="24"/>
          <w:highlight w:val="none"/>
        </w:rPr>
      </w:pPr>
    </w:p>
    <w:p w14:paraId="2D7CF5A7">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4807D84E">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7A05988D">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奉化经济开发区滨海新区路灯、景观灯日常维护项目</w:t>
      </w:r>
      <w:r>
        <w:rPr>
          <w:rFonts w:hint="eastAsia" w:cs="仿宋" w:asciiTheme="majorEastAsia" w:hAnsiTheme="majorEastAsia" w:eastAsiaTheme="majorEastAsia"/>
          <w:color w:val="auto"/>
          <w:sz w:val="24"/>
          <w:highlight w:val="none"/>
        </w:rPr>
        <w:t>的潜在供应商应在乐采云平台（</w:t>
      </w:r>
      <w:r>
        <w:rPr>
          <w:color w:val="auto"/>
          <w:highlight w:val="none"/>
        </w:rPr>
        <w:fldChar w:fldCharType="begin"/>
      </w:r>
      <w:r>
        <w:rPr>
          <w:color w:val="auto"/>
          <w:highlight w:val="none"/>
        </w:rPr>
        <w:instrText xml:space="preserve"> HYPERLINK "https://www.zcygov.cn/）获取（下载）招标文件，并于2024年00月00日00点00分00秒" </w:instrText>
      </w:r>
      <w:r>
        <w:rPr>
          <w:color w:val="auto"/>
          <w:highlight w:val="none"/>
        </w:rPr>
        <w:fldChar w:fldCharType="separate"/>
      </w:r>
      <w:r>
        <w:rPr>
          <w:rStyle w:val="25"/>
          <w:rFonts w:hint="eastAsia" w:cs="仿宋" w:asciiTheme="majorEastAsia" w:hAnsiTheme="majorEastAsia" w:eastAsiaTheme="majorEastAsia"/>
          <w:color w:val="auto"/>
          <w:sz w:val="24"/>
          <w:szCs w:val="24"/>
          <w:highlight w:val="none"/>
        </w:rPr>
        <w:t>https://www.lecaiyun.com/）获取（下载）招标文件，并于</w:t>
      </w:r>
      <w:r>
        <w:rPr>
          <w:rStyle w:val="25"/>
          <w:rFonts w:hint="eastAsia" w:cs="仿宋" w:asciiTheme="majorEastAsia" w:hAnsiTheme="majorEastAsia" w:eastAsiaTheme="majorEastAsia"/>
          <w:snapToGrid/>
          <w:color w:val="auto"/>
          <w:kern w:val="2"/>
          <w:sz w:val="24"/>
          <w:szCs w:val="24"/>
          <w:highlight w:val="none"/>
        </w:rPr>
        <w:t>2024年</w:t>
      </w:r>
      <w:r>
        <w:rPr>
          <w:rStyle w:val="25"/>
          <w:rFonts w:hint="eastAsia" w:cs="仿宋" w:asciiTheme="majorEastAsia" w:hAnsiTheme="majorEastAsia" w:eastAsiaTheme="majorEastAsia"/>
          <w:snapToGrid/>
          <w:color w:val="auto"/>
          <w:kern w:val="2"/>
          <w:sz w:val="24"/>
          <w:szCs w:val="24"/>
          <w:highlight w:val="none"/>
          <w:lang w:val="en-US" w:eastAsia="zh-CN"/>
        </w:rPr>
        <w:t>12</w:t>
      </w:r>
      <w:r>
        <w:rPr>
          <w:rStyle w:val="25"/>
          <w:rFonts w:hint="eastAsia" w:cs="仿宋" w:asciiTheme="majorEastAsia" w:hAnsiTheme="majorEastAsia" w:eastAsiaTheme="majorEastAsia"/>
          <w:snapToGrid/>
          <w:color w:val="auto"/>
          <w:kern w:val="2"/>
          <w:sz w:val="24"/>
          <w:szCs w:val="24"/>
          <w:highlight w:val="none"/>
        </w:rPr>
        <w:t>月</w:t>
      </w:r>
      <w:r>
        <w:rPr>
          <w:rStyle w:val="25"/>
          <w:rFonts w:hint="eastAsia" w:cs="仿宋" w:asciiTheme="majorEastAsia" w:hAnsiTheme="majorEastAsia" w:eastAsiaTheme="majorEastAsia"/>
          <w:snapToGrid/>
          <w:color w:val="auto"/>
          <w:kern w:val="2"/>
          <w:sz w:val="24"/>
          <w:szCs w:val="24"/>
          <w:highlight w:val="none"/>
          <w:lang w:val="en-US" w:eastAsia="zh-CN"/>
        </w:rPr>
        <w:t>26</w:t>
      </w:r>
      <w:r>
        <w:rPr>
          <w:rStyle w:val="25"/>
          <w:rFonts w:hint="eastAsia" w:cs="仿宋" w:asciiTheme="majorEastAsia" w:hAnsiTheme="majorEastAsia" w:eastAsiaTheme="majorEastAsia"/>
          <w:snapToGrid/>
          <w:color w:val="auto"/>
          <w:kern w:val="2"/>
          <w:sz w:val="24"/>
          <w:szCs w:val="24"/>
          <w:highlight w:val="none"/>
        </w:rPr>
        <w:t>日</w:t>
      </w:r>
      <w:r>
        <w:rPr>
          <w:rStyle w:val="25"/>
          <w:rFonts w:hint="eastAsia" w:cs="仿宋" w:asciiTheme="majorEastAsia" w:hAnsiTheme="majorEastAsia" w:eastAsiaTheme="majorEastAsia"/>
          <w:snapToGrid/>
          <w:color w:val="auto"/>
          <w:kern w:val="2"/>
          <w:sz w:val="24"/>
          <w:szCs w:val="24"/>
          <w:highlight w:val="none"/>
          <w:lang w:val="en-US" w:eastAsia="zh-CN"/>
        </w:rPr>
        <w:t>14</w:t>
      </w:r>
      <w:r>
        <w:rPr>
          <w:rStyle w:val="25"/>
          <w:rFonts w:hint="eastAsia" w:cs="仿宋" w:asciiTheme="majorEastAsia" w:hAnsiTheme="majorEastAsia" w:eastAsiaTheme="majorEastAsia"/>
          <w:snapToGrid/>
          <w:color w:val="auto"/>
          <w:kern w:val="2"/>
          <w:sz w:val="24"/>
          <w:szCs w:val="24"/>
          <w:highlight w:val="none"/>
        </w:rPr>
        <w:t>点00分</w:t>
      </w:r>
      <w:r>
        <w:rPr>
          <w:rStyle w:val="25"/>
          <w:rFonts w:hint="eastAsia" w:cs="仿宋" w:asciiTheme="majorEastAsia" w:hAnsiTheme="majorEastAsia" w:eastAsiaTheme="majorEastAsia"/>
          <w:bCs/>
          <w:snapToGrid/>
          <w:color w:val="auto"/>
          <w:kern w:val="2"/>
          <w:sz w:val="24"/>
          <w:szCs w:val="24"/>
          <w:highlight w:val="none"/>
        </w:rPr>
        <w:t>00秒</w:t>
      </w:r>
      <w:r>
        <w:rPr>
          <w:rStyle w:val="25"/>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68CB141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084EC94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FHGQZB(202</w:t>
      </w:r>
      <w:r>
        <w:rPr>
          <w:rFonts w:hint="eastAsia" w:cs="仿宋" w:asciiTheme="majorEastAsia" w:hAnsiTheme="majorEastAsia" w:eastAsiaTheme="majorEastAsia"/>
          <w:color w:val="auto"/>
          <w:sz w:val="24"/>
          <w:highlight w:val="none"/>
        </w:rPr>
        <w:t>4</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rPr>
        <w:t>396</w:t>
      </w:r>
      <w:r>
        <w:rPr>
          <w:rFonts w:cs="仿宋" w:asciiTheme="majorEastAsia" w:hAnsiTheme="majorEastAsia" w:eastAsiaTheme="majorEastAsia"/>
          <w:color w:val="auto"/>
          <w:sz w:val="24"/>
          <w:highlight w:val="none"/>
        </w:rPr>
        <w:t>D</w:t>
      </w:r>
      <w:r>
        <w:rPr>
          <w:rFonts w:hint="eastAsia" w:cs="仿宋" w:asciiTheme="majorEastAsia" w:hAnsiTheme="majorEastAsia" w:eastAsiaTheme="majorEastAsia"/>
          <w:color w:val="auto"/>
          <w:sz w:val="24"/>
          <w:highlight w:val="none"/>
        </w:rPr>
        <w:t xml:space="preserve">              档案编号：</w:t>
      </w:r>
      <w:r>
        <w:rPr>
          <w:rFonts w:hint="eastAsia" w:cs="仿宋" w:asciiTheme="majorEastAsia" w:hAnsiTheme="majorEastAsia" w:eastAsiaTheme="majorEastAsia"/>
          <w:color w:val="auto"/>
          <w:sz w:val="24"/>
          <w:highlight w:val="none"/>
          <w:lang w:val="zh-CN"/>
        </w:rPr>
        <w:t>JX-2430</w:t>
      </w:r>
      <w:r>
        <w:rPr>
          <w:rFonts w:hint="eastAsia" w:cs="仿宋" w:asciiTheme="majorEastAsia" w:hAnsiTheme="majorEastAsia" w:eastAsiaTheme="majorEastAsia"/>
          <w:color w:val="auto"/>
          <w:sz w:val="24"/>
          <w:highlight w:val="none"/>
        </w:rPr>
        <w:t>9</w:t>
      </w:r>
    </w:p>
    <w:p w14:paraId="75BFFBA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奉化经济开发区滨海新区路灯、景观灯日常维护项目</w:t>
      </w:r>
    </w:p>
    <w:p w14:paraId="4E6D9AC6">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预算金额（元）：381616元/年</w:t>
      </w:r>
    </w:p>
    <w:p w14:paraId="56487E58">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最高限价（元）：381616元/年</w:t>
      </w:r>
    </w:p>
    <w:p w14:paraId="1B07EA57">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color w:val="auto"/>
          <w:sz w:val="24"/>
          <w:highlight w:val="none"/>
        </w:rPr>
        <w:t>奉化经济开发区滨海新区路灯、景观灯日常维护</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79431527">
      <w:pPr>
        <w:shd w:val="clear"/>
        <w:spacing w:line="360" w:lineRule="auto"/>
        <w:ind w:firstLine="480"/>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hAnsi="宋体"/>
          <w:color w:val="auto"/>
          <w:sz w:val="24"/>
          <w:highlight w:val="none"/>
        </w:rPr>
        <w:t>合同签订之日起两年，合同一年一签，具体</w:t>
      </w:r>
      <w:r>
        <w:rPr>
          <w:rFonts w:hint="eastAsia" w:cs="仿宋" w:asciiTheme="majorEastAsia" w:hAnsiTheme="majorEastAsia" w:eastAsiaTheme="majorEastAsia"/>
          <w:bCs/>
          <w:color w:val="auto"/>
          <w:sz w:val="24"/>
          <w:highlight w:val="none"/>
        </w:rPr>
        <w:t>详见招标文件第三部分采购需求。</w:t>
      </w:r>
    </w:p>
    <w:p w14:paraId="40FE6FBA">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23779E7F">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416E8D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1DF5098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3.本项目的特定资格要求：供应商须同时具有：1）城市及道路照明工程专业承包叁级及以上资质；2）《承装（修、试）电力设施许可证》五级及以上许可证。</w:t>
      </w:r>
    </w:p>
    <w:p w14:paraId="15204A8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2FB6A1">
      <w:pPr>
        <w:pStyle w:val="26"/>
        <w:shd w:val="clear"/>
        <w:spacing w:line="360" w:lineRule="auto"/>
        <w:ind w:firstLine="480"/>
        <w:rPr>
          <w:color w:val="auto"/>
          <w:highlight w:val="none"/>
        </w:rPr>
      </w:pPr>
      <w:r>
        <w:rPr>
          <w:rFonts w:hint="eastAsia" w:cs="仿宋" w:asciiTheme="majorEastAsia" w:hAnsiTheme="majorEastAsia" w:eastAsiaTheme="majorEastAsia"/>
          <w:color w:val="auto"/>
          <w:sz w:val="24"/>
          <w:highlight w:val="none"/>
        </w:rPr>
        <w:t>5.本项目接受联合体投标：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否</w:t>
      </w:r>
      <w:r>
        <w:rPr>
          <w:rFonts w:hint="eastAsia" w:cs="仿宋" w:asciiTheme="majorEastAsia" w:hAnsiTheme="majorEastAsia" w:eastAsiaTheme="majorEastAsia"/>
          <w:color w:val="auto"/>
          <w:kern w:val="0"/>
          <w:sz w:val="24"/>
          <w:highlight w:val="none"/>
        </w:rPr>
        <w:t>。</w:t>
      </w:r>
    </w:p>
    <w:p w14:paraId="3DE56600">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7E00A7C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2024年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2024年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11</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410EDA4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12F3D199">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5DC9E18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0ECEAD65">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53A7D96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2024年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792DF02B">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68FF4331">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2024年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76A4379C">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6B015280">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14:paraId="79798B9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54962D4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58BF619B">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176E704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629F9EB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174A798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5191C1D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05ABD30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名 称：宁波市奉化区红胜开发建设有限公司 </w:t>
      </w:r>
    </w:p>
    <w:p w14:paraId="12113C7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联系地址：</w:t>
      </w:r>
      <w:r>
        <w:rPr>
          <w:rFonts w:hint="eastAsia" w:ascii="宋体" w:hAnsi="宋体" w:cs="宋体"/>
          <w:color w:val="auto"/>
          <w:sz w:val="24"/>
          <w:highlight w:val="none"/>
        </w:rPr>
        <w:t>浙江省宁波市奉化区滨海新区星海路28号</w:t>
      </w:r>
    </w:p>
    <w:p w14:paraId="598CF01C">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项目联系人（询问）：张先生  </w:t>
      </w:r>
    </w:p>
    <w:p w14:paraId="6472AE7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项目联系方式（询问）：13516886633</w:t>
      </w:r>
    </w:p>
    <w:p w14:paraId="617468C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质疑联系人：杜先生</w:t>
      </w:r>
    </w:p>
    <w:p w14:paraId="5EC631F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质疑联系方式：13957495567</w:t>
      </w:r>
    </w:p>
    <w:p w14:paraId="087775B0">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2.采购代理机构信息</w:t>
      </w:r>
    </w:p>
    <w:p w14:paraId="1DEB94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65FFD0A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址：宁波市奉化区岳林东路商业二16幢502室（惠政丽都北门）　　</w:t>
      </w:r>
    </w:p>
    <w:p w14:paraId="7415735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执行联系人：丁先生                  联系方式：0574-88986381</w:t>
      </w:r>
    </w:p>
    <w:p w14:paraId="5370BB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质疑答复联系人：卓先生         　　 联系方式：0574-88986375</w:t>
      </w:r>
    </w:p>
    <w:p w14:paraId="57FA62D5">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3.监督管理部门</w:t>
      </w:r>
    </w:p>
    <w:p w14:paraId="511E77A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名称：奉化经济开发区管理委员会</w:t>
      </w:r>
    </w:p>
    <w:p w14:paraId="33F59A4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地址：浙江省宁波市奉化区滨海新区星海路28号</w:t>
      </w:r>
    </w:p>
    <w:p w14:paraId="3FDFC3D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联系人：叶女士</w:t>
      </w:r>
    </w:p>
    <w:p w14:paraId="61866E2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联系方式：13566352772       </w:t>
      </w:r>
    </w:p>
    <w:p w14:paraId="1151B50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4AFC94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7AEF910B">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4C924D9F">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413154B9">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11DE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26F95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F319F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1D86C7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30E38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BF412AF">
            <w:pPr>
              <w:shd w:val="clear"/>
              <w:snapToGrid w:val="0"/>
              <w:spacing w:line="360" w:lineRule="auto"/>
              <w:jc w:val="center"/>
              <w:rPr>
                <w:rFonts w:cs="仿宋" w:asciiTheme="majorEastAsia" w:hAnsiTheme="majorEastAsia" w:eastAsiaTheme="majorEastAsia"/>
                <w:color w:val="auto"/>
                <w:sz w:val="24"/>
                <w:highlight w:val="none"/>
              </w:rPr>
            </w:pPr>
          </w:p>
          <w:p w14:paraId="4FED8DC7">
            <w:pPr>
              <w:shd w:val="clear"/>
              <w:snapToGrid w:val="0"/>
              <w:spacing w:line="360" w:lineRule="auto"/>
              <w:jc w:val="center"/>
              <w:rPr>
                <w:rFonts w:cs="仿宋" w:asciiTheme="majorEastAsia" w:hAnsiTheme="majorEastAsia" w:eastAsiaTheme="majorEastAsia"/>
                <w:color w:val="auto"/>
                <w:sz w:val="24"/>
                <w:highlight w:val="none"/>
              </w:rPr>
            </w:pPr>
          </w:p>
          <w:p w14:paraId="5B2EC0BE">
            <w:pPr>
              <w:shd w:val="clear"/>
              <w:snapToGrid w:val="0"/>
              <w:spacing w:line="360" w:lineRule="auto"/>
              <w:jc w:val="center"/>
              <w:rPr>
                <w:rFonts w:cs="仿宋" w:asciiTheme="majorEastAsia" w:hAnsiTheme="majorEastAsia" w:eastAsiaTheme="majorEastAsia"/>
                <w:color w:val="auto"/>
                <w:sz w:val="24"/>
                <w:highlight w:val="none"/>
              </w:rPr>
            </w:pPr>
          </w:p>
          <w:p w14:paraId="0B809F09">
            <w:pPr>
              <w:shd w:val="clear"/>
              <w:snapToGrid w:val="0"/>
              <w:spacing w:line="360" w:lineRule="auto"/>
              <w:jc w:val="center"/>
              <w:rPr>
                <w:rFonts w:cs="仿宋" w:asciiTheme="majorEastAsia" w:hAnsiTheme="majorEastAsia" w:eastAsiaTheme="majorEastAsia"/>
                <w:color w:val="auto"/>
                <w:sz w:val="24"/>
                <w:highlight w:val="none"/>
              </w:rPr>
            </w:pPr>
          </w:p>
          <w:p w14:paraId="2D8D91C8">
            <w:pPr>
              <w:shd w:val="clear"/>
              <w:snapToGrid w:val="0"/>
              <w:spacing w:line="360" w:lineRule="auto"/>
              <w:jc w:val="center"/>
              <w:rPr>
                <w:rFonts w:cs="仿宋" w:asciiTheme="majorEastAsia" w:hAnsiTheme="majorEastAsia" w:eastAsiaTheme="majorEastAsia"/>
                <w:color w:val="auto"/>
                <w:sz w:val="24"/>
                <w:highlight w:val="none"/>
              </w:rPr>
            </w:pPr>
          </w:p>
          <w:p w14:paraId="141709CE">
            <w:pPr>
              <w:shd w:val="clear"/>
              <w:snapToGrid w:val="0"/>
              <w:spacing w:line="360" w:lineRule="auto"/>
              <w:jc w:val="center"/>
              <w:rPr>
                <w:rFonts w:cs="仿宋" w:asciiTheme="majorEastAsia" w:hAnsiTheme="majorEastAsia" w:eastAsiaTheme="majorEastAsia"/>
                <w:color w:val="auto"/>
                <w:sz w:val="24"/>
                <w:highlight w:val="none"/>
              </w:rPr>
            </w:pPr>
          </w:p>
          <w:p w14:paraId="2EE33D60">
            <w:pPr>
              <w:shd w:val="clear"/>
              <w:snapToGrid w:val="0"/>
              <w:spacing w:line="360" w:lineRule="auto"/>
              <w:jc w:val="center"/>
              <w:rPr>
                <w:rFonts w:cs="仿宋" w:asciiTheme="majorEastAsia" w:hAnsiTheme="majorEastAsia" w:eastAsiaTheme="majorEastAsia"/>
                <w:color w:val="auto"/>
                <w:sz w:val="24"/>
                <w:highlight w:val="none"/>
              </w:rPr>
            </w:pPr>
          </w:p>
          <w:p w14:paraId="02638C3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C306D7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04CFD50">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49C784BD">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6372D7DF">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1CBBE0EF">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投标报价超过招标文件中规定的预算金额或者最高限价或者单价最高限价的;</w:t>
            </w:r>
          </w:p>
          <w:p w14:paraId="35617328">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39E8C9D8">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1A50F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914FE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13108A">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75DF5A36">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不适用。</w:t>
            </w:r>
          </w:p>
        </w:tc>
      </w:tr>
      <w:tr w14:paraId="32568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EDFE3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53EDA4">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A755BED">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731AD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BDF31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21D1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83653A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6853D071">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3A6E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07784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BB1479">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eastAsiaTheme="majorEastAsia"/>
                <w:b/>
                <w:color w:val="auto"/>
                <w:sz w:val="24"/>
                <w:highlight w:val="none"/>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55F96066">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组织。</w:t>
            </w:r>
          </w:p>
          <w:p w14:paraId="5BC3B49A">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供应商在规定时间前到达以下指定地点，采购人统一组织现场踏勘，逾期不候。</w:t>
            </w:r>
          </w:p>
          <w:p w14:paraId="2B13477F">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宋体"/>
                <w:color w:val="auto"/>
                <w:kern w:val="0"/>
                <w:sz w:val="24"/>
                <w:highlight w:val="none"/>
                <w:lang w:val="zh-CN"/>
              </w:rPr>
              <w:t>时间：</w:t>
            </w:r>
            <w:r>
              <w:rPr>
                <w:rFonts w:hint="eastAsia" w:ascii="宋体" w:hAnsi="宋体" w:cs="宋体"/>
                <w:color w:val="auto"/>
                <w:kern w:val="0"/>
                <w:sz w:val="24"/>
                <w:highlight w:val="none"/>
                <w:u w:val="single"/>
                <w:lang w:val="zh-CN"/>
              </w:rPr>
              <w:t>202</w:t>
            </w:r>
            <w:r>
              <w:rPr>
                <w:rFonts w:hint="eastAsia" w:ascii="宋体" w:hAnsi="宋体" w:cs="宋体"/>
                <w:color w:val="auto"/>
                <w:kern w:val="0"/>
                <w:sz w:val="24"/>
                <w:highlight w:val="none"/>
                <w:u w:val="single"/>
              </w:rPr>
              <w:t>4</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12</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12</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u w:val="single"/>
              </w:rPr>
              <w:t>09</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u w:val="single"/>
                <w:lang w:val="zh-CN"/>
              </w:rPr>
              <w:t>0</w:t>
            </w:r>
            <w:r>
              <w:rPr>
                <w:rFonts w:hint="eastAsia" w:ascii="宋体" w:hAnsi="宋体" w:cs="宋体"/>
                <w:color w:val="auto"/>
                <w:kern w:val="0"/>
                <w:sz w:val="24"/>
                <w:highlight w:val="none"/>
                <w:lang w:val="zh-CN"/>
              </w:rPr>
              <w:t>,地点：</w:t>
            </w:r>
            <w:r>
              <w:rPr>
                <w:rFonts w:hint="eastAsia" w:ascii="宋体" w:hAnsi="宋体" w:cs="宋体"/>
                <w:color w:val="auto"/>
                <w:kern w:val="0"/>
                <w:sz w:val="24"/>
                <w:highlight w:val="none"/>
                <w:u w:val="single"/>
              </w:rPr>
              <w:t xml:space="preserve"> 浙江省宁波市奉化区滨海新区星海路28号 </w:t>
            </w: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u w:val="single"/>
                <w:lang w:val="zh-CN"/>
              </w:rPr>
              <w:t>丁先生</w:t>
            </w:r>
            <w:r>
              <w:rPr>
                <w:rFonts w:hint="eastAsia" w:ascii="宋体" w:hAnsi="宋体" w:cs="宋体"/>
                <w:color w:val="auto"/>
                <w:kern w:val="0"/>
                <w:sz w:val="24"/>
                <w:highlight w:val="none"/>
                <w:lang w:val="zh-CN"/>
              </w:rPr>
              <w:t>，联系方式：</w:t>
            </w:r>
            <w:r>
              <w:rPr>
                <w:rFonts w:hint="eastAsia" w:ascii="宋体" w:hAnsi="宋体" w:cs="宋体"/>
                <w:color w:val="auto"/>
                <w:kern w:val="0"/>
                <w:sz w:val="24"/>
                <w:highlight w:val="none"/>
                <w:u w:val="single"/>
                <w:lang w:val="zh-CN"/>
              </w:rPr>
              <w:t>13777265503</w:t>
            </w:r>
            <w:r>
              <w:rPr>
                <w:rFonts w:hint="eastAsia" w:ascii="宋体" w:hAnsi="宋体" w:cs="宋体"/>
                <w:color w:val="auto"/>
                <w:kern w:val="0"/>
                <w:sz w:val="24"/>
                <w:highlight w:val="none"/>
                <w:lang w:val="zh-CN"/>
              </w:rPr>
              <w:t>。</w:t>
            </w:r>
          </w:p>
        </w:tc>
      </w:tr>
      <w:tr w14:paraId="72478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2EAAA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9CF09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83938AA">
            <w:pPr>
              <w:shd w:val="clea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kern w:val="0"/>
                <w:sz w:val="24"/>
                <w:highlight w:val="none"/>
              </w:rPr>
              <w:t>不</w:t>
            </w:r>
            <w:r>
              <w:rPr>
                <w:rFonts w:hint="eastAsia" w:cs="仿宋" w:asciiTheme="minorEastAsia" w:hAnsiTheme="minorEastAsia" w:eastAsiaTheme="minorEastAsia"/>
                <w:color w:val="auto"/>
                <w:kern w:val="0"/>
                <w:sz w:val="24"/>
                <w:highlight w:val="none"/>
              </w:rPr>
              <w:t>要求提供。</w:t>
            </w:r>
          </w:p>
        </w:tc>
      </w:tr>
      <w:tr w14:paraId="4A45E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A46291">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923B749">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D7A882A">
            <w:pPr>
              <w:shd w:val="clear"/>
              <w:spacing w:line="360" w:lineRule="auto"/>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kern w:val="0"/>
                <w:sz w:val="24"/>
                <w:highlight w:val="none"/>
              </w:rPr>
              <w:t>不组织。</w:t>
            </w:r>
          </w:p>
        </w:tc>
      </w:tr>
      <w:tr w14:paraId="56945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7B4A4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1EB383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712AD36">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69EE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5FEF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4FAF0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866CB1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10478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18C1B9">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B2F05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51319D4">
            <w:pPr>
              <w:pStyle w:val="26"/>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奉化经济开发区滨海新区路灯、景观灯日常维护</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其他未列明行业</w:t>
            </w:r>
            <w:r>
              <w:rPr>
                <w:rFonts w:hint="eastAsia" w:cs="仿宋" w:asciiTheme="majorEastAsia" w:hAnsiTheme="majorEastAsia" w:eastAsiaTheme="majorEastAsia"/>
                <w:color w:val="auto"/>
                <w:kern w:val="0"/>
                <w:sz w:val="24"/>
                <w:highlight w:val="none"/>
              </w:rPr>
              <w:t>；</w:t>
            </w:r>
          </w:p>
        </w:tc>
      </w:tr>
      <w:tr w14:paraId="775EE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1D2FCA1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F2D6E6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1F502B51">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10800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bookmarkEnd w:id="10"/>
    </w:tbl>
    <w:p w14:paraId="014144F7">
      <w:pPr>
        <w:shd w:val="clear"/>
        <w:spacing w:line="360" w:lineRule="auto"/>
        <w:outlineLvl w:val="0"/>
        <w:rPr>
          <w:rFonts w:cs="仿宋" w:asciiTheme="majorEastAsia" w:hAnsiTheme="majorEastAsia" w:eastAsiaTheme="majorEastAsia"/>
          <w:b/>
          <w:color w:val="auto"/>
          <w:sz w:val="32"/>
          <w:szCs w:val="20"/>
          <w:highlight w:val="none"/>
        </w:rPr>
      </w:pPr>
      <w:bookmarkStart w:id="11" w:name="_Toc164416483"/>
      <w:bookmarkStart w:id="12" w:name="第三部分"/>
      <w:r>
        <w:rPr>
          <w:rFonts w:cs="仿宋" w:asciiTheme="majorEastAsia" w:hAnsiTheme="majorEastAsia" w:eastAsiaTheme="majorEastAsia"/>
          <w:b/>
          <w:color w:val="auto"/>
          <w:sz w:val="32"/>
          <w:szCs w:val="20"/>
          <w:highlight w:val="none"/>
        </w:rPr>
        <w:br w:type="page"/>
      </w:r>
    </w:p>
    <w:p w14:paraId="532DBA53">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578B4C3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59CEBAC6">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2B9A489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711E67C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73DB769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19B5EA4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1799E40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1244E88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7F098B8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FACC60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1E2EF9E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4C5FEDD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2B6847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0D3FC52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7D68994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FBCFE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14A10E51">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1299C194">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515D4305">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10DF3D1F">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2D524BCD">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4FD5D4C6">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A63CEA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11EDE4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0C9D48C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C9CCC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0962F2B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3E431A9D">
      <w:pPr>
        <w:shd w:val="clear"/>
        <w:spacing w:line="360" w:lineRule="auto"/>
        <w:ind w:firstLine="480" w:firstLineChars="200"/>
        <w:rPr>
          <w:rFonts w:cs="仿宋" w:asciiTheme="majorEastAsia" w:hAnsiTheme="majorEastAsia" w:eastAsiaTheme="majorEastAsia"/>
          <w:color w:val="auto"/>
          <w:sz w:val="24"/>
          <w:highlight w:val="none"/>
        </w:rPr>
      </w:pPr>
    </w:p>
    <w:p w14:paraId="3F977C9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597DC29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641BA04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4DC85D2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14DB885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4BBA919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78D0E30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5B9EE86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6BE1349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7BAF6BC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0447ACE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3C07A13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14221290">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D2D14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40ECD5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5718494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DCA0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08DF245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6FF29BA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7B072AD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0E2E470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6341B50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4E1EF53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4D28230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670D30E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328FCA3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0762B63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5ECF8F8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337524F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D61077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26AA630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D11B3C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0ACEFB6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324A27C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99FE6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79E350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5C418B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03D8AFE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327B7C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0C5C2565">
      <w:pPr>
        <w:shd w:val="clear"/>
        <w:spacing w:line="360" w:lineRule="auto"/>
        <w:jc w:val="center"/>
        <w:outlineLvl w:val="0"/>
        <w:rPr>
          <w:rFonts w:cs="仿宋" w:asciiTheme="majorEastAsia" w:hAnsiTheme="majorEastAsia" w:eastAsiaTheme="majorEastAsia"/>
          <w:b/>
          <w:color w:val="auto"/>
          <w:sz w:val="32"/>
          <w:szCs w:val="20"/>
          <w:highlight w:val="none"/>
        </w:rPr>
      </w:pPr>
    </w:p>
    <w:p w14:paraId="3602AC64">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204FBCF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6DC5738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2741590D">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093A6DDA">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79047FBD">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1152EA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2B79D674">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15DE014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40092170">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2986BDB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23185E3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1817AB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47B9E10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2A16BF7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D4BB054">
      <w:pPr>
        <w:shd w:val="clear"/>
        <w:spacing w:line="360" w:lineRule="auto"/>
        <w:ind w:firstLine="480" w:firstLineChars="20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65613500">
      <w:pPr>
        <w:shd w:val="clear"/>
        <w:spacing w:line="360" w:lineRule="auto"/>
        <w:jc w:val="center"/>
        <w:outlineLvl w:val="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b/>
          <w:color w:val="auto"/>
          <w:sz w:val="28"/>
          <w:szCs w:val="20"/>
          <w:highlight w:val="none"/>
        </w:rPr>
        <w:t>三、投标</w:t>
      </w:r>
    </w:p>
    <w:p w14:paraId="7714DA3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77BE2E13">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1BCE73E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0CE2CE1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2190DB7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44B656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43CADA0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1C0C8C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2466D30D">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038131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74BB365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2401E6C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6EE7D72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401302B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42A7FA4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337886E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7D43871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5DB284D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743959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6E64A27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9.2.11同类业绩情况一览表；</w:t>
      </w:r>
    </w:p>
    <w:p w14:paraId="2C17D51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3C262C9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004EF667">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349334A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168F2E4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1E7A9A9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4073616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3669F64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6ACC76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160E727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4404F24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33775BC4">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0A868E5B">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.2供应商进行电子投标应安装客户端软件—“乐采云电子交易客户端”（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1C18425B">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129E396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1946314E">
      <w:pPr>
        <w:pStyle w:val="42"/>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296D8982">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7CB81410">
      <w:pPr>
        <w:pStyle w:val="42"/>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1716B5A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52311F5C">
      <w:pPr>
        <w:pStyle w:val="42"/>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CA1251">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61639F23">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3410299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60997F1B">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2F77D5D5">
      <w:pPr>
        <w:pStyle w:val="42"/>
        <w:shd w:val="clear"/>
        <w:spacing w:before="0"/>
        <w:ind w:firstLine="643"/>
        <w:rPr>
          <w:rFonts w:cs="仿宋" w:asciiTheme="majorEastAsia" w:hAnsiTheme="majorEastAsia" w:eastAsiaTheme="majorEastAsia"/>
          <w:b/>
          <w:color w:val="auto"/>
          <w:sz w:val="32"/>
          <w:highlight w:val="none"/>
        </w:rPr>
      </w:pPr>
    </w:p>
    <w:p w14:paraId="64ABE54F">
      <w:pPr>
        <w:pStyle w:val="42"/>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209D65E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4141FB6D">
      <w:pPr>
        <w:pStyle w:val="37"/>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57FFFE19">
      <w:pPr>
        <w:pStyle w:val="37"/>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6823976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46FAAA1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18A0153A">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45DA9450">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7453AD2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6D60F051">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307262DE">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74F118D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280AE57F">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4F9236EB">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27F7E45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5D09D52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4AAF93D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C3063C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5C4CB2A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4ED76FC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7EA95317">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参加采购活动前3年内是供应商的控股股东或实际控制人；</w:t>
      </w:r>
    </w:p>
    <w:p w14:paraId="2739D25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2A53BF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02AC34C1">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D4F8C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7F349379">
      <w:pPr>
        <w:pStyle w:val="42"/>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AC7219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7A49E30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25B2562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2B0BF091">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61C3C7D0">
      <w:pPr>
        <w:shd w:val="clear"/>
        <w:spacing w:line="360" w:lineRule="auto"/>
        <w:rPr>
          <w:rFonts w:cs="仿宋" w:asciiTheme="majorEastAsia" w:hAnsiTheme="majorEastAsia" w:eastAsiaTheme="majorEastAsia"/>
          <w:b/>
          <w:color w:val="auto"/>
          <w:sz w:val="24"/>
          <w:highlight w:val="none"/>
        </w:rPr>
      </w:pPr>
    </w:p>
    <w:p w14:paraId="31B7F506">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0EC8A10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72DAF3E1">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508AEA2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4D13598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490641A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C4FA4D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5ADA38F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58B2723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5404E95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F364BA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3EBD757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1CA43FD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28ECC887">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41DE481">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22.4中标供应商拒绝与采购人签订合同的，列入不良行为记录名单，采购人、采购代理机构重新开展采购活动。</w:t>
      </w:r>
    </w:p>
    <w:p w14:paraId="7FFC3B8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435E5754">
      <w:pPr>
        <w:pStyle w:val="27"/>
        <w:shd w:val="clear"/>
        <w:tabs>
          <w:tab w:val="left" w:pos="0"/>
        </w:tabs>
        <w:spacing w:line="360" w:lineRule="auto"/>
        <w:ind w:left="400" w:firstLine="0" w:firstLineChars="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拟签订的合同文本要求中标供应商提交履约保证金的，供应商应当以支票、汇票、本票或者银行、保险公司出具的保函等非现金形式提交</w:t>
      </w:r>
      <w:r>
        <w:rPr>
          <w:rFonts w:hint="eastAsia" w:cs="仿宋" w:asciiTheme="majorEastAsia" w:hAnsiTheme="majorEastAsia" w:eastAsiaTheme="majorEastAsia"/>
          <w:color w:val="auto"/>
          <w:sz w:val="24"/>
          <w:highlight w:val="none"/>
        </w:rPr>
        <w:t>。履约保证金的数额不得超过采购合同金额的2.5%。鼓励和支持供应商以银行、保险公司出具的保函形式提供履约保证金。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6EABD846">
      <w:pPr>
        <w:shd w:val="clear"/>
        <w:snapToGrid w:val="0"/>
        <w:spacing w:line="360" w:lineRule="auto"/>
        <w:ind w:firstLine="3357" w:firstLineChars="1045"/>
        <w:rPr>
          <w:rFonts w:cs="仿宋" w:asciiTheme="majorEastAsia" w:hAnsiTheme="majorEastAsia" w:eastAsiaTheme="majorEastAsia"/>
          <w:b/>
          <w:color w:val="auto"/>
          <w:sz w:val="32"/>
          <w:highlight w:val="none"/>
        </w:rPr>
      </w:pPr>
    </w:p>
    <w:p w14:paraId="332F6CFE">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3367811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34DD868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64FD0F1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4B684E3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1562EF74">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59A720F4">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1EF70A3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B4E0F5F">
      <w:pPr>
        <w:shd w:val="clear"/>
        <w:tabs>
          <w:tab w:val="left" w:pos="0"/>
        </w:tabs>
        <w:spacing w:line="360" w:lineRule="auto"/>
        <w:ind w:firstLine="480"/>
        <w:rPr>
          <w:rFonts w:cs="仿宋" w:asciiTheme="majorEastAsia" w:hAnsiTheme="majorEastAsia" w:eastAsiaTheme="majorEastAsia"/>
          <w:color w:val="auto"/>
          <w:sz w:val="24"/>
          <w:highlight w:val="none"/>
        </w:rPr>
      </w:pPr>
    </w:p>
    <w:p w14:paraId="7DD98247">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17464EB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13BC835D">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22AE13">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8F603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5236290"/>
      <w:bookmarkEnd w:id="14"/>
      <w:bookmarkStart w:id="15" w:name="_Hlt74729768"/>
      <w:bookmarkEnd w:id="15"/>
      <w:bookmarkStart w:id="16" w:name="_Hlt68403820"/>
      <w:bookmarkEnd w:id="16"/>
      <w:bookmarkStart w:id="17" w:name="_Hlt68057669"/>
      <w:bookmarkEnd w:id="17"/>
      <w:bookmarkStart w:id="18" w:name="_Hlt68073093"/>
      <w:bookmarkEnd w:id="18"/>
      <w:bookmarkStart w:id="19" w:name="_Hlt75236101"/>
      <w:bookmarkEnd w:id="19"/>
      <w:bookmarkStart w:id="20" w:name="_Hlt68072998"/>
      <w:bookmarkEnd w:id="20"/>
      <w:bookmarkStart w:id="21" w:name="_Hlt74707468"/>
      <w:bookmarkEnd w:id="21"/>
      <w:bookmarkStart w:id="22" w:name="_Hlt74730295"/>
      <w:bookmarkEnd w:id="22"/>
      <w:bookmarkStart w:id="23" w:name="_Hlt75236011"/>
      <w:bookmarkEnd w:id="23"/>
      <w:bookmarkStart w:id="24" w:name="_Hlt74714665"/>
      <w:bookmarkEnd w:id="24"/>
      <w:bookmarkStart w:id="25" w:name="_Hlt68072990"/>
      <w:bookmarkEnd w:id="25"/>
      <w:bookmarkStart w:id="26" w:name="第四部分"/>
    </w:p>
    <w:p w14:paraId="654A1E46">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09F0F7D2">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6E0F4155">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一、项目概况</w:t>
      </w:r>
    </w:p>
    <w:p w14:paraId="6A12BE39">
      <w:pPr>
        <w:shd w:val="clear"/>
        <w:spacing w:line="360" w:lineRule="auto"/>
        <w:ind w:firstLine="480" w:firstLineChars="200"/>
        <w:rPr>
          <w:rFonts w:hAnsi="宋体"/>
          <w:color w:val="auto"/>
          <w:sz w:val="24"/>
          <w:highlight w:val="none"/>
        </w:rPr>
      </w:pPr>
      <w:r>
        <w:rPr>
          <w:rFonts w:hint="eastAsia" w:asciiTheme="minorEastAsia" w:hAnsiTheme="minorEastAsia" w:eastAsiaTheme="minorEastAsia" w:cstheme="minorEastAsia"/>
          <w:color w:val="auto"/>
          <w:sz w:val="24"/>
          <w:highlight w:val="none"/>
        </w:rPr>
        <w:t>为进一步加强滨海新区路灯、景观灯的日常维护管理工作，切实提升城市形象。根据相关工作要求，对滨海新区路灯、景观灯日常维护管理工作进行采购，养护期自</w:t>
      </w:r>
      <w:r>
        <w:rPr>
          <w:rFonts w:hint="eastAsia" w:hAnsi="宋体"/>
          <w:color w:val="auto"/>
          <w:sz w:val="24"/>
          <w:highlight w:val="none"/>
        </w:rPr>
        <w:t>合同签订之日起两年，合同一年一签，招标人根据中标单位上一年度的履约考核情况决定是否续签，如续签，最多可续签一年。</w:t>
      </w:r>
    </w:p>
    <w:p w14:paraId="5DF69BF6">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二、项目的工作内容和设施清单</w:t>
      </w:r>
    </w:p>
    <w:p w14:paraId="2F9462E7">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1、工作内容及范围：对滨海新区路灯、景观灯的管理、清洁、维修等所有养护工作，灯具设备的清洁工作要求每年不少于2次。</w:t>
      </w:r>
    </w:p>
    <w:p w14:paraId="21EB3BC6">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2、质量要求：确保亮灯率达到98%及以上。</w:t>
      </w:r>
    </w:p>
    <w:p w14:paraId="5F4F6D6A">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3、维保清单：</w:t>
      </w:r>
    </w:p>
    <w:tbl>
      <w:tblPr>
        <w:tblStyle w:val="20"/>
        <w:tblpPr w:leftFromText="180" w:rightFromText="180" w:vertAnchor="text" w:tblpX="85" w:tblpY="1"/>
        <w:tblOverlap w:val="never"/>
        <w:tblW w:w="50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72"/>
        <w:gridCol w:w="1866"/>
        <w:gridCol w:w="3575"/>
        <w:gridCol w:w="846"/>
        <w:gridCol w:w="818"/>
        <w:gridCol w:w="1636"/>
      </w:tblGrid>
      <w:tr w14:paraId="12F04F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872" w:type="dxa"/>
            <w:tcBorders>
              <w:top w:val="single" w:color="auto" w:sz="4" w:space="0"/>
              <w:bottom w:val="single" w:color="auto" w:sz="4" w:space="0"/>
            </w:tcBorders>
            <w:vAlign w:val="center"/>
          </w:tcPr>
          <w:p w14:paraId="6680E3B8">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66" w:type="dxa"/>
            <w:tcBorders>
              <w:top w:val="single" w:color="auto" w:sz="4" w:space="0"/>
              <w:bottom w:val="single" w:color="auto" w:sz="4" w:space="0"/>
            </w:tcBorders>
            <w:vAlign w:val="center"/>
          </w:tcPr>
          <w:p w14:paraId="57D6CAE6">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分项名称</w:t>
            </w:r>
          </w:p>
        </w:tc>
        <w:tc>
          <w:tcPr>
            <w:tcW w:w="3575" w:type="dxa"/>
            <w:tcBorders>
              <w:top w:val="single" w:color="auto" w:sz="4" w:space="0"/>
              <w:bottom w:val="single" w:color="auto" w:sz="4" w:space="0"/>
            </w:tcBorders>
            <w:vAlign w:val="center"/>
          </w:tcPr>
          <w:p w14:paraId="22AF1531">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规格型号</w:t>
            </w:r>
          </w:p>
        </w:tc>
        <w:tc>
          <w:tcPr>
            <w:tcW w:w="846" w:type="dxa"/>
            <w:tcBorders>
              <w:top w:val="single" w:color="auto" w:sz="4" w:space="0"/>
              <w:bottom w:val="single" w:color="auto" w:sz="4" w:space="0"/>
              <w:right w:val="single" w:color="auto" w:sz="4" w:space="0"/>
            </w:tcBorders>
            <w:vAlign w:val="center"/>
          </w:tcPr>
          <w:p w14:paraId="0BA682B7">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818" w:type="dxa"/>
            <w:tcBorders>
              <w:top w:val="single" w:color="auto" w:sz="4" w:space="0"/>
              <w:bottom w:val="single" w:color="auto" w:sz="4" w:space="0"/>
              <w:right w:val="single" w:color="auto" w:sz="4" w:space="0"/>
            </w:tcBorders>
            <w:vAlign w:val="center"/>
          </w:tcPr>
          <w:p w14:paraId="57A0D12A">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暂定数量</w:t>
            </w:r>
          </w:p>
        </w:tc>
        <w:tc>
          <w:tcPr>
            <w:tcW w:w="1636" w:type="dxa"/>
            <w:tcBorders>
              <w:top w:val="single" w:color="auto" w:sz="4" w:space="0"/>
              <w:bottom w:val="single" w:color="auto" w:sz="4" w:space="0"/>
              <w:right w:val="single" w:color="auto" w:sz="4" w:space="0"/>
            </w:tcBorders>
            <w:vAlign w:val="center"/>
          </w:tcPr>
          <w:p w14:paraId="7BEABCD6">
            <w:pPr>
              <w:shd w:val="clea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w:t>
            </w:r>
            <w:r>
              <w:rPr>
                <w:rFonts w:hint="eastAsia" w:cs="仿宋" w:asciiTheme="majorEastAsia" w:hAnsiTheme="majorEastAsia" w:eastAsiaTheme="majorEastAsia"/>
                <w:b/>
                <w:color w:val="auto"/>
                <w:kern w:val="0"/>
                <w:sz w:val="24"/>
                <w:highlight w:val="none"/>
                <w:lang w:val="zh-CN"/>
              </w:rPr>
              <w:t>单价最高限价</w:t>
            </w:r>
            <w:r>
              <w:rPr>
                <w:rFonts w:hint="eastAsia" w:asciiTheme="minorEastAsia" w:hAnsiTheme="minorEastAsia" w:eastAsiaTheme="minorEastAsia" w:cstheme="minorEastAsia"/>
                <w:b/>
                <w:bCs/>
                <w:color w:val="auto"/>
                <w:sz w:val="24"/>
                <w:highlight w:val="none"/>
              </w:rPr>
              <w:t>（元/年）</w:t>
            </w:r>
          </w:p>
        </w:tc>
      </w:tr>
      <w:tr w14:paraId="3E972C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872" w:type="dxa"/>
            <w:tcBorders>
              <w:top w:val="single" w:color="auto" w:sz="4" w:space="0"/>
              <w:bottom w:val="single" w:color="auto" w:sz="4" w:space="0"/>
            </w:tcBorders>
            <w:vAlign w:val="center"/>
          </w:tcPr>
          <w:p w14:paraId="7B1DCE16">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66" w:type="dxa"/>
            <w:tcBorders>
              <w:top w:val="single" w:color="auto" w:sz="4" w:space="0"/>
              <w:bottom w:val="single" w:color="auto" w:sz="4" w:space="0"/>
            </w:tcBorders>
            <w:vAlign w:val="center"/>
          </w:tcPr>
          <w:p w14:paraId="1246B00C">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滨海新区沿海中线以北三期道路路灯</w:t>
            </w:r>
          </w:p>
        </w:tc>
        <w:tc>
          <w:tcPr>
            <w:tcW w:w="3575" w:type="dxa"/>
            <w:tcBorders>
              <w:top w:val="single" w:color="auto" w:sz="4" w:space="0"/>
              <w:bottom w:val="single" w:color="auto" w:sz="4" w:space="0"/>
            </w:tcBorders>
            <w:vAlign w:val="center"/>
          </w:tcPr>
          <w:p w14:paraId="439E2588">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180W+60W双挑路灯，10+8米；</w:t>
            </w:r>
          </w:p>
          <w:p w14:paraId="4A658D12">
            <w:pPr>
              <w:pStyle w:val="26"/>
              <w:shd w:val="clear"/>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120W+60W双挑路灯，10+8米。</w:t>
            </w:r>
          </w:p>
        </w:tc>
        <w:tc>
          <w:tcPr>
            <w:tcW w:w="846" w:type="dxa"/>
            <w:tcBorders>
              <w:top w:val="single" w:color="auto" w:sz="4" w:space="0"/>
              <w:bottom w:val="single" w:color="auto" w:sz="4" w:space="0"/>
              <w:right w:val="single" w:color="auto" w:sz="4" w:space="0"/>
            </w:tcBorders>
            <w:vAlign w:val="center"/>
          </w:tcPr>
          <w:p w14:paraId="7D5FEAE6">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818" w:type="dxa"/>
            <w:tcBorders>
              <w:top w:val="single" w:color="auto" w:sz="4" w:space="0"/>
              <w:bottom w:val="single" w:color="auto" w:sz="4" w:space="0"/>
              <w:right w:val="single" w:color="auto" w:sz="4" w:space="0"/>
            </w:tcBorders>
            <w:vAlign w:val="center"/>
          </w:tcPr>
          <w:p w14:paraId="15F0F66D">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411</w:t>
            </w:r>
          </w:p>
        </w:tc>
        <w:tc>
          <w:tcPr>
            <w:tcW w:w="1636" w:type="dxa"/>
            <w:tcBorders>
              <w:top w:val="single" w:color="auto" w:sz="4" w:space="0"/>
              <w:bottom w:val="single" w:color="auto" w:sz="4" w:space="0"/>
              <w:right w:val="single" w:color="auto" w:sz="4" w:space="0"/>
            </w:tcBorders>
            <w:vAlign w:val="center"/>
          </w:tcPr>
          <w:p w14:paraId="1032AA2D">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175</w:t>
            </w:r>
          </w:p>
        </w:tc>
      </w:tr>
      <w:tr w14:paraId="1A8A13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9" w:hRule="atLeast"/>
        </w:trPr>
        <w:tc>
          <w:tcPr>
            <w:tcW w:w="872" w:type="dxa"/>
            <w:tcBorders>
              <w:top w:val="single" w:color="auto" w:sz="4" w:space="0"/>
              <w:bottom w:val="single" w:color="auto" w:sz="4" w:space="0"/>
            </w:tcBorders>
            <w:vAlign w:val="center"/>
          </w:tcPr>
          <w:p w14:paraId="21C095DD">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66" w:type="dxa"/>
            <w:tcBorders>
              <w:top w:val="single" w:color="auto" w:sz="4" w:space="0"/>
              <w:bottom w:val="single" w:color="auto" w:sz="4" w:space="0"/>
            </w:tcBorders>
            <w:vAlign w:val="center"/>
          </w:tcPr>
          <w:p w14:paraId="75D7E141">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滨海新区金海路迎宾景观工程（景观部分内景观灯）</w:t>
            </w:r>
          </w:p>
        </w:tc>
        <w:tc>
          <w:tcPr>
            <w:tcW w:w="3575" w:type="dxa"/>
            <w:tcBorders>
              <w:top w:val="single" w:color="auto" w:sz="4" w:space="0"/>
              <w:bottom w:val="single" w:color="auto" w:sz="4" w:space="0"/>
            </w:tcBorders>
            <w:vAlign w:val="center"/>
          </w:tcPr>
          <w:p w14:paraId="233122A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景观灯柱、大投光灯、地面射树灯。</w:t>
            </w:r>
          </w:p>
        </w:tc>
        <w:tc>
          <w:tcPr>
            <w:tcW w:w="846" w:type="dxa"/>
            <w:tcBorders>
              <w:top w:val="single" w:color="auto" w:sz="4" w:space="0"/>
              <w:bottom w:val="single" w:color="auto" w:sz="4" w:space="0"/>
              <w:right w:val="single" w:color="auto" w:sz="4" w:space="0"/>
            </w:tcBorders>
            <w:vAlign w:val="center"/>
          </w:tcPr>
          <w:p w14:paraId="30A0233D">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818" w:type="dxa"/>
            <w:tcBorders>
              <w:top w:val="single" w:color="auto" w:sz="4" w:space="0"/>
              <w:bottom w:val="single" w:color="auto" w:sz="4" w:space="0"/>
              <w:right w:val="single" w:color="auto" w:sz="4" w:space="0"/>
            </w:tcBorders>
            <w:vAlign w:val="center"/>
          </w:tcPr>
          <w:p w14:paraId="042913F5">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95</w:t>
            </w:r>
          </w:p>
        </w:tc>
        <w:tc>
          <w:tcPr>
            <w:tcW w:w="1636" w:type="dxa"/>
            <w:tcBorders>
              <w:top w:val="single" w:color="auto" w:sz="4" w:space="0"/>
              <w:bottom w:val="single" w:color="auto" w:sz="4" w:space="0"/>
              <w:right w:val="single" w:color="auto" w:sz="4" w:space="0"/>
            </w:tcBorders>
            <w:vAlign w:val="center"/>
          </w:tcPr>
          <w:p w14:paraId="5A4A8920">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65</w:t>
            </w:r>
          </w:p>
        </w:tc>
      </w:tr>
      <w:tr w14:paraId="4FBA13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872" w:type="dxa"/>
            <w:tcBorders>
              <w:top w:val="single" w:color="auto" w:sz="4" w:space="0"/>
              <w:bottom w:val="single" w:color="auto" w:sz="4" w:space="0"/>
            </w:tcBorders>
            <w:vAlign w:val="center"/>
          </w:tcPr>
          <w:p w14:paraId="44538422">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66" w:type="dxa"/>
            <w:tcBorders>
              <w:top w:val="single" w:color="auto" w:sz="4" w:space="0"/>
              <w:bottom w:val="single" w:color="auto" w:sz="4" w:space="0"/>
            </w:tcBorders>
            <w:vAlign w:val="center"/>
          </w:tcPr>
          <w:p w14:paraId="0B5461DE">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滨海新区沿海中线以南道路一期工程路灯</w:t>
            </w:r>
          </w:p>
        </w:tc>
        <w:tc>
          <w:tcPr>
            <w:tcW w:w="3575" w:type="dxa"/>
            <w:tcBorders>
              <w:top w:val="single" w:color="auto" w:sz="4" w:space="0"/>
              <w:bottom w:val="single" w:color="auto" w:sz="4" w:space="0"/>
            </w:tcBorders>
            <w:vAlign w:val="center"/>
          </w:tcPr>
          <w:p w14:paraId="08C22A78">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180W+60W双挑路灯，10+8米；</w:t>
            </w:r>
          </w:p>
          <w:p w14:paraId="4539D626">
            <w:pPr>
              <w:pStyle w:val="26"/>
              <w:shd w:val="clear"/>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120W+60W双挑路灯，10+8米。</w:t>
            </w:r>
          </w:p>
        </w:tc>
        <w:tc>
          <w:tcPr>
            <w:tcW w:w="846" w:type="dxa"/>
            <w:tcBorders>
              <w:top w:val="single" w:color="auto" w:sz="4" w:space="0"/>
              <w:bottom w:val="single" w:color="auto" w:sz="4" w:space="0"/>
              <w:right w:val="single" w:color="auto" w:sz="4" w:space="0"/>
            </w:tcBorders>
            <w:vAlign w:val="center"/>
          </w:tcPr>
          <w:p w14:paraId="51B98B93">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818" w:type="dxa"/>
            <w:tcBorders>
              <w:top w:val="single" w:color="auto" w:sz="4" w:space="0"/>
              <w:bottom w:val="single" w:color="auto" w:sz="4" w:space="0"/>
              <w:right w:val="single" w:color="auto" w:sz="4" w:space="0"/>
            </w:tcBorders>
            <w:vAlign w:val="center"/>
          </w:tcPr>
          <w:p w14:paraId="19B1F713">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326</w:t>
            </w:r>
          </w:p>
        </w:tc>
        <w:tc>
          <w:tcPr>
            <w:tcW w:w="1636" w:type="dxa"/>
            <w:tcBorders>
              <w:top w:val="single" w:color="auto" w:sz="4" w:space="0"/>
              <w:bottom w:val="single" w:color="auto" w:sz="4" w:space="0"/>
              <w:right w:val="single" w:color="auto" w:sz="4" w:space="0"/>
            </w:tcBorders>
            <w:vAlign w:val="center"/>
          </w:tcPr>
          <w:p w14:paraId="3BCAEBFF">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175</w:t>
            </w:r>
          </w:p>
        </w:tc>
      </w:tr>
      <w:tr w14:paraId="678984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872" w:type="dxa"/>
            <w:tcBorders>
              <w:top w:val="single" w:color="auto" w:sz="4" w:space="0"/>
              <w:bottom w:val="single" w:color="auto" w:sz="4" w:space="0"/>
            </w:tcBorders>
            <w:vAlign w:val="center"/>
          </w:tcPr>
          <w:p w14:paraId="56ECD2E6">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66" w:type="dxa"/>
            <w:tcBorders>
              <w:top w:val="single" w:color="auto" w:sz="4" w:space="0"/>
              <w:bottom w:val="single" w:color="auto" w:sz="4" w:space="0"/>
            </w:tcBorders>
            <w:vAlign w:val="center"/>
          </w:tcPr>
          <w:p w14:paraId="02B00864">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滨海新区以北一期道路路灯</w:t>
            </w:r>
          </w:p>
        </w:tc>
        <w:tc>
          <w:tcPr>
            <w:tcW w:w="3575" w:type="dxa"/>
            <w:tcBorders>
              <w:top w:val="single" w:color="auto" w:sz="4" w:space="0"/>
              <w:bottom w:val="single" w:color="auto" w:sz="4" w:space="0"/>
            </w:tcBorders>
            <w:vAlign w:val="center"/>
          </w:tcPr>
          <w:p w14:paraId="305B4BCF">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180W+60W双挑路灯，10+8米；</w:t>
            </w:r>
          </w:p>
          <w:p w14:paraId="5C3C105D">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120W+60W双挑路灯，10+8米。</w:t>
            </w:r>
          </w:p>
        </w:tc>
        <w:tc>
          <w:tcPr>
            <w:tcW w:w="846" w:type="dxa"/>
            <w:tcBorders>
              <w:top w:val="single" w:color="auto" w:sz="4" w:space="0"/>
              <w:bottom w:val="single" w:color="auto" w:sz="4" w:space="0"/>
              <w:right w:val="single" w:color="auto" w:sz="4" w:space="0"/>
            </w:tcBorders>
            <w:vAlign w:val="center"/>
          </w:tcPr>
          <w:p w14:paraId="5CE5522C">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818" w:type="dxa"/>
            <w:tcBorders>
              <w:top w:val="single" w:color="auto" w:sz="4" w:space="0"/>
              <w:bottom w:val="single" w:color="auto" w:sz="4" w:space="0"/>
              <w:right w:val="single" w:color="auto" w:sz="4" w:space="0"/>
            </w:tcBorders>
            <w:vAlign w:val="center"/>
          </w:tcPr>
          <w:p w14:paraId="223C9466">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478</w:t>
            </w:r>
          </w:p>
        </w:tc>
        <w:tc>
          <w:tcPr>
            <w:tcW w:w="1636" w:type="dxa"/>
            <w:tcBorders>
              <w:top w:val="single" w:color="auto" w:sz="4" w:space="0"/>
              <w:bottom w:val="single" w:color="auto" w:sz="4" w:space="0"/>
              <w:right w:val="single" w:color="auto" w:sz="4" w:space="0"/>
            </w:tcBorders>
            <w:vAlign w:val="center"/>
          </w:tcPr>
          <w:p w14:paraId="40A9FBE6">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175</w:t>
            </w:r>
          </w:p>
        </w:tc>
      </w:tr>
      <w:tr w14:paraId="6B6C1B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872" w:type="dxa"/>
            <w:tcBorders>
              <w:top w:val="single" w:color="auto" w:sz="4" w:space="0"/>
              <w:bottom w:val="single" w:color="auto" w:sz="4" w:space="0"/>
            </w:tcBorders>
            <w:vAlign w:val="center"/>
          </w:tcPr>
          <w:p w14:paraId="2A9E8A10">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66" w:type="dxa"/>
            <w:tcBorders>
              <w:top w:val="single" w:color="auto" w:sz="4" w:space="0"/>
              <w:bottom w:val="single" w:color="auto" w:sz="4" w:space="0"/>
            </w:tcBorders>
            <w:vAlign w:val="center"/>
          </w:tcPr>
          <w:p w14:paraId="12AA6B50">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奉化区红胜海塘加固提升工程路灯</w:t>
            </w:r>
          </w:p>
        </w:tc>
        <w:tc>
          <w:tcPr>
            <w:tcW w:w="3575" w:type="dxa"/>
            <w:tcBorders>
              <w:top w:val="single" w:color="auto" w:sz="4" w:space="0"/>
              <w:bottom w:val="single" w:color="auto" w:sz="4" w:space="0"/>
            </w:tcBorders>
            <w:vAlign w:val="center"/>
          </w:tcPr>
          <w:p w14:paraId="6AA0D987">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高度6米,LED,色温3000K,IP65, 60W/40W ,截光型, L=0.8/0.6m</w:t>
            </w:r>
          </w:p>
        </w:tc>
        <w:tc>
          <w:tcPr>
            <w:tcW w:w="846" w:type="dxa"/>
            <w:tcBorders>
              <w:top w:val="single" w:color="auto" w:sz="4" w:space="0"/>
              <w:bottom w:val="single" w:color="auto" w:sz="4" w:space="0"/>
              <w:right w:val="single" w:color="auto" w:sz="4" w:space="0"/>
            </w:tcBorders>
            <w:vAlign w:val="center"/>
          </w:tcPr>
          <w:p w14:paraId="1447BEDB">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818" w:type="dxa"/>
            <w:tcBorders>
              <w:top w:val="single" w:color="auto" w:sz="4" w:space="0"/>
              <w:bottom w:val="single" w:color="auto" w:sz="4" w:space="0"/>
              <w:right w:val="single" w:color="auto" w:sz="4" w:space="0"/>
            </w:tcBorders>
            <w:vAlign w:val="center"/>
          </w:tcPr>
          <w:p w14:paraId="23113C6C">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168</w:t>
            </w:r>
          </w:p>
        </w:tc>
        <w:tc>
          <w:tcPr>
            <w:tcW w:w="1636" w:type="dxa"/>
            <w:tcBorders>
              <w:top w:val="single" w:color="auto" w:sz="4" w:space="0"/>
              <w:bottom w:val="single" w:color="auto" w:sz="4" w:space="0"/>
              <w:right w:val="single" w:color="auto" w:sz="4" w:space="0"/>
            </w:tcBorders>
            <w:vAlign w:val="center"/>
          </w:tcPr>
          <w:p w14:paraId="1CDF88F1">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152</w:t>
            </w:r>
          </w:p>
        </w:tc>
      </w:tr>
      <w:tr w14:paraId="4AA9FC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872" w:type="dxa"/>
            <w:tcBorders>
              <w:top w:val="single" w:color="auto" w:sz="4" w:space="0"/>
              <w:bottom w:val="single" w:color="auto" w:sz="4" w:space="0"/>
            </w:tcBorders>
            <w:vAlign w:val="center"/>
          </w:tcPr>
          <w:p w14:paraId="0FF893BA">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66" w:type="dxa"/>
            <w:tcBorders>
              <w:top w:val="single" w:color="auto" w:sz="4" w:space="0"/>
              <w:bottom w:val="single" w:color="auto" w:sz="4" w:space="0"/>
            </w:tcBorders>
            <w:vAlign w:val="center"/>
          </w:tcPr>
          <w:p w14:paraId="7B9A35B5">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红胜海塘加固提升工程防浪墙景观灯</w:t>
            </w:r>
          </w:p>
        </w:tc>
        <w:tc>
          <w:tcPr>
            <w:tcW w:w="3575" w:type="dxa"/>
            <w:tcBorders>
              <w:top w:val="single" w:color="auto" w:sz="4" w:space="0"/>
              <w:bottom w:val="single" w:color="auto" w:sz="4" w:space="0"/>
            </w:tcBorders>
            <w:vAlign w:val="center"/>
          </w:tcPr>
          <w:p w14:paraId="7BCE2CD0">
            <w:pPr>
              <w:shd w:val="clea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每米3W,LED,暖白色3000K,IP68,柔光型,DC24V</w:t>
            </w:r>
          </w:p>
        </w:tc>
        <w:tc>
          <w:tcPr>
            <w:tcW w:w="846" w:type="dxa"/>
            <w:tcBorders>
              <w:top w:val="single" w:color="auto" w:sz="4" w:space="0"/>
              <w:bottom w:val="single" w:color="auto" w:sz="4" w:space="0"/>
              <w:right w:val="single" w:color="auto" w:sz="4" w:space="0"/>
            </w:tcBorders>
            <w:vAlign w:val="center"/>
          </w:tcPr>
          <w:p w14:paraId="2F5F092B">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米</w:t>
            </w:r>
          </w:p>
        </w:tc>
        <w:tc>
          <w:tcPr>
            <w:tcW w:w="818" w:type="dxa"/>
            <w:tcBorders>
              <w:top w:val="single" w:color="auto" w:sz="4" w:space="0"/>
              <w:bottom w:val="single" w:color="auto" w:sz="4" w:space="0"/>
              <w:right w:val="single" w:color="auto" w:sz="4" w:space="0"/>
            </w:tcBorders>
            <w:vAlign w:val="center"/>
          </w:tcPr>
          <w:p w14:paraId="6AF8296A">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8800</w:t>
            </w:r>
          </w:p>
        </w:tc>
        <w:tc>
          <w:tcPr>
            <w:tcW w:w="1636" w:type="dxa"/>
            <w:tcBorders>
              <w:top w:val="single" w:color="auto" w:sz="4" w:space="0"/>
              <w:bottom w:val="single" w:color="auto" w:sz="4" w:space="0"/>
              <w:right w:val="single" w:color="auto" w:sz="4" w:space="0"/>
            </w:tcBorders>
            <w:vAlign w:val="center"/>
          </w:tcPr>
          <w:p w14:paraId="70979E64">
            <w:pPr>
              <w:widowControl/>
              <w:shd w:val="clear"/>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snapToGrid w:val="0"/>
                <w:color w:val="auto"/>
                <w:kern w:val="0"/>
                <w:sz w:val="24"/>
                <w:highlight w:val="none"/>
              </w:rPr>
              <w:t>15.6</w:t>
            </w:r>
          </w:p>
        </w:tc>
      </w:tr>
    </w:tbl>
    <w:p w14:paraId="322042D8">
      <w:pPr>
        <w:shd w:val="clea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注：上表数量为招标人统计的暂定数量，最终根据每年实际数量结合中标综合单价，按实结算。</w:t>
      </w:r>
    </w:p>
    <w:p w14:paraId="38F743D7">
      <w:pPr>
        <w:shd w:val="clea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▲4、结算原则：</w:t>
      </w:r>
    </w:p>
    <w:p w14:paraId="5F1AE816">
      <w:pPr>
        <w:shd w:val="clea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①在养护期内，如有新移交的路灯及景观灯需要中标人进行养护，数量按实结算，养护费用按照中标综合单价的90%进行结算。</w:t>
      </w:r>
    </w:p>
    <w:p w14:paraId="24F38A5D">
      <w:pPr>
        <w:shd w:val="clea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②如遇政府改造等政策问题：路灯及景观灯拆除后，拆除部分的路灯及景观灯不涉及养护，此部分路灯及景观灯的养护经费按照（养护天数×中标单价×数量/365）结算；</w:t>
      </w:r>
    </w:p>
    <w:p w14:paraId="48346F64">
      <w:pPr>
        <w:shd w:val="clea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③若最终统计数量超过维保清单中的暂定数量的，超出部分单价按照中标综合单价的90%进行结算。若最终统计数量未达到维保清单中的暂定数量的，按照中标综合单价结合最终数量，按实结算。（新增总金额不超过合同金额的10%）</w:t>
      </w:r>
    </w:p>
    <w:p w14:paraId="781E8710">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三、项目服务要求</w:t>
      </w:r>
    </w:p>
    <w:p w14:paraId="68FEE6CB">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▲1、中标人应在合同签订后一个月内在对应服务所在区域内成立项目部。项目部由以下人员组成：</w:t>
      </w:r>
    </w:p>
    <w:p w14:paraId="2BD186A7">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1.1项目负责人：具有机电工程专业二级及以上建造师同时具有B类证书，1名；</w:t>
      </w:r>
    </w:p>
    <w:p w14:paraId="03C92892">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1.2安全员：持有C类证书的专职安全员，人数不少于1名；</w:t>
      </w:r>
    </w:p>
    <w:p w14:paraId="1D4C74DD">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1.3专业技术人员：</w:t>
      </w:r>
    </w:p>
    <w:p w14:paraId="7420989C">
      <w:pPr>
        <w:shd w:val="clear"/>
        <w:spacing w:line="360" w:lineRule="auto"/>
        <w:ind w:firstLine="480" w:firstLineChars="200"/>
        <w:rPr>
          <w:rFonts w:asciiTheme="minorEastAsia" w:hAnsiTheme="minorEastAsia" w:eastAsiaTheme="minorEastAsia" w:cstheme="minorEastAsia"/>
          <w:color w:val="auto"/>
          <w:sz w:val="24"/>
          <w:highlight w:val="none"/>
        </w:rPr>
      </w:pPr>
      <w:bookmarkStart w:id="27" w:name="_Hlk121307499"/>
      <w:r>
        <w:rPr>
          <w:rFonts w:hint="eastAsia" w:asciiTheme="minorEastAsia" w:hAnsiTheme="minorEastAsia" w:eastAsiaTheme="minorEastAsia" w:cstheme="minorEastAsia"/>
          <w:color w:val="auto"/>
          <w:sz w:val="24"/>
          <w:highlight w:val="none"/>
        </w:rPr>
        <w:t>1.3.1拟派人员具有政府相关部门颁发的低压电工操作证，人数不少于1人；具有政府相关部门颁发的登高操作证的，人数不少于1名；至少1人同时具有低压电工作业操作证和登高操作证。</w:t>
      </w:r>
    </w:p>
    <w:p w14:paraId="60B70C01">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1.3.2拟派人员具有政府相关部门颁发的高压电工操作证，人数不少于1名。</w:t>
      </w:r>
    </w:p>
    <w:p w14:paraId="636678AA">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①要求上述最低配置的拟投入人员均为本单位正式在职员工，除了已明确允许兼任的人员外其余人员一律不予兼任；投标文件中提供供应商为拟投入人员缴纳的2024年10月或11月的有效社保证明及以上专业技术人员证书复印件，未提供或提供不全的作无效标处理。</w:t>
      </w:r>
    </w:p>
    <w:p w14:paraId="05D7B81F">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②以上为最低人员配置要求，投标人可在此基础上增加人员数量。最低人员配置要求不满足的作无效标处理。</w:t>
      </w:r>
    </w:p>
    <w:p w14:paraId="58D52769">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1.3.3作业人员须经过安全培训，本项目拟配置的特种作业人员须持有特种作业上岗证。投标文件中需做相应承诺。</w:t>
      </w:r>
    </w:p>
    <w:p w14:paraId="33B182BC">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2、拟投入的车辆和工器具要求：应配备合同履行过程中须用到的专业设施设备，如登高车、</w:t>
      </w:r>
      <w:r>
        <w:rPr>
          <w:rFonts w:hint="eastAsia" w:asciiTheme="minorEastAsia" w:hAnsiTheme="minorEastAsia" w:eastAsiaTheme="minorEastAsia" w:cstheme="minorEastAsia"/>
          <w:bCs/>
          <w:color w:val="auto"/>
          <w:kern w:val="0"/>
          <w:sz w:val="24"/>
          <w:highlight w:val="none"/>
        </w:rPr>
        <w:t>万用表、照度计等，</w:t>
      </w:r>
      <w:r>
        <w:rPr>
          <w:rFonts w:hint="eastAsia" w:asciiTheme="minorEastAsia" w:hAnsiTheme="minorEastAsia" w:eastAsiaTheme="minorEastAsia" w:cstheme="minorEastAsia"/>
          <w:color w:val="auto"/>
          <w:sz w:val="24"/>
          <w:highlight w:val="none"/>
        </w:rPr>
        <w:t>具体配置方案由供应商在投标文件内作出详细说明。</w:t>
      </w:r>
    </w:p>
    <w:bookmarkEnd w:id="27"/>
    <w:p w14:paraId="1D11ADC9">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3、在养护期限（服务期限）内，中标人应按照行业相应的作业标准和管理规定，精心组织、精心养护，确保所有设施、设备正常运作。</w:t>
      </w:r>
    </w:p>
    <w:p w14:paraId="26099071">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4、对实施养护管理所需的一切劳动力、材料、设备和服务，按招标项目要求由中标人自行组织，并承担由此产生的一切费用。</w:t>
      </w:r>
    </w:p>
    <w:p w14:paraId="45EEAFA3">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▲5、若发生偷盗、不可抗力的破坏（如台风、地震等自然灾害）维修费用由业主承担，其余事故均有中标人承担相应维护费用。</w:t>
      </w:r>
    </w:p>
    <w:p w14:paraId="3C3CC6C6">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6、若发生需更换整灯头情况时，包括但不限于应业主要求、应市民要求且查实需更换的等其他所有情况，所产生的材料、人工等全部费用由招标人承担。</w:t>
      </w:r>
    </w:p>
    <w:p w14:paraId="6AC1A07B">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若发生交通事故情况时，能够明确追责的，根据交警等有关部门的认定意见书，由责任人承担所产生的材料、人工等全部费用；无法明确追责或无法找到肇事者的，经确认后由招标人承担所产生的材料、人工等全部费用。</w:t>
      </w:r>
    </w:p>
    <w:p w14:paraId="24291D92">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8、中标人应按要求向采购人提供有关养护管理计划及落实措施。</w:t>
      </w:r>
    </w:p>
    <w:p w14:paraId="1BF4C0BF">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9、中标人在搞好日常养护工作的同时，必须配合业主做好重大节庆日和重大活动的保障工作。</w:t>
      </w:r>
    </w:p>
    <w:p w14:paraId="7C4F776E">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10、在养护期限内，中标人所使用的专业人员、专业设备必须与投标文件相一致，如有变更须经得业主单位同意。</w:t>
      </w:r>
    </w:p>
    <w:p w14:paraId="2C48B6CA">
      <w:pPr>
        <w:shd w:val="clear"/>
        <w:tabs>
          <w:tab w:val="left" w:pos="0"/>
        </w:tabs>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▲11、中标人拟投入全体作业人员</w:t>
      </w:r>
      <w:r>
        <w:rPr>
          <w:rFonts w:hint="eastAsia" w:ascii="宋体" w:hAnsi="宋体" w:cs="宋体"/>
          <w:color w:val="auto"/>
          <w:kern w:val="0"/>
          <w:sz w:val="24"/>
          <w:highlight w:val="none"/>
        </w:rPr>
        <w:t>工作责任心强，身体健康，60周岁以下，必须服从采购人的日常检查、监督和指导。</w:t>
      </w:r>
      <w:r>
        <w:rPr>
          <w:rFonts w:hint="eastAsia" w:asciiTheme="minorEastAsia" w:hAnsiTheme="minorEastAsia" w:eastAsiaTheme="minorEastAsia" w:cstheme="minorEastAsia"/>
          <w:color w:val="auto"/>
          <w:sz w:val="24"/>
          <w:highlight w:val="none"/>
        </w:rPr>
        <w:t>中标人必须为全体作业人员购买社保和人身意外保险、重视安全生产工作，确保不发生安全生产责任事故。所有作业人员上岗如发生安全生产责任事故或交通事故，由中标人承担一切责任及损失，与采购人无关。</w:t>
      </w:r>
    </w:p>
    <w:p w14:paraId="0B5801D0">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▲12、维修养护作业时，白天进行线路检查维护等工作，夜间进行路灯及景观灯亮灯巡检及更换不亮灯具或灯头，不得在白天作业时亮灯作业检查灯具或灯头。</w:t>
      </w:r>
    </w:p>
    <w:p w14:paraId="789CC60A">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▲13、中标人须对所有奉化经济开发区滨海新区路灯、景观灯日常维护项目范围内的路灯、景观灯进行编号、绘图，并上报采购人。</w:t>
      </w:r>
    </w:p>
    <w:p w14:paraId="153793E5">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14、中标人在合同履约期间须对本项目范围内所有路灯、景观灯的</w:t>
      </w:r>
      <w:r>
        <w:rPr>
          <w:rFonts w:hint="eastAsia" w:asciiTheme="minorEastAsia" w:hAnsiTheme="minorEastAsia" w:eastAsiaTheme="minorEastAsia" w:cstheme="minorEastAsia"/>
          <w:bCs/>
          <w:color w:val="auto"/>
          <w:kern w:val="0"/>
          <w:sz w:val="24"/>
          <w:highlight w:val="none"/>
        </w:rPr>
        <w:t>集中控制平台进行日常维护、管理、软件更新、平台升级等内容，保证所有路灯、景观灯的统一集中控制。</w:t>
      </w:r>
    </w:p>
    <w:p w14:paraId="49593573">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四、技术要求</w:t>
      </w:r>
    </w:p>
    <w:p w14:paraId="4CE13832">
      <w:pPr>
        <w:widowControl/>
        <w:shd w:val="clear"/>
        <w:snapToGrid w:val="0"/>
        <w:spacing w:line="360" w:lineRule="auto"/>
        <w:ind w:firstLine="42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质量要求：景观灯亮灯率保持在98%以上，设施完好率99%以上；灯具光输出效率不低于0.6，灯杆垂直度不超过2%；灯杆、灯头保持整洁、无锈渍。景观灯黑灯，修复时间不超过12小时；对各变配电及控制设备等设施自然损坏及灯杆被撞，修复时间不得超过48小时。灯具设备应常年保持整洁。</w:t>
      </w:r>
    </w:p>
    <w:p w14:paraId="0EE4FB0E">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五、考核办法及考核标准</w:t>
      </w:r>
    </w:p>
    <w:p w14:paraId="7CCDED17">
      <w:pPr>
        <w:shd w:val="clear"/>
        <w:tabs>
          <w:tab w:val="left" w:pos="3420"/>
        </w:tabs>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1、考核办法</w:t>
      </w:r>
    </w:p>
    <w:p w14:paraId="04CF7393">
      <w:pPr>
        <w:shd w:val="clear"/>
        <w:tabs>
          <w:tab w:val="left" w:pos="3420"/>
        </w:tabs>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月为单位进行考核，每月考核一次，每半年根据每月考核情况按实支付费用。每月汇总得分在90分及以上为优良，当月经费全额支付，每月汇总得分在80分—89分为合格，支付当月经费的75%，79分及以下为不合格，当月经费不予支付。累计3个月考核得分低于60分的，采购人有权单方面提前终止合同，所产生的责任和后果由中标人自行承担。</w:t>
      </w:r>
    </w:p>
    <w:p w14:paraId="59D9FD0A">
      <w:pPr>
        <w:shd w:val="clear"/>
        <w:tabs>
          <w:tab w:val="left" w:pos="3420"/>
        </w:tabs>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2、考核标准</w:t>
      </w:r>
    </w:p>
    <w:p w14:paraId="01FDCECF">
      <w:pPr>
        <w:shd w:val="clear"/>
        <w:suppressAutoHyphens/>
        <w:spacing w:beforeLines="50" w:afterLines="50" w:line="400" w:lineRule="exact"/>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奉化经济开发区滨海新区路灯、景观灯日常维护项目考核表</w:t>
      </w:r>
    </w:p>
    <w:p w14:paraId="3A7AB89C">
      <w:pPr>
        <w:shd w:val="clear"/>
        <w:suppressAutoHyphens/>
        <w:spacing w:line="400" w:lineRule="exac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考核时间：20</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年</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月</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080"/>
        <w:gridCol w:w="2397"/>
        <w:gridCol w:w="2284"/>
        <w:gridCol w:w="1364"/>
        <w:gridCol w:w="792"/>
        <w:gridCol w:w="812"/>
      </w:tblGrid>
      <w:tr w14:paraId="0E8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41A8FB28">
            <w:pPr>
              <w:shd w:val="clear"/>
              <w:suppressAutoHyphens/>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45" w:type="pct"/>
            <w:gridSpan w:val="2"/>
            <w:vAlign w:val="center"/>
          </w:tcPr>
          <w:p w14:paraId="67C68D8D">
            <w:pPr>
              <w:shd w:val="clear"/>
              <w:suppressAutoHyphens/>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考核内容</w:t>
            </w:r>
          </w:p>
        </w:tc>
        <w:tc>
          <w:tcPr>
            <w:tcW w:w="1936" w:type="pct"/>
            <w:gridSpan w:val="2"/>
            <w:vAlign w:val="center"/>
          </w:tcPr>
          <w:p w14:paraId="215B337D">
            <w:pPr>
              <w:shd w:val="clear"/>
              <w:suppressAutoHyphens/>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考核标准</w:t>
            </w:r>
          </w:p>
        </w:tc>
        <w:tc>
          <w:tcPr>
            <w:tcW w:w="420" w:type="pct"/>
            <w:vAlign w:val="center"/>
          </w:tcPr>
          <w:p w14:paraId="17F4826D">
            <w:pPr>
              <w:shd w:val="clear"/>
              <w:suppressAutoHyphens/>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考核扣分</w:t>
            </w:r>
          </w:p>
        </w:tc>
        <w:tc>
          <w:tcPr>
            <w:tcW w:w="430" w:type="pct"/>
            <w:vAlign w:val="center"/>
          </w:tcPr>
          <w:p w14:paraId="11536708">
            <w:pPr>
              <w:shd w:val="clear"/>
              <w:suppressAutoHyphens/>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考核得分</w:t>
            </w:r>
          </w:p>
        </w:tc>
      </w:tr>
      <w:tr w14:paraId="4D66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3EBEE7A3">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632" w:type="pct"/>
            <w:gridSpan w:val="6"/>
            <w:vAlign w:val="center"/>
          </w:tcPr>
          <w:p w14:paraId="16019310">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日常巡查10分</w:t>
            </w:r>
          </w:p>
        </w:tc>
      </w:tr>
      <w:tr w14:paraId="3AD5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7C9DDB38">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5" w:type="pct"/>
            <w:gridSpan w:val="2"/>
            <w:vAlign w:val="center"/>
          </w:tcPr>
          <w:p w14:paraId="57A05EDB">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供应商应在每天亮灯期间进行巡检，每次巡检均应有记录。维护范围内全面定期巡查（所有服务范围内）一个月不得少于4次，并提供对应的书面台账资料和电子台账资料。</w:t>
            </w:r>
          </w:p>
        </w:tc>
        <w:tc>
          <w:tcPr>
            <w:tcW w:w="1936" w:type="pct"/>
            <w:gridSpan w:val="2"/>
            <w:vAlign w:val="center"/>
          </w:tcPr>
          <w:p w14:paraId="6B409781">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发现亮灯期间未进行巡检的，每次扣1分，巡检没有记录的每次扣1分。定期巡查未达4次的扣10分</w:t>
            </w:r>
          </w:p>
        </w:tc>
        <w:tc>
          <w:tcPr>
            <w:tcW w:w="420" w:type="pct"/>
            <w:vAlign w:val="center"/>
          </w:tcPr>
          <w:p w14:paraId="28C091FF">
            <w:pPr>
              <w:shd w:val="clear"/>
              <w:suppressAutoHyphens/>
              <w:rPr>
                <w:rFonts w:asciiTheme="minorEastAsia" w:hAnsiTheme="minorEastAsia" w:eastAsiaTheme="minorEastAsia" w:cstheme="minorEastAsia"/>
                <w:color w:val="auto"/>
                <w:sz w:val="24"/>
                <w:highlight w:val="none"/>
              </w:rPr>
            </w:pPr>
          </w:p>
        </w:tc>
        <w:tc>
          <w:tcPr>
            <w:tcW w:w="430" w:type="pct"/>
            <w:vMerge w:val="restart"/>
            <w:vAlign w:val="center"/>
          </w:tcPr>
          <w:p w14:paraId="1613FD30">
            <w:pPr>
              <w:shd w:val="clear"/>
              <w:suppressAutoHyphens/>
              <w:rPr>
                <w:rFonts w:asciiTheme="minorEastAsia" w:hAnsiTheme="minorEastAsia" w:eastAsiaTheme="minorEastAsia" w:cstheme="minorEastAsia"/>
                <w:color w:val="auto"/>
                <w:sz w:val="24"/>
                <w:highlight w:val="none"/>
              </w:rPr>
            </w:pPr>
          </w:p>
        </w:tc>
      </w:tr>
      <w:tr w14:paraId="314F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2C93A6AE">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5" w:type="pct"/>
            <w:gridSpan w:val="2"/>
            <w:vAlign w:val="center"/>
          </w:tcPr>
          <w:p w14:paraId="63AF183B">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发生紧急情况时车辆、人员应在30分钟内到达现场</w:t>
            </w:r>
          </w:p>
        </w:tc>
        <w:tc>
          <w:tcPr>
            <w:tcW w:w="1936" w:type="pct"/>
            <w:gridSpan w:val="2"/>
            <w:vAlign w:val="center"/>
          </w:tcPr>
          <w:p w14:paraId="7F63A44E">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发生紧急情况时车辆、人员未能及时赶到现场的扣5分。</w:t>
            </w:r>
          </w:p>
        </w:tc>
        <w:tc>
          <w:tcPr>
            <w:tcW w:w="420" w:type="pct"/>
            <w:vAlign w:val="center"/>
          </w:tcPr>
          <w:p w14:paraId="5EDEBB40">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5839EAFD">
            <w:pPr>
              <w:shd w:val="clear"/>
              <w:suppressAutoHyphens/>
              <w:rPr>
                <w:rFonts w:asciiTheme="minorEastAsia" w:hAnsiTheme="minorEastAsia" w:eastAsiaTheme="minorEastAsia" w:cstheme="minorEastAsia"/>
                <w:color w:val="auto"/>
                <w:sz w:val="24"/>
                <w:highlight w:val="none"/>
              </w:rPr>
            </w:pPr>
          </w:p>
        </w:tc>
      </w:tr>
      <w:tr w14:paraId="3606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5B140779">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632" w:type="pct"/>
            <w:gridSpan w:val="6"/>
            <w:vAlign w:val="center"/>
          </w:tcPr>
          <w:p w14:paraId="3A501B1C">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设施维护及亮灯率60分</w:t>
            </w:r>
          </w:p>
        </w:tc>
      </w:tr>
      <w:tr w14:paraId="4A76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017137DA">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845" w:type="pct"/>
            <w:gridSpan w:val="2"/>
            <w:vAlign w:val="center"/>
          </w:tcPr>
          <w:p w14:paraId="3F182741">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确保路灯亮灯率在98%及以上</w:t>
            </w:r>
          </w:p>
        </w:tc>
        <w:tc>
          <w:tcPr>
            <w:tcW w:w="1936" w:type="pct"/>
            <w:gridSpan w:val="2"/>
            <w:vAlign w:val="center"/>
          </w:tcPr>
          <w:p w14:paraId="3310B6FE">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平常亮灯率不到98%的，每少一个百分点扣10分，重大节日期间每少一个百分点扣20分。</w:t>
            </w:r>
          </w:p>
        </w:tc>
        <w:tc>
          <w:tcPr>
            <w:tcW w:w="420" w:type="pct"/>
            <w:vAlign w:val="center"/>
          </w:tcPr>
          <w:p w14:paraId="5718843A">
            <w:pPr>
              <w:shd w:val="clear"/>
              <w:suppressAutoHyphens/>
              <w:rPr>
                <w:rFonts w:asciiTheme="minorEastAsia" w:hAnsiTheme="minorEastAsia" w:eastAsiaTheme="minorEastAsia" w:cstheme="minorEastAsia"/>
                <w:color w:val="auto"/>
                <w:sz w:val="24"/>
                <w:highlight w:val="none"/>
              </w:rPr>
            </w:pPr>
          </w:p>
        </w:tc>
        <w:tc>
          <w:tcPr>
            <w:tcW w:w="430" w:type="pct"/>
            <w:vMerge w:val="restart"/>
            <w:vAlign w:val="center"/>
          </w:tcPr>
          <w:p w14:paraId="2C399809">
            <w:pPr>
              <w:shd w:val="clear"/>
              <w:suppressAutoHyphens/>
              <w:ind w:firstLine="230"/>
              <w:rPr>
                <w:rFonts w:asciiTheme="minorEastAsia" w:hAnsiTheme="minorEastAsia" w:eastAsiaTheme="minorEastAsia" w:cstheme="minorEastAsia"/>
                <w:color w:val="auto"/>
                <w:sz w:val="24"/>
                <w:highlight w:val="none"/>
              </w:rPr>
            </w:pPr>
          </w:p>
        </w:tc>
      </w:tr>
      <w:tr w14:paraId="4238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25891301">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845" w:type="pct"/>
            <w:gridSpan w:val="2"/>
            <w:vAlign w:val="center"/>
          </w:tcPr>
          <w:p w14:paraId="406818FD">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未及时调整季节性放光时间的</w:t>
            </w:r>
          </w:p>
        </w:tc>
        <w:tc>
          <w:tcPr>
            <w:tcW w:w="1936" w:type="pct"/>
            <w:gridSpan w:val="2"/>
            <w:vAlign w:val="center"/>
          </w:tcPr>
          <w:p w14:paraId="63EA6137">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每发现一次扣2分。</w:t>
            </w:r>
          </w:p>
        </w:tc>
        <w:tc>
          <w:tcPr>
            <w:tcW w:w="420" w:type="pct"/>
            <w:vAlign w:val="center"/>
          </w:tcPr>
          <w:p w14:paraId="48B1CCD4">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0BDDAD69">
            <w:pPr>
              <w:shd w:val="clear"/>
              <w:suppressAutoHyphens/>
              <w:rPr>
                <w:rFonts w:asciiTheme="minorEastAsia" w:hAnsiTheme="minorEastAsia" w:eastAsiaTheme="minorEastAsia" w:cstheme="minorEastAsia"/>
                <w:color w:val="auto"/>
                <w:sz w:val="24"/>
                <w:highlight w:val="none"/>
              </w:rPr>
            </w:pPr>
          </w:p>
        </w:tc>
      </w:tr>
      <w:tr w14:paraId="026E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77E03B70">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845" w:type="pct"/>
            <w:gridSpan w:val="2"/>
            <w:vAlign w:val="center"/>
          </w:tcPr>
          <w:p w14:paraId="7720EE26">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在规定的时间亮灯</w:t>
            </w:r>
          </w:p>
        </w:tc>
        <w:tc>
          <w:tcPr>
            <w:tcW w:w="1936" w:type="pct"/>
            <w:gridSpan w:val="2"/>
            <w:vAlign w:val="center"/>
          </w:tcPr>
          <w:p w14:paraId="55634E8A">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规定的时间未亮灯的，发现一次扣3分。</w:t>
            </w:r>
          </w:p>
        </w:tc>
        <w:tc>
          <w:tcPr>
            <w:tcW w:w="420" w:type="pct"/>
            <w:vAlign w:val="center"/>
          </w:tcPr>
          <w:p w14:paraId="687EB64D">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1D11C22D">
            <w:pPr>
              <w:shd w:val="clear"/>
              <w:suppressAutoHyphens/>
              <w:rPr>
                <w:rFonts w:asciiTheme="minorEastAsia" w:hAnsiTheme="minorEastAsia" w:eastAsiaTheme="minorEastAsia" w:cstheme="minorEastAsia"/>
                <w:color w:val="auto"/>
                <w:sz w:val="24"/>
                <w:highlight w:val="none"/>
              </w:rPr>
            </w:pPr>
          </w:p>
        </w:tc>
      </w:tr>
      <w:tr w14:paraId="45E3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74A3306A">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845" w:type="pct"/>
            <w:gridSpan w:val="2"/>
            <w:vAlign w:val="center"/>
          </w:tcPr>
          <w:p w14:paraId="26DC71DC">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杜绝白天亮灯（维修除外）</w:t>
            </w:r>
          </w:p>
        </w:tc>
        <w:tc>
          <w:tcPr>
            <w:tcW w:w="1936" w:type="pct"/>
            <w:gridSpan w:val="2"/>
            <w:vAlign w:val="center"/>
          </w:tcPr>
          <w:p w14:paraId="6515CA35">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发现白天亮灯的，发现一次扣5分。</w:t>
            </w:r>
          </w:p>
        </w:tc>
        <w:tc>
          <w:tcPr>
            <w:tcW w:w="420" w:type="pct"/>
            <w:vAlign w:val="center"/>
          </w:tcPr>
          <w:p w14:paraId="05CF4C5E">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5F77A1B9">
            <w:pPr>
              <w:shd w:val="clear"/>
              <w:suppressAutoHyphens/>
              <w:rPr>
                <w:rFonts w:asciiTheme="minorEastAsia" w:hAnsiTheme="minorEastAsia" w:eastAsiaTheme="minorEastAsia" w:cstheme="minorEastAsia"/>
                <w:color w:val="auto"/>
                <w:sz w:val="24"/>
                <w:highlight w:val="none"/>
              </w:rPr>
            </w:pPr>
          </w:p>
        </w:tc>
      </w:tr>
      <w:tr w14:paraId="2040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167FCFC6">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845" w:type="pct"/>
            <w:gridSpan w:val="2"/>
            <w:vAlign w:val="center"/>
          </w:tcPr>
          <w:p w14:paraId="634C41DF">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杜绝无序亮灯（维修除外）</w:t>
            </w:r>
          </w:p>
        </w:tc>
        <w:tc>
          <w:tcPr>
            <w:tcW w:w="1936" w:type="pct"/>
            <w:gridSpan w:val="2"/>
            <w:vAlign w:val="center"/>
          </w:tcPr>
          <w:p w14:paraId="04A13667">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发现擅自变更亮灯时间或无序亮灯的，发现一次扣2分。</w:t>
            </w:r>
          </w:p>
        </w:tc>
        <w:tc>
          <w:tcPr>
            <w:tcW w:w="420" w:type="pct"/>
            <w:vAlign w:val="center"/>
          </w:tcPr>
          <w:p w14:paraId="4D747936">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2AF86701">
            <w:pPr>
              <w:shd w:val="clear"/>
              <w:suppressAutoHyphens/>
              <w:rPr>
                <w:rFonts w:asciiTheme="minorEastAsia" w:hAnsiTheme="minorEastAsia" w:eastAsiaTheme="minorEastAsia" w:cstheme="minorEastAsia"/>
                <w:color w:val="auto"/>
                <w:sz w:val="24"/>
                <w:highlight w:val="none"/>
              </w:rPr>
            </w:pPr>
          </w:p>
        </w:tc>
      </w:tr>
      <w:tr w14:paraId="102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73542622">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632" w:type="pct"/>
            <w:gridSpan w:val="6"/>
            <w:vAlign w:val="center"/>
          </w:tcPr>
          <w:p w14:paraId="07118910">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故障修复率20分</w:t>
            </w:r>
          </w:p>
        </w:tc>
      </w:tr>
      <w:tr w14:paraId="51F2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57AAB634">
            <w:pPr>
              <w:shd w:val="clear"/>
              <w:suppressAutoHyphens/>
              <w:jc w:val="center"/>
              <w:rPr>
                <w:rFonts w:asciiTheme="minorEastAsia" w:hAnsiTheme="minorEastAsia" w:eastAsiaTheme="minorEastAsia" w:cstheme="minorEastAsia"/>
                <w:color w:val="auto"/>
                <w:sz w:val="24"/>
                <w:highlight w:val="none"/>
              </w:rPr>
            </w:pPr>
          </w:p>
        </w:tc>
        <w:tc>
          <w:tcPr>
            <w:tcW w:w="1845" w:type="pct"/>
            <w:gridSpan w:val="2"/>
            <w:vAlign w:val="center"/>
          </w:tcPr>
          <w:p w14:paraId="3BBE7E8A">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修复时间要求（雨、雪天或大风天除外）</w:t>
            </w:r>
          </w:p>
        </w:tc>
        <w:tc>
          <w:tcPr>
            <w:tcW w:w="1936" w:type="pct"/>
            <w:gridSpan w:val="2"/>
            <w:vAlign w:val="center"/>
          </w:tcPr>
          <w:p w14:paraId="6001EE26">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20" w:type="pct"/>
            <w:vAlign w:val="center"/>
          </w:tcPr>
          <w:p w14:paraId="6AF0E8C2">
            <w:pPr>
              <w:shd w:val="clear"/>
              <w:suppressAutoHyphens/>
              <w:rPr>
                <w:rFonts w:asciiTheme="minorEastAsia" w:hAnsiTheme="minorEastAsia" w:eastAsiaTheme="minorEastAsia" w:cstheme="minorEastAsia"/>
                <w:color w:val="auto"/>
                <w:sz w:val="24"/>
                <w:highlight w:val="none"/>
              </w:rPr>
            </w:pPr>
          </w:p>
        </w:tc>
        <w:tc>
          <w:tcPr>
            <w:tcW w:w="430" w:type="pct"/>
            <w:vMerge w:val="restart"/>
            <w:vAlign w:val="center"/>
          </w:tcPr>
          <w:p w14:paraId="789732EA">
            <w:pPr>
              <w:shd w:val="clear"/>
              <w:suppressAutoHyphens/>
              <w:rPr>
                <w:rFonts w:asciiTheme="minorEastAsia" w:hAnsiTheme="minorEastAsia" w:eastAsiaTheme="minorEastAsia" w:cstheme="minorEastAsia"/>
                <w:color w:val="auto"/>
                <w:sz w:val="24"/>
                <w:highlight w:val="none"/>
              </w:rPr>
            </w:pPr>
          </w:p>
        </w:tc>
      </w:tr>
      <w:tr w14:paraId="7B11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475C623E">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845" w:type="pct"/>
            <w:gridSpan w:val="2"/>
            <w:vAlign w:val="center"/>
          </w:tcPr>
          <w:p w14:paraId="1FBA8C5E">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灯具三件头（光源、驱动、触发器）故障1个工作日修复。</w:t>
            </w:r>
          </w:p>
        </w:tc>
        <w:tc>
          <w:tcPr>
            <w:tcW w:w="1936" w:type="pct"/>
            <w:gridSpan w:val="2"/>
            <w:vAlign w:val="center"/>
          </w:tcPr>
          <w:p w14:paraId="7E6AD286">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未在规定时间内修复的每次扣2分。</w:t>
            </w:r>
          </w:p>
        </w:tc>
        <w:tc>
          <w:tcPr>
            <w:tcW w:w="420" w:type="pct"/>
            <w:vAlign w:val="center"/>
          </w:tcPr>
          <w:p w14:paraId="5A8C94CE">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28A61A13">
            <w:pPr>
              <w:shd w:val="clear"/>
              <w:suppressAutoHyphens/>
              <w:rPr>
                <w:rFonts w:asciiTheme="minorEastAsia" w:hAnsiTheme="minorEastAsia" w:eastAsiaTheme="minorEastAsia" w:cstheme="minorEastAsia"/>
                <w:color w:val="auto"/>
                <w:sz w:val="24"/>
                <w:highlight w:val="none"/>
              </w:rPr>
            </w:pPr>
          </w:p>
        </w:tc>
      </w:tr>
      <w:tr w14:paraId="2A83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251327D8">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845" w:type="pct"/>
            <w:gridSpan w:val="2"/>
            <w:vAlign w:val="center"/>
          </w:tcPr>
          <w:p w14:paraId="32A79BE3">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常规线路故障2个工作日内修复。</w:t>
            </w:r>
          </w:p>
        </w:tc>
        <w:tc>
          <w:tcPr>
            <w:tcW w:w="1936" w:type="pct"/>
            <w:gridSpan w:val="2"/>
            <w:vAlign w:val="center"/>
          </w:tcPr>
          <w:p w14:paraId="36544928">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未在规定时间内修复的每次扣2分。</w:t>
            </w:r>
          </w:p>
        </w:tc>
        <w:tc>
          <w:tcPr>
            <w:tcW w:w="420" w:type="pct"/>
            <w:vAlign w:val="center"/>
          </w:tcPr>
          <w:p w14:paraId="315E3010">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5A6DFAD4">
            <w:pPr>
              <w:shd w:val="clear"/>
              <w:suppressAutoHyphens/>
              <w:rPr>
                <w:rFonts w:asciiTheme="minorEastAsia" w:hAnsiTheme="minorEastAsia" w:eastAsiaTheme="minorEastAsia" w:cstheme="minorEastAsia"/>
                <w:color w:val="auto"/>
                <w:sz w:val="24"/>
                <w:highlight w:val="none"/>
              </w:rPr>
            </w:pPr>
          </w:p>
        </w:tc>
      </w:tr>
      <w:tr w14:paraId="619E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00D5D864">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845" w:type="pct"/>
            <w:gridSpan w:val="2"/>
            <w:vAlign w:val="center"/>
          </w:tcPr>
          <w:p w14:paraId="39448A1F">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遇有线路设施被盗和自然灾害损坏，根据实际情况尽快修复。</w:t>
            </w:r>
          </w:p>
        </w:tc>
        <w:tc>
          <w:tcPr>
            <w:tcW w:w="1936" w:type="pct"/>
            <w:gridSpan w:val="2"/>
            <w:vAlign w:val="center"/>
          </w:tcPr>
          <w:p w14:paraId="28FAA691">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未在规定时间内修复的每次扣2分。</w:t>
            </w:r>
          </w:p>
        </w:tc>
        <w:tc>
          <w:tcPr>
            <w:tcW w:w="420" w:type="pct"/>
            <w:vAlign w:val="center"/>
          </w:tcPr>
          <w:p w14:paraId="65F82F5C">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57854431">
            <w:pPr>
              <w:shd w:val="clear"/>
              <w:suppressAutoHyphens/>
              <w:rPr>
                <w:rFonts w:asciiTheme="minorEastAsia" w:hAnsiTheme="minorEastAsia" w:eastAsiaTheme="minorEastAsia" w:cstheme="minorEastAsia"/>
                <w:color w:val="auto"/>
                <w:sz w:val="24"/>
                <w:highlight w:val="none"/>
              </w:rPr>
            </w:pPr>
          </w:p>
        </w:tc>
      </w:tr>
      <w:tr w14:paraId="4570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6EE596C2">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845" w:type="pct"/>
            <w:gridSpan w:val="2"/>
            <w:vAlign w:val="center"/>
          </w:tcPr>
          <w:p w14:paraId="2EC023C3">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重大节日、政治活动，立即组织修复</w:t>
            </w:r>
          </w:p>
        </w:tc>
        <w:tc>
          <w:tcPr>
            <w:tcW w:w="1936" w:type="pct"/>
            <w:gridSpan w:val="2"/>
            <w:vAlign w:val="center"/>
          </w:tcPr>
          <w:p w14:paraId="2510C55F">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未在规定时间内修复的每次扣5分。</w:t>
            </w:r>
          </w:p>
        </w:tc>
        <w:tc>
          <w:tcPr>
            <w:tcW w:w="420" w:type="pct"/>
            <w:vAlign w:val="center"/>
          </w:tcPr>
          <w:p w14:paraId="470D4A4D">
            <w:pPr>
              <w:shd w:val="clear"/>
              <w:suppressAutoHyphens/>
              <w:rPr>
                <w:rFonts w:asciiTheme="minorEastAsia" w:hAnsiTheme="minorEastAsia" w:eastAsiaTheme="minorEastAsia" w:cstheme="minorEastAsia"/>
                <w:color w:val="auto"/>
                <w:sz w:val="24"/>
                <w:highlight w:val="none"/>
              </w:rPr>
            </w:pPr>
          </w:p>
        </w:tc>
        <w:tc>
          <w:tcPr>
            <w:tcW w:w="430" w:type="pct"/>
            <w:vMerge w:val="continue"/>
            <w:vAlign w:val="center"/>
          </w:tcPr>
          <w:p w14:paraId="0031FB61">
            <w:pPr>
              <w:shd w:val="clear"/>
              <w:suppressAutoHyphens/>
              <w:rPr>
                <w:rFonts w:asciiTheme="minorEastAsia" w:hAnsiTheme="minorEastAsia" w:eastAsiaTheme="minorEastAsia" w:cstheme="minorEastAsia"/>
                <w:color w:val="auto"/>
                <w:sz w:val="24"/>
                <w:highlight w:val="none"/>
              </w:rPr>
            </w:pPr>
          </w:p>
        </w:tc>
      </w:tr>
      <w:tr w14:paraId="7CD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656053E4">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632" w:type="pct"/>
            <w:gridSpan w:val="6"/>
            <w:vAlign w:val="center"/>
          </w:tcPr>
          <w:p w14:paraId="2AB5403C">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台账资料10分</w:t>
            </w:r>
          </w:p>
        </w:tc>
      </w:tr>
      <w:tr w14:paraId="276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377591E4">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1845" w:type="pct"/>
            <w:gridSpan w:val="2"/>
            <w:vAlign w:val="center"/>
          </w:tcPr>
          <w:p w14:paraId="58D0F86C">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建立台账制度（包括日常巡查管理制度，维修计划、维修工作报表等）</w:t>
            </w:r>
          </w:p>
        </w:tc>
        <w:tc>
          <w:tcPr>
            <w:tcW w:w="1936" w:type="pct"/>
            <w:gridSpan w:val="2"/>
            <w:vAlign w:val="center"/>
          </w:tcPr>
          <w:p w14:paraId="371F78CE">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未建立台账制度的扣10分</w:t>
            </w:r>
          </w:p>
        </w:tc>
        <w:tc>
          <w:tcPr>
            <w:tcW w:w="420" w:type="pct"/>
            <w:vAlign w:val="center"/>
          </w:tcPr>
          <w:p w14:paraId="041EAB39">
            <w:pPr>
              <w:shd w:val="clear"/>
              <w:suppressAutoHyphens/>
              <w:jc w:val="left"/>
              <w:rPr>
                <w:rFonts w:asciiTheme="minorEastAsia" w:hAnsiTheme="minorEastAsia" w:eastAsiaTheme="minorEastAsia" w:cstheme="minorEastAsia"/>
                <w:color w:val="auto"/>
                <w:sz w:val="24"/>
                <w:highlight w:val="none"/>
              </w:rPr>
            </w:pPr>
          </w:p>
        </w:tc>
        <w:tc>
          <w:tcPr>
            <w:tcW w:w="430" w:type="pct"/>
            <w:vMerge w:val="restart"/>
            <w:vAlign w:val="center"/>
          </w:tcPr>
          <w:p w14:paraId="2DEC7310">
            <w:pPr>
              <w:shd w:val="clear"/>
              <w:suppressAutoHyphens/>
              <w:jc w:val="left"/>
              <w:rPr>
                <w:rFonts w:asciiTheme="minorEastAsia" w:hAnsiTheme="minorEastAsia" w:eastAsiaTheme="minorEastAsia" w:cstheme="minorEastAsia"/>
                <w:color w:val="auto"/>
                <w:sz w:val="24"/>
                <w:highlight w:val="none"/>
              </w:rPr>
            </w:pPr>
          </w:p>
        </w:tc>
      </w:tr>
      <w:tr w14:paraId="2904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vAlign w:val="center"/>
          </w:tcPr>
          <w:p w14:paraId="31E6056B">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1845" w:type="pct"/>
            <w:gridSpan w:val="2"/>
            <w:vAlign w:val="center"/>
          </w:tcPr>
          <w:p w14:paraId="30F88E30">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台账资料齐全，包括书面台账资料及电子台账资料。</w:t>
            </w:r>
          </w:p>
        </w:tc>
        <w:tc>
          <w:tcPr>
            <w:tcW w:w="1936" w:type="pct"/>
            <w:gridSpan w:val="2"/>
            <w:vAlign w:val="center"/>
          </w:tcPr>
          <w:p w14:paraId="2D7C1516">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发现台账资料不齐的，每发现一次扣2分，最高扣10分。</w:t>
            </w:r>
          </w:p>
        </w:tc>
        <w:tc>
          <w:tcPr>
            <w:tcW w:w="420" w:type="pct"/>
            <w:vAlign w:val="center"/>
          </w:tcPr>
          <w:p w14:paraId="60F21E6E">
            <w:pPr>
              <w:shd w:val="clear"/>
              <w:suppressAutoHyphens/>
              <w:jc w:val="left"/>
              <w:rPr>
                <w:rFonts w:asciiTheme="minorEastAsia" w:hAnsiTheme="minorEastAsia" w:eastAsiaTheme="minorEastAsia" w:cstheme="minorEastAsia"/>
                <w:color w:val="auto"/>
                <w:sz w:val="24"/>
                <w:highlight w:val="none"/>
              </w:rPr>
            </w:pPr>
          </w:p>
        </w:tc>
        <w:tc>
          <w:tcPr>
            <w:tcW w:w="430" w:type="pct"/>
            <w:vMerge w:val="continue"/>
            <w:vAlign w:val="center"/>
          </w:tcPr>
          <w:p w14:paraId="4C723393">
            <w:pPr>
              <w:shd w:val="clear"/>
              <w:suppressAutoHyphens/>
              <w:jc w:val="left"/>
              <w:rPr>
                <w:rFonts w:asciiTheme="minorEastAsia" w:hAnsiTheme="minorEastAsia" w:eastAsiaTheme="minorEastAsia" w:cstheme="minorEastAsia"/>
                <w:color w:val="auto"/>
                <w:sz w:val="24"/>
                <w:highlight w:val="none"/>
              </w:rPr>
            </w:pPr>
          </w:p>
        </w:tc>
      </w:tr>
      <w:tr w14:paraId="4793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2" w:type="pct"/>
            <w:gridSpan w:val="3"/>
            <w:vAlign w:val="center"/>
          </w:tcPr>
          <w:p w14:paraId="15BB2A10">
            <w:pPr>
              <w:shd w:val="clear"/>
              <w:suppressAutoHyphen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考核总分</w:t>
            </w:r>
          </w:p>
        </w:tc>
        <w:tc>
          <w:tcPr>
            <w:tcW w:w="2787" w:type="pct"/>
            <w:gridSpan w:val="4"/>
            <w:vAlign w:val="center"/>
          </w:tcPr>
          <w:p w14:paraId="6F6505A6">
            <w:pPr>
              <w:shd w:val="clear"/>
              <w:suppressAutoHyphens/>
              <w:jc w:val="left"/>
              <w:rPr>
                <w:rFonts w:asciiTheme="minorEastAsia" w:hAnsiTheme="minorEastAsia" w:eastAsiaTheme="minorEastAsia" w:cstheme="minorEastAsia"/>
                <w:color w:val="auto"/>
                <w:sz w:val="24"/>
                <w:highlight w:val="none"/>
              </w:rPr>
            </w:pPr>
          </w:p>
        </w:tc>
      </w:tr>
      <w:tr w14:paraId="1D5B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 w:type="pct"/>
            <w:gridSpan w:val="2"/>
            <w:vAlign w:val="center"/>
          </w:tcPr>
          <w:p w14:paraId="50CB3218">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中标单位负责人签字</w:t>
            </w:r>
          </w:p>
        </w:tc>
        <w:tc>
          <w:tcPr>
            <w:tcW w:w="1272" w:type="pct"/>
            <w:vAlign w:val="center"/>
          </w:tcPr>
          <w:p w14:paraId="13A4DDFA">
            <w:pPr>
              <w:shd w:val="clear"/>
              <w:suppressAutoHyphens/>
              <w:rPr>
                <w:rFonts w:asciiTheme="minorEastAsia" w:hAnsiTheme="minorEastAsia" w:eastAsiaTheme="minorEastAsia" w:cstheme="minorEastAsia"/>
                <w:color w:val="auto"/>
                <w:sz w:val="24"/>
                <w:highlight w:val="none"/>
              </w:rPr>
            </w:pPr>
          </w:p>
        </w:tc>
        <w:tc>
          <w:tcPr>
            <w:tcW w:w="1212" w:type="pct"/>
            <w:vMerge w:val="restart"/>
            <w:vAlign w:val="center"/>
          </w:tcPr>
          <w:p w14:paraId="389713EC">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中标单位（章）</w:t>
            </w:r>
          </w:p>
        </w:tc>
        <w:tc>
          <w:tcPr>
            <w:tcW w:w="1575" w:type="pct"/>
            <w:gridSpan w:val="3"/>
            <w:vMerge w:val="restart"/>
            <w:vAlign w:val="center"/>
          </w:tcPr>
          <w:p w14:paraId="4E693AAA">
            <w:pPr>
              <w:shd w:val="clear"/>
              <w:suppressAutoHyphens/>
              <w:rPr>
                <w:rFonts w:asciiTheme="minorEastAsia" w:hAnsiTheme="minorEastAsia" w:eastAsiaTheme="minorEastAsia" w:cstheme="minorEastAsia"/>
                <w:color w:val="auto"/>
                <w:sz w:val="24"/>
                <w:highlight w:val="none"/>
              </w:rPr>
            </w:pPr>
          </w:p>
        </w:tc>
      </w:tr>
      <w:tr w14:paraId="6D8A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 w:type="pct"/>
            <w:gridSpan w:val="2"/>
            <w:vAlign w:val="center"/>
          </w:tcPr>
          <w:p w14:paraId="7376BC6B">
            <w:pPr>
              <w:shd w:val="clear"/>
              <w:suppressAutoHyphen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考核人员签字</w:t>
            </w:r>
          </w:p>
        </w:tc>
        <w:tc>
          <w:tcPr>
            <w:tcW w:w="1272" w:type="pct"/>
            <w:vAlign w:val="center"/>
          </w:tcPr>
          <w:p w14:paraId="4CC60783">
            <w:pPr>
              <w:shd w:val="clear"/>
              <w:suppressAutoHyphens/>
              <w:rPr>
                <w:rFonts w:asciiTheme="minorEastAsia" w:hAnsiTheme="minorEastAsia" w:eastAsiaTheme="minorEastAsia" w:cstheme="minorEastAsia"/>
                <w:color w:val="auto"/>
                <w:sz w:val="24"/>
                <w:highlight w:val="none"/>
              </w:rPr>
            </w:pPr>
          </w:p>
        </w:tc>
        <w:tc>
          <w:tcPr>
            <w:tcW w:w="1212" w:type="pct"/>
            <w:vMerge w:val="continue"/>
            <w:vAlign w:val="center"/>
          </w:tcPr>
          <w:p w14:paraId="134038AD">
            <w:pPr>
              <w:shd w:val="clear"/>
              <w:suppressAutoHyphens/>
              <w:rPr>
                <w:rFonts w:asciiTheme="minorEastAsia" w:hAnsiTheme="minorEastAsia" w:eastAsiaTheme="minorEastAsia" w:cstheme="minorEastAsia"/>
                <w:color w:val="auto"/>
                <w:sz w:val="24"/>
                <w:highlight w:val="none"/>
              </w:rPr>
            </w:pPr>
          </w:p>
        </w:tc>
        <w:tc>
          <w:tcPr>
            <w:tcW w:w="1575" w:type="pct"/>
            <w:gridSpan w:val="3"/>
            <w:vMerge w:val="continue"/>
            <w:vAlign w:val="center"/>
          </w:tcPr>
          <w:p w14:paraId="35157057">
            <w:pPr>
              <w:shd w:val="clear"/>
              <w:suppressAutoHyphens/>
              <w:rPr>
                <w:rFonts w:asciiTheme="minorEastAsia" w:hAnsiTheme="minorEastAsia" w:eastAsiaTheme="minorEastAsia" w:cstheme="minorEastAsia"/>
                <w:color w:val="auto"/>
                <w:sz w:val="24"/>
                <w:highlight w:val="none"/>
              </w:rPr>
            </w:pPr>
          </w:p>
        </w:tc>
      </w:tr>
    </w:tbl>
    <w:p w14:paraId="738A54DE">
      <w:pPr>
        <w:shd w:val="clear"/>
        <w:jc w:val="center"/>
        <w:rPr>
          <w:rFonts w:asciiTheme="minorEastAsia" w:hAnsiTheme="minorEastAsia" w:eastAsiaTheme="minorEastAsia" w:cstheme="minorEastAsia"/>
          <w:b/>
          <w:bCs/>
          <w:color w:val="auto"/>
          <w:sz w:val="24"/>
          <w:highlight w:val="none"/>
        </w:rPr>
      </w:pPr>
    </w:p>
    <w:p w14:paraId="22602C7A">
      <w:pPr>
        <w:shd w:val="clea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14:paraId="2AB87110">
      <w:pPr>
        <w:shd w:val="clea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六、 商务条款要求</w:t>
      </w:r>
    </w:p>
    <w:tbl>
      <w:tblPr>
        <w:tblStyle w:val="20"/>
        <w:tblW w:w="93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779"/>
      </w:tblGrid>
      <w:tr w14:paraId="23014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5DC4185C">
            <w:pPr>
              <w:shd w:val="clear"/>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7779" w:type="dxa"/>
            <w:vAlign w:val="center"/>
          </w:tcPr>
          <w:p w14:paraId="770E63B1">
            <w:pPr>
              <w:shd w:val="clear"/>
              <w:wordWrap w:val="0"/>
              <w:jc w:val="center"/>
              <w:rPr>
                <w:rFonts w:ascii="宋体" w:hAnsi="宋体" w:cs="宋体"/>
                <w:b/>
                <w:bCs/>
                <w:color w:val="auto"/>
                <w:sz w:val="24"/>
                <w:highlight w:val="none"/>
              </w:rPr>
            </w:pPr>
            <w:r>
              <w:rPr>
                <w:rFonts w:hint="eastAsia" w:ascii="宋体" w:hAnsi="宋体" w:cs="宋体"/>
                <w:b/>
                <w:bCs/>
                <w:color w:val="auto"/>
                <w:sz w:val="24"/>
                <w:highlight w:val="none"/>
              </w:rPr>
              <w:t>招标要求</w:t>
            </w:r>
          </w:p>
        </w:tc>
      </w:tr>
      <w:tr w14:paraId="52F18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4546E325">
            <w:pPr>
              <w:shd w:val="clea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7779" w:type="dxa"/>
            <w:vAlign w:val="center"/>
          </w:tcPr>
          <w:p w14:paraId="623332EF">
            <w:pPr>
              <w:widowControl/>
              <w:shd w:val="clear"/>
              <w:rPr>
                <w:rFonts w:ascii="宋体" w:hAnsi="宋体" w:cs="宋体"/>
                <w:color w:val="auto"/>
                <w:sz w:val="24"/>
                <w:highlight w:val="none"/>
              </w:rPr>
            </w:pPr>
            <w:r>
              <w:rPr>
                <w:rFonts w:hint="eastAsia" w:ascii="宋体" w:hAnsi="宋体" w:cs="宋体"/>
                <w:color w:val="auto"/>
                <w:sz w:val="24"/>
                <w:highlight w:val="none"/>
              </w:rPr>
              <w:t>1、投标报价是履行合同的最终价格，包含购买服务需交纳的所有税费、中标服务费等一切费用。投标人少报或漏报的工作量，采购人将视为已包含在投标报价中，并不予调整。</w:t>
            </w:r>
          </w:p>
          <w:p w14:paraId="7A0EF704">
            <w:pPr>
              <w:widowControl/>
              <w:shd w:val="clear"/>
              <w:rPr>
                <w:rFonts w:hint="eastAsia" w:ascii="宋体" w:hAnsi="宋体" w:cs="宋体"/>
                <w:color w:val="auto"/>
                <w:sz w:val="24"/>
                <w:highlight w:val="none"/>
              </w:rPr>
            </w:pPr>
            <w:r>
              <w:rPr>
                <w:rFonts w:hint="eastAsia" w:ascii="宋体" w:hAnsi="宋体" w:cs="宋体"/>
                <w:color w:val="auto"/>
                <w:sz w:val="24"/>
                <w:highlight w:val="none"/>
              </w:rPr>
              <w:t>2、本项目设有</w:t>
            </w:r>
            <w:r>
              <w:rPr>
                <w:rFonts w:hint="eastAsia" w:ascii="宋体" w:hAnsi="宋体" w:cs="宋体"/>
                <w:color w:val="auto"/>
                <w:sz w:val="24"/>
                <w:highlight w:val="none"/>
                <w:lang w:val="zh-CN"/>
              </w:rPr>
              <w:t>单价最高限价</w:t>
            </w:r>
            <w:r>
              <w:rPr>
                <w:rFonts w:hint="eastAsia" w:ascii="宋体" w:hAnsi="宋体" w:cs="宋体"/>
                <w:color w:val="auto"/>
                <w:sz w:val="24"/>
                <w:highlight w:val="none"/>
              </w:rPr>
              <w:t>，投标单价超出</w:t>
            </w:r>
            <w:r>
              <w:rPr>
                <w:rFonts w:hint="eastAsia" w:ascii="宋体" w:hAnsi="宋体" w:cs="宋体"/>
                <w:color w:val="auto"/>
                <w:sz w:val="24"/>
                <w:highlight w:val="none"/>
                <w:lang w:val="zh-CN"/>
              </w:rPr>
              <w:t>单价最高限价</w:t>
            </w:r>
            <w:r>
              <w:rPr>
                <w:rFonts w:hint="eastAsia" w:ascii="宋体" w:hAnsi="宋体" w:cs="宋体"/>
                <w:color w:val="auto"/>
                <w:sz w:val="24"/>
                <w:highlight w:val="none"/>
              </w:rPr>
              <w:t>的作无效投标处理。</w:t>
            </w:r>
          </w:p>
        </w:tc>
      </w:tr>
      <w:tr w14:paraId="6B2FD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4ACD68AD">
            <w:pPr>
              <w:shd w:val="clear"/>
              <w:wordWrap w:val="0"/>
              <w:jc w:val="center"/>
              <w:rPr>
                <w:rFonts w:ascii="宋体" w:hAnsi="宋体" w:cs="宋体"/>
                <w:color w:val="auto"/>
                <w:sz w:val="24"/>
                <w:highlight w:val="none"/>
              </w:rPr>
            </w:pPr>
            <w:r>
              <w:rPr>
                <w:rFonts w:hint="eastAsia" w:ascii="宋体" w:hAnsi="宋体" w:cs="宋体"/>
                <w:color w:val="auto"/>
                <w:kern w:val="0"/>
                <w:sz w:val="24"/>
                <w:highlight w:val="none"/>
              </w:rPr>
              <w:t>付款方式</w:t>
            </w:r>
          </w:p>
        </w:tc>
        <w:tc>
          <w:tcPr>
            <w:tcW w:w="7779" w:type="dxa"/>
            <w:vAlign w:val="center"/>
          </w:tcPr>
          <w:p w14:paraId="485A7023">
            <w:pPr>
              <w:widowControl/>
              <w:shd w:val="clear"/>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合同签订后</w:t>
            </w:r>
            <w:r>
              <w:rPr>
                <w:rFonts w:hint="eastAsia" w:ascii="宋体" w:hAnsi="宋体" w:cs="宋体"/>
                <w:color w:val="auto"/>
                <w:sz w:val="24"/>
                <w:highlight w:val="none"/>
              </w:rPr>
              <w:t>采购人</w:t>
            </w:r>
            <w:r>
              <w:rPr>
                <w:rFonts w:ascii="宋体" w:hAnsi="宋体" w:cs="宋体"/>
                <w:color w:val="auto"/>
                <w:sz w:val="24"/>
                <w:highlight w:val="none"/>
              </w:rPr>
              <w:t>向</w:t>
            </w:r>
            <w:r>
              <w:rPr>
                <w:rFonts w:hint="eastAsia" w:ascii="宋体" w:hAnsi="宋体" w:cs="宋体"/>
                <w:color w:val="auto"/>
                <w:sz w:val="24"/>
                <w:highlight w:val="none"/>
              </w:rPr>
              <w:t>中标人</w:t>
            </w:r>
            <w:r>
              <w:rPr>
                <w:rFonts w:ascii="宋体" w:hAnsi="宋体" w:cs="宋体"/>
                <w:color w:val="auto"/>
                <w:sz w:val="24"/>
                <w:highlight w:val="none"/>
              </w:rPr>
              <w:t>支付合同价的</w:t>
            </w:r>
            <w:r>
              <w:rPr>
                <w:rFonts w:hint="eastAsia" w:ascii="宋体" w:hAnsi="宋体" w:cs="宋体"/>
                <w:color w:val="auto"/>
                <w:sz w:val="24"/>
                <w:highlight w:val="none"/>
              </w:rPr>
              <w:t>30</w:t>
            </w:r>
            <w:r>
              <w:rPr>
                <w:rFonts w:ascii="宋体" w:hAnsi="宋体" w:cs="宋体"/>
                <w:color w:val="auto"/>
                <w:sz w:val="24"/>
                <w:highlight w:val="none"/>
              </w:rPr>
              <w:t>%作为预付款，</w:t>
            </w:r>
            <w:r>
              <w:rPr>
                <w:rFonts w:hint="eastAsia" w:asciiTheme="minorEastAsia" w:hAnsiTheme="minorEastAsia" w:eastAsiaTheme="minorEastAsia" w:cstheme="minorEastAsia"/>
                <w:color w:val="auto"/>
                <w:sz w:val="24"/>
                <w:highlight w:val="none"/>
              </w:rPr>
              <w:t>采购人每半年根据每月考核情况按实支付服务费用。预付款在合同签订半年后第一次支付服务费用时扣回。</w:t>
            </w:r>
            <w:r>
              <w:rPr>
                <w:rFonts w:ascii="宋体" w:hAnsi="宋体" w:cs="宋体"/>
                <w:color w:val="auto"/>
                <w:sz w:val="24"/>
                <w:highlight w:val="none"/>
              </w:rPr>
              <w:t>支付款项</w:t>
            </w:r>
            <w:r>
              <w:rPr>
                <w:rFonts w:hint="eastAsia" w:ascii="宋体" w:hAnsi="宋体" w:cs="宋体"/>
                <w:color w:val="auto"/>
                <w:sz w:val="24"/>
                <w:highlight w:val="none"/>
              </w:rPr>
              <w:t>前</w:t>
            </w:r>
            <w:r>
              <w:rPr>
                <w:rFonts w:ascii="宋体" w:hAnsi="宋体" w:cs="宋体"/>
                <w:color w:val="auto"/>
                <w:sz w:val="24"/>
                <w:highlight w:val="none"/>
              </w:rPr>
              <w:t>，</w:t>
            </w:r>
            <w:r>
              <w:rPr>
                <w:rFonts w:hint="eastAsia" w:ascii="宋体" w:hAnsi="宋体" w:cs="宋体"/>
                <w:color w:val="auto"/>
                <w:sz w:val="24"/>
                <w:highlight w:val="none"/>
              </w:rPr>
              <w:t>中标人</w:t>
            </w:r>
            <w:r>
              <w:rPr>
                <w:rFonts w:ascii="宋体" w:hAnsi="宋体" w:cs="宋体"/>
                <w:color w:val="auto"/>
                <w:sz w:val="24"/>
                <w:highlight w:val="none"/>
              </w:rPr>
              <w:t>需提供</w:t>
            </w:r>
            <w:r>
              <w:rPr>
                <w:rFonts w:hint="eastAsia" w:ascii="宋体" w:hAnsi="宋体" w:cs="宋体"/>
                <w:color w:val="auto"/>
                <w:sz w:val="24"/>
                <w:highlight w:val="none"/>
                <w:lang w:val="zh-CN"/>
              </w:rPr>
              <w:t>有效正规</w:t>
            </w:r>
            <w:r>
              <w:rPr>
                <w:rFonts w:ascii="宋体" w:hAnsi="宋体" w:cs="宋体"/>
                <w:color w:val="auto"/>
                <w:sz w:val="24"/>
                <w:highlight w:val="none"/>
              </w:rPr>
              <w:t>全额增值税发票</w:t>
            </w:r>
            <w:r>
              <w:rPr>
                <w:rFonts w:hint="eastAsia" w:ascii="宋体" w:hAnsi="宋体" w:cs="宋体"/>
                <w:color w:val="auto"/>
                <w:sz w:val="24"/>
                <w:highlight w:val="none"/>
              </w:rPr>
              <w:t>，</w:t>
            </w:r>
          </w:p>
          <w:p w14:paraId="1137A96C">
            <w:pPr>
              <w:widowControl/>
              <w:shd w:val="clear"/>
              <w:rPr>
                <w:rFonts w:ascii="宋体" w:hAnsi="宋体" w:cs="宋体"/>
                <w:color w:val="auto"/>
                <w:sz w:val="24"/>
                <w:highlight w:val="none"/>
              </w:rPr>
            </w:pPr>
            <w:r>
              <w:rPr>
                <w:rFonts w:hint="eastAsia" w:ascii="宋体" w:hAnsi="宋体" w:cs="宋体"/>
                <w:color w:val="auto"/>
                <w:sz w:val="24"/>
                <w:highlight w:val="none"/>
              </w:rPr>
              <w:t>采购人在收到中标供应商提供的发票后在合同约定的时间支付相应款项，否则采购人有权延迟支付相应费用而不被视为违约，亦无须承担任何违约责任。</w:t>
            </w:r>
          </w:p>
        </w:tc>
      </w:tr>
      <w:tr w14:paraId="7A84F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66C3F13D">
            <w:pPr>
              <w:shd w:val="clear"/>
              <w:tabs>
                <w:tab w:val="left" w:pos="0"/>
              </w:tabs>
              <w:adjustRightInd w:val="0"/>
              <w:snapToGrid w:val="0"/>
              <w:jc w:val="center"/>
              <w:rPr>
                <w:rFonts w:ascii="宋体" w:hAnsi="宋体" w:cs="宋体"/>
                <w:color w:val="auto"/>
                <w:sz w:val="24"/>
                <w:highlight w:val="none"/>
              </w:rPr>
            </w:pPr>
            <w:r>
              <w:rPr>
                <w:rFonts w:hint="eastAsia" w:ascii="宋体" w:hAnsi="宋体" w:cs="宋体"/>
                <w:color w:val="auto"/>
                <w:kern w:val="0"/>
                <w:sz w:val="24"/>
                <w:highlight w:val="none"/>
              </w:rPr>
              <w:t>服务期限及地点</w:t>
            </w:r>
          </w:p>
        </w:tc>
        <w:tc>
          <w:tcPr>
            <w:tcW w:w="7779" w:type="dxa"/>
            <w:vAlign w:val="center"/>
          </w:tcPr>
          <w:p w14:paraId="50402230">
            <w:pPr>
              <w:shd w:val="clear"/>
              <w:tabs>
                <w:tab w:val="left" w:pos="0"/>
              </w:tabs>
              <w:adjustRightInd w:val="0"/>
              <w:snapToGrid w:val="0"/>
              <w:rPr>
                <w:rFonts w:ascii="宋体" w:hAnsi="宋体" w:cs="宋体"/>
                <w:color w:val="auto"/>
                <w:sz w:val="24"/>
                <w:highlight w:val="none"/>
              </w:rPr>
            </w:pPr>
            <w:r>
              <w:rPr>
                <w:rFonts w:hint="eastAsia" w:ascii="宋体" w:hAnsi="宋体" w:cs="宋体"/>
                <w:color w:val="auto"/>
                <w:kern w:val="0"/>
                <w:sz w:val="24"/>
                <w:highlight w:val="none"/>
              </w:rPr>
              <w:t>服务期限：</w:t>
            </w:r>
            <w:r>
              <w:rPr>
                <w:rFonts w:hint="eastAsia" w:ascii="宋体" w:hAnsi="宋体" w:cs="宋体"/>
                <w:color w:val="auto"/>
                <w:sz w:val="24"/>
                <w:highlight w:val="none"/>
              </w:rPr>
              <w:t>合同签订之日起两年，合同一年一签，招标人根据中标单位上一年度的履约考核情况决定是否续签，如续签，最多可续签一年。</w:t>
            </w:r>
          </w:p>
          <w:p w14:paraId="50EFFF11">
            <w:pPr>
              <w:shd w:val="clear"/>
              <w:tabs>
                <w:tab w:val="left" w:pos="0"/>
              </w:tabs>
              <w:adjustRightInd w:val="0"/>
              <w:snapToGrid w:val="0"/>
              <w:rPr>
                <w:rFonts w:ascii="宋体" w:hAnsi="宋体" w:cs="宋体"/>
                <w:color w:val="auto"/>
                <w:sz w:val="24"/>
                <w:highlight w:val="none"/>
              </w:rPr>
            </w:pPr>
            <w:r>
              <w:rPr>
                <w:rFonts w:hint="eastAsia" w:ascii="宋体" w:hAnsi="宋体" w:cs="宋体"/>
                <w:color w:val="auto"/>
                <w:sz w:val="24"/>
                <w:highlight w:val="none"/>
              </w:rPr>
              <w:t>地点：业主指定地点。</w:t>
            </w:r>
          </w:p>
        </w:tc>
      </w:tr>
      <w:tr w14:paraId="48BBC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561A4E29">
            <w:pPr>
              <w:shd w:val="clear"/>
              <w:tabs>
                <w:tab w:val="left" w:pos="0"/>
              </w:tabs>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779" w:type="dxa"/>
            <w:vAlign w:val="center"/>
          </w:tcPr>
          <w:p w14:paraId="00F868EE">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履约</w:t>
            </w:r>
            <w:r>
              <w:rPr>
                <w:rFonts w:hint="eastAsia" w:ascii="宋体" w:hAnsi="宋体" w:cs="宋体"/>
                <w:color w:val="auto"/>
                <w:sz w:val="24"/>
                <w:highlight w:val="none"/>
              </w:rPr>
              <w:t>履约保证金</w:t>
            </w:r>
            <w:r>
              <w:rPr>
                <w:rFonts w:hint="eastAsia" w:ascii="宋体" w:hAnsi="宋体" w:cs="宋体"/>
                <w:color w:val="auto"/>
                <w:kern w:val="0"/>
                <w:sz w:val="24"/>
                <w:highlight w:val="none"/>
              </w:rPr>
              <w:t>形式：电汇、银行保函、保险公司保函。</w:t>
            </w:r>
          </w:p>
          <w:p w14:paraId="65EBF700">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履约</w:t>
            </w:r>
            <w:r>
              <w:rPr>
                <w:rFonts w:hint="eastAsia" w:ascii="宋体" w:hAnsi="宋体" w:cs="宋体"/>
                <w:color w:val="auto"/>
                <w:sz w:val="24"/>
                <w:highlight w:val="none"/>
              </w:rPr>
              <w:t>履约保证金</w:t>
            </w:r>
            <w:r>
              <w:rPr>
                <w:rFonts w:hint="eastAsia" w:ascii="宋体" w:hAnsi="宋体" w:cs="宋体"/>
                <w:color w:val="auto"/>
                <w:kern w:val="0"/>
                <w:sz w:val="24"/>
                <w:highlight w:val="none"/>
              </w:rPr>
              <w:t>的收取及退还：按合同总金额的1%计收，合同履行完毕后5日内无息退还。</w:t>
            </w:r>
          </w:p>
        </w:tc>
      </w:tr>
      <w:tr w14:paraId="297BF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19F95999">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售后技术</w:t>
            </w:r>
            <w:r>
              <w:rPr>
                <w:rFonts w:ascii="宋体" w:hAnsi="宋体" w:cs="宋体"/>
                <w:color w:val="auto"/>
                <w:sz w:val="24"/>
                <w:highlight w:val="none"/>
              </w:rPr>
              <w:br w:type="textWrapping"/>
            </w:r>
            <w:r>
              <w:rPr>
                <w:rFonts w:ascii="宋体" w:hAnsi="宋体" w:cs="宋体"/>
                <w:color w:val="auto"/>
                <w:sz w:val="24"/>
                <w:highlight w:val="none"/>
              </w:rPr>
              <w:t>服务要求</w:t>
            </w:r>
          </w:p>
        </w:tc>
        <w:tc>
          <w:tcPr>
            <w:tcW w:w="7779" w:type="dxa"/>
            <w:vAlign w:val="center"/>
          </w:tcPr>
          <w:p w14:paraId="6F38C490">
            <w:pPr>
              <w:shd w:val="clear"/>
              <w:snapToGrid w:val="0"/>
              <w:rPr>
                <w:rFonts w:ascii="宋体" w:hAnsi="宋体" w:cs="宋体"/>
                <w:color w:val="auto"/>
                <w:kern w:val="0"/>
                <w:sz w:val="24"/>
                <w:highlight w:val="none"/>
              </w:rPr>
            </w:pPr>
            <w:r>
              <w:rPr>
                <w:rFonts w:hint="eastAsia" w:ascii="宋体" w:hAnsi="宋体" w:cs="宋体"/>
                <w:color w:val="auto"/>
                <w:sz w:val="24"/>
                <w:highlight w:val="none"/>
              </w:rPr>
              <w:t>接到要求提供服务的电话（或传真）后30分钟内做出响应。60分钟内派出合格的服务人员到达业主设备使用现场。一般故障12小时内修复，重大故障48小时内修复。规定时间内不能修复的免费提供同档次产品供甲方使用。</w:t>
            </w:r>
          </w:p>
        </w:tc>
      </w:tr>
      <w:tr w14:paraId="09FD9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1D1FFB7B">
            <w:pPr>
              <w:shd w:val="clear"/>
              <w:tabs>
                <w:tab w:val="left" w:pos="0"/>
              </w:tabs>
              <w:adjustRightInd w:val="0"/>
              <w:snapToGrid w:val="0"/>
              <w:jc w:val="center"/>
              <w:rPr>
                <w:rFonts w:ascii="宋体" w:hAnsi="宋体" w:cs="宋体"/>
                <w:color w:val="auto"/>
                <w:sz w:val="24"/>
                <w:highlight w:val="none"/>
              </w:rPr>
            </w:pPr>
            <w:r>
              <w:rPr>
                <w:rFonts w:hint="eastAsia" w:ascii="宋体" w:hAnsi="宋体" w:cs="宋体"/>
                <w:color w:val="auto"/>
                <w:kern w:val="0"/>
                <w:sz w:val="24"/>
                <w:highlight w:val="none"/>
              </w:rPr>
              <w:t>合同终止</w:t>
            </w:r>
          </w:p>
        </w:tc>
        <w:tc>
          <w:tcPr>
            <w:tcW w:w="7779" w:type="dxa"/>
            <w:vAlign w:val="center"/>
          </w:tcPr>
          <w:p w14:paraId="7952588D">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1、中标人在合同有效期内，不得无理由终止合同，确有特殊情况的，须提前两个月向采购人提出书面申请，经采购人同意后，方可终止合同； </w:t>
            </w:r>
          </w:p>
          <w:p w14:paraId="00049258">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2、本项目遇不可抗力影响或国家政策或法律法规的重大调整影响合同无法执行的； </w:t>
            </w:r>
          </w:p>
          <w:p w14:paraId="3FA33267">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3、有以下行为之一的，采购人有权终止合同： </w:t>
            </w:r>
          </w:p>
          <w:p w14:paraId="16562DE9">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①中标人违反安全管理、规范作业规定，造成重大伤亡或重大损失的； </w:t>
            </w:r>
          </w:p>
          <w:p w14:paraId="5E409DF8">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②经省、市级新闻媒体曝光，中标人为责任方，造成影响极其恶劣影响的； </w:t>
            </w:r>
          </w:p>
          <w:p w14:paraId="4D5EB448">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③中标人违反劳动法或其他相关法律法规，造成恶劣影响的； </w:t>
            </w:r>
          </w:p>
          <w:p w14:paraId="62A5F6ED">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④中标人有其它弄虚作假及其他不正当行为的； </w:t>
            </w:r>
          </w:p>
          <w:p w14:paraId="3D7A69E7">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⑤合同期限届满时自行终止； </w:t>
            </w:r>
          </w:p>
          <w:p w14:paraId="2C064AF7">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 xml:space="preserve">⑥合同履约期间，中标人法人组织破产，或重组变更法人主体的； </w:t>
            </w:r>
          </w:p>
          <w:p w14:paraId="3E3B52BE">
            <w:pPr>
              <w:shd w:val="clear"/>
              <w:tabs>
                <w:tab w:val="left" w:pos="0"/>
              </w:tabs>
              <w:adjustRightInd w:val="0"/>
              <w:snapToGrid w:val="0"/>
              <w:rPr>
                <w:rFonts w:ascii="宋体" w:hAnsi="宋体" w:cs="宋体"/>
                <w:color w:val="auto"/>
                <w:sz w:val="24"/>
                <w:highlight w:val="none"/>
              </w:rPr>
            </w:pPr>
            <w:r>
              <w:rPr>
                <w:rFonts w:hint="eastAsia" w:ascii="宋体" w:hAnsi="宋体" w:cs="宋体"/>
                <w:color w:val="auto"/>
                <w:kern w:val="0"/>
                <w:sz w:val="24"/>
                <w:highlight w:val="none"/>
              </w:rPr>
              <w:t>⑦根据招标文件及合同规定，其它不续签或终止合同的规定，其它法律规定的终止情形。</w:t>
            </w:r>
          </w:p>
        </w:tc>
      </w:tr>
      <w:tr w14:paraId="291D6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14:paraId="1AAEF56A">
            <w:pPr>
              <w:shd w:val="clear"/>
              <w:tabs>
                <w:tab w:val="left" w:pos="0"/>
              </w:tabs>
              <w:adjustRightInd w:val="0"/>
              <w:snapToGrid w:val="0"/>
              <w:jc w:val="center"/>
              <w:rPr>
                <w:rFonts w:ascii="宋体" w:hAnsi="宋体" w:cs="宋体"/>
                <w:color w:val="auto"/>
                <w:sz w:val="24"/>
                <w:highlight w:val="none"/>
              </w:rPr>
            </w:pPr>
            <w:r>
              <w:rPr>
                <w:rFonts w:hint="eastAsia" w:ascii="宋体" w:hAnsi="宋体" w:cs="宋体"/>
                <w:color w:val="auto"/>
                <w:kern w:val="0"/>
                <w:sz w:val="24"/>
                <w:highlight w:val="none"/>
              </w:rPr>
              <w:t>其他</w:t>
            </w:r>
          </w:p>
        </w:tc>
        <w:tc>
          <w:tcPr>
            <w:tcW w:w="7779" w:type="dxa"/>
            <w:vAlign w:val="center"/>
          </w:tcPr>
          <w:p w14:paraId="7A0B3BA3">
            <w:pPr>
              <w:shd w:val="clear"/>
              <w:tabs>
                <w:tab w:val="left" w:pos="0"/>
              </w:tabs>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1、本项目不允许分包。出现转包、分包或挂靠现象的，采购人有权单方解除合同，给采购人额外造成损失的，中标人还应承担全部赔偿责任，赔偿范围包括但不限于直接损失、间接损失、律师费、诉讼费等费用。</w:t>
            </w:r>
          </w:p>
          <w:p w14:paraId="2C6EEE24">
            <w:pPr>
              <w:shd w:val="clear"/>
              <w:tabs>
                <w:tab w:val="left" w:pos="0"/>
              </w:tabs>
              <w:adjustRightInd w:val="0"/>
              <w:snapToGrid w:val="0"/>
              <w:rPr>
                <w:rFonts w:ascii="宋体" w:hAnsi="宋体" w:cs="宋体"/>
                <w:color w:val="auto"/>
                <w:sz w:val="24"/>
                <w:highlight w:val="none"/>
              </w:rPr>
            </w:pPr>
            <w:r>
              <w:rPr>
                <w:rFonts w:hint="eastAsia" w:ascii="宋体" w:hAnsi="宋体" w:cs="宋体"/>
                <w:color w:val="auto"/>
                <w:kern w:val="0"/>
                <w:sz w:val="24"/>
                <w:highlight w:val="none"/>
              </w:rPr>
              <w:t>2、服务期限内，中标人投标报价不因市场因素和政策因素变动而调整。</w:t>
            </w:r>
          </w:p>
        </w:tc>
      </w:tr>
    </w:tbl>
    <w:p w14:paraId="5F6F56DE">
      <w:pPr>
        <w:pStyle w:val="26"/>
        <w:shd w:val="clear"/>
        <w:ind w:firstLine="560"/>
        <w:rPr>
          <w:color w:val="auto"/>
          <w:highlight w:val="none"/>
        </w:rPr>
      </w:pPr>
    </w:p>
    <w:p w14:paraId="56C8EBFF">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24"/>
          <w:highlight w:val="none"/>
        </w:rPr>
        <w:t xml:space="preserve">                                                                                </w:t>
      </w:r>
      <w:r>
        <w:rPr>
          <w:rFonts w:hint="eastAsia" w:cs="仿宋" w:asciiTheme="majorEastAsia" w:hAnsiTheme="majorEastAsia" w:eastAsiaTheme="majorEastAsia"/>
          <w:b/>
          <w:color w:val="auto"/>
          <w:sz w:val="36"/>
          <w:szCs w:val="36"/>
          <w:highlight w:val="none"/>
        </w:rPr>
        <w:t xml:space="preserve">第四部分   </w:t>
      </w:r>
      <w:bookmarkStart w:id="28" w:name="_Toc184314437"/>
      <w:bookmarkEnd w:id="28"/>
      <w:bookmarkStart w:id="29" w:name="_Toc184312117"/>
      <w:bookmarkEnd w:id="29"/>
      <w:bookmarkStart w:id="30" w:name="_Toc184310306"/>
      <w:bookmarkEnd w:id="30"/>
      <w:bookmarkStart w:id="31" w:name="_Toc184310276"/>
      <w:bookmarkEnd w:id="31"/>
      <w:bookmarkStart w:id="32" w:name="_Toc184314460"/>
      <w:bookmarkEnd w:id="32"/>
      <w:bookmarkStart w:id="33" w:name="_Toc184313282"/>
      <w:bookmarkEnd w:id="33"/>
      <w:bookmarkStart w:id="34" w:name="_Toc184312077"/>
      <w:bookmarkEnd w:id="34"/>
      <w:bookmarkStart w:id="35" w:name="_Toc184313300"/>
      <w:bookmarkEnd w:id="35"/>
      <w:bookmarkStart w:id="36" w:name="_Toc184312129"/>
      <w:bookmarkEnd w:id="36"/>
      <w:bookmarkStart w:id="37" w:name="_Toc184314411"/>
      <w:bookmarkEnd w:id="37"/>
      <w:bookmarkStart w:id="38" w:name="_Toc184308043"/>
      <w:bookmarkEnd w:id="38"/>
      <w:bookmarkStart w:id="39" w:name="_Toc184314445"/>
      <w:bookmarkEnd w:id="39"/>
      <w:bookmarkStart w:id="40" w:name="_Toc184314415"/>
      <w:bookmarkEnd w:id="40"/>
      <w:bookmarkStart w:id="41" w:name="_Toc184313274"/>
      <w:bookmarkEnd w:id="41"/>
      <w:bookmarkStart w:id="42" w:name="_Toc184313244"/>
      <w:bookmarkEnd w:id="42"/>
      <w:bookmarkStart w:id="43" w:name="_Toc184308040"/>
      <w:bookmarkEnd w:id="43"/>
      <w:bookmarkStart w:id="44" w:name="_Toc184312089"/>
      <w:bookmarkEnd w:id="44"/>
      <w:bookmarkStart w:id="45" w:name="_Toc184313298"/>
      <w:bookmarkEnd w:id="45"/>
      <w:bookmarkStart w:id="46" w:name="_Toc184310279"/>
      <w:bookmarkEnd w:id="46"/>
      <w:bookmarkStart w:id="47" w:name="_Toc184313296"/>
      <w:bookmarkEnd w:id="47"/>
      <w:bookmarkStart w:id="48" w:name="_Toc184310305"/>
      <w:bookmarkEnd w:id="48"/>
      <w:bookmarkStart w:id="49" w:name="_Toc184310307"/>
      <w:bookmarkEnd w:id="49"/>
      <w:bookmarkStart w:id="50" w:name="_Toc184310291"/>
      <w:bookmarkEnd w:id="50"/>
      <w:bookmarkStart w:id="51" w:name="_Toc184312067"/>
      <w:bookmarkEnd w:id="51"/>
      <w:bookmarkStart w:id="52" w:name="_Toc184314440"/>
      <w:bookmarkEnd w:id="52"/>
      <w:bookmarkStart w:id="53" w:name="_Toc184308100"/>
      <w:bookmarkEnd w:id="53"/>
      <w:bookmarkStart w:id="54" w:name="_Toc184310335"/>
      <w:bookmarkEnd w:id="54"/>
      <w:bookmarkStart w:id="55" w:name="_Toc184314463"/>
      <w:bookmarkEnd w:id="55"/>
      <w:bookmarkStart w:id="56" w:name="_Toc184308102"/>
      <w:bookmarkEnd w:id="56"/>
      <w:bookmarkStart w:id="57" w:name="_Toc184313292"/>
      <w:bookmarkEnd w:id="57"/>
      <w:bookmarkStart w:id="58" w:name="_Toc184310281"/>
      <w:bookmarkEnd w:id="58"/>
      <w:bookmarkStart w:id="59" w:name="_Toc184312107"/>
      <w:bookmarkEnd w:id="59"/>
      <w:bookmarkStart w:id="60" w:name="_Toc184312134"/>
      <w:bookmarkEnd w:id="60"/>
      <w:bookmarkStart w:id="61" w:name="_Toc184308071"/>
      <w:bookmarkEnd w:id="61"/>
      <w:bookmarkStart w:id="62" w:name="_Toc184308093"/>
      <w:bookmarkEnd w:id="62"/>
      <w:bookmarkStart w:id="63" w:name="_Toc184308082"/>
      <w:bookmarkEnd w:id="63"/>
      <w:bookmarkStart w:id="64" w:name="_Toc184310320"/>
      <w:bookmarkEnd w:id="64"/>
      <w:bookmarkStart w:id="65" w:name="_Toc184310321"/>
      <w:bookmarkEnd w:id="65"/>
      <w:bookmarkStart w:id="66" w:name="_Toc184308090"/>
      <w:bookmarkEnd w:id="66"/>
      <w:bookmarkStart w:id="67" w:name="_Toc184310313"/>
      <w:bookmarkEnd w:id="67"/>
      <w:bookmarkStart w:id="68" w:name="_Toc184312116"/>
      <w:bookmarkEnd w:id="68"/>
      <w:bookmarkStart w:id="69" w:name="_Toc184314417"/>
      <w:bookmarkEnd w:id="69"/>
      <w:bookmarkStart w:id="70" w:name="_Toc184312069"/>
      <w:bookmarkEnd w:id="70"/>
      <w:bookmarkStart w:id="71" w:name="_Toc184313297"/>
      <w:bookmarkEnd w:id="71"/>
      <w:bookmarkStart w:id="72" w:name="_Toc184312096"/>
      <w:bookmarkEnd w:id="72"/>
      <w:bookmarkStart w:id="73" w:name="_Toc184310319"/>
      <w:bookmarkEnd w:id="73"/>
      <w:bookmarkStart w:id="74" w:name="_Toc184308060"/>
      <w:bookmarkEnd w:id="74"/>
      <w:bookmarkStart w:id="75" w:name="_Toc184314472"/>
      <w:bookmarkEnd w:id="75"/>
      <w:bookmarkStart w:id="76" w:name="_Toc184308081"/>
      <w:bookmarkEnd w:id="76"/>
      <w:bookmarkStart w:id="77" w:name="_Toc184314446"/>
      <w:bookmarkEnd w:id="77"/>
      <w:bookmarkStart w:id="78" w:name="_Toc184313276"/>
      <w:bookmarkEnd w:id="78"/>
      <w:bookmarkStart w:id="79" w:name="_Toc184314462"/>
      <w:bookmarkEnd w:id="79"/>
      <w:bookmarkStart w:id="80" w:name="_Toc184310315"/>
      <w:bookmarkEnd w:id="80"/>
      <w:bookmarkStart w:id="81" w:name="_Toc184313263"/>
      <w:bookmarkEnd w:id="81"/>
      <w:bookmarkStart w:id="82" w:name="_Toc184308038"/>
      <w:bookmarkEnd w:id="82"/>
      <w:bookmarkStart w:id="83" w:name="_Toc184314442"/>
      <w:bookmarkEnd w:id="83"/>
      <w:bookmarkStart w:id="84" w:name="_Toc184314454"/>
      <w:bookmarkEnd w:id="84"/>
      <w:bookmarkStart w:id="85" w:name="_Toc184314433"/>
      <w:bookmarkEnd w:id="85"/>
      <w:bookmarkStart w:id="86" w:name="_Toc184313248"/>
      <w:bookmarkEnd w:id="86"/>
      <w:bookmarkStart w:id="87" w:name="_Toc184314452"/>
      <w:bookmarkEnd w:id="87"/>
      <w:bookmarkStart w:id="88" w:name="_Toc184313299"/>
      <w:bookmarkEnd w:id="88"/>
      <w:bookmarkStart w:id="89" w:name="_Toc184313261"/>
      <w:bookmarkEnd w:id="89"/>
      <w:bookmarkStart w:id="90" w:name="_Toc184308036"/>
      <w:bookmarkEnd w:id="90"/>
      <w:bookmarkStart w:id="91" w:name="_Toc184312073"/>
      <w:bookmarkEnd w:id="91"/>
      <w:bookmarkStart w:id="92" w:name="_Toc184310295"/>
      <w:bookmarkEnd w:id="92"/>
      <w:bookmarkStart w:id="93" w:name="_Toc184308063"/>
      <w:bookmarkEnd w:id="93"/>
      <w:bookmarkStart w:id="94" w:name="_Toc184312076"/>
      <w:bookmarkEnd w:id="94"/>
      <w:bookmarkStart w:id="95" w:name="_Toc184308067"/>
      <w:bookmarkEnd w:id="95"/>
      <w:bookmarkStart w:id="96" w:name="_Toc184313270"/>
      <w:bookmarkEnd w:id="96"/>
      <w:bookmarkStart w:id="97" w:name="_Toc184312081"/>
      <w:bookmarkEnd w:id="97"/>
      <w:bookmarkStart w:id="98" w:name="_Toc184312092"/>
      <w:bookmarkEnd w:id="98"/>
      <w:bookmarkStart w:id="99" w:name="_Toc184313271"/>
      <w:bookmarkEnd w:id="99"/>
      <w:bookmarkStart w:id="100" w:name="_Toc184313253"/>
      <w:bookmarkEnd w:id="100"/>
      <w:bookmarkStart w:id="101" w:name="_Toc184308089"/>
      <w:bookmarkEnd w:id="101"/>
      <w:bookmarkStart w:id="102" w:name="_Toc184310284"/>
      <w:bookmarkEnd w:id="102"/>
      <w:bookmarkStart w:id="103" w:name="_Toc184313254"/>
      <w:bookmarkEnd w:id="103"/>
      <w:bookmarkStart w:id="104" w:name="_Toc184314476"/>
      <w:bookmarkEnd w:id="104"/>
      <w:bookmarkStart w:id="105" w:name="_Toc184313268"/>
      <w:bookmarkEnd w:id="105"/>
      <w:bookmarkStart w:id="106" w:name="_Toc184310333"/>
      <w:bookmarkEnd w:id="106"/>
      <w:bookmarkStart w:id="107" w:name="_Toc184310311"/>
      <w:bookmarkEnd w:id="107"/>
      <w:bookmarkStart w:id="108" w:name="_Toc184312068"/>
      <w:bookmarkEnd w:id="108"/>
      <w:bookmarkStart w:id="109" w:name="_Toc184308105"/>
      <w:bookmarkEnd w:id="109"/>
      <w:bookmarkStart w:id="110" w:name="_Toc184312113"/>
      <w:bookmarkEnd w:id="110"/>
      <w:bookmarkStart w:id="111" w:name="_Toc184313264"/>
      <w:bookmarkEnd w:id="111"/>
      <w:bookmarkStart w:id="112" w:name="_Toc184310317"/>
      <w:bookmarkEnd w:id="112"/>
      <w:bookmarkStart w:id="113" w:name="_Toc184308056"/>
      <w:bookmarkEnd w:id="113"/>
      <w:bookmarkStart w:id="114" w:name="_Toc184314424"/>
      <w:bookmarkEnd w:id="114"/>
      <w:bookmarkStart w:id="115" w:name="_Toc184313241"/>
      <w:bookmarkEnd w:id="115"/>
      <w:bookmarkStart w:id="116" w:name="_Toc184312135"/>
      <w:bookmarkEnd w:id="116"/>
      <w:bookmarkStart w:id="117" w:name="_Toc184312088"/>
      <w:bookmarkEnd w:id="117"/>
      <w:bookmarkStart w:id="118" w:name="_Toc184308073"/>
      <w:bookmarkEnd w:id="118"/>
      <w:bookmarkStart w:id="119" w:name="_Toc184313284"/>
      <w:bookmarkEnd w:id="119"/>
      <w:bookmarkStart w:id="120" w:name="_Toc184308078"/>
      <w:bookmarkEnd w:id="120"/>
      <w:bookmarkStart w:id="121" w:name="_Toc184314456"/>
      <w:bookmarkEnd w:id="121"/>
      <w:bookmarkStart w:id="122" w:name="_Toc184313283"/>
      <w:bookmarkEnd w:id="122"/>
      <w:bookmarkStart w:id="123" w:name="_Toc184314477"/>
      <w:bookmarkEnd w:id="123"/>
      <w:bookmarkStart w:id="124" w:name="_Toc184308108"/>
      <w:bookmarkEnd w:id="124"/>
      <w:bookmarkStart w:id="125" w:name="_Toc184313256"/>
      <w:bookmarkEnd w:id="125"/>
      <w:bookmarkStart w:id="126" w:name="_Toc184310308"/>
      <w:bookmarkEnd w:id="126"/>
      <w:bookmarkStart w:id="127" w:name="_Toc184314435"/>
      <w:bookmarkEnd w:id="127"/>
      <w:bookmarkStart w:id="128" w:name="_Toc184312075"/>
      <w:bookmarkEnd w:id="128"/>
      <w:bookmarkStart w:id="129" w:name="_Toc184308072"/>
      <w:bookmarkEnd w:id="129"/>
      <w:bookmarkStart w:id="130" w:name="_Toc184312097"/>
      <w:bookmarkEnd w:id="130"/>
      <w:bookmarkStart w:id="131" w:name="_Toc184310343"/>
      <w:bookmarkEnd w:id="131"/>
      <w:bookmarkStart w:id="132" w:name="_Toc184312128"/>
      <w:bookmarkEnd w:id="132"/>
      <w:bookmarkStart w:id="133" w:name="_Toc184310329"/>
      <w:bookmarkEnd w:id="133"/>
      <w:bookmarkStart w:id="134" w:name="_Toc184308087"/>
      <w:bookmarkEnd w:id="134"/>
      <w:bookmarkStart w:id="135" w:name="_Toc184310297"/>
      <w:bookmarkEnd w:id="135"/>
      <w:bookmarkStart w:id="136" w:name="_Toc184310334"/>
      <w:bookmarkEnd w:id="136"/>
      <w:bookmarkStart w:id="137" w:name="_Toc184314474"/>
      <w:bookmarkEnd w:id="137"/>
      <w:bookmarkStart w:id="138" w:name="_Toc184314465"/>
      <w:bookmarkEnd w:id="138"/>
      <w:bookmarkStart w:id="139" w:name="_Toc184310282"/>
      <w:bookmarkEnd w:id="139"/>
      <w:bookmarkStart w:id="140" w:name="_Toc184310341"/>
      <w:bookmarkEnd w:id="140"/>
      <w:bookmarkStart w:id="141" w:name="_Toc184308083"/>
      <w:bookmarkEnd w:id="141"/>
      <w:bookmarkStart w:id="142" w:name="_Toc184308045"/>
      <w:bookmarkEnd w:id="142"/>
      <w:bookmarkStart w:id="143" w:name="_Toc184313239"/>
      <w:bookmarkEnd w:id="143"/>
      <w:bookmarkStart w:id="144" w:name="_Toc184314441"/>
      <w:bookmarkEnd w:id="144"/>
      <w:bookmarkStart w:id="145" w:name="_Toc184314471"/>
      <w:bookmarkEnd w:id="145"/>
      <w:bookmarkStart w:id="146" w:name="_Toc184313265"/>
      <w:bookmarkEnd w:id="146"/>
      <w:bookmarkStart w:id="147" w:name="_Toc184310314"/>
      <w:bookmarkEnd w:id="147"/>
      <w:bookmarkStart w:id="148" w:name="_Toc184312127"/>
      <w:bookmarkEnd w:id="148"/>
      <w:bookmarkStart w:id="149" w:name="_Toc184314425"/>
      <w:bookmarkEnd w:id="149"/>
      <w:bookmarkStart w:id="150" w:name="_Toc184308050"/>
      <w:bookmarkEnd w:id="150"/>
      <w:bookmarkStart w:id="151" w:name="_Toc184310337"/>
      <w:bookmarkEnd w:id="151"/>
      <w:bookmarkStart w:id="152" w:name="_Toc184314464"/>
      <w:bookmarkEnd w:id="152"/>
      <w:bookmarkStart w:id="153" w:name="_Toc184308107"/>
      <w:bookmarkEnd w:id="153"/>
      <w:bookmarkStart w:id="154" w:name="_Toc184313262"/>
      <w:bookmarkEnd w:id="154"/>
      <w:bookmarkStart w:id="155" w:name="_Toc184314416"/>
      <w:bookmarkEnd w:id="155"/>
      <w:bookmarkStart w:id="156" w:name="_Toc184312109"/>
      <w:bookmarkEnd w:id="156"/>
      <w:bookmarkStart w:id="157" w:name="_Toc184313304"/>
      <w:bookmarkEnd w:id="157"/>
      <w:bookmarkStart w:id="158" w:name="_Toc184312126"/>
      <w:bookmarkEnd w:id="158"/>
      <w:bookmarkStart w:id="159" w:name="_Toc184308055"/>
      <w:bookmarkEnd w:id="159"/>
      <w:bookmarkStart w:id="160" w:name="_Toc184308074"/>
      <w:bookmarkEnd w:id="160"/>
      <w:bookmarkStart w:id="161" w:name="_Toc184313279"/>
      <w:bookmarkEnd w:id="161"/>
      <w:bookmarkStart w:id="162" w:name="_Toc184308066"/>
      <w:bookmarkEnd w:id="162"/>
      <w:bookmarkStart w:id="163" w:name="_Toc184313306"/>
      <w:bookmarkEnd w:id="163"/>
      <w:bookmarkStart w:id="164" w:name="_Toc184310286"/>
      <w:bookmarkEnd w:id="164"/>
      <w:bookmarkStart w:id="165" w:name="_Toc184313251"/>
      <w:bookmarkEnd w:id="165"/>
      <w:bookmarkStart w:id="166" w:name="_Toc184308041"/>
      <w:bookmarkEnd w:id="166"/>
      <w:bookmarkStart w:id="167" w:name="_Toc184312131"/>
      <w:bookmarkEnd w:id="167"/>
      <w:bookmarkStart w:id="168" w:name="_Toc184310318"/>
      <w:bookmarkEnd w:id="168"/>
      <w:bookmarkStart w:id="169" w:name="_Toc184313295"/>
      <w:bookmarkEnd w:id="169"/>
      <w:bookmarkStart w:id="170" w:name="_Toc184314410"/>
      <w:bookmarkEnd w:id="170"/>
      <w:bookmarkStart w:id="171" w:name="_Toc184314466"/>
      <w:bookmarkEnd w:id="171"/>
      <w:bookmarkStart w:id="172" w:name="_Toc184313289"/>
      <w:bookmarkEnd w:id="172"/>
      <w:bookmarkStart w:id="173" w:name="_Toc184310338"/>
      <w:bookmarkEnd w:id="173"/>
      <w:bookmarkStart w:id="174" w:name="_Toc184308062"/>
      <w:bookmarkEnd w:id="174"/>
      <w:bookmarkStart w:id="175" w:name="_Toc184313272"/>
      <w:bookmarkEnd w:id="175"/>
      <w:bookmarkStart w:id="176" w:name="_Toc184310336"/>
      <w:bookmarkEnd w:id="176"/>
      <w:bookmarkStart w:id="177" w:name="_Toc184314457"/>
      <w:bookmarkEnd w:id="177"/>
      <w:bookmarkStart w:id="178" w:name="_Toc184308054"/>
      <w:bookmarkEnd w:id="178"/>
      <w:bookmarkStart w:id="179" w:name="_Toc184314455"/>
      <w:bookmarkEnd w:id="179"/>
      <w:bookmarkStart w:id="180" w:name="_Toc184312139"/>
      <w:bookmarkEnd w:id="180"/>
      <w:bookmarkStart w:id="181" w:name="_Toc184313246"/>
      <w:bookmarkEnd w:id="181"/>
      <w:bookmarkStart w:id="182" w:name="_Toc184313291"/>
      <w:bookmarkEnd w:id="182"/>
      <w:bookmarkStart w:id="183" w:name="_Toc184312079"/>
      <w:bookmarkEnd w:id="183"/>
      <w:bookmarkStart w:id="184" w:name="_Toc184313247"/>
      <w:bookmarkEnd w:id="184"/>
      <w:bookmarkStart w:id="185" w:name="_Toc184313308"/>
      <w:bookmarkEnd w:id="185"/>
      <w:bookmarkStart w:id="186" w:name="_Toc184310283"/>
      <w:bookmarkEnd w:id="186"/>
      <w:bookmarkStart w:id="187" w:name="_Toc184313277"/>
      <w:bookmarkEnd w:id="187"/>
      <w:bookmarkStart w:id="188" w:name="_Toc184310289"/>
      <w:bookmarkEnd w:id="188"/>
      <w:bookmarkStart w:id="189" w:name="_Toc184312098"/>
      <w:bookmarkEnd w:id="189"/>
      <w:bookmarkStart w:id="190" w:name="_Toc184310340"/>
      <w:bookmarkEnd w:id="190"/>
      <w:bookmarkStart w:id="191" w:name="_Toc184314422"/>
      <w:bookmarkEnd w:id="191"/>
      <w:bookmarkStart w:id="192" w:name="_Toc184314429"/>
      <w:bookmarkEnd w:id="192"/>
      <w:bookmarkStart w:id="193" w:name="_Toc184314469"/>
      <w:bookmarkEnd w:id="193"/>
      <w:bookmarkStart w:id="194" w:name="_Toc184312133"/>
      <w:bookmarkEnd w:id="194"/>
      <w:bookmarkStart w:id="195" w:name="_Toc184308098"/>
      <w:bookmarkEnd w:id="195"/>
      <w:bookmarkStart w:id="196" w:name="_Toc184310280"/>
      <w:bookmarkEnd w:id="196"/>
      <w:bookmarkStart w:id="197" w:name="_Toc184312080"/>
      <w:bookmarkEnd w:id="197"/>
      <w:bookmarkStart w:id="198" w:name="_Toc184313281"/>
      <w:bookmarkEnd w:id="198"/>
      <w:bookmarkStart w:id="199" w:name="_Toc184314458"/>
      <w:bookmarkEnd w:id="199"/>
      <w:bookmarkStart w:id="200" w:name="_Toc184310339"/>
      <w:bookmarkEnd w:id="200"/>
      <w:bookmarkStart w:id="201" w:name="_Toc184308103"/>
      <w:bookmarkEnd w:id="201"/>
      <w:bookmarkStart w:id="202" w:name="_Toc184312104"/>
      <w:bookmarkEnd w:id="202"/>
      <w:bookmarkStart w:id="203" w:name="_Toc184308084"/>
      <w:bookmarkEnd w:id="203"/>
      <w:bookmarkStart w:id="204" w:name="_Toc184312114"/>
      <w:bookmarkEnd w:id="204"/>
      <w:bookmarkStart w:id="205" w:name="_Toc184313286"/>
      <w:bookmarkEnd w:id="205"/>
      <w:bookmarkStart w:id="206" w:name="_Toc184313303"/>
      <w:bookmarkEnd w:id="206"/>
      <w:bookmarkStart w:id="207" w:name="_Toc184312125"/>
      <w:bookmarkEnd w:id="207"/>
      <w:bookmarkStart w:id="208" w:name="_Toc184310293"/>
      <w:bookmarkEnd w:id="208"/>
      <w:bookmarkStart w:id="209" w:name="_Toc184308096"/>
      <w:bookmarkEnd w:id="209"/>
      <w:bookmarkStart w:id="210" w:name="_Toc184313257"/>
      <w:bookmarkEnd w:id="210"/>
      <w:bookmarkStart w:id="211" w:name="_Toc184312095"/>
      <w:bookmarkEnd w:id="211"/>
      <w:bookmarkStart w:id="212" w:name="_Toc184310294"/>
      <w:bookmarkEnd w:id="212"/>
      <w:bookmarkStart w:id="213" w:name="_Toc184312082"/>
      <w:bookmarkEnd w:id="213"/>
      <w:bookmarkStart w:id="214" w:name="_Toc184308091"/>
      <w:bookmarkEnd w:id="214"/>
      <w:bookmarkStart w:id="215" w:name="_Toc184312111"/>
      <w:bookmarkEnd w:id="215"/>
      <w:bookmarkStart w:id="216" w:name="_Toc184308088"/>
      <w:bookmarkEnd w:id="216"/>
      <w:bookmarkStart w:id="217" w:name="_Toc184312130"/>
      <w:bookmarkEnd w:id="217"/>
      <w:bookmarkStart w:id="218" w:name="_Toc184308092"/>
      <w:bookmarkEnd w:id="218"/>
      <w:bookmarkStart w:id="219" w:name="_Toc184312138"/>
      <w:bookmarkEnd w:id="219"/>
      <w:bookmarkStart w:id="220" w:name="_Toc184314426"/>
      <w:bookmarkEnd w:id="220"/>
      <w:bookmarkStart w:id="221" w:name="_Toc184314414"/>
      <w:bookmarkEnd w:id="221"/>
      <w:bookmarkStart w:id="222" w:name="_Toc184313293"/>
      <w:bookmarkEnd w:id="222"/>
      <w:bookmarkStart w:id="223" w:name="_Toc184313258"/>
      <w:bookmarkEnd w:id="223"/>
      <w:bookmarkStart w:id="224" w:name="_Toc184314450"/>
      <w:bookmarkEnd w:id="224"/>
      <w:bookmarkStart w:id="225" w:name="_Toc184314459"/>
      <w:bookmarkEnd w:id="225"/>
      <w:bookmarkStart w:id="226" w:name="_Toc184308095"/>
      <w:bookmarkEnd w:id="226"/>
      <w:bookmarkStart w:id="227" w:name="_Toc184312119"/>
      <w:bookmarkEnd w:id="227"/>
      <w:bookmarkStart w:id="228" w:name="_Toc184310323"/>
      <w:bookmarkEnd w:id="228"/>
      <w:bookmarkStart w:id="229" w:name="_Toc184310290"/>
      <w:bookmarkEnd w:id="229"/>
      <w:bookmarkStart w:id="230" w:name="_Toc184312085"/>
      <w:bookmarkEnd w:id="230"/>
      <w:bookmarkStart w:id="231" w:name="_Toc184312108"/>
      <w:bookmarkEnd w:id="231"/>
      <w:bookmarkStart w:id="232" w:name="_Toc184312121"/>
      <w:bookmarkEnd w:id="232"/>
      <w:bookmarkStart w:id="233" w:name="_Toc184308079"/>
      <w:bookmarkEnd w:id="233"/>
      <w:bookmarkStart w:id="234" w:name="_Toc184313269"/>
      <w:bookmarkEnd w:id="234"/>
      <w:bookmarkStart w:id="235" w:name="_Toc184314430"/>
      <w:bookmarkEnd w:id="235"/>
      <w:bookmarkStart w:id="236" w:name="_Toc184314447"/>
      <w:bookmarkEnd w:id="236"/>
      <w:bookmarkStart w:id="237" w:name="_Toc184314439"/>
      <w:bookmarkEnd w:id="237"/>
      <w:bookmarkStart w:id="238" w:name="_Toc184308051"/>
      <w:bookmarkEnd w:id="238"/>
      <w:bookmarkStart w:id="239" w:name="_Toc184308086"/>
      <w:bookmarkEnd w:id="239"/>
      <w:bookmarkStart w:id="240" w:name="_Toc184313302"/>
      <w:bookmarkEnd w:id="240"/>
      <w:bookmarkStart w:id="241" w:name="_Toc184310312"/>
      <w:bookmarkEnd w:id="241"/>
      <w:bookmarkStart w:id="242" w:name="_Toc184308047"/>
      <w:bookmarkEnd w:id="242"/>
      <w:bookmarkStart w:id="243" w:name="_Toc184308061"/>
      <w:bookmarkEnd w:id="243"/>
      <w:bookmarkStart w:id="244" w:name="_Toc184313288"/>
      <w:bookmarkEnd w:id="244"/>
      <w:bookmarkStart w:id="245" w:name="_Toc184314468"/>
      <w:bookmarkEnd w:id="245"/>
      <w:bookmarkStart w:id="246" w:name="_Toc184314479"/>
      <w:bookmarkEnd w:id="246"/>
      <w:bookmarkStart w:id="247" w:name="_Toc184310327"/>
      <w:bookmarkEnd w:id="247"/>
      <w:bookmarkStart w:id="248" w:name="_Toc184308064"/>
      <w:bookmarkEnd w:id="248"/>
      <w:bookmarkStart w:id="249" w:name="_Toc184310303"/>
      <w:bookmarkEnd w:id="249"/>
      <w:bookmarkStart w:id="250" w:name="_Toc184313259"/>
      <w:bookmarkEnd w:id="250"/>
      <w:bookmarkStart w:id="251" w:name="_Toc184310296"/>
      <w:bookmarkEnd w:id="251"/>
      <w:bookmarkStart w:id="252" w:name="_Toc184313238"/>
      <w:bookmarkEnd w:id="252"/>
      <w:bookmarkStart w:id="253" w:name="_Toc184308080"/>
      <w:bookmarkEnd w:id="253"/>
      <w:bookmarkStart w:id="254" w:name="_Toc184313242"/>
      <w:bookmarkEnd w:id="254"/>
      <w:bookmarkStart w:id="255" w:name="_Toc184314423"/>
      <w:bookmarkEnd w:id="255"/>
      <w:bookmarkStart w:id="256" w:name="_Toc184310292"/>
      <w:bookmarkEnd w:id="256"/>
      <w:bookmarkStart w:id="257" w:name="_Toc184310316"/>
      <w:bookmarkEnd w:id="257"/>
      <w:bookmarkStart w:id="258" w:name="_Toc184310277"/>
      <w:bookmarkEnd w:id="258"/>
      <w:bookmarkStart w:id="259" w:name="_Toc184314480"/>
      <w:bookmarkEnd w:id="259"/>
      <w:bookmarkStart w:id="260" w:name="_Toc184312105"/>
      <w:bookmarkEnd w:id="260"/>
      <w:bookmarkStart w:id="261" w:name="_Toc184313252"/>
      <w:bookmarkEnd w:id="261"/>
      <w:bookmarkStart w:id="262" w:name="_Toc184313266"/>
      <w:bookmarkEnd w:id="262"/>
      <w:bookmarkStart w:id="263" w:name="_Toc184312112"/>
      <w:bookmarkEnd w:id="263"/>
      <w:bookmarkStart w:id="264" w:name="_Toc184314444"/>
      <w:bookmarkEnd w:id="264"/>
      <w:bookmarkStart w:id="265" w:name="_Toc184312115"/>
      <w:bookmarkEnd w:id="265"/>
      <w:bookmarkStart w:id="266" w:name="_Toc184308053"/>
      <w:bookmarkEnd w:id="266"/>
      <w:bookmarkStart w:id="267" w:name="_Toc184308106"/>
      <w:bookmarkEnd w:id="267"/>
      <w:bookmarkStart w:id="268" w:name="_Toc184312071"/>
      <w:bookmarkEnd w:id="268"/>
      <w:bookmarkStart w:id="269" w:name="_Toc184314419"/>
      <w:bookmarkEnd w:id="269"/>
      <w:bookmarkStart w:id="270" w:name="_Toc184310298"/>
      <w:bookmarkEnd w:id="270"/>
      <w:bookmarkStart w:id="271" w:name="_Toc184310302"/>
      <w:bookmarkEnd w:id="271"/>
      <w:bookmarkStart w:id="272" w:name="_Toc184314418"/>
      <w:bookmarkEnd w:id="272"/>
      <w:bookmarkStart w:id="273" w:name="_Toc184310300"/>
      <w:bookmarkEnd w:id="273"/>
      <w:bookmarkStart w:id="274" w:name="_Toc184312084"/>
      <w:bookmarkEnd w:id="274"/>
      <w:bookmarkStart w:id="275" w:name="_Toc184310273"/>
      <w:bookmarkEnd w:id="275"/>
      <w:bookmarkStart w:id="276" w:name="_Toc184308065"/>
      <w:bookmarkEnd w:id="276"/>
      <w:bookmarkStart w:id="277" w:name="_Toc184310310"/>
      <w:bookmarkEnd w:id="277"/>
      <w:bookmarkStart w:id="278" w:name="_Toc184310272"/>
      <w:bookmarkEnd w:id="278"/>
      <w:bookmarkStart w:id="279" w:name="_Toc184312102"/>
      <w:bookmarkEnd w:id="279"/>
      <w:bookmarkStart w:id="280" w:name="_Toc184314475"/>
      <w:bookmarkEnd w:id="280"/>
      <w:bookmarkStart w:id="281" w:name="_Toc184314427"/>
      <w:bookmarkEnd w:id="281"/>
      <w:bookmarkStart w:id="282" w:name="_Toc184308069"/>
      <w:bookmarkEnd w:id="282"/>
      <w:bookmarkStart w:id="283" w:name="_Toc184310328"/>
      <w:bookmarkEnd w:id="283"/>
      <w:bookmarkStart w:id="284" w:name="_Toc184313307"/>
      <w:bookmarkEnd w:id="284"/>
      <w:bookmarkStart w:id="285" w:name="_Toc184314481"/>
      <w:bookmarkEnd w:id="285"/>
      <w:bookmarkStart w:id="286" w:name="_Toc184312103"/>
      <w:bookmarkEnd w:id="286"/>
      <w:bookmarkStart w:id="287" w:name="_Toc184308104"/>
      <w:bookmarkEnd w:id="287"/>
      <w:bookmarkStart w:id="288" w:name="_Toc184310324"/>
      <w:bookmarkEnd w:id="288"/>
      <w:bookmarkStart w:id="289" w:name="_Toc184312090"/>
      <w:bookmarkEnd w:id="289"/>
      <w:bookmarkStart w:id="290" w:name="_Toc184314478"/>
      <w:bookmarkEnd w:id="290"/>
      <w:bookmarkStart w:id="291" w:name="_Toc184308099"/>
      <w:bookmarkEnd w:id="291"/>
      <w:bookmarkStart w:id="292" w:name="_Toc184314467"/>
      <w:bookmarkEnd w:id="292"/>
      <w:bookmarkStart w:id="293" w:name="_Toc184312093"/>
      <w:bookmarkEnd w:id="293"/>
      <w:bookmarkStart w:id="294" w:name="_Toc184314421"/>
      <w:bookmarkEnd w:id="294"/>
      <w:bookmarkStart w:id="295" w:name="_Toc184308052"/>
      <w:bookmarkEnd w:id="295"/>
      <w:bookmarkStart w:id="296" w:name="_Toc184313250"/>
      <w:bookmarkEnd w:id="296"/>
      <w:bookmarkStart w:id="297" w:name="_Toc184310331"/>
      <w:bookmarkEnd w:id="297"/>
      <w:bookmarkStart w:id="298" w:name="_Toc184308059"/>
      <w:bookmarkEnd w:id="298"/>
      <w:bookmarkStart w:id="299" w:name="_Toc184314434"/>
      <w:bookmarkEnd w:id="299"/>
      <w:bookmarkStart w:id="300" w:name="_Toc184312122"/>
      <w:bookmarkEnd w:id="300"/>
      <w:bookmarkStart w:id="301" w:name="_Toc184310304"/>
      <w:bookmarkEnd w:id="301"/>
      <w:bookmarkStart w:id="302" w:name="_Toc184308068"/>
      <w:bookmarkEnd w:id="302"/>
      <w:bookmarkStart w:id="303" w:name="_Toc184312091"/>
      <w:bookmarkEnd w:id="303"/>
      <w:bookmarkStart w:id="304" w:name="_Toc184314428"/>
      <w:bookmarkEnd w:id="304"/>
      <w:bookmarkStart w:id="305" w:name="_Toc184312070"/>
      <w:bookmarkEnd w:id="305"/>
      <w:bookmarkStart w:id="306" w:name="_Toc184313240"/>
      <w:bookmarkEnd w:id="306"/>
      <w:bookmarkStart w:id="307" w:name="_Toc184308058"/>
      <w:bookmarkEnd w:id="307"/>
      <w:bookmarkStart w:id="308" w:name="_Toc184313243"/>
      <w:bookmarkEnd w:id="308"/>
      <w:bookmarkStart w:id="309" w:name="_Toc184310330"/>
      <w:bookmarkEnd w:id="309"/>
      <w:bookmarkStart w:id="310" w:name="_Toc184308075"/>
      <w:bookmarkEnd w:id="310"/>
      <w:bookmarkStart w:id="311" w:name="_Toc184313290"/>
      <w:bookmarkEnd w:id="311"/>
      <w:bookmarkStart w:id="312" w:name="_Toc184314470"/>
      <w:bookmarkEnd w:id="312"/>
      <w:bookmarkStart w:id="313" w:name="_Toc184310325"/>
      <w:bookmarkEnd w:id="313"/>
      <w:bookmarkStart w:id="314" w:name="_Toc184312123"/>
      <w:bookmarkEnd w:id="314"/>
      <w:bookmarkStart w:id="315" w:name="_Toc184312083"/>
      <w:bookmarkEnd w:id="315"/>
      <w:bookmarkStart w:id="316" w:name="_Toc184308076"/>
      <w:bookmarkEnd w:id="316"/>
      <w:bookmarkStart w:id="317" w:name="_Toc184314432"/>
      <w:bookmarkEnd w:id="317"/>
      <w:bookmarkStart w:id="318" w:name="_Toc184313287"/>
      <w:bookmarkEnd w:id="318"/>
      <w:bookmarkStart w:id="319" w:name="_Toc184312101"/>
      <w:bookmarkEnd w:id="319"/>
      <w:bookmarkStart w:id="320" w:name="_Toc184313245"/>
      <w:bookmarkEnd w:id="320"/>
      <w:bookmarkStart w:id="321" w:name="_Toc184312124"/>
      <w:bookmarkEnd w:id="321"/>
      <w:bookmarkStart w:id="322" w:name="_Toc184312110"/>
      <w:bookmarkEnd w:id="322"/>
      <w:bookmarkStart w:id="323" w:name="_Toc184310274"/>
      <w:bookmarkEnd w:id="323"/>
      <w:bookmarkStart w:id="324" w:name="_Toc184310278"/>
      <w:bookmarkEnd w:id="324"/>
      <w:bookmarkStart w:id="325" w:name="_Toc184312078"/>
      <w:bookmarkEnd w:id="325"/>
      <w:bookmarkStart w:id="326" w:name="_Toc184310288"/>
      <w:bookmarkEnd w:id="326"/>
      <w:bookmarkStart w:id="327" w:name="_Toc184308039"/>
      <w:bookmarkEnd w:id="327"/>
      <w:bookmarkStart w:id="328" w:name="_Toc184312099"/>
      <w:bookmarkEnd w:id="328"/>
      <w:bookmarkStart w:id="329" w:name="_Toc184308037"/>
      <w:bookmarkEnd w:id="329"/>
      <w:bookmarkStart w:id="330" w:name="_Toc184308077"/>
      <w:bookmarkEnd w:id="330"/>
      <w:bookmarkStart w:id="331" w:name="_Toc184314431"/>
      <w:bookmarkEnd w:id="331"/>
      <w:bookmarkStart w:id="332" w:name="_Toc184312137"/>
      <w:bookmarkEnd w:id="332"/>
      <w:bookmarkStart w:id="333" w:name="_Toc184313260"/>
      <w:bookmarkEnd w:id="333"/>
      <w:bookmarkStart w:id="334" w:name="_Toc184310287"/>
      <w:bookmarkEnd w:id="334"/>
      <w:bookmarkStart w:id="335" w:name="_Toc184314412"/>
      <w:bookmarkEnd w:id="335"/>
      <w:bookmarkStart w:id="336" w:name="_Toc184308097"/>
      <w:bookmarkEnd w:id="336"/>
      <w:bookmarkStart w:id="337" w:name="_Toc184313305"/>
      <w:bookmarkEnd w:id="337"/>
      <w:bookmarkStart w:id="338" w:name="_Toc184310309"/>
      <w:bookmarkEnd w:id="338"/>
      <w:bookmarkStart w:id="339" w:name="_Toc184310322"/>
      <w:bookmarkEnd w:id="339"/>
      <w:bookmarkStart w:id="340" w:name="_Toc184313278"/>
      <w:bookmarkEnd w:id="340"/>
      <w:bookmarkStart w:id="341" w:name="_Toc184310299"/>
      <w:bookmarkEnd w:id="341"/>
      <w:bookmarkStart w:id="342" w:name="_Toc184310332"/>
      <w:bookmarkEnd w:id="342"/>
      <w:bookmarkStart w:id="343" w:name="_Toc184313280"/>
      <w:bookmarkEnd w:id="343"/>
      <w:bookmarkStart w:id="344" w:name="_Toc184308046"/>
      <w:bookmarkEnd w:id="344"/>
      <w:bookmarkStart w:id="345" w:name="_Toc184314453"/>
      <w:bookmarkEnd w:id="345"/>
      <w:bookmarkStart w:id="346" w:name="_Toc184314438"/>
      <w:bookmarkEnd w:id="346"/>
      <w:bookmarkStart w:id="347" w:name="_Toc184310342"/>
      <w:bookmarkEnd w:id="347"/>
      <w:bookmarkStart w:id="348" w:name="_Toc184312074"/>
      <w:bookmarkEnd w:id="348"/>
      <w:bookmarkStart w:id="349" w:name="_Toc184314461"/>
      <w:bookmarkEnd w:id="349"/>
      <w:bookmarkStart w:id="350" w:name="_Toc184312118"/>
      <w:bookmarkEnd w:id="350"/>
      <w:bookmarkStart w:id="351" w:name="_Toc184312106"/>
      <w:bookmarkEnd w:id="351"/>
      <w:bookmarkStart w:id="352" w:name="_Toc184312100"/>
      <w:bookmarkEnd w:id="352"/>
      <w:bookmarkStart w:id="353" w:name="_Toc184313249"/>
      <w:bookmarkEnd w:id="353"/>
      <w:bookmarkStart w:id="354" w:name="_Toc184314473"/>
      <w:bookmarkEnd w:id="354"/>
      <w:bookmarkStart w:id="355" w:name="_Toc184313267"/>
      <w:bookmarkEnd w:id="355"/>
      <w:bookmarkStart w:id="356" w:name="_Toc184313275"/>
      <w:bookmarkEnd w:id="356"/>
      <w:bookmarkStart w:id="357" w:name="_Toc184310301"/>
      <w:bookmarkEnd w:id="357"/>
      <w:bookmarkStart w:id="358" w:name="_Toc184313309"/>
      <w:bookmarkEnd w:id="358"/>
      <w:bookmarkStart w:id="359" w:name="_Toc184313310"/>
      <w:bookmarkEnd w:id="359"/>
      <w:bookmarkStart w:id="360" w:name="_Toc184312136"/>
      <w:bookmarkEnd w:id="360"/>
      <w:bookmarkStart w:id="361" w:name="_Toc184312086"/>
      <w:bookmarkEnd w:id="361"/>
      <w:bookmarkStart w:id="362" w:name="_Toc184314413"/>
      <w:bookmarkEnd w:id="362"/>
      <w:bookmarkStart w:id="363" w:name="_Toc184308044"/>
      <w:bookmarkEnd w:id="363"/>
      <w:bookmarkStart w:id="364" w:name="_Toc184308049"/>
      <w:bookmarkEnd w:id="364"/>
      <w:bookmarkStart w:id="365" w:name="_Toc184308048"/>
      <w:bookmarkEnd w:id="365"/>
      <w:bookmarkStart w:id="366" w:name="_Toc184313294"/>
      <w:bookmarkEnd w:id="366"/>
      <w:bookmarkStart w:id="367" w:name="_Toc184312094"/>
      <w:bookmarkEnd w:id="367"/>
      <w:bookmarkStart w:id="368" w:name="_Toc184313285"/>
      <w:bookmarkEnd w:id="368"/>
      <w:bookmarkStart w:id="369" w:name="_Toc184310285"/>
      <w:bookmarkEnd w:id="369"/>
      <w:bookmarkStart w:id="370" w:name="_Toc184308094"/>
      <w:bookmarkEnd w:id="370"/>
      <w:bookmarkStart w:id="371" w:name="_Toc184314443"/>
      <w:bookmarkEnd w:id="371"/>
      <w:bookmarkStart w:id="372" w:name="_Toc184313273"/>
      <w:bookmarkEnd w:id="372"/>
      <w:bookmarkStart w:id="373" w:name="_Toc184308042"/>
      <w:bookmarkEnd w:id="373"/>
      <w:bookmarkStart w:id="374" w:name="_Toc184310326"/>
      <w:bookmarkEnd w:id="374"/>
      <w:bookmarkStart w:id="375" w:name="_Toc184314420"/>
      <w:bookmarkEnd w:id="375"/>
      <w:bookmarkStart w:id="376" w:name="_Toc184308057"/>
      <w:bookmarkEnd w:id="376"/>
      <w:bookmarkStart w:id="377" w:name="_Toc184310344"/>
      <w:bookmarkEnd w:id="377"/>
      <w:bookmarkStart w:id="378" w:name="_Toc184312132"/>
      <w:bookmarkEnd w:id="378"/>
      <w:bookmarkStart w:id="379" w:name="_Toc184308101"/>
      <w:bookmarkEnd w:id="379"/>
      <w:bookmarkStart w:id="380" w:name="_Toc184314436"/>
      <w:bookmarkEnd w:id="380"/>
      <w:bookmarkStart w:id="381" w:name="_Toc184310275"/>
      <w:bookmarkEnd w:id="381"/>
      <w:bookmarkStart w:id="382" w:name="_Toc184314449"/>
      <w:bookmarkEnd w:id="382"/>
      <w:bookmarkStart w:id="383" w:name="_Toc184312120"/>
      <w:bookmarkEnd w:id="383"/>
      <w:bookmarkStart w:id="384" w:name="_Toc184308085"/>
      <w:bookmarkEnd w:id="384"/>
      <w:bookmarkStart w:id="385" w:name="_Toc184313255"/>
      <w:bookmarkEnd w:id="385"/>
      <w:bookmarkStart w:id="386" w:name="_Toc184314448"/>
      <w:bookmarkEnd w:id="386"/>
      <w:bookmarkStart w:id="387" w:name="_Toc184313301"/>
      <w:bookmarkEnd w:id="387"/>
      <w:bookmarkStart w:id="388" w:name="_Toc184314451"/>
      <w:bookmarkEnd w:id="388"/>
      <w:bookmarkStart w:id="389" w:name="_Toc184312087"/>
      <w:bookmarkEnd w:id="389"/>
      <w:bookmarkStart w:id="390" w:name="_Toc184312072"/>
      <w:bookmarkEnd w:id="390"/>
      <w:bookmarkStart w:id="391" w:name="_Toc184308070"/>
      <w:bookmarkEnd w:id="391"/>
      <w:bookmarkStart w:id="392" w:name="_Toc184314482"/>
      <w:bookmarkEnd w:id="392"/>
      <w:r>
        <w:rPr>
          <w:rFonts w:hint="eastAsia" w:cs="仿宋" w:asciiTheme="majorEastAsia" w:hAnsiTheme="majorEastAsia" w:eastAsiaTheme="majorEastAsia"/>
          <w:b/>
          <w:color w:val="auto"/>
          <w:sz w:val="36"/>
          <w:szCs w:val="36"/>
          <w:highlight w:val="none"/>
        </w:rPr>
        <w:t>评标办法</w:t>
      </w:r>
    </w:p>
    <w:p w14:paraId="30AD3E4B">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2"/>
          <w:szCs w:val="20"/>
          <w:highlight w:val="none"/>
        </w:rPr>
        <w:t>评标办法前附表</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2"/>
        <w:gridCol w:w="1741"/>
        <w:gridCol w:w="6627"/>
      </w:tblGrid>
      <w:tr w14:paraId="3272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000" w:type="pct"/>
            <w:gridSpan w:val="3"/>
            <w:tcBorders>
              <w:tl2br w:val="nil"/>
              <w:tr2bl w:val="nil"/>
            </w:tcBorders>
            <w:vAlign w:val="center"/>
          </w:tcPr>
          <w:p w14:paraId="18C7B69D">
            <w:pPr>
              <w:shd w:val="clear"/>
              <w:spacing w:line="420" w:lineRule="exact"/>
              <w:jc w:val="center"/>
              <w:rPr>
                <w:rFonts w:asciiTheme="minorEastAsia" w:hAnsiTheme="minorEastAsia" w:eastAsiaTheme="minorEastAsia" w:cstheme="minorEastAsia"/>
                <w:bCs/>
                <w:color w:val="auto"/>
                <w:kern w:val="1"/>
                <w:sz w:val="24"/>
                <w:highlight w:val="none"/>
              </w:rPr>
            </w:pPr>
            <w:r>
              <w:rPr>
                <w:rFonts w:hint="eastAsia" w:asciiTheme="minorEastAsia" w:hAnsiTheme="minorEastAsia" w:eastAsiaTheme="minorEastAsia" w:cstheme="minorEastAsia"/>
                <w:bCs/>
                <w:color w:val="auto"/>
                <w:sz w:val="24"/>
                <w:highlight w:val="none"/>
              </w:rPr>
              <w:t>评分标准</w:t>
            </w:r>
          </w:p>
        </w:tc>
      </w:tr>
      <w:tr w14:paraId="3F7A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63" w:type="pct"/>
            <w:vMerge w:val="restart"/>
            <w:tcBorders>
              <w:tl2br w:val="nil"/>
              <w:tr2bl w:val="nil"/>
            </w:tcBorders>
            <w:vAlign w:val="center"/>
          </w:tcPr>
          <w:p w14:paraId="170A959F">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商务技术分（80分）</w:t>
            </w:r>
          </w:p>
        </w:tc>
        <w:tc>
          <w:tcPr>
            <w:tcW w:w="923" w:type="pct"/>
            <w:tcBorders>
              <w:tl2br w:val="nil"/>
              <w:tr2bl w:val="nil"/>
            </w:tcBorders>
            <w:vAlign w:val="center"/>
          </w:tcPr>
          <w:p w14:paraId="0CB73A6E">
            <w:pPr>
              <w:widowControl/>
              <w:shd w:val="clear"/>
              <w:spacing w:line="420" w:lineRule="exact"/>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一、采购需求响应情况（10分）</w:t>
            </w:r>
          </w:p>
        </w:tc>
        <w:tc>
          <w:tcPr>
            <w:tcW w:w="3513" w:type="pct"/>
            <w:tcBorders>
              <w:tl2br w:val="nil"/>
              <w:tr2bl w:val="nil"/>
            </w:tcBorders>
            <w:vAlign w:val="center"/>
          </w:tcPr>
          <w:p w14:paraId="23CD7C3E">
            <w:pPr>
              <w:widowControl/>
              <w:shd w:val="clear"/>
              <w:spacing w:line="420" w:lineRule="exact"/>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根据供应商针对本采购文件“第三部分 采购需求”的响应情况进行评审：</w:t>
            </w:r>
            <w:r>
              <w:rPr>
                <w:rFonts w:hint="eastAsia" w:cs="宋体" w:asciiTheme="minorEastAsia" w:hAnsiTheme="minorEastAsia" w:eastAsiaTheme="minorEastAsia"/>
                <w:color w:val="auto"/>
                <w:sz w:val="24"/>
                <w:highlight w:val="none"/>
              </w:rPr>
              <w:t>完全符合招标要求的得10分；</w:t>
            </w:r>
            <w:r>
              <w:rPr>
                <w:rFonts w:hint="eastAsia" w:asciiTheme="majorEastAsia" w:hAnsiTheme="majorEastAsia" w:eastAsiaTheme="majorEastAsia" w:cstheme="majorEastAsia"/>
                <w:color w:val="auto"/>
                <w:kern w:val="0"/>
                <w:sz w:val="24"/>
                <w:highlight w:val="none"/>
              </w:rPr>
              <w:t>一般条款每负偏离一条扣1分</w:t>
            </w:r>
            <w:r>
              <w:rPr>
                <w:rFonts w:hint="eastAsia" w:ascii="宋体" w:hAnsi="宋体"/>
                <w:color w:val="auto"/>
                <w:sz w:val="24"/>
                <w:highlight w:val="none"/>
              </w:rPr>
              <w:t>；</w:t>
            </w:r>
            <w:r>
              <w:rPr>
                <w:rFonts w:hint="eastAsia" w:asciiTheme="minorEastAsia" w:hAnsiTheme="minorEastAsia" w:eastAsiaTheme="minorEastAsia" w:cstheme="minorEastAsia"/>
                <w:bCs/>
                <w:color w:val="auto"/>
                <w:kern w:val="0"/>
                <w:sz w:val="24"/>
                <w:highlight w:val="none"/>
              </w:rPr>
              <w:t>负偏离达10分及以上作无效投标处理</w:t>
            </w:r>
            <w:r>
              <w:rPr>
                <w:rFonts w:hint="eastAsia" w:cs="宋体" w:asciiTheme="minorEastAsia" w:hAnsiTheme="minorEastAsia" w:eastAsiaTheme="minorEastAsia"/>
                <w:color w:val="auto"/>
                <w:sz w:val="24"/>
                <w:highlight w:val="none"/>
              </w:rPr>
              <w:t>。投标文件中如要求提供相关证明文件复印件，未提供或提供不满足的视为负偏离。负偏离任一带“▲”条款的作无效标处理。</w:t>
            </w:r>
          </w:p>
        </w:tc>
      </w:tr>
      <w:tr w14:paraId="325B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63" w:type="pct"/>
            <w:vMerge w:val="continue"/>
            <w:tcBorders>
              <w:tl2br w:val="nil"/>
              <w:tr2bl w:val="nil"/>
            </w:tcBorders>
            <w:vAlign w:val="center"/>
          </w:tcPr>
          <w:p w14:paraId="70DF0D97">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71FB6DAA">
            <w:pPr>
              <w:widowControl/>
              <w:shd w:val="clear"/>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二、项目需求调研分析（4分）</w:t>
            </w:r>
          </w:p>
        </w:tc>
        <w:tc>
          <w:tcPr>
            <w:tcW w:w="3513" w:type="pct"/>
            <w:tcBorders>
              <w:tl2br w:val="nil"/>
              <w:tr2bl w:val="nil"/>
            </w:tcBorders>
            <w:vAlign w:val="center"/>
          </w:tcPr>
          <w:p w14:paraId="17625574">
            <w:pPr>
              <w:widowControl/>
              <w:shd w:val="clear"/>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投标人根据采购需求，结合现场踏勘及项目实际情况，对项目需求分析详细合理的得2分；对项目现场状况如地理位置、日常维护目标、灯具当前现状等情况具体了解全面的得2分；以上方案内容存在细微不足有待改进的每项得1分；未提供相关内容或提供内容无法满足采购需求的不得分。</w:t>
            </w:r>
          </w:p>
        </w:tc>
      </w:tr>
      <w:tr w14:paraId="6AAF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63" w:type="pct"/>
            <w:vMerge w:val="continue"/>
            <w:tcBorders>
              <w:tl2br w:val="nil"/>
              <w:tr2bl w:val="nil"/>
            </w:tcBorders>
            <w:vAlign w:val="center"/>
          </w:tcPr>
          <w:p w14:paraId="0CB8DE28">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3542FEA6">
            <w:pPr>
              <w:widowControl/>
              <w:shd w:val="clear"/>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三、管理方案（4分）</w:t>
            </w:r>
          </w:p>
        </w:tc>
        <w:tc>
          <w:tcPr>
            <w:tcW w:w="3513" w:type="pct"/>
            <w:tcBorders>
              <w:tl2br w:val="nil"/>
              <w:tr2bl w:val="nil"/>
            </w:tcBorders>
            <w:vAlign w:val="center"/>
          </w:tcPr>
          <w:p w14:paraId="6E734B1B">
            <w:pPr>
              <w:widowControl/>
              <w:shd w:val="clear"/>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日常管理方案的考核制度完善、责任落实到人、奖惩制度完善、日常人员交接风险控制管理措施到位；以上内容每符合一项得1分，内容有所欠缺或不合理的每项得0.5分，未提供或提供不满足采购需求的不得分，最多得4分。</w:t>
            </w:r>
          </w:p>
        </w:tc>
      </w:tr>
      <w:tr w14:paraId="2DF4E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563" w:type="pct"/>
            <w:vMerge w:val="continue"/>
            <w:tcBorders>
              <w:tl2br w:val="nil"/>
              <w:tr2bl w:val="nil"/>
            </w:tcBorders>
            <w:vAlign w:val="center"/>
          </w:tcPr>
          <w:p w14:paraId="605D51E3">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vMerge w:val="restart"/>
            <w:tcBorders>
              <w:tl2br w:val="nil"/>
              <w:tr2bl w:val="nil"/>
            </w:tcBorders>
            <w:vAlign w:val="center"/>
          </w:tcPr>
          <w:p w14:paraId="5BD9D981">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四、实施方案（18分）</w:t>
            </w:r>
          </w:p>
        </w:tc>
        <w:tc>
          <w:tcPr>
            <w:tcW w:w="3513" w:type="pct"/>
            <w:tcBorders>
              <w:tl2br w:val="nil"/>
              <w:tr2bl w:val="nil"/>
            </w:tcBorders>
            <w:vAlign w:val="center"/>
          </w:tcPr>
          <w:p w14:paraId="373A5AEE">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（1）投标人根据采购需求，结合现场踏勘及项目实际情况，提供针对本项目灯具的保洁方案并进行评议：</w:t>
            </w:r>
          </w:p>
          <w:p w14:paraId="47214D74">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日常保洁方案详细可行的得1.5分，计划安排合理完善的得1.5分，保洁措施可操作性强的得1.5分，重大活动或应急保洁能力强的得1.5分，以上内容有所欠缺或不合理的每项得0.5分，未提供或提供不满足采购需求的不得分，最多得6分。</w:t>
            </w:r>
          </w:p>
        </w:tc>
      </w:tr>
      <w:tr w14:paraId="761E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563" w:type="pct"/>
            <w:vMerge w:val="continue"/>
            <w:tcBorders>
              <w:tl2br w:val="nil"/>
              <w:tr2bl w:val="nil"/>
            </w:tcBorders>
            <w:vAlign w:val="center"/>
          </w:tcPr>
          <w:p w14:paraId="7F69A7E1">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vMerge w:val="continue"/>
            <w:tcBorders>
              <w:tl2br w:val="nil"/>
              <w:tr2bl w:val="nil"/>
            </w:tcBorders>
            <w:vAlign w:val="center"/>
          </w:tcPr>
          <w:p w14:paraId="09B988E7">
            <w:pPr>
              <w:shd w:val="clear"/>
              <w:tabs>
                <w:tab w:val="left" w:pos="0"/>
              </w:tabs>
              <w:adjustRightInd w:val="0"/>
              <w:snapToGrid w:val="0"/>
              <w:spacing w:line="420" w:lineRule="exact"/>
              <w:jc w:val="center"/>
              <w:rPr>
                <w:rFonts w:asciiTheme="minorEastAsia" w:hAnsiTheme="minorEastAsia" w:eastAsiaTheme="minorEastAsia" w:cstheme="minorEastAsia"/>
                <w:bCs/>
                <w:color w:val="auto"/>
                <w:kern w:val="0"/>
                <w:sz w:val="24"/>
                <w:highlight w:val="none"/>
              </w:rPr>
            </w:pPr>
          </w:p>
        </w:tc>
        <w:tc>
          <w:tcPr>
            <w:tcW w:w="3513" w:type="pct"/>
            <w:tcBorders>
              <w:tl2br w:val="nil"/>
              <w:tr2bl w:val="nil"/>
            </w:tcBorders>
            <w:vAlign w:val="center"/>
          </w:tcPr>
          <w:p w14:paraId="7E355AB3">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投标人根据采购需求，结合现场踏勘及项目实际情况，提供针对本项目灯具的维修方案并进行评议：维修制度完善合理的得1.5分，灯头更换方案明确详细、与原有路灯匹配度高的得1.5分，配件备件更换方案详细、配套性高的得1.5分，重大活动或应急维修能力强的得1.5分，以上内容有所欠缺或不合理的每项得0.5分，未提供或提供不满足采购需求的不得分，最多得6分。</w:t>
            </w:r>
          </w:p>
        </w:tc>
      </w:tr>
      <w:tr w14:paraId="54BA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0" w:hRule="atLeast"/>
        </w:trPr>
        <w:tc>
          <w:tcPr>
            <w:tcW w:w="563" w:type="pct"/>
            <w:vMerge w:val="continue"/>
            <w:tcBorders>
              <w:tl2br w:val="nil"/>
              <w:tr2bl w:val="nil"/>
            </w:tcBorders>
            <w:vAlign w:val="center"/>
          </w:tcPr>
          <w:p w14:paraId="16E74C64">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vMerge w:val="continue"/>
            <w:tcBorders>
              <w:tl2br w:val="nil"/>
              <w:tr2bl w:val="nil"/>
            </w:tcBorders>
            <w:vAlign w:val="center"/>
          </w:tcPr>
          <w:p w14:paraId="195F33E6">
            <w:pPr>
              <w:shd w:val="clear"/>
              <w:tabs>
                <w:tab w:val="left" w:pos="0"/>
              </w:tabs>
              <w:adjustRightInd w:val="0"/>
              <w:snapToGrid w:val="0"/>
              <w:spacing w:line="420" w:lineRule="exact"/>
              <w:jc w:val="center"/>
              <w:rPr>
                <w:rFonts w:asciiTheme="minorEastAsia" w:hAnsiTheme="minorEastAsia" w:eastAsiaTheme="minorEastAsia" w:cstheme="minorEastAsia"/>
                <w:bCs/>
                <w:color w:val="auto"/>
                <w:kern w:val="0"/>
                <w:sz w:val="24"/>
                <w:highlight w:val="none"/>
              </w:rPr>
            </w:pPr>
          </w:p>
        </w:tc>
        <w:tc>
          <w:tcPr>
            <w:tcW w:w="3513" w:type="pct"/>
            <w:tcBorders>
              <w:tl2br w:val="nil"/>
              <w:tr2bl w:val="nil"/>
            </w:tcBorders>
            <w:vAlign w:val="center"/>
          </w:tcPr>
          <w:p w14:paraId="2433BD11">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（3）投标人根据采购需求，结合现场踏勘及项目实际情况，提供针对本项目灯具的巡检方案并进行评议：</w:t>
            </w:r>
          </w:p>
          <w:p w14:paraId="68A40EDC">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巡检方案策划合理、可操作性强的得1.5分，巡检内容及范围明确的得1.5分，巡视时间细化、规划合理的得1.5分，巡视结果反馈流程明确，合理的得1.5分，以上内容有所欠缺或不合理的每项得0.5分，未提供或提供不满足采购需求的不得分，最多得6分。</w:t>
            </w:r>
          </w:p>
        </w:tc>
      </w:tr>
      <w:tr w14:paraId="7E08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05B35FAD">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4556828B">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五、重难点分析及解决方案（5分）</w:t>
            </w:r>
          </w:p>
        </w:tc>
        <w:tc>
          <w:tcPr>
            <w:tcW w:w="3513" w:type="pct"/>
            <w:tcBorders>
              <w:tl2br w:val="nil"/>
              <w:tr2bl w:val="nil"/>
            </w:tcBorders>
            <w:vAlign w:val="center"/>
          </w:tcPr>
          <w:p w14:paraId="5F1DEAD9">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投标人根据采购需求，结合现场踏勘及项目实际情况，提供针对本项目的重难点分析及解决方案并进行评议：</w:t>
            </w:r>
          </w:p>
          <w:p w14:paraId="37AB0AB4">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1、供应商提供的针对项目重点分析透彻、准确，难点分析透彻、准确的每符合一项得0.5分，最多得2分</w:t>
            </w:r>
          </w:p>
          <w:p w14:paraId="31E8AB05">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2、供应商提供的解决方案重点突出切合实际且可行的，方案内容齐全针对性强，有利于本项目实施且保障措施到位的，每符合一项得1分，内容有所欠缺的每项得0.5分，未提供的不得分，共3分。</w:t>
            </w:r>
          </w:p>
        </w:tc>
      </w:tr>
      <w:tr w14:paraId="69B0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31A6B769">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5B923BEE">
            <w:pPr>
              <w:shd w:val="clear"/>
              <w:tabs>
                <w:tab w:val="left" w:pos="0"/>
              </w:tabs>
              <w:adjustRightInd w:val="0"/>
              <w:snapToGrid w:val="0"/>
              <w:spacing w:line="420" w:lineRule="exact"/>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六、质量保障措施（4分）</w:t>
            </w:r>
          </w:p>
        </w:tc>
        <w:tc>
          <w:tcPr>
            <w:tcW w:w="3513" w:type="pct"/>
            <w:tcBorders>
              <w:tl2br w:val="nil"/>
              <w:tr2bl w:val="nil"/>
            </w:tcBorders>
            <w:vAlign w:val="center"/>
          </w:tcPr>
          <w:p w14:paraId="45BB9472">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根据供应商针对本项目提供的养护质量保障措施，包括但不限于保持亮灯率实施措施、达到设施完好率保障措施、建立项目部保障措施进行评议； </w:t>
            </w:r>
          </w:p>
          <w:p w14:paraId="7F5C90B7">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①保持亮灯率实施方案明确可行，保障措施有效、切合实际；②设施完好率实施方案明确可行，保障措施有效、切合实际；③项目部建立方案完善可行；④总体质量保障方案目标明确、组织框架清晰、职责分明；以上内容每符合一项得1分，内容有所欠缺或不合理的每项得0.5分，未提供或提供不满足采购需求的不得分，最多得4分。</w:t>
            </w:r>
          </w:p>
        </w:tc>
      </w:tr>
      <w:tr w14:paraId="242E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29975CAE">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109D7890">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七、安全、文明施工保障措施（4分）</w:t>
            </w:r>
          </w:p>
        </w:tc>
        <w:tc>
          <w:tcPr>
            <w:tcW w:w="3513" w:type="pct"/>
            <w:tcBorders>
              <w:tl2br w:val="nil"/>
              <w:tr2bl w:val="nil"/>
            </w:tcBorders>
            <w:vAlign w:val="center"/>
          </w:tcPr>
          <w:p w14:paraId="349F3530">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根据供应商提供的针对本项目的安全、文明施工保障措施进行评议： </w:t>
            </w:r>
          </w:p>
          <w:p w14:paraId="5AD19A6D">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①作业人员安全保障措施明确详细且合理；②安全生产责任分配制度详尽；③安全事故善后措施及赔偿方案合理完善可行；④安全文明作业培训教育方案的方案合理、适用、针对性强；</w:t>
            </w:r>
          </w:p>
          <w:p w14:paraId="58566B71">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以上内容每符合一项得1分，内容有所欠缺或不合理的每项得0.5分，未提供或提供不满足采购需求的不得分，最多得4分。</w:t>
            </w:r>
          </w:p>
        </w:tc>
      </w:tr>
      <w:tr w14:paraId="6D275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29EF4BE1">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445DF3F8">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八、应急保障（4分）</w:t>
            </w:r>
          </w:p>
        </w:tc>
        <w:tc>
          <w:tcPr>
            <w:tcW w:w="3513" w:type="pct"/>
            <w:tcBorders>
              <w:tl2br w:val="nil"/>
              <w:tr2bl w:val="nil"/>
            </w:tcBorders>
            <w:vAlign w:val="center"/>
          </w:tcPr>
          <w:p w14:paraId="42F897D5">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根据供应商针对本项目应急保障措施，包括但不限于突发事件人员增派方案、极端天气影响等进行评议：①应急工作组组织架构完整、职责分工明确，②应急措施有效、可行、切合实际，③应急人员增派方案详细、合理且可行，④整体应急预案详尽合理、应急保障力量充分；以上内容每符合一项得1分，内容有所欠缺或不合理的每项得0.5分，未提供或提供不满足采购需求的不得分，最多得4分。</w:t>
            </w:r>
          </w:p>
          <w:p w14:paraId="2C47C1F7">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olor w:val="auto"/>
                <w:sz w:val="24"/>
                <w:highlight w:val="none"/>
              </w:rPr>
              <w:t>注：投标文件中提供应急人员身份证明和2024年10月或11月投标人为其缴纳的社保证明材料。</w:t>
            </w:r>
          </w:p>
        </w:tc>
      </w:tr>
      <w:tr w14:paraId="3BF6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34A5ED97">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0C07FB4B">
            <w:pPr>
              <w:shd w:val="clear"/>
              <w:tabs>
                <w:tab w:val="left" w:pos="0"/>
              </w:tabs>
              <w:adjustRightInd w:val="0"/>
              <w:snapToGrid w:val="0"/>
              <w:spacing w:line="420" w:lineRule="exact"/>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九、偷盗行为防治及维修方案等（3分）</w:t>
            </w:r>
          </w:p>
        </w:tc>
        <w:tc>
          <w:tcPr>
            <w:tcW w:w="3513" w:type="pct"/>
            <w:tcBorders>
              <w:tl2br w:val="nil"/>
              <w:tr2bl w:val="nil"/>
            </w:tcBorders>
            <w:vAlign w:val="center"/>
          </w:tcPr>
          <w:p w14:paraId="1A52B875">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根据供应商针对本项目可能发生的偷盗行为的防治以及相关电力设施的维修方案等进行评议：①防治及维修方案完整合理，②措施有效、可行、切合实际，③偷盗预防方案详细可行；以上内容每符合一项得1分，内容有所欠缺或不合理的每项得0.5分，未提供或提供不满足采购需求的不得分，最多得3分。</w:t>
            </w:r>
          </w:p>
        </w:tc>
      </w:tr>
      <w:tr w14:paraId="7C053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0" w:hRule="atLeast"/>
        </w:trPr>
        <w:tc>
          <w:tcPr>
            <w:tcW w:w="563" w:type="pct"/>
            <w:vMerge w:val="continue"/>
            <w:tcBorders>
              <w:tl2br w:val="nil"/>
              <w:tr2bl w:val="nil"/>
            </w:tcBorders>
            <w:vAlign w:val="center"/>
          </w:tcPr>
          <w:p w14:paraId="043046EC">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vAlign w:val="center"/>
          </w:tcPr>
          <w:p w14:paraId="551CAE83">
            <w:pPr>
              <w:shd w:val="clear"/>
              <w:tabs>
                <w:tab w:val="left" w:pos="0"/>
              </w:tabs>
              <w:adjustRightInd w:val="0"/>
              <w:snapToGrid w:val="0"/>
              <w:spacing w:line="420" w:lineRule="exact"/>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十、人员配置（10分）</w:t>
            </w:r>
          </w:p>
        </w:tc>
        <w:tc>
          <w:tcPr>
            <w:tcW w:w="3513" w:type="pct"/>
            <w:tcBorders>
              <w:tl2br w:val="nil"/>
              <w:tr2bl w:val="nil"/>
            </w:tcBorders>
            <w:vAlign w:val="center"/>
          </w:tcPr>
          <w:p w14:paraId="224D975B">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1、拟派项目负责人</w:t>
            </w:r>
          </w:p>
          <w:p w14:paraId="7876139F">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①工作经验丰富，具有相关经验；②技术能力强、专业水平高的每符合一项得2分，有所欠缺的每项得1分，最多得4分。</w:t>
            </w:r>
          </w:p>
          <w:p w14:paraId="29043236">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2、拟派项目组成员（除项目负责人外）</w:t>
            </w:r>
          </w:p>
          <w:p w14:paraId="374A77F5">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①工作经验丰富，具有相关经验；②技术能力强；③配置合理完整的每符合一项得2分，有所欠缺的每项得1分，最多得6分。</w:t>
            </w:r>
          </w:p>
          <w:p w14:paraId="11232C0F">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注:①响应文件中提供拟投入本项目人员表（格式自拟）；</w:t>
            </w:r>
          </w:p>
          <w:p w14:paraId="2DD3C4DF">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②投标人拟配备人员须满足采购文件“第三部分  采购需求”要求，否则作无效标处理。</w:t>
            </w:r>
          </w:p>
        </w:tc>
      </w:tr>
      <w:tr w14:paraId="126C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63" w:type="pct"/>
            <w:vMerge w:val="continue"/>
            <w:tcBorders>
              <w:tl2br w:val="nil"/>
              <w:tr2bl w:val="nil"/>
            </w:tcBorders>
            <w:vAlign w:val="center"/>
          </w:tcPr>
          <w:p w14:paraId="7D36A3C0">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shd w:val="clear" w:color="auto" w:fill="auto"/>
            <w:vAlign w:val="center"/>
          </w:tcPr>
          <w:p w14:paraId="01F5BAE2">
            <w:pPr>
              <w:shd w:val="clear"/>
              <w:tabs>
                <w:tab w:val="left" w:pos="0"/>
              </w:tabs>
              <w:adjustRightInd w:val="0"/>
              <w:snapToGrid w:val="0"/>
              <w:spacing w:line="420" w:lineRule="exact"/>
              <w:jc w:val="center"/>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十一、车辆及工器具配置（6分）</w:t>
            </w:r>
          </w:p>
        </w:tc>
        <w:tc>
          <w:tcPr>
            <w:tcW w:w="3513" w:type="pct"/>
            <w:tcBorders>
              <w:tl2br w:val="nil"/>
              <w:tr2bl w:val="nil"/>
            </w:tcBorders>
            <w:shd w:val="clear" w:color="auto" w:fill="auto"/>
            <w:vAlign w:val="center"/>
          </w:tcPr>
          <w:p w14:paraId="1C33FC2B">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①根据投标人为本项目配备的登高作业车进行评议：登高作业车为投标人自有的，每具有一辆得1分，最高2分；登高车为投标人租赁的，每具有一辆得0.5分，最高1分。</w:t>
            </w:r>
          </w:p>
          <w:p w14:paraId="2A7E25BF">
            <w:pPr>
              <w:shd w:val="clear"/>
              <w:tabs>
                <w:tab w:val="left" w:pos="0"/>
              </w:tabs>
              <w:adjustRightInd w:val="0"/>
              <w:snapToGrid w:val="0"/>
              <w:spacing w:line="420" w:lineRule="exact"/>
              <w:jc w:val="left"/>
              <w:rPr>
                <w:rFonts w:ascii="宋体" w:hAnsi="宋体" w:cs="宋体"/>
                <w:color w:val="auto"/>
                <w:szCs w:val="21"/>
                <w:highlight w:val="none"/>
              </w:rPr>
            </w:pPr>
            <w:r>
              <w:rPr>
                <w:rFonts w:hint="eastAsia" w:asciiTheme="minorEastAsia" w:hAnsiTheme="minorEastAsia" w:eastAsiaTheme="minorEastAsia" w:cstheme="minorEastAsia"/>
                <w:bCs/>
                <w:color w:val="auto"/>
                <w:kern w:val="0"/>
                <w:sz w:val="24"/>
                <w:highlight w:val="none"/>
              </w:rPr>
              <w:t>注：如为自有的投标文件中提供车辆行驶证和车辆照片，车辆所有人与投标人必须保持一致，否则不得分；如为租赁的投标文件中提供车辆行驶证、车辆照片和车辆租赁协议；以上内容未提供或提供不全的对应车辆不得分。</w:t>
            </w:r>
          </w:p>
          <w:p w14:paraId="27E2D980">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②投标人为本项目配备有：万用表、照度计、绝缘摇表、高压验电器、电缆故障测试仪、绝缘电阻测试仪、大功率热风枪、写码器、多功能网线寻线仪器、无人机，每具有一项得0.2分，满分2分；投标文件中提供设备购置发票复印件，发票抬头与投标人必须保持一致，否则对应项不得分；未提供相关材料的对应项不得分。</w:t>
            </w:r>
          </w:p>
          <w:p w14:paraId="0A642B4D">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③根据投标人为本项目配备的其他相关工程车辆（如皮卡车、面包车等）、设备、工器具进行评议：以上相关车辆、设备、工器具配置齐全，功能性强，有利于项目实施的得2分，以上相关车辆、设备、工器具配置具有基本齐全，功能基本满足项目实施需要的得1分，以上相关车辆、设备、工器具配置不够齐全，缺乏功能性，难以满足项目实施要求的得0.5分，未提供的不得分；本项最高2分。</w:t>
            </w:r>
          </w:p>
          <w:p w14:paraId="37E3919A">
            <w:pPr>
              <w:shd w:val="clear"/>
              <w:tabs>
                <w:tab w:val="left" w:pos="0"/>
              </w:tabs>
              <w:adjustRightInd w:val="0"/>
              <w:snapToGrid w:val="0"/>
              <w:spacing w:line="420" w:lineRule="exact"/>
              <w:jc w:val="lef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注:投标文件中提供上述车辆、设备、工器具的证明材料复印件（如购置发票或租赁合同、产品照片、产地品牌及规格型号等）加盖供应商公章。</w:t>
            </w:r>
          </w:p>
        </w:tc>
      </w:tr>
      <w:tr w14:paraId="1CD6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3" w:type="pct"/>
            <w:vMerge w:val="continue"/>
            <w:tcBorders>
              <w:tl2br w:val="nil"/>
              <w:tr2bl w:val="nil"/>
            </w:tcBorders>
            <w:vAlign w:val="center"/>
          </w:tcPr>
          <w:p w14:paraId="1099EB78">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shd w:val="clear" w:color="auto" w:fill="auto"/>
            <w:vAlign w:val="center"/>
          </w:tcPr>
          <w:p w14:paraId="74D6DDAC">
            <w:pPr>
              <w:shd w:val="clear"/>
              <w:tabs>
                <w:tab w:val="left" w:pos="0"/>
              </w:tabs>
              <w:adjustRightInd w:val="0"/>
              <w:snapToGrid w:val="0"/>
              <w:spacing w:line="420" w:lineRule="exact"/>
              <w:jc w:val="center"/>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十二、服务响应时间（2分）</w:t>
            </w:r>
          </w:p>
        </w:tc>
        <w:tc>
          <w:tcPr>
            <w:tcW w:w="3513" w:type="pct"/>
            <w:tcBorders>
              <w:tl2br w:val="nil"/>
              <w:tr2bl w:val="nil"/>
            </w:tcBorders>
            <w:shd w:val="clear" w:color="auto" w:fill="auto"/>
            <w:vAlign w:val="center"/>
          </w:tcPr>
          <w:p w14:paraId="6A781F29">
            <w:pPr>
              <w:shd w:val="clear"/>
              <w:tabs>
                <w:tab w:val="left" w:pos="0"/>
              </w:tabs>
              <w:adjustRightInd w:val="0"/>
              <w:snapToGrid w:val="0"/>
              <w:spacing w:line="420" w:lineRule="exact"/>
              <w:jc w:val="lef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根据供应商提供的服务内容、响应时间、服务便捷性进行综合评议：服务内容完善、响应及时、服务便捷性好的得2分，服务内容完善、服务响应有一定的及时性和便捷性的得1分，其余不得分。投标文件内提供确保按时到达的承诺及措施等证明资料，包含但不仅限于供应商的办公场所证明或承诺等。</w:t>
            </w:r>
          </w:p>
        </w:tc>
      </w:tr>
      <w:tr w14:paraId="7B12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3" w:type="pct"/>
            <w:vMerge w:val="continue"/>
            <w:tcBorders>
              <w:tl2br w:val="nil"/>
              <w:tr2bl w:val="nil"/>
            </w:tcBorders>
            <w:vAlign w:val="center"/>
          </w:tcPr>
          <w:p w14:paraId="00B00724">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shd w:val="clear" w:color="auto" w:fill="auto"/>
            <w:vAlign w:val="center"/>
          </w:tcPr>
          <w:p w14:paraId="5048C0CE">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十三、平台运营与维护方案（4分）</w:t>
            </w:r>
          </w:p>
        </w:tc>
        <w:tc>
          <w:tcPr>
            <w:tcW w:w="3513" w:type="pct"/>
            <w:tcBorders>
              <w:tl2br w:val="nil"/>
              <w:tr2bl w:val="nil"/>
            </w:tcBorders>
            <w:shd w:val="clear" w:color="auto" w:fill="auto"/>
            <w:vAlign w:val="center"/>
          </w:tcPr>
          <w:p w14:paraId="5ED80CD8">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供应商针对本项目路灯、景观灯的集中控制平台的日常维护与管理方案进行评议：</w:t>
            </w:r>
          </w:p>
          <w:p w14:paraId="113B6439">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日常维护与管理方案内容详细完善的得1分；对平台情况掌握充分，经验充足的得1分；管理与维护计划合理可行的得1分；维护措施针对可操作性强，能够有效保障集中统一控制的得1分；以上内容有所欠缺或不合理的每项得0.5分；未提供或提供不满足采购需求的不得分；最多得4分。</w:t>
            </w:r>
          </w:p>
        </w:tc>
      </w:tr>
      <w:tr w14:paraId="343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3" w:type="pct"/>
            <w:vMerge w:val="continue"/>
            <w:tcBorders>
              <w:tl2br w:val="nil"/>
              <w:tr2bl w:val="nil"/>
            </w:tcBorders>
            <w:vAlign w:val="center"/>
          </w:tcPr>
          <w:p w14:paraId="36ADAD99">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shd w:val="clear" w:color="auto" w:fill="auto"/>
            <w:vAlign w:val="center"/>
          </w:tcPr>
          <w:p w14:paraId="7A7B580E">
            <w:pPr>
              <w:shd w:val="clear"/>
              <w:tabs>
                <w:tab w:val="left" w:pos="0"/>
              </w:tabs>
              <w:adjustRightInd w:val="0"/>
              <w:snapToGrid w:val="0"/>
              <w:spacing w:line="420" w:lineRule="exac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十四、业绩（1分）</w:t>
            </w:r>
          </w:p>
        </w:tc>
        <w:tc>
          <w:tcPr>
            <w:tcW w:w="3513" w:type="pct"/>
            <w:tcBorders>
              <w:tl2br w:val="nil"/>
              <w:tr2bl w:val="nil"/>
            </w:tcBorders>
            <w:shd w:val="clear" w:color="auto" w:fill="auto"/>
            <w:vAlign w:val="center"/>
          </w:tcPr>
          <w:p w14:paraId="3D7BDC65">
            <w:pPr>
              <w:shd w:val="clear"/>
              <w:tabs>
                <w:tab w:val="left" w:pos="0"/>
              </w:tabs>
              <w:adjustRightInd w:val="0"/>
              <w:snapToGrid w:val="0"/>
              <w:spacing w:line="420" w:lineRule="exact"/>
              <w:jc w:val="lef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自2021年1月1日以来成功承接类似项目（合同签订日期）业绩，每提供一个得0.5分，最多得1分。</w:t>
            </w:r>
          </w:p>
          <w:p w14:paraId="183685F3">
            <w:pPr>
              <w:shd w:val="clear"/>
              <w:tabs>
                <w:tab w:val="left" w:pos="0"/>
              </w:tabs>
              <w:adjustRightInd w:val="0"/>
              <w:snapToGrid w:val="0"/>
              <w:spacing w:line="420" w:lineRule="exact"/>
              <w:jc w:val="lef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kern w:val="0"/>
                <w:sz w:val="24"/>
                <w:highlight w:val="none"/>
              </w:rPr>
              <w:t>注:投标文件中提供合同复印件、网页公示加盖公章，否则不得分。</w:t>
            </w:r>
          </w:p>
        </w:tc>
      </w:tr>
      <w:tr w14:paraId="38A97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pct"/>
            <w:vMerge w:val="continue"/>
            <w:tcBorders>
              <w:tl2br w:val="nil"/>
              <w:tr2bl w:val="nil"/>
            </w:tcBorders>
            <w:vAlign w:val="center"/>
          </w:tcPr>
          <w:p w14:paraId="6CD2468B">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p>
        </w:tc>
        <w:tc>
          <w:tcPr>
            <w:tcW w:w="923" w:type="pct"/>
            <w:tcBorders>
              <w:tl2br w:val="nil"/>
              <w:tr2bl w:val="nil"/>
            </w:tcBorders>
            <w:shd w:val="clear" w:color="auto" w:fill="auto"/>
            <w:vAlign w:val="center"/>
          </w:tcPr>
          <w:p w14:paraId="19C5F770">
            <w:pPr>
              <w:shd w:val="clear"/>
              <w:tabs>
                <w:tab w:val="left" w:pos="0"/>
              </w:tabs>
              <w:adjustRightInd w:val="0"/>
              <w:snapToGrid w:val="0"/>
              <w:spacing w:line="420" w:lineRule="exac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snapToGrid w:val="0"/>
                <w:color w:val="auto"/>
                <w:kern w:val="0"/>
                <w:sz w:val="24"/>
                <w:highlight w:val="none"/>
              </w:rPr>
              <w:t>十五、</w:t>
            </w:r>
            <w:r>
              <w:rPr>
                <w:rFonts w:hint="eastAsia" w:asciiTheme="minorEastAsia" w:hAnsiTheme="minorEastAsia" w:eastAsiaTheme="minorEastAsia"/>
                <w:color w:val="auto"/>
                <w:sz w:val="24"/>
                <w:highlight w:val="none"/>
              </w:rPr>
              <w:t>政府采购政策（1分)</w:t>
            </w:r>
          </w:p>
        </w:tc>
        <w:tc>
          <w:tcPr>
            <w:tcW w:w="3513" w:type="pct"/>
            <w:tcBorders>
              <w:tl2br w:val="nil"/>
              <w:tr2bl w:val="nil"/>
            </w:tcBorders>
            <w:shd w:val="clear" w:color="auto" w:fill="auto"/>
            <w:vAlign w:val="center"/>
          </w:tcPr>
          <w:p w14:paraId="157861A9">
            <w:pPr>
              <w:shd w:val="clear"/>
              <w:tabs>
                <w:tab w:val="left" w:pos="0"/>
              </w:tabs>
              <w:adjustRightInd w:val="0"/>
              <w:snapToGrid w:val="0"/>
              <w:spacing w:line="420" w:lineRule="exact"/>
              <w:jc w:val="left"/>
              <w:rPr>
                <w:rFonts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olor w:val="auto"/>
                <w:sz w:val="24"/>
                <w:highlight w:val="none"/>
              </w:rPr>
              <w:t>投标人是国家认定的少数民族地区企业的加1分。</w:t>
            </w:r>
          </w:p>
        </w:tc>
      </w:tr>
      <w:tr w14:paraId="23DD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563" w:type="pct"/>
            <w:tcBorders>
              <w:tl2br w:val="nil"/>
              <w:tr2bl w:val="nil"/>
            </w:tcBorders>
            <w:vAlign w:val="center"/>
          </w:tcPr>
          <w:p w14:paraId="6B2BBE3F">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w:t>
            </w:r>
          </w:p>
          <w:p w14:paraId="69F79F08">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分（20分）</w:t>
            </w:r>
          </w:p>
        </w:tc>
        <w:tc>
          <w:tcPr>
            <w:tcW w:w="4436" w:type="pct"/>
            <w:gridSpan w:val="2"/>
            <w:tcBorders>
              <w:tl2br w:val="nil"/>
              <w:tr2bl w:val="nil"/>
            </w:tcBorders>
            <w:vAlign w:val="center"/>
          </w:tcPr>
          <w:p w14:paraId="1369D6EF">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满足招标文件要求且参与评审价格最低为评标基准价，其价格分为满分，其余</w:t>
            </w:r>
            <w:r>
              <w:rPr>
                <w:rFonts w:hint="eastAsia" w:asciiTheme="minorEastAsia" w:hAnsiTheme="minorEastAsia" w:eastAsiaTheme="minorEastAsia" w:cstheme="minorEastAsia"/>
                <w:bCs/>
                <w:color w:val="auto"/>
                <w:kern w:val="0"/>
                <w:sz w:val="24"/>
                <w:highlight w:val="none"/>
                <w:lang w:val="zh-CN"/>
              </w:rPr>
              <w:t>供应商</w:t>
            </w:r>
            <w:r>
              <w:rPr>
                <w:rFonts w:hint="eastAsia" w:asciiTheme="minorEastAsia" w:hAnsiTheme="minorEastAsia" w:eastAsiaTheme="minorEastAsia" w:cstheme="minorEastAsia"/>
                <w:bCs/>
                <w:color w:val="auto"/>
                <w:kern w:val="0"/>
                <w:sz w:val="24"/>
                <w:highlight w:val="none"/>
              </w:rPr>
              <w:t>的价格分以下列公式计算：</w:t>
            </w:r>
          </w:p>
          <w:p w14:paraId="7B0B278C">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投标报价得分=（评标基准价/参与评审的价格）×价格权值×100</w:t>
            </w:r>
          </w:p>
          <w:p w14:paraId="19A32BB7">
            <w:pPr>
              <w:shd w:val="clear"/>
              <w:tabs>
                <w:tab w:val="left" w:pos="0"/>
              </w:tabs>
              <w:adjustRightInd w:val="0"/>
              <w:snapToGrid w:val="0"/>
              <w:spacing w:line="420" w:lineRule="exact"/>
              <w:rPr>
                <w:rFonts w:asciiTheme="minorEastAsia" w:hAnsiTheme="minorEastAsia" w:eastAsiaTheme="minorEastAsia" w:cstheme="minorEastAsia"/>
                <w:bCs/>
                <w:color w:val="auto"/>
                <w:kern w:val="0"/>
                <w:sz w:val="24"/>
                <w:highlight w:val="none"/>
              </w:rPr>
            </w:pPr>
            <w:r>
              <w:rPr>
                <w:rFonts w:hint="eastAsia" w:cs="宋体" w:asciiTheme="minorEastAsia" w:hAnsiTheme="minorEastAsia" w:eastAsiaTheme="minorEastAsia"/>
                <w:bCs/>
                <w:color w:val="auto"/>
                <w:sz w:val="24"/>
                <w:highlight w:val="none"/>
              </w:rPr>
              <w:t>参与评审价格=投标价格×（1-小微企业价格扣除优惠值10%）</w:t>
            </w:r>
          </w:p>
        </w:tc>
      </w:tr>
    </w:tbl>
    <w:p w14:paraId="47A6CC1A">
      <w:pPr>
        <w:widowControl/>
        <w:shd w:val="clear"/>
        <w:jc w:val="left"/>
        <w:rPr>
          <w:rFonts w:eastAsia="仿宋_GB2312"/>
          <w:color w:val="auto"/>
          <w:sz w:val="28"/>
          <w:highlight w:val="none"/>
        </w:rPr>
      </w:pPr>
    </w:p>
    <w:p w14:paraId="31E402A8">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95B9CE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1929B50E">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10E4416D">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316C895">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0A33067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1806D595">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78B2D01D">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45238E84">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7791B109">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1DB2C261">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115FDF13">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3891C8A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2736A9A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6EE484C1">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23BFC9C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4871374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31DA3154">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5C136B8C">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3.4.3投标报价超过招标文件中规定的预算金额或者最高限价或者</w:t>
      </w:r>
      <w:r>
        <w:rPr>
          <w:rFonts w:hint="eastAsia" w:cs="仿宋" w:asciiTheme="majorEastAsia" w:hAnsiTheme="majorEastAsia" w:eastAsiaTheme="majorEastAsia"/>
          <w:color w:val="auto"/>
          <w:kern w:val="0"/>
          <w:sz w:val="24"/>
          <w:highlight w:val="none"/>
          <w:lang w:val="zh-CN"/>
        </w:rPr>
        <w:t>单价最高限价</w:t>
      </w:r>
      <w:r>
        <w:rPr>
          <w:rFonts w:hint="eastAsia" w:cs="仿宋" w:asciiTheme="majorEastAsia" w:hAnsiTheme="majorEastAsia" w:eastAsiaTheme="majorEastAsia"/>
          <w:color w:val="auto"/>
          <w:kern w:val="0"/>
          <w:sz w:val="24"/>
          <w:highlight w:val="none"/>
        </w:rPr>
        <w:t>的，投标无效。</w:t>
      </w:r>
    </w:p>
    <w:p w14:paraId="7A0C173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022D70DC">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AD217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475CCCFD">
      <w:pPr>
        <w:pStyle w:val="42"/>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05ECC8A8">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62160DB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6D01703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7A18114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0090B69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303F62E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6F5327D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1C589CA7">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允许联合体的项目联合体参加未提供联合协议；</w:t>
      </w:r>
    </w:p>
    <w:p w14:paraId="08347A0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14:paraId="2E65EFD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14:paraId="419D512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14:paraId="3E414FE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14:paraId="0FAF961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14:paraId="1FBE4B2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14:paraId="65B6233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14:paraId="55D1DA0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14:paraId="4C4D66C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4.2.3.11报价文件以外的投标文件中出现本项目投标报价或单价的。</w:t>
      </w:r>
    </w:p>
    <w:p w14:paraId="16E235B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5254CAD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2B0F7CD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60955D3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 xml:space="preserve"> 10 </w:t>
      </w:r>
      <w:r>
        <w:rPr>
          <w:rFonts w:hint="eastAsia" w:cs="仿宋" w:asciiTheme="majorEastAsia" w:hAnsiTheme="majorEastAsia" w:eastAsiaTheme="majorEastAsia"/>
          <w:color w:val="auto"/>
          <w:kern w:val="0"/>
          <w:sz w:val="24"/>
          <w:highlight w:val="none"/>
        </w:rPr>
        <w:t>分（含）以上的；</w:t>
      </w:r>
    </w:p>
    <w:p w14:paraId="18B4F77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15557EF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52FDAB1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3D3324A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23A8E5E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w:t>
      </w:r>
      <w:r>
        <w:rPr>
          <w:rFonts w:hint="eastAsia" w:ascii="宋体" w:hAnsi="宋体" w:cs="仿宋"/>
          <w:bCs/>
          <w:color w:val="auto"/>
          <w:kern w:val="0"/>
          <w:sz w:val="24"/>
          <w:highlight w:val="none"/>
        </w:rPr>
        <w:t>或者</w:t>
      </w:r>
      <w:r>
        <w:rPr>
          <w:rFonts w:hint="eastAsia" w:cs="仿宋" w:asciiTheme="majorEastAsia" w:hAnsiTheme="majorEastAsia" w:eastAsiaTheme="majorEastAsia"/>
          <w:bCs/>
          <w:color w:val="auto"/>
          <w:kern w:val="0"/>
          <w:sz w:val="24"/>
          <w:highlight w:val="none"/>
        </w:rPr>
        <w:t>超出</w:t>
      </w:r>
      <w:r>
        <w:rPr>
          <w:rFonts w:hint="eastAsia" w:ascii="宋体" w:hAnsi="宋体" w:cs="仿宋"/>
          <w:bCs/>
          <w:color w:val="auto"/>
          <w:kern w:val="0"/>
          <w:sz w:val="24"/>
          <w:highlight w:val="none"/>
          <w:lang w:val="zh-CN"/>
        </w:rPr>
        <w:t>单价最高限价</w:t>
      </w:r>
      <w:r>
        <w:rPr>
          <w:rFonts w:hint="eastAsia" w:cs="仿宋" w:asciiTheme="majorEastAsia" w:hAnsiTheme="majorEastAsia" w:eastAsiaTheme="majorEastAsia"/>
          <w:color w:val="auto"/>
          <w:kern w:val="0"/>
          <w:sz w:val="24"/>
          <w:highlight w:val="none"/>
        </w:rPr>
        <w:t>的；</w:t>
      </w:r>
    </w:p>
    <w:p w14:paraId="0AA77AA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01D36A0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1D895B1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6DB32BB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7FA6A18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509AA69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4423CE26">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2DD3180E">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41AA0342">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7A02A018">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5AB6FE4A">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000A167A">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2FE33569">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F84615">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0250DA03">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04EA76D6">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1A9BAFE1">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517940AC">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0DB72FD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3" w:name="第五部分"/>
      <w:bookmarkStart w:id="394" w:name="_Toc86217003"/>
    </w:p>
    <w:p w14:paraId="1E02281D">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633BD6AA">
      <w:pPr>
        <w:shd w:val="clear"/>
        <w:spacing w:line="360" w:lineRule="auto"/>
        <w:rPr>
          <w:rFonts w:cs="仿宋" w:asciiTheme="majorEastAsia" w:hAnsiTheme="majorEastAsia" w:eastAsiaTheme="majorEastAsia"/>
          <w:color w:val="auto"/>
          <w:sz w:val="24"/>
          <w:highlight w:val="none"/>
        </w:rPr>
      </w:pPr>
    </w:p>
    <w:p w14:paraId="536F6F7B">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14433017">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7D66545">
      <w:pPr>
        <w:pStyle w:val="43"/>
        <w:shd w:val="clear"/>
        <w:ind w:left="0" w:leftChars="0" w:firstLine="0" w:firstLineChars="0"/>
        <w:rPr>
          <w:rFonts w:ascii="仿宋" w:hAnsi="仿宋" w:eastAsia="仿宋" w:cs="仿宋"/>
          <w:color w:val="auto"/>
          <w:szCs w:val="24"/>
          <w:highlight w:val="none"/>
        </w:rPr>
      </w:pPr>
    </w:p>
    <w:p w14:paraId="743C4133">
      <w:pPr>
        <w:pStyle w:val="43"/>
        <w:shd w:val="clear"/>
        <w:ind w:firstLine="504"/>
        <w:rPr>
          <w:rFonts w:ascii="仿宋" w:hAnsi="仿宋" w:eastAsia="仿宋" w:cs="仿宋"/>
          <w:color w:val="auto"/>
          <w:szCs w:val="24"/>
          <w:highlight w:val="none"/>
        </w:rPr>
      </w:pPr>
    </w:p>
    <w:p w14:paraId="51DFBFBB">
      <w:pPr>
        <w:pStyle w:val="43"/>
        <w:shd w:val="clear"/>
        <w:ind w:left="0" w:leftChars="0" w:firstLine="0" w:firstLineChars="0"/>
        <w:rPr>
          <w:rFonts w:ascii="仿宋" w:hAnsi="仿宋" w:eastAsia="仿宋" w:cs="仿宋"/>
          <w:color w:val="auto"/>
          <w:szCs w:val="24"/>
          <w:highlight w:val="none"/>
        </w:rPr>
      </w:pPr>
    </w:p>
    <w:p w14:paraId="2A16AC1C">
      <w:pPr>
        <w:shd w:val="clear"/>
        <w:spacing w:before="120" w:line="360" w:lineRule="auto"/>
        <w:rPr>
          <w:rFonts w:ascii="仿宋" w:hAnsi="仿宋" w:eastAsia="仿宋" w:cs="仿宋"/>
          <w:color w:val="auto"/>
          <w:sz w:val="24"/>
          <w:highlight w:val="none"/>
        </w:rPr>
      </w:pPr>
    </w:p>
    <w:p w14:paraId="0B92C4A8">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CE48FBD">
      <w:pPr>
        <w:pStyle w:val="35"/>
        <w:shd w:val="clear"/>
        <w:spacing w:before="120"/>
        <w:rPr>
          <w:rFonts w:ascii="仿宋" w:hAnsi="仿宋" w:eastAsia="仿宋" w:cs="仿宋"/>
          <w:color w:val="auto"/>
          <w:szCs w:val="24"/>
          <w:highlight w:val="none"/>
        </w:rPr>
      </w:pPr>
    </w:p>
    <w:p w14:paraId="37E1C07A">
      <w:pPr>
        <w:pStyle w:val="35"/>
        <w:shd w:val="clear"/>
        <w:spacing w:before="120"/>
        <w:rPr>
          <w:rFonts w:ascii="仿宋" w:hAnsi="仿宋" w:eastAsia="仿宋" w:cs="仿宋"/>
          <w:color w:val="auto"/>
          <w:szCs w:val="24"/>
          <w:highlight w:val="none"/>
        </w:rPr>
      </w:pPr>
    </w:p>
    <w:p w14:paraId="5D8A562F">
      <w:pPr>
        <w:shd w:val="clear"/>
        <w:spacing w:line="360" w:lineRule="auto"/>
        <w:rPr>
          <w:rFonts w:ascii="仿宋" w:hAnsi="仿宋" w:eastAsia="仿宋" w:cs="仿宋"/>
          <w:color w:val="auto"/>
          <w:sz w:val="24"/>
          <w:highlight w:val="none"/>
        </w:rPr>
      </w:pPr>
    </w:p>
    <w:p w14:paraId="513EF5C2">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6AE9369">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3A2B3A1">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944712F">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6F2286">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18D64BE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240DE4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2E23E9D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34BC08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0A0FBCD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167EFD7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04F29F4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1ADD7D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07033B">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16A9A7E6">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1C2B219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5DF40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3F55A3F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0E08C49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2BBE56A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4900ADB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10B1540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705E7162">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B1ABA7">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75C4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服务成果：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777CA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4865F6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元/年（大写：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元人民币/年）。</w:t>
      </w:r>
    </w:p>
    <w:p w14:paraId="6A159E4D">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0"/>
        <w:tblpPr w:leftFromText="180" w:rightFromText="180" w:vertAnchor="text" w:tblpX="85" w:tblpY="1"/>
        <w:tblOverlap w:val="never"/>
        <w:tblW w:w="499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355"/>
        <w:gridCol w:w="2912"/>
        <w:gridCol w:w="1323"/>
        <w:gridCol w:w="1276"/>
        <w:gridCol w:w="2556"/>
      </w:tblGrid>
      <w:tr w14:paraId="0F329A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719" w:type="pct"/>
            <w:tcBorders>
              <w:top w:val="single" w:color="auto" w:sz="4" w:space="0"/>
              <w:bottom w:val="single" w:color="auto" w:sz="4" w:space="0"/>
            </w:tcBorders>
            <w:vAlign w:val="center"/>
          </w:tcPr>
          <w:p w14:paraId="07293656">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45" w:type="pct"/>
            <w:tcBorders>
              <w:top w:val="single" w:color="auto" w:sz="4" w:space="0"/>
              <w:bottom w:val="single" w:color="auto" w:sz="4" w:space="0"/>
            </w:tcBorders>
            <w:vAlign w:val="center"/>
          </w:tcPr>
          <w:p w14:paraId="2265F5E3">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分项名称</w:t>
            </w:r>
          </w:p>
        </w:tc>
        <w:tc>
          <w:tcPr>
            <w:tcW w:w="701" w:type="pct"/>
            <w:tcBorders>
              <w:top w:val="single" w:color="auto" w:sz="4" w:space="0"/>
              <w:bottom w:val="single" w:color="auto" w:sz="4" w:space="0"/>
              <w:right w:val="single" w:color="auto" w:sz="4" w:space="0"/>
            </w:tcBorders>
            <w:vAlign w:val="center"/>
          </w:tcPr>
          <w:p w14:paraId="0B17BD32">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77" w:type="pct"/>
            <w:tcBorders>
              <w:top w:val="single" w:color="auto" w:sz="4" w:space="0"/>
              <w:bottom w:val="single" w:color="auto" w:sz="4" w:space="0"/>
              <w:right w:val="single" w:color="auto" w:sz="4" w:space="0"/>
            </w:tcBorders>
            <w:vAlign w:val="center"/>
          </w:tcPr>
          <w:p w14:paraId="37A82032">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暂定数量</w:t>
            </w:r>
          </w:p>
        </w:tc>
        <w:tc>
          <w:tcPr>
            <w:tcW w:w="1355" w:type="pct"/>
            <w:tcBorders>
              <w:top w:val="single" w:color="auto" w:sz="4" w:space="0"/>
              <w:bottom w:val="single" w:color="auto" w:sz="4" w:space="0"/>
              <w:right w:val="single" w:color="auto" w:sz="4" w:space="0"/>
            </w:tcBorders>
            <w:vAlign w:val="center"/>
          </w:tcPr>
          <w:p w14:paraId="3E093A39">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中标综合单价（元/年）</w:t>
            </w:r>
          </w:p>
        </w:tc>
      </w:tr>
      <w:tr w14:paraId="72318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719" w:type="pct"/>
            <w:tcBorders>
              <w:top w:val="single" w:color="auto" w:sz="4" w:space="0"/>
              <w:bottom w:val="single" w:color="auto" w:sz="4" w:space="0"/>
            </w:tcBorders>
            <w:vAlign w:val="center"/>
          </w:tcPr>
          <w:p w14:paraId="013B6490">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45" w:type="pct"/>
            <w:tcBorders>
              <w:top w:val="single" w:color="auto" w:sz="4" w:space="0"/>
              <w:bottom w:val="single" w:color="auto" w:sz="4" w:space="0"/>
            </w:tcBorders>
            <w:vAlign w:val="center"/>
          </w:tcPr>
          <w:p w14:paraId="471DDD00">
            <w:pPr>
              <w:shd w:val="clear"/>
              <w:rPr>
                <w:rFonts w:ascii="仿宋" w:hAnsi="仿宋" w:eastAsia="仿宋" w:cs="仿宋"/>
                <w:color w:val="auto"/>
                <w:sz w:val="24"/>
                <w:highlight w:val="none"/>
              </w:rPr>
            </w:pPr>
            <w:r>
              <w:rPr>
                <w:rFonts w:hint="eastAsia" w:ascii="仿宋" w:hAnsi="仿宋" w:eastAsia="仿宋" w:cs="仿宋"/>
                <w:color w:val="auto"/>
                <w:sz w:val="24"/>
                <w:highlight w:val="none"/>
              </w:rPr>
              <w:t>滨海新区沿海中线以北三期道路路灯</w:t>
            </w:r>
          </w:p>
        </w:tc>
        <w:tc>
          <w:tcPr>
            <w:tcW w:w="701" w:type="pct"/>
            <w:tcBorders>
              <w:top w:val="single" w:color="auto" w:sz="4" w:space="0"/>
              <w:bottom w:val="single" w:color="auto" w:sz="4" w:space="0"/>
              <w:right w:val="single" w:color="auto" w:sz="4" w:space="0"/>
            </w:tcBorders>
            <w:vAlign w:val="center"/>
          </w:tcPr>
          <w:p w14:paraId="0866F2EC">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7" w:type="pct"/>
            <w:tcBorders>
              <w:top w:val="single" w:color="auto" w:sz="4" w:space="0"/>
              <w:bottom w:val="single" w:color="auto" w:sz="4" w:space="0"/>
              <w:right w:val="single" w:color="auto" w:sz="4" w:space="0"/>
            </w:tcBorders>
            <w:vAlign w:val="center"/>
          </w:tcPr>
          <w:p w14:paraId="2F334A25">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411</w:t>
            </w:r>
          </w:p>
        </w:tc>
        <w:tc>
          <w:tcPr>
            <w:tcW w:w="1355" w:type="pct"/>
            <w:tcBorders>
              <w:top w:val="single" w:color="auto" w:sz="4" w:space="0"/>
              <w:bottom w:val="single" w:color="auto" w:sz="4" w:space="0"/>
              <w:right w:val="single" w:color="auto" w:sz="4" w:space="0"/>
            </w:tcBorders>
            <w:vAlign w:val="center"/>
          </w:tcPr>
          <w:p w14:paraId="30201BA1">
            <w:pPr>
              <w:widowControl/>
              <w:shd w:val="clear"/>
              <w:jc w:val="center"/>
              <w:textAlignment w:val="center"/>
              <w:rPr>
                <w:rFonts w:ascii="仿宋" w:hAnsi="仿宋" w:eastAsia="仿宋" w:cs="仿宋"/>
                <w:b/>
                <w:bCs/>
                <w:color w:val="auto"/>
                <w:sz w:val="24"/>
                <w:highlight w:val="none"/>
              </w:rPr>
            </w:pPr>
          </w:p>
        </w:tc>
      </w:tr>
      <w:tr w14:paraId="41E671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9" w:hRule="atLeast"/>
        </w:trPr>
        <w:tc>
          <w:tcPr>
            <w:tcW w:w="719" w:type="pct"/>
            <w:tcBorders>
              <w:top w:val="single" w:color="auto" w:sz="4" w:space="0"/>
              <w:bottom w:val="single" w:color="auto" w:sz="4" w:space="0"/>
            </w:tcBorders>
            <w:vAlign w:val="center"/>
          </w:tcPr>
          <w:p w14:paraId="0EC79D81">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45" w:type="pct"/>
            <w:tcBorders>
              <w:top w:val="single" w:color="auto" w:sz="4" w:space="0"/>
              <w:bottom w:val="single" w:color="auto" w:sz="4" w:space="0"/>
            </w:tcBorders>
            <w:vAlign w:val="center"/>
          </w:tcPr>
          <w:p w14:paraId="74344DEA">
            <w:pPr>
              <w:shd w:val="clear"/>
              <w:rPr>
                <w:rFonts w:ascii="仿宋" w:hAnsi="仿宋" w:eastAsia="仿宋" w:cs="仿宋"/>
                <w:color w:val="auto"/>
                <w:sz w:val="24"/>
                <w:highlight w:val="none"/>
              </w:rPr>
            </w:pPr>
            <w:r>
              <w:rPr>
                <w:rFonts w:hint="eastAsia" w:ascii="仿宋" w:hAnsi="仿宋" w:eastAsia="仿宋" w:cs="仿宋"/>
                <w:color w:val="auto"/>
                <w:sz w:val="24"/>
                <w:highlight w:val="none"/>
              </w:rPr>
              <w:t>滨海新区金海路迎宾景观工程（景观部分内景观灯）</w:t>
            </w:r>
          </w:p>
        </w:tc>
        <w:tc>
          <w:tcPr>
            <w:tcW w:w="701" w:type="pct"/>
            <w:tcBorders>
              <w:top w:val="single" w:color="auto" w:sz="4" w:space="0"/>
              <w:bottom w:val="single" w:color="auto" w:sz="4" w:space="0"/>
              <w:right w:val="single" w:color="auto" w:sz="4" w:space="0"/>
            </w:tcBorders>
            <w:vAlign w:val="center"/>
          </w:tcPr>
          <w:p w14:paraId="67B12363">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7" w:type="pct"/>
            <w:tcBorders>
              <w:top w:val="single" w:color="auto" w:sz="4" w:space="0"/>
              <w:bottom w:val="single" w:color="auto" w:sz="4" w:space="0"/>
              <w:right w:val="single" w:color="auto" w:sz="4" w:space="0"/>
            </w:tcBorders>
            <w:vAlign w:val="center"/>
          </w:tcPr>
          <w:p w14:paraId="3D9638A8">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95</w:t>
            </w:r>
          </w:p>
        </w:tc>
        <w:tc>
          <w:tcPr>
            <w:tcW w:w="1355" w:type="pct"/>
            <w:tcBorders>
              <w:top w:val="single" w:color="auto" w:sz="4" w:space="0"/>
              <w:bottom w:val="single" w:color="auto" w:sz="4" w:space="0"/>
              <w:right w:val="single" w:color="auto" w:sz="4" w:space="0"/>
            </w:tcBorders>
            <w:vAlign w:val="center"/>
          </w:tcPr>
          <w:p w14:paraId="76302941">
            <w:pPr>
              <w:widowControl/>
              <w:shd w:val="clear"/>
              <w:jc w:val="center"/>
              <w:textAlignment w:val="center"/>
              <w:rPr>
                <w:rFonts w:ascii="仿宋" w:hAnsi="仿宋" w:eastAsia="仿宋" w:cs="仿宋"/>
                <w:b/>
                <w:bCs/>
                <w:color w:val="auto"/>
                <w:sz w:val="24"/>
                <w:highlight w:val="none"/>
              </w:rPr>
            </w:pPr>
          </w:p>
        </w:tc>
      </w:tr>
      <w:tr w14:paraId="49394F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19" w:type="pct"/>
            <w:tcBorders>
              <w:top w:val="single" w:color="auto" w:sz="4" w:space="0"/>
              <w:bottom w:val="single" w:color="auto" w:sz="4" w:space="0"/>
            </w:tcBorders>
            <w:vAlign w:val="center"/>
          </w:tcPr>
          <w:p w14:paraId="38CE697C">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45" w:type="pct"/>
            <w:tcBorders>
              <w:top w:val="single" w:color="auto" w:sz="4" w:space="0"/>
              <w:bottom w:val="single" w:color="auto" w:sz="4" w:space="0"/>
            </w:tcBorders>
            <w:vAlign w:val="center"/>
          </w:tcPr>
          <w:p w14:paraId="0C242369">
            <w:pPr>
              <w:shd w:val="clear"/>
              <w:rPr>
                <w:rFonts w:ascii="仿宋" w:hAnsi="仿宋" w:eastAsia="仿宋" w:cs="仿宋"/>
                <w:color w:val="auto"/>
                <w:sz w:val="24"/>
                <w:highlight w:val="none"/>
              </w:rPr>
            </w:pPr>
            <w:r>
              <w:rPr>
                <w:rFonts w:hint="eastAsia" w:ascii="仿宋" w:hAnsi="仿宋" w:eastAsia="仿宋" w:cs="仿宋"/>
                <w:color w:val="auto"/>
                <w:sz w:val="24"/>
                <w:highlight w:val="none"/>
              </w:rPr>
              <w:t>滨海新区沿海中线以南道路一期工程路灯</w:t>
            </w:r>
          </w:p>
        </w:tc>
        <w:tc>
          <w:tcPr>
            <w:tcW w:w="701" w:type="pct"/>
            <w:tcBorders>
              <w:top w:val="single" w:color="auto" w:sz="4" w:space="0"/>
              <w:bottom w:val="single" w:color="auto" w:sz="4" w:space="0"/>
              <w:right w:val="single" w:color="auto" w:sz="4" w:space="0"/>
            </w:tcBorders>
            <w:vAlign w:val="center"/>
          </w:tcPr>
          <w:p w14:paraId="66641BF2">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7" w:type="pct"/>
            <w:tcBorders>
              <w:top w:val="single" w:color="auto" w:sz="4" w:space="0"/>
              <w:bottom w:val="single" w:color="auto" w:sz="4" w:space="0"/>
              <w:right w:val="single" w:color="auto" w:sz="4" w:space="0"/>
            </w:tcBorders>
            <w:vAlign w:val="center"/>
          </w:tcPr>
          <w:p w14:paraId="31092E56">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326</w:t>
            </w:r>
          </w:p>
        </w:tc>
        <w:tc>
          <w:tcPr>
            <w:tcW w:w="1355" w:type="pct"/>
            <w:tcBorders>
              <w:top w:val="single" w:color="auto" w:sz="4" w:space="0"/>
              <w:bottom w:val="single" w:color="auto" w:sz="4" w:space="0"/>
              <w:right w:val="single" w:color="auto" w:sz="4" w:space="0"/>
            </w:tcBorders>
            <w:vAlign w:val="center"/>
          </w:tcPr>
          <w:p w14:paraId="5B9D64C6">
            <w:pPr>
              <w:widowControl/>
              <w:shd w:val="clear"/>
              <w:jc w:val="center"/>
              <w:textAlignment w:val="center"/>
              <w:rPr>
                <w:rFonts w:ascii="仿宋" w:hAnsi="仿宋" w:eastAsia="仿宋" w:cs="仿宋"/>
                <w:b/>
                <w:bCs/>
                <w:color w:val="auto"/>
                <w:sz w:val="24"/>
                <w:highlight w:val="none"/>
              </w:rPr>
            </w:pPr>
          </w:p>
        </w:tc>
      </w:tr>
      <w:tr w14:paraId="6E7576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719" w:type="pct"/>
            <w:tcBorders>
              <w:top w:val="single" w:color="auto" w:sz="4" w:space="0"/>
              <w:bottom w:val="single" w:color="auto" w:sz="4" w:space="0"/>
            </w:tcBorders>
            <w:vAlign w:val="center"/>
          </w:tcPr>
          <w:p w14:paraId="703D530D">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45" w:type="pct"/>
            <w:tcBorders>
              <w:top w:val="single" w:color="auto" w:sz="4" w:space="0"/>
              <w:bottom w:val="single" w:color="auto" w:sz="4" w:space="0"/>
            </w:tcBorders>
            <w:vAlign w:val="center"/>
          </w:tcPr>
          <w:p w14:paraId="4578F104">
            <w:pPr>
              <w:shd w:val="clear"/>
              <w:rPr>
                <w:rFonts w:ascii="仿宋" w:hAnsi="仿宋" w:eastAsia="仿宋" w:cs="仿宋"/>
                <w:color w:val="auto"/>
                <w:sz w:val="24"/>
                <w:highlight w:val="none"/>
              </w:rPr>
            </w:pPr>
            <w:r>
              <w:rPr>
                <w:rFonts w:hint="eastAsia" w:ascii="仿宋" w:hAnsi="仿宋" w:eastAsia="仿宋" w:cs="仿宋"/>
                <w:color w:val="auto"/>
                <w:sz w:val="24"/>
                <w:highlight w:val="none"/>
              </w:rPr>
              <w:t>滨海新区以北一期道路路灯</w:t>
            </w:r>
          </w:p>
        </w:tc>
        <w:tc>
          <w:tcPr>
            <w:tcW w:w="701" w:type="pct"/>
            <w:tcBorders>
              <w:top w:val="single" w:color="auto" w:sz="4" w:space="0"/>
              <w:bottom w:val="single" w:color="auto" w:sz="4" w:space="0"/>
              <w:right w:val="single" w:color="auto" w:sz="4" w:space="0"/>
            </w:tcBorders>
            <w:vAlign w:val="center"/>
          </w:tcPr>
          <w:p w14:paraId="4842E429">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7" w:type="pct"/>
            <w:tcBorders>
              <w:top w:val="single" w:color="auto" w:sz="4" w:space="0"/>
              <w:bottom w:val="single" w:color="auto" w:sz="4" w:space="0"/>
              <w:right w:val="single" w:color="auto" w:sz="4" w:space="0"/>
            </w:tcBorders>
            <w:vAlign w:val="center"/>
          </w:tcPr>
          <w:p w14:paraId="4F37B8B8">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478</w:t>
            </w:r>
          </w:p>
        </w:tc>
        <w:tc>
          <w:tcPr>
            <w:tcW w:w="1355" w:type="pct"/>
            <w:tcBorders>
              <w:top w:val="single" w:color="auto" w:sz="4" w:space="0"/>
              <w:bottom w:val="single" w:color="auto" w:sz="4" w:space="0"/>
              <w:right w:val="single" w:color="auto" w:sz="4" w:space="0"/>
            </w:tcBorders>
            <w:vAlign w:val="center"/>
          </w:tcPr>
          <w:p w14:paraId="62F29BB9">
            <w:pPr>
              <w:widowControl/>
              <w:shd w:val="clear"/>
              <w:jc w:val="center"/>
              <w:textAlignment w:val="center"/>
              <w:rPr>
                <w:rFonts w:ascii="仿宋" w:hAnsi="仿宋" w:eastAsia="仿宋" w:cs="仿宋"/>
                <w:b/>
                <w:bCs/>
                <w:color w:val="auto"/>
                <w:sz w:val="24"/>
                <w:highlight w:val="none"/>
              </w:rPr>
            </w:pPr>
          </w:p>
        </w:tc>
      </w:tr>
      <w:tr w14:paraId="3FDF32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719" w:type="pct"/>
            <w:tcBorders>
              <w:top w:val="single" w:color="auto" w:sz="4" w:space="0"/>
              <w:bottom w:val="single" w:color="auto" w:sz="4" w:space="0"/>
            </w:tcBorders>
            <w:vAlign w:val="center"/>
          </w:tcPr>
          <w:p w14:paraId="48DDB672">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45" w:type="pct"/>
            <w:tcBorders>
              <w:top w:val="single" w:color="auto" w:sz="4" w:space="0"/>
              <w:bottom w:val="single" w:color="auto" w:sz="4" w:space="0"/>
            </w:tcBorders>
            <w:vAlign w:val="center"/>
          </w:tcPr>
          <w:p w14:paraId="64062C8A">
            <w:pPr>
              <w:shd w:val="clear"/>
              <w:rPr>
                <w:rFonts w:ascii="仿宋" w:hAnsi="仿宋" w:eastAsia="仿宋" w:cs="仿宋"/>
                <w:color w:val="auto"/>
                <w:sz w:val="24"/>
                <w:highlight w:val="none"/>
              </w:rPr>
            </w:pPr>
            <w:r>
              <w:rPr>
                <w:rFonts w:hint="eastAsia" w:ascii="仿宋" w:hAnsi="仿宋" w:eastAsia="仿宋" w:cs="仿宋"/>
                <w:color w:val="auto"/>
                <w:sz w:val="24"/>
                <w:highlight w:val="none"/>
              </w:rPr>
              <w:t>奉化区红胜海塘加固提升工程路灯</w:t>
            </w:r>
          </w:p>
        </w:tc>
        <w:tc>
          <w:tcPr>
            <w:tcW w:w="701" w:type="pct"/>
            <w:tcBorders>
              <w:top w:val="single" w:color="auto" w:sz="4" w:space="0"/>
              <w:bottom w:val="single" w:color="auto" w:sz="4" w:space="0"/>
              <w:right w:val="single" w:color="auto" w:sz="4" w:space="0"/>
            </w:tcBorders>
            <w:vAlign w:val="center"/>
          </w:tcPr>
          <w:p w14:paraId="2D4645D3">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7" w:type="pct"/>
            <w:tcBorders>
              <w:top w:val="single" w:color="auto" w:sz="4" w:space="0"/>
              <w:bottom w:val="single" w:color="auto" w:sz="4" w:space="0"/>
              <w:right w:val="single" w:color="auto" w:sz="4" w:space="0"/>
            </w:tcBorders>
            <w:vAlign w:val="center"/>
          </w:tcPr>
          <w:p w14:paraId="5D3B6146">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168</w:t>
            </w:r>
          </w:p>
        </w:tc>
        <w:tc>
          <w:tcPr>
            <w:tcW w:w="1355" w:type="pct"/>
            <w:tcBorders>
              <w:top w:val="single" w:color="auto" w:sz="4" w:space="0"/>
              <w:bottom w:val="single" w:color="auto" w:sz="4" w:space="0"/>
              <w:right w:val="single" w:color="auto" w:sz="4" w:space="0"/>
            </w:tcBorders>
            <w:vAlign w:val="center"/>
          </w:tcPr>
          <w:p w14:paraId="13CF0CCE">
            <w:pPr>
              <w:widowControl/>
              <w:shd w:val="clear"/>
              <w:jc w:val="center"/>
              <w:textAlignment w:val="center"/>
              <w:rPr>
                <w:rFonts w:ascii="仿宋" w:hAnsi="仿宋" w:eastAsia="仿宋" w:cs="仿宋"/>
                <w:b/>
                <w:bCs/>
                <w:color w:val="auto"/>
                <w:sz w:val="24"/>
                <w:highlight w:val="none"/>
              </w:rPr>
            </w:pPr>
          </w:p>
        </w:tc>
      </w:tr>
      <w:tr w14:paraId="03285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719" w:type="pct"/>
            <w:tcBorders>
              <w:top w:val="single" w:color="auto" w:sz="4" w:space="0"/>
              <w:bottom w:val="single" w:color="auto" w:sz="4" w:space="0"/>
            </w:tcBorders>
            <w:vAlign w:val="center"/>
          </w:tcPr>
          <w:p w14:paraId="6A766DE9">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545" w:type="pct"/>
            <w:tcBorders>
              <w:top w:val="single" w:color="auto" w:sz="4" w:space="0"/>
              <w:bottom w:val="single" w:color="auto" w:sz="4" w:space="0"/>
            </w:tcBorders>
            <w:vAlign w:val="center"/>
          </w:tcPr>
          <w:p w14:paraId="11FD3AEE">
            <w:pPr>
              <w:shd w:val="clear"/>
              <w:rPr>
                <w:rFonts w:ascii="仿宋" w:hAnsi="仿宋" w:eastAsia="仿宋" w:cs="仿宋"/>
                <w:color w:val="auto"/>
                <w:sz w:val="24"/>
                <w:highlight w:val="none"/>
              </w:rPr>
            </w:pPr>
            <w:r>
              <w:rPr>
                <w:rFonts w:hint="eastAsia" w:ascii="仿宋" w:hAnsi="仿宋" w:eastAsia="仿宋" w:cs="仿宋"/>
                <w:color w:val="auto"/>
                <w:sz w:val="24"/>
                <w:highlight w:val="none"/>
              </w:rPr>
              <w:t>红胜海塘加固提升工程防浪墙景观灯</w:t>
            </w:r>
          </w:p>
        </w:tc>
        <w:tc>
          <w:tcPr>
            <w:tcW w:w="701" w:type="pct"/>
            <w:tcBorders>
              <w:top w:val="single" w:color="auto" w:sz="4" w:space="0"/>
              <w:bottom w:val="single" w:color="auto" w:sz="4" w:space="0"/>
              <w:right w:val="single" w:color="auto" w:sz="4" w:space="0"/>
            </w:tcBorders>
            <w:vAlign w:val="center"/>
          </w:tcPr>
          <w:p w14:paraId="42C0265A">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677" w:type="pct"/>
            <w:tcBorders>
              <w:top w:val="single" w:color="auto" w:sz="4" w:space="0"/>
              <w:bottom w:val="single" w:color="auto" w:sz="4" w:space="0"/>
              <w:right w:val="single" w:color="auto" w:sz="4" w:space="0"/>
            </w:tcBorders>
            <w:vAlign w:val="center"/>
          </w:tcPr>
          <w:p w14:paraId="45A907E5">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8800</w:t>
            </w:r>
          </w:p>
        </w:tc>
        <w:tc>
          <w:tcPr>
            <w:tcW w:w="1355" w:type="pct"/>
            <w:tcBorders>
              <w:top w:val="single" w:color="auto" w:sz="4" w:space="0"/>
              <w:bottom w:val="single" w:color="auto" w:sz="4" w:space="0"/>
              <w:right w:val="single" w:color="auto" w:sz="4" w:space="0"/>
            </w:tcBorders>
            <w:vAlign w:val="center"/>
          </w:tcPr>
          <w:p w14:paraId="7FA0B175">
            <w:pPr>
              <w:widowControl/>
              <w:shd w:val="clear"/>
              <w:jc w:val="center"/>
              <w:textAlignment w:val="center"/>
              <w:rPr>
                <w:rFonts w:ascii="仿宋" w:hAnsi="仿宋" w:eastAsia="仿宋" w:cs="仿宋"/>
                <w:b/>
                <w:bCs/>
                <w:color w:val="auto"/>
                <w:sz w:val="24"/>
                <w:highlight w:val="none"/>
              </w:rPr>
            </w:pPr>
          </w:p>
        </w:tc>
      </w:tr>
      <w:tr w14:paraId="17D14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2966" w:type="pct"/>
            <w:gridSpan w:val="3"/>
            <w:tcBorders>
              <w:top w:val="single" w:color="auto" w:sz="4" w:space="0"/>
              <w:bottom w:val="single" w:color="auto" w:sz="4" w:space="0"/>
              <w:right w:val="single" w:color="auto" w:sz="4" w:space="0"/>
            </w:tcBorders>
            <w:vAlign w:val="center"/>
          </w:tcPr>
          <w:p w14:paraId="2AE57156">
            <w:pPr>
              <w:shd w:val="clear"/>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总价</w:t>
            </w:r>
          </w:p>
        </w:tc>
        <w:tc>
          <w:tcPr>
            <w:tcW w:w="2033" w:type="pct"/>
            <w:gridSpan w:val="2"/>
            <w:tcBorders>
              <w:top w:val="single" w:color="auto" w:sz="4" w:space="0"/>
              <w:bottom w:val="single" w:color="auto" w:sz="4" w:space="0"/>
              <w:right w:val="single" w:color="auto" w:sz="4" w:space="0"/>
            </w:tcBorders>
            <w:vAlign w:val="center"/>
          </w:tcPr>
          <w:p w14:paraId="3A865B4B">
            <w:pPr>
              <w:widowControl/>
              <w:shd w:val="clear"/>
              <w:jc w:val="center"/>
              <w:textAlignment w:val="center"/>
              <w:rPr>
                <w:rFonts w:ascii="仿宋" w:hAnsi="仿宋" w:eastAsia="仿宋" w:cs="仿宋"/>
                <w:snapToGrid w:val="0"/>
                <w:color w:val="auto"/>
                <w:kern w:val="0"/>
                <w:sz w:val="24"/>
                <w:highlight w:val="none"/>
                <w:u w:val="single"/>
              </w:rPr>
            </w:pP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元/年</w:t>
            </w:r>
          </w:p>
        </w:tc>
      </w:tr>
    </w:tbl>
    <w:p w14:paraId="143326B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580697DA">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1A7127A2">
      <w:pPr>
        <w:pStyle w:val="38"/>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如遇养护路段内路灯数量变化导致与本项目招标文件不符，按照实际养护路灯数量及时间结算养护费用。</w:t>
      </w:r>
    </w:p>
    <w:p w14:paraId="4C7D22FC">
      <w:pPr>
        <w:pStyle w:val="38"/>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6FEC8912">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57AC58A">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4906234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9C0C14F">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56A6C8FF">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r>
        <w:rPr>
          <w:rFonts w:hint="eastAsia" w:ascii="仿宋" w:hAnsi="仿宋" w:eastAsia="仿宋" w:cs="仿宋"/>
          <w:bCs/>
          <w:iCs/>
          <w:color w:val="auto"/>
          <w:sz w:val="24"/>
          <w:highlight w:val="none"/>
          <w:u w:val="single"/>
        </w:rPr>
        <w:t>合同签订之日起两年，合同一年一签，甲方根据乙方上一年度的履约考核情况决定是否续签，如续签，最多可续签一年。本合同为第一年。</w:t>
      </w:r>
      <w:r>
        <w:rPr>
          <w:rFonts w:hint="eastAsia" w:ascii="仿宋" w:hAnsi="仿宋" w:eastAsia="仿宋" w:cs="仿宋"/>
          <w:b/>
          <w:i/>
          <w:color w:val="auto"/>
          <w:highlight w:val="none"/>
          <w:u w:val="single"/>
        </w:rPr>
        <w:t xml:space="preserve"> </w:t>
      </w:r>
    </w:p>
    <w:p w14:paraId="5AA4604F">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40EA3330">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3F04120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3BBC0CA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ACE579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CA8190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1DD70E28">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8.2具有知识产权的计算机软件等服务的知识产权归属，除合同另有规定外，归甲方所有。 </w:t>
      </w:r>
    </w:p>
    <w:p w14:paraId="44C506E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9履约保证金</w:t>
      </w:r>
    </w:p>
    <w:p w14:paraId="5AA329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方式（可以支票、汇票、本票、转账、电汇或者银行保函等非现金形式），在合同签订并生效后</w:t>
      </w:r>
      <w:r>
        <w:rPr>
          <w:rFonts w:hint="eastAsia" w:ascii="仿宋" w:hAnsi="仿宋" w:eastAsia="仿宋" w:cs="仿宋"/>
          <w:color w:val="auto"/>
          <w:sz w:val="24"/>
          <w:highlight w:val="none"/>
          <w:u w:val="single"/>
        </w:rPr>
        <w:t xml:space="preserve">   7  </w:t>
      </w:r>
      <w:r>
        <w:rPr>
          <w:rFonts w:hint="eastAsia" w:ascii="仿宋" w:hAnsi="仿宋" w:eastAsia="仿宋" w:cs="仿宋"/>
          <w:color w:val="auto"/>
          <w:sz w:val="24"/>
          <w:highlight w:val="none"/>
        </w:rPr>
        <w:t>日内提交合同金额1%的履约保证金。</w:t>
      </w:r>
    </w:p>
    <w:p w14:paraId="4D608AB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21D37F0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F26FE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10定期考核和问题反馈</w:t>
      </w:r>
    </w:p>
    <w:p w14:paraId="79ABAB3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10.1甲方有权定期对乙方提供的服务履约情况进行检查与考核（考核标准见附件），以确保乙方所提供的服务能够依约满足甲方之项目需求，但不得因履约检查妨碍乙方的正常工作，乙方应予积极配合；</w:t>
      </w:r>
    </w:p>
    <w:p w14:paraId="447E2CB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合同履行期间，甲方有权将履行过程中出现的问题反馈给乙方，双方当事人应以书面形式约定需要完善和改进的内容。</w:t>
      </w:r>
    </w:p>
    <w:p w14:paraId="4D04330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技术资料和保密义务</w:t>
      </w:r>
    </w:p>
    <w:p w14:paraId="6CD70E4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乙方有权依据合同约定和项目需要，向甲方了解有关情况，调阅有关资料等，甲方应予积极配合；</w:t>
      </w:r>
    </w:p>
    <w:p w14:paraId="29D6AE0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乙方有义务妥善保管和保护由甲方提供的前款信息和资料等；</w:t>
      </w:r>
    </w:p>
    <w:p w14:paraId="59C1286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DEDD8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质量保证</w:t>
      </w:r>
    </w:p>
    <w:p w14:paraId="4C1EC4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 乙方应建立和完善履行合同的内部质量保证体系，并提供相关内部规章制度给甲方，以便甲方进行监督检查；</w:t>
      </w:r>
    </w:p>
    <w:p w14:paraId="39A508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 乙方应保证履行合同的人员数量和素质、软件和硬件设备的配置、场地、环境和设施等满足全面履行合同的要求，并应接受甲方的监督检查。</w:t>
      </w:r>
    </w:p>
    <w:p w14:paraId="5303001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履约的风险负担</w:t>
      </w:r>
    </w:p>
    <w:p w14:paraId="386CDA7A">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1422A7C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延迟交货</w:t>
      </w:r>
    </w:p>
    <w:p w14:paraId="53B8108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2157B2B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合同变更</w:t>
      </w:r>
    </w:p>
    <w:p w14:paraId="0A739BA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EC8BB2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合同转让和分包</w:t>
      </w:r>
    </w:p>
    <w:p w14:paraId="3F22CC2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EB79C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16.2乙方采取分包方式履行合同的，由乙方向分包供应商支付款项，但不得因分包影响履行合同义务。</w:t>
      </w:r>
    </w:p>
    <w:p w14:paraId="513DC16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违约责任</w:t>
      </w:r>
    </w:p>
    <w:p w14:paraId="6767CFC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%；迟延完成服务的违约金计算数额达到前述最高限额之日起，甲方有权在要求乙方支付违约金的同时，书面通知乙方并解除本合同；</w:t>
      </w:r>
    </w:p>
    <w:p w14:paraId="7DDCDB3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42C4231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232C76B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161A1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19FAE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17.6 如果出现政府采购监督管理部门在处理投诉事项期间，书面通知甲方暂停采购活动的情形，或者询问或质疑事项可能影响中标结果的，导致甲方中止履行合同的情形，均不视为甲方违约。</w:t>
      </w:r>
    </w:p>
    <w:p w14:paraId="7C05F07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17.7如有任何一方违约，则违约方除应承担违约金、实际损失外，仍应承担守约方因此发生的诉讼费、律师费、保全费、保全担保或保全保险费等合理费用。</w:t>
      </w:r>
    </w:p>
    <w:p w14:paraId="247A5AE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不可抗力</w:t>
      </w:r>
    </w:p>
    <w:p w14:paraId="4771CE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18.1如果任何一方遭遇法律规定的不可抗力，致使合同履行受阻时，履行合同的期限应予延长，延长的期限应相当于不可抗力所影响的时间；</w:t>
      </w:r>
    </w:p>
    <w:p w14:paraId="44A2167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因不可抗力致使不能实现合同目的的，当事人可以解除合同；</w:t>
      </w:r>
    </w:p>
    <w:p w14:paraId="6B80B0A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2E9DFD3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0841345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税费</w:t>
      </w:r>
    </w:p>
    <w:p w14:paraId="77437B4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5FA5BF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乙方破产</w:t>
      </w:r>
    </w:p>
    <w:p w14:paraId="6D1FFF8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01219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合同争议的解决</w:t>
      </w:r>
    </w:p>
    <w:p w14:paraId="60F67908">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6A6A453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合同中止、终止</w:t>
      </w:r>
    </w:p>
    <w:p w14:paraId="4929F0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 双方当事人不得擅自中止或者终止合同；</w:t>
      </w:r>
    </w:p>
    <w:p w14:paraId="3F27B32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22.2合同继续履行将损害国家利益和社会公共利益的，双方当事人应当中止或者终止合同。有过错的一方应当承担赔偿责任，双方当事人都有过错的，各自承担相应的责任。</w:t>
      </w:r>
    </w:p>
    <w:p w14:paraId="553B158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通知和送达</w:t>
      </w:r>
    </w:p>
    <w:p w14:paraId="502D78F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23.1任何一方因履行合同而以合同第一部分尾部所列明的传真或电子邮件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7D9973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以当面交付方式送达的，交付之时视为送达；以电子邮件方式送达的，发出电子邮件之时视为送达；以传真方式送达的，发出传真之时视为送达；以邮寄方式送达的，邮件挂号寄出或者交邮之日之次日视为送达。</w:t>
      </w:r>
    </w:p>
    <w:p w14:paraId="461ABBA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计量单位</w:t>
      </w:r>
    </w:p>
    <w:p w14:paraId="7C41A85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072B1C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25合同使用的文字和适用的法律</w:t>
      </w:r>
    </w:p>
    <w:p w14:paraId="6A18837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 合同使用汉语书就、变更和解释；</w:t>
      </w:r>
    </w:p>
    <w:p w14:paraId="71E45FC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合同适用中华人民共和国法律。</w:t>
      </w:r>
    </w:p>
    <w:p w14:paraId="59DAB72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26合同效力</w:t>
      </w:r>
    </w:p>
    <w:p w14:paraId="00EA2E5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1B2A607C">
      <w:pPr>
        <w:shd w:val="clear"/>
        <w:autoSpaceDE w:val="0"/>
        <w:autoSpaceDN w:val="0"/>
        <w:spacing w:line="360" w:lineRule="auto"/>
        <w:rPr>
          <w:rFonts w:ascii="仿宋" w:hAnsi="仿宋" w:eastAsia="仿宋" w:cs="仿宋"/>
          <w:color w:val="auto"/>
          <w:sz w:val="24"/>
          <w:highlight w:val="none"/>
          <w:lang w:val="zh-CN"/>
        </w:rPr>
      </w:pPr>
    </w:p>
    <w:p w14:paraId="0A9D4EED">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131332FE">
      <w:pPr>
        <w:shd w:val="clear"/>
        <w:autoSpaceDE w:val="0"/>
        <w:autoSpaceDN w:val="0"/>
        <w:spacing w:line="360" w:lineRule="auto"/>
        <w:rPr>
          <w:rFonts w:ascii="仿宋" w:hAnsi="仿宋" w:eastAsia="仿宋" w:cs="仿宋"/>
          <w:color w:val="auto"/>
          <w:sz w:val="24"/>
          <w:highlight w:val="none"/>
          <w:lang w:val="zh-CN"/>
        </w:rPr>
      </w:pPr>
    </w:p>
    <w:p w14:paraId="222AF98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699A17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5BCAB0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5B8CDE9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DD7B6D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D83571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C2690D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C433D2B">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3081532A">
      <w:pPr>
        <w:pStyle w:val="26"/>
        <w:shd w:val="clear"/>
        <w:spacing w:line="360" w:lineRule="auto"/>
        <w:ind w:firstLine="504"/>
        <w:rPr>
          <w:rFonts w:ascii="仿宋" w:hAnsi="仿宋" w:eastAsia="仿宋" w:cs="仿宋"/>
          <w:color w:val="auto"/>
          <w:sz w:val="24"/>
          <w:highlight w:val="none"/>
        </w:rPr>
      </w:pPr>
    </w:p>
    <w:p w14:paraId="12F2B820">
      <w:pPr>
        <w:pStyle w:val="26"/>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见证人：采购代理机构名称</w:t>
      </w:r>
    </w:p>
    <w:p w14:paraId="4DB8B34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66FF18B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4CBDCC5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076CFFEE">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ascii="仿宋" w:hAnsi="仿宋" w:eastAsia="仿宋" w:cs="仿宋"/>
          <w:color w:val="auto"/>
          <w:sz w:val="24"/>
          <w:highlight w:val="none"/>
          <w:lang w:val="zh-CN"/>
        </w:rPr>
        <w:t>电话:</w:t>
      </w:r>
      <w:r>
        <w:rPr>
          <w:rFonts w:hint="eastAsia" w:cs="仿宋" w:asciiTheme="minorEastAsia" w:hAnsiTheme="minorEastAsia" w:eastAsiaTheme="minorEastAsia"/>
          <w:color w:val="auto"/>
          <w:sz w:val="24"/>
          <w:highlight w:val="none"/>
          <w:lang w:val="zh-CN"/>
        </w:rPr>
        <w:t xml:space="preserve"> </w:t>
      </w:r>
    </w:p>
    <w:p w14:paraId="6AE42406">
      <w:pPr>
        <w:shd w:val="clear"/>
        <w:autoSpaceDE w:val="0"/>
        <w:autoSpaceDN w:val="0"/>
        <w:spacing w:line="360" w:lineRule="auto"/>
        <w:rPr>
          <w:rFonts w:cs="仿宋" w:asciiTheme="minorEastAsia" w:hAnsiTheme="minorEastAsia" w:eastAsiaTheme="minorEastAsia"/>
          <w:color w:val="auto"/>
          <w:sz w:val="24"/>
          <w:highlight w:val="none"/>
          <w:lang w:val="zh-CN"/>
        </w:rPr>
      </w:pPr>
    </w:p>
    <w:p w14:paraId="7221E9A1">
      <w:pPr>
        <w:shd w:val="clear"/>
        <w:autoSpaceDE w:val="0"/>
        <w:autoSpaceDN w:val="0"/>
        <w:spacing w:line="360" w:lineRule="auto"/>
        <w:rPr>
          <w:rFonts w:asciiTheme="minorEastAsia" w:hAnsiTheme="minorEastAsia" w:eastAsiaTheme="minorEastAsia"/>
          <w:color w:val="auto"/>
          <w:highlight w:val="none"/>
        </w:rPr>
      </w:pPr>
    </w:p>
    <w:p w14:paraId="7822FB04">
      <w:pPr>
        <w:widowControl/>
        <w:shd w:val="clear"/>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4BB11C0F">
      <w:pPr>
        <w:shd w:val="clear"/>
        <w:spacing w:line="360" w:lineRule="auto"/>
        <w:jc w:val="center"/>
        <w:rPr>
          <w:rFonts w:cs="仿宋" w:asciiTheme="majorEastAsia" w:hAnsiTheme="majorEastAsia" w:eastAsiaTheme="majorEastAsia"/>
          <w:b/>
          <w:color w:val="auto"/>
          <w:sz w:val="24"/>
          <w:highlight w:val="none"/>
        </w:rPr>
      </w:pPr>
    </w:p>
    <w:p w14:paraId="2DB6BEAC">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3"/>
      <w:r>
        <w:rPr>
          <w:rFonts w:hint="eastAsia" w:cs="仿宋" w:asciiTheme="majorEastAsia" w:hAnsiTheme="majorEastAsia" w:eastAsiaTheme="majorEastAsia"/>
          <w:b/>
          <w:color w:val="auto"/>
          <w:sz w:val="36"/>
          <w:szCs w:val="20"/>
          <w:highlight w:val="none"/>
        </w:rPr>
        <w:t xml:space="preserve"> </w:t>
      </w:r>
      <w:bookmarkEnd w:id="394"/>
      <w:r>
        <w:rPr>
          <w:rFonts w:hint="eastAsia" w:cs="仿宋" w:asciiTheme="majorEastAsia" w:hAnsiTheme="majorEastAsia" w:eastAsiaTheme="majorEastAsia"/>
          <w:b/>
          <w:color w:val="auto"/>
          <w:sz w:val="36"/>
          <w:szCs w:val="20"/>
          <w:highlight w:val="none"/>
        </w:rPr>
        <w:t>应提交的有关格式范例</w:t>
      </w:r>
    </w:p>
    <w:p w14:paraId="101BA19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AE59A9E">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7CF5E439">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EA08AE3">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7B807A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6F9DA382">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087B5BEE">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0DD59366">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7363E812">
      <w:pPr>
        <w:pStyle w:val="26"/>
        <w:shd w:val="clear"/>
        <w:spacing w:line="360" w:lineRule="auto"/>
        <w:ind w:firstLine="480"/>
        <w:rPr>
          <w:rFonts w:cs="仿宋" w:asciiTheme="majorEastAsia" w:hAnsiTheme="majorEastAsia" w:eastAsiaTheme="majorEastAsia"/>
          <w:color w:val="auto"/>
          <w:sz w:val="24"/>
          <w:highlight w:val="none"/>
        </w:rPr>
      </w:pPr>
    </w:p>
    <w:p w14:paraId="18B2B783">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7574A4F">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2F51B736">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DB2796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78736D77">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469CDA1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1961AA3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236B533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161058E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24E9834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68FDB93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70E67D3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1ED2F4D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744925E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23DE2F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57DCE0B3">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6639701F">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0749EADC">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0E4AD9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336479D7">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11634D12">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913A77B">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0C9C8E1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6C68089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1FDB852C">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7052931B">
      <w:pPr>
        <w:widowControl/>
        <w:shd w:val="clear"/>
        <w:spacing w:line="360" w:lineRule="auto"/>
        <w:ind w:firstLine="480"/>
        <w:jc w:val="left"/>
        <w:rPr>
          <w:rFonts w:cs="仿宋" w:asciiTheme="majorEastAsia" w:hAnsiTheme="majorEastAsia" w:eastAsiaTheme="majorEastAsia"/>
          <w:color w:val="auto"/>
          <w:sz w:val="24"/>
          <w:highlight w:val="none"/>
        </w:rPr>
      </w:pPr>
    </w:p>
    <w:p w14:paraId="7F45D68C">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664E6D2">
      <w:pPr>
        <w:pStyle w:val="26"/>
        <w:shd w:val="clear"/>
        <w:ind w:firstLine="560"/>
        <w:rPr>
          <w:color w:val="auto"/>
          <w:highlight w:val="none"/>
        </w:rPr>
      </w:pPr>
      <w:r>
        <w:rPr>
          <w:color w:val="auto"/>
          <w:highlight w:val="none"/>
        </w:rPr>
        <w:br w:type="page"/>
      </w:r>
    </w:p>
    <w:p w14:paraId="7F1DEAB7">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三、本项目的特定资格要求</w:t>
      </w:r>
    </w:p>
    <w:p w14:paraId="4AC1A57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1C78C99F">
      <w:pPr>
        <w:shd w:val="clear"/>
        <w:spacing w:line="360" w:lineRule="auto"/>
        <w:rPr>
          <w:rFonts w:cs="仿宋" w:asciiTheme="majorEastAsia" w:hAnsiTheme="majorEastAsia" w:eastAsiaTheme="majorEastAsia"/>
          <w:color w:val="auto"/>
          <w:highlight w:val="none"/>
        </w:rPr>
      </w:pPr>
    </w:p>
    <w:p w14:paraId="3BCA23A2">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BB744E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2370B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AC67BD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1B781B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68C9C6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8A0C918">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D33F82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ACCF52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61D2FD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0D4AC0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8ED48A2">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3CC91D4D">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4188ACBA">
      <w:pPr>
        <w:shd w:val="clear"/>
        <w:spacing w:line="360" w:lineRule="auto"/>
        <w:jc w:val="center"/>
        <w:outlineLvl w:val="0"/>
        <w:rPr>
          <w:rFonts w:cs="仿宋" w:asciiTheme="majorEastAsia" w:hAnsiTheme="majorEastAsia" w:eastAsiaTheme="majorEastAsia"/>
          <w:b/>
          <w:color w:val="auto"/>
          <w:kern w:val="0"/>
          <w:sz w:val="24"/>
          <w:highlight w:val="none"/>
        </w:rPr>
      </w:pPr>
    </w:p>
    <w:p w14:paraId="7ADCE295">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6C060FB2">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0FDA292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321397A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35C4F01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06FD051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2865E23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5901721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17737BC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521D4F5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709ADF6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189798F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4D56D6F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0FCEDEC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0E63A5B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69B2A7D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一、评分索引表</w:t>
      </w:r>
    </w:p>
    <w:p w14:paraId="45DEF116">
      <w:pPr>
        <w:shd w:val="clear"/>
        <w:snapToGrid w:val="0"/>
        <w:spacing w:before="50" w:after="50"/>
        <w:rPr>
          <w:rFonts w:ascii="宋体" w:hAnsi="宋体"/>
          <w:b/>
          <w:color w:val="auto"/>
          <w:sz w:val="24"/>
          <w:highlight w:val="none"/>
        </w:rPr>
      </w:pPr>
    </w:p>
    <w:p w14:paraId="2F1CB5B7">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DF6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726E57F">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159F0CCC">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483FE4E">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7790F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BE3D9B3">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3CE01C70">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63DC0C1C">
            <w:pPr>
              <w:shd w:val="clear"/>
              <w:jc w:val="center"/>
              <w:rPr>
                <w:rFonts w:ascii="宋体" w:hAnsi="宋体"/>
                <w:bCs/>
                <w:color w:val="auto"/>
                <w:sz w:val="24"/>
                <w:highlight w:val="none"/>
              </w:rPr>
            </w:pPr>
          </w:p>
        </w:tc>
      </w:tr>
      <w:tr w14:paraId="3B57E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30C7B72">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4ED4639D">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53B1CCC2">
            <w:pPr>
              <w:shd w:val="clear"/>
              <w:jc w:val="center"/>
              <w:rPr>
                <w:rFonts w:ascii="宋体" w:hAnsi="宋体"/>
                <w:bCs/>
                <w:color w:val="auto"/>
                <w:sz w:val="24"/>
                <w:highlight w:val="none"/>
              </w:rPr>
            </w:pPr>
          </w:p>
        </w:tc>
      </w:tr>
      <w:tr w14:paraId="586B7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7B48C67">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F6D7710">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7AE366D">
            <w:pPr>
              <w:shd w:val="clear"/>
              <w:jc w:val="center"/>
              <w:rPr>
                <w:rFonts w:ascii="宋体" w:hAnsi="宋体"/>
                <w:bCs/>
                <w:color w:val="auto"/>
                <w:sz w:val="24"/>
                <w:highlight w:val="none"/>
              </w:rPr>
            </w:pPr>
          </w:p>
        </w:tc>
      </w:tr>
      <w:tr w14:paraId="4E742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27AC281">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E824244">
            <w:pPr>
              <w:pStyle w:val="18"/>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2621DD2">
            <w:pPr>
              <w:pStyle w:val="18"/>
              <w:shd w:val="clear"/>
              <w:ind w:firstLine="422"/>
              <w:jc w:val="center"/>
              <w:rPr>
                <w:rFonts w:ascii="宋体"/>
                <w:b/>
                <w:color w:val="auto"/>
                <w:highlight w:val="none"/>
              </w:rPr>
            </w:pPr>
          </w:p>
        </w:tc>
      </w:tr>
      <w:tr w14:paraId="1985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4300CB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5AA5757">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05AE3E5">
            <w:pPr>
              <w:shd w:val="clear"/>
              <w:jc w:val="center"/>
              <w:rPr>
                <w:rFonts w:ascii="宋体" w:hAnsi="宋体"/>
                <w:bCs/>
                <w:color w:val="auto"/>
                <w:sz w:val="24"/>
                <w:highlight w:val="none"/>
              </w:rPr>
            </w:pPr>
          </w:p>
        </w:tc>
      </w:tr>
      <w:tr w14:paraId="595F9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9CC9D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E50932E">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3C51CD8">
            <w:pPr>
              <w:pStyle w:val="18"/>
              <w:shd w:val="clear"/>
              <w:ind w:firstLine="420"/>
              <w:jc w:val="center"/>
              <w:rPr>
                <w:rFonts w:ascii="宋体"/>
                <w:color w:val="auto"/>
                <w:highlight w:val="none"/>
              </w:rPr>
            </w:pPr>
          </w:p>
        </w:tc>
      </w:tr>
      <w:tr w14:paraId="62568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E582F1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A03005F">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6CF49A0">
            <w:pPr>
              <w:pStyle w:val="18"/>
              <w:shd w:val="clear"/>
              <w:ind w:firstLine="420"/>
              <w:jc w:val="center"/>
              <w:rPr>
                <w:rFonts w:ascii="宋体"/>
                <w:color w:val="auto"/>
                <w:highlight w:val="none"/>
              </w:rPr>
            </w:pPr>
          </w:p>
        </w:tc>
      </w:tr>
      <w:tr w14:paraId="67FC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B2E270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93CEE5B">
            <w:pPr>
              <w:pStyle w:val="18"/>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C315CD2">
            <w:pPr>
              <w:widowControl/>
              <w:shd w:val="clear"/>
              <w:jc w:val="center"/>
              <w:rPr>
                <w:rFonts w:ascii="宋体" w:hAnsi="宋体"/>
                <w:b/>
                <w:color w:val="auto"/>
                <w:sz w:val="24"/>
                <w:highlight w:val="none"/>
              </w:rPr>
            </w:pPr>
          </w:p>
        </w:tc>
      </w:tr>
      <w:tr w14:paraId="0A9C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5674A7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DACF43E">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59B32FD">
            <w:pPr>
              <w:shd w:val="clear"/>
              <w:jc w:val="center"/>
              <w:rPr>
                <w:rFonts w:ascii="宋体" w:hAnsi="宋体"/>
                <w:bCs/>
                <w:color w:val="auto"/>
                <w:sz w:val="24"/>
                <w:highlight w:val="none"/>
              </w:rPr>
            </w:pPr>
          </w:p>
        </w:tc>
      </w:tr>
      <w:tr w14:paraId="19AA8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524F4A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2A4B8EF">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0B0B270">
            <w:pPr>
              <w:shd w:val="clear"/>
              <w:jc w:val="center"/>
              <w:rPr>
                <w:rFonts w:ascii="宋体" w:hAnsi="宋体"/>
                <w:bCs/>
                <w:color w:val="auto"/>
                <w:sz w:val="24"/>
                <w:highlight w:val="none"/>
              </w:rPr>
            </w:pPr>
          </w:p>
        </w:tc>
      </w:tr>
      <w:tr w14:paraId="2FF5C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7DB60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A1FB25C">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444B140A">
            <w:pPr>
              <w:shd w:val="clear"/>
              <w:jc w:val="center"/>
              <w:rPr>
                <w:rFonts w:ascii="宋体" w:hAnsi="宋体"/>
                <w:bCs/>
                <w:color w:val="auto"/>
                <w:sz w:val="24"/>
                <w:highlight w:val="none"/>
              </w:rPr>
            </w:pPr>
          </w:p>
        </w:tc>
      </w:tr>
    </w:tbl>
    <w:p w14:paraId="32A916DC">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52600132">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02EA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0CB7226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6922AB7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3B6BB67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79D7FE3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2DA451A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73736B5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60E7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97B922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52AB10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6670143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5D37C28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DB1715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8E1CB88">
            <w:pPr>
              <w:shd w:val="clear"/>
              <w:spacing w:line="360" w:lineRule="auto"/>
              <w:rPr>
                <w:rFonts w:cs="仿宋" w:asciiTheme="majorEastAsia" w:hAnsiTheme="majorEastAsia" w:eastAsiaTheme="majorEastAsia"/>
                <w:color w:val="auto"/>
                <w:sz w:val="24"/>
                <w:highlight w:val="none"/>
              </w:rPr>
            </w:pPr>
          </w:p>
          <w:p w14:paraId="0409096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37AAA9B1">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7D1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E7C8B6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5C286E0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7588B6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520BD69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40EFC5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23924C9">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44E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1703E1D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53B1282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48A6BD8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45CC829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4E0B02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E04905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3A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11C07C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4F4D73FD">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0FEEB0D4">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4EC3B09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EEF54E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61C772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61C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922EB7C">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5F2F9045">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1F15651F">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008165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369B76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780D9F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BD3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7C97ADB">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497D721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76E40B46">
            <w:pPr>
              <w:shd w:val="clear"/>
              <w:spacing w:line="360" w:lineRule="auto"/>
              <w:rPr>
                <w:rFonts w:cs="仿宋" w:asciiTheme="majorEastAsia" w:hAnsiTheme="majorEastAsia" w:eastAsiaTheme="majorEastAsia"/>
                <w:color w:val="auto"/>
                <w:kern w:val="0"/>
                <w:sz w:val="24"/>
                <w:highlight w:val="none"/>
              </w:rPr>
            </w:pPr>
          </w:p>
        </w:tc>
        <w:tc>
          <w:tcPr>
            <w:tcW w:w="1185" w:type="dxa"/>
          </w:tcPr>
          <w:p w14:paraId="48743587">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68098B84">
            <w:pPr>
              <w:shd w:val="clear"/>
              <w:spacing w:line="360" w:lineRule="auto"/>
              <w:rPr>
                <w:rFonts w:cs="仿宋" w:asciiTheme="majorEastAsia" w:hAnsiTheme="majorEastAsia" w:eastAsiaTheme="majorEastAsia"/>
                <w:color w:val="auto"/>
                <w:sz w:val="24"/>
                <w:highlight w:val="none"/>
              </w:rPr>
            </w:pPr>
          </w:p>
        </w:tc>
      </w:tr>
    </w:tbl>
    <w:p w14:paraId="07E14F5C">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31CBC64">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三、投标</w:t>
      </w:r>
      <w:r>
        <w:rPr>
          <w:rFonts w:hint="eastAsia" w:cs="仿宋" w:asciiTheme="majorEastAsia" w:hAnsiTheme="majorEastAsia" w:eastAsiaTheme="majorEastAsia"/>
          <w:b/>
          <w:color w:val="auto"/>
          <w:sz w:val="32"/>
          <w:szCs w:val="32"/>
          <w:highlight w:val="none"/>
        </w:rPr>
        <w:t>函</w:t>
      </w:r>
    </w:p>
    <w:p w14:paraId="2C9BB18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213D3B3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30B1B14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4516C58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7527D778">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2DDCD8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CDA7F1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4DD3FAAE">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0904377F">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2.1.4本项目的特定资格要求（如果有）。</w:t>
      </w:r>
    </w:p>
    <w:p w14:paraId="66A40BB3">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54A1357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78EA3FF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6B72E17A">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6FDEEF9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2330400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6715082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297FC9F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710B0CE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71F303B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0E543FB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4245176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372A715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66B415A0">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4EDF842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1619126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2E548C0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075E4E9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6F952D1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66D2CFB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45844A5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1A585E9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3、我方承诺除商务响应表列出的偏离外，我方响应招标文件的全部要求。</w:t>
      </w:r>
    </w:p>
    <w:p w14:paraId="32F00BD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0FCA3CC6">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0E605A79">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06AA2BE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6992C7B6">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14B20FB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1AFD796A">
      <w:pPr>
        <w:shd w:val="clear"/>
        <w:spacing w:line="360" w:lineRule="auto"/>
        <w:ind w:firstLine="3600" w:firstLineChars="1500"/>
        <w:rPr>
          <w:rFonts w:cs="仿宋" w:asciiTheme="majorEastAsia" w:hAnsiTheme="majorEastAsia" w:eastAsiaTheme="majorEastAsia"/>
          <w:color w:val="auto"/>
          <w:sz w:val="24"/>
          <w:highlight w:val="none"/>
        </w:rPr>
      </w:pPr>
    </w:p>
    <w:p w14:paraId="7AB17FD0">
      <w:pPr>
        <w:shd w:val="clear"/>
        <w:spacing w:line="360" w:lineRule="auto"/>
        <w:ind w:firstLine="3600" w:firstLineChars="1500"/>
        <w:rPr>
          <w:rFonts w:cs="仿宋" w:asciiTheme="majorEastAsia" w:hAnsiTheme="majorEastAsia" w:eastAsiaTheme="majorEastAsia"/>
          <w:color w:val="auto"/>
          <w:sz w:val="24"/>
          <w:highlight w:val="none"/>
        </w:rPr>
      </w:pPr>
    </w:p>
    <w:p w14:paraId="20712023">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3D9FF174">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00FDBFDB">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6E427829">
      <w:pPr>
        <w:shd w:val="clear"/>
        <w:spacing w:line="360" w:lineRule="auto"/>
        <w:jc w:val="center"/>
        <w:rPr>
          <w:rFonts w:cs="仿宋" w:asciiTheme="majorEastAsia" w:hAnsiTheme="majorEastAsia" w:eastAsiaTheme="majorEastAsia"/>
          <w:b/>
          <w:color w:val="auto"/>
          <w:kern w:val="0"/>
          <w:sz w:val="32"/>
          <w:szCs w:val="32"/>
          <w:highlight w:val="none"/>
        </w:rPr>
      </w:pPr>
    </w:p>
    <w:p w14:paraId="23D2BBCF">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32539353">
      <w:pPr>
        <w:shd w:val="clear"/>
        <w:spacing w:line="360" w:lineRule="auto"/>
        <w:rPr>
          <w:rFonts w:cs="仿宋" w:asciiTheme="majorEastAsia" w:hAnsiTheme="majorEastAsia" w:eastAsiaTheme="majorEastAsia"/>
          <w:b/>
          <w:color w:val="auto"/>
          <w:sz w:val="32"/>
          <w:szCs w:val="32"/>
          <w:highlight w:val="none"/>
        </w:rPr>
      </w:pPr>
      <w:bookmarkStart w:id="395" w:name="_Toc479927873"/>
      <w:bookmarkStart w:id="396" w:name="_Toc225223761"/>
      <w:bookmarkStart w:id="397" w:name="_Toc14746861"/>
      <w:bookmarkStart w:id="398" w:name="_Toc483379796"/>
      <w:bookmarkStart w:id="399" w:name="_Toc110393361"/>
      <w:bookmarkStart w:id="400" w:name="_Toc488936100"/>
    </w:p>
    <w:p w14:paraId="7675DB29">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四、授权委托书或法定代表人（单位负责人、自然人本人）身份证明</w:t>
      </w:r>
    </w:p>
    <w:p w14:paraId="750BD9FF">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p>
    <w:p w14:paraId="68E4F9F8">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60DC9AE9">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7AA24A3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1DFFF1D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4D542C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798D9E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754B349">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7C6246">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2D75A579">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2E04636C">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16B3249E">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0CF1AEF3">
      <w:pPr>
        <w:shd w:val="clear"/>
        <w:spacing w:line="360" w:lineRule="auto"/>
        <w:ind w:firstLine="420" w:firstLineChars="200"/>
        <w:rPr>
          <w:rFonts w:ascii="宋体" w:hAnsi="宋体" w:cs="宋体"/>
          <w:color w:val="auto"/>
          <w:szCs w:val="21"/>
          <w:highlight w:val="none"/>
        </w:rPr>
      </w:pPr>
    </w:p>
    <w:p w14:paraId="5DE79A70">
      <w:pPr>
        <w:shd w:val="clear"/>
        <w:spacing w:line="360" w:lineRule="auto"/>
        <w:ind w:firstLine="420" w:firstLineChars="200"/>
        <w:rPr>
          <w:rFonts w:ascii="宋体" w:hAnsi="宋体" w:cs="宋体"/>
          <w:color w:val="auto"/>
          <w:szCs w:val="21"/>
          <w:highlight w:val="none"/>
        </w:rPr>
      </w:pPr>
    </w:p>
    <w:p w14:paraId="4EF57A9F">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76BF453F">
      <w:pPr>
        <w:shd w:val="clear"/>
        <w:spacing w:line="360" w:lineRule="auto"/>
        <w:ind w:firstLine="4515" w:firstLineChars="2150"/>
        <w:rPr>
          <w:rFonts w:ascii="宋体" w:hAnsi="宋体" w:cs="宋体"/>
          <w:color w:val="auto"/>
          <w:szCs w:val="21"/>
          <w:highlight w:val="none"/>
          <w:u w:val="single"/>
        </w:rPr>
      </w:pPr>
    </w:p>
    <w:p w14:paraId="5EB18A74">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F5E1F79">
      <w:pPr>
        <w:shd w:val="clear"/>
        <w:spacing w:line="360" w:lineRule="auto"/>
        <w:rPr>
          <w:rFonts w:ascii="宋体" w:hAnsi="宋体" w:cs="宋体"/>
          <w:color w:val="auto"/>
          <w:sz w:val="24"/>
          <w:highlight w:val="none"/>
        </w:rPr>
      </w:pPr>
    </w:p>
    <w:p w14:paraId="215BEB91">
      <w:pPr>
        <w:shd w:val="clear"/>
        <w:spacing w:line="360" w:lineRule="auto"/>
        <w:rPr>
          <w:rFonts w:ascii="宋体" w:hAnsi="宋体" w:cs="宋体"/>
          <w:b/>
          <w:color w:val="auto"/>
          <w:szCs w:val="21"/>
          <w:highlight w:val="none"/>
        </w:rPr>
      </w:pPr>
    </w:p>
    <w:p w14:paraId="776CB42E">
      <w:pPr>
        <w:shd w:val="clear"/>
        <w:spacing w:line="360" w:lineRule="auto"/>
        <w:rPr>
          <w:rFonts w:ascii="宋体" w:hAnsi="宋体" w:cs="宋体"/>
          <w:b/>
          <w:color w:val="auto"/>
          <w:szCs w:val="21"/>
          <w:highlight w:val="none"/>
        </w:rPr>
      </w:pPr>
    </w:p>
    <w:p w14:paraId="3EFA8B23">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14:paraId="71898237">
      <w:pPr>
        <w:shd w:val="clear"/>
        <w:rPr>
          <w:rFonts w:ascii="宋体" w:hAnsi="宋体" w:cs="宋体"/>
          <w:b/>
          <w:color w:val="auto"/>
          <w:highlight w:val="none"/>
        </w:rPr>
      </w:pPr>
      <w:r>
        <w:rPr>
          <w:rFonts w:ascii="宋体" w:hAnsi="宋体" w:cs="宋体"/>
          <w:b/>
          <w:color w:val="auto"/>
          <w:highlight w:val="none"/>
        </w:rPr>
        <w:br w:type="page"/>
      </w:r>
    </w:p>
    <w:p w14:paraId="7F9ED1F4">
      <w:pPr>
        <w:shd w:val="clear"/>
        <w:rPr>
          <w:rFonts w:ascii="宋体" w:hAnsi="宋体" w:cs="宋体"/>
          <w:b/>
          <w:bCs/>
          <w:color w:val="auto"/>
          <w:sz w:val="28"/>
          <w:szCs w:val="28"/>
          <w:highlight w:val="none"/>
        </w:rPr>
      </w:pPr>
    </w:p>
    <w:p w14:paraId="55BD19D2">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4AC51176">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35E06861">
      <w:pPr>
        <w:shd w:val="clear"/>
        <w:snapToGrid w:val="0"/>
        <w:spacing w:line="360" w:lineRule="auto"/>
        <w:rPr>
          <w:rFonts w:ascii="宋体" w:hAnsi="宋体" w:cs="宋体"/>
          <w:bCs/>
          <w:color w:val="auto"/>
          <w:sz w:val="24"/>
          <w:highlight w:val="none"/>
        </w:rPr>
      </w:pPr>
    </w:p>
    <w:p w14:paraId="34AFC7D5">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0F79A47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31FDA10B">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31C34DF7">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2781C2A4">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36B3C78B">
      <w:pPr>
        <w:shd w:val="clear"/>
        <w:snapToGrid w:val="0"/>
        <w:spacing w:line="360" w:lineRule="auto"/>
        <w:rPr>
          <w:rFonts w:ascii="宋体" w:hAnsi="宋体" w:cs="宋体"/>
          <w:color w:val="auto"/>
          <w:szCs w:val="21"/>
          <w:highlight w:val="none"/>
        </w:rPr>
      </w:pPr>
    </w:p>
    <w:p w14:paraId="65D78BA2">
      <w:pPr>
        <w:shd w:val="clear"/>
        <w:snapToGrid w:val="0"/>
        <w:spacing w:line="360" w:lineRule="auto"/>
        <w:rPr>
          <w:rFonts w:ascii="宋体" w:hAnsi="宋体" w:cs="宋体"/>
          <w:color w:val="auto"/>
          <w:szCs w:val="21"/>
          <w:highlight w:val="none"/>
        </w:rPr>
      </w:pPr>
    </w:p>
    <w:p w14:paraId="6A4D01F9">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65A5C8BF">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7FF4D6B5">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5EE54AD">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5BBFA551">
      <w:pPr>
        <w:shd w:val="clear"/>
        <w:snapToGrid w:val="0"/>
        <w:spacing w:line="360" w:lineRule="auto"/>
        <w:rPr>
          <w:rFonts w:ascii="宋体" w:hAnsi="宋体" w:cs="宋体"/>
          <w:color w:val="auto"/>
          <w:szCs w:val="21"/>
          <w:highlight w:val="none"/>
        </w:rPr>
      </w:pPr>
    </w:p>
    <w:p w14:paraId="32FC2401">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1548C78A">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561B6407">
      <w:pPr>
        <w:shd w:val="clear"/>
        <w:spacing w:line="360" w:lineRule="auto"/>
        <w:rPr>
          <w:rFonts w:ascii="宋体" w:hAnsi="宋体" w:cs="宋体"/>
          <w:b/>
          <w:color w:val="auto"/>
          <w:szCs w:val="21"/>
          <w:highlight w:val="none"/>
        </w:rPr>
      </w:pPr>
    </w:p>
    <w:p w14:paraId="1A51E0BB">
      <w:pPr>
        <w:shd w:val="clear"/>
        <w:spacing w:line="360" w:lineRule="auto"/>
        <w:rPr>
          <w:rFonts w:ascii="宋体" w:hAnsi="宋体" w:cs="宋体"/>
          <w:b/>
          <w:color w:val="auto"/>
          <w:szCs w:val="21"/>
          <w:highlight w:val="none"/>
        </w:rPr>
      </w:pPr>
    </w:p>
    <w:p w14:paraId="09AB2C61">
      <w:pPr>
        <w:widowControl/>
        <w:shd w:val="clear"/>
        <w:jc w:val="left"/>
        <w:rPr>
          <w:rFonts w:eastAsia="仿宋_GB2312"/>
          <w:color w:val="auto"/>
          <w:sz w:val="28"/>
          <w:highlight w:val="none"/>
          <w:lang w:val="zh-CN"/>
        </w:rPr>
      </w:pPr>
      <w:r>
        <w:rPr>
          <w:rFonts w:hint="eastAsia" w:ascii="宋体" w:hAnsi="宋体" w:cs="宋体"/>
          <w:b/>
          <w:color w:val="auto"/>
          <w:szCs w:val="21"/>
          <w:highlight w:val="none"/>
        </w:rPr>
        <w:t>附：法定代表人身份证复印件（正反面）、授权代表身份证复印件（正反面）：</w:t>
      </w:r>
      <w:r>
        <w:rPr>
          <w:color w:val="auto"/>
          <w:highlight w:val="none"/>
          <w:lang w:val="zh-CN"/>
        </w:rPr>
        <w:br w:type="page"/>
      </w:r>
    </w:p>
    <w:p w14:paraId="640C2C3A">
      <w:pPr>
        <w:pStyle w:val="26"/>
        <w:shd w:val="clear"/>
        <w:ind w:firstLine="560"/>
        <w:rPr>
          <w:color w:val="auto"/>
          <w:highlight w:val="none"/>
          <w:lang w:val="zh-CN"/>
        </w:rPr>
      </w:pPr>
    </w:p>
    <w:p w14:paraId="2997754B">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五、投标人基本情况</w:t>
      </w:r>
      <w:bookmarkEnd w:id="395"/>
      <w:bookmarkEnd w:id="396"/>
      <w:bookmarkEnd w:id="397"/>
      <w:bookmarkEnd w:id="398"/>
      <w:bookmarkEnd w:id="399"/>
      <w:bookmarkEnd w:id="400"/>
      <w:r>
        <w:rPr>
          <w:rFonts w:hint="eastAsia" w:cs="仿宋" w:asciiTheme="majorEastAsia" w:hAnsiTheme="majorEastAsia" w:eastAsiaTheme="majorEastAsia"/>
          <w:b/>
          <w:color w:val="auto"/>
          <w:kern w:val="0"/>
          <w:sz w:val="32"/>
          <w:szCs w:val="32"/>
          <w:highlight w:val="none"/>
          <w:lang w:val="zh-CN"/>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3DE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210E583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62D0B91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3D4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F693E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3A24D5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FB9E2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454A26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CD4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9F38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4D6B07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0B32B9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FD5DC0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4E5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01B0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7B4AFF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5C603E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B4036D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396885F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2B106B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D59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84B5FF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6AD6B3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1B1373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413A8DC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74DE14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1F4785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4C2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BAE505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6ABFBAE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1F0A172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6AB298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8DC7D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41269C6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76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2867F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82B9B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56DA7F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350B4EB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74CB13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81A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EBFA70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7D0B26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55316D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B971B4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4E9D0A4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C6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738031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088C48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7BA56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376B29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2195CD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833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B4CEAA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77ACAC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E4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D712F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07440B4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DC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35943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694064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9F1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3F7C13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6593CC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0D99C6C2">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3C7B24E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74A61D2C">
      <w:pPr>
        <w:pStyle w:val="26"/>
        <w:shd w:val="clear"/>
        <w:spacing w:line="360" w:lineRule="auto"/>
        <w:ind w:firstLine="560"/>
        <w:rPr>
          <w:rFonts w:cs="仿宋" w:asciiTheme="majorEastAsia" w:hAnsiTheme="majorEastAsia" w:eastAsiaTheme="majorEastAsia"/>
          <w:color w:val="auto"/>
          <w:highlight w:val="none"/>
          <w:lang w:val="zh-CN"/>
        </w:rPr>
      </w:pPr>
    </w:p>
    <w:p w14:paraId="2C79CB50">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C640EF9">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3C56BE1">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424BFCD">
      <w:pPr>
        <w:widowControl/>
        <w:shd w:val="clear"/>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6C37EA58">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3C6E3129">
      <w:pPr>
        <w:shd w:val="clear"/>
        <w:spacing w:line="360" w:lineRule="auto"/>
        <w:rPr>
          <w:rFonts w:cs="仿宋" w:asciiTheme="majorEastAsia" w:hAnsiTheme="majorEastAsia" w:eastAsiaTheme="major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D93D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A17C9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E13D2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1B2B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8849A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67E32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8A2E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302DAD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16B1C62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08FC2F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408DA3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3DD8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E4E79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6BECB3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26E7C3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40B11D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0693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160F9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5066C5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786E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E1A3E3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A240AE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EC40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75159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0DAFFC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AF2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9CF44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E47174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2E0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5702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362A34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1EEF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B910E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8EDBC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20D05D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70F435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D91E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20D81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8316BB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2B1D35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5C0095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574AFA7B">
      <w:pPr>
        <w:shd w:val="clear"/>
        <w:spacing w:line="360" w:lineRule="auto"/>
        <w:rPr>
          <w:rFonts w:cs="仿宋" w:asciiTheme="majorEastAsia" w:hAnsiTheme="majorEastAsia" w:eastAsiaTheme="majorEastAsia"/>
          <w:color w:val="auto"/>
          <w:highlight w:val="none"/>
        </w:rPr>
      </w:pPr>
    </w:p>
    <w:p w14:paraId="54236918">
      <w:pPr>
        <w:shd w:val="clear"/>
        <w:spacing w:line="360" w:lineRule="auto"/>
        <w:rPr>
          <w:rFonts w:cs="仿宋" w:asciiTheme="majorEastAsia" w:hAnsiTheme="majorEastAsia" w:eastAsiaTheme="majorEastAsia"/>
          <w:color w:val="auto"/>
          <w:highlight w:val="none"/>
        </w:rPr>
      </w:pPr>
    </w:p>
    <w:p w14:paraId="73BCA3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261128E2">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6F326DD">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7CC7692">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DCA6820">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6F9C395D">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5554BB57">
      <w:pPr>
        <w:pStyle w:val="26"/>
        <w:shd w:val="clear"/>
        <w:ind w:firstLine="560"/>
        <w:rPr>
          <w:rFonts w:asciiTheme="majorEastAsia" w:hAnsiTheme="majorEastAsia" w:eastAsiaTheme="majorEastAsia"/>
          <w:color w:val="auto"/>
          <w:highlight w:val="none"/>
          <w:lang w:val="zh-CN"/>
        </w:rPr>
      </w:pPr>
    </w:p>
    <w:p w14:paraId="6F6EA19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八、商务响应表</w:t>
      </w:r>
    </w:p>
    <w:tbl>
      <w:tblPr>
        <w:tblStyle w:val="20"/>
        <w:tblW w:w="50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6849"/>
        <w:gridCol w:w="773"/>
        <w:gridCol w:w="1296"/>
      </w:tblGrid>
      <w:tr w14:paraId="7E5F9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14:paraId="17BDBE44">
            <w:pPr>
              <w:shd w:val="clear"/>
              <w:jc w:val="center"/>
              <w:rPr>
                <w:rFonts w:ascii="宋体" w:hAnsi="宋体"/>
                <w:color w:val="auto"/>
                <w:sz w:val="24"/>
                <w:highlight w:val="none"/>
              </w:rPr>
            </w:pPr>
            <w:r>
              <w:rPr>
                <w:rFonts w:hint="eastAsia" w:ascii="宋体" w:hAnsi="宋体"/>
                <w:color w:val="auto"/>
                <w:sz w:val="24"/>
                <w:highlight w:val="none"/>
              </w:rPr>
              <w:t>项目</w:t>
            </w:r>
          </w:p>
        </w:tc>
        <w:tc>
          <w:tcPr>
            <w:tcW w:w="3563" w:type="pct"/>
            <w:tcBorders>
              <w:top w:val="single" w:color="auto" w:sz="4" w:space="0"/>
              <w:left w:val="single" w:color="auto" w:sz="4" w:space="0"/>
              <w:bottom w:val="single" w:color="auto" w:sz="4" w:space="0"/>
              <w:right w:val="single" w:color="auto" w:sz="4" w:space="0"/>
            </w:tcBorders>
            <w:vAlign w:val="center"/>
          </w:tcPr>
          <w:p w14:paraId="52A48555">
            <w:pPr>
              <w:shd w:val="clear"/>
              <w:jc w:val="center"/>
              <w:rPr>
                <w:rFonts w:ascii="宋体" w:hAnsi="宋体"/>
                <w:color w:val="auto"/>
                <w:sz w:val="24"/>
                <w:highlight w:val="none"/>
              </w:rPr>
            </w:pPr>
            <w:r>
              <w:rPr>
                <w:rFonts w:hint="eastAsia" w:ascii="宋体" w:hAnsi="宋体"/>
                <w:color w:val="auto"/>
                <w:sz w:val="24"/>
                <w:highlight w:val="none"/>
              </w:rPr>
              <w:t xml:space="preserve">要 求 </w:t>
            </w:r>
          </w:p>
        </w:tc>
        <w:tc>
          <w:tcPr>
            <w:tcW w:w="402" w:type="pct"/>
            <w:tcBorders>
              <w:top w:val="single" w:color="auto" w:sz="4" w:space="0"/>
              <w:left w:val="single" w:color="auto" w:sz="4" w:space="0"/>
              <w:bottom w:val="single" w:color="auto" w:sz="4" w:space="0"/>
              <w:right w:val="single" w:color="auto" w:sz="4" w:space="0"/>
            </w:tcBorders>
            <w:vAlign w:val="center"/>
          </w:tcPr>
          <w:p w14:paraId="0B1F9C02">
            <w:pPr>
              <w:shd w:val="clear"/>
              <w:jc w:val="center"/>
              <w:rPr>
                <w:rFonts w:ascii="宋体" w:hAnsi="宋体"/>
                <w:color w:val="auto"/>
                <w:sz w:val="24"/>
                <w:highlight w:val="none"/>
              </w:rPr>
            </w:pPr>
            <w:r>
              <w:rPr>
                <w:rFonts w:hint="eastAsia" w:ascii="宋体" w:hAnsi="宋体"/>
                <w:color w:val="auto"/>
                <w:sz w:val="24"/>
                <w:highlight w:val="none"/>
              </w:rPr>
              <w:t>响应情况</w:t>
            </w:r>
          </w:p>
        </w:tc>
        <w:tc>
          <w:tcPr>
            <w:tcW w:w="674" w:type="pct"/>
            <w:tcBorders>
              <w:top w:val="single" w:color="auto" w:sz="4" w:space="0"/>
              <w:left w:val="single" w:color="auto" w:sz="4" w:space="0"/>
              <w:bottom w:val="single" w:color="auto" w:sz="4" w:space="0"/>
              <w:right w:val="single" w:color="auto" w:sz="4" w:space="0"/>
            </w:tcBorders>
            <w:vAlign w:val="center"/>
          </w:tcPr>
          <w:p w14:paraId="0CAE4CF7">
            <w:pPr>
              <w:shd w:val="clear"/>
              <w:jc w:val="center"/>
              <w:rPr>
                <w:rFonts w:ascii="宋体" w:hAnsi="宋体"/>
                <w:color w:val="auto"/>
                <w:sz w:val="24"/>
                <w:highlight w:val="none"/>
              </w:rPr>
            </w:pPr>
            <w:r>
              <w:rPr>
                <w:rFonts w:hint="eastAsia" w:ascii="宋体" w:hAnsi="宋体"/>
                <w:color w:val="auto"/>
                <w:sz w:val="24"/>
                <w:highlight w:val="none"/>
              </w:rPr>
              <w:t>投标人承诺或说明</w:t>
            </w:r>
          </w:p>
        </w:tc>
      </w:tr>
      <w:tr w14:paraId="0385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ABF5610">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20805BF">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61A3DC57">
            <w:pPr>
              <w:widowControl/>
              <w:shd w:val="clear"/>
              <w:spacing w:line="28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32CA7729">
            <w:pPr>
              <w:widowControl/>
              <w:shd w:val="clear"/>
              <w:spacing w:line="280" w:lineRule="exact"/>
              <w:textAlignment w:val="center"/>
              <w:rPr>
                <w:rFonts w:ascii="宋体" w:hAnsi="宋体" w:cs="宋体"/>
                <w:color w:val="auto"/>
                <w:szCs w:val="21"/>
                <w:highlight w:val="none"/>
              </w:rPr>
            </w:pPr>
          </w:p>
        </w:tc>
      </w:tr>
      <w:tr w14:paraId="569CE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FA897D4">
            <w:pPr>
              <w:widowControl/>
              <w:shd w:val="clear"/>
              <w:spacing w:line="280" w:lineRule="exact"/>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4299A8BF">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3625F6D1">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69369729">
            <w:pPr>
              <w:widowControl/>
              <w:shd w:val="clear"/>
              <w:spacing w:line="280" w:lineRule="exact"/>
              <w:textAlignment w:val="center"/>
              <w:rPr>
                <w:color w:val="auto"/>
                <w:highlight w:val="none"/>
              </w:rPr>
            </w:pPr>
          </w:p>
        </w:tc>
      </w:tr>
      <w:tr w14:paraId="7A1A2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75E2F3D">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E867B6B">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3DF7CEB6">
            <w:pPr>
              <w:widowControl/>
              <w:shd w:val="clear"/>
              <w:spacing w:line="270" w:lineRule="exact"/>
              <w:textAlignment w:val="center"/>
              <w:rPr>
                <w:rFonts w:ascii="宋体" w:hAnsi="宋体" w:cs="宋体"/>
                <w:color w:val="auto"/>
                <w:kern w:val="1"/>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6DF36376">
            <w:pPr>
              <w:widowControl/>
              <w:shd w:val="clear"/>
              <w:spacing w:line="270" w:lineRule="exact"/>
              <w:textAlignment w:val="center"/>
              <w:rPr>
                <w:rFonts w:ascii="宋体" w:hAnsi="宋体" w:cs="宋体"/>
                <w:color w:val="auto"/>
                <w:kern w:val="1"/>
                <w:szCs w:val="21"/>
                <w:highlight w:val="none"/>
              </w:rPr>
            </w:pPr>
          </w:p>
        </w:tc>
      </w:tr>
      <w:tr w14:paraId="5D0DA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8F00F2E">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27F5221A">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7CBDA384">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4B557A8C">
            <w:pPr>
              <w:widowControl/>
              <w:shd w:val="clear"/>
              <w:spacing w:line="270" w:lineRule="exact"/>
              <w:textAlignment w:val="center"/>
              <w:rPr>
                <w:rFonts w:ascii="宋体" w:hAnsi="宋体" w:cs="宋体"/>
                <w:color w:val="auto"/>
                <w:szCs w:val="21"/>
                <w:highlight w:val="none"/>
              </w:rPr>
            </w:pPr>
          </w:p>
        </w:tc>
      </w:tr>
      <w:tr w14:paraId="52982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E5E3EFF">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4D2B16B4">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66A1D314">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11AE00C5">
            <w:pPr>
              <w:widowControl/>
              <w:shd w:val="clear"/>
              <w:spacing w:line="270" w:lineRule="exact"/>
              <w:textAlignment w:val="center"/>
              <w:rPr>
                <w:rFonts w:ascii="宋体" w:hAnsi="宋体" w:cs="宋体"/>
                <w:color w:val="auto"/>
                <w:szCs w:val="21"/>
                <w:highlight w:val="none"/>
              </w:rPr>
            </w:pPr>
          </w:p>
        </w:tc>
      </w:tr>
      <w:tr w14:paraId="6635D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AE01777">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2827FEC3">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3D5AF7AA">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2CB6962B">
            <w:pPr>
              <w:widowControl/>
              <w:shd w:val="clear"/>
              <w:spacing w:line="280" w:lineRule="exact"/>
              <w:textAlignment w:val="center"/>
              <w:rPr>
                <w:color w:val="auto"/>
                <w:highlight w:val="none"/>
              </w:rPr>
            </w:pPr>
          </w:p>
        </w:tc>
      </w:tr>
      <w:tr w14:paraId="4D6B4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B2EDAFA">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05EB401C">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3DA9B559">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4F4D475A">
            <w:pPr>
              <w:widowControl/>
              <w:shd w:val="clear"/>
              <w:spacing w:line="280" w:lineRule="exact"/>
              <w:textAlignment w:val="center"/>
              <w:rPr>
                <w:color w:val="auto"/>
                <w:highlight w:val="none"/>
              </w:rPr>
            </w:pPr>
          </w:p>
        </w:tc>
      </w:tr>
      <w:tr w14:paraId="3DED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50F79CC">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28C73D10">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5F07E6A9">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49BBD290">
            <w:pPr>
              <w:widowControl/>
              <w:shd w:val="clear"/>
              <w:spacing w:line="280" w:lineRule="exact"/>
              <w:textAlignment w:val="center"/>
              <w:rPr>
                <w:color w:val="auto"/>
                <w:highlight w:val="none"/>
              </w:rPr>
            </w:pPr>
          </w:p>
        </w:tc>
      </w:tr>
      <w:tr w14:paraId="14799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CBEFA9">
            <w:pPr>
              <w:widowControl/>
              <w:shd w:val="clear"/>
              <w:spacing w:line="280" w:lineRule="exact"/>
              <w:jc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062441C">
            <w:pPr>
              <w:widowControl/>
              <w:shd w:val="clear"/>
              <w:spacing w:line="270" w:lineRule="exact"/>
              <w:jc w:val="left"/>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19CCC58C">
            <w:pPr>
              <w:widowControl/>
              <w:shd w:val="clear"/>
              <w:tabs>
                <w:tab w:val="left" w:pos="0"/>
              </w:tabs>
              <w:spacing w:line="270" w:lineRule="exact"/>
              <w:rPr>
                <w:rFonts w:ascii="宋体" w:hAnsi="宋体" w:cs="宋体"/>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3C5AB928">
            <w:pPr>
              <w:widowControl/>
              <w:shd w:val="clear"/>
              <w:tabs>
                <w:tab w:val="left" w:pos="0"/>
              </w:tabs>
              <w:spacing w:line="270" w:lineRule="exact"/>
              <w:rPr>
                <w:rFonts w:ascii="宋体" w:hAnsi="宋体" w:cs="宋体"/>
                <w:color w:val="auto"/>
                <w:kern w:val="0"/>
                <w:szCs w:val="21"/>
                <w:highlight w:val="none"/>
              </w:rPr>
            </w:pPr>
          </w:p>
        </w:tc>
      </w:tr>
      <w:tr w14:paraId="16D0D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6FA92E6">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1C922149">
            <w:pPr>
              <w:shd w:val="clea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55AB87E5">
            <w:pPr>
              <w:shd w:val="clea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266CBFA4">
            <w:pPr>
              <w:shd w:val="clear"/>
              <w:rPr>
                <w:color w:val="auto"/>
                <w:highlight w:val="none"/>
              </w:rPr>
            </w:pPr>
          </w:p>
        </w:tc>
      </w:tr>
      <w:tr w14:paraId="10170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7270E1C">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1B69568E">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003D0170">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5E75C3FC">
            <w:pPr>
              <w:widowControl/>
              <w:shd w:val="clear"/>
              <w:spacing w:line="270" w:lineRule="exact"/>
              <w:textAlignment w:val="center"/>
              <w:rPr>
                <w:rFonts w:ascii="宋体" w:hAnsi="宋体" w:cs="宋体"/>
                <w:color w:val="auto"/>
                <w:szCs w:val="21"/>
                <w:highlight w:val="none"/>
              </w:rPr>
            </w:pPr>
          </w:p>
        </w:tc>
      </w:tr>
    </w:tbl>
    <w:p w14:paraId="37A886D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30157B0">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0903EF8">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A9BBC42">
      <w:pPr>
        <w:widowControl/>
        <w:shd w:val="clear"/>
        <w:jc w:val="left"/>
        <w:rPr>
          <w:rFonts w:asciiTheme="majorEastAsia" w:hAnsiTheme="majorEastAsia" w:eastAsiaTheme="majorEastAsia"/>
          <w:color w:val="auto"/>
          <w:sz w:val="28"/>
          <w:highlight w:val="none"/>
          <w:lang w:val="zh-CN"/>
        </w:rPr>
      </w:pPr>
    </w:p>
    <w:p w14:paraId="25E1A676">
      <w:pPr>
        <w:pStyle w:val="26"/>
        <w:shd w:val="clear"/>
        <w:ind w:firstLine="560"/>
        <w:rPr>
          <w:rFonts w:asciiTheme="majorEastAsia" w:hAnsiTheme="majorEastAsia" w:eastAsiaTheme="majorEastAsia"/>
          <w:color w:val="auto"/>
          <w:highlight w:val="none"/>
          <w:lang w:val="zh-CN"/>
        </w:rPr>
      </w:pPr>
    </w:p>
    <w:p w14:paraId="4E4243AC">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15DAC369">
      <w:pPr>
        <w:pStyle w:val="26"/>
        <w:shd w:val="clear"/>
        <w:ind w:firstLine="560"/>
        <w:rPr>
          <w:rFonts w:asciiTheme="majorEastAsia" w:hAnsiTheme="majorEastAsia" w:eastAsiaTheme="majorEastAsia"/>
          <w:color w:val="auto"/>
          <w:highlight w:val="none"/>
          <w:lang w:val="zh-CN"/>
        </w:rPr>
      </w:pPr>
    </w:p>
    <w:p w14:paraId="5FD483B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九、服务响应表</w:t>
      </w:r>
    </w:p>
    <w:p w14:paraId="150939B7">
      <w:pPr>
        <w:shd w:val="clear"/>
        <w:spacing w:line="360" w:lineRule="auto"/>
        <w:jc w:val="center"/>
        <w:rPr>
          <w:rFonts w:ascii="宋体" w:hAnsi="宋体" w:cs="宋体"/>
          <w:color w:val="auto"/>
          <w:highlight w:val="none"/>
        </w:rPr>
      </w:pPr>
      <w:r>
        <w:rPr>
          <w:rFonts w:hint="eastAsia" w:ascii="宋体" w:hAnsi="宋体" w:cs="宋体"/>
          <w:b/>
          <w:color w:val="auto"/>
          <w:highlight w:val="none"/>
        </w:rPr>
        <w:t>1.带</w:t>
      </w:r>
      <w:r>
        <w:rPr>
          <w:rFonts w:hint="eastAsia" w:cs="仿宋" w:asciiTheme="majorEastAsia" w:hAnsiTheme="majorEastAsia" w:eastAsiaTheme="majorEastAsia"/>
          <w:b/>
          <w:color w:val="auto"/>
          <w:highlight w:val="none"/>
        </w:rPr>
        <w:t>▲</w:t>
      </w:r>
      <w:r>
        <w:rPr>
          <w:rFonts w:hint="eastAsia" w:ascii="宋体" w:hAnsi="宋体" w:cs="宋体"/>
          <w:b/>
          <w:color w:val="auto"/>
          <w:highlight w:val="none"/>
        </w:rPr>
        <w:t>条款响应一览表</w:t>
      </w:r>
    </w:p>
    <w:p w14:paraId="0CAEF8BA">
      <w:pPr>
        <w:shd w:val="clea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330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373ABB">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4D670C76">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7D11118F">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5660520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25B0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8FA5DC">
            <w:pPr>
              <w:shd w:val="clear"/>
              <w:rPr>
                <w:rFonts w:ascii="宋体" w:hAnsi="宋体" w:cs="宋体"/>
                <w:color w:val="auto"/>
                <w:highlight w:val="none"/>
              </w:rPr>
            </w:pPr>
          </w:p>
        </w:tc>
        <w:tc>
          <w:tcPr>
            <w:tcW w:w="2787" w:type="dxa"/>
          </w:tcPr>
          <w:p w14:paraId="60B58CEF">
            <w:pPr>
              <w:shd w:val="clear"/>
              <w:rPr>
                <w:rFonts w:ascii="宋体" w:hAnsi="宋体" w:cs="宋体"/>
                <w:color w:val="auto"/>
                <w:highlight w:val="none"/>
              </w:rPr>
            </w:pPr>
          </w:p>
        </w:tc>
        <w:tc>
          <w:tcPr>
            <w:tcW w:w="2788" w:type="dxa"/>
          </w:tcPr>
          <w:p w14:paraId="75FF75E7">
            <w:pPr>
              <w:shd w:val="clear"/>
              <w:rPr>
                <w:rFonts w:ascii="宋体" w:hAnsi="宋体" w:cs="宋体"/>
                <w:color w:val="auto"/>
                <w:highlight w:val="none"/>
              </w:rPr>
            </w:pPr>
          </w:p>
        </w:tc>
        <w:tc>
          <w:tcPr>
            <w:tcW w:w="2788" w:type="dxa"/>
          </w:tcPr>
          <w:p w14:paraId="1E6B2E82">
            <w:pPr>
              <w:shd w:val="clear"/>
              <w:rPr>
                <w:rFonts w:ascii="宋体" w:hAnsi="宋体" w:cs="宋体"/>
                <w:color w:val="auto"/>
                <w:highlight w:val="none"/>
              </w:rPr>
            </w:pPr>
          </w:p>
        </w:tc>
      </w:tr>
      <w:tr w14:paraId="12FB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7B7D36">
            <w:pPr>
              <w:shd w:val="clear"/>
              <w:rPr>
                <w:rFonts w:ascii="宋体" w:hAnsi="宋体" w:cs="宋体"/>
                <w:color w:val="auto"/>
                <w:highlight w:val="none"/>
              </w:rPr>
            </w:pPr>
          </w:p>
        </w:tc>
        <w:tc>
          <w:tcPr>
            <w:tcW w:w="2787" w:type="dxa"/>
          </w:tcPr>
          <w:p w14:paraId="4963BF3A">
            <w:pPr>
              <w:shd w:val="clear"/>
              <w:rPr>
                <w:rFonts w:ascii="宋体" w:hAnsi="宋体" w:cs="宋体"/>
                <w:color w:val="auto"/>
                <w:highlight w:val="none"/>
              </w:rPr>
            </w:pPr>
          </w:p>
        </w:tc>
        <w:tc>
          <w:tcPr>
            <w:tcW w:w="2788" w:type="dxa"/>
          </w:tcPr>
          <w:p w14:paraId="07114428">
            <w:pPr>
              <w:shd w:val="clear"/>
              <w:rPr>
                <w:rFonts w:ascii="宋体" w:hAnsi="宋体" w:cs="宋体"/>
                <w:color w:val="auto"/>
                <w:highlight w:val="none"/>
              </w:rPr>
            </w:pPr>
          </w:p>
        </w:tc>
        <w:tc>
          <w:tcPr>
            <w:tcW w:w="2788" w:type="dxa"/>
          </w:tcPr>
          <w:p w14:paraId="242DAC7D">
            <w:pPr>
              <w:shd w:val="clear"/>
              <w:rPr>
                <w:rFonts w:ascii="宋体" w:hAnsi="宋体" w:cs="宋体"/>
                <w:color w:val="auto"/>
                <w:highlight w:val="none"/>
              </w:rPr>
            </w:pPr>
          </w:p>
        </w:tc>
      </w:tr>
      <w:tr w14:paraId="6C1F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2E0C6C">
            <w:pPr>
              <w:shd w:val="clear"/>
              <w:rPr>
                <w:rFonts w:ascii="宋体" w:hAnsi="宋体" w:cs="宋体"/>
                <w:color w:val="auto"/>
                <w:highlight w:val="none"/>
              </w:rPr>
            </w:pPr>
          </w:p>
        </w:tc>
        <w:tc>
          <w:tcPr>
            <w:tcW w:w="2787" w:type="dxa"/>
          </w:tcPr>
          <w:p w14:paraId="107772C0">
            <w:pPr>
              <w:shd w:val="clear"/>
              <w:rPr>
                <w:rFonts w:ascii="宋体" w:hAnsi="宋体" w:cs="宋体"/>
                <w:color w:val="auto"/>
                <w:highlight w:val="none"/>
              </w:rPr>
            </w:pPr>
          </w:p>
        </w:tc>
        <w:tc>
          <w:tcPr>
            <w:tcW w:w="2788" w:type="dxa"/>
          </w:tcPr>
          <w:p w14:paraId="33F47145">
            <w:pPr>
              <w:shd w:val="clear"/>
              <w:rPr>
                <w:rFonts w:ascii="宋体" w:hAnsi="宋体" w:cs="宋体"/>
                <w:color w:val="auto"/>
                <w:highlight w:val="none"/>
              </w:rPr>
            </w:pPr>
          </w:p>
        </w:tc>
        <w:tc>
          <w:tcPr>
            <w:tcW w:w="2788" w:type="dxa"/>
          </w:tcPr>
          <w:p w14:paraId="77DCD0AF">
            <w:pPr>
              <w:shd w:val="clear"/>
              <w:rPr>
                <w:rFonts w:ascii="宋体" w:hAnsi="宋体" w:cs="宋体"/>
                <w:color w:val="auto"/>
                <w:highlight w:val="none"/>
              </w:rPr>
            </w:pPr>
          </w:p>
        </w:tc>
      </w:tr>
      <w:tr w14:paraId="4BCF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C88B7B6">
            <w:pPr>
              <w:shd w:val="clear"/>
              <w:rPr>
                <w:rFonts w:ascii="宋体" w:hAnsi="宋体" w:cs="宋体"/>
                <w:color w:val="auto"/>
                <w:highlight w:val="none"/>
              </w:rPr>
            </w:pPr>
          </w:p>
        </w:tc>
        <w:tc>
          <w:tcPr>
            <w:tcW w:w="2787" w:type="dxa"/>
          </w:tcPr>
          <w:p w14:paraId="17F7A089">
            <w:pPr>
              <w:shd w:val="clear"/>
              <w:rPr>
                <w:rFonts w:ascii="宋体" w:hAnsi="宋体" w:cs="宋体"/>
                <w:color w:val="auto"/>
                <w:highlight w:val="none"/>
              </w:rPr>
            </w:pPr>
          </w:p>
        </w:tc>
        <w:tc>
          <w:tcPr>
            <w:tcW w:w="2788" w:type="dxa"/>
          </w:tcPr>
          <w:p w14:paraId="266F9641">
            <w:pPr>
              <w:shd w:val="clear"/>
              <w:rPr>
                <w:rFonts w:ascii="宋体" w:hAnsi="宋体" w:cs="宋体"/>
                <w:color w:val="auto"/>
                <w:highlight w:val="none"/>
              </w:rPr>
            </w:pPr>
          </w:p>
        </w:tc>
        <w:tc>
          <w:tcPr>
            <w:tcW w:w="2788" w:type="dxa"/>
          </w:tcPr>
          <w:p w14:paraId="5EC45619">
            <w:pPr>
              <w:shd w:val="clear"/>
              <w:rPr>
                <w:rFonts w:ascii="宋体" w:hAnsi="宋体" w:cs="宋体"/>
                <w:color w:val="auto"/>
                <w:highlight w:val="none"/>
              </w:rPr>
            </w:pPr>
          </w:p>
        </w:tc>
      </w:tr>
      <w:tr w14:paraId="1184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8E8DD7">
            <w:pPr>
              <w:shd w:val="clear"/>
              <w:rPr>
                <w:rFonts w:ascii="宋体" w:hAnsi="宋体" w:cs="宋体"/>
                <w:color w:val="auto"/>
                <w:highlight w:val="none"/>
              </w:rPr>
            </w:pPr>
          </w:p>
        </w:tc>
        <w:tc>
          <w:tcPr>
            <w:tcW w:w="2787" w:type="dxa"/>
          </w:tcPr>
          <w:p w14:paraId="4AC47DD5">
            <w:pPr>
              <w:shd w:val="clear"/>
              <w:rPr>
                <w:rFonts w:ascii="宋体" w:hAnsi="宋体" w:cs="宋体"/>
                <w:color w:val="auto"/>
                <w:highlight w:val="none"/>
              </w:rPr>
            </w:pPr>
          </w:p>
        </w:tc>
        <w:tc>
          <w:tcPr>
            <w:tcW w:w="2788" w:type="dxa"/>
          </w:tcPr>
          <w:p w14:paraId="3ADB1B90">
            <w:pPr>
              <w:shd w:val="clear"/>
              <w:rPr>
                <w:rFonts w:ascii="宋体" w:hAnsi="宋体" w:cs="宋体"/>
                <w:color w:val="auto"/>
                <w:highlight w:val="none"/>
              </w:rPr>
            </w:pPr>
          </w:p>
        </w:tc>
        <w:tc>
          <w:tcPr>
            <w:tcW w:w="2788" w:type="dxa"/>
          </w:tcPr>
          <w:p w14:paraId="690EE178">
            <w:pPr>
              <w:shd w:val="clear"/>
              <w:rPr>
                <w:rFonts w:ascii="宋体" w:hAnsi="宋体" w:cs="宋体"/>
                <w:color w:val="auto"/>
                <w:highlight w:val="none"/>
              </w:rPr>
            </w:pPr>
          </w:p>
        </w:tc>
      </w:tr>
      <w:tr w14:paraId="7E59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879C1B">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1B6967D8">
            <w:pPr>
              <w:shd w:val="clear"/>
              <w:rPr>
                <w:rFonts w:ascii="宋体" w:hAnsi="宋体" w:cs="宋体"/>
                <w:color w:val="auto"/>
                <w:highlight w:val="none"/>
              </w:rPr>
            </w:pPr>
          </w:p>
        </w:tc>
        <w:tc>
          <w:tcPr>
            <w:tcW w:w="2788" w:type="dxa"/>
          </w:tcPr>
          <w:p w14:paraId="4DA38745">
            <w:pPr>
              <w:shd w:val="clear"/>
              <w:rPr>
                <w:rFonts w:ascii="宋体" w:hAnsi="宋体" w:cs="宋体"/>
                <w:color w:val="auto"/>
                <w:highlight w:val="none"/>
              </w:rPr>
            </w:pPr>
          </w:p>
        </w:tc>
        <w:tc>
          <w:tcPr>
            <w:tcW w:w="2788" w:type="dxa"/>
          </w:tcPr>
          <w:p w14:paraId="0CC810F2">
            <w:pPr>
              <w:shd w:val="clear"/>
              <w:rPr>
                <w:rFonts w:ascii="宋体" w:hAnsi="宋体" w:cs="宋体"/>
                <w:color w:val="auto"/>
                <w:highlight w:val="none"/>
              </w:rPr>
            </w:pPr>
          </w:p>
        </w:tc>
      </w:tr>
    </w:tbl>
    <w:p w14:paraId="5DB8BF71">
      <w:pPr>
        <w:shd w:val="clea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”的条款应答并按要求填写上表。条款要求提供的相关证明资料必须一并提供，否则视为不响应。</w:t>
      </w:r>
    </w:p>
    <w:p w14:paraId="6A946A72">
      <w:pPr>
        <w:shd w:val="clea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43573059">
      <w:pPr>
        <w:shd w:val="clea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5ACEADEA">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136B355D">
      <w:pPr>
        <w:shd w:val="clear"/>
        <w:spacing w:line="360" w:lineRule="auto"/>
        <w:jc w:val="center"/>
        <w:rPr>
          <w:rFonts w:ascii="宋体" w:hAnsi="宋体" w:cs="宋体"/>
          <w:b/>
          <w:color w:val="auto"/>
          <w:highlight w:val="none"/>
        </w:rPr>
      </w:pPr>
    </w:p>
    <w:p w14:paraId="435D657D">
      <w:pPr>
        <w:shd w:val="clear"/>
        <w:jc w:val="center"/>
        <w:rPr>
          <w:rFonts w:ascii="宋体" w:hAnsi="宋体" w:cs="宋体"/>
          <w:color w:val="auto"/>
          <w:highlight w:val="none"/>
        </w:rPr>
      </w:pPr>
      <w:r>
        <w:rPr>
          <w:rFonts w:hint="eastAsia" w:ascii="宋体" w:hAnsi="宋体" w:cs="宋体"/>
          <w:b/>
          <w:color w:val="auto"/>
          <w:highlight w:val="none"/>
        </w:rPr>
        <w:t>2.一般性条款响应一览表</w:t>
      </w:r>
    </w:p>
    <w:p w14:paraId="40506DD6">
      <w:pPr>
        <w:shd w:val="clear"/>
        <w:rPr>
          <w:rFonts w:ascii="宋体" w:hAnsi="宋体" w:cs="宋体"/>
          <w:color w:val="auto"/>
          <w:highlight w:val="none"/>
        </w:rPr>
      </w:pPr>
    </w:p>
    <w:p w14:paraId="34369BF1">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5AE53C37">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6C1B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37FF86">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0A21FB69">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153A95A2">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3B43BA3E">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5C18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8C08F6">
            <w:pPr>
              <w:shd w:val="clear"/>
              <w:rPr>
                <w:rFonts w:ascii="宋体" w:hAnsi="宋体" w:cs="宋体"/>
                <w:color w:val="auto"/>
                <w:highlight w:val="none"/>
              </w:rPr>
            </w:pPr>
          </w:p>
        </w:tc>
        <w:tc>
          <w:tcPr>
            <w:tcW w:w="2787" w:type="dxa"/>
          </w:tcPr>
          <w:p w14:paraId="73D732A3">
            <w:pPr>
              <w:shd w:val="clear"/>
              <w:rPr>
                <w:rFonts w:ascii="宋体" w:hAnsi="宋体" w:cs="宋体"/>
                <w:color w:val="auto"/>
                <w:highlight w:val="none"/>
              </w:rPr>
            </w:pPr>
          </w:p>
        </w:tc>
        <w:tc>
          <w:tcPr>
            <w:tcW w:w="2788" w:type="dxa"/>
          </w:tcPr>
          <w:p w14:paraId="185B773B">
            <w:pPr>
              <w:shd w:val="clear"/>
              <w:rPr>
                <w:rFonts w:ascii="宋体" w:hAnsi="宋体" w:cs="宋体"/>
                <w:color w:val="auto"/>
                <w:highlight w:val="none"/>
              </w:rPr>
            </w:pPr>
          </w:p>
        </w:tc>
        <w:tc>
          <w:tcPr>
            <w:tcW w:w="2788" w:type="dxa"/>
          </w:tcPr>
          <w:p w14:paraId="6D0AB4E2">
            <w:pPr>
              <w:shd w:val="clear"/>
              <w:rPr>
                <w:rFonts w:ascii="宋体" w:hAnsi="宋体" w:cs="宋体"/>
                <w:color w:val="auto"/>
                <w:highlight w:val="none"/>
              </w:rPr>
            </w:pPr>
          </w:p>
        </w:tc>
      </w:tr>
      <w:tr w14:paraId="247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D58334">
            <w:pPr>
              <w:shd w:val="clear"/>
              <w:rPr>
                <w:rFonts w:ascii="宋体" w:hAnsi="宋体" w:cs="宋体"/>
                <w:color w:val="auto"/>
                <w:highlight w:val="none"/>
              </w:rPr>
            </w:pPr>
          </w:p>
        </w:tc>
        <w:tc>
          <w:tcPr>
            <w:tcW w:w="2787" w:type="dxa"/>
          </w:tcPr>
          <w:p w14:paraId="0B998733">
            <w:pPr>
              <w:shd w:val="clear"/>
              <w:rPr>
                <w:rFonts w:ascii="宋体" w:hAnsi="宋体" w:cs="宋体"/>
                <w:color w:val="auto"/>
                <w:highlight w:val="none"/>
              </w:rPr>
            </w:pPr>
          </w:p>
        </w:tc>
        <w:tc>
          <w:tcPr>
            <w:tcW w:w="2788" w:type="dxa"/>
          </w:tcPr>
          <w:p w14:paraId="67751538">
            <w:pPr>
              <w:shd w:val="clear"/>
              <w:rPr>
                <w:rFonts w:ascii="宋体" w:hAnsi="宋体" w:cs="宋体"/>
                <w:color w:val="auto"/>
                <w:highlight w:val="none"/>
              </w:rPr>
            </w:pPr>
          </w:p>
        </w:tc>
        <w:tc>
          <w:tcPr>
            <w:tcW w:w="2788" w:type="dxa"/>
          </w:tcPr>
          <w:p w14:paraId="57F00024">
            <w:pPr>
              <w:shd w:val="clear"/>
              <w:rPr>
                <w:rFonts w:ascii="宋体" w:hAnsi="宋体" w:cs="宋体"/>
                <w:color w:val="auto"/>
                <w:highlight w:val="none"/>
              </w:rPr>
            </w:pPr>
          </w:p>
        </w:tc>
      </w:tr>
      <w:tr w14:paraId="2272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29FF72">
            <w:pPr>
              <w:shd w:val="clear"/>
              <w:rPr>
                <w:rFonts w:ascii="宋体" w:hAnsi="宋体" w:cs="宋体"/>
                <w:color w:val="auto"/>
                <w:highlight w:val="none"/>
              </w:rPr>
            </w:pPr>
          </w:p>
        </w:tc>
        <w:tc>
          <w:tcPr>
            <w:tcW w:w="2787" w:type="dxa"/>
          </w:tcPr>
          <w:p w14:paraId="51E8CCB8">
            <w:pPr>
              <w:shd w:val="clear"/>
              <w:rPr>
                <w:rFonts w:ascii="宋体" w:hAnsi="宋体" w:cs="宋体"/>
                <w:color w:val="auto"/>
                <w:highlight w:val="none"/>
              </w:rPr>
            </w:pPr>
          </w:p>
        </w:tc>
        <w:tc>
          <w:tcPr>
            <w:tcW w:w="2788" w:type="dxa"/>
          </w:tcPr>
          <w:p w14:paraId="604F2FD4">
            <w:pPr>
              <w:shd w:val="clear"/>
              <w:rPr>
                <w:rFonts w:ascii="宋体" w:hAnsi="宋体" w:cs="宋体"/>
                <w:color w:val="auto"/>
                <w:highlight w:val="none"/>
              </w:rPr>
            </w:pPr>
          </w:p>
        </w:tc>
        <w:tc>
          <w:tcPr>
            <w:tcW w:w="2788" w:type="dxa"/>
          </w:tcPr>
          <w:p w14:paraId="1096ADA4">
            <w:pPr>
              <w:shd w:val="clear"/>
              <w:rPr>
                <w:rFonts w:ascii="宋体" w:hAnsi="宋体" w:cs="宋体"/>
                <w:color w:val="auto"/>
                <w:highlight w:val="none"/>
              </w:rPr>
            </w:pPr>
          </w:p>
        </w:tc>
      </w:tr>
      <w:tr w14:paraId="427F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0EEAFF">
            <w:pPr>
              <w:shd w:val="clear"/>
              <w:rPr>
                <w:rFonts w:ascii="宋体" w:hAnsi="宋体" w:cs="宋体"/>
                <w:color w:val="auto"/>
                <w:highlight w:val="none"/>
              </w:rPr>
            </w:pPr>
          </w:p>
        </w:tc>
        <w:tc>
          <w:tcPr>
            <w:tcW w:w="2787" w:type="dxa"/>
          </w:tcPr>
          <w:p w14:paraId="56DD415D">
            <w:pPr>
              <w:shd w:val="clear"/>
              <w:rPr>
                <w:rFonts w:ascii="宋体" w:hAnsi="宋体" w:cs="宋体"/>
                <w:color w:val="auto"/>
                <w:highlight w:val="none"/>
              </w:rPr>
            </w:pPr>
          </w:p>
        </w:tc>
        <w:tc>
          <w:tcPr>
            <w:tcW w:w="2788" w:type="dxa"/>
          </w:tcPr>
          <w:p w14:paraId="0372E700">
            <w:pPr>
              <w:shd w:val="clear"/>
              <w:rPr>
                <w:rFonts w:ascii="宋体" w:hAnsi="宋体" w:cs="宋体"/>
                <w:color w:val="auto"/>
                <w:highlight w:val="none"/>
              </w:rPr>
            </w:pPr>
          </w:p>
        </w:tc>
        <w:tc>
          <w:tcPr>
            <w:tcW w:w="2788" w:type="dxa"/>
          </w:tcPr>
          <w:p w14:paraId="6A840F41">
            <w:pPr>
              <w:shd w:val="clear"/>
              <w:rPr>
                <w:rFonts w:ascii="宋体" w:hAnsi="宋体" w:cs="宋体"/>
                <w:color w:val="auto"/>
                <w:highlight w:val="none"/>
              </w:rPr>
            </w:pPr>
          </w:p>
        </w:tc>
      </w:tr>
      <w:tr w14:paraId="7E05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171A43">
            <w:pPr>
              <w:shd w:val="clear"/>
              <w:rPr>
                <w:rFonts w:ascii="宋体" w:hAnsi="宋体" w:cs="宋体"/>
                <w:color w:val="auto"/>
                <w:highlight w:val="none"/>
              </w:rPr>
            </w:pPr>
          </w:p>
        </w:tc>
        <w:tc>
          <w:tcPr>
            <w:tcW w:w="2787" w:type="dxa"/>
          </w:tcPr>
          <w:p w14:paraId="4F3A0BF5">
            <w:pPr>
              <w:shd w:val="clear"/>
              <w:rPr>
                <w:rFonts w:ascii="宋体" w:hAnsi="宋体" w:cs="宋体"/>
                <w:color w:val="auto"/>
                <w:highlight w:val="none"/>
              </w:rPr>
            </w:pPr>
          </w:p>
        </w:tc>
        <w:tc>
          <w:tcPr>
            <w:tcW w:w="2788" w:type="dxa"/>
          </w:tcPr>
          <w:p w14:paraId="23C9C2E9">
            <w:pPr>
              <w:shd w:val="clear"/>
              <w:rPr>
                <w:rFonts w:ascii="宋体" w:hAnsi="宋体" w:cs="宋体"/>
                <w:color w:val="auto"/>
                <w:highlight w:val="none"/>
              </w:rPr>
            </w:pPr>
          </w:p>
        </w:tc>
        <w:tc>
          <w:tcPr>
            <w:tcW w:w="2788" w:type="dxa"/>
          </w:tcPr>
          <w:p w14:paraId="55D36336">
            <w:pPr>
              <w:shd w:val="clear"/>
              <w:rPr>
                <w:rFonts w:ascii="宋体" w:hAnsi="宋体" w:cs="宋体"/>
                <w:color w:val="auto"/>
                <w:highlight w:val="none"/>
              </w:rPr>
            </w:pPr>
          </w:p>
        </w:tc>
      </w:tr>
      <w:tr w14:paraId="245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095A3E">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7D644185">
            <w:pPr>
              <w:shd w:val="clear"/>
              <w:rPr>
                <w:rFonts w:ascii="宋体" w:hAnsi="宋体" w:cs="宋体"/>
                <w:color w:val="auto"/>
                <w:highlight w:val="none"/>
              </w:rPr>
            </w:pPr>
          </w:p>
        </w:tc>
        <w:tc>
          <w:tcPr>
            <w:tcW w:w="2788" w:type="dxa"/>
          </w:tcPr>
          <w:p w14:paraId="15EBAAE0">
            <w:pPr>
              <w:shd w:val="clear"/>
              <w:rPr>
                <w:rFonts w:ascii="宋体" w:hAnsi="宋体" w:cs="宋体"/>
                <w:color w:val="auto"/>
                <w:highlight w:val="none"/>
              </w:rPr>
            </w:pPr>
          </w:p>
        </w:tc>
        <w:tc>
          <w:tcPr>
            <w:tcW w:w="2788" w:type="dxa"/>
          </w:tcPr>
          <w:p w14:paraId="03D6F612">
            <w:pPr>
              <w:shd w:val="clear"/>
              <w:rPr>
                <w:rFonts w:ascii="宋体" w:hAnsi="宋体" w:cs="宋体"/>
                <w:color w:val="auto"/>
                <w:highlight w:val="none"/>
              </w:rPr>
            </w:pPr>
          </w:p>
        </w:tc>
      </w:tr>
    </w:tbl>
    <w:p w14:paraId="3D006C8E">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中非带“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w:t>
      </w:r>
      <w:r>
        <w:rPr>
          <w:rFonts w:hint="eastAsia" w:asciiTheme="minorEastAsia" w:hAnsiTheme="minorEastAsia" w:eastAsiaTheme="minorEastAsia"/>
          <w:color w:val="auto"/>
          <w:sz w:val="24"/>
          <w:highlight w:val="none"/>
        </w:rPr>
        <w:t>★</w:t>
      </w:r>
      <w:r>
        <w:rPr>
          <w:rFonts w:hint="eastAsia" w:ascii="宋体" w:hAnsi="宋体" w:cs="宋体"/>
          <w:color w:val="auto"/>
          <w:highlight w:val="none"/>
        </w:rPr>
        <w:t>”的条款应答并按要求填写上表。</w:t>
      </w:r>
    </w:p>
    <w:p w14:paraId="60E0551E">
      <w:pPr>
        <w:shd w:val="clear"/>
        <w:spacing w:line="360" w:lineRule="auto"/>
        <w:ind w:firstLine="3360" w:firstLineChars="1600"/>
        <w:rPr>
          <w:rFonts w:ascii="宋体" w:hAnsi="宋体" w:cs="宋体"/>
          <w:color w:val="auto"/>
          <w:highlight w:val="none"/>
        </w:rPr>
      </w:pPr>
    </w:p>
    <w:p w14:paraId="3367D4FA">
      <w:pPr>
        <w:shd w:val="clear"/>
        <w:spacing w:line="360" w:lineRule="auto"/>
        <w:ind w:firstLine="3360" w:firstLineChars="1600"/>
        <w:rPr>
          <w:rFonts w:ascii="宋体" w:hAnsi="宋体" w:cs="宋体"/>
          <w:color w:val="auto"/>
          <w:highlight w:val="none"/>
        </w:rPr>
      </w:pPr>
    </w:p>
    <w:p w14:paraId="22B99779">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7F4E8C09">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投标人（盖章）：</w:t>
      </w:r>
    </w:p>
    <w:p w14:paraId="59D12595">
      <w:pPr>
        <w:pStyle w:val="26"/>
        <w:shd w:val="clear"/>
        <w:ind w:firstLine="560"/>
        <w:rPr>
          <w:color w:val="auto"/>
          <w:highlight w:val="non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t>日期：</w:t>
      </w:r>
    </w:p>
    <w:p w14:paraId="1B0DF8D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十、同类业绩情况一览表</w:t>
      </w:r>
    </w:p>
    <w:p w14:paraId="44D49A32">
      <w:pPr>
        <w:shd w:val="clear"/>
        <w:spacing w:line="360" w:lineRule="auto"/>
        <w:jc w:val="center"/>
        <w:rPr>
          <w:rFonts w:cs="仿宋" w:asciiTheme="majorEastAsia" w:hAnsiTheme="majorEastAsia" w:eastAsiaTheme="majorEastAsia"/>
          <w:color w:val="auto"/>
          <w:highlight w:val="none"/>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526D4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A84B8A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AAC31AD">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6AFCB26B">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0A8758F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2337991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03512A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3730188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11FD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7AD87D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7816854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8F0B577">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F6AAB4E">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B4F88B3">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68C0B93">
            <w:pPr>
              <w:shd w:val="clear"/>
              <w:spacing w:line="360" w:lineRule="auto"/>
              <w:jc w:val="left"/>
              <w:rPr>
                <w:rFonts w:cs="仿宋" w:asciiTheme="majorEastAsia" w:hAnsiTheme="majorEastAsia" w:eastAsiaTheme="majorEastAsia"/>
                <w:color w:val="auto"/>
                <w:kern w:val="0"/>
                <w:sz w:val="24"/>
                <w:highlight w:val="none"/>
              </w:rPr>
            </w:pPr>
          </w:p>
        </w:tc>
      </w:tr>
      <w:tr w14:paraId="76B77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FEB738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601B31EA">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A1FF5C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79616F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324FB2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92942B">
            <w:pPr>
              <w:shd w:val="clear"/>
              <w:spacing w:line="360" w:lineRule="auto"/>
              <w:jc w:val="left"/>
              <w:rPr>
                <w:rFonts w:cs="仿宋" w:asciiTheme="majorEastAsia" w:hAnsiTheme="majorEastAsia" w:eastAsiaTheme="majorEastAsia"/>
                <w:color w:val="auto"/>
                <w:kern w:val="0"/>
                <w:sz w:val="24"/>
                <w:highlight w:val="none"/>
              </w:rPr>
            </w:pPr>
          </w:p>
        </w:tc>
      </w:tr>
      <w:tr w14:paraId="39EC8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8C74D8B">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4EB1DB5C">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5FED2CA">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3B46EAE">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85BF927">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8C0779C">
            <w:pPr>
              <w:shd w:val="clear"/>
              <w:spacing w:line="360" w:lineRule="auto"/>
              <w:jc w:val="left"/>
              <w:rPr>
                <w:rFonts w:cs="仿宋" w:asciiTheme="majorEastAsia" w:hAnsiTheme="majorEastAsia" w:eastAsiaTheme="majorEastAsia"/>
                <w:color w:val="auto"/>
                <w:kern w:val="0"/>
                <w:sz w:val="24"/>
                <w:highlight w:val="none"/>
              </w:rPr>
            </w:pPr>
          </w:p>
        </w:tc>
      </w:tr>
      <w:tr w14:paraId="6C28E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EBEBF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2C044CCE">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620E01D">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B53857D">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5B95E67">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3337E62">
            <w:pPr>
              <w:shd w:val="clear"/>
              <w:spacing w:line="360" w:lineRule="auto"/>
              <w:jc w:val="left"/>
              <w:rPr>
                <w:rFonts w:cs="仿宋" w:asciiTheme="majorEastAsia" w:hAnsiTheme="majorEastAsia" w:eastAsiaTheme="majorEastAsia"/>
                <w:color w:val="auto"/>
                <w:kern w:val="0"/>
                <w:sz w:val="24"/>
                <w:highlight w:val="none"/>
              </w:rPr>
            </w:pPr>
          </w:p>
        </w:tc>
      </w:tr>
      <w:tr w14:paraId="37E0A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9105DB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6454EEF3">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8C3BBF4">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AC13E1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C2750B8">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F17B087">
            <w:pPr>
              <w:shd w:val="clear"/>
              <w:spacing w:line="360" w:lineRule="auto"/>
              <w:jc w:val="left"/>
              <w:rPr>
                <w:rFonts w:cs="仿宋" w:asciiTheme="majorEastAsia" w:hAnsiTheme="majorEastAsia" w:eastAsiaTheme="majorEastAsia"/>
                <w:color w:val="auto"/>
                <w:kern w:val="0"/>
                <w:sz w:val="24"/>
                <w:highlight w:val="none"/>
              </w:rPr>
            </w:pPr>
          </w:p>
        </w:tc>
      </w:tr>
    </w:tbl>
    <w:p w14:paraId="6E24F2C5">
      <w:pPr>
        <w:shd w:val="clear"/>
        <w:spacing w:line="360" w:lineRule="auto"/>
        <w:jc w:val="left"/>
        <w:rPr>
          <w:rFonts w:cs="仿宋" w:asciiTheme="majorEastAsia" w:hAnsiTheme="majorEastAsia" w:eastAsiaTheme="majorEastAsia"/>
          <w:color w:val="auto"/>
          <w:kern w:val="0"/>
          <w:sz w:val="24"/>
          <w:highlight w:val="none"/>
        </w:rPr>
      </w:pPr>
    </w:p>
    <w:p w14:paraId="4B3288BB">
      <w:pPr>
        <w:shd w:val="clear"/>
        <w:spacing w:line="360" w:lineRule="auto"/>
        <w:jc w:val="left"/>
        <w:rPr>
          <w:rFonts w:cs="仿宋" w:asciiTheme="majorEastAsia" w:hAnsiTheme="majorEastAsia" w:eastAsiaTheme="majorEastAsia"/>
          <w:color w:val="auto"/>
          <w:kern w:val="0"/>
          <w:sz w:val="24"/>
          <w:highlight w:val="none"/>
        </w:rPr>
      </w:pPr>
    </w:p>
    <w:p w14:paraId="3FC55484">
      <w:pPr>
        <w:shd w:val="clear"/>
        <w:spacing w:line="360" w:lineRule="auto"/>
        <w:jc w:val="left"/>
        <w:rPr>
          <w:rFonts w:cs="仿宋" w:asciiTheme="majorEastAsia" w:hAnsiTheme="majorEastAsia" w:eastAsiaTheme="majorEastAsia"/>
          <w:color w:val="auto"/>
          <w:kern w:val="0"/>
          <w:sz w:val="24"/>
          <w:highlight w:val="none"/>
        </w:rPr>
      </w:pPr>
    </w:p>
    <w:p w14:paraId="3253902B">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2C40B0D">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05D9F6A">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7527048">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643F212B">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十一、项目实施人员一览表</w:t>
      </w:r>
    </w:p>
    <w:p w14:paraId="0C3617A3">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4AE0AED9">
      <w:pPr>
        <w:shd w:val="clear"/>
        <w:jc w:val="left"/>
        <w:rPr>
          <w:rFonts w:ascii="仿宋_GB2312" w:hAnsi="仿宋" w:eastAsia="仿宋_GB2312" w:cs="仿宋"/>
          <w:b/>
          <w:color w:val="auto"/>
          <w:sz w:val="24"/>
          <w:highlight w:val="none"/>
        </w:rPr>
      </w:pPr>
    </w:p>
    <w:p w14:paraId="78C8BA7E">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4D02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82EED99">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3E8737D8">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0AFEEFEA">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6E4AD9F0">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0816C44F">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ABD2319">
            <w:pPr>
              <w:pStyle w:val="11"/>
              <w:shd w:val="clear"/>
              <w:ind w:left="630" w:hanging="630" w:hangingChars="300"/>
              <w:jc w:val="center"/>
              <w:rPr>
                <w:rFonts w:hAnsi="宋体"/>
                <w:color w:val="auto"/>
                <w:highlight w:val="none"/>
              </w:rPr>
            </w:pPr>
          </w:p>
        </w:tc>
      </w:tr>
      <w:tr w14:paraId="621F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12B3121F">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6747A80B">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0EFCB907">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76E0EFAE">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698C0BAE">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011ECE70">
            <w:pPr>
              <w:pStyle w:val="11"/>
              <w:shd w:val="clear"/>
              <w:ind w:left="630" w:hanging="630" w:hangingChars="300"/>
              <w:jc w:val="center"/>
              <w:rPr>
                <w:rFonts w:hAnsi="宋体"/>
                <w:color w:val="auto"/>
                <w:highlight w:val="none"/>
              </w:rPr>
            </w:pPr>
          </w:p>
        </w:tc>
      </w:tr>
      <w:tr w14:paraId="2463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322CB80B">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6F6EF787">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40DD0301">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12A45576">
            <w:pPr>
              <w:pStyle w:val="11"/>
              <w:shd w:val="clear"/>
              <w:ind w:left="630" w:hanging="630" w:hangingChars="300"/>
              <w:jc w:val="center"/>
              <w:rPr>
                <w:rFonts w:hAnsi="宋体"/>
                <w:color w:val="auto"/>
                <w:highlight w:val="none"/>
              </w:rPr>
            </w:pPr>
          </w:p>
        </w:tc>
      </w:tr>
      <w:tr w14:paraId="560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03F358AE">
            <w:pPr>
              <w:pStyle w:val="11"/>
              <w:shd w:val="clear"/>
              <w:spacing w:before="120" w:after="120"/>
              <w:ind w:left="630" w:hanging="630" w:hangingChars="300"/>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投标截止时间前三年业绩及承担的主要工作情况，曾担任项目负责人的项目应列明细</w:t>
            </w:r>
          </w:p>
        </w:tc>
      </w:tr>
    </w:tbl>
    <w:p w14:paraId="24DC36D0">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09FB1731">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01" w:name="OLE_LINK9"/>
    </w:p>
    <w:p w14:paraId="67A61EAD">
      <w:pPr>
        <w:pStyle w:val="11"/>
        <w:shd w:val="clear"/>
        <w:spacing w:line="340" w:lineRule="exact"/>
        <w:jc w:val="left"/>
        <w:rPr>
          <w:rFonts w:ascii="仿宋_GB2312" w:hAnsi="仿宋" w:eastAsia="仿宋_GB2312" w:cs="仿宋"/>
          <w:b/>
          <w:color w:val="auto"/>
          <w:highlight w:val="none"/>
        </w:rPr>
      </w:pPr>
    </w:p>
    <w:p w14:paraId="72F0B10F">
      <w:pPr>
        <w:pStyle w:val="11"/>
        <w:shd w:val="clear"/>
        <w:spacing w:line="340" w:lineRule="exact"/>
        <w:jc w:val="left"/>
        <w:rPr>
          <w:rFonts w:ascii="仿宋_GB2312" w:hAnsi="仿宋" w:eastAsia="仿宋_GB2312" w:cs="仿宋"/>
          <w:b/>
          <w:color w:val="auto"/>
          <w:highlight w:val="none"/>
        </w:rPr>
      </w:pPr>
    </w:p>
    <w:p w14:paraId="12B71C22">
      <w:pPr>
        <w:pStyle w:val="11"/>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附表B:拟投入的项目实施人员名单</w:t>
      </w:r>
      <w:bookmarkEnd w:id="401"/>
    </w:p>
    <w:tbl>
      <w:tblPr>
        <w:tblStyle w:val="20"/>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4890F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208B9E5E">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2C014276">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0F834668">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651C445C">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297" w:type="dxa"/>
            <w:vAlign w:val="center"/>
          </w:tcPr>
          <w:p w14:paraId="174C7F33">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0F20F432">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281839C6">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715B3D51">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2F491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CE8ED34">
            <w:pPr>
              <w:shd w:val="clear"/>
              <w:spacing w:line="360" w:lineRule="auto"/>
              <w:jc w:val="center"/>
              <w:rPr>
                <w:rFonts w:ascii="宋体" w:hAnsi="宋体"/>
                <w:color w:val="auto"/>
                <w:szCs w:val="21"/>
                <w:highlight w:val="none"/>
              </w:rPr>
            </w:pPr>
          </w:p>
        </w:tc>
        <w:tc>
          <w:tcPr>
            <w:tcW w:w="927" w:type="dxa"/>
            <w:vAlign w:val="center"/>
          </w:tcPr>
          <w:p w14:paraId="5B9F5346">
            <w:pPr>
              <w:shd w:val="clear"/>
              <w:spacing w:line="360" w:lineRule="auto"/>
              <w:jc w:val="center"/>
              <w:rPr>
                <w:rFonts w:ascii="宋体" w:hAnsi="宋体"/>
                <w:color w:val="auto"/>
                <w:szCs w:val="21"/>
                <w:highlight w:val="none"/>
              </w:rPr>
            </w:pPr>
          </w:p>
        </w:tc>
        <w:tc>
          <w:tcPr>
            <w:tcW w:w="927" w:type="dxa"/>
            <w:vAlign w:val="center"/>
          </w:tcPr>
          <w:p w14:paraId="1237843E">
            <w:pPr>
              <w:shd w:val="clear"/>
              <w:spacing w:line="360" w:lineRule="auto"/>
              <w:jc w:val="center"/>
              <w:rPr>
                <w:rFonts w:ascii="宋体" w:hAnsi="宋体"/>
                <w:color w:val="auto"/>
                <w:szCs w:val="21"/>
                <w:highlight w:val="none"/>
              </w:rPr>
            </w:pPr>
          </w:p>
        </w:tc>
        <w:tc>
          <w:tcPr>
            <w:tcW w:w="742" w:type="dxa"/>
            <w:vAlign w:val="center"/>
          </w:tcPr>
          <w:p w14:paraId="418ED0CA">
            <w:pPr>
              <w:shd w:val="clear"/>
              <w:spacing w:line="360" w:lineRule="auto"/>
              <w:jc w:val="center"/>
              <w:rPr>
                <w:rFonts w:ascii="宋体" w:hAnsi="宋体"/>
                <w:color w:val="auto"/>
                <w:szCs w:val="21"/>
                <w:highlight w:val="none"/>
              </w:rPr>
            </w:pPr>
          </w:p>
        </w:tc>
        <w:tc>
          <w:tcPr>
            <w:tcW w:w="1297" w:type="dxa"/>
            <w:vAlign w:val="center"/>
          </w:tcPr>
          <w:p w14:paraId="21F8BB33">
            <w:pPr>
              <w:shd w:val="clear"/>
              <w:spacing w:line="360" w:lineRule="auto"/>
              <w:jc w:val="center"/>
              <w:rPr>
                <w:rFonts w:ascii="宋体" w:hAnsi="宋体"/>
                <w:color w:val="auto"/>
                <w:szCs w:val="21"/>
                <w:highlight w:val="none"/>
              </w:rPr>
            </w:pPr>
          </w:p>
        </w:tc>
        <w:tc>
          <w:tcPr>
            <w:tcW w:w="1284" w:type="dxa"/>
            <w:vAlign w:val="center"/>
          </w:tcPr>
          <w:p w14:paraId="4B1CB705">
            <w:pPr>
              <w:shd w:val="clear"/>
              <w:spacing w:line="360" w:lineRule="auto"/>
              <w:jc w:val="center"/>
              <w:rPr>
                <w:rFonts w:ascii="宋体" w:hAnsi="宋体"/>
                <w:color w:val="auto"/>
                <w:szCs w:val="21"/>
                <w:highlight w:val="none"/>
              </w:rPr>
            </w:pPr>
          </w:p>
        </w:tc>
        <w:tc>
          <w:tcPr>
            <w:tcW w:w="1766" w:type="dxa"/>
          </w:tcPr>
          <w:p w14:paraId="0820F235">
            <w:pPr>
              <w:shd w:val="clear"/>
              <w:spacing w:line="360" w:lineRule="auto"/>
              <w:jc w:val="center"/>
              <w:rPr>
                <w:rFonts w:ascii="宋体" w:hAnsi="宋体"/>
                <w:color w:val="auto"/>
                <w:szCs w:val="21"/>
                <w:highlight w:val="none"/>
              </w:rPr>
            </w:pPr>
          </w:p>
        </w:tc>
        <w:tc>
          <w:tcPr>
            <w:tcW w:w="1112" w:type="dxa"/>
            <w:vAlign w:val="center"/>
          </w:tcPr>
          <w:p w14:paraId="5958CE34">
            <w:pPr>
              <w:shd w:val="clear"/>
              <w:spacing w:line="360" w:lineRule="auto"/>
              <w:jc w:val="center"/>
              <w:rPr>
                <w:rFonts w:ascii="宋体" w:hAnsi="宋体"/>
                <w:color w:val="auto"/>
                <w:szCs w:val="21"/>
                <w:highlight w:val="none"/>
              </w:rPr>
            </w:pPr>
          </w:p>
        </w:tc>
      </w:tr>
      <w:tr w14:paraId="60B4D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FFE98EF">
            <w:pPr>
              <w:shd w:val="clear"/>
              <w:spacing w:line="360" w:lineRule="auto"/>
              <w:jc w:val="center"/>
              <w:rPr>
                <w:rFonts w:ascii="宋体" w:hAnsi="宋体"/>
                <w:color w:val="auto"/>
                <w:szCs w:val="21"/>
                <w:highlight w:val="none"/>
              </w:rPr>
            </w:pPr>
          </w:p>
        </w:tc>
        <w:tc>
          <w:tcPr>
            <w:tcW w:w="927" w:type="dxa"/>
            <w:vAlign w:val="center"/>
          </w:tcPr>
          <w:p w14:paraId="249BFF4A">
            <w:pPr>
              <w:shd w:val="clear"/>
              <w:spacing w:line="360" w:lineRule="auto"/>
              <w:jc w:val="center"/>
              <w:rPr>
                <w:rFonts w:ascii="宋体" w:hAnsi="宋体"/>
                <w:color w:val="auto"/>
                <w:szCs w:val="21"/>
                <w:highlight w:val="none"/>
              </w:rPr>
            </w:pPr>
          </w:p>
        </w:tc>
        <w:tc>
          <w:tcPr>
            <w:tcW w:w="927" w:type="dxa"/>
            <w:vAlign w:val="center"/>
          </w:tcPr>
          <w:p w14:paraId="64CCB245">
            <w:pPr>
              <w:shd w:val="clear"/>
              <w:spacing w:line="360" w:lineRule="auto"/>
              <w:jc w:val="center"/>
              <w:rPr>
                <w:rFonts w:ascii="宋体" w:hAnsi="宋体"/>
                <w:color w:val="auto"/>
                <w:szCs w:val="21"/>
                <w:highlight w:val="none"/>
              </w:rPr>
            </w:pPr>
          </w:p>
        </w:tc>
        <w:tc>
          <w:tcPr>
            <w:tcW w:w="742" w:type="dxa"/>
            <w:vAlign w:val="center"/>
          </w:tcPr>
          <w:p w14:paraId="10E514E7">
            <w:pPr>
              <w:shd w:val="clear"/>
              <w:spacing w:line="360" w:lineRule="auto"/>
              <w:jc w:val="center"/>
              <w:rPr>
                <w:rFonts w:ascii="宋体" w:hAnsi="宋体"/>
                <w:color w:val="auto"/>
                <w:szCs w:val="21"/>
                <w:highlight w:val="none"/>
              </w:rPr>
            </w:pPr>
          </w:p>
        </w:tc>
        <w:tc>
          <w:tcPr>
            <w:tcW w:w="1297" w:type="dxa"/>
            <w:vAlign w:val="center"/>
          </w:tcPr>
          <w:p w14:paraId="5484C317">
            <w:pPr>
              <w:shd w:val="clear"/>
              <w:spacing w:line="360" w:lineRule="auto"/>
              <w:jc w:val="center"/>
              <w:rPr>
                <w:rFonts w:ascii="宋体" w:hAnsi="宋体"/>
                <w:color w:val="auto"/>
                <w:szCs w:val="21"/>
                <w:highlight w:val="none"/>
              </w:rPr>
            </w:pPr>
          </w:p>
        </w:tc>
        <w:tc>
          <w:tcPr>
            <w:tcW w:w="1284" w:type="dxa"/>
            <w:vAlign w:val="center"/>
          </w:tcPr>
          <w:p w14:paraId="54ED175A">
            <w:pPr>
              <w:shd w:val="clear"/>
              <w:spacing w:line="360" w:lineRule="auto"/>
              <w:jc w:val="center"/>
              <w:rPr>
                <w:rFonts w:ascii="宋体" w:hAnsi="宋体"/>
                <w:color w:val="auto"/>
                <w:szCs w:val="21"/>
                <w:highlight w:val="none"/>
              </w:rPr>
            </w:pPr>
          </w:p>
        </w:tc>
        <w:tc>
          <w:tcPr>
            <w:tcW w:w="1766" w:type="dxa"/>
          </w:tcPr>
          <w:p w14:paraId="0FCB7F8B">
            <w:pPr>
              <w:shd w:val="clear"/>
              <w:spacing w:line="360" w:lineRule="auto"/>
              <w:jc w:val="center"/>
              <w:rPr>
                <w:rFonts w:ascii="宋体" w:hAnsi="宋体"/>
                <w:color w:val="auto"/>
                <w:szCs w:val="21"/>
                <w:highlight w:val="none"/>
              </w:rPr>
            </w:pPr>
          </w:p>
        </w:tc>
        <w:tc>
          <w:tcPr>
            <w:tcW w:w="1112" w:type="dxa"/>
            <w:vAlign w:val="center"/>
          </w:tcPr>
          <w:p w14:paraId="0053EC72">
            <w:pPr>
              <w:shd w:val="clear"/>
              <w:spacing w:line="360" w:lineRule="auto"/>
              <w:jc w:val="center"/>
              <w:rPr>
                <w:rFonts w:ascii="宋体" w:hAnsi="宋体"/>
                <w:color w:val="auto"/>
                <w:szCs w:val="21"/>
                <w:highlight w:val="none"/>
              </w:rPr>
            </w:pPr>
          </w:p>
        </w:tc>
      </w:tr>
      <w:tr w14:paraId="2D55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143E1A5">
            <w:pPr>
              <w:shd w:val="clear"/>
              <w:spacing w:line="360" w:lineRule="auto"/>
              <w:jc w:val="center"/>
              <w:rPr>
                <w:rFonts w:ascii="宋体" w:hAnsi="宋体"/>
                <w:color w:val="auto"/>
                <w:szCs w:val="21"/>
                <w:highlight w:val="none"/>
              </w:rPr>
            </w:pPr>
          </w:p>
        </w:tc>
        <w:tc>
          <w:tcPr>
            <w:tcW w:w="927" w:type="dxa"/>
            <w:vAlign w:val="center"/>
          </w:tcPr>
          <w:p w14:paraId="5DA58BFD">
            <w:pPr>
              <w:shd w:val="clear"/>
              <w:spacing w:line="360" w:lineRule="auto"/>
              <w:jc w:val="center"/>
              <w:rPr>
                <w:rFonts w:ascii="宋体" w:hAnsi="宋体"/>
                <w:color w:val="auto"/>
                <w:szCs w:val="21"/>
                <w:highlight w:val="none"/>
              </w:rPr>
            </w:pPr>
          </w:p>
        </w:tc>
        <w:tc>
          <w:tcPr>
            <w:tcW w:w="927" w:type="dxa"/>
            <w:vAlign w:val="center"/>
          </w:tcPr>
          <w:p w14:paraId="31934096">
            <w:pPr>
              <w:shd w:val="clear"/>
              <w:spacing w:line="360" w:lineRule="auto"/>
              <w:jc w:val="center"/>
              <w:rPr>
                <w:rFonts w:ascii="宋体" w:hAnsi="宋体"/>
                <w:color w:val="auto"/>
                <w:szCs w:val="21"/>
                <w:highlight w:val="none"/>
              </w:rPr>
            </w:pPr>
          </w:p>
        </w:tc>
        <w:tc>
          <w:tcPr>
            <w:tcW w:w="742" w:type="dxa"/>
            <w:vAlign w:val="center"/>
          </w:tcPr>
          <w:p w14:paraId="633D614C">
            <w:pPr>
              <w:shd w:val="clear"/>
              <w:spacing w:line="360" w:lineRule="auto"/>
              <w:jc w:val="center"/>
              <w:rPr>
                <w:rFonts w:ascii="宋体" w:hAnsi="宋体"/>
                <w:color w:val="auto"/>
                <w:szCs w:val="21"/>
                <w:highlight w:val="none"/>
              </w:rPr>
            </w:pPr>
          </w:p>
        </w:tc>
        <w:tc>
          <w:tcPr>
            <w:tcW w:w="1297" w:type="dxa"/>
            <w:vAlign w:val="center"/>
          </w:tcPr>
          <w:p w14:paraId="22D0B188">
            <w:pPr>
              <w:shd w:val="clear"/>
              <w:spacing w:line="360" w:lineRule="auto"/>
              <w:jc w:val="center"/>
              <w:rPr>
                <w:rFonts w:ascii="宋体" w:hAnsi="宋体"/>
                <w:color w:val="auto"/>
                <w:szCs w:val="21"/>
                <w:highlight w:val="none"/>
              </w:rPr>
            </w:pPr>
          </w:p>
        </w:tc>
        <w:tc>
          <w:tcPr>
            <w:tcW w:w="1284" w:type="dxa"/>
            <w:vAlign w:val="center"/>
          </w:tcPr>
          <w:p w14:paraId="3EE7FFC2">
            <w:pPr>
              <w:shd w:val="clear"/>
              <w:spacing w:line="360" w:lineRule="auto"/>
              <w:jc w:val="center"/>
              <w:rPr>
                <w:rFonts w:ascii="宋体" w:hAnsi="宋体"/>
                <w:color w:val="auto"/>
                <w:szCs w:val="21"/>
                <w:highlight w:val="none"/>
              </w:rPr>
            </w:pPr>
          </w:p>
        </w:tc>
        <w:tc>
          <w:tcPr>
            <w:tcW w:w="1766" w:type="dxa"/>
          </w:tcPr>
          <w:p w14:paraId="6C45FD15">
            <w:pPr>
              <w:shd w:val="clear"/>
              <w:spacing w:line="360" w:lineRule="auto"/>
              <w:jc w:val="center"/>
              <w:rPr>
                <w:rFonts w:ascii="宋体" w:hAnsi="宋体"/>
                <w:color w:val="auto"/>
                <w:szCs w:val="21"/>
                <w:highlight w:val="none"/>
              </w:rPr>
            </w:pPr>
          </w:p>
        </w:tc>
        <w:tc>
          <w:tcPr>
            <w:tcW w:w="1112" w:type="dxa"/>
            <w:vAlign w:val="center"/>
          </w:tcPr>
          <w:p w14:paraId="60B36549">
            <w:pPr>
              <w:shd w:val="clear"/>
              <w:spacing w:line="360" w:lineRule="auto"/>
              <w:jc w:val="center"/>
              <w:rPr>
                <w:rFonts w:ascii="宋体" w:hAnsi="宋体"/>
                <w:color w:val="auto"/>
                <w:szCs w:val="21"/>
                <w:highlight w:val="none"/>
              </w:rPr>
            </w:pPr>
          </w:p>
        </w:tc>
      </w:tr>
      <w:tr w14:paraId="6EAE5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DCB9C95">
            <w:pPr>
              <w:shd w:val="clear"/>
              <w:spacing w:line="360" w:lineRule="auto"/>
              <w:jc w:val="center"/>
              <w:rPr>
                <w:rFonts w:ascii="宋体" w:hAnsi="宋体"/>
                <w:color w:val="auto"/>
                <w:szCs w:val="21"/>
                <w:highlight w:val="none"/>
              </w:rPr>
            </w:pPr>
          </w:p>
        </w:tc>
        <w:tc>
          <w:tcPr>
            <w:tcW w:w="927" w:type="dxa"/>
            <w:vAlign w:val="center"/>
          </w:tcPr>
          <w:p w14:paraId="338BE55A">
            <w:pPr>
              <w:shd w:val="clear"/>
              <w:spacing w:line="360" w:lineRule="auto"/>
              <w:jc w:val="center"/>
              <w:rPr>
                <w:rFonts w:ascii="宋体" w:hAnsi="宋体"/>
                <w:color w:val="auto"/>
                <w:szCs w:val="21"/>
                <w:highlight w:val="none"/>
              </w:rPr>
            </w:pPr>
          </w:p>
        </w:tc>
        <w:tc>
          <w:tcPr>
            <w:tcW w:w="927" w:type="dxa"/>
            <w:vAlign w:val="center"/>
          </w:tcPr>
          <w:p w14:paraId="2A632BB6">
            <w:pPr>
              <w:shd w:val="clear"/>
              <w:spacing w:line="360" w:lineRule="auto"/>
              <w:jc w:val="center"/>
              <w:rPr>
                <w:rFonts w:ascii="宋体" w:hAnsi="宋体"/>
                <w:color w:val="auto"/>
                <w:szCs w:val="21"/>
                <w:highlight w:val="none"/>
              </w:rPr>
            </w:pPr>
          </w:p>
        </w:tc>
        <w:tc>
          <w:tcPr>
            <w:tcW w:w="742" w:type="dxa"/>
            <w:vAlign w:val="center"/>
          </w:tcPr>
          <w:p w14:paraId="79369BD1">
            <w:pPr>
              <w:shd w:val="clear"/>
              <w:spacing w:line="360" w:lineRule="auto"/>
              <w:jc w:val="center"/>
              <w:rPr>
                <w:rFonts w:ascii="宋体" w:hAnsi="宋体"/>
                <w:color w:val="auto"/>
                <w:szCs w:val="21"/>
                <w:highlight w:val="none"/>
              </w:rPr>
            </w:pPr>
          </w:p>
        </w:tc>
        <w:tc>
          <w:tcPr>
            <w:tcW w:w="1297" w:type="dxa"/>
            <w:vAlign w:val="center"/>
          </w:tcPr>
          <w:p w14:paraId="3F796D45">
            <w:pPr>
              <w:shd w:val="clear"/>
              <w:spacing w:line="360" w:lineRule="auto"/>
              <w:jc w:val="center"/>
              <w:rPr>
                <w:rFonts w:ascii="宋体" w:hAnsi="宋体"/>
                <w:color w:val="auto"/>
                <w:szCs w:val="21"/>
                <w:highlight w:val="none"/>
              </w:rPr>
            </w:pPr>
          </w:p>
        </w:tc>
        <w:tc>
          <w:tcPr>
            <w:tcW w:w="1284" w:type="dxa"/>
            <w:vAlign w:val="center"/>
          </w:tcPr>
          <w:p w14:paraId="4B284F0D">
            <w:pPr>
              <w:shd w:val="clear"/>
              <w:spacing w:line="360" w:lineRule="auto"/>
              <w:jc w:val="center"/>
              <w:rPr>
                <w:rFonts w:ascii="宋体" w:hAnsi="宋体"/>
                <w:color w:val="auto"/>
                <w:szCs w:val="21"/>
                <w:highlight w:val="none"/>
              </w:rPr>
            </w:pPr>
          </w:p>
        </w:tc>
        <w:tc>
          <w:tcPr>
            <w:tcW w:w="1766" w:type="dxa"/>
          </w:tcPr>
          <w:p w14:paraId="24CD813F">
            <w:pPr>
              <w:shd w:val="clear"/>
              <w:spacing w:line="360" w:lineRule="auto"/>
              <w:jc w:val="center"/>
              <w:rPr>
                <w:rFonts w:ascii="宋体" w:hAnsi="宋体"/>
                <w:color w:val="auto"/>
                <w:szCs w:val="21"/>
                <w:highlight w:val="none"/>
              </w:rPr>
            </w:pPr>
          </w:p>
        </w:tc>
        <w:tc>
          <w:tcPr>
            <w:tcW w:w="1112" w:type="dxa"/>
            <w:vAlign w:val="center"/>
          </w:tcPr>
          <w:p w14:paraId="6C3DCB57">
            <w:pPr>
              <w:shd w:val="clear"/>
              <w:spacing w:line="360" w:lineRule="auto"/>
              <w:jc w:val="center"/>
              <w:rPr>
                <w:rFonts w:ascii="宋体" w:hAnsi="宋体"/>
                <w:color w:val="auto"/>
                <w:szCs w:val="21"/>
                <w:highlight w:val="none"/>
              </w:rPr>
            </w:pPr>
          </w:p>
        </w:tc>
      </w:tr>
      <w:tr w14:paraId="1E8C2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235DDDC">
            <w:pPr>
              <w:shd w:val="clear"/>
              <w:spacing w:line="360" w:lineRule="auto"/>
              <w:jc w:val="center"/>
              <w:rPr>
                <w:rFonts w:ascii="宋体" w:hAnsi="宋体"/>
                <w:color w:val="auto"/>
                <w:szCs w:val="21"/>
                <w:highlight w:val="none"/>
              </w:rPr>
            </w:pPr>
          </w:p>
        </w:tc>
        <w:tc>
          <w:tcPr>
            <w:tcW w:w="927" w:type="dxa"/>
            <w:vAlign w:val="center"/>
          </w:tcPr>
          <w:p w14:paraId="0F0F7718">
            <w:pPr>
              <w:shd w:val="clear"/>
              <w:spacing w:line="360" w:lineRule="auto"/>
              <w:jc w:val="center"/>
              <w:rPr>
                <w:rFonts w:ascii="宋体" w:hAnsi="宋体"/>
                <w:color w:val="auto"/>
                <w:szCs w:val="21"/>
                <w:highlight w:val="none"/>
              </w:rPr>
            </w:pPr>
          </w:p>
        </w:tc>
        <w:tc>
          <w:tcPr>
            <w:tcW w:w="927" w:type="dxa"/>
            <w:vAlign w:val="center"/>
          </w:tcPr>
          <w:p w14:paraId="70942EAA">
            <w:pPr>
              <w:shd w:val="clear"/>
              <w:spacing w:line="360" w:lineRule="auto"/>
              <w:jc w:val="center"/>
              <w:rPr>
                <w:rFonts w:ascii="宋体" w:hAnsi="宋体"/>
                <w:color w:val="auto"/>
                <w:szCs w:val="21"/>
                <w:highlight w:val="none"/>
              </w:rPr>
            </w:pPr>
          </w:p>
        </w:tc>
        <w:tc>
          <w:tcPr>
            <w:tcW w:w="742" w:type="dxa"/>
            <w:vAlign w:val="center"/>
          </w:tcPr>
          <w:p w14:paraId="442B280A">
            <w:pPr>
              <w:shd w:val="clear"/>
              <w:spacing w:line="360" w:lineRule="auto"/>
              <w:jc w:val="center"/>
              <w:rPr>
                <w:rFonts w:ascii="宋体" w:hAnsi="宋体"/>
                <w:color w:val="auto"/>
                <w:szCs w:val="21"/>
                <w:highlight w:val="none"/>
              </w:rPr>
            </w:pPr>
          </w:p>
        </w:tc>
        <w:tc>
          <w:tcPr>
            <w:tcW w:w="1297" w:type="dxa"/>
            <w:vAlign w:val="center"/>
          </w:tcPr>
          <w:p w14:paraId="4E5EAFF7">
            <w:pPr>
              <w:shd w:val="clear"/>
              <w:spacing w:line="360" w:lineRule="auto"/>
              <w:jc w:val="center"/>
              <w:rPr>
                <w:rFonts w:ascii="宋体" w:hAnsi="宋体"/>
                <w:color w:val="auto"/>
                <w:szCs w:val="21"/>
                <w:highlight w:val="none"/>
              </w:rPr>
            </w:pPr>
          </w:p>
        </w:tc>
        <w:tc>
          <w:tcPr>
            <w:tcW w:w="1284" w:type="dxa"/>
            <w:vAlign w:val="center"/>
          </w:tcPr>
          <w:p w14:paraId="76890770">
            <w:pPr>
              <w:shd w:val="clear"/>
              <w:spacing w:line="360" w:lineRule="auto"/>
              <w:jc w:val="center"/>
              <w:rPr>
                <w:rFonts w:ascii="宋体" w:hAnsi="宋体"/>
                <w:color w:val="auto"/>
                <w:szCs w:val="21"/>
                <w:highlight w:val="none"/>
              </w:rPr>
            </w:pPr>
          </w:p>
        </w:tc>
        <w:tc>
          <w:tcPr>
            <w:tcW w:w="1766" w:type="dxa"/>
          </w:tcPr>
          <w:p w14:paraId="6938521A">
            <w:pPr>
              <w:shd w:val="clear"/>
              <w:spacing w:line="360" w:lineRule="auto"/>
              <w:jc w:val="center"/>
              <w:rPr>
                <w:rFonts w:ascii="宋体" w:hAnsi="宋体"/>
                <w:color w:val="auto"/>
                <w:szCs w:val="21"/>
                <w:highlight w:val="none"/>
              </w:rPr>
            </w:pPr>
          </w:p>
        </w:tc>
        <w:tc>
          <w:tcPr>
            <w:tcW w:w="1112" w:type="dxa"/>
            <w:vAlign w:val="center"/>
          </w:tcPr>
          <w:p w14:paraId="12005EF8">
            <w:pPr>
              <w:shd w:val="clear"/>
              <w:spacing w:line="360" w:lineRule="auto"/>
              <w:jc w:val="center"/>
              <w:rPr>
                <w:rFonts w:ascii="宋体" w:hAnsi="宋体"/>
                <w:color w:val="auto"/>
                <w:szCs w:val="21"/>
                <w:highlight w:val="none"/>
              </w:rPr>
            </w:pPr>
          </w:p>
        </w:tc>
      </w:tr>
    </w:tbl>
    <w:p w14:paraId="1FECE631">
      <w:pPr>
        <w:pStyle w:val="11"/>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5F3A73F5">
      <w:pPr>
        <w:shd w:val="clear"/>
        <w:spacing w:line="400" w:lineRule="exact"/>
        <w:ind w:firstLine="3360" w:firstLineChars="1400"/>
        <w:rPr>
          <w:rFonts w:ascii="宋体" w:hAnsi="宋体"/>
          <w:color w:val="auto"/>
          <w:sz w:val="24"/>
          <w:highlight w:val="none"/>
        </w:rPr>
      </w:pPr>
    </w:p>
    <w:p w14:paraId="08520597">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4E3845BD">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16955A41">
      <w:pPr>
        <w:shd w:val="clear"/>
        <w:rPr>
          <w:color w:val="auto"/>
          <w:highlight w:val="none"/>
        </w:rPr>
      </w:pPr>
      <w:r>
        <w:rPr>
          <w:rFonts w:hint="eastAsia" w:ascii="宋体" w:hAnsi="宋体"/>
          <w:color w:val="auto"/>
          <w:sz w:val="24"/>
          <w:highlight w:val="none"/>
        </w:rPr>
        <w:t xml:space="preserve">                            日期：</w:t>
      </w:r>
    </w:p>
    <w:p w14:paraId="3B7E409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十二、政府采购供应商廉洁自律承诺书</w:t>
      </w:r>
    </w:p>
    <w:p w14:paraId="3D0C0FC1">
      <w:pPr>
        <w:shd w:val="clear"/>
        <w:snapToGrid w:val="0"/>
        <w:spacing w:line="360" w:lineRule="auto"/>
        <w:rPr>
          <w:rFonts w:cs="仿宋" w:asciiTheme="majorEastAsia" w:hAnsiTheme="majorEastAsia" w:eastAsiaTheme="majorEastAsia"/>
          <w:color w:val="auto"/>
          <w:sz w:val="24"/>
          <w:highlight w:val="none"/>
        </w:rPr>
      </w:pPr>
    </w:p>
    <w:p w14:paraId="1D69E32C">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032E428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6E75B65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09EE0760">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2819FE3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4677D1F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67D31CBB">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49A91002">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70CDD284">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05DD87FB">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334E44CB">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进行项目建设或其他经营活动，并通报监管部门。由此引起的相应损失均由我单位承担。</w:t>
      </w:r>
    </w:p>
    <w:p w14:paraId="0BFA2A22">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6634240">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2062E55">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723394D4">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D2E574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D26B0F4">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0E5BDFC">
      <w:pPr>
        <w:shd w:val="clear"/>
        <w:spacing w:line="360" w:lineRule="auto"/>
        <w:ind w:left="4620" w:leftChars="2200"/>
        <w:rPr>
          <w:rFonts w:cs="仿宋" w:asciiTheme="majorEastAsia" w:hAnsiTheme="majorEastAsia" w:eastAsiaTheme="majorEastAsia"/>
          <w:color w:val="auto"/>
          <w:sz w:val="24"/>
          <w:highlight w:val="none"/>
        </w:rPr>
      </w:pPr>
    </w:p>
    <w:p w14:paraId="0AC57A26">
      <w:pPr>
        <w:shd w:val="clear"/>
        <w:spacing w:line="360" w:lineRule="auto"/>
        <w:jc w:val="center"/>
        <w:rPr>
          <w:rFonts w:cs="仿宋" w:asciiTheme="majorEastAsia" w:hAnsiTheme="majorEastAsia" w:eastAsiaTheme="majorEastAsia"/>
          <w:b/>
          <w:bCs/>
          <w:color w:val="auto"/>
          <w:sz w:val="24"/>
          <w:highlight w:val="none"/>
        </w:rPr>
      </w:pPr>
    </w:p>
    <w:p w14:paraId="40F24AD6">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p>
    <w:p w14:paraId="48EF5AAC">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0B8644A">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5271DF79">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5587965">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5AEC5EF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3AB8CAE4">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3D489D9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41A420A1">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1ADE7ED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6E93975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4D55E45">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7E7E0145">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31B7C994">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9F1AE56">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641DEBCC">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110A3F69">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3C2613A5">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w:t>
      </w:r>
    </w:p>
    <w:tbl>
      <w:tblPr>
        <w:tblStyle w:val="2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0"/>
        <w:gridCol w:w="3268"/>
        <w:gridCol w:w="993"/>
        <w:gridCol w:w="1559"/>
        <w:gridCol w:w="1984"/>
        <w:gridCol w:w="3119"/>
      </w:tblGrid>
      <w:tr w14:paraId="5987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FB2452">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110" w:type="dxa"/>
            <w:vAlign w:val="center"/>
          </w:tcPr>
          <w:p w14:paraId="0D3C4E8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名称</w:t>
            </w:r>
          </w:p>
        </w:tc>
        <w:tc>
          <w:tcPr>
            <w:tcW w:w="3268" w:type="dxa"/>
            <w:vAlign w:val="center"/>
          </w:tcPr>
          <w:p w14:paraId="1E04BD62">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具体</w:t>
            </w:r>
            <w:r>
              <w:rPr>
                <w:rFonts w:cs="仿宋" w:asciiTheme="majorEastAsia" w:hAnsiTheme="majorEastAsia" w:eastAsiaTheme="majorEastAsia"/>
                <w:b/>
                <w:color w:val="auto"/>
                <w:sz w:val="24"/>
                <w:highlight w:val="none"/>
              </w:rPr>
              <w:t>服务</w:t>
            </w:r>
          </w:p>
        </w:tc>
        <w:tc>
          <w:tcPr>
            <w:tcW w:w="993" w:type="dxa"/>
            <w:vAlign w:val="center"/>
          </w:tcPr>
          <w:p w14:paraId="3C37DA39">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1559" w:type="dxa"/>
            <w:vAlign w:val="center"/>
          </w:tcPr>
          <w:p w14:paraId="225C8B7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单价</w:t>
            </w:r>
          </w:p>
          <w:p w14:paraId="5A5469B9">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（元/年）</w:t>
            </w:r>
          </w:p>
        </w:tc>
        <w:tc>
          <w:tcPr>
            <w:tcW w:w="1984" w:type="dxa"/>
            <w:vAlign w:val="center"/>
          </w:tcPr>
          <w:p w14:paraId="61223703">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p w14:paraId="32AEFE5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（元/年）</w:t>
            </w:r>
          </w:p>
        </w:tc>
        <w:tc>
          <w:tcPr>
            <w:tcW w:w="3119" w:type="dxa"/>
            <w:vAlign w:val="center"/>
          </w:tcPr>
          <w:p w14:paraId="6FB25743">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服务期限</w:t>
            </w:r>
          </w:p>
        </w:tc>
      </w:tr>
      <w:tr w14:paraId="0FB1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529299">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110" w:type="dxa"/>
            <w:vAlign w:val="center"/>
          </w:tcPr>
          <w:p w14:paraId="1505A765">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滨海新区沿海中线以北三期道路路灯</w:t>
            </w:r>
          </w:p>
        </w:tc>
        <w:tc>
          <w:tcPr>
            <w:tcW w:w="3268" w:type="dxa"/>
            <w:vMerge w:val="restart"/>
            <w:vAlign w:val="center"/>
          </w:tcPr>
          <w:p w14:paraId="4BF8E00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详见采购文件</w:t>
            </w:r>
          </w:p>
        </w:tc>
        <w:tc>
          <w:tcPr>
            <w:tcW w:w="993" w:type="dxa"/>
            <w:vAlign w:val="center"/>
          </w:tcPr>
          <w:p w14:paraId="7B94AC4A">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411套</w:t>
            </w:r>
          </w:p>
        </w:tc>
        <w:tc>
          <w:tcPr>
            <w:tcW w:w="1559" w:type="dxa"/>
            <w:vAlign w:val="center"/>
          </w:tcPr>
          <w:p w14:paraId="0F56EA73">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48DC00AA">
            <w:pPr>
              <w:shd w:val="clear"/>
              <w:spacing w:line="360" w:lineRule="auto"/>
              <w:jc w:val="center"/>
              <w:rPr>
                <w:rFonts w:cs="仿宋" w:asciiTheme="majorEastAsia" w:hAnsiTheme="majorEastAsia" w:eastAsiaTheme="majorEastAsia"/>
                <w:color w:val="auto"/>
                <w:sz w:val="24"/>
                <w:highlight w:val="none"/>
              </w:rPr>
            </w:pPr>
          </w:p>
        </w:tc>
        <w:tc>
          <w:tcPr>
            <w:tcW w:w="3119" w:type="dxa"/>
            <w:vMerge w:val="restart"/>
            <w:vAlign w:val="center"/>
          </w:tcPr>
          <w:p w14:paraId="6CAC4A3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合同签订之日起两年，合同一年一签，甲方根据乙方上一年度的履约考核情况决定是否续签，如续签，最多可续签一年。</w:t>
            </w:r>
          </w:p>
        </w:tc>
      </w:tr>
      <w:tr w14:paraId="50DE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AAA23D">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110" w:type="dxa"/>
            <w:vAlign w:val="center"/>
          </w:tcPr>
          <w:p w14:paraId="6C2E0522">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滨海新区金海路迎宾景观工程（景观部分内景观灯）</w:t>
            </w:r>
          </w:p>
        </w:tc>
        <w:tc>
          <w:tcPr>
            <w:tcW w:w="3268" w:type="dxa"/>
            <w:vMerge w:val="continue"/>
            <w:vAlign w:val="center"/>
          </w:tcPr>
          <w:p w14:paraId="75585966">
            <w:pPr>
              <w:shd w:val="clear"/>
              <w:snapToGrid w:val="0"/>
              <w:spacing w:line="360" w:lineRule="auto"/>
              <w:jc w:val="center"/>
              <w:rPr>
                <w:rFonts w:cs="仿宋" w:asciiTheme="majorEastAsia" w:hAnsiTheme="majorEastAsia" w:eastAsiaTheme="majorEastAsia"/>
                <w:color w:val="auto"/>
                <w:sz w:val="24"/>
                <w:highlight w:val="none"/>
              </w:rPr>
            </w:pPr>
          </w:p>
        </w:tc>
        <w:tc>
          <w:tcPr>
            <w:tcW w:w="993" w:type="dxa"/>
            <w:vAlign w:val="center"/>
          </w:tcPr>
          <w:p w14:paraId="739AD612">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95套</w:t>
            </w:r>
          </w:p>
        </w:tc>
        <w:tc>
          <w:tcPr>
            <w:tcW w:w="1559" w:type="dxa"/>
            <w:vAlign w:val="center"/>
          </w:tcPr>
          <w:p w14:paraId="460F61F6">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31889494">
            <w:pPr>
              <w:shd w:val="clear"/>
              <w:spacing w:line="360" w:lineRule="auto"/>
              <w:jc w:val="center"/>
              <w:rPr>
                <w:rFonts w:cs="仿宋" w:asciiTheme="majorEastAsia" w:hAnsiTheme="majorEastAsia" w:eastAsiaTheme="majorEastAsia"/>
                <w:color w:val="auto"/>
                <w:sz w:val="24"/>
                <w:highlight w:val="none"/>
              </w:rPr>
            </w:pPr>
          </w:p>
        </w:tc>
        <w:tc>
          <w:tcPr>
            <w:tcW w:w="3119" w:type="dxa"/>
            <w:vMerge w:val="continue"/>
            <w:vAlign w:val="center"/>
          </w:tcPr>
          <w:p w14:paraId="630A01C0">
            <w:pPr>
              <w:shd w:val="clear"/>
              <w:spacing w:line="360" w:lineRule="auto"/>
              <w:jc w:val="center"/>
              <w:rPr>
                <w:rFonts w:cs="仿宋" w:asciiTheme="majorEastAsia" w:hAnsiTheme="majorEastAsia" w:eastAsiaTheme="majorEastAsia"/>
                <w:color w:val="auto"/>
                <w:sz w:val="24"/>
                <w:highlight w:val="none"/>
              </w:rPr>
            </w:pPr>
          </w:p>
        </w:tc>
      </w:tr>
      <w:tr w14:paraId="189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CDA715">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110" w:type="dxa"/>
            <w:vAlign w:val="center"/>
          </w:tcPr>
          <w:p w14:paraId="5A529EA0">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滨海新区沿海中线以南道路一期工程路灯</w:t>
            </w:r>
          </w:p>
        </w:tc>
        <w:tc>
          <w:tcPr>
            <w:tcW w:w="3268" w:type="dxa"/>
            <w:vMerge w:val="continue"/>
            <w:vAlign w:val="center"/>
          </w:tcPr>
          <w:p w14:paraId="700D0410">
            <w:pPr>
              <w:shd w:val="clear"/>
              <w:snapToGrid w:val="0"/>
              <w:spacing w:line="360" w:lineRule="auto"/>
              <w:jc w:val="center"/>
              <w:rPr>
                <w:rFonts w:cs="仿宋" w:asciiTheme="majorEastAsia" w:hAnsiTheme="majorEastAsia" w:eastAsiaTheme="majorEastAsia"/>
                <w:color w:val="auto"/>
                <w:sz w:val="24"/>
                <w:highlight w:val="none"/>
              </w:rPr>
            </w:pPr>
          </w:p>
        </w:tc>
        <w:tc>
          <w:tcPr>
            <w:tcW w:w="993" w:type="dxa"/>
            <w:vAlign w:val="center"/>
          </w:tcPr>
          <w:p w14:paraId="42F3B2BC">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326套</w:t>
            </w:r>
          </w:p>
        </w:tc>
        <w:tc>
          <w:tcPr>
            <w:tcW w:w="1559" w:type="dxa"/>
            <w:vAlign w:val="center"/>
          </w:tcPr>
          <w:p w14:paraId="2C8D3A4C">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1F895A5E">
            <w:pPr>
              <w:shd w:val="clear"/>
              <w:spacing w:line="360" w:lineRule="auto"/>
              <w:jc w:val="center"/>
              <w:rPr>
                <w:rFonts w:cs="仿宋" w:asciiTheme="majorEastAsia" w:hAnsiTheme="majorEastAsia" w:eastAsiaTheme="majorEastAsia"/>
                <w:color w:val="auto"/>
                <w:sz w:val="24"/>
                <w:highlight w:val="none"/>
              </w:rPr>
            </w:pPr>
          </w:p>
        </w:tc>
        <w:tc>
          <w:tcPr>
            <w:tcW w:w="3119" w:type="dxa"/>
            <w:vMerge w:val="continue"/>
            <w:vAlign w:val="center"/>
          </w:tcPr>
          <w:p w14:paraId="0391DD75">
            <w:pPr>
              <w:shd w:val="clear"/>
              <w:spacing w:line="360" w:lineRule="auto"/>
              <w:jc w:val="center"/>
              <w:rPr>
                <w:rFonts w:cs="仿宋" w:asciiTheme="majorEastAsia" w:hAnsiTheme="majorEastAsia" w:eastAsiaTheme="majorEastAsia"/>
                <w:color w:val="auto"/>
                <w:sz w:val="24"/>
                <w:highlight w:val="none"/>
              </w:rPr>
            </w:pPr>
          </w:p>
        </w:tc>
      </w:tr>
      <w:tr w14:paraId="09C4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E36657">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110" w:type="dxa"/>
            <w:vAlign w:val="center"/>
          </w:tcPr>
          <w:p w14:paraId="0D349CB1">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滨海新区以北一期道路路灯</w:t>
            </w:r>
          </w:p>
        </w:tc>
        <w:tc>
          <w:tcPr>
            <w:tcW w:w="3268" w:type="dxa"/>
            <w:vMerge w:val="continue"/>
            <w:vAlign w:val="center"/>
          </w:tcPr>
          <w:p w14:paraId="47EB21B0">
            <w:pPr>
              <w:shd w:val="clear"/>
              <w:snapToGrid w:val="0"/>
              <w:spacing w:line="360" w:lineRule="auto"/>
              <w:jc w:val="center"/>
              <w:rPr>
                <w:rFonts w:cs="仿宋" w:asciiTheme="majorEastAsia" w:hAnsiTheme="majorEastAsia" w:eastAsiaTheme="majorEastAsia"/>
                <w:color w:val="auto"/>
                <w:sz w:val="24"/>
                <w:highlight w:val="none"/>
              </w:rPr>
            </w:pPr>
          </w:p>
        </w:tc>
        <w:tc>
          <w:tcPr>
            <w:tcW w:w="993" w:type="dxa"/>
            <w:vAlign w:val="center"/>
          </w:tcPr>
          <w:p w14:paraId="32DBD1C1">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478套</w:t>
            </w:r>
          </w:p>
        </w:tc>
        <w:tc>
          <w:tcPr>
            <w:tcW w:w="1559" w:type="dxa"/>
            <w:vAlign w:val="center"/>
          </w:tcPr>
          <w:p w14:paraId="6BFEDCEE">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5158B52B">
            <w:pPr>
              <w:shd w:val="clear"/>
              <w:spacing w:line="360" w:lineRule="auto"/>
              <w:jc w:val="center"/>
              <w:rPr>
                <w:rFonts w:cs="仿宋" w:asciiTheme="majorEastAsia" w:hAnsiTheme="majorEastAsia" w:eastAsiaTheme="majorEastAsia"/>
                <w:color w:val="auto"/>
                <w:sz w:val="24"/>
                <w:highlight w:val="none"/>
              </w:rPr>
            </w:pPr>
          </w:p>
        </w:tc>
        <w:tc>
          <w:tcPr>
            <w:tcW w:w="3119" w:type="dxa"/>
            <w:vMerge w:val="continue"/>
            <w:vAlign w:val="center"/>
          </w:tcPr>
          <w:p w14:paraId="3C04B1B4">
            <w:pPr>
              <w:shd w:val="clear"/>
              <w:spacing w:line="360" w:lineRule="auto"/>
              <w:jc w:val="center"/>
              <w:rPr>
                <w:rFonts w:cs="仿宋" w:asciiTheme="majorEastAsia" w:hAnsiTheme="majorEastAsia" w:eastAsiaTheme="majorEastAsia"/>
                <w:color w:val="auto"/>
                <w:sz w:val="24"/>
                <w:highlight w:val="none"/>
              </w:rPr>
            </w:pPr>
          </w:p>
        </w:tc>
      </w:tr>
      <w:tr w14:paraId="78A8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0C8E84">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110" w:type="dxa"/>
            <w:vAlign w:val="center"/>
          </w:tcPr>
          <w:p w14:paraId="55820694">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奉化区红胜海塘加固提升工程路灯</w:t>
            </w:r>
          </w:p>
        </w:tc>
        <w:tc>
          <w:tcPr>
            <w:tcW w:w="3268" w:type="dxa"/>
            <w:vMerge w:val="continue"/>
            <w:vAlign w:val="center"/>
          </w:tcPr>
          <w:p w14:paraId="02427B3A">
            <w:pPr>
              <w:shd w:val="clear"/>
              <w:snapToGrid w:val="0"/>
              <w:spacing w:line="360" w:lineRule="auto"/>
              <w:jc w:val="center"/>
              <w:rPr>
                <w:rFonts w:cs="仿宋" w:asciiTheme="majorEastAsia" w:hAnsiTheme="majorEastAsia" w:eastAsiaTheme="majorEastAsia"/>
                <w:color w:val="auto"/>
                <w:sz w:val="24"/>
                <w:highlight w:val="none"/>
              </w:rPr>
            </w:pPr>
          </w:p>
        </w:tc>
        <w:tc>
          <w:tcPr>
            <w:tcW w:w="993" w:type="dxa"/>
            <w:vAlign w:val="center"/>
          </w:tcPr>
          <w:p w14:paraId="20D44E70">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168套</w:t>
            </w:r>
          </w:p>
        </w:tc>
        <w:tc>
          <w:tcPr>
            <w:tcW w:w="1559" w:type="dxa"/>
            <w:vAlign w:val="center"/>
          </w:tcPr>
          <w:p w14:paraId="71EB5D8C">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1C67E1CF">
            <w:pPr>
              <w:shd w:val="clear"/>
              <w:spacing w:line="360" w:lineRule="auto"/>
              <w:jc w:val="center"/>
              <w:rPr>
                <w:rFonts w:cs="仿宋" w:asciiTheme="majorEastAsia" w:hAnsiTheme="majorEastAsia" w:eastAsiaTheme="majorEastAsia"/>
                <w:color w:val="auto"/>
                <w:sz w:val="24"/>
                <w:highlight w:val="none"/>
              </w:rPr>
            </w:pPr>
          </w:p>
        </w:tc>
        <w:tc>
          <w:tcPr>
            <w:tcW w:w="3119" w:type="dxa"/>
            <w:vMerge w:val="continue"/>
            <w:vAlign w:val="center"/>
          </w:tcPr>
          <w:p w14:paraId="79DAF61B">
            <w:pPr>
              <w:shd w:val="clear"/>
              <w:spacing w:line="360" w:lineRule="auto"/>
              <w:jc w:val="center"/>
              <w:rPr>
                <w:rFonts w:cs="仿宋" w:asciiTheme="majorEastAsia" w:hAnsiTheme="majorEastAsia" w:eastAsiaTheme="majorEastAsia"/>
                <w:color w:val="auto"/>
                <w:sz w:val="24"/>
                <w:highlight w:val="none"/>
              </w:rPr>
            </w:pPr>
          </w:p>
        </w:tc>
      </w:tr>
      <w:tr w14:paraId="232D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C8DD26">
            <w:pPr>
              <w:shd w:val="clear"/>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3110" w:type="dxa"/>
            <w:vAlign w:val="center"/>
          </w:tcPr>
          <w:p w14:paraId="3081221F">
            <w:pPr>
              <w:shd w:val="clea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红胜海塘加固提升工程防浪墙景观灯</w:t>
            </w:r>
          </w:p>
        </w:tc>
        <w:tc>
          <w:tcPr>
            <w:tcW w:w="3268" w:type="dxa"/>
            <w:vMerge w:val="continue"/>
            <w:vAlign w:val="center"/>
          </w:tcPr>
          <w:p w14:paraId="0C8CEA72">
            <w:pPr>
              <w:shd w:val="clear"/>
              <w:snapToGrid w:val="0"/>
              <w:spacing w:line="360" w:lineRule="auto"/>
              <w:jc w:val="center"/>
              <w:rPr>
                <w:rFonts w:cs="仿宋" w:asciiTheme="majorEastAsia" w:hAnsiTheme="majorEastAsia" w:eastAsiaTheme="majorEastAsia"/>
                <w:color w:val="auto"/>
                <w:sz w:val="24"/>
                <w:highlight w:val="none"/>
              </w:rPr>
            </w:pPr>
          </w:p>
        </w:tc>
        <w:tc>
          <w:tcPr>
            <w:tcW w:w="993" w:type="dxa"/>
            <w:vAlign w:val="center"/>
          </w:tcPr>
          <w:p w14:paraId="4A5441D4">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Theme="minorEastAsia" w:hAnsiTheme="minorEastAsia" w:eastAsiaTheme="minorEastAsia" w:cstheme="minorEastAsia"/>
                <w:color w:val="auto"/>
                <w:sz w:val="24"/>
                <w:highlight w:val="none"/>
              </w:rPr>
              <w:t>8800米</w:t>
            </w:r>
          </w:p>
        </w:tc>
        <w:tc>
          <w:tcPr>
            <w:tcW w:w="1559" w:type="dxa"/>
            <w:vAlign w:val="center"/>
          </w:tcPr>
          <w:p w14:paraId="25D4E5B8">
            <w:pPr>
              <w:shd w:val="clear"/>
              <w:spacing w:line="360" w:lineRule="auto"/>
              <w:jc w:val="center"/>
              <w:rPr>
                <w:rFonts w:cs="仿宋" w:asciiTheme="majorEastAsia" w:hAnsiTheme="majorEastAsia" w:eastAsiaTheme="majorEastAsia"/>
                <w:color w:val="auto"/>
                <w:sz w:val="24"/>
                <w:highlight w:val="none"/>
              </w:rPr>
            </w:pPr>
          </w:p>
        </w:tc>
        <w:tc>
          <w:tcPr>
            <w:tcW w:w="1984" w:type="dxa"/>
            <w:vAlign w:val="center"/>
          </w:tcPr>
          <w:p w14:paraId="036702F7">
            <w:pPr>
              <w:shd w:val="clear"/>
              <w:spacing w:line="360" w:lineRule="auto"/>
              <w:jc w:val="center"/>
              <w:rPr>
                <w:rFonts w:cs="仿宋" w:asciiTheme="majorEastAsia" w:hAnsiTheme="majorEastAsia" w:eastAsiaTheme="majorEastAsia"/>
                <w:color w:val="auto"/>
                <w:sz w:val="24"/>
                <w:highlight w:val="none"/>
              </w:rPr>
            </w:pPr>
          </w:p>
        </w:tc>
        <w:tc>
          <w:tcPr>
            <w:tcW w:w="3119" w:type="dxa"/>
            <w:vMerge w:val="continue"/>
            <w:vAlign w:val="center"/>
          </w:tcPr>
          <w:p w14:paraId="43301677">
            <w:pPr>
              <w:shd w:val="clear"/>
              <w:spacing w:line="360" w:lineRule="auto"/>
              <w:jc w:val="center"/>
              <w:rPr>
                <w:rFonts w:cs="仿宋" w:asciiTheme="majorEastAsia" w:hAnsiTheme="majorEastAsia" w:eastAsiaTheme="majorEastAsia"/>
                <w:color w:val="auto"/>
                <w:sz w:val="24"/>
                <w:highlight w:val="none"/>
              </w:rPr>
            </w:pPr>
          </w:p>
        </w:tc>
      </w:tr>
      <w:tr w14:paraId="372E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91324E9">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7655" w:type="dxa"/>
            <w:gridSpan w:val="4"/>
            <w:vAlign w:val="center"/>
          </w:tcPr>
          <w:p w14:paraId="68DB5260">
            <w:pPr>
              <w:shd w:val="clear"/>
              <w:spacing w:line="360" w:lineRule="auto"/>
              <w:jc w:val="center"/>
              <w:rPr>
                <w:rFonts w:cs="仿宋" w:asciiTheme="majorEastAsia" w:hAnsiTheme="majorEastAsia" w:eastAsiaTheme="majorEastAsia"/>
                <w:color w:val="auto"/>
                <w:sz w:val="24"/>
                <w:highlight w:val="none"/>
              </w:rPr>
            </w:pPr>
            <w:r>
              <w:rPr>
                <w:rFonts w:hint="eastAsia" w:ascii="宋体" w:hAnsi="宋体"/>
                <w:color w:val="auto"/>
                <w:szCs w:val="21"/>
                <w:highlight w:val="none"/>
                <w:u w:val="single"/>
              </w:rPr>
              <w:t xml:space="preserve">              </w:t>
            </w:r>
            <w:r>
              <w:rPr>
                <w:rFonts w:hint="eastAsia" w:cs="仿宋" w:asciiTheme="majorEastAsia" w:hAnsiTheme="majorEastAsia" w:eastAsiaTheme="majorEastAsia"/>
                <w:b/>
                <w:color w:val="auto"/>
                <w:sz w:val="24"/>
                <w:highlight w:val="none"/>
              </w:rPr>
              <w:t xml:space="preserve"> 元/年</w:t>
            </w:r>
          </w:p>
        </w:tc>
      </w:tr>
      <w:tr w14:paraId="04D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F333FC1">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7655" w:type="dxa"/>
            <w:gridSpan w:val="4"/>
            <w:vAlign w:val="center"/>
          </w:tcPr>
          <w:p w14:paraId="3119E93A">
            <w:pPr>
              <w:shd w:val="clear"/>
              <w:spacing w:line="360" w:lineRule="auto"/>
              <w:jc w:val="center"/>
              <w:rPr>
                <w:rFonts w:cs="仿宋" w:asciiTheme="majorEastAsia" w:hAnsiTheme="majorEastAsia" w:eastAsiaTheme="majorEastAsia"/>
                <w:color w:val="auto"/>
                <w:sz w:val="24"/>
                <w:highlight w:val="none"/>
              </w:rPr>
            </w:pPr>
            <w:r>
              <w:rPr>
                <w:rFonts w:hint="eastAsia" w:ascii="宋体" w:hAnsi="宋体"/>
                <w:color w:val="auto"/>
                <w:szCs w:val="21"/>
                <w:highlight w:val="none"/>
                <w:u w:val="single"/>
              </w:rPr>
              <w:t xml:space="preserve">              </w:t>
            </w:r>
            <w:r>
              <w:rPr>
                <w:rFonts w:hint="eastAsia" w:cs="仿宋" w:asciiTheme="majorEastAsia" w:hAnsiTheme="majorEastAsia" w:eastAsiaTheme="majorEastAsia"/>
                <w:b/>
                <w:color w:val="auto"/>
                <w:sz w:val="24"/>
                <w:highlight w:val="none"/>
              </w:rPr>
              <w:t xml:space="preserve"> 元/年</w:t>
            </w:r>
          </w:p>
        </w:tc>
      </w:tr>
    </w:tbl>
    <w:p w14:paraId="156C0BED">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421B170D">
      <w:pPr>
        <w:shd w:val="clear"/>
        <w:spacing w:line="360" w:lineRule="auto"/>
        <w:ind w:left="-2" w:leftChars="-1"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1、报价要求：</w:t>
      </w:r>
    </w:p>
    <w:p w14:paraId="6C28D322">
      <w:pPr>
        <w:shd w:val="clear"/>
        <w:spacing w:line="360" w:lineRule="auto"/>
        <w:ind w:left="-2" w:leftChars="-1"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①投标报价是履行合同的最终价格，包含购买服务需交纳的所有税费、中标服务费等一切费用。投标人少报或漏报的工作量，采购人将视为已包含在投标报价中，并不予调整。</w:t>
      </w:r>
    </w:p>
    <w:p w14:paraId="2A5C5BF6">
      <w:pPr>
        <w:shd w:val="clear"/>
        <w:spacing w:line="360" w:lineRule="auto"/>
        <w:ind w:left="-2" w:leftChars="-1"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②本项目设有单价最高限价，投标单价超出单价最高限价的作无效投标处理。</w:t>
      </w:r>
    </w:p>
    <w:p w14:paraId="5CB66A0A">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、投标人需按本表格式填写，不得自行更改。</w:t>
      </w:r>
    </w:p>
    <w:p w14:paraId="24B01A48">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3</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73B63A97">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677FBD65">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172A537E">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058CFD37">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 </w:t>
      </w:r>
    </w:p>
    <w:p w14:paraId="13F87A9B">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0FBF7C4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514F1EC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28A1178B">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w:t>
      </w:r>
    </w:p>
    <w:tbl>
      <w:tblPr>
        <w:tblStyle w:val="20"/>
        <w:tblW w:w="9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71404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14:paraId="0338935B">
            <w:pPr>
              <w:shd w:val="clear"/>
              <w:rPr>
                <w:rFonts w:ascii="宋体" w:hAnsi="宋体"/>
                <w:color w:val="auto"/>
                <w:highlight w:val="none"/>
              </w:rPr>
            </w:pPr>
            <w:r>
              <w:rPr>
                <w:rFonts w:hint="eastAsia" w:ascii="宋体" w:hAnsi="宋体"/>
                <w:color w:val="auto"/>
                <w:highlight w:val="none"/>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7ED40E10">
            <w:pPr>
              <w:shd w:val="clear"/>
              <w:jc w:val="center"/>
              <w:rPr>
                <w:rFonts w:ascii="宋体" w:hAnsi="宋体"/>
                <w:color w:val="auto"/>
                <w:highlight w:val="none"/>
              </w:rPr>
            </w:pPr>
            <w:r>
              <w:rPr>
                <w:rFonts w:hint="eastAsia" w:ascii="宋体" w:hAnsi="宋体"/>
                <w:color w:val="auto"/>
                <w:highlight w:val="none"/>
              </w:rPr>
              <w:t>服务内容</w:t>
            </w:r>
          </w:p>
        </w:tc>
        <w:tc>
          <w:tcPr>
            <w:tcW w:w="1590" w:type="dxa"/>
            <w:tcBorders>
              <w:top w:val="single" w:color="auto" w:sz="4" w:space="0"/>
              <w:left w:val="single" w:color="auto" w:sz="4" w:space="0"/>
              <w:bottom w:val="single" w:color="auto" w:sz="4" w:space="0"/>
              <w:right w:val="single" w:color="auto" w:sz="4" w:space="0"/>
            </w:tcBorders>
            <w:vAlign w:val="center"/>
          </w:tcPr>
          <w:p w14:paraId="503906BF">
            <w:pPr>
              <w:shd w:val="clear"/>
              <w:jc w:val="center"/>
              <w:rPr>
                <w:rFonts w:ascii="宋体" w:hAnsi="宋体"/>
                <w:color w:val="auto"/>
                <w:highlight w:val="none"/>
              </w:rPr>
            </w:pPr>
            <w:r>
              <w:rPr>
                <w:rFonts w:hint="eastAsia" w:ascii="宋体" w:hAnsi="宋体"/>
                <w:color w:val="auto"/>
                <w:highlight w:val="none"/>
              </w:rPr>
              <w:t>数量</w:t>
            </w:r>
          </w:p>
        </w:tc>
        <w:tc>
          <w:tcPr>
            <w:tcW w:w="1954" w:type="dxa"/>
            <w:tcBorders>
              <w:top w:val="single" w:color="auto" w:sz="4" w:space="0"/>
              <w:left w:val="single" w:color="auto" w:sz="4" w:space="0"/>
              <w:bottom w:val="single" w:color="auto" w:sz="4" w:space="0"/>
              <w:right w:val="single" w:color="auto" w:sz="4" w:space="0"/>
            </w:tcBorders>
            <w:vAlign w:val="center"/>
          </w:tcPr>
          <w:p w14:paraId="383A426B">
            <w:pPr>
              <w:shd w:val="clear"/>
              <w:jc w:val="center"/>
              <w:rPr>
                <w:rFonts w:ascii="宋体" w:hAnsi="宋体"/>
                <w:color w:val="auto"/>
                <w:highlight w:val="none"/>
              </w:rPr>
            </w:pPr>
            <w:r>
              <w:rPr>
                <w:rFonts w:hint="eastAsia" w:ascii="宋体" w:hAnsi="宋体"/>
                <w:color w:val="auto"/>
                <w:highlight w:val="none"/>
              </w:rPr>
              <w:t>单价（元/年）</w:t>
            </w:r>
          </w:p>
        </w:tc>
        <w:tc>
          <w:tcPr>
            <w:tcW w:w="2410" w:type="dxa"/>
            <w:tcBorders>
              <w:top w:val="single" w:color="auto" w:sz="4" w:space="0"/>
              <w:left w:val="single" w:color="auto" w:sz="4" w:space="0"/>
              <w:bottom w:val="single" w:color="auto" w:sz="4" w:space="0"/>
              <w:right w:val="single" w:color="auto" w:sz="4" w:space="0"/>
            </w:tcBorders>
            <w:vAlign w:val="center"/>
          </w:tcPr>
          <w:p w14:paraId="16D80D45">
            <w:pPr>
              <w:shd w:val="clear"/>
              <w:jc w:val="center"/>
              <w:rPr>
                <w:rFonts w:ascii="宋体" w:hAnsi="宋体"/>
                <w:color w:val="auto"/>
                <w:highlight w:val="none"/>
              </w:rPr>
            </w:pPr>
            <w:r>
              <w:rPr>
                <w:rFonts w:hint="eastAsia" w:ascii="宋体" w:hAnsi="宋体"/>
                <w:color w:val="auto"/>
                <w:highlight w:val="none"/>
              </w:rPr>
              <w:t>总价（元/年）</w:t>
            </w:r>
          </w:p>
        </w:tc>
      </w:tr>
      <w:tr w14:paraId="68AF2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1506A953">
            <w:pPr>
              <w:shd w:val="clear"/>
              <w:jc w:val="center"/>
              <w:rPr>
                <w:rFonts w:ascii="宋体" w:hAnsi="宋体"/>
                <w:color w:val="auto"/>
                <w:highlight w:val="none"/>
              </w:rPr>
            </w:pPr>
            <w:r>
              <w:rPr>
                <w:rFonts w:hint="eastAsia" w:ascii="宋体" w:hAnsi="宋体"/>
                <w:color w:val="auto"/>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20D2DCE4">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滨海新区沿海中线以北三期道路路灯</w:t>
            </w:r>
          </w:p>
        </w:tc>
        <w:tc>
          <w:tcPr>
            <w:tcW w:w="1590" w:type="dxa"/>
            <w:tcBorders>
              <w:top w:val="single" w:color="auto" w:sz="4" w:space="0"/>
              <w:left w:val="single" w:color="auto" w:sz="4" w:space="0"/>
              <w:bottom w:val="single" w:color="auto" w:sz="4" w:space="0"/>
              <w:right w:val="single" w:color="auto" w:sz="4" w:space="0"/>
            </w:tcBorders>
            <w:vAlign w:val="center"/>
          </w:tcPr>
          <w:p w14:paraId="409E15AC">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411套</w:t>
            </w:r>
          </w:p>
        </w:tc>
        <w:tc>
          <w:tcPr>
            <w:tcW w:w="1954" w:type="dxa"/>
            <w:tcBorders>
              <w:top w:val="single" w:color="auto" w:sz="4" w:space="0"/>
              <w:left w:val="single" w:color="auto" w:sz="4" w:space="0"/>
              <w:bottom w:val="single" w:color="auto" w:sz="4" w:space="0"/>
              <w:right w:val="single" w:color="auto" w:sz="4" w:space="0"/>
            </w:tcBorders>
          </w:tcPr>
          <w:p w14:paraId="3BBF820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E26C5A2">
            <w:pPr>
              <w:shd w:val="clear"/>
              <w:rPr>
                <w:rFonts w:ascii="宋体" w:hAnsi="宋体"/>
                <w:color w:val="auto"/>
                <w:highlight w:val="none"/>
              </w:rPr>
            </w:pPr>
          </w:p>
        </w:tc>
      </w:tr>
      <w:tr w14:paraId="00E89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7E855403">
            <w:pPr>
              <w:shd w:val="clear"/>
              <w:jc w:val="center"/>
              <w:rPr>
                <w:rFonts w:ascii="宋体" w:hAnsi="宋体"/>
                <w:color w:val="auto"/>
                <w:highlight w:val="none"/>
              </w:rPr>
            </w:pPr>
            <w:r>
              <w:rPr>
                <w:rFonts w:hint="eastAsia" w:ascii="宋体" w:hAnsi="宋体"/>
                <w:color w:val="auto"/>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467AA138">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滨海新区金海路迎宾景观工程（景观部分内景观灯）</w:t>
            </w:r>
          </w:p>
        </w:tc>
        <w:tc>
          <w:tcPr>
            <w:tcW w:w="1590" w:type="dxa"/>
            <w:tcBorders>
              <w:top w:val="single" w:color="auto" w:sz="4" w:space="0"/>
              <w:left w:val="single" w:color="auto" w:sz="4" w:space="0"/>
              <w:bottom w:val="single" w:color="auto" w:sz="4" w:space="0"/>
              <w:right w:val="single" w:color="auto" w:sz="4" w:space="0"/>
            </w:tcBorders>
            <w:vAlign w:val="center"/>
          </w:tcPr>
          <w:p w14:paraId="4AFD80A2">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95套</w:t>
            </w:r>
          </w:p>
        </w:tc>
        <w:tc>
          <w:tcPr>
            <w:tcW w:w="1954" w:type="dxa"/>
            <w:tcBorders>
              <w:top w:val="single" w:color="auto" w:sz="4" w:space="0"/>
              <w:left w:val="single" w:color="auto" w:sz="4" w:space="0"/>
              <w:bottom w:val="single" w:color="auto" w:sz="4" w:space="0"/>
              <w:right w:val="single" w:color="auto" w:sz="4" w:space="0"/>
            </w:tcBorders>
          </w:tcPr>
          <w:p w14:paraId="42014187">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B774E43">
            <w:pPr>
              <w:shd w:val="clear"/>
              <w:rPr>
                <w:rFonts w:ascii="宋体" w:hAnsi="宋体"/>
                <w:color w:val="auto"/>
                <w:highlight w:val="none"/>
              </w:rPr>
            </w:pPr>
          </w:p>
        </w:tc>
      </w:tr>
      <w:tr w14:paraId="20C3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5A5C1BD6">
            <w:pPr>
              <w:shd w:val="clear"/>
              <w:jc w:val="center"/>
              <w:rPr>
                <w:rFonts w:ascii="宋体" w:hAnsi="宋体"/>
                <w:color w:val="auto"/>
                <w:highlight w:val="none"/>
              </w:rPr>
            </w:pPr>
            <w:r>
              <w:rPr>
                <w:rFonts w:hint="eastAsia" w:ascii="宋体" w:hAnsi="宋体"/>
                <w:color w:val="auto"/>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4F121B31">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滨海新区沿海中线以南道路一期工程路灯</w:t>
            </w:r>
          </w:p>
        </w:tc>
        <w:tc>
          <w:tcPr>
            <w:tcW w:w="1590" w:type="dxa"/>
            <w:tcBorders>
              <w:top w:val="single" w:color="auto" w:sz="4" w:space="0"/>
              <w:left w:val="single" w:color="auto" w:sz="4" w:space="0"/>
              <w:bottom w:val="single" w:color="auto" w:sz="4" w:space="0"/>
              <w:right w:val="single" w:color="auto" w:sz="4" w:space="0"/>
            </w:tcBorders>
            <w:vAlign w:val="center"/>
          </w:tcPr>
          <w:p w14:paraId="0D1CF78F">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326套</w:t>
            </w:r>
          </w:p>
        </w:tc>
        <w:tc>
          <w:tcPr>
            <w:tcW w:w="1954" w:type="dxa"/>
            <w:tcBorders>
              <w:top w:val="single" w:color="auto" w:sz="4" w:space="0"/>
              <w:left w:val="single" w:color="auto" w:sz="4" w:space="0"/>
              <w:bottom w:val="single" w:color="auto" w:sz="4" w:space="0"/>
              <w:right w:val="single" w:color="auto" w:sz="4" w:space="0"/>
            </w:tcBorders>
          </w:tcPr>
          <w:p w14:paraId="60CE01E4">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14EFD267">
            <w:pPr>
              <w:shd w:val="clear"/>
              <w:rPr>
                <w:rFonts w:ascii="宋体" w:hAnsi="宋体"/>
                <w:color w:val="auto"/>
                <w:highlight w:val="none"/>
              </w:rPr>
            </w:pPr>
          </w:p>
        </w:tc>
      </w:tr>
      <w:tr w14:paraId="2B524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6019FD9">
            <w:pPr>
              <w:shd w:val="clear"/>
              <w:jc w:val="center"/>
              <w:rPr>
                <w:rFonts w:ascii="宋体" w:hAnsi="宋体"/>
                <w:color w:val="auto"/>
                <w:highlight w:val="none"/>
              </w:rPr>
            </w:pPr>
            <w:r>
              <w:rPr>
                <w:rFonts w:hint="eastAsia" w:ascii="宋体" w:hAnsi="宋体"/>
                <w:color w:val="auto"/>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4C41C901">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滨海新区以北一期道路路灯</w:t>
            </w:r>
          </w:p>
        </w:tc>
        <w:tc>
          <w:tcPr>
            <w:tcW w:w="1590" w:type="dxa"/>
            <w:tcBorders>
              <w:top w:val="single" w:color="auto" w:sz="4" w:space="0"/>
              <w:left w:val="single" w:color="auto" w:sz="4" w:space="0"/>
              <w:bottom w:val="single" w:color="auto" w:sz="4" w:space="0"/>
              <w:right w:val="single" w:color="auto" w:sz="4" w:space="0"/>
            </w:tcBorders>
            <w:vAlign w:val="center"/>
          </w:tcPr>
          <w:p w14:paraId="46DAAFAC">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478套</w:t>
            </w:r>
          </w:p>
        </w:tc>
        <w:tc>
          <w:tcPr>
            <w:tcW w:w="1954" w:type="dxa"/>
            <w:tcBorders>
              <w:top w:val="single" w:color="auto" w:sz="4" w:space="0"/>
              <w:left w:val="single" w:color="auto" w:sz="4" w:space="0"/>
              <w:bottom w:val="single" w:color="auto" w:sz="4" w:space="0"/>
              <w:right w:val="single" w:color="auto" w:sz="4" w:space="0"/>
            </w:tcBorders>
          </w:tcPr>
          <w:p w14:paraId="6857891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8BD4246">
            <w:pPr>
              <w:shd w:val="clear"/>
              <w:rPr>
                <w:rFonts w:ascii="宋体" w:hAnsi="宋体"/>
                <w:color w:val="auto"/>
                <w:highlight w:val="none"/>
              </w:rPr>
            </w:pPr>
          </w:p>
        </w:tc>
      </w:tr>
      <w:tr w14:paraId="61808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01F5BE0D">
            <w:pPr>
              <w:shd w:val="clear"/>
              <w:jc w:val="center"/>
              <w:rPr>
                <w:rFonts w:ascii="宋体" w:hAnsi="宋体"/>
                <w:color w:val="auto"/>
                <w:highlight w:val="none"/>
              </w:rPr>
            </w:pPr>
            <w:r>
              <w:rPr>
                <w:rFonts w:hint="eastAsia" w:ascii="宋体" w:hAnsi="宋体"/>
                <w:color w:val="auto"/>
                <w:highlight w:val="none"/>
              </w:rPr>
              <w:t>5</w:t>
            </w:r>
          </w:p>
        </w:tc>
        <w:tc>
          <w:tcPr>
            <w:tcW w:w="2693" w:type="dxa"/>
            <w:tcBorders>
              <w:top w:val="single" w:color="auto" w:sz="4" w:space="0"/>
              <w:left w:val="single" w:color="auto" w:sz="4" w:space="0"/>
              <w:bottom w:val="single" w:color="auto" w:sz="4" w:space="0"/>
              <w:right w:val="single" w:color="auto" w:sz="4" w:space="0"/>
            </w:tcBorders>
            <w:vAlign w:val="center"/>
          </w:tcPr>
          <w:p w14:paraId="1B134D30">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奉化区红胜海塘加固提升工程路灯</w:t>
            </w:r>
          </w:p>
        </w:tc>
        <w:tc>
          <w:tcPr>
            <w:tcW w:w="1590" w:type="dxa"/>
            <w:tcBorders>
              <w:top w:val="single" w:color="auto" w:sz="4" w:space="0"/>
              <w:left w:val="single" w:color="auto" w:sz="4" w:space="0"/>
              <w:bottom w:val="single" w:color="auto" w:sz="4" w:space="0"/>
              <w:right w:val="single" w:color="auto" w:sz="4" w:space="0"/>
            </w:tcBorders>
            <w:vAlign w:val="center"/>
          </w:tcPr>
          <w:p w14:paraId="2867AC4E">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168套</w:t>
            </w:r>
          </w:p>
        </w:tc>
        <w:tc>
          <w:tcPr>
            <w:tcW w:w="1954" w:type="dxa"/>
            <w:tcBorders>
              <w:top w:val="single" w:color="auto" w:sz="4" w:space="0"/>
              <w:left w:val="single" w:color="auto" w:sz="4" w:space="0"/>
              <w:bottom w:val="single" w:color="auto" w:sz="4" w:space="0"/>
              <w:right w:val="single" w:color="auto" w:sz="4" w:space="0"/>
            </w:tcBorders>
          </w:tcPr>
          <w:p w14:paraId="7F16E57E">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ABAC0C7">
            <w:pPr>
              <w:shd w:val="clear"/>
              <w:rPr>
                <w:rFonts w:ascii="宋体" w:hAnsi="宋体"/>
                <w:color w:val="auto"/>
                <w:highlight w:val="none"/>
              </w:rPr>
            </w:pPr>
          </w:p>
        </w:tc>
      </w:tr>
      <w:tr w14:paraId="3F6C9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1FE6300F">
            <w:pPr>
              <w:shd w:val="clear"/>
              <w:jc w:val="center"/>
              <w:rPr>
                <w:rFonts w:ascii="宋体" w:hAnsi="宋体"/>
                <w:color w:val="auto"/>
                <w:highlight w:val="none"/>
              </w:rPr>
            </w:pPr>
            <w:r>
              <w:rPr>
                <w:rFonts w:hint="eastAsia" w:ascii="宋体" w:hAnsi="宋体"/>
                <w:color w:val="auto"/>
                <w:highlight w:val="none"/>
              </w:rPr>
              <w:t>6</w:t>
            </w:r>
          </w:p>
        </w:tc>
        <w:tc>
          <w:tcPr>
            <w:tcW w:w="2693" w:type="dxa"/>
            <w:tcBorders>
              <w:top w:val="single" w:color="auto" w:sz="4" w:space="0"/>
              <w:left w:val="single" w:color="auto" w:sz="4" w:space="0"/>
              <w:bottom w:val="single" w:color="auto" w:sz="4" w:space="0"/>
              <w:right w:val="single" w:color="auto" w:sz="4" w:space="0"/>
            </w:tcBorders>
            <w:vAlign w:val="center"/>
          </w:tcPr>
          <w:p w14:paraId="1CE5FB49">
            <w:pPr>
              <w:shd w:val="clear"/>
              <w:rPr>
                <w:rFonts w:ascii="宋体" w:hAnsi="宋体"/>
                <w:color w:val="auto"/>
                <w:szCs w:val="21"/>
                <w:highlight w:val="none"/>
              </w:rPr>
            </w:pPr>
            <w:r>
              <w:rPr>
                <w:rFonts w:hint="eastAsia" w:asciiTheme="minorEastAsia" w:hAnsiTheme="minorEastAsia" w:eastAsiaTheme="minorEastAsia" w:cstheme="minorEastAsia"/>
                <w:color w:val="auto"/>
                <w:sz w:val="24"/>
                <w:highlight w:val="none"/>
              </w:rPr>
              <w:t>红胜海塘加固提升工程防浪墙景观灯</w:t>
            </w:r>
          </w:p>
        </w:tc>
        <w:tc>
          <w:tcPr>
            <w:tcW w:w="1590" w:type="dxa"/>
            <w:tcBorders>
              <w:top w:val="single" w:color="auto" w:sz="4" w:space="0"/>
              <w:left w:val="single" w:color="auto" w:sz="4" w:space="0"/>
              <w:bottom w:val="single" w:color="auto" w:sz="4" w:space="0"/>
              <w:right w:val="single" w:color="auto" w:sz="4" w:space="0"/>
            </w:tcBorders>
            <w:vAlign w:val="center"/>
          </w:tcPr>
          <w:p w14:paraId="5942C902">
            <w:pPr>
              <w:shd w:val="clear"/>
              <w:snapToGrid w:val="0"/>
              <w:spacing w:line="360" w:lineRule="auto"/>
              <w:jc w:val="center"/>
              <w:rPr>
                <w:rFonts w:ascii="宋体" w:hAnsi="宋体"/>
                <w:color w:val="auto"/>
                <w:highlight w:val="none"/>
              </w:rPr>
            </w:pPr>
            <w:r>
              <w:rPr>
                <w:rFonts w:hint="eastAsia" w:asciiTheme="minorEastAsia" w:hAnsiTheme="minorEastAsia" w:eastAsiaTheme="minorEastAsia" w:cstheme="minorEastAsia"/>
                <w:color w:val="auto"/>
                <w:sz w:val="24"/>
                <w:highlight w:val="none"/>
              </w:rPr>
              <w:t>8800米</w:t>
            </w:r>
          </w:p>
        </w:tc>
        <w:tc>
          <w:tcPr>
            <w:tcW w:w="1954" w:type="dxa"/>
            <w:tcBorders>
              <w:top w:val="single" w:color="auto" w:sz="4" w:space="0"/>
              <w:left w:val="single" w:color="auto" w:sz="4" w:space="0"/>
              <w:bottom w:val="single" w:color="auto" w:sz="4" w:space="0"/>
              <w:right w:val="single" w:color="auto" w:sz="4" w:space="0"/>
            </w:tcBorders>
          </w:tcPr>
          <w:p w14:paraId="4D18904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F66BBF6">
            <w:pPr>
              <w:shd w:val="clear"/>
              <w:rPr>
                <w:rFonts w:ascii="宋体" w:hAnsi="宋体"/>
                <w:color w:val="auto"/>
                <w:highlight w:val="none"/>
              </w:rPr>
            </w:pPr>
          </w:p>
        </w:tc>
      </w:tr>
      <w:tr w14:paraId="4EFC4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4FC106EC">
            <w:pPr>
              <w:shd w:val="clear"/>
              <w:rPr>
                <w:rFonts w:ascii="宋体" w:hAnsi="宋体"/>
                <w:color w:val="auto"/>
                <w:highlight w:val="none"/>
              </w:rPr>
            </w:pPr>
          </w:p>
        </w:tc>
        <w:tc>
          <w:tcPr>
            <w:tcW w:w="6237" w:type="dxa"/>
            <w:gridSpan w:val="3"/>
            <w:tcBorders>
              <w:top w:val="single" w:color="auto" w:sz="4" w:space="0"/>
              <w:left w:val="single" w:color="auto" w:sz="4" w:space="0"/>
              <w:bottom w:val="single" w:color="auto" w:sz="4" w:space="0"/>
              <w:right w:val="single" w:color="auto" w:sz="4" w:space="0"/>
            </w:tcBorders>
          </w:tcPr>
          <w:p w14:paraId="02EF9200">
            <w:pPr>
              <w:shd w:val="clear"/>
              <w:rPr>
                <w:rFonts w:ascii="宋体" w:hAnsi="宋体"/>
                <w:color w:val="auto"/>
                <w:highlight w:val="none"/>
              </w:rPr>
            </w:pPr>
            <w:r>
              <w:rPr>
                <w:rFonts w:hint="eastAsia" w:ascii="宋体" w:hAnsi="宋体"/>
                <w:color w:val="auto"/>
                <w:highlight w:val="none"/>
              </w:rPr>
              <w:t>投 标 总  价</w:t>
            </w:r>
          </w:p>
        </w:tc>
        <w:tc>
          <w:tcPr>
            <w:tcW w:w="2410" w:type="dxa"/>
            <w:tcBorders>
              <w:top w:val="single" w:color="auto" w:sz="4" w:space="0"/>
              <w:left w:val="single" w:color="auto" w:sz="4" w:space="0"/>
              <w:bottom w:val="single" w:color="auto" w:sz="4" w:space="0"/>
              <w:right w:val="single" w:color="auto" w:sz="4" w:space="0"/>
            </w:tcBorders>
          </w:tcPr>
          <w:p w14:paraId="3179820F">
            <w:pPr>
              <w:shd w:val="clea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元/年</w:t>
            </w:r>
          </w:p>
        </w:tc>
      </w:tr>
    </w:tbl>
    <w:p w14:paraId="550BEDEC">
      <w:pPr>
        <w:pStyle w:val="9"/>
        <w:shd w:val="clear"/>
        <w:spacing w:line="360" w:lineRule="auto"/>
        <w:ind w:left="-178" w:leftChars="-85"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247AC9E">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73B0FDFF">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1FB381EF">
      <w:pPr>
        <w:shd w:val="clear"/>
        <w:spacing w:line="360" w:lineRule="auto"/>
        <w:rPr>
          <w:rFonts w:cs="仿宋" w:asciiTheme="majorEastAsia" w:hAnsiTheme="majorEastAsia" w:eastAsiaTheme="majorEastAsia"/>
          <w:color w:val="auto"/>
          <w:sz w:val="24"/>
          <w:highlight w:val="none"/>
        </w:rPr>
      </w:pPr>
    </w:p>
    <w:p w14:paraId="1CC69FFE">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F9C159C">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A9CCB84">
      <w:pPr>
        <w:pStyle w:val="36"/>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52CBCF88">
      <w:pPr>
        <w:pStyle w:val="36"/>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71C3BDA5">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58DBE89B">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6DC1CD98">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采购活动，服务全部由符合政策要求的中小企业承接。相关企业的具体情况如下：</w:t>
      </w:r>
      <w:r>
        <w:rPr>
          <w:rFonts w:ascii="宋体" w:hAnsi="宋体"/>
          <w:color w:val="auto"/>
          <w:sz w:val="24"/>
          <w:highlight w:val="none"/>
        </w:rPr>
        <w:t xml:space="preserve"> </w:t>
      </w:r>
    </w:p>
    <w:p w14:paraId="747B3A9F">
      <w:pPr>
        <w:shd w:val="clear"/>
        <w:autoSpaceDE w:val="0"/>
        <w:autoSpaceDN w:val="0"/>
        <w:adjustRightInd w:val="0"/>
        <w:spacing w:line="360" w:lineRule="auto"/>
        <w:ind w:firstLine="640"/>
        <w:jc w:val="left"/>
        <w:rPr>
          <w:rFonts w:ascii="宋体" w:hAnsi="宋体" w:cs="仿宋"/>
          <w:color w:val="auto"/>
          <w:kern w:val="0"/>
          <w:sz w:val="24"/>
          <w:highlight w:val="none"/>
        </w:rPr>
      </w:pPr>
      <w:r>
        <w:rPr>
          <w:rFonts w:hint="eastAsia" w:ascii="宋体" w:hAnsi="宋体" w:cs="仿宋"/>
          <w:color w:val="auto"/>
          <w:kern w:val="0"/>
          <w:sz w:val="24"/>
          <w:highlight w:val="none"/>
          <w:u w:val="single"/>
        </w:rPr>
        <w:t>奉化经济开发区滨海新区路灯、景观灯日常维护</w:t>
      </w:r>
      <w:r>
        <w:rPr>
          <w:rFonts w:hint="eastAsia" w:ascii="宋体" w:hAnsi="宋体" w:cs="仿宋"/>
          <w:color w:val="auto"/>
          <w:kern w:val="0"/>
          <w:sz w:val="24"/>
          <w:highlight w:val="none"/>
        </w:rPr>
        <w:t>，属于</w:t>
      </w:r>
      <w:r>
        <w:rPr>
          <w:rFonts w:hint="eastAsia" w:cs="仿宋" w:asciiTheme="majorEastAsia" w:hAnsiTheme="majorEastAsia" w:eastAsiaTheme="majorEastAsia"/>
          <w:color w:val="auto"/>
          <w:sz w:val="24"/>
          <w:highlight w:val="none"/>
          <w:u w:val="single"/>
        </w:rPr>
        <w:t>其他未列明行业</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（企业名称）  </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70F6C2F3">
      <w:pPr>
        <w:shd w:val="clear"/>
        <w:snapToGrid w:val="0"/>
        <w:spacing w:line="360" w:lineRule="auto"/>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7C343625">
      <w:pPr>
        <w:shd w:val="clear"/>
        <w:snapToGrid w:val="0"/>
        <w:spacing w:line="360" w:lineRule="auto"/>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7BC433F8">
      <w:pPr>
        <w:shd w:val="clear"/>
        <w:snapToGrid w:val="0"/>
        <w:spacing w:line="312" w:lineRule="auto"/>
        <w:ind w:firstLine="600" w:firstLineChars="250"/>
        <w:rPr>
          <w:rFonts w:ascii="宋体" w:hAnsi="宋体"/>
          <w:color w:val="auto"/>
          <w:sz w:val="24"/>
          <w:highlight w:val="none"/>
        </w:rPr>
      </w:pPr>
    </w:p>
    <w:p w14:paraId="667AE97D">
      <w:pPr>
        <w:shd w:val="clear"/>
        <w:snapToGrid w:val="0"/>
        <w:spacing w:line="312"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7342DD9D">
      <w:pPr>
        <w:shd w:val="clear"/>
        <w:snapToGrid w:val="0"/>
        <w:spacing w:line="312" w:lineRule="auto"/>
        <w:ind w:firstLine="3960" w:firstLineChars="1650"/>
        <w:rPr>
          <w:rFonts w:ascii="宋体" w:hAnsi="宋体"/>
          <w:color w:val="auto"/>
          <w:sz w:val="24"/>
          <w:highlight w:val="none"/>
        </w:rPr>
      </w:pPr>
      <w:r>
        <w:rPr>
          <w:rFonts w:ascii="宋体" w:hAnsi="宋体"/>
          <w:color w:val="auto"/>
          <w:sz w:val="24"/>
          <w:highlight w:val="none"/>
        </w:rPr>
        <w:t>日 期：</w:t>
      </w:r>
    </w:p>
    <w:p w14:paraId="48F90FE5">
      <w:pPr>
        <w:shd w:val="clea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016642E6">
      <w:pPr>
        <w:shd w:val="clear"/>
        <w:spacing w:line="360" w:lineRule="auto"/>
        <w:jc w:val="center"/>
        <w:rPr>
          <w:rFonts w:cs="仿宋" w:asciiTheme="minorEastAsia" w:hAnsiTheme="minorEastAsia" w:eastAsiaTheme="minorEastAsia"/>
          <w:b/>
          <w:bCs/>
          <w:color w:val="auto"/>
          <w:sz w:val="32"/>
          <w:szCs w:val="32"/>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asciiTheme="minorEastAsia" w:hAnsiTheme="minorEastAsia" w:eastAsiaTheme="minorEastAsia"/>
          <w:b/>
          <w:color w:val="auto"/>
          <w:sz w:val="32"/>
          <w:szCs w:val="32"/>
          <w:highlight w:val="none"/>
        </w:rPr>
        <w:br w:type="page"/>
      </w:r>
    </w:p>
    <w:p w14:paraId="5FC81B2D">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1D20909C">
      <w:pPr>
        <w:shd w:val="clear"/>
        <w:spacing w:line="360" w:lineRule="auto"/>
        <w:rPr>
          <w:rFonts w:cs="仿宋" w:asciiTheme="majorEastAsia" w:hAnsiTheme="majorEastAsia" w:eastAsiaTheme="majorEastAsia"/>
          <w:b/>
          <w:color w:val="auto"/>
          <w:spacing w:val="6"/>
          <w:sz w:val="28"/>
          <w:szCs w:val="30"/>
          <w:highlight w:val="none"/>
        </w:rPr>
      </w:pPr>
    </w:p>
    <w:p w14:paraId="79F70CB9">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C072E">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11113011">
      <w:pPr>
        <w:shd w:val="clear"/>
        <w:spacing w:line="360" w:lineRule="auto"/>
        <w:ind w:firstLine="480" w:firstLineChars="200"/>
        <w:jc w:val="left"/>
        <w:rPr>
          <w:rFonts w:cs="仿宋" w:asciiTheme="majorEastAsia" w:hAnsiTheme="majorEastAsia" w:eastAsiaTheme="majorEastAsia"/>
          <w:color w:val="auto"/>
          <w:sz w:val="24"/>
          <w:highlight w:val="none"/>
        </w:rPr>
      </w:pPr>
    </w:p>
    <w:p w14:paraId="3A8A2DA0">
      <w:pPr>
        <w:shd w:val="clear"/>
        <w:spacing w:line="360" w:lineRule="auto"/>
        <w:ind w:firstLine="480" w:firstLineChars="200"/>
        <w:jc w:val="left"/>
        <w:rPr>
          <w:rFonts w:cs="仿宋" w:asciiTheme="majorEastAsia" w:hAnsiTheme="majorEastAsia" w:eastAsiaTheme="majorEastAsia"/>
          <w:color w:val="auto"/>
          <w:sz w:val="24"/>
          <w:highlight w:val="none"/>
        </w:rPr>
      </w:pPr>
    </w:p>
    <w:p w14:paraId="1B597A4B">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763F79AC">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5B973E5">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70FC3DCF">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000FBBAB">
      <w:pPr>
        <w:shd w:val="clear"/>
        <w:spacing w:line="360" w:lineRule="auto"/>
        <w:rPr>
          <w:rFonts w:cs="仿宋" w:asciiTheme="majorEastAsia" w:hAnsiTheme="majorEastAsia" w:eastAsiaTheme="majorEastAsia"/>
          <w:b/>
          <w:color w:val="auto"/>
          <w:sz w:val="32"/>
          <w:szCs w:val="32"/>
          <w:highlight w:val="none"/>
        </w:rPr>
      </w:pPr>
    </w:p>
    <w:p w14:paraId="66BFFEF0">
      <w:pPr>
        <w:numPr>
          <w:ilvl w:val="0"/>
          <w:numId w:val="3"/>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37EE7D03">
      <w:pPr>
        <w:pStyle w:val="26"/>
        <w:shd w:val="clear"/>
        <w:spacing w:line="360" w:lineRule="auto"/>
        <w:ind w:firstLine="0" w:firstLineChars="0"/>
        <w:rPr>
          <w:rFonts w:cs="仿宋" w:asciiTheme="majorEastAsia" w:hAnsiTheme="majorEastAsia" w:eastAsiaTheme="majorEastAsia"/>
          <w:color w:val="auto"/>
          <w:highlight w:val="none"/>
        </w:rPr>
      </w:pPr>
    </w:p>
    <w:tbl>
      <w:tblPr>
        <w:tblStyle w:val="20"/>
        <w:tblW w:w="8537" w:type="dxa"/>
        <w:jc w:val="center"/>
        <w:tblLayout w:type="fixed"/>
        <w:tblCellMar>
          <w:top w:w="0" w:type="dxa"/>
          <w:left w:w="108" w:type="dxa"/>
          <w:bottom w:w="0" w:type="dxa"/>
          <w:right w:w="108" w:type="dxa"/>
        </w:tblCellMar>
      </w:tblPr>
      <w:tblGrid>
        <w:gridCol w:w="4998"/>
        <w:gridCol w:w="3539"/>
      </w:tblGrid>
      <w:tr w14:paraId="1F704F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992EB8">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4D44049">
            <w:pPr>
              <w:shd w:val="clear"/>
              <w:spacing w:line="360" w:lineRule="auto"/>
              <w:rPr>
                <w:rFonts w:cs="仿宋" w:asciiTheme="majorEastAsia" w:hAnsiTheme="majorEastAsia" w:eastAsiaTheme="majorEastAsia"/>
                <w:color w:val="auto"/>
                <w:highlight w:val="none"/>
              </w:rPr>
            </w:pPr>
          </w:p>
        </w:tc>
      </w:tr>
      <w:tr w14:paraId="474D219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B3D1E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300BC595">
            <w:pPr>
              <w:shd w:val="clear"/>
              <w:spacing w:line="360" w:lineRule="auto"/>
              <w:rPr>
                <w:rFonts w:cs="仿宋" w:asciiTheme="majorEastAsia" w:hAnsiTheme="majorEastAsia" w:eastAsiaTheme="majorEastAsia"/>
                <w:color w:val="auto"/>
                <w:highlight w:val="none"/>
              </w:rPr>
            </w:pPr>
          </w:p>
        </w:tc>
      </w:tr>
      <w:tr w14:paraId="3DD3456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B94F23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B279F79">
            <w:pPr>
              <w:shd w:val="clear"/>
              <w:spacing w:line="360" w:lineRule="auto"/>
              <w:rPr>
                <w:rFonts w:cs="仿宋" w:asciiTheme="majorEastAsia" w:hAnsiTheme="majorEastAsia" w:eastAsiaTheme="majorEastAsia"/>
                <w:color w:val="auto"/>
                <w:highlight w:val="none"/>
              </w:rPr>
            </w:pPr>
          </w:p>
        </w:tc>
      </w:tr>
      <w:tr w14:paraId="0E034B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CD21B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02A63876">
            <w:pPr>
              <w:shd w:val="clear"/>
              <w:spacing w:line="360" w:lineRule="auto"/>
              <w:rPr>
                <w:rFonts w:cs="仿宋" w:asciiTheme="majorEastAsia" w:hAnsiTheme="majorEastAsia" w:eastAsiaTheme="majorEastAsia"/>
                <w:color w:val="auto"/>
                <w:highlight w:val="none"/>
              </w:rPr>
            </w:pPr>
          </w:p>
        </w:tc>
      </w:tr>
      <w:tr w14:paraId="4E12C98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555F33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3F53C79">
            <w:pPr>
              <w:shd w:val="clear"/>
              <w:spacing w:line="360" w:lineRule="auto"/>
              <w:rPr>
                <w:rFonts w:cs="仿宋" w:asciiTheme="majorEastAsia" w:hAnsiTheme="majorEastAsia" w:eastAsiaTheme="majorEastAsia"/>
                <w:color w:val="auto"/>
                <w:highlight w:val="none"/>
              </w:rPr>
            </w:pPr>
          </w:p>
        </w:tc>
      </w:tr>
      <w:tr w14:paraId="35E5884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A2DBE3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2EBF2D4D">
            <w:pPr>
              <w:shd w:val="clear"/>
              <w:spacing w:line="360" w:lineRule="auto"/>
              <w:rPr>
                <w:rFonts w:cs="仿宋" w:asciiTheme="majorEastAsia" w:hAnsiTheme="majorEastAsia" w:eastAsiaTheme="majorEastAsia"/>
                <w:color w:val="auto"/>
                <w:highlight w:val="none"/>
              </w:rPr>
            </w:pPr>
          </w:p>
        </w:tc>
      </w:tr>
      <w:tr w14:paraId="489A0DC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79E6A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44BA767">
            <w:pPr>
              <w:shd w:val="clear"/>
              <w:spacing w:line="360" w:lineRule="auto"/>
              <w:rPr>
                <w:rFonts w:cs="仿宋" w:asciiTheme="majorEastAsia" w:hAnsiTheme="majorEastAsia" w:eastAsiaTheme="majorEastAsia"/>
                <w:color w:val="auto"/>
                <w:highlight w:val="none"/>
              </w:rPr>
            </w:pPr>
          </w:p>
        </w:tc>
      </w:tr>
      <w:tr w14:paraId="32B184C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6F6CDD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AEA216F">
            <w:pPr>
              <w:shd w:val="clear"/>
              <w:spacing w:line="360" w:lineRule="auto"/>
              <w:rPr>
                <w:rFonts w:cs="仿宋" w:asciiTheme="majorEastAsia" w:hAnsiTheme="majorEastAsia" w:eastAsiaTheme="majorEastAsia"/>
                <w:color w:val="auto"/>
                <w:highlight w:val="none"/>
              </w:rPr>
            </w:pPr>
          </w:p>
        </w:tc>
      </w:tr>
      <w:tr w14:paraId="445021E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E379A1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8F791CC">
            <w:pPr>
              <w:shd w:val="clear"/>
              <w:spacing w:line="360" w:lineRule="auto"/>
              <w:rPr>
                <w:rFonts w:cs="仿宋" w:asciiTheme="majorEastAsia" w:hAnsiTheme="majorEastAsia" w:eastAsiaTheme="majorEastAsia"/>
                <w:color w:val="auto"/>
                <w:highlight w:val="none"/>
              </w:rPr>
            </w:pPr>
          </w:p>
        </w:tc>
      </w:tr>
      <w:tr w14:paraId="41D35A6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AE40EC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4DBF5D0">
            <w:pPr>
              <w:shd w:val="clear"/>
              <w:spacing w:line="360" w:lineRule="auto"/>
              <w:rPr>
                <w:rFonts w:cs="仿宋" w:asciiTheme="majorEastAsia" w:hAnsiTheme="majorEastAsia" w:eastAsiaTheme="majorEastAsia"/>
                <w:color w:val="auto"/>
                <w:highlight w:val="none"/>
              </w:rPr>
            </w:pPr>
          </w:p>
        </w:tc>
      </w:tr>
    </w:tbl>
    <w:p w14:paraId="75ACD659">
      <w:pPr>
        <w:shd w:val="clear"/>
        <w:adjustRightInd w:val="0"/>
        <w:spacing w:line="360" w:lineRule="auto"/>
        <w:jc w:val="left"/>
        <w:rPr>
          <w:rFonts w:cs="仿宋" w:asciiTheme="majorEastAsia" w:hAnsiTheme="majorEastAsia" w:eastAsiaTheme="majorEastAsia"/>
          <w:color w:val="auto"/>
          <w:sz w:val="24"/>
          <w:highlight w:val="none"/>
        </w:rPr>
      </w:pPr>
    </w:p>
    <w:p w14:paraId="716AAF1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3C1FE6DE">
      <w:pPr>
        <w:shd w:val="clear"/>
        <w:adjustRightInd w:val="0"/>
        <w:spacing w:line="360" w:lineRule="auto"/>
        <w:jc w:val="left"/>
        <w:rPr>
          <w:rFonts w:cs="仿宋" w:asciiTheme="majorEastAsia" w:hAnsiTheme="majorEastAsia" w:eastAsiaTheme="majorEastAsia"/>
          <w:color w:val="auto"/>
          <w:sz w:val="24"/>
          <w:highlight w:val="none"/>
        </w:rPr>
      </w:pPr>
    </w:p>
    <w:p w14:paraId="1A737E53">
      <w:pPr>
        <w:shd w:val="clear"/>
        <w:adjustRightInd w:val="0"/>
        <w:spacing w:line="360" w:lineRule="auto"/>
        <w:jc w:val="left"/>
        <w:rPr>
          <w:rFonts w:cs="仿宋" w:asciiTheme="majorEastAsia" w:hAnsiTheme="majorEastAsia" w:eastAsiaTheme="majorEastAsia"/>
          <w:color w:val="auto"/>
          <w:sz w:val="24"/>
          <w:highlight w:val="none"/>
        </w:rPr>
      </w:pPr>
    </w:p>
    <w:p w14:paraId="4A35B9BD">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6775EB63">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6CE5BD28">
      <w:pPr>
        <w:shd w:val="clear"/>
        <w:spacing w:line="360" w:lineRule="auto"/>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bookmarkEnd w:id="4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F693">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3EE55F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75D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F4C013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E6D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526B53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E78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1E1F6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8AEE">
    <w:pPr>
      <w:pStyle w:val="15"/>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5322">
    <w:pPr>
      <w:pStyle w:val="15"/>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78F0">
    <w:pPr>
      <w:pStyle w:val="15"/>
      <w:pBdr>
        <w:bottom w:val="none" w:color="auto" w:sz="0" w:space="0"/>
      </w:pBdr>
      <w:jc w:val="right"/>
      <w:rPr>
        <w:rFonts w:ascii="仿宋_GB2312" w:eastAsia="仿宋_GB2312"/>
        <w:b/>
        <w:i/>
        <w:u w:val="single"/>
      </w:rPr>
    </w:pPr>
    <w:r>
      <w:rPr>
        <w:rFonts w:hint="eastAsia"/>
      </w:rPr>
      <w:t xml:space="preserve">                                 </w:t>
    </w:r>
  </w:p>
  <w:p w14:paraId="19FDD19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BD95">
    <w:pPr>
      <w:pStyle w:val="15"/>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11ED"/>
    <w:rsid w:val="000046B5"/>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1D7"/>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815E8"/>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B3C83"/>
    <w:rsid w:val="000B4527"/>
    <w:rsid w:val="000C0FD4"/>
    <w:rsid w:val="000C52D5"/>
    <w:rsid w:val="000C548A"/>
    <w:rsid w:val="000C6603"/>
    <w:rsid w:val="000D19A5"/>
    <w:rsid w:val="000D46B9"/>
    <w:rsid w:val="000D7CE4"/>
    <w:rsid w:val="000E067D"/>
    <w:rsid w:val="000E0F41"/>
    <w:rsid w:val="000E1A4E"/>
    <w:rsid w:val="000E30EB"/>
    <w:rsid w:val="000E448A"/>
    <w:rsid w:val="000E5235"/>
    <w:rsid w:val="000E56FF"/>
    <w:rsid w:val="000E7729"/>
    <w:rsid w:val="000F14C4"/>
    <w:rsid w:val="000F2A44"/>
    <w:rsid w:val="000F55C9"/>
    <w:rsid w:val="00100B42"/>
    <w:rsid w:val="00103C3E"/>
    <w:rsid w:val="00104D81"/>
    <w:rsid w:val="00104D98"/>
    <w:rsid w:val="001078AD"/>
    <w:rsid w:val="001078BB"/>
    <w:rsid w:val="00112DCE"/>
    <w:rsid w:val="00115832"/>
    <w:rsid w:val="0011590F"/>
    <w:rsid w:val="00116B7A"/>
    <w:rsid w:val="001178F8"/>
    <w:rsid w:val="00120D94"/>
    <w:rsid w:val="00121C41"/>
    <w:rsid w:val="00121CF9"/>
    <w:rsid w:val="001255D8"/>
    <w:rsid w:val="0012746D"/>
    <w:rsid w:val="00130C36"/>
    <w:rsid w:val="0013188E"/>
    <w:rsid w:val="00131BC3"/>
    <w:rsid w:val="001369B4"/>
    <w:rsid w:val="00136A9C"/>
    <w:rsid w:val="001401C9"/>
    <w:rsid w:val="00141811"/>
    <w:rsid w:val="001428D4"/>
    <w:rsid w:val="001435DE"/>
    <w:rsid w:val="00143AD2"/>
    <w:rsid w:val="001440F6"/>
    <w:rsid w:val="001464D2"/>
    <w:rsid w:val="00146AA0"/>
    <w:rsid w:val="00147E47"/>
    <w:rsid w:val="00153E97"/>
    <w:rsid w:val="001553AB"/>
    <w:rsid w:val="00155FBB"/>
    <w:rsid w:val="00160E61"/>
    <w:rsid w:val="0016183A"/>
    <w:rsid w:val="00163B23"/>
    <w:rsid w:val="001673AD"/>
    <w:rsid w:val="00167C34"/>
    <w:rsid w:val="001716B0"/>
    <w:rsid w:val="00172F02"/>
    <w:rsid w:val="001758DF"/>
    <w:rsid w:val="0018155A"/>
    <w:rsid w:val="001863A2"/>
    <w:rsid w:val="0018796E"/>
    <w:rsid w:val="00191458"/>
    <w:rsid w:val="00193804"/>
    <w:rsid w:val="00195E57"/>
    <w:rsid w:val="00197D87"/>
    <w:rsid w:val="001A0DB1"/>
    <w:rsid w:val="001A1C08"/>
    <w:rsid w:val="001A2E09"/>
    <w:rsid w:val="001A44C9"/>
    <w:rsid w:val="001A4C25"/>
    <w:rsid w:val="001A4F22"/>
    <w:rsid w:val="001A540E"/>
    <w:rsid w:val="001B0FCD"/>
    <w:rsid w:val="001B1710"/>
    <w:rsid w:val="001B2FBB"/>
    <w:rsid w:val="001C099B"/>
    <w:rsid w:val="001C1283"/>
    <w:rsid w:val="001C2776"/>
    <w:rsid w:val="001C6485"/>
    <w:rsid w:val="001D4D8B"/>
    <w:rsid w:val="001D5532"/>
    <w:rsid w:val="001D5A71"/>
    <w:rsid w:val="001D5B74"/>
    <w:rsid w:val="001D711D"/>
    <w:rsid w:val="001D7220"/>
    <w:rsid w:val="001D7782"/>
    <w:rsid w:val="001E0F49"/>
    <w:rsid w:val="001E10FC"/>
    <w:rsid w:val="001E1527"/>
    <w:rsid w:val="001E47B3"/>
    <w:rsid w:val="001E50C6"/>
    <w:rsid w:val="001E6407"/>
    <w:rsid w:val="001E7FAD"/>
    <w:rsid w:val="001F3EFC"/>
    <w:rsid w:val="001F402A"/>
    <w:rsid w:val="00202528"/>
    <w:rsid w:val="00205130"/>
    <w:rsid w:val="0020676C"/>
    <w:rsid w:val="00210774"/>
    <w:rsid w:val="002120B2"/>
    <w:rsid w:val="00212673"/>
    <w:rsid w:val="00215736"/>
    <w:rsid w:val="0021616E"/>
    <w:rsid w:val="0021637F"/>
    <w:rsid w:val="00216A68"/>
    <w:rsid w:val="00217AE1"/>
    <w:rsid w:val="00220845"/>
    <w:rsid w:val="00221431"/>
    <w:rsid w:val="00223803"/>
    <w:rsid w:val="002245AE"/>
    <w:rsid w:val="002260F7"/>
    <w:rsid w:val="00226ED1"/>
    <w:rsid w:val="0023288D"/>
    <w:rsid w:val="0023451A"/>
    <w:rsid w:val="00236877"/>
    <w:rsid w:val="00236B13"/>
    <w:rsid w:val="00240211"/>
    <w:rsid w:val="0024092E"/>
    <w:rsid w:val="00240D1B"/>
    <w:rsid w:val="002435CF"/>
    <w:rsid w:val="00243E11"/>
    <w:rsid w:val="002452BE"/>
    <w:rsid w:val="00245FC6"/>
    <w:rsid w:val="00251F45"/>
    <w:rsid w:val="00256625"/>
    <w:rsid w:val="0025781D"/>
    <w:rsid w:val="00257FDF"/>
    <w:rsid w:val="00262BF2"/>
    <w:rsid w:val="00262F04"/>
    <w:rsid w:val="002663C6"/>
    <w:rsid w:val="0027141A"/>
    <w:rsid w:val="00272D28"/>
    <w:rsid w:val="00275F3F"/>
    <w:rsid w:val="00280BA4"/>
    <w:rsid w:val="00282754"/>
    <w:rsid w:val="002861D7"/>
    <w:rsid w:val="00286DF5"/>
    <w:rsid w:val="0028702B"/>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30A6"/>
    <w:rsid w:val="002E47C6"/>
    <w:rsid w:val="002E7FF8"/>
    <w:rsid w:val="002F0CBD"/>
    <w:rsid w:val="002F313C"/>
    <w:rsid w:val="002F4F00"/>
    <w:rsid w:val="002F5C5B"/>
    <w:rsid w:val="002F5D99"/>
    <w:rsid w:val="002F7A41"/>
    <w:rsid w:val="002F7D2B"/>
    <w:rsid w:val="003009F4"/>
    <w:rsid w:val="00300F06"/>
    <w:rsid w:val="00301564"/>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22B6"/>
    <w:rsid w:val="003437A4"/>
    <w:rsid w:val="00343C3F"/>
    <w:rsid w:val="00343E6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93738"/>
    <w:rsid w:val="00394254"/>
    <w:rsid w:val="003954E9"/>
    <w:rsid w:val="0039596A"/>
    <w:rsid w:val="003963DE"/>
    <w:rsid w:val="00397055"/>
    <w:rsid w:val="00397322"/>
    <w:rsid w:val="003A0205"/>
    <w:rsid w:val="003A4A64"/>
    <w:rsid w:val="003A5059"/>
    <w:rsid w:val="003A51B4"/>
    <w:rsid w:val="003B08E1"/>
    <w:rsid w:val="003B161B"/>
    <w:rsid w:val="003B27A3"/>
    <w:rsid w:val="003B455D"/>
    <w:rsid w:val="003B4C59"/>
    <w:rsid w:val="003B71D0"/>
    <w:rsid w:val="003C3185"/>
    <w:rsid w:val="003C3485"/>
    <w:rsid w:val="003C65C7"/>
    <w:rsid w:val="003C7C5E"/>
    <w:rsid w:val="003C7FC6"/>
    <w:rsid w:val="003D03D0"/>
    <w:rsid w:val="003D63E2"/>
    <w:rsid w:val="003D6D44"/>
    <w:rsid w:val="003E0550"/>
    <w:rsid w:val="003E0920"/>
    <w:rsid w:val="003E4CF0"/>
    <w:rsid w:val="003E4E12"/>
    <w:rsid w:val="003F0F37"/>
    <w:rsid w:val="003F47A1"/>
    <w:rsid w:val="003F6862"/>
    <w:rsid w:val="00400CA7"/>
    <w:rsid w:val="00400E16"/>
    <w:rsid w:val="004011A8"/>
    <w:rsid w:val="004025D4"/>
    <w:rsid w:val="00410F05"/>
    <w:rsid w:val="00410F89"/>
    <w:rsid w:val="00410FF5"/>
    <w:rsid w:val="00412A6C"/>
    <w:rsid w:val="00414840"/>
    <w:rsid w:val="00415E07"/>
    <w:rsid w:val="0042068D"/>
    <w:rsid w:val="00423A7A"/>
    <w:rsid w:val="00424FA8"/>
    <w:rsid w:val="0043035E"/>
    <w:rsid w:val="00431CCC"/>
    <w:rsid w:val="0043204C"/>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2AF2"/>
    <w:rsid w:val="00475DC4"/>
    <w:rsid w:val="0047696E"/>
    <w:rsid w:val="00480329"/>
    <w:rsid w:val="004809C8"/>
    <w:rsid w:val="00482EBD"/>
    <w:rsid w:val="004834C1"/>
    <w:rsid w:val="00483F96"/>
    <w:rsid w:val="004930B2"/>
    <w:rsid w:val="0049467F"/>
    <w:rsid w:val="004954C1"/>
    <w:rsid w:val="00496907"/>
    <w:rsid w:val="00497A1D"/>
    <w:rsid w:val="004A02D5"/>
    <w:rsid w:val="004A0BD3"/>
    <w:rsid w:val="004A2B10"/>
    <w:rsid w:val="004A3ECA"/>
    <w:rsid w:val="004A5502"/>
    <w:rsid w:val="004A7B34"/>
    <w:rsid w:val="004B17EA"/>
    <w:rsid w:val="004B29B5"/>
    <w:rsid w:val="004B474D"/>
    <w:rsid w:val="004B4AEE"/>
    <w:rsid w:val="004B5A96"/>
    <w:rsid w:val="004B69B8"/>
    <w:rsid w:val="004B6F44"/>
    <w:rsid w:val="004B6F99"/>
    <w:rsid w:val="004B79BD"/>
    <w:rsid w:val="004C59E7"/>
    <w:rsid w:val="004C5FBD"/>
    <w:rsid w:val="004C6A31"/>
    <w:rsid w:val="004C7903"/>
    <w:rsid w:val="004D0D8A"/>
    <w:rsid w:val="004E054E"/>
    <w:rsid w:val="004E0729"/>
    <w:rsid w:val="004E11CE"/>
    <w:rsid w:val="004E23EB"/>
    <w:rsid w:val="004E3BEF"/>
    <w:rsid w:val="004E4757"/>
    <w:rsid w:val="004E4BC8"/>
    <w:rsid w:val="004E5283"/>
    <w:rsid w:val="004E7910"/>
    <w:rsid w:val="004F087F"/>
    <w:rsid w:val="004F1E9D"/>
    <w:rsid w:val="004F34F3"/>
    <w:rsid w:val="004F6E1E"/>
    <w:rsid w:val="004F7996"/>
    <w:rsid w:val="005047BD"/>
    <w:rsid w:val="0050526E"/>
    <w:rsid w:val="00506277"/>
    <w:rsid w:val="00507B69"/>
    <w:rsid w:val="00513D4C"/>
    <w:rsid w:val="00514863"/>
    <w:rsid w:val="00515950"/>
    <w:rsid w:val="005220A1"/>
    <w:rsid w:val="0052733C"/>
    <w:rsid w:val="00533590"/>
    <w:rsid w:val="005369E7"/>
    <w:rsid w:val="00537E78"/>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462D"/>
    <w:rsid w:val="00586185"/>
    <w:rsid w:val="00586285"/>
    <w:rsid w:val="0059027A"/>
    <w:rsid w:val="0059234E"/>
    <w:rsid w:val="00592796"/>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7719"/>
    <w:rsid w:val="005C02F0"/>
    <w:rsid w:val="005C0BCE"/>
    <w:rsid w:val="005C2E9B"/>
    <w:rsid w:val="005C3300"/>
    <w:rsid w:val="005C424D"/>
    <w:rsid w:val="005C5BA0"/>
    <w:rsid w:val="005D1053"/>
    <w:rsid w:val="005D37FA"/>
    <w:rsid w:val="005D4BC8"/>
    <w:rsid w:val="005D7531"/>
    <w:rsid w:val="005E0FA8"/>
    <w:rsid w:val="005E2947"/>
    <w:rsid w:val="005E3CC0"/>
    <w:rsid w:val="005E660E"/>
    <w:rsid w:val="005F177A"/>
    <w:rsid w:val="005F1CF8"/>
    <w:rsid w:val="0060018C"/>
    <w:rsid w:val="00601264"/>
    <w:rsid w:val="00601F5A"/>
    <w:rsid w:val="00602A12"/>
    <w:rsid w:val="00603FB2"/>
    <w:rsid w:val="006055B8"/>
    <w:rsid w:val="00606364"/>
    <w:rsid w:val="0061022C"/>
    <w:rsid w:val="00611470"/>
    <w:rsid w:val="00611A7F"/>
    <w:rsid w:val="0061552D"/>
    <w:rsid w:val="00616488"/>
    <w:rsid w:val="00616533"/>
    <w:rsid w:val="00617486"/>
    <w:rsid w:val="0062223F"/>
    <w:rsid w:val="006225F8"/>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5470"/>
    <w:rsid w:val="006660A3"/>
    <w:rsid w:val="006661D1"/>
    <w:rsid w:val="00666E4C"/>
    <w:rsid w:val="006678C4"/>
    <w:rsid w:val="00671383"/>
    <w:rsid w:val="00673A8F"/>
    <w:rsid w:val="00673D9C"/>
    <w:rsid w:val="006760F1"/>
    <w:rsid w:val="00681105"/>
    <w:rsid w:val="00682C81"/>
    <w:rsid w:val="00684FDB"/>
    <w:rsid w:val="006851D7"/>
    <w:rsid w:val="0068569C"/>
    <w:rsid w:val="0068590B"/>
    <w:rsid w:val="00686437"/>
    <w:rsid w:val="006912D6"/>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531A"/>
    <w:rsid w:val="006F5524"/>
    <w:rsid w:val="006F71FA"/>
    <w:rsid w:val="0070418C"/>
    <w:rsid w:val="007050CF"/>
    <w:rsid w:val="00706C27"/>
    <w:rsid w:val="00711367"/>
    <w:rsid w:val="0071227C"/>
    <w:rsid w:val="00712BFE"/>
    <w:rsid w:val="00715BE4"/>
    <w:rsid w:val="00716A98"/>
    <w:rsid w:val="00720675"/>
    <w:rsid w:val="00720CA6"/>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4A48"/>
    <w:rsid w:val="00746408"/>
    <w:rsid w:val="00746E8A"/>
    <w:rsid w:val="00747384"/>
    <w:rsid w:val="0075065E"/>
    <w:rsid w:val="00751058"/>
    <w:rsid w:val="007531E4"/>
    <w:rsid w:val="00753F9F"/>
    <w:rsid w:val="00754BBB"/>
    <w:rsid w:val="00755C74"/>
    <w:rsid w:val="007562D7"/>
    <w:rsid w:val="00756F7D"/>
    <w:rsid w:val="00762BDE"/>
    <w:rsid w:val="00763EC2"/>
    <w:rsid w:val="007649C2"/>
    <w:rsid w:val="00764A69"/>
    <w:rsid w:val="00770339"/>
    <w:rsid w:val="00771835"/>
    <w:rsid w:val="00773362"/>
    <w:rsid w:val="0077439A"/>
    <w:rsid w:val="00774D6B"/>
    <w:rsid w:val="00774F61"/>
    <w:rsid w:val="00777931"/>
    <w:rsid w:val="00780FC3"/>
    <w:rsid w:val="00781561"/>
    <w:rsid w:val="00782793"/>
    <w:rsid w:val="00783CCA"/>
    <w:rsid w:val="00784AC6"/>
    <w:rsid w:val="00784E33"/>
    <w:rsid w:val="00785270"/>
    <w:rsid w:val="00785611"/>
    <w:rsid w:val="0078598C"/>
    <w:rsid w:val="00785DD2"/>
    <w:rsid w:val="0078781F"/>
    <w:rsid w:val="0079093C"/>
    <w:rsid w:val="00790C91"/>
    <w:rsid w:val="00794FE8"/>
    <w:rsid w:val="0079615B"/>
    <w:rsid w:val="00797798"/>
    <w:rsid w:val="00797985"/>
    <w:rsid w:val="007A0810"/>
    <w:rsid w:val="007A127C"/>
    <w:rsid w:val="007A1EE7"/>
    <w:rsid w:val="007A2595"/>
    <w:rsid w:val="007A2869"/>
    <w:rsid w:val="007A3B05"/>
    <w:rsid w:val="007A5490"/>
    <w:rsid w:val="007A670F"/>
    <w:rsid w:val="007B0322"/>
    <w:rsid w:val="007B68D4"/>
    <w:rsid w:val="007C004B"/>
    <w:rsid w:val="007C03BD"/>
    <w:rsid w:val="007C1F94"/>
    <w:rsid w:val="007C2E2D"/>
    <w:rsid w:val="007C2EBD"/>
    <w:rsid w:val="007C377D"/>
    <w:rsid w:val="007C460B"/>
    <w:rsid w:val="007C4AE2"/>
    <w:rsid w:val="007C552A"/>
    <w:rsid w:val="007C5DE1"/>
    <w:rsid w:val="007C62FF"/>
    <w:rsid w:val="007D03E8"/>
    <w:rsid w:val="007D1086"/>
    <w:rsid w:val="007D294D"/>
    <w:rsid w:val="007D3BC9"/>
    <w:rsid w:val="007D52EB"/>
    <w:rsid w:val="007D7D83"/>
    <w:rsid w:val="007E33EC"/>
    <w:rsid w:val="007E4043"/>
    <w:rsid w:val="007E4855"/>
    <w:rsid w:val="007E5A2D"/>
    <w:rsid w:val="007F298B"/>
    <w:rsid w:val="007F496E"/>
    <w:rsid w:val="007F6636"/>
    <w:rsid w:val="007F791E"/>
    <w:rsid w:val="007F7998"/>
    <w:rsid w:val="008002F7"/>
    <w:rsid w:val="008004B9"/>
    <w:rsid w:val="00802FB3"/>
    <w:rsid w:val="00803119"/>
    <w:rsid w:val="00803A0E"/>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9DD"/>
    <w:rsid w:val="00827ECD"/>
    <w:rsid w:val="00830884"/>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EE5"/>
    <w:rsid w:val="008A6CFD"/>
    <w:rsid w:val="008A74E4"/>
    <w:rsid w:val="008B0156"/>
    <w:rsid w:val="008B0252"/>
    <w:rsid w:val="008B1D69"/>
    <w:rsid w:val="008B3A8B"/>
    <w:rsid w:val="008B483C"/>
    <w:rsid w:val="008B496C"/>
    <w:rsid w:val="008B4E59"/>
    <w:rsid w:val="008B6056"/>
    <w:rsid w:val="008B6C06"/>
    <w:rsid w:val="008C02A5"/>
    <w:rsid w:val="008C0466"/>
    <w:rsid w:val="008C24B9"/>
    <w:rsid w:val="008C3E90"/>
    <w:rsid w:val="008C40C2"/>
    <w:rsid w:val="008C51CA"/>
    <w:rsid w:val="008C7259"/>
    <w:rsid w:val="008D0B9F"/>
    <w:rsid w:val="008D1410"/>
    <w:rsid w:val="008D2C3A"/>
    <w:rsid w:val="008D4A88"/>
    <w:rsid w:val="008E07C6"/>
    <w:rsid w:val="008E2249"/>
    <w:rsid w:val="008E3062"/>
    <w:rsid w:val="008E3CAA"/>
    <w:rsid w:val="008E6241"/>
    <w:rsid w:val="008E62C8"/>
    <w:rsid w:val="008F005A"/>
    <w:rsid w:val="008F0AEA"/>
    <w:rsid w:val="008F0B84"/>
    <w:rsid w:val="008F2FC4"/>
    <w:rsid w:val="008F3DB5"/>
    <w:rsid w:val="008F4D46"/>
    <w:rsid w:val="008F739E"/>
    <w:rsid w:val="00901575"/>
    <w:rsid w:val="009024C2"/>
    <w:rsid w:val="00906AF8"/>
    <w:rsid w:val="00907489"/>
    <w:rsid w:val="00914D88"/>
    <w:rsid w:val="00914FE4"/>
    <w:rsid w:val="00916743"/>
    <w:rsid w:val="00917A7F"/>
    <w:rsid w:val="009210D6"/>
    <w:rsid w:val="00921EF2"/>
    <w:rsid w:val="009221E7"/>
    <w:rsid w:val="009237A8"/>
    <w:rsid w:val="00926B13"/>
    <w:rsid w:val="0093284A"/>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60128"/>
    <w:rsid w:val="009650F5"/>
    <w:rsid w:val="009677CD"/>
    <w:rsid w:val="009702C9"/>
    <w:rsid w:val="0097255E"/>
    <w:rsid w:val="00972EE7"/>
    <w:rsid w:val="00973AC5"/>
    <w:rsid w:val="009749CE"/>
    <w:rsid w:val="0097530F"/>
    <w:rsid w:val="00976455"/>
    <w:rsid w:val="00976C57"/>
    <w:rsid w:val="009811E5"/>
    <w:rsid w:val="00982EB4"/>
    <w:rsid w:val="00983F42"/>
    <w:rsid w:val="00985B25"/>
    <w:rsid w:val="00987955"/>
    <w:rsid w:val="0099041F"/>
    <w:rsid w:val="00993F98"/>
    <w:rsid w:val="00995301"/>
    <w:rsid w:val="00997117"/>
    <w:rsid w:val="009A18E2"/>
    <w:rsid w:val="009A1948"/>
    <w:rsid w:val="009A2354"/>
    <w:rsid w:val="009A2C19"/>
    <w:rsid w:val="009A50B9"/>
    <w:rsid w:val="009B0114"/>
    <w:rsid w:val="009B0D0C"/>
    <w:rsid w:val="009B1A5F"/>
    <w:rsid w:val="009B43E8"/>
    <w:rsid w:val="009B48A9"/>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EB"/>
    <w:rsid w:val="00A279F0"/>
    <w:rsid w:val="00A27ED1"/>
    <w:rsid w:val="00A306BC"/>
    <w:rsid w:val="00A33543"/>
    <w:rsid w:val="00A3437A"/>
    <w:rsid w:val="00A34C57"/>
    <w:rsid w:val="00A35F42"/>
    <w:rsid w:val="00A367FF"/>
    <w:rsid w:val="00A370A7"/>
    <w:rsid w:val="00A4186A"/>
    <w:rsid w:val="00A41E00"/>
    <w:rsid w:val="00A47F81"/>
    <w:rsid w:val="00A51190"/>
    <w:rsid w:val="00A52831"/>
    <w:rsid w:val="00A53D1C"/>
    <w:rsid w:val="00A54E54"/>
    <w:rsid w:val="00A56144"/>
    <w:rsid w:val="00A56508"/>
    <w:rsid w:val="00A62B52"/>
    <w:rsid w:val="00A66355"/>
    <w:rsid w:val="00A70A55"/>
    <w:rsid w:val="00A71669"/>
    <w:rsid w:val="00A72A86"/>
    <w:rsid w:val="00A72AF1"/>
    <w:rsid w:val="00A74B9F"/>
    <w:rsid w:val="00A758A5"/>
    <w:rsid w:val="00A83143"/>
    <w:rsid w:val="00A83E65"/>
    <w:rsid w:val="00A84F6E"/>
    <w:rsid w:val="00AA0906"/>
    <w:rsid w:val="00AA0BD5"/>
    <w:rsid w:val="00AA10EB"/>
    <w:rsid w:val="00AA19E9"/>
    <w:rsid w:val="00AA1C1C"/>
    <w:rsid w:val="00AA2369"/>
    <w:rsid w:val="00AA279A"/>
    <w:rsid w:val="00AA3B57"/>
    <w:rsid w:val="00AA45D3"/>
    <w:rsid w:val="00AA4F88"/>
    <w:rsid w:val="00AA6AD3"/>
    <w:rsid w:val="00AA73BE"/>
    <w:rsid w:val="00AB06C3"/>
    <w:rsid w:val="00AB0742"/>
    <w:rsid w:val="00AB22BB"/>
    <w:rsid w:val="00AB5787"/>
    <w:rsid w:val="00AC2090"/>
    <w:rsid w:val="00AC387D"/>
    <w:rsid w:val="00AD2436"/>
    <w:rsid w:val="00AD3B18"/>
    <w:rsid w:val="00AD54A8"/>
    <w:rsid w:val="00AD5DC8"/>
    <w:rsid w:val="00AE043C"/>
    <w:rsid w:val="00AE66B2"/>
    <w:rsid w:val="00AE6C3A"/>
    <w:rsid w:val="00AF377A"/>
    <w:rsid w:val="00AF59E6"/>
    <w:rsid w:val="00B0523E"/>
    <w:rsid w:val="00B0542A"/>
    <w:rsid w:val="00B0548E"/>
    <w:rsid w:val="00B05CA2"/>
    <w:rsid w:val="00B06A23"/>
    <w:rsid w:val="00B07C82"/>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4269"/>
    <w:rsid w:val="00B56A07"/>
    <w:rsid w:val="00B601E5"/>
    <w:rsid w:val="00B61BDD"/>
    <w:rsid w:val="00B638F0"/>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1579"/>
    <w:rsid w:val="00B81ACD"/>
    <w:rsid w:val="00B8221A"/>
    <w:rsid w:val="00B86608"/>
    <w:rsid w:val="00B901BE"/>
    <w:rsid w:val="00B924A6"/>
    <w:rsid w:val="00B92FFF"/>
    <w:rsid w:val="00B9380D"/>
    <w:rsid w:val="00B93A7D"/>
    <w:rsid w:val="00B93C08"/>
    <w:rsid w:val="00B951E7"/>
    <w:rsid w:val="00B95BE5"/>
    <w:rsid w:val="00BA7716"/>
    <w:rsid w:val="00BA7F9C"/>
    <w:rsid w:val="00BB1AA3"/>
    <w:rsid w:val="00BB36C4"/>
    <w:rsid w:val="00BB61FB"/>
    <w:rsid w:val="00BB6C1C"/>
    <w:rsid w:val="00BC0D6E"/>
    <w:rsid w:val="00BC1B52"/>
    <w:rsid w:val="00BC5060"/>
    <w:rsid w:val="00BC61BA"/>
    <w:rsid w:val="00BC6942"/>
    <w:rsid w:val="00BC7ED7"/>
    <w:rsid w:val="00BD1D55"/>
    <w:rsid w:val="00BD3929"/>
    <w:rsid w:val="00BD5039"/>
    <w:rsid w:val="00BD55DF"/>
    <w:rsid w:val="00BD5E02"/>
    <w:rsid w:val="00BD65C0"/>
    <w:rsid w:val="00BD7905"/>
    <w:rsid w:val="00BD7947"/>
    <w:rsid w:val="00BE16E7"/>
    <w:rsid w:val="00BE2B85"/>
    <w:rsid w:val="00BE34AA"/>
    <w:rsid w:val="00BE54DE"/>
    <w:rsid w:val="00BF51AE"/>
    <w:rsid w:val="00BF59AF"/>
    <w:rsid w:val="00BF5AED"/>
    <w:rsid w:val="00BF605B"/>
    <w:rsid w:val="00BF61E2"/>
    <w:rsid w:val="00C01D11"/>
    <w:rsid w:val="00C04CF6"/>
    <w:rsid w:val="00C07A10"/>
    <w:rsid w:val="00C07D5F"/>
    <w:rsid w:val="00C11693"/>
    <w:rsid w:val="00C13AC7"/>
    <w:rsid w:val="00C16AD0"/>
    <w:rsid w:val="00C20233"/>
    <w:rsid w:val="00C2092F"/>
    <w:rsid w:val="00C232A8"/>
    <w:rsid w:val="00C24435"/>
    <w:rsid w:val="00C31593"/>
    <w:rsid w:val="00C3211E"/>
    <w:rsid w:val="00C3488E"/>
    <w:rsid w:val="00C3500D"/>
    <w:rsid w:val="00C35B44"/>
    <w:rsid w:val="00C35E77"/>
    <w:rsid w:val="00C37E44"/>
    <w:rsid w:val="00C40CB2"/>
    <w:rsid w:val="00C41A86"/>
    <w:rsid w:val="00C43471"/>
    <w:rsid w:val="00C43865"/>
    <w:rsid w:val="00C460EC"/>
    <w:rsid w:val="00C50435"/>
    <w:rsid w:val="00C50871"/>
    <w:rsid w:val="00C5399F"/>
    <w:rsid w:val="00C54B97"/>
    <w:rsid w:val="00C56A2B"/>
    <w:rsid w:val="00C60F50"/>
    <w:rsid w:val="00C61B33"/>
    <w:rsid w:val="00C627D6"/>
    <w:rsid w:val="00C633F5"/>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6AA7"/>
    <w:rsid w:val="00C8035C"/>
    <w:rsid w:val="00C80D8E"/>
    <w:rsid w:val="00C82E86"/>
    <w:rsid w:val="00C85F78"/>
    <w:rsid w:val="00C860CA"/>
    <w:rsid w:val="00C87C3F"/>
    <w:rsid w:val="00C901CE"/>
    <w:rsid w:val="00C91FCF"/>
    <w:rsid w:val="00C93756"/>
    <w:rsid w:val="00C94815"/>
    <w:rsid w:val="00CA1326"/>
    <w:rsid w:val="00CA35DC"/>
    <w:rsid w:val="00CA4102"/>
    <w:rsid w:val="00CB17EC"/>
    <w:rsid w:val="00CB1A95"/>
    <w:rsid w:val="00CB2491"/>
    <w:rsid w:val="00CB676C"/>
    <w:rsid w:val="00CB6A4F"/>
    <w:rsid w:val="00CC5721"/>
    <w:rsid w:val="00CC673C"/>
    <w:rsid w:val="00CC7089"/>
    <w:rsid w:val="00CC79B9"/>
    <w:rsid w:val="00CD0170"/>
    <w:rsid w:val="00CD2828"/>
    <w:rsid w:val="00CD4F0C"/>
    <w:rsid w:val="00CD56FB"/>
    <w:rsid w:val="00CD58EA"/>
    <w:rsid w:val="00CD593D"/>
    <w:rsid w:val="00CD703C"/>
    <w:rsid w:val="00CE0B05"/>
    <w:rsid w:val="00CE4039"/>
    <w:rsid w:val="00CE45DE"/>
    <w:rsid w:val="00CE4DEA"/>
    <w:rsid w:val="00CE600B"/>
    <w:rsid w:val="00CE6B66"/>
    <w:rsid w:val="00CF14CD"/>
    <w:rsid w:val="00CF2471"/>
    <w:rsid w:val="00CF37C0"/>
    <w:rsid w:val="00CF4ADA"/>
    <w:rsid w:val="00D04E03"/>
    <w:rsid w:val="00D0598F"/>
    <w:rsid w:val="00D1079A"/>
    <w:rsid w:val="00D1440E"/>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6A5D"/>
    <w:rsid w:val="00D41927"/>
    <w:rsid w:val="00D4276C"/>
    <w:rsid w:val="00D4349A"/>
    <w:rsid w:val="00D437E3"/>
    <w:rsid w:val="00D4652C"/>
    <w:rsid w:val="00D46650"/>
    <w:rsid w:val="00D46749"/>
    <w:rsid w:val="00D46E86"/>
    <w:rsid w:val="00D470A1"/>
    <w:rsid w:val="00D50B0B"/>
    <w:rsid w:val="00D51520"/>
    <w:rsid w:val="00D51826"/>
    <w:rsid w:val="00D51A8E"/>
    <w:rsid w:val="00D53316"/>
    <w:rsid w:val="00D5331A"/>
    <w:rsid w:val="00D5720C"/>
    <w:rsid w:val="00D57F86"/>
    <w:rsid w:val="00D61644"/>
    <w:rsid w:val="00D617E5"/>
    <w:rsid w:val="00D61DF3"/>
    <w:rsid w:val="00D62310"/>
    <w:rsid w:val="00D63890"/>
    <w:rsid w:val="00D64438"/>
    <w:rsid w:val="00D64663"/>
    <w:rsid w:val="00D64D66"/>
    <w:rsid w:val="00D72681"/>
    <w:rsid w:val="00D72972"/>
    <w:rsid w:val="00D75034"/>
    <w:rsid w:val="00D75BB4"/>
    <w:rsid w:val="00D80926"/>
    <w:rsid w:val="00D823D9"/>
    <w:rsid w:val="00D82BD8"/>
    <w:rsid w:val="00D82D6C"/>
    <w:rsid w:val="00D852B1"/>
    <w:rsid w:val="00D86B58"/>
    <w:rsid w:val="00D87798"/>
    <w:rsid w:val="00D87C56"/>
    <w:rsid w:val="00D901AF"/>
    <w:rsid w:val="00D931E5"/>
    <w:rsid w:val="00D932BB"/>
    <w:rsid w:val="00DA050A"/>
    <w:rsid w:val="00DA356F"/>
    <w:rsid w:val="00DA373C"/>
    <w:rsid w:val="00DA640C"/>
    <w:rsid w:val="00DA67C4"/>
    <w:rsid w:val="00DA74B3"/>
    <w:rsid w:val="00DB091B"/>
    <w:rsid w:val="00DB2829"/>
    <w:rsid w:val="00DB3710"/>
    <w:rsid w:val="00DB4C1B"/>
    <w:rsid w:val="00DB5A28"/>
    <w:rsid w:val="00DB6BBF"/>
    <w:rsid w:val="00DB6ED1"/>
    <w:rsid w:val="00DB7BF5"/>
    <w:rsid w:val="00DC0798"/>
    <w:rsid w:val="00DC4A7E"/>
    <w:rsid w:val="00DC5862"/>
    <w:rsid w:val="00DC596C"/>
    <w:rsid w:val="00DC5B41"/>
    <w:rsid w:val="00DC73EA"/>
    <w:rsid w:val="00DD282A"/>
    <w:rsid w:val="00DE0CDD"/>
    <w:rsid w:val="00DE2AC6"/>
    <w:rsid w:val="00DE306E"/>
    <w:rsid w:val="00DE58FB"/>
    <w:rsid w:val="00DE7356"/>
    <w:rsid w:val="00DE7D6A"/>
    <w:rsid w:val="00DF0E54"/>
    <w:rsid w:val="00DF19CE"/>
    <w:rsid w:val="00DF3CE6"/>
    <w:rsid w:val="00DF70DC"/>
    <w:rsid w:val="00DF7BC5"/>
    <w:rsid w:val="00E001CD"/>
    <w:rsid w:val="00E02F48"/>
    <w:rsid w:val="00E07CC5"/>
    <w:rsid w:val="00E105D7"/>
    <w:rsid w:val="00E111BB"/>
    <w:rsid w:val="00E1331F"/>
    <w:rsid w:val="00E13DA0"/>
    <w:rsid w:val="00E14FB6"/>
    <w:rsid w:val="00E1799B"/>
    <w:rsid w:val="00E208EB"/>
    <w:rsid w:val="00E23AD0"/>
    <w:rsid w:val="00E25150"/>
    <w:rsid w:val="00E2687C"/>
    <w:rsid w:val="00E26B10"/>
    <w:rsid w:val="00E30379"/>
    <w:rsid w:val="00E31EC6"/>
    <w:rsid w:val="00E330A6"/>
    <w:rsid w:val="00E34205"/>
    <w:rsid w:val="00E34210"/>
    <w:rsid w:val="00E406E0"/>
    <w:rsid w:val="00E43225"/>
    <w:rsid w:val="00E448EB"/>
    <w:rsid w:val="00E45C68"/>
    <w:rsid w:val="00E50840"/>
    <w:rsid w:val="00E614D5"/>
    <w:rsid w:val="00E62DCE"/>
    <w:rsid w:val="00E630D7"/>
    <w:rsid w:val="00E65E39"/>
    <w:rsid w:val="00E667C7"/>
    <w:rsid w:val="00E66AB1"/>
    <w:rsid w:val="00E71598"/>
    <w:rsid w:val="00E7312D"/>
    <w:rsid w:val="00E73AFB"/>
    <w:rsid w:val="00E7476D"/>
    <w:rsid w:val="00E758EF"/>
    <w:rsid w:val="00E75BEE"/>
    <w:rsid w:val="00E76258"/>
    <w:rsid w:val="00E767E6"/>
    <w:rsid w:val="00E80B1D"/>
    <w:rsid w:val="00E81192"/>
    <w:rsid w:val="00E82EE1"/>
    <w:rsid w:val="00E8462C"/>
    <w:rsid w:val="00E84CAA"/>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468"/>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7773"/>
    <w:rsid w:val="00F07801"/>
    <w:rsid w:val="00F07EF5"/>
    <w:rsid w:val="00F10969"/>
    <w:rsid w:val="00F11015"/>
    <w:rsid w:val="00F12482"/>
    <w:rsid w:val="00F127BE"/>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60919"/>
    <w:rsid w:val="00F62276"/>
    <w:rsid w:val="00F62977"/>
    <w:rsid w:val="00F65ABB"/>
    <w:rsid w:val="00F71132"/>
    <w:rsid w:val="00F73860"/>
    <w:rsid w:val="00F7635B"/>
    <w:rsid w:val="00F76661"/>
    <w:rsid w:val="00F814D9"/>
    <w:rsid w:val="00F81882"/>
    <w:rsid w:val="00F82205"/>
    <w:rsid w:val="00F85EC7"/>
    <w:rsid w:val="00F86593"/>
    <w:rsid w:val="00F86B70"/>
    <w:rsid w:val="00F86C61"/>
    <w:rsid w:val="00F87613"/>
    <w:rsid w:val="00F877D0"/>
    <w:rsid w:val="00F900F1"/>
    <w:rsid w:val="00F9089D"/>
    <w:rsid w:val="00F90F5C"/>
    <w:rsid w:val="00F9135E"/>
    <w:rsid w:val="00F91AD7"/>
    <w:rsid w:val="00F94E6B"/>
    <w:rsid w:val="00F96800"/>
    <w:rsid w:val="00FA0D8D"/>
    <w:rsid w:val="00FA2BED"/>
    <w:rsid w:val="00FA7439"/>
    <w:rsid w:val="00FA7B86"/>
    <w:rsid w:val="00FB0031"/>
    <w:rsid w:val="00FB2965"/>
    <w:rsid w:val="00FB2B54"/>
    <w:rsid w:val="00FB491F"/>
    <w:rsid w:val="00FB64B2"/>
    <w:rsid w:val="00FB6F26"/>
    <w:rsid w:val="00FB7063"/>
    <w:rsid w:val="00FB72BE"/>
    <w:rsid w:val="00FC03D5"/>
    <w:rsid w:val="00FC2042"/>
    <w:rsid w:val="00FC2DC7"/>
    <w:rsid w:val="00FC3027"/>
    <w:rsid w:val="00FC45CC"/>
    <w:rsid w:val="00FC4965"/>
    <w:rsid w:val="00FC6540"/>
    <w:rsid w:val="00FC750E"/>
    <w:rsid w:val="00FD11C8"/>
    <w:rsid w:val="00FD1D75"/>
    <w:rsid w:val="00FD3DFF"/>
    <w:rsid w:val="00FD3F44"/>
    <w:rsid w:val="00FD43B5"/>
    <w:rsid w:val="00FD4965"/>
    <w:rsid w:val="00FE1CA2"/>
    <w:rsid w:val="00FE3B15"/>
    <w:rsid w:val="00FE486A"/>
    <w:rsid w:val="00FE49C2"/>
    <w:rsid w:val="00FE5DE6"/>
    <w:rsid w:val="00FE75F4"/>
    <w:rsid w:val="00FE7B94"/>
    <w:rsid w:val="00FF00CB"/>
    <w:rsid w:val="00FF2980"/>
    <w:rsid w:val="00FF3F84"/>
    <w:rsid w:val="00FF410A"/>
    <w:rsid w:val="00FF50E7"/>
    <w:rsid w:val="00FF527D"/>
    <w:rsid w:val="00FF710F"/>
    <w:rsid w:val="00FF796A"/>
    <w:rsid w:val="00FF7CB2"/>
    <w:rsid w:val="01437C9C"/>
    <w:rsid w:val="0152227D"/>
    <w:rsid w:val="016245C6"/>
    <w:rsid w:val="018C519F"/>
    <w:rsid w:val="019978BC"/>
    <w:rsid w:val="020C008E"/>
    <w:rsid w:val="02317AF5"/>
    <w:rsid w:val="025F5514"/>
    <w:rsid w:val="02D77DDC"/>
    <w:rsid w:val="02EB292B"/>
    <w:rsid w:val="03887BE8"/>
    <w:rsid w:val="03A964DC"/>
    <w:rsid w:val="03C52BEB"/>
    <w:rsid w:val="03E2379C"/>
    <w:rsid w:val="04096F7B"/>
    <w:rsid w:val="041E3605"/>
    <w:rsid w:val="044B117C"/>
    <w:rsid w:val="04581CB1"/>
    <w:rsid w:val="045A6FA9"/>
    <w:rsid w:val="049820AD"/>
    <w:rsid w:val="04D72D2F"/>
    <w:rsid w:val="050D2A9B"/>
    <w:rsid w:val="051E0804"/>
    <w:rsid w:val="05286DF6"/>
    <w:rsid w:val="053718C6"/>
    <w:rsid w:val="0539563E"/>
    <w:rsid w:val="053C6183"/>
    <w:rsid w:val="05597A8E"/>
    <w:rsid w:val="05882D55"/>
    <w:rsid w:val="058F1340"/>
    <w:rsid w:val="05922FA0"/>
    <w:rsid w:val="05B945AD"/>
    <w:rsid w:val="05CD3E2B"/>
    <w:rsid w:val="05D834B2"/>
    <w:rsid w:val="064C389E"/>
    <w:rsid w:val="067B5FB4"/>
    <w:rsid w:val="072E144C"/>
    <w:rsid w:val="074C6282"/>
    <w:rsid w:val="07944DAE"/>
    <w:rsid w:val="07950C44"/>
    <w:rsid w:val="083B16CD"/>
    <w:rsid w:val="08844E22"/>
    <w:rsid w:val="08A01223"/>
    <w:rsid w:val="08D4741A"/>
    <w:rsid w:val="08E07DF1"/>
    <w:rsid w:val="09391BDB"/>
    <w:rsid w:val="09A82D92"/>
    <w:rsid w:val="09E56AA1"/>
    <w:rsid w:val="0A026946"/>
    <w:rsid w:val="0A0D57B2"/>
    <w:rsid w:val="0A122902"/>
    <w:rsid w:val="0A222B45"/>
    <w:rsid w:val="0A283ED3"/>
    <w:rsid w:val="0A330730"/>
    <w:rsid w:val="0AA10745"/>
    <w:rsid w:val="0AAE262A"/>
    <w:rsid w:val="0ABA2D7D"/>
    <w:rsid w:val="0AF85654"/>
    <w:rsid w:val="0AFA5B66"/>
    <w:rsid w:val="0B1A5ED8"/>
    <w:rsid w:val="0B444D3D"/>
    <w:rsid w:val="0B512FB6"/>
    <w:rsid w:val="0B7F5D75"/>
    <w:rsid w:val="0B8D2240"/>
    <w:rsid w:val="0BAB5F31"/>
    <w:rsid w:val="0BAF4476"/>
    <w:rsid w:val="0C0D4E92"/>
    <w:rsid w:val="0D1D3A97"/>
    <w:rsid w:val="0D4C7ED9"/>
    <w:rsid w:val="0D4D05F3"/>
    <w:rsid w:val="0D682DE6"/>
    <w:rsid w:val="0D7336B7"/>
    <w:rsid w:val="0D8502ED"/>
    <w:rsid w:val="0DAD63DF"/>
    <w:rsid w:val="0DAE62A1"/>
    <w:rsid w:val="0E44378C"/>
    <w:rsid w:val="0E4D3F08"/>
    <w:rsid w:val="0ECC307F"/>
    <w:rsid w:val="0F9D0EBF"/>
    <w:rsid w:val="0FA55392"/>
    <w:rsid w:val="0FA7589A"/>
    <w:rsid w:val="0FBA35C3"/>
    <w:rsid w:val="0FC202BE"/>
    <w:rsid w:val="10374E70"/>
    <w:rsid w:val="107F0312"/>
    <w:rsid w:val="108654B0"/>
    <w:rsid w:val="108F6A5A"/>
    <w:rsid w:val="10964FB1"/>
    <w:rsid w:val="10A122E9"/>
    <w:rsid w:val="10F5437A"/>
    <w:rsid w:val="1102076E"/>
    <w:rsid w:val="114415F3"/>
    <w:rsid w:val="1157698A"/>
    <w:rsid w:val="11712A15"/>
    <w:rsid w:val="119B76A9"/>
    <w:rsid w:val="11B24292"/>
    <w:rsid w:val="11C264F4"/>
    <w:rsid w:val="11F957D3"/>
    <w:rsid w:val="12110198"/>
    <w:rsid w:val="12166FBF"/>
    <w:rsid w:val="12183B00"/>
    <w:rsid w:val="123F3A00"/>
    <w:rsid w:val="12565D9E"/>
    <w:rsid w:val="128D521B"/>
    <w:rsid w:val="1290609D"/>
    <w:rsid w:val="12A6008B"/>
    <w:rsid w:val="12CA5B28"/>
    <w:rsid w:val="1300779B"/>
    <w:rsid w:val="1323199E"/>
    <w:rsid w:val="133D279D"/>
    <w:rsid w:val="13547AE7"/>
    <w:rsid w:val="13693592"/>
    <w:rsid w:val="13A06637"/>
    <w:rsid w:val="13F07810"/>
    <w:rsid w:val="13F21DD7"/>
    <w:rsid w:val="13F82B68"/>
    <w:rsid w:val="13F866C4"/>
    <w:rsid w:val="1427103E"/>
    <w:rsid w:val="143611AC"/>
    <w:rsid w:val="143D4D2B"/>
    <w:rsid w:val="144D547C"/>
    <w:rsid w:val="145558C5"/>
    <w:rsid w:val="14E1184E"/>
    <w:rsid w:val="14ED0FA3"/>
    <w:rsid w:val="15176FE3"/>
    <w:rsid w:val="1582093B"/>
    <w:rsid w:val="15F93977"/>
    <w:rsid w:val="16125842"/>
    <w:rsid w:val="161812A0"/>
    <w:rsid w:val="164756E1"/>
    <w:rsid w:val="16557DFE"/>
    <w:rsid w:val="167D52E5"/>
    <w:rsid w:val="16924B89"/>
    <w:rsid w:val="16F5338F"/>
    <w:rsid w:val="170D7506"/>
    <w:rsid w:val="173043C7"/>
    <w:rsid w:val="17377504"/>
    <w:rsid w:val="17397720"/>
    <w:rsid w:val="175B2533"/>
    <w:rsid w:val="178A7F7B"/>
    <w:rsid w:val="17AC1CA0"/>
    <w:rsid w:val="1844012A"/>
    <w:rsid w:val="184E2D57"/>
    <w:rsid w:val="1850112A"/>
    <w:rsid w:val="186C142F"/>
    <w:rsid w:val="186F1139"/>
    <w:rsid w:val="18CE5C46"/>
    <w:rsid w:val="18DF60A5"/>
    <w:rsid w:val="18F7519C"/>
    <w:rsid w:val="191C2E55"/>
    <w:rsid w:val="195056CC"/>
    <w:rsid w:val="19526877"/>
    <w:rsid w:val="197917AB"/>
    <w:rsid w:val="19866520"/>
    <w:rsid w:val="19C90394"/>
    <w:rsid w:val="19CC6629"/>
    <w:rsid w:val="19D87F95"/>
    <w:rsid w:val="1A0D279E"/>
    <w:rsid w:val="1A213024"/>
    <w:rsid w:val="1A7F18ED"/>
    <w:rsid w:val="1A8E1193"/>
    <w:rsid w:val="1ABF7F3C"/>
    <w:rsid w:val="1AE452E6"/>
    <w:rsid w:val="1B1F09DB"/>
    <w:rsid w:val="1B6034CD"/>
    <w:rsid w:val="1BF41E67"/>
    <w:rsid w:val="1C127879"/>
    <w:rsid w:val="1C380EEE"/>
    <w:rsid w:val="1C3B19B0"/>
    <w:rsid w:val="1C512E16"/>
    <w:rsid w:val="1C5B3C94"/>
    <w:rsid w:val="1CAE73DF"/>
    <w:rsid w:val="1CE235F4"/>
    <w:rsid w:val="1CEB326A"/>
    <w:rsid w:val="1D0A4E2D"/>
    <w:rsid w:val="1D0B56BA"/>
    <w:rsid w:val="1D8334A3"/>
    <w:rsid w:val="1D905BC0"/>
    <w:rsid w:val="1DAD6998"/>
    <w:rsid w:val="1DBC0763"/>
    <w:rsid w:val="1DEE3DF0"/>
    <w:rsid w:val="1E2E78B2"/>
    <w:rsid w:val="1E326C77"/>
    <w:rsid w:val="1E4E1D03"/>
    <w:rsid w:val="1E982151"/>
    <w:rsid w:val="1F0E3240"/>
    <w:rsid w:val="1F220A99"/>
    <w:rsid w:val="1F35399F"/>
    <w:rsid w:val="1F3C7DAD"/>
    <w:rsid w:val="1F8F74CF"/>
    <w:rsid w:val="1F996FAD"/>
    <w:rsid w:val="1FB66D36"/>
    <w:rsid w:val="1FD61FB0"/>
    <w:rsid w:val="1FFB7C68"/>
    <w:rsid w:val="20311F06"/>
    <w:rsid w:val="203F0E15"/>
    <w:rsid w:val="20AE4A1B"/>
    <w:rsid w:val="20B120D5"/>
    <w:rsid w:val="20C77B4A"/>
    <w:rsid w:val="20E64474"/>
    <w:rsid w:val="20EC135F"/>
    <w:rsid w:val="213351E0"/>
    <w:rsid w:val="21354AB4"/>
    <w:rsid w:val="213B45E6"/>
    <w:rsid w:val="214D3F8A"/>
    <w:rsid w:val="21627873"/>
    <w:rsid w:val="21645399"/>
    <w:rsid w:val="21867A05"/>
    <w:rsid w:val="21923B8F"/>
    <w:rsid w:val="21A41C3A"/>
    <w:rsid w:val="220324D3"/>
    <w:rsid w:val="223F7389"/>
    <w:rsid w:val="22491B20"/>
    <w:rsid w:val="229F74E7"/>
    <w:rsid w:val="22AD4B1E"/>
    <w:rsid w:val="22B1460E"/>
    <w:rsid w:val="231B23CF"/>
    <w:rsid w:val="232E3EB1"/>
    <w:rsid w:val="232F19D7"/>
    <w:rsid w:val="23C915DE"/>
    <w:rsid w:val="23F76998"/>
    <w:rsid w:val="2418246B"/>
    <w:rsid w:val="245A2A83"/>
    <w:rsid w:val="247D5068"/>
    <w:rsid w:val="24BB1774"/>
    <w:rsid w:val="24C66CC0"/>
    <w:rsid w:val="24E76A0D"/>
    <w:rsid w:val="24EC7B7F"/>
    <w:rsid w:val="24F1659B"/>
    <w:rsid w:val="2530697A"/>
    <w:rsid w:val="256B319A"/>
    <w:rsid w:val="257D2ECD"/>
    <w:rsid w:val="259721E1"/>
    <w:rsid w:val="25AA57FC"/>
    <w:rsid w:val="25C52E16"/>
    <w:rsid w:val="25E940BF"/>
    <w:rsid w:val="26211AAB"/>
    <w:rsid w:val="264019D3"/>
    <w:rsid w:val="26442428"/>
    <w:rsid w:val="26543C2E"/>
    <w:rsid w:val="26976211"/>
    <w:rsid w:val="26D22DA5"/>
    <w:rsid w:val="27121167"/>
    <w:rsid w:val="2713284B"/>
    <w:rsid w:val="27306174"/>
    <w:rsid w:val="27351CB2"/>
    <w:rsid w:val="274D41F8"/>
    <w:rsid w:val="275F0ADD"/>
    <w:rsid w:val="27781B9E"/>
    <w:rsid w:val="27A01DF3"/>
    <w:rsid w:val="28164F13"/>
    <w:rsid w:val="284D6B87"/>
    <w:rsid w:val="28AB7D51"/>
    <w:rsid w:val="28B81F9E"/>
    <w:rsid w:val="29074A85"/>
    <w:rsid w:val="290C6A42"/>
    <w:rsid w:val="29224760"/>
    <w:rsid w:val="29315699"/>
    <w:rsid w:val="29424212"/>
    <w:rsid w:val="29451F54"/>
    <w:rsid w:val="297C2079"/>
    <w:rsid w:val="297D7915"/>
    <w:rsid w:val="298962E5"/>
    <w:rsid w:val="29CC7F7F"/>
    <w:rsid w:val="29D56857"/>
    <w:rsid w:val="29E614B4"/>
    <w:rsid w:val="29E66F73"/>
    <w:rsid w:val="29EE439A"/>
    <w:rsid w:val="29F95074"/>
    <w:rsid w:val="29F97883"/>
    <w:rsid w:val="29FC7C78"/>
    <w:rsid w:val="2A315DF7"/>
    <w:rsid w:val="2AAA1B21"/>
    <w:rsid w:val="2ABC6246"/>
    <w:rsid w:val="2ACE2709"/>
    <w:rsid w:val="2AD64354"/>
    <w:rsid w:val="2AF45EAF"/>
    <w:rsid w:val="2B471FB3"/>
    <w:rsid w:val="2B863EAA"/>
    <w:rsid w:val="2B8E7BE2"/>
    <w:rsid w:val="2BA72A52"/>
    <w:rsid w:val="2BBC44AD"/>
    <w:rsid w:val="2BC453B2"/>
    <w:rsid w:val="2BD001FB"/>
    <w:rsid w:val="2BE617CC"/>
    <w:rsid w:val="2C362245"/>
    <w:rsid w:val="2C3E5975"/>
    <w:rsid w:val="2C4D096C"/>
    <w:rsid w:val="2C647927"/>
    <w:rsid w:val="2CBE44F7"/>
    <w:rsid w:val="2CD2255C"/>
    <w:rsid w:val="2CE1615C"/>
    <w:rsid w:val="2D17544E"/>
    <w:rsid w:val="2D1E4F96"/>
    <w:rsid w:val="2D4367AA"/>
    <w:rsid w:val="2D730153"/>
    <w:rsid w:val="2DA51213"/>
    <w:rsid w:val="2DBB4593"/>
    <w:rsid w:val="2DD63984"/>
    <w:rsid w:val="2DE644D2"/>
    <w:rsid w:val="2E5F7614"/>
    <w:rsid w:val="2E62055B"/>
    <w:rsid w:val="2E9C2616"/>
    <w:rsid w:val="2EC214A0"/>
    <w:rsid w:val="2EC43EFC"/>
    <w:rsid w:val="2F0B779C"/>
    <w:rsid w:val="2F0E364C"/>
    <w:rsid w:val="2FAD0853"/>
    <w:rsid w:val="2FAF5D60"/>
    <w:rsid w:val="2FCE2CA3"/>
    <w:rsid w:val="2FE058E5"/>
    <w:rsid w:val="2FE87CD4"/>
    <w:rsid w:val="30064108"/>
    <w:rsid w:val="302C3259"/>
    <w:rsid w:val="30717AD3"/>
    <w:rsid w:val="30B07949"/>
    <w:rsid w:val="30B96527"/>
    <w:rsid w:val="30D81900"/>
    <w:rsid w:val="30E65DCB"/>
    <w:rsid w:val="314F1BC2"/>
    <w:rsid w:val="315C4AA4"/>
    <w:rsid w:val="31851764"/>
    <w:rsid w:val="318D5F0C"/>
    <w:rsid w:val="31C81974"/>
    <w:rsid w:val="31CA2B27"/>
    <w:rsid w:val="320E7262"/>
    <w:rsid w:val="32584DB3"/>
    <w:rsid w:val="32780881"/>
    <w:rsid w:val="32C81EC0"/>
    <w:rsid w:val="32CC2D9E"/>
    <w:rsid w:val="32D63C1D"/>
    <w:rsid w:val="32EB3B6C"/>
    <w:rsid w:val="338D69D1"/>
    <w:rsid w:val="33995376"/>
    <w:rsid w:val="33B201E6"/>
    <w:rsid w:val="33B65F28"/>
    <w:rsid w:val="33C02440"/>
    <w:rsid w:val="33E12879"/>
    <w:rsid w:val="340D0144"/>
    <w:rsid w:val="341C02B0"/>
    <w:rsid w:val="34311A53"/>
    <w:rsid w:val="34353EF5"/>
    <w:rsid w:val="348334AE"/>
    <w:rsid w:val="34C27A75"/>
    <w:rsid w:val="34D80120"/>
    <w:rsid w:val="34DF325D"/>
    <w:rsid w:val="351C625F"/>
    <w:rsid w:val="35301D0A"/>
    <w:rsid w:val="357F2D68"/>
    <w:rsid w:val="358132B9"/>
    <w:rsid w:val="35BB5C92"/>
    <w:rsid w:val="35CB558F"/>
    <w:rsid w:val="35D867C1"/>
    <w:rsid w:val="35EA69BF"/>
    <w:rsid w:val="36201D7F"/>
    <w:rsid w:val="36203B2D"/>
    <w:rsid w:val="36700DA4"/>
    <w:rsid w:val="367D5540"/>
    <w:rsid w:val="368816D2"/>
    <w:rsid w:val="36C00E6C"/>
    <w:rsid w:val="36E30FED"/>
    <w:rsid w:val="37291728"/>
    <w:rsid w:val="373D24BC"/>
    <w:rsid w:val="375632A9"/>
    <w:rsid w:val="377838EB"/>
    <w:rsid w:val="37E62B54"/>
    <w:rsid w:val="37FA03AE"/>
    <w:rsid w:val="37FC7D5B"/>
    <w:rsid w:val="3807783E"/>
    <w:rsid w:val="38592295"/>
    <w:rsid w:val="386A72E1"/>
    <w:rsid w:val="387E6AA8"/>
    <w:rsid w:val="38EF191E"/>
    <w:rsid w:val="39376BB9"/>
    <w:rsid w:val="393B2A2C"/>
    <w:rsid w:val="39663EE5"/>
    <w:rsid w:val="397064DC"/>
    <w:rsid w:val="39777F08"/>
    <w:rsid w:val="397A3554"/>
    <w:rsid w:val="39AD1B7B"/>
    <w:rsid w:val="39B369AA"/>
    <w:rsid w:val="39C44666"/>
    <w:rsid w:val="39CD5D7A"/>
    <w:rsid w:val="39D23390"/>
    <w:rsid w:val="39DE5B1E"/>
    <w:rsid w:val="39F650A0"/>
    <w:rsid w:val="39FF1CAB"/>
    <w:rsid w:val="3A542405"/>
    <w:rsid w:val="3AB900AC"/>
    <w:rsid w:val="3AC30F2B"/>
    <w:rsid w:val="3B0E72EA"/>
    <w:rsid w:val="3BCB453B"/>
    <w:rsid w:val="3BD553B9"/>
    <w:rsid w:val="3BE50622"/>
    <w:rsid w:val="3C111633"/>
    <w:rsid w:val="3C1C03AD"/>
    <w:rsid w:val="3C241E9D"/>
    <w:rsid w:val="3C414989"/>
    <w:rsid w:val="3C456863"/>
    <w:rsid w:val="3C926E07"/>
    <w:rsid w:val="3C991F43"/>
    <w:rsid w:val="3CA8662A"/>
    <w:rsid w:val="3D6F433B"/>
    <w:rsid w:val="3D8351D6"/>
    <w:rsid w:val="3DF17B5D"/>
    <w:rsid w:val="3E1A6B83"/>
    <w:rsid w:val="3E6B3DB3"/>
    <w:rsid w:val="3EAD43CC"/>
    <w:rsid w:val="3EBE0387"/>
    <w:rsid w:val="3EC350B1"/>
    <w:rsid w:val="3EC6723B"/>
    <w:rsid w:val="3EDE5D10"/>
    <w:rsid w:val="3EF5367D"/>
    <w:rsid w:val="3EF94F1B"/>
    <w:rsid w:val="3F710F55"/>
    <w:rsid w:val="3F870779"/>
    <w:rsid w:val="3FA22C79"/>
    <w:rsid w:val="3FA57E56"/>
    <w:rsid w:val="3FA806EF"/>
    <w:rsid w:val="3FDF5149"/>
    <w:rsid w:val="40642868"/>
    <w:rsid w:val="406807E4"/>
    <w:rsid w:val="40842F0A"/>
    <w:rsid w:val="40907652"/>
    <w:rsid w:val="40DB5220"/>
    <w:rsid w:val="40DE086C"/>
    <w:rsid w:val="40FF030E"/>
    <w:rsid w:val="413D1A37"/>
    <w:rsid w:val="419D24D5"/>
    <w:rsid w:val="41D55520"/>
    <w:rsid w:val="41D81760"/>
    <w:rsid w:val="41DA7286"/>
    <w:rsid w:val="4209459A"/>
    <w:rsid w:val="42162288"/>
    <w:rsid w:val="423D627C"/>
    <w:rsid w:val="42440BA3"/>
    <w:rsid w:val="4246491B"/>
    <w:rsid w:val="424C6791"/>
    <w:rsid w:val="42884F34"/>
    <w:rsid w:val="42A2120F"/>
    <w:rsid w:val="42AD6567"/>
    <w:rsid w:val="42BB243E"/>
    <w:rsid w:val="42D62BD9"/>
    <w:rsid w:val="42ED123B"/>
    <w:rsid w:val="42F848B2"/>
    <w:rsid w:val="432C1A93"/>
    <w:rsid w:val="43346E69"/>
    <w:rsid w:val="433C6895"/>
    <w:rsid w:val="434370AD"/>
    <w:rsid w:val="43923B90"/>
    <w:rsid w:val="43A4646B"/>
    <w:rsid w:val="43E712D9"/>
    <w:rsid w:val="44243AA4"/>
    <w:rsid w:val="44337121"/>
    <w:rsid w:val="443D5DCC"/>
    <w:rsid w:val="44526957"/>
    <w:rsid w:val="445A46AE"/>
    <w:rsid w:val="4488746D"/>
    <w:rsid w:val="44915BF6"/>
    <w:rsid w:val="44EB3E78"/>
    <w:rsid w:val="44F763A1"/>
    <w:rsid w:val="450F41FE"/>
    <w:rsid w:val="45936891"/>
    <w:rsid w:val="45DB5C32"/>
    <w:rsid w:val="45E07589"/>
    <w:rsid w:val="46843C64"/>
    <w:rsid w:val="46E666CD"/>
    <w:rsid w:val="46F012F9"/>
    <w:rsid w:val="47613FA5"/>
    <w:rsid w:val="478A7058"/>
    <w:rsid w:val="47AF4671"/>
    <w:rsid w:val="47EB4EF0"/>
    <w:rsid w:val="482C0A84"/>
    <w:rsid w:val="484863C2"/>
    <w:rsid w:val="489E48D3"/>
    <w:rsid w:val="48AB723A"/>
    <w:rsid w:val="48D507A7"/>
    <w:rsid w:val="48FA1FBB"/>
    <w:rsid w:val="492257BF"/>
    <w:rsid w:val="494F67AB"/>
    <w:rsid w:val="49677999"/>
    <w:rsid w:val="4A266DE0"/>
    <w:rsid w:val="4A5B2F2E"/>
    <w:rsid w:val="4A791606"/>
    <w:rsid w:val="4A7A7858"/>
    <w:rsid w:val="4A8A55C1"/>
    <w:rsid w:val="4A9A7DC0"/>
    <w:rsid w:val="4AC5484B"/>
    <w:rsid w:val="4B0435C5"/>
    <w:rsid w:val="4B110397"/>
    <w:rsid w:val="4B4A51F9"/>
    <w:rsid w:val="4B606B24"/>
    <w:rsid w:val="4B724EA6"/>
    <w:rsid w:val="4B7C065B"/>
    <w:rsid w:val="4B990304"/>
    <w:rsid w:val="4BF058F8"/>
    <w:rsid w:val="4BFF5B3B"/>
    <w:rsid w:val="4C1E4213"/>
    <w:rsid w:val="4C52210E"/>
    <w:rsid w:val="4C602A7D"/>
    <w:rsid w:val="4C87625C"/>
    <w:rsid w:val="4CDE27F3"/>
    <w:rsid w:val="4CEA151E"/>
    <w:rsid w:val="4CEA56D2"/>
    <w:rsid w:val="4D072EF9"/>
    <w:rsid w:val="4D115B26"/>
    <w:rsid w:val="4D331F40"/>
    <w:rsid w:val="4DA53212"/>
    <w:rsid w:val="4DAA68A8"/>
    <w:rsid w:val="4DAD3AA0"/>
    <w:rsid w:val="4DC622A5"/>
    <w:rsid w:val="4DCB4939"/>
    <w:rsid w:val="4DE15BF9"/>
    <w:rsid w:val="4DE84AD8"/>
    <w:rsid w:val="4DF37745"/>
    <w:rsid w:val="4E096FF8"/>
    <w:rsid w:val="4E6B62AA"/>
    <w:rsid w:val="4E710F32"/>
    <w:rsid w:val="4EB250E6"/>
    <w:rsid w:val="4ED3235B"/>
    <w:rsid w:val="4EE77ADA"/>
    <w:rsid w:val="4EF946E2"/>
    <w:rsid w:val="4F5F0DCA"/>
    <w:rsid w:val="4FAF687C"/>
    <w:rsid w:val="4FC7245F"/>
    <w:rsid w:val="4FE4025B"/>
    <w:rsid w:val="4FF4200C"/>
    <w:rsid w:val="501F49FD"/>
    <w:rsid w:val="504D3319"/>
    <w:rsid w:val="505C355C"/>
    <w:rsid w:val="50615CE1"/>
    <w:rsid w:val="509C7DFC"/>
    <w:rsid w:val="50A40F18"/>
    <w:rsid w:val="514C537E"/>
    <w:rsid w:val="519A6A34"/>
    <w:rsid w:val="51ED3749"/>
    <w:rsid w:val="521B01C1"/>
    <w:rsid w:val="52565EF7"/>
    <w:rsid w:val="528D5C4E"/>
    <w:rsid w:val="52CB6777"/>
    <w:rsid w:val="52CD0741"/>
    <w:rsid w:val="52F57143"/>
    <w:rsid w:val="53204D14"/>
    <w:rsid w:val="53260AAE"/>
    <w:rsid w:val="535449BE"/>
    <w:rsid w:val="535B3F9E"/>
    <w:rsid w:val="535D1AC5"/>
    <w:rsid w:val="539A4AC7"/>
    <w:rsid w:val="53C40EAF"/>
    <w:rsid w:val="53CB162D"/>
    <w:rsid w:val="53DD2AFE"/>
    <w:rsid w:val="54134879"/>
    <w:rsid w:val="54344E94"/>
    <w:rsid w:val="548337AD"/>
    <w:rsid w:val="54997AC1"/>
    <w:rsid w:val="54A87175"/>
    <w:rsid w:val="54BC281B"/>
    <w:rsid w:val="54DC6984"/>
    <w:rsid w:val="54E51D72"/>
    <w:rsid w:val="54F1464A"/>
    <w:rsid w:val="54F40211"/>
    <w:rsid w:val="55100FA0"/>
    <w:rsid w:val="55431B98"/>
    <w:rsid w:val="55532E16"/>
    <w:rsid w:val="55811362"/>
    <w:rsid w:val="55992B5C"/>
    <w:rsid w:val="55C84413"/>
    <w:rsid w:val="55EB7F77"/>
    <w:rsid w:val="565B7EBC"/>
    <w:rsid w:val="56772E9D"/>
    <w:rsid w:val="567809C3"/>
    <w:rsid w:val="56813D1C"/>
    <w:rsid w:val="56A4716E"/>
    <w:rsid w:val="57233025"/>
    <w:rsid w:val="572823EA"/>
    <w:rsid w:val="57296AE0"/>
    <w:rsid w:val="57805D82"/>
    <w:rsid w:val="578E252E"/>
    <w:rsid w:val="580F0297"/>
    <w:rsid w:val="585A7E7E"/>
    <w:rsid w:val="58794897"/>
    <w:rsid w:val="58AE691E"/>
    <w:rsid w:val="58B36D82"/>
    <w:rsid w:val="58B77EC9"/>
    <w:rsid w:val="58D63D1E"/>
    <w:rsid w:val="58F85DEC"/>
    <w:rsid w:val="590F1AB3"/>
    <w:rsid w:val="59301A29"/>
    <w:rsid w:val="596A4F3B"/>
    <w:rsid w:val="598558D1"/>
    <w:rsid w:val="59B1606A"/>
    <w:rsid w:val="59BD150F"/>
    <w:rsid w:val="5A026F22"/>
    <w:rsid w:val="5A0F7891"/>
    <w:rsid w:val="5A200F53"/>
    <w:rsid w:val="5A6F2E19"/>
    <w:rsid w:val="5AA93FD1"/>
    <w:rsid w:val="5ACC4545"/>
    <w:rsid w:val="5ADA39FB"/>
    <w:rsid w:val="5AEE75AA"/>
    <w:rsid w:val="5B2D290B"/>
    <w:rsid w:val="5B2D4C71"/>
    <w:rsid w:val="5B2E4B8A"/>
    <w:rsid w:val="5B3F7D02"/>
    <w:rsid w:val="5B841BB9"/>
    <w:rsid w:val="5B850E72"/>
    <w:rsid w:val="5BA87F9D"/>
    <w:rsid w:val="5BAB20D1"/>
    <w:rsid w:val="5BAD6FD7"/>
    <w:rsid w:val="5BEA58E3"/>
    <w:rsid w:val="5BF00249"/>
    <w:rsid w:val="5BF76EF1"/>
    <w:rsid w:val="5C050B30"/>
    <w:rsid w:val="5C0A1DD1"/>
    <w:rsid w:val="5C553C81"/>
    <w:rsid w:val="5C642116"/>
    <w:rsid w:val="5C89392A"/>
    <w:rsid w:val="5CDD77D2"/>
    <w:rsid w:val="5CFA4828"/>
    <w:rsid w:val="5D07484F"/>
    <w:rsid w:val="5D1458EA"/>
    <w:rsid w:val="5D235C93"/>
    <w:rsid w:val="5D323FC2"/>
    <w:rsid w:val="5D4D7E34"/>
    <w:rsid w:val="5D880074"/>
    <w:rsid w:val="5D977EC8"/>
    <w:rsid w:val="5DB20E44"/>
    <w:rsid w:val="5DBA499B"/>
    <w:rsid w:val="5DF0125A"/>
    <w:rsid w:val="5DF43025"/>
    <w:rsid w:val="5E282CCF"/>
    <w:rsid w:val="5E5F57D9"/>
    <w:rsid w:val="5E7F38D6"/>
    <w:rsid w:val="5EC6113E"/>
    <w:rsid w:val="5EC7569F"/>
    <w:rsid w:val="5EDF5A84"/>
    <w:rsid w:val="5F5521EA"/>
    <w:rsid w:val="5F7061EF"/>
    <w:rsid w:val="5F7206A6"/>
    <w:rsid w:val="5F73441E"/>
    <w:rsid w:val="5F8E3526"/>
    <w:rsid w:val="5FFE462F"/>
    <w:rsid w:val="60054BA2"/>
    <w:rsid w:val="603718EF"/>
    <w:rsid w:val="605B6755"/>
    <w:rsid w:val="60745DB1"/>
    <w:rsid w:val="60747737"/>
    <w:rsid w:val="60A725D1"/>
    <w:rsid w:val="60D61108"/>
    <w:rsid w:val="60E70C20"/>
    <w:rsid w:val="60F52D71"/>
    <w:rsid w:val="6118702B"/>
    <w:rsid w:val="613D2F35"/>
    <w:rsid w:val="613F280A"/>
    <w:rsid w:val="61534507"/>
    <w:rsid w:val="61D571F7"/>
    <w:rsid w:val="62022F85"/>
    <w:rsid w:val="621A512E"/>
    <w:rsid w:val="625B18C5"/>
    <w:rsid w:val="62782477"/>
    <w:rsid w:val="6288402C"/>
    <w:rsid w:val="62B27782"/>
    <w:rsid w:val="632779F9"/>
    <w:rsid w:val="6345638C"/>
    <w:rsid w:val="634E4F86"/>
    <w:rsid w:val="63546B42"/>
    <w:rsid w:val="639F1128"/>
    <w:rsid w:val="63BC0104"/>
    <w:rsid w:val="63C82F8A"/>
    <w:rsid w:val="64874BF3"/>
    <w:rsid w:val="648C7798"/>
    <w:rsid w:val="64B83652"/>
    <w:rsid w:val="64BA118E"/>
    <w:rsid w:val="64C10E6B"/>
    <w:rsid w:val="65050CB9"/>
    <w:rsid w:val="65670581"/>
    <w:rsid w:val="658B08FF"/>
    <w:rsid w:val="65A1330E"/>
    <w:rsid w:val="65B765B1"/>
    <w:rsid w:val="65D34D72"/>
    <w:rsid w:val="66415054"/>
    <w:rsid w:val="664B6CF2"/>
    <w:rsid w:val="666A7FC1"/>
    <w:rsid w:val="668D4017"/>
    <w:rsid w:val="668F3FBD"/>
    <w:rsid w:val="66C20165"/>
    <w:rsid w:val="67082BCA"/>
    <w:rsid w:val="6714289E"/>
    <w:rsid w:val="673F5780"/>
    <w:rsid w:val="67AC3B3A"/>
    <w:rsid w:val="67B07AF8"/>
    <w:rsid w:val="67B657F0"/>
    <w:rsid w:val="68260326"/>
    <w:rsid w:val="682E63BC"/>
    <w:rsid w:val="68604D23"/>
    <w:rsid w:val="68815DFE"/>
    <w:rsid w:val="68A452E5"/>
    <w:rsid w:val="68B74555"/>
    <w:rsid w:val="68D4417F"/>
    <w:rsid w:val="68EC18C7"/>
    <w:rsid w:val="68EC771B"/>
    <w:rsid w:val="69335730"/>
    <w:rsid w:val="69690D6B"/>
    <w:rsid w:val="69751960"/>
    <w:rsid w:val="6979532A"/>
    <w:rsid w:val="698A2A90"/>
    <w:rsid w:val="69C064B2"/>
    <w:rsid w:val="69CF4947"/>
    <w:rsid w:val="69D32689"/>
    <w:rsid w:val="6A066A76"/>
    <w:rsid w:val="6A947849"/>
    <w:rsid w:val="6AD678EF"/>
    <w:rsid w:val="6AF403FB"/>
    <w:rsid w:val="6AF64881"/>
    <w:rsid w:val="6B0D363F"/>
    <w:rsid w:val="6B0F76F1"/>
    <w:rsid w:val="6B1116BB"/>
    <w:rsid w:val="6B170353"/>
    <w:rsid w:val="6B482C03"/>
    <w:rsid w:val="6B7A07DA"/>
    <w:rsid w:val="6BB67058"/>
    <w:rsid w:val="6BCB4E14"/>
    <w:rsid w:val="6C315445"/>
    <w:rsid w:val="6C3F3EF8"/>
    <w:rsid w:val="6C722402"/>
    <w:rsid w:val="6C8B5FA7"/>
    <w:rsid w:val="6C9003BD"/>
    <w:rsid w:val="6D1014FE"/>
    <w:rsid w:val="6D5D5725"/>
    <w:rsid w:val="6D5E495F"/>
    <w:rsid w:val="6D5F7BD0"/>
    <w:rsid w:val="6D721389"/>
    <w:rsid w:val="6DAD4F9F"/>
    <w:rsid w:val="6DC112A8"/>
    <w:rsid w:val="6DF5610C"/>
    <w:rsid w:val="6E05302D"/>
    <w:rsid w:val="6E2C680B"/>
    <w:rsid w:val="6E3A456E"/>
    <w:rsid w:val="6E75084A"/>
    <w:rsid w:val="6E855CE9"/>
    <w:rsid w:val="6EFC1D3A"/>
    <w:rsid w:val="6F0B01CF"/>
    <w:rsid w:val="6F0C0D6C"/>
    <w:rsid w:val="6F0C4BCD"/>
    <w:rsid w:val="6F1A3BE3"/>
    <w:rsid w:val="6F6E34E9"/>
    <w:rsid w:val="6F8C7562"/>
    <w:rsid w:val="6FDE58E3"/>
    <w:rsid w:val="702F27B0"/>
    <w:rsid w:val="70B07280"/>
    <w:rsid w:val="70DA669F"/>
    <w:rsid w:val="7133290F"/>
    <w:rsid w:val="713954C7"/>
    <w:rsid w:val="71461992"/>
    <w:rsid w:val="717C53B4"/>
    <w:rsid w:val="71E10FD4"/>
    <w:rsid w:val="7270702D"/>
    <w:rsid w:val="727A5D97"/>
    <w:rsid w:val="729F57FE"/>
    <w:rsid w:val="72B017B9"/>
    <w:rsid w:val="72E03A6A"/>
    <w:rsid w:val="73010267"/>
    <w:rsid w:val="73065405"/>
    <w:rsid w:val="730E4732"/>
    <w:rsid w:val="73ED1E08"/>
    <w:rsid w:val="741B5358"/>
    <w:rsid w:val="74275AAB"/>
    <w:rsid w:val="742C1313"/>
    <w:rsid w:val="742F2BB2"/>
    <w:rsid w:val="747D4A95"/>
    <w:rsid w:val="74B17A6A"/>
    <w:rsid w:val="74B45753"/>
    <w:rsid w:val="74DC333B"/>
    <w:rsid w:val="752323D0"/>
    <w:rsid w:val="752B4669"/>
    <w:rsid w:val="753C1470"/>
    <w:rsid w:val="75812F99"/>
    <w:rsid w:val="75823BEA"/>
    <w:rsid w:val="758459BD"/>
    <w:rsid w:val="758E734C"/>
    <w:rsid w:val="75D05CCE"/>
    <w:rsid w:val="75E55C1E"/>
    <w:rsid w:val="75EF52C6"/>
    <w:rsid w:val="7607416F"/>
    <w:rsid w:val="76403B69"/>
    <w:rsid w:val="765D3A06"/>
    <w:rsid w:val="76960CC6"/>
    <w:rsid w:val="769B4BEA"/>
    <w:rsid w:val="76A900F9"/>
    <w:rsid w:val="76E71522"/>
    <w:rsid w:val="76EE62B6"/>
    <w:rsid w:val="76F50512"/>
    <w:rsid w:val="770C27E3"/>
    <w:rsid w:val="772A6B6C"/>
    <w:rsid w:val="7730111A"/>
    <w:rsid w:val="775C313C"/>
    <w:rsid w:val="777234E1"/>
    <w:rsid w:val="778356EE"/>
    <w:rsid w:val="77995C9A"/>
    <w:rsid w:val="78063C29"/>
    <w:rsid w:val="78217095"/>
    <w:rsid w:val="782218D5"/>
    <w:rsid w:val="78434E7D"/>
    <w:rsid w:val="78793C48"/>
    <w:rsid w:val="78E977D3"/>
    <w:rsid w:val="78F91413"/>
    <w:rsid w:val="78F9553C"/>
    <w:rsid w:val="79433046"/>
    <w:rsid w:val="79442C5B"/>
    <w:rsid w:val="7945044D"/>
    <w:rsid w:val="794669D3"/>
    <w:rsid w:val="794C1B10"/>
    <w:rsid w:val="795E6702"/>
    <w:rsid w:val="796F62A7"/>
    <w:rsid w:val="79D57D57"/>
    <w:rsid w:val="79E82658"/>
    <w:rsid w:val="7A38338F"/>
    <w:rsid w:val="7A41363F"/>
    <w:rsid w:val="7A755DD7"/>
    <w:rsid w:val="7A8121B4"/>
    <w:rsid w:val="7AE822A8"/>
    <w:rsid w:val="7B1B5C3E"/>
    <w:rsid w:val="7B2F3497"/>
    <w:rsid w:val="7B487E2F"/>
    <w:rsid w:val="7B6770D5"/>
    <w:rsid w:val="7B6F2D46"/>
    <w:rsid w:val="7BAB3043"/>
    <w:rsid w:val="7BF10175"/>
    <w:rsid w:val="7C197107"/>
    <w:rsid w:val="7C38637B"/>
    <w:rsid w:val="7C4116D4"/>
    <w:rsid w:val="7CA65B89"/>
    <w:rsid w:val="7CC778A3"/>
    <w:rsid w:val="7CF875F2"/>
    <w:rsid w:val="7D0C5A4B"/>
    <w:rsid w:val="7D80622C"/>
    <w:rsid w:val="7D8F43DC"/>
    <w:rsid w:val="7D902913"/>
    <w:rsid w:val="7DC30A8A"/>
    <w:rsid w:val="7DC802F3"/>
    <w:rsid w:val="7DE71E07"/>
    <w:rsid w:val="7E332C6B"/>
    <w:rsid w:val="7E4B55D1"/>
    <w:rsid w:val="7E6478FC"/>
    <w:rsid w:val="7E8B30DA"/>
    <w:rsid w:val="7E8E6727"/>
    <w:rsid w:val="7EB459DD"/>
    <w:rsid w:val="7EE30820"/>
    <w:rsid w:val="7EE34CC4"/>
    <w:rsid w:val="7EF50554"/>
    <w:rsid w:val="7EFB200E"/>
    <w:rsid w:val="7F2344A4"/>
    <w:rsid w:val="7F2C21C7"/>
    <w:rsid w:val="7F3E1EFB"/>
    <w:rsid w:val="7F476E19"/>
    <w:rsid w:val="7FB87EFF"/>
    <w:rsid w:val="7FD9789A"/>
    <w:rsid w:val="EC6F80E9"/>
    <w:rsid w:val="FEDFE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1"/>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4"/>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1"/>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33"/>
    <w:qFormat/>
    <w:uiPriority w:val="0"/>
    <w:rPr>
      <w:rFonts w:ascii="宋体" w:hAnsi="Courier New" w:cs="Arial"/>
      <w:snapToGrid w:val="0"/>
      <w:szCs w:val="21"/>
    </w:rPr>
  </w:style>
  <w:style w:type="paragraph" w:styleId="12">
    <w:name w:val="Date"/>
    <w:basedOn w:val="1"/>
    <w:next w:val="1"/>
    <w:link w:val="32"/>
    <w:qFormat/>
    <w:uiPriority w:val="0"/>
    <w:pPr>
      <w:ind w:left="100" w:leftChars="2500"/>
    </w:pPr>
    <w:rPr>
      <w:rFonts w:ascii="宋体"/>
      <w:sz w:val="24"/>
      <w:szCs w:val="21"/>
      <w:lang w:val="zh-CN"/>
    </w:rPr>
  </w:style>
  <w:style w:type="paragraph" w:styleId="13">
    <w:name w:val="Balloon Text"/>
    <w:basedOn w:val="1"/>
    <w:link w:val="47"/>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6"/>
    <w:basedOn w:val="1"/>
    <w:next w:val="1"/>
    <w:qFormat/>
    <w:uiPriority w:val="0"/>
    <w:pPr>
      <w:ind w:left="1050"/>
      <w:jc w:val="left"/>
    </w:pPr>
    <w:rPr>
      <w:sz w:val="18"/>
      <w:szCs w:val="18"/>
    </w:rPr>
  </w:style>
  <w:style w:type="paragraph" w:styleId="18">
    <w:name w:val="Body Text Indent 3"/>
    <w:basedOn w:val="1"/>
    <w:link w:val="52"/>
    <w:qFormat/>
    <w:uiPriority w:val="0"/>
    <w:pPr>
      <w:spacing w:after="120"/>
      <w:ind w:left="420" w:leftChars="200"/>
    </w:pPr>
    <w:rPr>
      <w:rFonts w:ascii="Times New Roman" w:hAnsi="Times New Roman"/>
      <w:sz w:val="16"/>
      <w:szCs w:val="16"/>
    </w:rPr>
  </w:style>
  <w:style w:type="paragraph" w:styleId="19">
    <w:name w:val="Body Text First Indent 2"/>
    <w:basedOn w:val="9"/>
    <w:link w:val="56"/>
    <w:semiHidden/>
    <w:unhideWhenUsed/>
    <w:qFormat/>
    <w:uiPriority w:val="99"/>
    <w:pPr>
      <w:spacing w:after="120" w:line="240" w:lineRule="auto"/>
      <w:ind w:left="420" w:leftChars="200" w:firstLine="420"/>
    </w:pPr>
    <w:rPr>
      <w:rFonts w:ascii="Calibri" w:hAnsi="Calibri"/>
      <w:sz w:val="21"/>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FollowedHyperlink"/>
    <w:basedOn w:val="22"/>
    <w:semiHidden/>
    <w:unhideWhenUsed/>
    <w:qFormat/>
    <w:uiPriority w:val="99"/>
    <w:rPr>
      <w:color w:val="800080"/>
      <w:u w:val="none"/>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_Style 3"/>
    <w:basedOn w:val="1"/>
    <w:qFormat/>
    <w:uiPriority w:val="0"/>
    <w:pPr>
      <w:ind w:firstLine="420" w:firstLineChars="200"/>
    </w:pPr>
    <w:rPr>
      <w:rFonts w:eastAsia="仿宋_GB2312"/>
      <w:sz w:val="28"/>
    </w:rPr>
  </w:style>
  <w:style w:type="paragraph" w:styleId="27">
    <w:name w:val="List Paragraph"/>
    <w:basedOn w:val="1"/>
    <w:qFormat/>
    <w:uiPriority w:val="34"/>
    <w:pPr>
      <w:ind w:firstLine="420" w:firstLineChars="200"/>
    </w:pPr>
    <w:rPr>
      <w:szCs w:val="22"/>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2 Char"/>
    <w:basedOn w:val="22"/>
    <w:link w:val="2"/>
    <w:qFormat/>
    <w:uiPriority w:val="0"/>
    <w:rPr>
      <w:rFonts w:ascii="仿宋_GB2312" w:hAnsi="仿宋" w:eastAsia="仿宋_GB2312" w:cs="Times New Roman"/>
      <w:b/>
      <w:bCs/>
      <w:sz w:val="32"/>
      <w:szCs w:val="32"/>
      <w:lang w:val="zh-CN"/>
    </w:rPr>
  </w:style>
  <w:style w:type="character" w:customStyle="1" w:styleId="31">
    <w:name w:val="正文文本缩进 Char"/>
    <w:basedOn w:val="22"/>
    <w:link w:val="9"/>
    <w:qFormat/>
    <w:uiPriority w:val="0"/>
    <w:rPr>
      <w:rFonts w:ascii="宋体" w:hAnsi="宋体" w:eastAsia="宋体" w:cs="Times New Roman"/>
      <w:sz w:val="24"/>
      <w:szCs w:val="24"/>
    </w:rPr>
  </w:style>
  <w:style w:type="character" w:customStyle="1" w:styleId="32">
    <w:name w:val="日期 Char"/>
    <w:basedOn w:val="22"/>
    <w:link w:val="12"/>
    <w:qFormat/>
    <w:uiPriority w:val="0"/>
    <w:rPr>
      <w:rFonts w:ascii="宋体" w:hAnsi="Calibri" w:eastAsia="宋体" w:cs="Times New Roman"/>
      <w:sz w:val="24"/>
      <w:szCs w:val="21"/>
      <w:lang w:val="zh-CN"/>
    </w:rPr>
  </w:style>
  <w:style w:type="character" w:customStyle="1" w:styleId="33">
    <w:name w:val="纯文本 Char"/>
    <w:basedOn w:val="22"/>
    <w:link w:val="11"/>
    <w:qFormat/>
    <w:uiPriority w:val="0"/>
    <w:rPr>
      <w:rFonts w:ascii="宋体" w:hAnsi="Courier New" w:eastAsia="宋体" w:cs="Arial"/>
      <w:snapToGrid w:val="0"/>
      <w:szCs w:val="21"/>
    </w:rPr>
  </w:style>
  <w:style w:type="character" w:customStyle="1" w:styleId="34">
    <w:name w:val="正文文本 Char"/>
    <w:basedOn w:val="22"/>
    <w:link w:val="7"/>
    <w:qFormat/>
    <w:uiPriority w:val="0"/>
    <w:rPr>
      <w:rFonts w:ascii="宋体" w:hAnsi="Arial" w:eastAsia="宋体" w:cs="Arial"/>
      <w:snapToGrid w:val="0"/>
      <w:sz w:val="24"/>
      <w:szCs w:val="21"/>
      <w:lang w:val="zh-CN"/>
    </w:rPr>
  </w:style>
  <w:style w:type="paragraph" w:customStyle="1" w:styleId="35">
    <w:name w:val="索引 11"/>
    <w:basedOn w:val="1"/>
    <w:next w:val="1"/>
    <w:qFormat/>
    <w:uiPriority w:val="99"/>
    <w:pPr>
      <w:spacing w:line="360" w:lineRule="auto"/>
    </w:pPr>
    <w:rPr>
      <w:rFonts w:ascii="仿宋_GB2312" w:eastAsia="仿宋_GB2312"/>
      <w:sz w:val="24"/>
      <w:szCs w:val="20"/>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rPr>
      <w:rFonts w:ascii="宋体" w:hAnsi="Courier New"/>
      <w:kern w:val="0"/>
      <w:sz w:val="20"/>
      <w:szCs w:val="20"/>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qFormat/>
    <w:uiPriority w:val="0"/>
    <w:rPr>
      <w:rFonts w:ascii="宋体" w:hAnsi="Courier New"/>
      <w:szCs w:val="21"/>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Char"/>
    <w:basedOn w:val="22"/>
    <w:link w:val="3"/>
    <w:semiHidden/>
    <w:qFormat/>
    <w:uiPriority w:val="9"/>
    <w:rPr>
      <w:rFonts w:ascii="Calibri" w:hAnsi="Calibri" w:eastAsia="宋体" w:cs="Times New Roman"/>
      <w:b/>
      <w:bCs/>
      <w:sz w:val="32"/>
      <w:szCs w:val="32"/>
    </w:rPr>
  </w:style>
  <w:style w:type="character" w:customStyle="1" w:styleId="45">
    <w:name w:val="标题 4 Char"/>
    <w:basedOn w:val="22"/>
    <w:link w:val="4"/>
    <w:semiHidden/>
    <w:qFormat/>
    <w:uiPriority w:val="9"/>
    <w:rPr>
      <w:rFonts w:asciiTheme="majorHAnsi" w:hAnsiTheme="majorHAnsi" w:eastAsiaTheme="majorEastAsia" w:cstheme="majorBidi"/>
      <w:b/>
      <w:bCs/>
      <w:sz w:val="28"/>
      <w:szCs w:val="28"/>
    </w:rPr>
  </w:style>
  <w:style w:type="paragraph" w:customStyle="1" w:styleId="46">
    <w:name w:val="标题4"/>
    <w:basedOn w:val="1"/>
    <w:qFormat/>
    <w:uiPriority w:val="0"/>
    <w:rPr>
      <w:rFonts w:ascii="Times New Roman" w:hAnsi="Times New Roman" w:eastAsia="仿宋_GB2312"/>
      <w:sz w:val="32"/>
      <w:szCs w:val="20"/>
    </w:rPr>
  </w:style>
  <w:style w:type="character" w:customStyle="1" w:styleId="47">
    <w:name w:val="批注框文本 Char"/>
    <w:basedOn w:val="22"/>
    <w:link w:val="13"/>
    <w:semiHidden/>
    <w:qFormat/>
    <w:uiPriority w:val="99"/>
    <w:rPr>
      <w:rFonts w:ascii="Calibri" w:hAnsi="Calibri" w:eastAsia="宋体" w:cs="Times New Roman"/>
      <w:sz w:val="18"/>
      <w:szCs w:val="18"/>
    </w:rPr>
  </w:style>
  <w:style w:type="character" w:customStyle="1" w:styleId="48">
    <w:name w:val="List Paragraph Char"/>
    <w:link w:val="49"/>
    <w:qFormat/>
    <w:locked/>
    <w:uiPriority w:val="0"/>
    <w:rPr>
      <w:rFonts w:ascii="Times New Roman" w:hAnsi="Times New Roman"/>
      <w:szCs w:val="24"/>
    </w:rPr>
  </w:style>
  <w:style w:type="paragraph" w:customStyle="1" w:styleId="49">
    <w:name w:val="列出段落1"/>
    <w:basedOn w:val="1"/>
    <w:link w:val="48"/>
    <w:qFormat/>
    <w:uiPriority w:val="0"/>
    <w:pPr>
      <w:ind w:firstLine="420" w:firstLineChars="200"/>
    </w:pPr>
    <w:rPr>
      <w:rFonts w:ascii="Times New Roman" w:hAnsi="Times New Roman" w:eastAsiaTheme="minorEastAsia" w:cstheme="minorBidi"/>
    </w:rPr>
  </w:style>
  <w:style w:type="paragraph" w:customStyle="1" w:styleId="50">
    <w:name w:val="p18"/>
    <w:basedOn w:val="1"/>
    <w:qFormat/>
    <w:uiPriority w:val="0"/>
    <w:pPr>
      <w:widowControl/>
    </w:pPr>
    <w:rPr>
      <w:kern w:val="0"/>
      <w:sz w:val="24"/>
    </w:rPr>
  </w:style>
  <w:style w:type="paragraph" w:customStyle="1" w:styleId="5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2">
    <w:name w:val="正文文本缩进 3 Char"/>
    <w:basedOn w:val="22"/>
    <w:link w:val="18"/>
    <w:qFormat/>
    <w:uiPriority w:val="0"/>
    <w:rPr>
      <w:rFonts w:ascii="Times New Roman" w:hAnsi="Times New Roman" w:eastAsia="宋体" w:cs="Times New Roman"/>
      <w:kern w:val="2"/>
      <w:sz w:val="16"/>
      <w:szCs w:val="16"/>
    </w:rPr>
  </w:style>
  <w:style w:type="character" w:customStyle="1" w:styleId="53">
    <w:name w:val="副标题 Char"/>
    <w:basedOn w:val="22"/>
    <w:link w:val="16"/>
    <w:qFormat/>
    <w:uiPriority w:val="11"/>
    <w:rPr>
      <w:rFonts w:eastAsia="宋体" w:asciiTheme="majorHAnsi" w:hAnsiTheme="majorHAnsi" w:cstheme="majorBidi"/>
      <w:b/>
      <w:bCs/>
      <w:kern w:val="28"/>
      <w:sz w:val="32"/>
      <w:szCs w:val="32"/>
    </w:rPr>
  </w:style>
  <w:style w:type="character" w:customStyle="1" w:styleId="54">
    <w:name w:val="正文缩进 Char"/>
    <w:link w:val="6"/>
    <w:qFormat/>
    <w:uiPriority w:val="0"/>
    <w:rPr>
      <w:rFonts w:ascii="宋体" w:hAnsi="Calibri" w:eastAsia="宋体" w:cs="Times New Roman"/>
      <w:snapToGrid w:val="0"/>
      <w:color w:val="000000"/>
      <w:kern w:val="28"/>
      <w:sz w:val="28"/>
    </w:rPr>
  </w:style>
  <w:style w:type="paragraph" w:customStyle="1" w:styleId="55">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56">
    <w:name w:val="正文首行缩进 2 Char"/>
    <w:basedOn w:val="31"/>
    <w:link w:val="19"/>
    <w:semiHidden/>
    <w:qFormat/>
    <w:uiPriority w:val="99"/>
    <w:rPr>
      <w:rFonts w:ascii="Calibri" w:hAnsi="Calibri" w:eastAsia="宋体" w:cs="Times New Roman"/>
      <w:kern w:val="2"/>
      <w:sz w:val="21"/>
      <w:szCs w:val="24"/>
    </w:rPr>
  </w:style>
  <w:style w:type="character" w:customStyle="1" w:styleId="57">
    <w:name w:val="font11"/>
    <w:basedOn w:val="22"/>
    <w:qFormat/>
    <w:uiPriority w:val="0"/>
    <w:rPr>
      <w:rFonts w:hint="eastAsia" w:ascii="宋体" w:hAnsi="宋体" w:eastAsia="宋体" w:cs="宋体"/>
      <w:color w:val="000000"/>
      <w:sz w:val="22"/>
      <w:szCs w:val="22"/>
      <w:u w:val="none"/>
    </w:rPr>
  </w:style>
  <w:style w:type="paragraph" w:customStyle="1" w:styleId="58">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59">
    <w:name w:val="p17"/>
    <w:basedOn w:val="1"/>
    <w:qFormat/>
    <w:uiPriority w:val="0"/>
    <w:pPr>
      <w:ind w:firstLine="420"/>
    </w:pPr>
    <w:rPr>
      <w:rFonts w:ascii="Times New Roman" w:hAnsi="Times New Roman" w:cs="黑体"/>
      <w:b/>
      <w:bCs/>
      <w:sz w:val="28"/>
      <w:szCs w:val="28"/>
    </w:rPr>
  </w:style>
  <w:style w:type="character" w:customStyle="1" w:styleId="60">
    <w:name w:val="textcolor1"/>
    <w:basedOn w:val="22"/>
    <w:qFormat/>
    <w:uiPriority w:val="0"/>
    <w:rPr>
      <w:color w:val="FF6600"/>
    </w:rPr>
  </w:style>
  <w:style w:type="character" w:customStyle="1" w:styleId="61">
    <w:name w:val="标题 5 Char"/>
    <w:basedOn w:val="22"/>
    <w:link w:val="5"/>
    <w:semiHidden/>
    <w:qFormat/>
    <w:uiPriority w:val="9"/>
    <w:rPr>
      <w:rFonts w:ascii="Calibri" w:hAnsi="Calibri"/>
      <w:b/>
      <w:bCs/>
      <w:kern w:val="2"/>
      <w:sz w:val="28"/>
      <w:szCs w:val="28"/>
    </w:rPr>
  </w:style>
  <w:style w:type="character" w:customStyle="1" w:styleId="62">
    <w:name w:val="font21"/>
    <w:basedOn w:val="22"/>
    <w:qFormat/>
    <w:uiPriority w:val="0"/>
    <w:rPr>
      <w:rFonts w:hint="eastAsia" w:ascii="宋体" w:hAnsi="宋体" w:eastAsia="宋体" w:cs="宋体"/>
      <w:color w:val="000000"/>
      <w:sz w:val="24"/>
      <w:szCs w:val="24"/>
      <w:u w:val="none"/>
    </w:rPr>
  </w:style>
  <w:style w:type="paragraph" w:customStyle="1" w:styleId="63">
    <w:name w:val="列出段落2"/>
    <w:basedOn w:val="1"/>
    <w:qFormat/>
    <w:uiPriority w:val="0"/>
    <w:pPr>
      <w:spacing w:line="360" w:lineRule="auto"/>
      <w:ind w:firstLine="420" w:firstLineChars="200"/>
    </w:pPr>
    <w:rPr>
      <w:szCs w:val="20"/>
    </w:rPr>
  </w:style>
  <w:style w:type="paragraph" w:customStyle="1" w:styleId="64">
    <w:name w:val="BodyText1I"/>
    <w:basedOn w:val="65"/>
    <w:qFormat/>
    <w:uiPriority w:val="0"/>
    <w:pPr>
      <w:spacing w:after="120" w:line="240" w:lineRule="auto"/>
      <w:ind w:firstLine="420" w:firstLineChars="100"/>
    </w:pPr>
    <w:rPr>
      <w:sz w:val="21"/>
    </w:rPr>
  </w:style>
  <w:style w:type="paragraph" w:customStyle="1" w:styleId="65">
    <w:name w:val="BodyText"/>
    <w:basedOn w:val="1"/>
    <w:next w:val="1"/>
    <w:qFormat/>
    <w:uiPriority w:val="0"/>
    <w:pPr>
      <w:spacing w:line="360" w:lineRule="auto"/>
      <w:textAlignment w:val="baseline"/>
    </w:pPr>
    <w:rPr>
      <w:sz w:val="24"/>
    </w:rPr>
  </w:style>
  <w:style w:type="character" w:customStyle="1" w:styleId="66">
    <w:name w:val="font41"/>
    <w:basedOn w:val="22"/>
    <w:qFormat/>
    <w:uiPriority w:val="0"/>
    <w:rPr>
      <w:rFonts w:hint="eastAsia" w:ascii="宋体" w:hAnsi="宋体" w:eastAsia="宋体" w:cs="宋体"/>
      <w:color w:val="000000"/>
      <w:sz w:val="22"/>
      <w:szCs w:val="22"/>
      <w:u w:val="none"/>
      <w:vertAlign w:val="superscript"/>
    </w:rPr>
  </w:style>
  <w:style w:type="paragraph" w:customStyle="1" w:styleId="67">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8">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69">
    <w:name w:val="Table Text"/>
    <w:basedOn w:val="1"/>
    <w:semiHidden/>
    <w:qFormat/>
    <w:uiPriority w:val="0"/>
    <w:rPr>
      <w:rFonts w:ascii="宋体" w:hAnsi="宋体" w:cs="宋体"/>
      <w:sz w:val="14"/>
      <w:szCs w:val="14"/>
      <w:lang w:eastAsia="en-US"/>
    </w:rPr>
  </w:style>
  <w:style w:type="table" w:customStyle="1" w:styleId="70">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13096</Words>
  <Characters>14653</Characters>
  <Lines>60</Lines>
  <Paragraphs>77</Paragraphs>
  <TotalTime>45</TotalTime>
  <ScaleCrop>false</ScaleCrop>
  <LinksUpToDate>false</LinksUpToDate>
  <CharactersWithSpaces>14959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2022-10-13T02:01:00Z</dcterms:created>
  <dc:creator>Microsoft</dc:creator>
  <cp:lastModifiedBy>莫甘娜</cp:lastModifiedBy>
  <cp:lastPrinted>2024-01-20T00:18:00Z</cp:lastPrinted>
  <dcterms:modified xsi:type="dcterms:W3CDTF">2024-12-04T01:42:01Z</dcterms:modified>
  <cp:revision>922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A12025A4C1A0495C92A5218CFCA62A79</vt:lpwstr>
  </property>
</Properties>
</file>