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08091">
      <w:pPr>
        <w:shd w:val="clear"/>
        <w:spacing w:line="360" w:lineRule="auto"/>
        <w:ind w:firstLine="960"/>
        <w:jc w:val="center"/>
        <w:rPr>
          <w:rFonts w:asciiTheme="minorEastAsia" w:hAnsiTheme="minorEastAsia" w:eastAsiaTheme="minorEastAsia" w:cstheme="minorEastAsia"/>
          <w:color w:val="auto"/>
          <w:sz w:val="48"/>
          <w:szCs w:val="48"/>
        </w:rPr>
      </w:pPr>
    </w:p>
    <w:p w14:paraId="28877051">
      <w:pPr>
        <w:shd w:val="clear"/>
        <w:ind w:firstLine="1764"/>
        <w:rPr>
          <w:rFonts w:ascii="黑体" w:hAnsi="黑体" w:eastAsia="黑体" w:cs="宋体"/>
          <w:color w:val="auto"/>
          <w:sz w:val="72"/>
          <w:szCs w:val="72"/>
        </w:rPr>
      </w:pPr>
      <w:r>
        <w:rPr>
          <w:rFonts w:hint="eastAsia" w:ascii="黑体" w:hAnsi="黑体" w:eastAsia="黑体" w:cs="宋体"/>
          <w:color w:val="auto"/>
          <w:sz w:val="72"/>
          <w:szCs w:val="72"/>
        </w:rPr>
        <w:t>竞争性磋商采购文件</w:t>
      </w:r>
    </w:p>
    <w:p w14:paraId="37C5EF97">
      <w:pPr>
        <w:shd w:val="clear"/>
        <w:ind w:firstLine="883"/>
        <w:jc w:val="center"/>
        <w:rPr>
          <w:rFonts w:ascii="宋体" w:hAnsi="宋体" w:cs="宋体"/>
          <w:b/>
          <w:color w:val="auto"/>
          <w:sz w:val="44"/>
          <w:szCs w:val="44"/>
        </w:rPr>
      </w:pPr>
      <w:r>
        <w:rPr>
          <w:rFonts w:hint="eastAsia" w:ascii="宋体" w:hAnsi="宋体" w:cs="宋体"/>
          <w:b/>
          <w:color w:val="auto"/>
          <w:sz w:val="44"/>
          <w:szCs w:val="44"/>
        </w:rPr>
        <w:t>（国企采购工程类）</w:t>
      </w:r>
    </w:p>
    <w:p w14:paraId="320FCA21">
      <w:pPr>
        <w:shd w:val="clear"/>
        <w:ind w:firstLine="600"/>
        <w:rPr>
          <w:rFonts w:ascii="宋体" w:hAnsi="宋体" w:cs="宋体"/>
          <w:color w:val="auto"/>
          <w:sz w:val="30"/>
          <w:szCs w:val="30"/>
        </w:rPr>
      </w:pPr>
    </w:p>
    <w:p w14:paraId="4CCCC0D3">
      <w:pPr>
        <w:shd w:val="clear"/>
        <w:ind w:firstLine="600"/>
        <w:rPr>
          <w:rFonts w:ascii="宋体" w:hAnsi="宋体" w:cs="宋体"/>
          <w:color w:val="auto"/>
          <w:sz w:val="30"/>
          <w:szCs w:val="30"/>
        </w:rPr>
      </w:pPr>
    </w:p>
    <w:p w14:paraId="3DEEF3C1">
      <w:pPr>
        <w:shd w:val="clear"/>
        <w:ind w:firstLine="600"/>
        <w:rPr>
          <w:rFonts w:ascii="宋体" w:hAnsi="宋体" w:cs="宋体"/>
          <w:color w:val="auto"/>
          <w:sz w:val="30"/>
          <w:szCs w:val="30"/>
        </w:rPr>
      </w:pPr>
    </w:p>
    <w:p w14:paraId="48053902">
      <w:pPr>
        <w:shd w:val="clear"/>
        <w:ind w:firstLine="600"/>
        <w:rPr>
          <w:rFonts w:ascii="宋体" w:hAnsi="宋体" w:cs="宋体"/>
          <w:color w:val="auto"/>
          <w:sz w:val="30"/>
          <w:szCs w:val="30"/>
        </w:rPr>
      </w:pPr>
    </w:p>
    <w:p w14:paraId="530C0A94">
      <w:pPr>
        <w:shd w:val="clear"/>
        <w:ind w:firstLine="600"/>
        <w:rPr>
          <w:rFonts w:ascii="宋体" w:hAnsi="宋体" w:cs="宋体"/>
          <w:color w:val="auto"/>
          <w:sz w:val="30"/>
          <w:szCs w:val="30"/>
        </w:rPr>
      </w:pPr>
    </w:p>
    <w:p w14:paraId="0F95EBF1">
      <w:pPr>
        <w:pStyle w:val="69"/>
        <w:shd w:val="clear"/>
        <w:rPr>
          <w:color w:val="auto"/>
          <w:lang w:val="en-US"/>
        </w:rPr>
      </w:pPr>
    </w:p>
    <w:p w14:paraId="0BF7FA81">
      <w:pPr>
        <w:pStyle w:val="69"/>
        <w:shd w:val="clear"/>
        <w:rPr>
          <w:color w:val="auto"/>
          <w:lang w:val="en-US"/>
        </w:rPr>
      </w:pPr>
    </w:p>
    <w:p w14:paraId="6ACEB537">
      <w:pPr>
        <w:pStyle w:val="69"/>
        <w:shd w:val="clear"/>
        <w:rPr>
          <w:color w:val="auto"/>
          <w:lang w:val="en-US"/>
        </w:rPr>
      </w:pPr>
    </w:p>
    <w:p w14:paraId="7CC86BFB">
      <w:pPr>
        <w:pStyle w:val="69"/>
        <w:shd w:val="clear"/>
        <w:rPr>
          <w:color w:val="auto"/>
          <w:lang w:val="en-US"/>
        </w:rPr>
      </w:pPr>
    </w:p>
    <w:p w14:paraId="597DDD91">
      <w:pPr>
        <w:shd w:val="clear"/>
        <w:ind w:firstLine="600"/>
        <w:rPr>
          <w:rFonts w:ascii="宋体" w:hAnsi="宋体" w:cs="宋体"/>
          <w:color w:val="auto"/>
          <w:sz w:val="30"/>
          <w:szCs w:val="30"/>
        </w:rPr>
      </w:pPr>
    </w:p>
    <w:p w14:paraId="2E4A4856">
      <w:pPr>
        <w:shd w:val="clear"/>
        <w:spacing w:line="500" w:lineRule="exact"/>
        <w:ind w:left="1981" w:leftChars="269" w:hanging="1416" w:hangingChars="472"/>
        <w:rPr>
          <w:color w:val="auto"/>
        </w:rPr>
      </w:pPr>
      <w:r>
        <w:rPr>
          <w:rFonts w:hint="eastAsia" w:ascii="宋体" w:hAnsi="宋体" w:cs="宋体"/>
          <w:color w:val="auto"/>
          <w:sz w:val="30"/>
          <w:szCs w:val="30"/>
        </w:rPr>
        <w:t>项目名称：</w:t>
      </w:r>
      <w:bookmarkStart w:id="0" w:name="OLE_LINK1"/>
      <w:bookmarkStart w:id="1" w:name="OLE_LINK2"/>
      <w:r>
        <w:rPr>
          <w:rFonts w:hint="eastAsia" w:ascii="宋体" w:hAnsi="宋体" w:cs="宋体"/>
          <w:color w:val="auto"/>
          <w:sz w:val="30"/>
          <w:szCs w:val="30"/>
          <w:u w:val="single"/>
        </w:rPr>
        <w:t>弥勒文化博物馆项目-电力迁改工程（土建部分）</w:t>
      </w:r>
    </w:p>
    <w:bookmarkEnd w:id="0"/>
    <w:bookmarkEnd w:id="1"/>
    <w:p w14:paraId="2A81FB1F">
      <w:pPr>
        <w:shd w:val="clear"/>
        <w:spacing w:line="500" w:lineRule="exact"/>
        <w:ind w:left="2775" w:leftChars="270" w:hanging="2208" w:hangingChars="736"/>
        <w:rPr>
          <w:rFonts w:ascii="宋体" w:hAnsi="宋体" w:cs="宋体"/>
          <w:color w:val="auto"/>
          <w:sz w:val="30"/>
          <w:szCs w:val="30"/>
        </w:rPr>
      </w:pPr>
      <w:r>
        <w:rPr>
          <w:rFonts w:hint="eastAsia" w:ascii="宋体" w:hAnsi="宋体" w:cs="宋体"/>
          <w:color w:val="auto"/>
          <w:sz w:val="30"/>
          <w:szCs w:val="30"/>
        </w:rPr>
        <w:t>项目编号：</w:t>
      </w:r>
      <w:r>
        <w:rPr>
          <w:rFonts w:hint="eastAsia" w:ascii="宋体" w:hAnsi="宋体" w:cs="宋体"/>
          <w:color w:val="auto"/>
          <w:sz w:val="30"/>
          <w:szCs w:val="30"/>
          <w:u w:val="single"/>
        </w:rPr>
        <w:t>FHGQZB(2024)</w:t>
      </w:r>
      <w:r>
        <w:rPr>
          <w:rFonts w:hint="eastAsia" w:ascii="宋体" w:hAnsi="宋体" w:cs="宋体"/>
          <w:color w:val="auto"/>
          <w:sz w:val="30"/>
          <w:szCs w:val="30"/>
          <w:u w:val="single"/>
          <w:lang w:val="en-US" w:eastAsia="zh-CN"/>
        </w:rPr>
        <w:t>336</w:t>
      </w:r>
      <w:r>
        <w:rPr>
          <w:rFonts w:hint="eastAsia" w:ascii="宋体" w:hAnsi="宋体" w:cs="宋体"/>
          <w:color w:val="auto"/>
          <w:sz w:val="30"/>
          <w:szCs w:val="30"/>
          <w:u w:val="single"/>
        </w:rPr>
        <w:t>D</w:t>
      </w:r>
    </w:p>
    <w:p w14:paraId="2083B6B6">
      <w:pPr>
        <w:shd w:val="clear"/>
        <w:spacing w:line="500" w:lineRule="exact"/>
        <w:ind w:left="1981" w:leftChars="269" w:hanging="1416" w:hangingChars="472"/>
        <w:rPr>
          <w:rFonts w:ascii="宋体" w:hAnsi="宋体" w:cs="宋体"/>
          <w:color w:val="auto"/>
          <w:sz w:val="30"/>
          <w:szCs w:val="30"/>
          <w:u w:val="single"/>
        </w:rPr>
      </w:pPr>
      <w:r>
        <w:rPr>
          <w:rFonts w:hint="eastAsia" w:ascii="宋体" w:hAnsi="宋体" w:cs="宋体"/>
          <w:color w:val="auto"/>
          <w:sz w:val="30"/>
          <w:szCs w:val="30"/>
        </w:rPr>
        <w:t>采购单位：</w:t>
      </w:r>
      <w:r>
        <w:rPr>
          <w:rFonts w:hint="eastAsia" w:ascii="宋体" w:hAnsi="宋体" w:cs="宋体"/>
          <w:color w:val="auto"/>
          <w:sz w:val="30"/>
          <w:szCs w:val="30"/>
          <w:u w:val="single"/>
        </w:rPr>
        <w:t>宁波市奉化区惠海地下管线投资有限公司</w:t>
      </w:r>
    </w:p>
    <w:p w14:paraId="41661D43">
      <w:pPr>
        <w:shd w:val="clear"/>
        <w:spacing w:line="500" w:lineRule="exact"/>
        <w:ind w:left="2775" w:leftChars="270" w:hanging="2208" w:hangingChars="736"/>
        <w:rPr>
          <w:rFonts w:ascii="宋体" w:hAnsi="宋体" w:cs="宋体"/>
          <w:color w:val="auto"/>
          <w:sz w:val="30"/>
          <w:szCs w:val="30"/>
        </w:rPr>
      </w:pPr>
      <w:r>
        <w:rPr>
          <w:rFonts w:hint="eastAsia" w:ascii="宋体" w:hAnsi="宋体" w:cs="宋体"/>
          <w:color w:val="auto"/>
          <w:sz w:val="30"/>
          <w:szCs w:val="30"/>
        </w:rPr>
        <w:t>代理机构：</w:t>
      </w:r>
      <w:r>
        <w:rPr>
          <w:rFonts w:hint="eastAsia" w:ascii="宋体" w:hAnsi="宋体" w:cs="宋体"/>
          <w:color w:val="auto"/>
          <w:sz w:val="30"/>
          <w:szCs w:val="30"/>
          <w:u w:val="single"/>
        </w:rPr>
        <w:t>宁波敬信项目管理咨询有限公司</w:t>
      </w:r>
    </w:p>
    <w:p w14:paraId="781D288D">
      <w:pPr>
        <w:shd w:val="clear"/>
        <w:ind w:firstLine="600"/>
        <w:rPr>
          <w:rFonts w:ascii="宋体" w:hAnsi="宋体" w:cs="宋体"/>
          <w:color w:val="auto"/>
          <w:sz w:val="30"/>
          <w:szCs w:val="30"/>
        </w:rPr>
      </w:pPr>
    </w:p>
    <w:p w14:paraId="72245BB7">
      <w:pPr>
        <w:shd w:val="clear"/>
        <w:ind w:firstLine="600"/>
        <w:rPr>
          <w:rFonts w:ascii="宋体" w:hAnsi="宋体" w:cs="宋体"/>
          <w:color w:val="auto"/>
          <w:sz w:val="30"/>
          <w:szCs w:val="30"/>
        </w:rPr>
      </w:pPr>
    </w:p>
    <w:p w14:paraId="1969AD09">
      <w:pPr>
        <w:shd w:val="clear"/>
        <w:tabs>
          <w:tab w:val="left" w:pos="3763"/>
        </w:tabs>
        <w:ind w:firstLine="600"/>
        <w:rPr>
          <w:rFonts w:ascii="宋体" w:hAnsi="宋体" w:cs="宋体"/>
          <w:color w:val="auto"/>
          <w:sz w:val="30"/>
          <w:szCs w:val="30"/>
        </w:rPr>
      </w:pPr>
      <w:r>
        <w:rPr>
          <w:rFonts w:ascii="宋体" w:hAnsi="宋体" w:cs="宋体"/>
          <w:color w:val="auto"/>
          <w:sz w:val="30"/>
          <w:szCs w:val="30"/>
        </w:rPr>
        <w:tab/>
      </w:r>
    </w:p>
    <w:p w14:paraId="49A1B74C">
      <w:pPr>
        <w:pStyle w:val="2"/>
        <w:shd w:val="clear"/>
        <w:rPr>
          <w:color w:val="auto"/>
        </w:rPr>
      </w:pPr>
    </w:p>
    <w:p w14:paraId="1BEC52DB">
      <w:pPr>
        <w:pStyle w:val="2"/>
        <w:shd w:val="clear"/>
        <w:rPr>
          <w:color w:val="auto"/>
        </w:rPr>
      </w:pPr>
    </w:p>
    <w:p w14:paraId="43CF65B3">
      <w:pPr>
        <w:pStyle w:val="2"/>
        <w:shd w:val="clear"/>
        <w:rPr>
          <w:color w:val="auto"/>
        </w:rPr>
      </w:pPr>
    </w:p>
    <w:p w14:paraId="7F9036B4">
      <w:pPr>
        <w:pStyle w:val="2"/>
        <w:shd w:val="clear"/>
        <w:rPr>
          <w:color w:val="auto"/>
        </w:rPr>
      </w:pPr>
    </w:p>
    <w:p w14:paraId="15623410">
      <w:pPr>
        <w:pStyle w:val="2"/>
        <w:shd w:val="clear"/>
        <w:rPr>
          <w:color w:val="auto"/>
        </w:rPr>
      </w:pPr>
    </w:p>
    <w:p w14:paraId="64B12CDC">
      <w:pPr>
        <w:shd w:val="clear"/>
        <w:ind w:firstLine="600"/>
        <w:rPr>
          <w:rFonts w:ascii="宋体" w:hAnsi="宋体" w:cs="宋体"/>
          <w:color w:val="auto"/>
          <w:sz w:val="30"/>
          <w:szCs w:val="30"/>
        </w:rPr>
      </w:pPr>
    </w:p>
    <w:p w14:paraId="2690888F">
      <w:pPr>
        <w:shd w:val="clear"/>
        <w:snapToGrid w:val="0"/>
        <w:spacing w:line="360" w:lineRule="auto"/>
        <w:ind w:firstLine="720"/>
        <w:jc w:val="center"/>
        <w:rPr>
          <w:rFonts w:asciiTheme="minorEastAsia" w:hAnsiTheme="minorEastAsia" w:eastAsiaTheme="minorEastAsia" w:cstheme="minorEastAsia"/>
          <w:bCs/>
          <w:color w:val="auto"/>
          <w:sz w:val="32"/>
          <w:szCs w:val="32"/>
        </w:rPr>
      </w:pPr>
      <w:r>
        <w:rPr>
          <w:rFonts w:hint="eastAsia" w:ascii="宋体" w:hAnsi="宋体" w:cs="宋体"/>
          <w:color w:val="auto"/>
          <w:sz w:val="36"/>
          <w:szCs w:val="36"/>
        </w:rPr>
        <w:t>二〇二四年</w:t>
      </w:r>
    </w:p>
    <w:p w14:paraId="78C4E46F">
      <w:pPr>
        <w:shd w:val="clear"/>
        <w:spacing w:line="360" w:lineRule="auto"/>
        <w:ind w:firstLine="480"/>
        <w:jc w:val="center"/>
        <w:rPr>
          <w:rFonts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color w:val="auto"/>
          <w:sz w:val="24"/>
        </w:rPr>
        <w:br w:type="page"/>
      </w:r>
      <w:bookmarkStart w:id="2" w:name="_Hlt67893495"/>
      <w:bookmarkEnd w:id="2"/>
      <w:r>
        <w:rPr>
          <w:rFonts w:hint="eastAsia" w:asciiTheme="minorEastAsia" w:hAnsiTheme="minorEastAsia" w:eastAsiaTheme="minorEastAsia" w:cstheme="minorEastAsia"/>
          <w:b/>
          <w:color w:val="auto"/>
          <w:sz w:val="48"/>
          <w:szCs w:val="48"/>
        </w:rPr>
        <w:t>目  录</w:t>
      </w:r>
    </w:p>
    <w:p w14:paraId="11E4C6AC">
      <w:pPr>
        <w:shd w:val="clear"/>
        <w:spacing w:line="360" w:lineRule="auto"/>
        <w:ind w:firstLine="640"/>
        <w:rPr>
          <w:rFonts w:asciiTheme="minorEastAsia" w:hAnsiTheme="minorEastAsia" w:eastAsiaTheme="minorEastAsia" w:cstheme="minorEastAsia"/>
          <w:color w:val="auto"/>
          <w:sz w:val="32"/>
          <w:szCs w:val="32"/>
        </w:rPr>
      </w:pPr>
    </w:p>
    <w:p w14:paraId="2AE56205">
      <w:pPr>
        <w:shd w:val="clear"/>
        <w:spacing w:line="360" w:lineRule="auto"/>
        <w:ind w:firstLine="640"/>
        <w:rPr>
          <w:rFonts w:asciiTheme="minorEastAsia" w:hAnsiTheme="minorEastAsia" w:eastAsiaTheme="minorEastAsia" w:cstheme="minorEastAsia"/>
          <w:color w:val="auto"/>
          <w:sz w:val="32"/>
          <w:szCs w:val="32"/>
        </w:rPr>
      </w:pPr>
    </w:p>
    <w:p w14:paraId="341D7DFB">
      <w:pPr>
        <w:shd w:val="clear"/>
        <w:spacing w:line="360" w:lineRule="auto"/>
        <w:ind w:firstLine="732" w:firstLineChars="229"/>
        <w:rPr>
          <w:rFonts w:asciiTheme="minorEastAsia" w:hAnsiTheme="minorEastAsia" w:eastAsiaTheme="minorEastAsia" w:cstheme="minorEastAsia"/>
          <w:color w:val="auto"/>
          <w:sz w:val="32"/>
          <w:szCs w:val="32"/>
        </w:rPr>
      </w:pPr>
      <w:bookmarkStart w:id="3" w:name="_Hlt91233176"/>
      <w:bookmarkEnd w:id="3"/>
      <w:bookmarkStart w:id="4" w:name="_Toc91899869"/>
      <w:r>
        <w:rPr>
          <w:rFonts w:hint="eastAsia" w:asciiTheme="minorEastAsia" w:hAnsiTheme="minorEastAsia" w:eastAsiaTheme="minorEastAsia" w:cstheme="minorEastAsia"/>
          <w:color w:val="auto"/>
          <w:sz w:val="32"/>
          <w:szCs w:val="32"/>
        </w:rPr>
        <w:t>第一部分  竞争性磋商公告</w:t>
      </w:r>
    </w:p>
    <w:p w14:paraId="62E1C187">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响应须知</w:t>
      </w:r>
    </w:p>
    <w:p w14:paraId="306CB43B">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第三部分  采购需求</w:t>
      </w:r>
    </w:p>
    <w:p w14:paraId="29AF5073">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第四部分  评审办法</w:t>
      </w:r>
    </w:p>
    <w:p w14:paraId="356C5DD6">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第五部分  合同文本</w:t>
      </w:r>
    </w:p>
    <w:p w14:paraId="3C0FC469">
      <w:pPr>
        <w:shd w:val="clear"/>
        <w:spacing w:line="360" w:lineRule="auto"/>
        <w:ind w:firstLine="732" w:firstLineChars="229"/>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32"/>
          <w:szCs w:val="32"/>
        </w:rPr>
        <w:t>第六部分  应提交的有关格式范例</w:t>
      </w:r>
    </w:p>
    <w:p w14:paraId="154592A2">
      <w:pPr>
        <w:shd w:val="clear"/>
        <w:spacing w:line="360" w:lineRule="auto"/>
        <w:ind w:firstLine="549" w:firstLineChars="229"/>
        <w:rPr>
          <w:rFonts w:asciiTheme="minorEastAsia" w:hAnsiTheme="minorEastAsia" w:eastAsiaTheme="minorEastAsia" w:cstheme="minorEastAsia"/>
          <w:color w:val="auto"/>
          <w:sz w:val="24"/>
        </w:rPr>
      </w:pPr>
    </w:p>
    <w:p w14:paraId="3B062654">
      <w:pPr>
        <w:shd w:val="clear"/>
        <w:spacing w:line="360" w:lineRule="auto"/>
        <w:ind w:firstLine="549" w:firstLineChars="229"/>
        <w:rPr>
          <w:rFonts w:asciiTheme="minorEastAsia" w:hAnsiTheme="minorEastAsia" w:eastAsiaTheme="minorEastAsia" w:cstheme="minorEastAsia"/>
          <w:color w:val="auto"/>
          <w:sz w:val="24"/>
        </w:rPr>
      </w:pPr>
    </w:p>
    <w:p w14:paraId="1BEA614C">
      <w:pPr>
        <w:shd w:val="clear"/>
        <w:spacing w:line="360" w:lineRule="auto"/>
        <w:ind w:firstLine="549" w:firstLineChars="229"/>
        <w:rPr>
          <w:rFonts w:asciiTheme="minorEastAsia" w:hAnsiTheme="minorEastAsia" w:eastAsiaTheme="minorEastAsia" w:cstheme="minorEastAsia"/>
          <w:color w:val="auto"/>
          <w:sz w:val="24"/>
        </w:rPr>
      </w:pPr>
    </w:p>
    <w:p w14:paraId="4D7D70A0">
      <w:pPr>
        <w:shd w:val="clear"/>
        <w:spacing w:line="360" w:lineRule="auto"/>
        <w:ind w:firstLine="549" w:firstLineChars="229"/>
        <w:rPr>
          <w:rFonts w:asciiTheme="minorEastAsia" w:hAnsiTheme="minorEastAsia" w:eastAsiaTheme="minorEastAsia" w:cstheme="minorEastAsia"/>
          <w:color w:val="auto"/>
          <w:sz w:val="24"/>
        </w:rPr>
      </w:pPr>
    </w:p>
    <w:p w14:paraId="28FE1AED">
      <w:pPr>
        <w:shd w:val="clear"/>
        <w:spacing w:line="360" w:lineRule="auto"/>
        <w:ind w:firstLine="549" w:firstLineChars="229"/>
        <w:rPr>
          <w:rFonts w:asciiTheme="minorEastAsia" w:hAnsiTheme="minorEastAsia" w:eastAsiaTheme="minorEastAsia" w:cstheme="minorEastAsia"/>
          <w:color w:val="auto"/>
          <w:sz w:val="24"/>
        </w:rPr>
      </w:pPr>
    </w:p>
    <w:p w14:paraId="2D034A52">
      <w:pPr>
        <w:shd w:val="clear"/>
        <w:spacing w:line="360" w:lineRule="auto"/>
        <w:ind w:firstLine="549" w:firstLineChars="229"/>
        <w:rPr>
          <w:rFonts w:asciiTheme="minorEastAsia" w:hAnsiTheme="minorEastAsia" w:eastAsiaTheme="minorEastAsia" w:cstheme="minorEastAsia"/>
          <w:color w:val="auto"/>
          <w:sz w:val="24"/>
        </w:rPr>
      </w:pPr>
    </w:p>
    <w:p w14:paraId="49613639">
      <w:pPr>
        <w:shd w:val="clear"/>
        <w:spacing w:line="360" w:lineRule="auto"/>
        <w:ind w:firstLine="549" w:firstLineChars="229"/>
        <w:rPr>
          <w:rFonts w:asciiTheme="minorEastAsia" w:hAnsiTheme="minorEastAsia" w:eastAsiaTheme="minorEastAsia" w:cstheme="minorEastAsia"/>
          <w:color w:val="auto"/>
          <w:sz w:val="24"/>
        </w:rPr>
      </w:pPr>
    </w:p>
    <w:p w14:paraId="60F657C4">
      <w:pPr>
        <w:shd w:val="clear"/>
        <w:spacing w:line="360" w:lineRule="auto"/>
        <w:ind w:firstLine="549" w:firstLineChars="229"/>
        <w:rPr>
          <w:rFonts w:asciiTheme="minorEastAsia" w:hAnsiTheme="minorEastAsia" w:eastAsiaTheme="minorEastAsia" w:cstheme="minorEastAsia"/>
          <w:color w:val="auto"/>
          <w:sz w:val="24"/>
        </w:rPr>
      </w:pPr>
    </w:p>
    <w:p w14:paraId="0DCF4B0E">
      <w:pPr>
        <w:shd w:val="clear"/>
        <w:spacing w:line="360" w:lineRule="auto"/>
        <w:ind w:firstLine="549" w:firstLineChars="229"/>
        <w:rPr>
          <w:rFonts w:asciiTheme="minorEastAsia" w:hAnsiTheme="minorEastAsia" w:eastAsiaTheme="minorEastAsia" w:cstheme="minorEastAsia"/>
          <w:color w:val="auto"/>
          <w:sz w:val="24"/>
        </w:rPr>
      </w:pPr>
    </w:p>
    <w:p w14:paraId="4D1B4B69">
      <w:pPr>
        <w:shd w:val="clear"/>
        <w:spacing w:line="360" w:lineRule="auto"/>
        <w:ind w:firstLine="549" w:firstLineChars="229"/>
        <w:rPr>
          <w:rFonts w:asciiTheme="minorEastAsia" w:hAnsiTheme="minorEastAsia" w:eastAsiaTheme="minorEastAsia" w:cstheme="minorEastAsia"/>
          <w:color w:val="auto"/>
          <w:sz w:val="24"/>
        </w:rPr>
      </w:pPr>
    </w:p>
    <w:p w14:paraId="18270B7E">
      <w:pPr>
        <w:shd w:val="clear"/>
        <w:spacing w:line="360" w:lineRule="auto"/>
        <w:ind w:firstLine="549" w:firstLineChars="229"/>
        <w:rPr>
          <w:rFonts w:asciiTheme="minorEastAsia" w:hAnsiTheme="minorEastAsia" w:eastAsiaTheme="minorEastAsia" w:cstheme="minorEastAsia"/>
          <w:color w:val="auto"/>
          <w:sz w:val="24"/>
        </w:rPr>
      </w:pPr>
    </w:p>
    <w:p w14:paraId="0035807F">
      <w:pPr>
        <w:shd w:val="clear"/>
        <w:spacing w:line="360" w:lineRule="auto"/>
        <w:ind w:firstLine="549" w:firstLineChars="229"/>
        <w:rPr>
          <w:rFonts w:asciiTheme="minorEastAsia" w:hAnsiTheme="minorEastAsia" w:eastAsiaTheme="minorEastAsia" w:cstheme="minorEastAsia"/>
          <w:color w:val="auto"/>
          <w:sz w:val="24"/>
        </w:rPr>
      </w:pPr>
    </w:p>
    <w:p w14:paraId="40B5077A">
      <w:pPr>
        <w:shd w:val="clear"/>
        <w:spacing w:line="360" w:lineRule="auto"/>
        <w:ind w:firstLine="480"/>
        <w:rPr>
          <w:rFonts w:asciiTheme="minorEastAsia" w:hAnsiTheme="minorEastAsia" w:eastAsiaTheme="minorEastAsia" w:cstheme="minorEastAsia"/>
          <w:color w:val="auto"/>
          <w:sz w:val="24"/>
        </w:rPr>
      </w:pPr>
    </w:p>
    <w:p w14:paraId="293232E2">
      <w:pPr>
        <w:shd w:val="clear"/>
        <w:spacing w:line="360" w:lineRule="auto"/>
        <w:ind w:firstLine="723"/>
        <w:jc w:val="center"/>
        <w:outlineLvl w:val="0"/>
        <w:rPr>
          <w:rFonts w:asciiTheme="minorEastAsia" w:hAnsiTheme="minorEastAsia" w:eastAsiaTheme="minorEastAsia" w:cstheme="minorEastAsia"/>
          <w:b/>
          <w:color w:val="auto"/>
          <w:sz w:val="24"/>
        </w:rPr>
      </w:pPr>
      <w:bookmarkStart w:id="5" w:name="第一部分"/>
      <w:r>
        <w:rPr>
          <w:rFonts w:hint="eastAsia" w:asciiTheme="minorEastAsia" w:hAnsiTheme="minorEastAsia" w:eastAsiaTheme="minorEastAsia" w:cstheme="minorEastAsia"/>
          <w:b/>
          <w:color w:val="auto"/>
          <w:sz w:val="36"/>
          <w:szCs w:val="36"/>
        </w:rPr>
        <w:br w:type="page"/>
      </w:r>
      <w:bookmarkEnd w:id="4"/>
      <w:bookmarkEnd w:id="5"/>
      <w:bookmarkStart w:id="6" w:name="_Hlt74707423"/>
      <w:bookmarkEnd w:id="6"/>
      <w:bookmarkStart w:id="7" w:name="_Hlt74649545"/>
      <w:bookmarkEnd w:id="7"/>
      <w:bookmarkStart w:id="8" w:name="_Hlt74728647"/>
      <w:bookmarkEnd w:id="8"/>
      <w:bookmarkStart w:id="9" w:name="_Hlt74729822"/>
      <w:bookmarkEnd w:id="9"/>
      <w:bookmarkStart w:id="10" w:name="第二部分"/>
      <w:bookmarkStart w:id="11" w:name="_Toc91899870"/>
      <w:bookmarkStart w:id="12" w:name="_Toc91899871"/>
      <w:r>
        <w:rPr>
          <w:rFonts w:hint="eastAsia" w:asciiTheme="minorEastAsia" w:hAnsiTheme="minorEastAsia" w:eastAsiaTheme="minorEastAsia" w:cstheme="minorEastAsia"/>
          <w:b/>
          <w:color w:val="auto"/>
          <w:sz w:val="36"/>
          <w:szCs w:val="20"/>
        </w:rPr>
        <w:t>第一部分 竞争性磋商公告</w:t>
      </w:r>
    </w:p>
    <w:p w14:paraId="6FB11EA4">
      <w:pPr>
        <w:pBdr>
          <w:top w:val="single" w:color="auto" w:sz="4" w:space="1"/>
          <w:left w:val="single" w:color="auto" w:sz="4" w:space="4"/>
          <w:bottom w:val="single" w:color="auto" w:sz="4" w:space="1"/>
          <w:right w:val="single" w:color="auto" w:sz="4" w:space="4"/>
        </w:pBdr>
        <w:shd w:val="clear"/>
        <w:spacing w:line="440" w:lineRule="exact"/>
        <w:ind w:firstLine="420" w:firstLineChars="200"/>
        <w:rPr>
          <w:rFonts w:ascii="宋体" w:hAnsi="宋体" w:cs="宋体"/>
          <w:color w:val="auto"/>
          <w:szCs w:val="21"/>
        </w:rPr>
      </w:pPr>
      <w:r>
        <w:rPr>
          <w:rFonts w:hint="eastAsia" w:ascii="宋体" w:hAnsi="宋体" w:cs="宋体"/>
          <w:color w:val="auto"/>
          <w:szCs w:val="21"/>
        </w:rPr>
        <w:t>项目概况</w:t>
      </w:r>
    </w:p>
    <w:p w14:paraId="6D83EF62">
      <w:pPr>
        <w:pBdr>
          <w:top w:val="single" w:color="auto" w:sz="4" w:space="1"/>
          <w:left w:val="single" w:color="auto" w:sz="4" w:space="4"/>
          <w:bottom w:val="single" w:color="auto" w:sz="4" w:space="1"/>
          <w:right w:val="single" w:color="auto" w:sz="4" w:space="4"/>
        </w:pBdr>
        <w:shd w:val="clear"/>
        <w:spacing w:line="440" w:lineRule="exact"/>
        <w:ind w:firstLine="420" w:firstLineChars="200"/>
        <w:rPr>
          <w:rFonts w:ascii="宋体" w:hAnsi="宋体" w:cs="宋体"/>
          <w:color w:val="auto"/>
          <w:szCs w:val="21"/>
          <w:u w:val="single"/>
        </w:rPr>
      </w:pPr>
      <w:r>
        <w:rPr>
          <w:rFonts w:hint="eastAsia" w:ascii="宋体" w:hAnsi="宋体" w:cs="宋体"/>
          <w:color w:val="auto"/>
          <w:szCs w:val="21"/>
        </w:rPr>
        <w:t>弥勒文化博物馆项目-电力迁改工程（土建部分）的潜在供应商应在</w:t>
      </w:r>
      <w:bookmarkStart w:id="13" w:name="OLE_LINK11"/>
      <w:r>
        <w:rPr>
          <w:rFonts w:hint="eastAsia" w:ascii="宋体" w:hAnsi="宋体" w:cs="宋体"/>
          <w:color w:val="auto"/>
          <w:szCs w:val="21"/>
        </w:rPr>
        <w:t>乐采云平台</w:t>
      </w:r>
      <w:bookmarkEnd w:id="13"/>
      <w:r>
        <w:rPr>
          <w:rFonts w:hint="eastAsia" w:ascii="宋体" w:hAnsi="宋体" w:cs="宋体"/>
          <w:color w:val="auto"/>
          <w:szCs w:val="21"/>
        </w:rPr>
        <w:t>（</w:t>
      </w:r>
      <w:bookmarkStart w:id="14" w:name="OLE_LINK10"/>
      <w:r>
        <w:rPr>
          <w:rFonts w:ascii="宋体" w:hAnsi="宋体" w:cs="宋体"/>
          <w:color w:val="auto"/>
          <w:szCs w:val="21"/>
        </w:rPr>
        <w:fldChar w:fldCharType="begin"/>
      </w:r>
      <w:r>
        <w:rPr>
          <w:rFonts w:ascii="宋体" w:hAnsi="宋体" w:cs="宋体"/>
          <w:color w:val="auto"/>
          <w:szCs w:val="21"/>
        </w:rPr>
        <w:instrText xml:space="preserve"> HYPERLINK "https://www.lecaiyun.com/</w:instrText>
      </w:r>
      <w:r>
        <w:rPr>
          <w:rFonts w:hint="eastAsia" w:ascii="宋体" w:hAnsi="宋体" w:cs="宋体"/>
          <w:color w:val="auto"/>
          <w:szCs w:val="21"/>
        </w:rPr>
        <w:instrText xml:space="preserve">）获取（下载）采购文件，并于2024年0</w:instrText>
      </w:r>
      <w:r>
        <w:rPr>
          <w:rFonts w:hint="eastAsia" w:ascii="宋体" w:hAnsi="宋体" w:eastAsia="黑体" w:cs="宋体"/>
          <w:color w:val="auto"/>
          <w:szCs w:val="21"/>
        </w:rPr>
        <w:instrText xml:space="preserve">0</w:instrText>
      </w:r>
      <w:r>
        <w:rPr>
          <w:rFonts w:hint="eastAsia" w:ascii="宋体" w:hAnsi="宋体" w:cs="宋体"/>
          <w:color w:val="auto"/>
          <w:szCs w:val="21"/>
        </w:rPr>
        <w:instrText xml:space="preserve">月</w:instrText>
      </w:r>
      <w:r>
        <w:rPr>
          <w:rFonts w:hint="eastAsia" w:ascii="宋体" w:hAnsi="宋体" w:eastAsia="黑体" w:cs="宋体"/>
          <w:color w:val="auto"/>
          <w:szCs w:val="21"/>
        </w:rPr>
        <w:instrText xml:space="preserve">00</w:instrText>
      </w:r>
      <w:r>
        <w:rPr>
          <w:rFonts w:hint="eastAsia" w:ascii="宋体" w:hAnsi="宋体" w:cs="宋体"/>
          <w:color w:val="auto"/>
          <w:szCs w:val="21"/>
        </w:rPr>
        <w:instrText xml:space="preserve">日14点00分00秒</w:instrText>
      </w:r>
      <w:r>
        <w:rPr>
          <w:rFonts w:ascii="宋体" w:hAnsi="宋体" w:cs="宋体"/>
          <w:color w:val="auto"/>
          <w:szCs w:val="21"/>
        </w:rPr>
        <w:instrText xml:space="preserve">" </w:instrText>
      </w:r>
      <w:r>
        <w:rPr>
          <w:rFonts w:ascii="宋体" w:hAnsi="宋体" w:cs="宋体"/>
          <w:color w:val="auto"/>
          <w:szCs w:val="21"/>
        </w:rPr>
        <w:fldChar w:fldCharType="separate"/>
      </w:r>
      <w:r>
        <w:rPr>
          <w:rStyle w:val="32"/>
          <w:rFonts w:ascii="宋体" w:hAnsi="宋体" w:eastAsia="宋体" w:cs="宋体"/>
          <w:snapToGrid/>
          <w:color w:val="auto"/>
          <w:kern w:val="2"/>
          <w:sz w:val="21"/>
          <w:szCs w:val="21"/>
        </w:rPr>
        <w:t>https://www.lecaiyun.com/</w:t>
      </w:r>
      <w:bookmarkEnd w:id="14"/>
      <w:r>
        <w:rPr>
          <w:rStyle w:val="32"/>
          <w:rFonts w:hint="eastAsia" w:ascii="宋体" w:hAnsi="宋体" w:eastAsia="宋体" w:cs="宋体"/>
          <w:snapToGrid/>
          <w:color w:val="auto"/>
          <w:kern w:val="2"/>
          <w:sz w:val="21"/>
          <w:szCs w:val="21"/>
        </w:rPr>
        <w:t>）获取（下载）采购文件，并于2024年</w:t>
      </w:r>
      <w:r>
        <w:rPr>
          <w:rStyle w:val="32"/>
          <w:rFonts w:hint="eastAsia" w:ascii="宋体" w:hAnsi="宋体" w:cs="宋体"/>
          <w:snapToGrid/>
          <w:color w:val="auto"/>
          <w:kern w:val="2"/>
          <w:sz w:val="21"/>
          <w:szCs w:val="21"/>
          <w:lang w:val="en-US" w:eastAsia="zh-CN"/>
        </w:rPr>
        <w:t>10</w:t>
      </w:r>
      <w:r>
        <w:rPr>
          <w:rStyle w:val="32"/>
          <w:rFonts w:hint="eastAsia" w:ascii="宋体" w:hAnsi="宋体" w:eastAsia="宋体" w:cs="宋体"/>
          <w:snapToGrid/>
          <w:color w:val="auto"/>
          <w:kern w:val="2"/>
          <w:sz w:val="21"/>
          <w:szCs w:val="21"/>
        </w:rPr>
        <w:t>月</w:t>
      </w:r>
      <w:r>
        <w:rPr>
          <w:rStyle w:val="32"/>
          <w:rFonts w:hint="eastAsia" w:ascii="宋体" w:hAnsi="宋体" w:cs="宋体"/>
          <w:snapToGrid/>
          <w:color w:val="auto"/>
          <w:kern w:val="2"/>
          <w:sz w:val="21"/>
          <w:szCs w:val="21"/>
          <w:lang w:val="en-US" w:eastAsia="zh-CN"/>
        </w:rPr>
        <w:t>12</w:t>
      </w:r>
      <w:r>
        <w:rPr>
          <w:rStyle w:val="32"/>
          <w:rFonts w:hint="eastAsia" w:ascii="宋体" w:hAnsi="宋体" w:eastAsia="宋体" w:cs="宋体"/>
          <w:snapToGrid/>
          <w:color w:val="auto"/>
          <w:kern w:val="2"/>
          <w:sz w:val="21"/>
          <w:szCs w:val="21"/>
        </w:rPr>
        <w:t>日14点00分00秒</w:t>
      </w:r>
      <w:r>
        <w:rPr>
          <w:rFonts w:ascii="宋体" w:hAnsi="宋体" w:cs="宋体"/>
          <w:color w:val="auto"/>
          <w:szCs w:val="21"/>
        </w:rPr>
        <w:fldChar w:fldCharType="end"/>
      </w:r>
      <w:r>
        <w:rPr>
          <w:rFonts w:hint="eastAsia" w:ascii="宋体" w:hAnsi="宋体" w:cs="宋体"/>
          <w:bCs/>
          <w:color w:val="auto"/>
          <w:szCs w:val="21"/>
        </w:rPr>
        <w:t>（北京时间）前</w:t>
      </w:r>
      <w:r>
        <w:rPr>
          <w:rFonts w:hint="eastAsia" w:ascii="宋体" w:hAnsi="宋体" w:cs="宋体"/>
          <w:color w:val="auto"/>
          <w:szCs w:val="21"/>
        </w:rPr>
        <w:t>递交（上传）响应文件。</w:t>
      </w:r>
    </w:p>
    <w:p w14:paraId="11EDE0E8">
      <w:pPr>
        <w:shd w:val="clear"/>
        <w:spacing w:line="440" w:lineRule="exact"/>
        <w:ind w:firstLine="422"/>
        <w:rPr>
          <w:rFonts w:ascii="宋体" w:hAnsi="宋体" w:cs="宋体"/>
          <w:b/>
          <w:color w:val="auto"/>
          <w:szCs w:val="21"/>
        </w:rPr>
      </w:pPr>
      <w:r>
        <w:rPr>
          <w:rFonts w:hint="eastAsia" w:ascii="宋体" w:hAnsi="宋体" w:cs="宋体"/>
          <w:b/>
          <w:color w:val="auto"/>
          <w:szCs w:val="21"/>
        </w:rPr>
        <w:t xml:space="preserve">一、项目基本情况                                            </w:t>
      </w:r>
    </w:p>
    <w:p w14:paraId="46F86696">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项目编号：</w:t>
      </w:r>
      <w:r>
        <w:rPr>
          <w:rFonts w:hint="eastAsia" w:ascii="宋体" w:hAnsi="宋体" w:cs="宋体"/>
          <w:bCs/>
          <w:color w:val="auto"/>
          <w:szCs w:val="21"/>
        </w:rPr>
        <w:t>FHGQZB(2024)</w:t>
      </w:r>
      <w:r>
        <w:rPr>
          <w:rFonts w:hint="eastAsia" w:ascii="宋体" w:hAnsi="宋体" w:cs="宋体"/>
          <w:bCs/>
          <w:color w:val="auto"/>
          <w:szCs w:val="21"/>
          <w:lang w:val="en-US" w:eastAsia="zh-CN"/>
        </w:rPr>
        <w:t>336</w:t>
      </w:r>
      <w:r>
        <w:rPr>
          <w:rFonts w:hint="eastAsia" w:ascii="宋体" w:hAnsi="宋体" w:cs="宋体"/>
          <w:bCs/>
          <w:color w:val="auto"/>
          <w:szCs w:val="21"/>
        </w:rPr>
        <w:t>D</w:t>
      </w:r>
    </w:p>
    <w:p w14:paraId="0DD45DD0">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项目名称：</w:t>
      </w:r>
      <w:r>
        <w:rPr>
          <w:rFonts w:hint="eastAsia" w:ascii="宋体" w:hAnsi="宋体" w:cs="宋体"/>
          <w:bCs/>
          <w:snapToGrid w:val="0"/>
          <w:color w:val="auto"/>
          <w:szCs w:val="21"/>
        </w:rPr>
        <w:t>弥勒文化博物馆项目-电力迁改工程（土建部分） </w:t>
      </w:r>
    </w:p>
    <w:p w14:paraId="01AF487F">
      <w:pPr>
        <w:shd w:val="clear"/>
        <w:spacing w:line="440" w:lineRule="exact"/>
        <w:ind w:firstLine="422" w:firstLineChars="200"/>
        <w:rPr>
          <w:rFonts w:ascii="宋体" w:hAnsi="宋体" w:cs="宋体"/>
          <w:bCs/>
          <w:snapToGrid w:val="0"/>
          <w:color w:val="auto"/>
          <w:szCs w:val="21"/>
        </w:rPr>
      </w:pPr>
      <w:r>
        <w:rPr>
          <w:rFonts w:hint="eastAsia" w:ascii="宋体" w:hAnsi="宋体" w:cs="宋体"/>
          <w:b/>
          <w:color w:val="auto"/>
          <w:szCs w:val="21"/>
        </w:rPr>
        <w:t>预算金额（元）：</w:t>
      </w:r>
      <w:r>
        <w:rPr>
          <w:rFonts w:hint="eastAsia" w:ascii="Cambria" w:hAnsi="Cambria" w:cs="Cambria"/>
          <w:color w:val="auto"/>
        </w:rPr>
        <w:t>1136736</w:t>
      </w:r>
      <w:r>
        <w:rPr>
          <w:rFonts w:hint="eastAsia" w:ascii="宋体" w:hAnsi="宋体" w:cs="宋体"/>
          <w:bCs/>
          <w:snapToGrid w:val="0"/>
          <w:color w:val="auto"/>
          <w:szCs w:val="21"/>
        </w:rPr>
        <w:t xml:space="preserve"> </w:t>
      </w:r>
    </w:p>
    <w:p w14:paraId="798F3719">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最高限价（元）：</w:t>
      </w:r>
      <w:r>
        <w:rPr>
          <w:rFonts w:hint="eastAsia" w:ascii="Cambria" w:hAnsi="Cambria" w:cs="Cambria"/>
          <w:color w:val="auto"/>
        </w:rPr>
        <w:t>1072132，</w:t>
      </w:r>
      <w:r>
        <w:rPr>
          <w:rFonts w:hint="eastAsia" w:ascii="宋体" w:hAnsi="宋体" w:cs="宋体"/>
          <w:bCs/>
          <w:snapToGrid w:val="0"/>
          <w:color w:val="auto"/>
          <w:szCs w:val="21"/>
        </w:rPr>
        <w:t xml:space="preserve">最高综合折扣率：94%  </w:t>
      </w:r>
    </w:p>
    <w:p w14:paraId="2EB015CD">
      <w:pPr>
        <w:pStyle w:val="8"/>
        <w:shd w:val="clear"/>
        <w:spacing w:line="440" w:lineRule="exact"/>
        <w:ind w:firstLine="422" w:firstLineChars="200"/>
        <w:rPr>
          <w:rFonts w:hAnsi="宋体" w:cs="宋体"/>
          <w:bCs/>
          <w:color w:val="auto"/>
          <w:kern w:val="2"/>
          <w:sz w:val="21"/>
          <w:szCs w:val="21"/>
        </w:rPr>
      </w:pPr>
      <w:r>
        <w:rPr>
          <w:rFonts w:hint="eastAsia" w:hAnsi="宋体" w:cs="宋体"/>
          <w:b/>
          <w:color w:val="auto"/>
          <w:sz w:val="21"/>
          <w:szCs w:val="21"/>
        </w:rPr>
        <w:t>采购需求：</w:t>
      </w:r>
      <w:r>
        <w:rPr>
          <w:rFonts w:hint="eastAsia" w:hAnsi="宋体" w:cs="宋体"/>
          <w:bCs/>
          <w:color w:val="auto"/>
          <w:kern w:val="2"/>
          <w:sz w:val="21"/>
          <w:szCs w:val="21"/>
        </w:rPr>
        <w:t>弥勒文化博物馆项目-电力迁改工程（土建部分），详见采购文件第三部分采购需求。</w:t>
      </w:r>
    </w:p>
    <w:p w14:paraId="3F47DBA4">
      <w:pPr>
        <w:pStyle w:val="50"/>
        <w:shd w:val="clear"/>
        <w:spacing w:before="0" w:line="440" w:lineRule="exact"/>
        <w:ind w:firstLine="422"/>
        <w:outlineLvl w:val="2"/>
        <w:rPr>
          <w:rFonts w:ascii="宋体" w:hAnsi="宋体" w:cs="宋体"/>
          <w:color w:val="auto"/>
          <w:sz w:val="21"/>
          <w:szCs w:val="21"/>
        </w:rPr>
      </w:pPr>
      <w:r>
        <w:rPr>
          <w:rFonts w:hint="eastAsia" w:ascii="宋体" w:hAnsi="宋体" w:cs="宋体"/>
          <w:b/>
          <w:color w:val="auto"/>
          <w:sz w:val="21"/>
          <w:szCs w:val="21"/>
        </w:rPr>
        <w:t>合同履约期限：</w:t>
      </w:r>
      <w:r>
        <w:rPr>
          <w:rFonts w:hint="eastAsia" w:ascii="宋体" w:hAnsi="宋体" w:cs="宋体"/>
          <w:snapToGrid w:val="0"/>
          <w:color w:val="auto"/>
          <w:kern w:val="28"/>
          <w:sz w:val="21"/>
          <w:szCs w:val="21"/>
        </w:rPr>
        <w:t>详见采购文件。</w:t>
      </w:r>
    </w:p>
    <w:p w14:paraId="767B6B23">
      <w:pPr>
        <w:pStyle w:val="8"/>
        <w:shd w:val="clear"/>
        <w:spacing w:line="440" w:lineRule="exact"/>
        <w:ind w:firstLine="422" w:firstLineChars="200"/>
        <w:rPr>
          <w:rFonts w:hAnsi="宋体" w:cs="宋体"/>
          <w:b/>
          <w:color w:val="auto"/>
          <w:sz w:val="21"/>
          <w:szCs w:val="21"/>
        </w:rPr>
      </w:pPr>
      <w:r>
        <w:rPr>
          <w:rFonts w:hint="eastAsia" w:hAnsi="宋体" w:cs="宋体"/>
          <w:b/>
          <w:color w:val="auto"/>
          <w:sz w:val="21"/>
          <w:szCs w:val="21"/>
        </w:rPr>
        <w:t>本项目接受联合体：</w:t>
      </w:r>
      <w:r>
        <w:rPr>
          <w:rFonts w:hint="eastAsia" w:hAnsi="宋体" w:cs="宋体"/>
          <w:color w:val="auto"/>
          <w:kern w:val="0"/>
          <w:sz w:val="21"/>
          <w:szCs w:val="21"/>
        </w:rPr>
        <w:t>☐</w:t>
      </w:r>
      <w:r>
        <w:rPr>
          <w:rFonts w:hint="eastAsia" w:hAnsi="宋体" w:cs="宋体"/>
          <w:b/>
          <w:color w:val="auto"/>
          <w:sz w:val="21"/>
          <w:szCs w:val="21"/>
        </w:rPr>
        <w:t>是，</w:t>
      </w:r>
      <w:r>
        <w:rPr>
          <w:rFonts w:hint="eastAsia" w:hAnsi="宋体" w:cs="宋体"/>
          <w:color w:val="auto"/>
          <w:kern w:val="0"/>
          <w:sz w:val="21"/>
          <w:szCs w:val="21"/>
        </w:rPr>
        <w:t xml:space="preserve"> </w:t>
      </w:r>
      <w:r>
        <w:rPr>
          <w:rFonts w:hint="eastAsia" w:hAnsi="宋体" w:cs="宋体"/>
          <w:color w:val="auto"/>
          <w:kern w:val="0"/>
          <w:sz w:val="21"/>
          <w:szCs w:val="21"/>
        </w:rPr>
        <w:sym w:font="Wingdings" w:char="F0FE"/>
      </w:r>
      <w:r>
        <w:rPr>
          <w:rFonts w:hint="eastAsia" w:hAnsi="宋体" w:cs="宋体"/>
          <w:b/>
          <w:color w:val="auto"/>
          <w:sz w:val="21"/>
          <w:szCs w:val="21"/>
        </w:rPr>
        <w:t>否</w:t>
      </w:r>
      <w:r>
        <w:rPr>
          <w:rFonts w:hint="eastAsia" w:hAnsi="宋体" w:cs="宋体"/>
          <w:color w:val="auto"/>
          <w:kern w:val="0"/>
          <w:sz w:val="21"/>
          <w:szCs w:val="21"/>
        </w:rPr>
        <w:t>。</w:t>
      </w:r>
    </w:p>
    <w:p w14:paraId="36053FAA">
      <w:pPr>
        <w:shd w:val="clear"/>
        <w:spacing w:line="440" w:lineRule="exact"/>
        <w:ind w:firstLine="422"/>
        <w:rPr>
          <w:rFonts w:ascii="宋体" w:hAnsi="宋体" w:cs="宋体"/>
          <w:b/>
          <w:color w:val="auto"/>
          <w:szCs w:val="21"/>
        </w:rPr>
      </w:pPr>
      <w:r>
        <w:rPr>
          <w:rFonts w:hint="eastAsia" w:ascii="宋体" w:hAnsi="宋体" w:cs="宋体"/>
          <w:b/>
          <w:color w:val="auto"/>
          <w:szCs w:val="21"/>
        </w:rPr>
        <w:t>二、申请人的资格要求：</w:t>
      </w:r>
    </w:p>
    <w:p w14:paraId="2BC5D0A2">
      <w:pPr>
        <w:shd w:val="clear"/>
        <w:spacing w:line="440" w:lineRule="exact"/>
        <w:ind w:firstLine="420"/>
        <w:rPr>
          <w:rFonts w:ascii="宋体" w:hAnsi="宋体" w:cs="宋体"/>
          <w:snapToGrid w:val="0"/>
          <w:color w:val="auto"/>
          <w:kern w:val="28"/>
          <w:szCs w:val="21"/>
        </w:rPr>
      </w:pPr>
      <w:r>
        <w:rPr>
          <w:rFonts w:hint="eastAsia" w:ascii="宋体" w:hAnsi="宋体" w:cs="宋体"/>
          <w:snapToGrid w:val="0"/>
          <w:color w:val="auto"/>
          <w:kern w:val="28"/>
          <w:szCs w:val="21"/>
        </w:rPr>
        <w:t>1.满足《中华人民共和国政府采购法》第二十二条规定；未被“信用中国”（www.creditchina.gov.cn)、中国政府采购网（www.ccgp.gov.cn）列入失信被执行人、重大税收违法失信主体、政府采购严重违法失信行为记录名单；</w:t>
      </w:r>
    </w:p>
    <w:p w14:paraId="3DE0B63C">
      <w:pPr>
        <w:shd w:val="clear"/>
        <w:spacing w:line="440" w:lineRule="exact"/>
        <w:rPr>
          <w:rFonts w:ascii="宋体" w:hAnsi="宋体" w:cs="宋体"/>
          <w:color w:val="auto"/>
          <w:szCs w:val="21"/>
        </w:rPr>
      </w:pPr>
      <w:r>
        <w:rPr>
          <w:rFonts w:hint="eastAsia" w:ascii="宋体" w:hAnsi="宋体" w:cs="宋体"/>
          <w:snapToGrid w:val="0"/>
          <w:color w:val="auto"/>
          <w:kern w:val="28"/>
          <w:szCs w:val="21"/>
        </w:rPr>
        <w:t xml:space="preserve">    2.落实政府采购政策需满足的资格要求：</w:t>
      </w:r>
      <w:r>
        <w:rPr>
          <w:rFonts w:hint="eastAsia" w:ascii="宋体" w:hAnsi="宋体" w:cs="宋体"/>
          <w:color w:val="auto"/>
          <w:szCs w:val="21"/>
        </w:rPr>
        <w:t>无；</w:t>
      </w:r>
    </w:p>
    <w:p w14:paraId="54ED67AE">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3.本项目的特定资格要求：</w:t>
      </w:r>
    </w:p>
    <w:p w14:paraId="5A45292C">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3.1供应商须具有电力工程施工总承包三级及以上资质（或输变电工程专业承包叁级及以上）；</w:t>
      </w:r>
    </w:p>
    <w:p w14:paraId="7AE63474">
      <w:pPr>
        <w:shd w:val="clear"/>
        <w:spacing w:line="440" w:lineRule="exact"/>
        <w:ind w:firstLine="420" w:firstLineChars="200"/>
        <w:rPr>
          <w:rFonts w:ascii="宋体" w:hAnsi="宋体" w:cs="宋体"/>
          <w:b/>
          <w:color w:val="auto"/>
          <w:szCs w:val="21"/>
        </w:rPr>
      </w:pPr>
      <w:r>
        <w:rPr>
          <w:rFonts w:hint="eastAsia" w:ascii="宋体" w:hAnsi="宋体" w:cs="宋体"/>
          <w:color w:val="auto"/>
          <w:szCs w:val="21"/>
        </w:rPr>
        <w:t>3.2供应商须具有有效的建筑施工企业安全生产许可证。</w:t>
      </w:r>
    </w:p>
    <w:p w14:paraId="38E84C7F">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178CC89">
      <w:pPr>
        <w:shd w:val="clear"/>
        <w:spacing w:line="440" w:lineRule="exact"/>
        <w:ind w:firstLine="422"/>
        <w:rPr>
          <w:rFonts w:ascii="宋体" w:hAnsi="宋体" w:cs="宋体"/>
          <w:b/>
          <w:color w:val="auto"/>
          <w:szCs w:val="21"/>
        </w:rPr>
      </w:pPr>
      <w:r>
        <w:rPr>
          <w:rFonts w:hint="eastAsia" w:ascii="宋体" w:hAnsi="宋体" w:cs="宋体"/>
          <w:b/>
          <w:color w:val="auto"/>
          <w:szCs w:val="21"/>
        </w:rPr>
        <w:t xml:space="preserve">三、获取采购文件 </w:t>
      </w:r>
    </w:p>
    <w:p w14:paraId="28ACC1C7">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时间：</w:t>
      </w:r>
      <w:r>
        <w:rPr>
          <w:rFonts w:hint="eastAsia" w:ascii="宋体" w:hAnsi="宋体" w:cs="宋体"/>
          <w:color w:val="auto"/>
          <w:szCs w:val="21"/>
          <w:u w:val="single"/>
        </w:rPr>
        <w:t>2024年0</w:t>
      </w:r>
      <w:r>
        <w:rPr>
          <w:rFonts w:hint="eastAsia" w:ascii="宋体" w:hAnsi="宋体" w:cs="宋体"/>
          <w:color w:val="auto"/>
          <w:szCs w:val="21"/>
          <w:u w:val="single"/>
          <w:lang w:val="en-US" w:eastAsia="zh-CN"/>
        </w:rPr>
        <w:t>9</w:t>
      </w:r>
      <w:r>
        <w:rPr>
          <w:rFonts w:hint="eastAsia" w:ascii="宋体" w:hAnsi="宋体" w:cs="宋体"/>
          <w:color w:val="auto"/>
          <w:szCs w:val="21"/>
          <w:u w:val="single"/>
        </w:rPr>
        <w:t>月</w:t>
      </w:r>
      <w:r>
        <w:rPr>
          <w:rFonts w:hint="eastAsia" w:ascii="宋体" w:hAnsi="宋体" w:cs="宋体"/>
          <w:color w:val="auto"/>
          <w:szCs w:val="21"/>
          <w:u w:val="single"/>
          <w:lang w:val="en-US" w:eastAsia="zh-CN"/>
        </w:rPr>
        <w:t>23</w:t>
      </w:r>
      <w:r>
        <w:rPr>
          <w:rFonts w:hint="eastAsia" w:ascii="宋体" w:hAnsi="宋体" w:cs="宋体"/>
          <w:color w:val="auto"/>
          <w:szCs w:val="21"/>
          <w:u w:val="single"/>
        </w:rPr>
        <w:t>日</w:t>
      </w:r>
      <w:r>
        <w:rPr>
          <w:rFonts w:hint="eastAsia" w:ascii="宋体" w:hAnsi="宋体" w:cs="宋体"/>
          <w:color w:val="auto"/>
          <w:szCs w:val="21"/>
        </w:rPr>
        <w:t>至</w:t>
      </w:r>
      <w:r>
        <w:rPr>
          <w:rFonts w:hint="eastAsia" w:ascii="宋体" w:hAnsi="宋体" w:cs="宋体"/>
          <w:color w:val="auto"/>
          <w:szCs w:val="21"/>
          <w:u w:val="single"/>
        </w:rPr>
        <w:t>2024年0</w:t>
      </w:r>
      <w:r>
        <w:rPr>
          <w:rFonts w:hint="eastAsia" w:ascii="宋体" w:hAnsi="宋体" w:cs="宋体"/>
          <w:color w:val="auto"/>
          <w:szCs w:val="21"/>
          <w:u w:val="single"/>
          <w:lang w:val="en-US" w:eastAsia="zh-CN"/>
        </w:rPr>
        <w:t>9</w:t>
      </w:r>
      <w:r>
        <w:rPr>
          <w:rFonts w:hint="eastAsia" w:ascii="宋体" w:hAnsi="宋体" w:cs="宋体"/>
          <w:color w:val="auto"/>
          <w:szCs w:val="21"/>
          <w:u w:val="single"/>
        </w:rPr>
        <w:t>月</w:t>
      </w:r>
      <w:r>
        <w:rPr>
          <w:rFonts w:hint="eastAsia" w:ascii="宋体" w:hAnsi="宋体" w:cs="宋体"/>
          <w:color w:val="auto"/>
          <w:szCs w:val="21"/>
          <w:u w:val="single"/>
          <w:lang w:val="en-US" w:eastAsia="zh-CN"/>
        </w:rPr>
        <w:t>29</w:t>
      </w:r>
      <w:r>
        <w:rPr>
          <w:rFonts w:hint="eastAsia" w:ascii="宋体" w:hAnsi="宋体" w:cs="宋体"/>
          <w:color w:val="auto"/>
          <w:szCs w:val="21"/>
          <w:u w:val="single"/>
        </w:rPr>
        <w:t>日</w:t>
      </w:r>
      <w:r>
        <w:rPr>
          <w:rFonts w:hint="eastAsia" w:ascii="宋体" w:hAnsi="宋体" w:cs="宋体"/>
          <w:color w:val="auto"/>
          <w:szCs w:val="21"/>
        </w:rPr>
        <w:t>，每天上午00：00至12：00 ，下午12：00至23：59（北京时间）。</w:t>
      </w:r>
    </w:p>
    <w:p w14:paraId="77539B1A">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地点（网址）：</w:t>
      </w:r>
      <w:r>
        <w:rPr>
          <w:rFonts w:hint="eastAsia" w:ascii="宋体" w:hAnsi="宋体" w:cs="宋体"/>
          <w:color w:val="auto"/>
          <w:szCs w:val="21"/>
        </w:rPr>
        <w:t>乐采云平台 （https://www.lecaiyun.com/）。</w:t>
      </w:r>
      <w:bookmarkStart w:id="465" w:name="_GoBack"/>
      <w:bookmarkEnd w:id="465"/>
    </w:p>
    <w:p w14:paraId="17117F7F">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方式：</w:t>
      </w:r>
      <w:r>
        <w:rPr>
          <w:rFonts w:hint="eastAsia" w:ascii="宋体" w:hAnsi="宋体" w:cs="宋体"/>
          <w:color w:val="auto"/>
          <w:szCs w:val="21"/>
        </w:rPr>
        <w:t xml:space="preserve">供应商登录乐采云平台https://www.lecaiyun.com/在线申请获取采购文件（进入“项目采购”应用，在获取采购文件菜单中选择项目，申请获取采购文件）。 </w:t>
      </w:r>
    </w:p>
    <w:p w14:paraId="1767E2DE">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售价（元）：</w:t>
      </w:r>
      <w:r>
        <w:rPr>
          <w:rFonts w:hint="eastAsia" w:ascii="宋体" w:hAnsi="宋体" w:cs="宋体"/>
          <w:color w:val="auto"/>
          <w:szCs w:val="21"/>
        </w:rPr>
        <w:t xml:space="preserve">0 </w:t>
      </w:r>
      <w:r>
        <w:rPr>
          <w:rFonts w:hint="eastAsia" w:ascii="宋体" w:hAnsi="宋体" w:cs="宋体"/>
          <w:color w:val="auto"/>
          <w:szCs w:val="21"/>
        </w:rPr>
        <w:tab/>
      </w:r>
    </w:p>
    <w:p w14:paraId="001CD15A">
      <w:pPr>
        <w:shd w:val="clear"/>
        <w:spacing w:line="440" w:lineRule="exact"/>
        <w:ind w:firstLine="422"/>
        <w:rPr>
          <w:rFonts w:ascii="宋体" w:hAnsi="宋体" w:cs="宋体"/>
          <w:b/>
          <w:color w:val="auto"/>
          <w:szCs w:val="21"/>
        </w:rPr>
      </w:pPr>
      <w:r>
        <w:rPr>
          <w:rFonts w:hint="eastAsia" w:ascii="宋体" w:hAnsi="宋体" w:cs="宋体"/>
          <w:b/>
          <w:color w:val="auto"/>
          <w:szCs w:val="21"/>
        </w:rPr>
        <w:t>四、首次提交响应文件截止时间、磋商时间和地点</w:t>
      </w:r>
    </w:p>
    <w:p w14:paraId="0DA831BB">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首次提交响应文件截止时间：</w:t>
      </w:r>
      <w:r>
        <w:rPr>
          <w:rFonts w:hint="eastAsia" w:ascii="宋体" w:hAnsi="宋体" w:cs="宋体"/>
          <w:color w:val="auto"/>
          <w:szCs w:val="21"/>
          <w:u w:val="single"/>
        </w:rPr>
        <w:t xml:space="preserve"> 2024年</w:t>
      </w:r>
      <w:r>
        <w:rPr>
          <w:rFonts w:hint="eastAsia" w:ascii="宋体" w:hAnsi="宋体" w:cs="宋体"/>
          <w:color w:val="auto"/>
          <w:szCs w:val="21"/>
          <w:u w:val="single"/>
          <w:lang w:val="en-US" w:eastAsia="zh-CN"/>
        </w:rPr>
        <w:t>10</w:t>
      </w:r>
      <w:r>
        <w:rPr>
          <w:rFonts w:hint="eastAsia" w:ascii="宋体" w:hAnsi="宋体" w:cs="宋体"/>
          <w:color w:val="auto"/>
          <w:szCs w:val="21"/>
          <w:u w:val="single"/>
        </w:rPr>
        <w:t>月</w:t>
      </w:r>
      <w:r>
        <w:rPr>
          <w:rFonts w:hint="eastAsia" w:ascii="宋体" w:hAnsi="宋体" w:cs="宋体"/>
          <w:color w:val="auto"/>
          <w:szCs w:val="21"/>
          <w:u w:val="single"/>
          <w:lang w:val="en-US" w:eastAsia="zh-CN"/>
        </w:rPr>
        <w:t>12</w:t>
      </w:r>
      <w:r>
        <w:rPr>
          <w:rFonts w:hint="eastAsia" w:ascii="宋体" w:hAnsi="宋体" w:cs="宋体"/>
          <w:color w:val="auto"/>
          <w:szCs w:val="21"/>
          <w:u w:val="single"/>
        </w:rPr>
        <w:t>日</w:t>
      </w:r>
      <w:r>
        <w:rPr>
          <w:rFonts w:hint="eastAsia" w:ascii="宋体" w:hAnsi="宋体" w:cs="宋体"/>
          <w:color w:val="auto"/>
          <w:szCs w:val="21"/>
          <w:u w:val="single"/>
          <w:lang w:val="en-US" w:eastAsia="zh-CN"/>
        </w:rPr>
        <w:t>14</w:t>
      </w:r>
      <w:r>
        <w:rPr>
          <w:rFonts w:hint="eastAsia" w:ascii="宋体" w:hAnsi="宋体" w:cs="宋体"/>
          <w:color w:val="auto"/>
          <w:szCs w:val="21"/>
          <w:u w:val="single"/>
        </w:rPr>
        <w:t>点00分</w:t>
      </w:r>
      <w:r>
        <w:rPr>
          <w:rFonts w:hint="eastAsia" w:ascii="宋体" w:hAnsi="宋体" w:cs="宋体"/>
          <w:bCs/>
          <w:color w:val="auto"/>
          <w:szCs w:val="21"/>
          <w:u w:val="single"/>
        </w:rPr>
        <w:t xml:space="preserve"> </w:t>
      </w:r>
      <w:r>
        <w:rPr>
          <w:rFonts w:hint="eastAsia" w:ascii="宋体" w:hAnsi="宋体" w:cs="宋体"/>
          <w:color w:val="auto"/>
          <w:szCs w:val="21"/>
        </w:rPr>
        <w:t>（北京时间）。</w:t>
      </w:r>
    </w:p>
    <w:p w14:paraId="00F0F8CB">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提交响应文件地点（网址）：</w:t>
      </w:r>
      <w:r>
        <w:rPr>
          <w:rFonts w:hint="eastAsia" w:ascii="宋体" w:hAnsi="宋体" w:cs="宋体"/>
          <w:color w:val="auto"/>
          <w:szCs w:val="21"/>
        </w:rPr>
        <w:t>乐采云平台 （</w:t>
      </w:r>
      <w:bookmarkStart w:id="15" w:name="OLE_LINK40"/>
      <w:bookmarkStart w:id="16" w:name="OLE_LINK41"/>
      <w:r>
        <w:rPr>
          <w:rFonts w:hint="eastAsia" w:ascii="宋体" w:hAnsi="宋体" w:cs="宋体"/>
          <w:color w:val="auto"/>
          <w:szCs w:val="21"/>
        </w:rPr>
        <w:t>https://www.lecaiyun.com/</w:t>
      </w:r>
      <w:bookmarkEnd w:id="15"/>
      <w:bookmarkEnd w:id="16"/>
      <w:r>
        <w:rPr>
          <w:rFonts w:hint="eastAsia" w:ascii="宋体" w:hAnsi="宋体" w:cs="宋体"/>
          <w:color w:val="auto"/>
          <w:szCs w:val="21"/>
        </w:rPr>
        <w:t>）。</w:t>
      </w:r>
    </w:p>
    <w:p w14:paraId="17E6D4FF">
      <w:pPr>
        <w:shd w:val="clear"/>
        <w:spacing w:line="440" w:lineRule="exact"/>
        <w:ind w:firstLine="422" w:firstLineChars="200"/>
        <w:rPr>
          <w:rFonts w:ascii="宋体" w:hAnsi="宋体" w:cs="宋体"/>
          <w:bCs/>
          <w:color w:val="auto"/>
          <w:szCs w:val="21"/>
          <w:u w:val="single"/>
        </w:rPr>
      </w:pPr>
      <w:r>
        <w:rPr>
          <w:rFonts w:hint="eastAsia" w:ascii="宋体" w:hAnsi="宋体" w:cs="宋体"/>
          <w:b/>
          <w:color w:val="auto"/>
          <w:szCs w:val="21"/>
        </w:rPr>
        <w:t>首次提交响应文件开启时间：</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10</w:t>
      </w:r>
      <w:r>
        <w:rPr>
          <w:rFonts w:hint="eastAsia" w:ascii="宋体" w:hAnsi="宋体" w:cs="宋体"/>
          <w:color w:val="auto"/>
          <w:szCs w:val="21"/>
          <w:u w:val="single"/>
        </w:rPr>
        <w:t>月</w:t>
      </w:r>
      <w:r>
        <w:rPr>
          <w:rFonts w:hint="eastAsia" w:ascii="宋体" w:hAnsi="宋体" w:cs="宋体"/>
          <w:color w:val="auto"/>
          <w:szCs w:val="21"/>
          <w:u w:val="single"/>
          <w:lang w:val="en-US" w:eastAsia="zh-CN"/>
        </w:rPr>
        <w:t>12</w:t>
      </w:r>
      <w:r>
        <w:rPr>
          <w:rFonts w:hint="eastAsia" w:ascii="宋体" w:hAnsi="宋体" w:cs="宋体"/>
          <w:color w:val="auto"/>
          <w:szCs w:val="21"/>
          <w:u w:val="single"/>
        </w:rPr>
        <w:t>日</w:t>
      </w:r>
      <w:r>
        <w:rPr>
          <w:rFonts w:hint="eastAsia" w:ascii="宋体" w:hAnsi="宋体" w:cs="宋体"/>
          <w:color w:val="auto"/>
          <w:szCs w:val="21"/>
          <w:u w:val="single"/>
          <w:lang w:val="en-US" w:eastAsia="zh-CN"/>
        </w:rPr>
        <w:t>14</w:t>
      </w:r>
      <w:r>
        <w:rPr>
          <w:rFonts w:hint="eastAsia" w:ascii="宋体" w:hAnsi="宋体" w:cs="宋体"/>
          <w:color w:val="auto"/>
          <w:szCs w:val="21"/>
          <w:u w:val="single"/>
        </w:rPr>
        <w:t>点00分</w:t>
      </w:r>
      <w:r>
        <w:rPr>
          <w:rFonts w:hint="eastAsia" w:ascii="宋体" w:hAnsi="宋体" w:cs="宋体"/>
          <w:bCs/>
          <w:color w:val="auto"/>
          <w:szCs w:val="21"/>
        </w:rPr>
        <w:t>。</w:t>
      </w:r>
    </w:p>
    <w:p w14:paraId="321D4AC4">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首次提交响应文件开启地点（网址）：</w:t>
      </w:r>
      <w:bookmarkStart w:id="17" w:name="OLE_LINK38"/>
      <w:bookmarkStart w:id="18" w:name="OLE_LINK39"/>
      <w:r>
        <w:rPr>
          <w:rFonts w:hint="eastAsia" w:ascii="宋体" w:hAnsi="宋体" w:cs="宋体"/>
          <w:color w:val="auto"/>
          <w:szCs w:val="21"/>
        </w:rPr>
        <w:t>乐采云平台 （https://www.lecaiyun.com/）</w:t>
      </w:r>
      <w:bookmarkEnd w:id="17"/>
      <w:bookmarkEnd w:id="18"/>
      <w:r>
        <w:rPr>
          <w:rFonts w:hint="eastAsia" w:ascii="宋体" w:hAnsi="宋体" w:cs="宋体"/>
          <w:color w:val="auto"/>
          <w:szCs w:val="21"/>
        </w:rPr>
        <w:t>。</w:t>
      </w:r>
    </w:p>
    <w:p w14:paraId="60BCE899">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首次提交响应文件开启地点（线下）：</w:t>
      </w:r>
      <w:r>
        <w:rPr>
          <w:rFonts w:hint="eastAsia" w:ascii="宋体" w:hAnsi="宋体" w:cs="宋体"/>
          <w:bCs/>
          <w:color w:val="auto"/>
          <w:szCs w:val="21"/>
        </w:rPr>
        <w:t>宁波市奉化区公共资源交易中心开标厅一（宁波市奉化区大成东路277号4楼）</w:t>
      </w:r>
    </w:p>
    <w:p w14:paraId="06B88931">
      <w:pPr>
        <w:shd w:val="clear"/>
        <w:spacing w:line="440" w:lineRule="exact"/>
        <w:ind w:firstLine="422"/>
        <w:rPr>
          <w:rFonts w:ascii="宋体" w:hAnsi="宋体" w:cs="宋体"/>
          <w:color w:val="auto"/>
          <w:szCs w:val="21"/>
        </w:rPr>
      </w:pPr>
      <w:r>
        <w:rPr>
          <w:rFonts w:hint="eastAsia" w:ascii="宋体" w:hAnsi="宋体" w:cs="宋体"/>
          <w:b/>
          <w:color w:val="auto"/>
          <w:szCs w:val="21"/>
        </w:rPr>
        <w:t xml:space="preserve">五、公告期限 </w:t>
      </w:r>
    </w:p>
    <w:p w14:paraId="01C85679">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自本公告发布之日起5个工作日。</w:t>
      </w:r>
    </w:p>
    <w:p w14:paraId="55E57F84">
      <w:pPr>
        <w:shd w:val="clear"/>
        <w:spacing w:line="440" w:lineRule="exact"/>
        <w:ind w:firstLine="422"/>
        <w:rPr>
          <w:rFonts w:ascii="宋体" w:hAnsi="宋体" w:cs="宋体"/>
          <w:b/>
          <w:color w:val="auto"/>
          <w:szCs w:val="21"/>
        </w:rPr>
      </w:pPr>
      <w:r>
        <w:rPr>
          <w:rFonts w:hint="eastAsia" w:ascii="宋体" w:hAnsi="宋体" w:cs="宋体"/>
          <w:b/>
          <w:color w:val="auto"/>
          <w:szCs w:val="21"/>
        </w:rPr>
        <w:t>六、其他补充事宜</w:t>
      </w:r>
    </w:p>
    <w:p w14:paraId="42DACAF9">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采购监督管理部门投诉。</w:t>
      </w:r>
    </w:p>
    <w:p w14:paraId="0388260D">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2.其他事项：（1）需要落实的政府采购政策：包括节约资源、保护环境、支持创新、促进中小企业发展等。详见采购文件的第二部分总则。（2）电子交易的说明：①电子交易：本项目以数据电文形式，依托“乐采云平台 （https://www.lecaiyun.com/）”进行磋商活动，不接受纸质响应文件；②磋商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w:t>
      </w:r>
      <w:bookmarkStart w:id="19" w:name="OLE_LINK24"/>
      <w:bookmarkStart w:id="20" w:name="OLE_LINK14"/>
      <w:bookmarkStart w:id="21" w:name="OLE_LINK23"/>
      <w:r>
        <w:rPr>
          <w:rFonts w:hint="eastAsia" w:ascii="宋体" w:hAnsi="宋体" w:cs="宋体"/>
          <w:color w:val="auto"/>
          <w:szCs w:val="21"/>
        </w:rPr>
        <w:t>（</w:t>
      </w:r>
      <w:bookmarkStart w:id="22" w:name="OLE_LINK22"/>
      <w:r>
        <w:rPr>
          <w:rFonts w:hint="eastAsia" w:ascii="宋体" w:hAnsi="宋体" w:cs="宋体"/>
          <w:color w:val="auto"/>
          <w:szCs w:val="21"/>
        </w:rPr>
        <w:t>https://b.zhengcaiyun.cn/luban/category?parentId=550045&amp;childrenCode=qicaiCategory17&amp;utm=luban.luban-PC-39026.959-pc-websitegroup-navBar-front.8.ebdec73052c711ef9ade896d008b9248</w:t>
      </w:r>
      <w:bookmarkEnd w:id="22"/>
      <w:r>
        <w:rPr>
          <w:rFonts w:hint="eastAsia" w:ascii="宋体" w:hAnsi="宋体" w:cs="宋体"/>
          <w:color w:val="auto"/>
          <w:szCs w:val="21"/>
        </w:rPr>
        <w:t>）</w:t>
      </w:r>
      <w:bookmarkEnd w:id="19"/>
      <w:bookmarkEnd w:id="20"/>
      <w:bookmarkEnd w:id="21"/>
      <w:r>
        <w:rPr>
          <w:rFonts w:hint="eastAsia" w:ascii="宋体" w:hAnsi="宋体" w:cs="宋体"/>
          <w:color w:val="auto"/>
          <w:szCs w:val="21"/>
        </w:rPr>
        <w:t>”进行下载并安装；</w:t>
      </w:r>
      <w:r>
        <w:rPr>
          <w:rFonts w:hint="eastAsia" w:ascii="宋体" w:hAnsi="宋体" w:cs="宋体"/>
          <w:color w:val="auto"/>
          <w:kern w:val="0"/>
          <w:szCs w:val="21"/>
          <w:lang w:val="zh-CN"/>
        </w:rPr>
        <w:t>供应商</w:t>
      </w:r>
      <w:r>
        <w:rPr>
          <w:rFonts w:hint="eastAsia" w:ascii="宋体" w:hAnsi="宋体" w:cs="宋体"/>
          <w:color w:val="auto"/>
          <w:szCs w:val="21"/>
        </w:rPr>
        <w:t>在磋商前应确保成为浙江企业采购信息服务网正式注册入库供应商，并完成CA数字证书办理。完成CA数字证书办理在资料齐全的情况下预计7个工作日左右，请各</w:t>
      </w:r>
      <w:r>
        <w:rPr>
          <w:rFonts w:hint="eastAsia" w:ascii="宋体" w:hAnsi="宋体" w:cs="宋体"/>
          <w:color w:val="auto"/>
          <w:kern w:val="0"/>
          <w:szCs w:val="21"/>
          <w:lang w:val="zh-CN"/>
        </w:rPr>
        <w:t>供应商</w:t>
      </w:r>
      <w:r>
        <w:rPr>
          <w:rFonts w:hint="eastAsia" w:ascii="宋体" w:hAnsi="宋体" w:cs="宋体"/>
          <w:color w:val="auto"/>
          <w:szCs w:val="21"/>
        </w:rPr>
        <w:t>合理预估时间，及时办理。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cs="宋体"/>
          <w:color w:val="auto"/>
          <w:kern w:val="0"/>
          <w:szCs w:val="21"/>
          <w:lang w:val="zh-CN"/>
        </w:rPr>
        <w:t>供应商</w:t>
      </w:r>
      <w:r>
        <w:rPr>
          <w:rFonts w:hint="eastAsia" w:ascii="宋体" w:hAnsi="宋体" w:cs="宋体"/>
          <w:color w:val="auto"/>
          <w:szCs w:val="21"/>
        </w:rPr>
        <w:t>按照平台提示和采购文件的规定在半小时内完成在线解密。⑨具体操作指南：详见乐采云平台“服务中心-帮助文档-项目采购-操作流程-电子招投标-政府采购项目电子交易管理操作指南-供应商”。</w:t>
      </w:r>
    </w:p>
    <w:p w14:paraId="71B3F590">
      <w:pPr>
        <w:shd w:val="clear"/>
        <w:spacing w:line="440" w:lineRule="exact"/>
        <w:ind w:firstLine="422"/>
        <w:rPr>
          <w:rFonts w:ascii="宋体" w:hAnsi="宋体" w:cs="宋体"/>
          <w:b/>
          <w:color w:val="auto"/>
          <w:szCs w:val="21"/>
        </w:rPr>
      </w:pPr>
      <w:r>
        <w:rPr>
          <w:rFonts w:hint="eastAsia" w:ascii="宋体" w:hAnsi="宋体" w:cs="宋体"/>
          <w:b/>
          <w:color w:val="auto"/>
          <w:szCs w:val="21"/>
        </w:rPr>
        <w:t>七、对本次采购提出询问、质疑、投诉，请按以下方式联系</w:t>
      </w:r>
    </w:p>
    <w:p w14:paraId="5C19BD8D">
      <w:pPr>
        <w:shd w:val="clear"/>
        <w:spacing w:line="360" w:lineRule="auto"/>
        <w:rPr>
          <w:rFonts w:ascii="宋体" w:hAnsi="宋体" w:cs="宋体"/>
          <w:color w:val="auto"/>
          <w:szCs w:val="21"/>
        </w:rPr>
      </w:pPr>
      <w:r>
        <w:rPr>
          <w:rFonts w:hint="eastAsia" w:ascii="宋体" w:hAnsi="宋体" w:cs="宋体"/>
          <w:color w:val="auto"/>
          <w:szCs w:val="21"/>
        </w:rPr>
        <w:t xml:space="preserve">    1.采购人信息</w:t>
      </w:r>
    </w:p>
    <w:p w14:paraId="378D88FD">
      <w:pPr>
        <w:shd w:val="clear"/>
        <w:spacing w:line="360" w:lineRule="auto"/>
        <w:ind w:firstLine="420"/>
        <w:rPr>
          <w:rFonts w:ascii="宋体" w:hAnsi="宋体" w:cs="宋体"/>
          <w:color w:val="auto"/>
          <w:szCs w:val="21"/>
        </w:rPr>
      </w:pPr>
      <w:r>
        <w:rPr>
          <w:rFonts w:hint="eastAsia" w:ascii="宋体" w:hAnsi="宋体" w:cs="宋体"/>
          <w:color w:val="auto"/>
          <w:szCs w:val="21"/>
        </w:rPr>
        <w:t>名 称：宁波市奉化区惠海地下管线投资有限公司</w:t>
      </w:r>
    </w:p>
    <w:p w14:paraId="38BC9AF4">
      <w:pPr>
        <w:shd w:val="clear"/>
        <w:spacing w:line="360" w:lineRule="auto"/>
        <w:ind w:firstLine="420"/>
        <w:rPr>
          <w:rFonts w:ascii="宋体" w:hAnsi="宋体" w:cs="宋体"/>
          <w:color w:val="auto"/>
          <w:szCs w:val="21"/>
        </w:rPr>
      </w:pPr>
      <w:r>
        <w:rPr>
          <w:rFonts w:hint="eastAsia" w:ascii="宋体" w:hAnsi="宋体" w:cs="宋体"/>
          <w:color w:val="auto"/>
          <w:szCs w:val="21"/>
        </w:rPr>
        <w:t>地 址：浙江省宁波市奉化区岳林街道中山东路518号金城大厦A座18楼</w:t>
      </w:r>
    </w:p>
    <w:p w14:paraId="7EC28D80">
      <w:pPr>
        <w:shd w:val="clear"/>
        <w:spacing w:line="360" w:lineRule="auto"/>
        <w:ind w:firstLine="420"/>
        <w:rPr>
          <w:rFonts w:ascii="宋体" w:hAnsi="宋体" w:cs="宋体"/>
          <w:color w:val="auto"/>
          <w:szCs w:val="21"/>
        </w:rPr>
      </w:pPr>
      <w:r>
        <w:rPr>
          <w:rFonts w:hint="eastAsia" w:ascii="宋体" w:hAnsi="宋体" w:cs="宋体"/>
          <w:color w:val="auto"/>
          <w:szCs w:val="21"/>
        </w:rPr>
        <w:t>传 真：/</w:t>
      </w:r>
    </w:p>
    <w:p w14:paraId="44C5D0EE">
      <w:pPr>
        <w:shd w:val="clear"/>
        <w:spacing w:line="360" w:lineRule="auto"/>
        <w:ind w:firstLine="420"/>
        <w:rPr>
          <w:rFonts w:ascii="宋体" w:hAnsi="宋体" w:cs="宋体"/>
          <w:color w:val="auto"/>
          <w:szCs w:val="21"/>
        </w:rPr>
      </w:pPr>
      <w:r>
        <w:rPr>
          <w:rFonts w:hint="eastAsia" w:ascii="宋体" w:hAnsi="宋体" w:cs="宋体"/>
          <w:color w:val="auto"/>
          <w:szCs w:val="21"/>
        </w:rPr>
        <w:t>项目联系人（询问）：袁工</w:t>
      </w:r>
    </w:p>
    <w:p w14:paraId="238E4299">
      <w:pPr>
        <w:shd w:val="clear"/>
        <w:spacing w:line="360" w:lineRule="auto"/>
        <w:ind w:firstLine="420"/>
        <w:rPr>
          <w:rFonts w:ascii="宋体" w:hAnsi="宋体" w:cs="宋体"/>
          <w:color w:val="auto"/>
          <w:szCs w:val="21"/>
        </w:rPr>
      </w:pPr>
      <w:r>
        <w:rPr>
          <w:rFonts w:hint="eastAsia" w:ascii="宋体" w:hAnsi="宋体" w:cs="宋体"/>
          <w:color w:val="auto"/>
          <w:szCs w:val="21"/>
        </w:rPr>
        <w:t>项目联系方式（询问）：0574-88523337</w:t>
      </w:r>
    </w:p>
    <w:p w14:paraId="6A226D79">
      <w:pPr>
        <w:shd w:val="clear"/>
        <w:spacing w:line="360" w:lineRule="auto"/>
        <w:ind w:firstLine="420"/>
        <w:rPr>
          <w:rFonts w:ascii="宋体" w:hAnsi="宋体" w:cs="宋体"/>
          <w:color w:val="auto"/>
          <w:szCs w:val="21"/>
        </w:rPr>
      </w:pPr>
      <w:r>
        <w:rPr>
          <w:rFonts w:hint="eastAsia" w:ascii="宋体" w:hAnsi="宋体" w:cs="宋体"/>
          <w:color w:val="auto"/>
          <w:szCs w:val="21"/>
        </w:rPr>
        <w:t>质疑联系人：陈工</w:t>
      </w:r>
    </w:p>
    <w:p w14:paraId="7EB7F5F1">
      <w:pPr>
        <w:shd w:val="clear"/>
        <w:spacing w:line="360" w:lineRule="auto"/>
        <w:ind w:firstLine="420"/>
        <w:rPr>
          <w:rFonts w:ascii="宋体" w:hAnsi="宋体" w:cs="宋体"/>
          <w:color w:val="auto"/>
          <w:szCs w:val="21"/>
        </w:rPr>
      </w:pPr>
      <w:r>
        <w:rPr>
          <w:rFonts w:hint="eastAsia" w:ascii="宋体" w:hAnsi="宋体" w:cs="宋体"/>
          <w:color w:val="auto"/>
          <w:szCs w:val="21"/>
        </w:rPr>
        <w:t xml:space="preserve">质疑联系方式：0574-88523337  </w:t>
      </w:r>
    </w:p>
    <w:p w14:paraId="207C59BE">
      <w:pPr>
        <w:shd w:val="clear"/>
        <w:spacing w:line="360" w:lineRule="auto"/>
        <w:rPr>
          <w:rFonts w:ascii="宋体" w:hAnsi="宋体" w:cs="宋体"/>
          <w:color w:val="auto"/>
          <w:szCs w:val="21"/>
        </w:rPr>
      </w:pPr>
      <w:r>
        <w:rPr>
          <w:rFonts w:hint="eastAsia" w:ascii="宋体" w:hAnsi="宋体" w:cs="宋体"/>
          <w:color w:val="auto"/>
          <w:szCs w:val="21"/>
        </w:rPr>
        <w:t xml:space="preserve">    2.采购代理机构信息            </w:t>
      </w:r>
    </w:p>
    <w:p w14:paraId="7C6867C2">
      <w:pPr>
        <w:shd w:val="clear"/>
        <w:spacing w:line="360" w:lineRule="auto"/>
        <w:ind w:firstLine="420"/>
        <w:rPr>
          <w:rFonts w:ascii="宋体" w:hAnsi="宋体" w:cs="宋体"/>
          <w:color w:val="auto"/>
          <w:szCs w:val="21"/>
        </w:rPr>
      </w:pPr>
      <w:r>
        <w:rPr>
          <w:rFonts w:hint="eastAsia" w:ascii="宋体" w:hAnsi="宋体" w:cs="宋体"/>
          <w:color w:val="auto"/>
          <w:szCs w:val="21"/>
        </w:rPr>
        <w:t>名 称：宁波敬信项目管理咨询有限公司</w:t>
      </w:r>
    </w:p>
    <w:p w14:paraId="775E4D8F">
      <w:pPr>
        <w:shd w:val="clear"/>
        <w:spacing w:line="360" w:lineRule="auto"/>
        <w:ind w:firstLine="420"/>
        <w:rPr>
          <w:rFonts w:ascii="宋体" w:hAnsi="宋体" w:cs="宋体"/>
          <w:color w:val="auto"/>
          <w:szCs w:val="21"/>
        </w:rPr>
      </w:pPr>
      <w:r>
        <w:rPr>
          <w:rFonts w:hint="eastAsia" w:ascii="宋体" w:hAnsi="宋体" w:cs="宋体"/>
          <w:color w:val="auto"/>
          <w:szCs w:val="21"/>
        </w:rPr>
        <w:t xml:space="preserve">地 址：宁波市奉化区岳林东路商业二16幢502室（惠政丽都北门）           </w:t>
      </w:r>
    </w:p>
    <w:p w14:paraId="1F8721F2">
      <w:pPr>
        <w:shd w:val="clear"/>
        <w:spacing w:line="360" w:lineRule="auto"/>
        <w:ind w:firstLine="420"/>
        <w:rPr>
          <w:rFonts w:ascii="宋体" w:hAnsi="宋体" w:cs="宋体"/>
          <w:color w:val="auto"/>
          <w:szCs w:val="21"/>
        </w:rPr>
      </w:pPr>
      <w:r>
        <w:rPr>
          <w:rFonts w:hint="eastAsia" w:ascii="宋体" w:hAnsi="宋体" w:cs="宋体"/>
          <w:color w:val="auto"/>
          <w:szCs w:val="21"/>
        </w:rPr>
        <w:t>项目联系人（询问）：丁先生</w:t>
      </w:r>
    </w:p>
    <w:p w14:paraId="312F07E1">
      <w:pPr>
        <w:shd w:val="clear"/>
        <w:spacing w:line="360" w:lineRule="auto"/>
        <w:ind w:firstLine="420"/>
        <w:rPr>
          <w:rFonts w:ascii="宋体" w:hAnsi="宋体" w:cs="宋体"/>
          <w:color w:val="auto"/>
          <w:szCs w:val="21"/>
        </w:rPr>
      </w:pPr>
      <w:r>
        <w:rPr>
          <w:rFonts w:hint="eastAsia" w:ascii="宋体" w:hAnsi="宋体" w:cs="宋体"/>
          <w:color w:val="auto"/>
          <w:szCs w:val="21"/>
        </w:rPr>
        <w:t>项目联系方式（询问）： 0574-88986381</w:t>
      </w:r>
    </w:p>
    <w:p w14:paraId="1E244216">
      <w:pPr>
        <w:shd w:val="clear"/>
        <w:spacing w:line="360" w:lineRule="auto"/>
        <w:ind w:firstLine="420"/>
        <w:rPr>
          <w:rFonts w:ascii="宋体" w:hAnsi="宋体" w:cs="宋体"/>
          <w:color w:val="auto"/>
          <w:szCs w:val="21"/>
        </w:rPr>
      </w:pPr>
      <w:r>
        <w:rPr>
          <w:rFonts w:hint="eastAsia" w:ascii="宋体" w:hAnsi="宋体" w:cs="宋体"/>
          <w:color w:val="auto"/>
          <w:szCs w:val="21"/>
        </w:rPr>
        <w:t xml:space="preserve">质疑联系人：唐先生  </w:t>
      </w:r>
    </w:p>
    <w:p w14:paraId="49B2EDA2">
      <w:pPr>
        <w:shd w:val="clear"/>
        <w:spacing w:line="360" w:lineRule="auto"/>
        <w:ind w:firstLine="420"/>
        <w:rPr>
          <w:rFonts w:ascii="宋体" w:hAnsi="宋体" w:cs="宋体"/>
          <w:color w:val="auto"/>
          <w:szCs w:val="21"/>
        </w:rPr>
      </w:pPr>
      <w:r>
        <w:rPr>
          <w:rFonts w:hint="eastAsia" w:ascii="宋体" w:hAnsi="宋体" w:cs="宋体"/>
          <w:color w:val="auto"/>
          <w:szCs w:val="21"/>
        </w:rPr>
        <w:t>质疑联系方式： 0574-88986379</w:t>
      </w:r>
    </w:p>
    <w:p w14:paraId="5904413A">
      <w:pPr>
        <w:pStyle w:val="11"/>
        <w:shd w:val="clear"/>
        <w:spacing w:line="440" w:lineRule="exact"/>
        <w:rPr>
          <w:rFonts w:ascii="宋体" w:hAnsi="宋体" w:cs="宋体"/>
          <w:color w:val="auto"/>
          <w:sz w:val="21"/>
        </w:rPr>
      </w:pPr>
      <w:r>
        <w:rPr>
          <w:rFonts w:hint="eastAsia" w:ascii="宋体" w:hAnsi="宋体" w:cs="宋体"/>
          <w:color w:val="auto"/>
          <w:sz w:val="21"/>
        </w:rPr>
        <w:t xml:space="preserve">    3.同级监督管理部门            </w:t>
      </w:r>
    </w:p>
    <w:p w14:paraId="2C967745">
      <w:pPr>
        <w:shd w:val="clear"/>
        <w:spacing w:line="440" w:lineRule="exact"/>
        <w:rPr>
          <w:rFonts w:ascii="宋体" w:hAnsi="宋体" w:cs="宋体"/>
          <w:color w:val="auto"/>
          <w:szCs w:val="21"/>
        </w:rPr>
      </w:pPr>
      <w:r>
        <w:rPr>
          <w:rFonts w:hint="eastAsia" w:ascii="宋体" w:hAnsi="宋体" w:cs="宋体"/>
          <w:color w:val="auto"/>
          <w:szCs w:val="21"/>
        </w:rPr>
        <w:t xml:space="preserve">    名    称：</w:t>
      </w:r>
      <w:r>
        <w:rPr>
          <w:rFonts w:hint="eastAsia" w:ascii="宋体" w:hAnsi="宋体" w:cs="宋体"/>
          <w:bCs/>
          <w:color w:val="auto"/>
          <w:szCs w:val="21"/>
        </w:rPr>
        <w:t xml:space="preserve">宁波市奉化区城市开发建设集团有限公司纪检监察室  </w:t>
      </w:r>
    </w:p>
    <w:p w14:paraId="70E24440">
      <w:pPr>
        <w:shd w:val="clear"/>
        <w:spacing w:line="440" w:lineRule="exact"/>
        <w:rPr>
          <w:rFonts w:ascii="宋体" w:hAnsi="宋体" w:cs="宋体"/>
          <w:color w:val="auto"/>
          <w:szCs w:val="21"/>
        </w:rPr>
      </w:pPr>
      <w:r>
        <w:rPr>
          <w:rFonts w:hint="eastAsia" w:ascii="宋体" w:hAnsi="宋体" w:cs="宋体"/>
          <w:color w:val="auto"/>
          <w:szCs w:val="21"/>
        </w:rPr>
        <w:t xml:space="preserve">    地    址：</w:t>
      </w:r>
      <w:r>
        <w:rPr>
          <w:rFonts w:hint="eastAsia" w:ascii="宋体" w:hAnsi="宋体" w:cs="宋体"/>
          <w:bCs/>
          <w:color w:val="auto"/>
          <w:szCs w:val="21"/>
        </w:rPr>
        <w:t>宁波市奉化区中山东路 518 号金城大厦 B 座</w:t>
      </w:r>
    </w:p>
    <w:p w14:paraId="58DAA3B6">
      <w:pPr>
        <w:shd w:val="clear"/>
        <w:spacing w:line="440" w:lineRule="exact"/>
        <w:rPr>
          <w:rFonts w:ascii="宋体" w:hAnsi="宋体" w:cs="宋体"/>
          <w:color w:val="auto"/>
          <w:szCs w:val="21"/>
        </w:rPr>
      </w:pPr>
      <w:r>
        <w:rPr>
          <w:rFonts w:hint="eastAsia" w:ascii="宋体" w:hAnsi="宋体" w:cs="宋体"/>
          <w:color w:val="auto"/>
          <w:szCs w:val="21"/>
        </w:rPr>
        <w:t xml:space="preserve">    联 系 人 ：</w:t>
      </w:r>
      <w:r>
        <w:rPr>
          <w:rFonts w:hint="eastAsia" w:ascii="宋体" w:hAnsi="宋体" w:cs="宋体"/>
          <w:bCs/>
          <w:color w:val="auto"/>
          <w:szCs w:val="21"/>
        </w:rPr>
        <w:t>应女士</w:t>
      </w:r>
    </w:p>
    <w:p w14:paraId="15CD81D3">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监督投诉电话： </w:t>
      </w:r>
      <w:r>
        <w:rPr>
          <w:rFonts w:ascii="宋体" w:hAnsi="宋体" w:cs="宋体"/>
          <w:bCs/>
          <w:color w:val="auto"/>
          <w:szCs w:val="21"/>
        </w:rPr>
        <w:t>0574-88680587</w:t>
      </w:r>
      <w:r>
        <w:rPr>
          <w:rFonts w:hint="eastAsia" w:ascii="宋体" w:hAnsi="宋体" w:cs="宋体"/>
          <w:color w:val="auto"/>
          <w:szCs w:val="21"/>
        </w:rPr>
        <w:t xml:space="preserve">         </w:t>
      </w:r>
    </w:p>
    <w:p w14:paraId="1F58D2F2">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若对项目采购电子交易系统操作有疑问，可登录乐采云（https://www.lecaiyun.com/），点击右侧咨询小采，获取采小蜜智能服务管家帮助，或拨打乐采云服务热线95763获取热线服务帮助。</w:t>
      </w:r>
    </w:p>
    <w:p w14:paraId="753046B6">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CA问题联系电话（人工）：汇信CA 400-888-4636；天谷CA 400-087-8198。</w:t>
      </w:r>
    </w:p>
    <w:p w14:paraId="7FA2A950">
      <w:pPr>
        <w:shd w:val="clear"/>
        <w:ind w:firstLine="723"/>
        <w:rPr>
          <w:rFonts w:asciiTheme="minorEastAsia" w:hAnsiTheme="minorEastAsia" w:eastAsiaTheme="minorEastAsia" w:cstheme="minorEastAsia"/>
          <w:b/>
          <w:color w:val="auto"/>
          <w:sz w:val="36"/>
          <w:szCs w:val="20"/>
        </w:rPr>
      </w:pPr>
      <w:r>
        <w:rPr>
          <w:rFonts w:asciiTheme="minorEastAsia" w:hAnsiTheme="minorEastAsia" w:eastAsiaTheme="minorEastAsia" w:cstheme="minorEastAsia"/>
          <w:b/>
          <w:color w:val="auto"/>
          <w:sz w:val="36"/>
          <w:szCs w:val="20"/>
        </w:rPr>
        <w:br w:type="page"/>
      </w:r>
    </w:p>
    <w:p w14:paraId="0CBBEC09">
      <w:pPr>
        <w:shd w:val="clear"/>
        <w:ind w:firstLine="723"/>
        <w:jc w:val="center"/>
        <w:rPr>
          <w:rFonts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第二部分</w:t>
      </w:r>
      <w:bookmarkEnd w:id="10"/>
      <w:r>
        <w:rPr>
          <w:rFonts w:hint="eastAsia" w:asciiTheme="minorEastAsia" w:hAnsiTheme="minorEastAsia" w:eastAsiaTheme="minorEastAsia" w:cstheme="minorEastAsia"/>
          <w:b/>
          <w:color w:val="auto"/>
          <w:sz w:val="36"/>
          <w:szCs w:val="20"/>
        </w:rPr>
        <w:t xml:space="preserve"> 响应须知</w:t>
      </w:r>
      <w:bookmarkEnd w:id="11"/>
    </w:p>
    <w:p w14:paraId="0CF26243">
      <w:pPr>
        <w:shd w:val="clear"/>
        <w:snapToGrid w:val="0"/>
        <w:spacing w:line="360" w:lineRule="auto"/>
        <w:ind w:firstLine="643"/>
        <w:jc w:val="center"/>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前附表</w:t>
      </w:r>
    </w:p>
    <w:tbl>
      <w:tblPr>
        <w:tblStyle w:val="27"/>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7DE64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B3C0094">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CBCC6CC">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382C3D93">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本项目的特别规定</w:t>
            </w:r>
          </w:p>
        </w:tc>
      </w:tr>
      <w:tr w14:paraId="45382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0952450B">
            <w:pPr>
              <w:shd w:val="clear"/>
              <w:snapToGrid w:val="0"/>
              <w:spacing w:line="440" w:lineRule="exact"/>
              <w:jc w:val="center"/>
              <w:rPr>
                <w:rFonts w:ascii="宋体" w:hAnsi="宋体" w:cs="宋体"/>
                <w:color w:val="auto"/>
                <w:szCs w:val="21"/>
              </w:rPr>
            </w:pPr>
          </w:p>
          <w:p w14:paraId="32937FE0">
            <w:pPr>
              <w:shd w:val="clear"/>
              <w:snapToGrid w:val="0"/>
              <w:spacing w:line="440" w:lineRule="exact"/>
              <w:jc w:val="center"/>
              <w:rPr>
                <w:rFonts w:ascii="宋体" w:hAnsi="宋体" w:cs="宋体"/>
                <w:color w:val="auto"/>
                <w:szCs w:val="21"/>
              </w:rPr>
            </w:pPr>
          </w:p>
          <w:p w14:paraId="4B2E662B">
            <w:pPr>
              <w:shd w:val="clear"/>
              <w:snapToGrid w:val="0"/>
              <w:spacing w:line="440" w:lineRule="exact"/>
              <w:jc w:val="center"/>
              <w:rPr>
                <w:rFonts w:ascii="宋体" w:hAnsi="宋体" w:cs="宋体"/>
                <w:color w:val="auto"/>
                <w:szCs w:val="21"/>
              </w:rPr>
            </w:pPr>
          </w:p>
          <w:p w14:paraId="7D1A6CD7">
            <w:pPr>
              <w:shd w:val="clear"/>
              <w:snapToGrid w:val="0"/>
              <w:spacing w:line="440" w:lineRule="exact"/>
              <w:jc w:val="center"/>
              <w:rPr>
                <w:rFonts w:ascii="宋体" w:hAnsi="宋体" w:cs="宋体"/>
                <w:color w:val="auto"/>
                <w:szCs w:val="21"/>
              </w:rPr>
            </w:pPr>
          </w:p>
          <w:p w14:paraId="36975473">
            <w:pPr>
              <w:shd w:val="clear"/>
              <w:snapToGrid w:val="0"/>
              <w:spacing w:line="440" w:lineRule="exact"/>
              <w:jc w:val="center"/>
              <w:rPr>
                <w:rFonts w:ascii="宋体" w:hAnsi="宋体" w:cs="宋体"/>
                <w:color w:val="auto"/>
                <w:szCs w:val="21"/>
              </w:rPr>
            </w:pPr>
          </w:p>
          <w:p w14:paraId="39783B63">
            <w:pPr>
              <w:shd w:val="clear"/>
              <w:snapToGrid w:val="0"/>
              <w:spacing w:line="440" w:lineRule="exact"/>
              <w:jc w:val="center"/>
              <w:rPr>
                <w:rFonts w:ascii="宋体" w:hAnsi="宋体" w:cs="宋体"/>
                <w:color w:val="auto"/>
                <w:szCs w:val="21"/>
              </w:rPr>
            </w:pPr>
            <w:r>
              <w:rPr>
                <w:rFonts w:hint="eastAsia" w:ascii="宋体" w:hAnsi="宋体" w:cs="宋体"/>
                <w:color w:val="auto"/>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9572BAA">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0E19FCF4">
            <w:pPr>
              <w:shd w:val="clear"/>
              <w:snapToGrid w:val="0"/>
              <w:spacing w:line="440" w:lineRule="exact"/>
              <w:rPr>
                <w:rFonts w:ascii="宋体" w:hAnsi="宋体" w:cs="宋体"/>
                <w:b/>
                <w:color w:val="auto"/>
                <w:kern w:val="0"/>
                <w:szCs w:val="21"/>
                <w:lang w:val="zh-CN"/>
              </w:rPr>
            </w:pPr>
            <w:r>
              <w:rPr>
                <w:rFonts w:hint="eastAsia" w:ascii="宋体" w:hAnsi="宋体" w:cs="宋体"/>
                <w:color w:val="auto"/>
                <w:kern w:val="0"/>
                <w:szCs w:val="21"/>
                <w:lang w:val="zh-CN"/>
              </w:rPr>
              <w:t>有关本项目实施所需的所有费用（含税费）均计入报价。</w:t>
            </w:r>
            <w:r>
              <w:rPr>
                <w:rFonts w:hint="eastAsia" w:ascii="宋体" w:hAnsi="宋体" w:cs="宋体"/>
                <w:color w:val="auto"/>
                <w:szCs w:val="21"/>
              </w:rPr>
              <w:t>报价一览表是报价的唯一载体</w:t>
            </w:r>
            <w:r>
              <w:rPr>
                <w:rFonts w:hint="eastAsia" w:ascii="宋体" w:hAnsi="宋体" w:cs="宋体"/>
                <w:color w:val="auto"/>
                <w:kern w:val="0"/>
                <w:szCs w:val="21"/>
                <w:lang w:val="zh-CN"/>
              </w:rPr>
              <w:t>。</w:t>
            </w:r>
            <w:r>
              <w:rPr>
                <w:rFonts w:hint="eastAsia" w:ascii="宋体" w:hAnsi="宋体" w:cs="宋体"/>
                <w:b/>
                <w:color w:val="auto"/>
                <w:kern w:val="0"/>
                <w:szCs w:val="21"/>
                <w:lang w:val="zh-CN"/>
              </w:rPr>
              <w:t>响应文件中价格采用综合折扣率报价</w:t>
            </w:r>
            <w:r>
              <w:rPr>
                <w:rFonts w:hint="eastAsia" w:ascii="宋体" w:hAnsi="宋体" w:cs="宋体"/>
                <w:color w:val="auto"/>
                <w:kern w:val="0"/>
                <w:szCs w:val="21"/>
                <w:lang w:val="zh-CN"/>
              </w:rPr>
              <w:t>。</w:t>
            </w:r>
          </w:p>
          <w:p w14:paraId="4F9A507B">
            <w:pPr>
              <w:shd w:val="clear"/>
              <w:snapToGrid w:val="0"/>
              <w:spacing w:line="440" w:lineRule="exact"/>
              <w:rPr>
                <w:rFonts w:ascii="宋体" w:hAnsi="宋体" w:cs="宋体"/>
                <w:b/>
                <w:color w:val="auto"/>
                <w:kern w:val="0"/>
                <w:szCs w:val="21"/>
                <w:lang w:val="zh-CN"/>
              </w:rPr>
            </w:pPr>
            <w:r>
              <w:rPr>
                <w:rFonts w:hint="eastAsia" w:ascii="宋体" w:hAnsi="宋体" w:cs="宋体"/>
                <w:b/>
                <w:color w:val="auto"/>
                <w:kern w:val="0"/>
                <w:szCs w:val="21"/>
                <w:lang w:val="zh-CN"/>
              </w:rPr>
              <w:t>响应报价出现下列情形的，响应无效：</w:t>
            </w:r>
          </w:p>
          <w:p w14:paraId="24A6C03D">
            <w:pPr>
              <w:shd w:val="clear"/>
              <w:snapToGrid w:val="0"/>
              <w:spacing w:line="440" w:lineRule="exact"/>
              <w:rPr>
                <w:rFonts w:ascii="宋体" w:hAnsi="宋体" w:cs="宋体"/>
                <w:b/>
                <w:color w:val="auto"/>
                <w:kern w:val="0"/>
                <w:szCs w:val="21"/>
                <w:lang w:val="zh-CN"/>
              </w:rPr>
            </w:pPr>
            <w:r>
              <w:rPr>
                <w:rFonts w:hint="eastAsia" w:ascii="宋体" w:hAnsi="宋体" w:cs="宋体"/>
                <w:b/>
                <w:color w:val="auto"/>
                <w:kern w:val="0"/>
                <w:szCs w:val="21"/>
                <w:lang w:val="zh-CN"/>
              </w:rPr>
              <w:t>响应文件出现不是唯一的、有选择性响应报价的；</w:t>
            </w:r>
          </w:p>
          <w:p w14:paraId="3151540C">
            <w:pPr>
              <w:shd w:val="clear"/>
              <w:snapToGrid w:val="0"/>
              <w:spacing w:line="440" w:lineRule="exact"/>
              <w:rPr>
                <w:rFonts w:ascii="宋体" w:hAnsi="宋体" w:cs="宋体"/>
                <w:color w:val="auto"/>
                <w:kern w:val="0"/>
                <w:szCs w:val="21"/>
                <w:lang w:val="zh-CN"/>
              </w:rPr>
            </w:pPr>
            <w:r>
              <w:rPr>
                <w:rFonts w:hint="eastAsia" w:ascii="宋体" w:hAnsi="宋体" w:cs="宋体"/>
                <w:b/>
                <w:color w:val="auto"/>
                <w:kern w:val="0"/>
                <w:szCs w:val="21"/>
                <w:lang w:val="zh-CN"/>
              </w:rPr>
              <w:t>响应报价超过采购文件中规定的最高综合折扣率的；</w:t>
            </w:r>
          </w:p>
          <w:p w14:paraId="1815FDC5">
            <w:pPr>
              <w:shd w:val="clear"/>
              <w:spacing w:line="440" w:lineRule="exact"/>
              <w:rPr>
                <w:rFonts w:ascii="宋体" w:hAnsi="宋体" w:cs="宋体"/>
                <w:b/>
                <w:color w:val="auto"/>
                <w:szCs w:val="21"/>
              </w:rPr>
            </w:pPr>
            <w:r>
              <w:rPr>
                <w:rFonts w:hint="eastAsia" w:ascii="宋体" w:hAnsi="宋体" w:cs="宋体"/>
                <w:b/>
                <w:color w:val="auto"/>
                <w:kern w:val="0"/>
                <w:szCs w:val="21"/>
              </w:rPr>
              <w:t>报价明显低于其他通过符合性审查供应商的报价，有可能影响服务质量或者不能诚信履约的，未能按要求提供书面说明或者提交相关证明材料证明其报价合理性的</w:t>
            </w:r>
            <w:r>
              <w:rPr>
                <w:rFonts w:hint="eastAsia" w:ascii="宋体" w:hAnsi="宋体" w:cs="宋体"/>
                <w:b/>
                <w:color w:val="auto"/>
                <w:szCs w:val="21"/>
              </w:rPr>
              <w:t>;</w:t>
            </w:r>
          </w:p>
          <w:p w14:paraId="7D87D70F">
            <w:pPr>
              <w:shd w:val="clear"/>
              <w:spacing w:line="440" w:lineRule="exact"/>
              <w:rPr>
                <w:rFonts w:ascii="宋体" w:hAnsi="宋体" w:cs="宋体"/>
                <w:color w:val="auto"/>
                <w:szCs w:val="21"/>
              </w:rPr>
            </w:pPr>
            <w:r>
              <w:rPr>
                <w:rFonts w:hint="eastAsia" w:ascii="宋体" w:hAnsi="宋体" w:cs="宋体"/>
                <w:b/>
                <w:color w:val="auto"/>
                <w:kern w:val="0"/>
                <w:szCs w:val="21"/>
              </w:rPr>
              <w:t>供应商对根据修正原则修正后的报价不确认的</w:t>
            </w:r>
            <w:r>
              <w:rPr>
                <w:rFonts w:hint="eastAsia" w:ascii="宋体" w:hAnsi="宋体" w:cs="宋体"/>
                <w:b/>
                <w:color w:val="auto"/>
                <w:szCs w:val="21"/>
              </w:rPr>
              <w:t>。</w:t>
            </w:r>
          </w:p>
        </w:tc>
      </w:tr>
      <w:tr w14:paraId="6E419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04F79F">
            <w:pPr>
              <w:shd w:val="clear"/>
              <w:snapToGrid w:val="0"/>
              <w:spacing w:line="440" w:lineRule="exact"/>
              <w:jc w:val="center"/>
              <w:rPr>
                <w:rFonts w:ascii="宋体" w:hAnsi="宋体" w:cs="宋体"/>
                <w:color w:val="auto"/>
                <w:szCs w:val="21"/>
              </w:rPr>
            </w:pPr>
            <w:r>
              <w:rPr>
                <w:rFonts w:hint="eastAsia" w:ascii="宋体" w:hAnsi="宋体" w:cs="宋体"/>
                <w:color w:val="auto"/>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83CB574">
            <w:pPr>
              <w:shd w:val="clear"/>
              <w:snapToGrid w:val="0"/>
              <w:spacing w:line="440" w:lineRule="exact"/>
              <w:rPr>
                <w:rFonts w:ascii="宋体" w:hAnsi="宋体" w:cs="宋体"/>
                <w:b/>
                <w:color w:val="auto"/>
                <w:szCs w:val="21"/>
              </w:rPr>
            </w:pPr>
            <w:r>
              <w:rPr>
                <w:rFonts w:hint="eastAsia" w:ascii="宋体" w:hAnsi="宋体" w:cs="宋体"/>
                <w:b/>
                <w:color w:val="auto"/>
                <w:szCs w:val="21"/>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74845106">
            <w:pPr>
              <w:shd w:val="clear"/>
              <w:spacing w:line="440" w:lineRule="exact"/>
              <w:rPr>
                <w:rFonts w:ascii="宋体" w:hAnsi="宋体" w:cs="宋体"/>
                <w:color w:val="auto"/>
                <w:szCs w:val="21"/>
              </w:rPr>
            </w:pPr>
            <w:r>
              <w:rPr>
                <w:rFonts w:hint="eastAsia" w:ascii="宋体" w:hAnsi="宋体" w:cs="宋体"/>
                <w:color w:val="auto"/>
                <w:szCs w:val="21"/>
              </w:rPr>
              <w:t>不同意分包。</w:t>
            </w:r>
          </w:p>
        </w:tc>
      </w:tr>
      <w:tr w14:paraId="7F92C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9CCD29">
            <w:pPr>
              <w:shd w:val="clear"/>
              <w:snapToGrid w:val="0"/>
              <w:spacing w:line="440" w:lineRule="exact"/>
              <w:jc w:val="center"/>
              <w:rPr>
                <w:rFonts w:ascii="宋体" w:hAnsi="宋体" w:cs="宋体"/>
                <w:color w:val="auto"/>
                <w:szCs w:val="21"/>
              </w:rPr>
            </w:pPr>
            <w:r>
              <w:rPr>
                <w:rFonts w:hint="eastAsia" w:ascii="宋体" w:hAnsi="宋体" w:cs="宋体"/>
                <w:color w:val="auto"/>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F7773B3">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09BB6AAC">
            <w:pPr>
              <w:shd w:val="clear"/>
              <w:spacing w:line="440" w:lineRule="exact"/>
              <w:rPr>
                <w:rFonts w:ascii="宋体" w:hAnsi="宋体" w:cs="宋体"/>
                <w:color w:val="auto"/>
                <w:szCs w:val="21"/>
              </w:rPr>
            </w:pPr>
            <w:r>
              <w:rPr>
                <w:rFonts w:hint="eastAsia" w:ascii="宋体" w:hAnsi="宋体" w:cs="宋体"/>
                <w:color w:val="auto"/>
                <w:szCs w:val="21"/>
              </w:rPr>
              <w:t>资格证明文件：见采购文件第二部分9.1。</w:t>
            </w:r>
          </w:p>
          <w:p w14:paraId="7F501906">
            <w:pPr>
              <w:shd w:val="clear"/>
              <w:spacing w:line="440" w:lineRule="exact"/>
              <w:rPr>
                <w:rFonts w:ascii="宋体" w:hAnsi="宋体" w:cs="宋体"/>
                <w:color w:val="auto"/>
                <w:kern w:val="0"/>
                <w:szCs w:val="21"/>
              </w:rPr>
            </w:pPr>
            <w:r>
              <w:rPr>
                <w:rFonts w:hint="eastAsia" w:ascii="宋体" w:hAnsi="宋体" w:cs="宋体"/>
                <w:color w:val="auto"/>
                <w:szCs w:val="21"/>
              </w:rPr>
              <w:t>资格证明文件不全的或者不符合采购文件标明的资格要求的</w:t>
            </w:r>
            <w:r>
              <w:rPr>
                <w:rFonts w:hint="eastAsia" w:ascii="宋体" w:hAnsi="宋体" w:cs="宋体"/>
                <w:color w:val="auto"/>
                <w:szCs w:val="21"/>
                <w:lang w:val="zh-CN"/>
              </w:rPr>
              <w:t>，视为供应商不具备采购文件中规定的资格要求，响应无效。</w:t>
            </w:r>
          </w:p>
        </w:tc>
      </w:tr>
      <w:tr w14:paraId="1FAAD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31717493">
            <w:pPr>
              <w:shd w:val="clear"/>
              <w:snapToGrid w:val="0"/>
              <w:spacing w:line="440" w:lineRule="exact"/>
              <w:rPr>
                <w:rFonts w:ascii="宋体" w:hAnsi="宋体" w:cs="宋体"/>
                <w:color w:val="auto"/>
                <w:szCs w:val="21"/>
              </w:rPr>
            </w:pPr>
            <w:r>
              <w:rPr>
                <w:rFonts w:hint="eastAsia" w:ascii="宋体" w:hAnsi="宋体" w:cs="宋体"/>
                <w:color w:val="auto"/>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5CC1D1A">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3E737C4C">
            <w:pPr>
              <w:shd w:val="clear"/>
              <w:spacing w:line="440" w:lineRule="exact"/>
              <w:rPr>
                <w:rFonts w:ascii="宋体" w:hAnsi="宋体" w:cs="宋体"/>
                <w:color w:val="auto"/>
                <w:szCs w:val="21"/>
              </w:rPr>
            </w:pPr>
            <w:r>
              <w:rPr>
                <w:rFonts w:hint="eastAsia" w:ascii="宋体" w:hAnsi="宋体" w:cs="宋体"/>
                <w:color w:val="auto"/>
                <w:szCs w:val="21"/>
              </w:rPr>
              <w:t>不组织</w:t>
            </w:r>
          </w:p>
        </w:tc>
      </w:tr>
      <w:tr w14:paraId="2071F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C99C36">
            <w:pPr>
              <w:shd w:val="clear"/>
              <w:snapToGrid w:val="0"/>
              <w:spacing w:line="440" w:lineRule="exact"/>
              <w:jc w:val="center"/>
              <w:rPr>
                <w:rFonts w:ascii="宋体" w:hAnsi="宋体" w:cs="宋体"/>
                <w:color w:val="auto"/>
                <w:szCs w:val="21"/>
              </w:rPr>
            </w:pPr>
            <w:r>
              <w:rPr>
                <w:rFonts w:hint="eastAsia" w:ascii="宋体" w:hAnsi="宋体" w:cs="宋体"/>
                <w:color w:val="auto"/>
                <w:szCs w:val="21"/>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43C581FF">
            <w:pPr>
              <w:shd w:val="clear"/>
              <w:snapToGrid w:val="0"/>
              <w:spacing w:line="440" w:lineRule="exact"/>
              <w:jc w:val="center"/>
              <w:rPr>
                <w:rFonts w:ascii="宋体" w:hAnsi="宋体" w:cs="宋体"/>
                <w:bCs/>
                <w:color w:val="auto"/>
                <w:szCs w:val="21"/>
              </w:rPr>
            </w:pPr>
            <w:r>
              <w:rPr>
                <w:rFonts w:hint="eastAsia" w:ascii="宋体" w:hAnsi="宋体" w:cs="宋体"/>
                <w:b/>
                <w:color w:val="auto"/>
                <w:szCs w:val="21"/>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66CF0412">
            <w:pPr>
              <w:shd w:val="clear"/>
              <w:spacing w:line="440" w:lineRule="exact"/>
              <w:rPr>
                <w:rFonts w:ascii="宋体" w:hAnsi="宋体" w:cs="宋体"/>
                <w:color w:val="auto"/>
                <w:szCs w:val="21"/>
              </w:rPr>
            </w:pPr>
            <w:r>
              <w:rPr>
                <w:rFonts w:hint="eastAsia" w:ascii="宋体" w:hAnsi="宋体" w:cs="宋体"/>
                <w:color w:val="auto"/>
                <w:szCs w:val="21"/>
              </w:rPr>
              <w:t>不组织。</w:t>
            </w:r>
          </w:p>
        </w:tc>
      </w:tr>
      <w:tr w14:paraId="4A76C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D56C9FB">
            <w:pPr>
              <w:shd w:val="clear"/>
              <w:snapToGrid w:val="0"/>
              <w:spacing w:line="440" w:lineRule="exact"/>
              <w:jc w:val="center"/>
              <w:rPr>
                <w:rFonts w:ascii="宋体" w:hAnsi="宋体" w:cs="宋体"/>
                <w:color w:val="auto"/>
                <w:szCs w:val="21"/>
              </w:rPr>
            </w:pPr>
            <w:r>
              <w:rPr>
                <w:rFonts w:hint="eastAsia" w:ascii="宋体" w:hAnsi="宋体" w:cs="宋体"/>
                <w:color w:val="auto"/>
                <w:szCs w:val="21"/>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8E32FE3">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68E92BDE">
            <w:pPr>
              <w:shd w:val="clear"/>
              <w:snapToGrid w:val="0"/>
              <w:spacing w:line="440" w:lineRule="exact"/>
              <w:rPr>
                <w:rFonts w:ascii="宋体" w:hAnsi="宋体" w:cs="宋体"/>
                <w:color w:val="auto"/>
                <w:kern w:val="0"/>
                <w:szCs w:val="21"/>
              </w:rPr>
            </w:pPr>
            <w:r>
              <w:rPr>
                <w:rFonts w:hint="eastAsia" w:ascii="宋体" w:hAnsi="宋体" w:cs="宋体"/>
                <w:color w:val="auto"/>
                <w:kern w:val="0"/>
                <w:szCs w:val="21"/>
              </w:rPr>
              <w:t>标的：</w:t>
            </w:r>
            <w:r>
              <w:rPr>
                <w:rFonts w:hint="eastAsia" w:ascii="宋体" w:hAnsi="宋体" w:cs="宋体"/>
                <w:bCs/>
                <w:snapToGrid w:val="0"/>
                <w:color w:val="auto"/>
                <w:szCs w:val="21"/>
                <w:u w:val="single"/>
              </w:rPr>
              <w:t>弥勒文化博物馆项目-电力迁改工程（土建部分）</w:t>
            </w:r>
            <w:r>
              <w:rPr>
                <w:rFonts w:hint="eastAsia" w:ascii="宋体" w:hAnsi="宋体" w:cs="宋体"/>
                <w:color w:val="auto"/>
                <w:kern w:val="0"/>
                <w:szCs w:val="21"/>
              </w:rPr>
              <w:t>，属于</w:t>
            </w:r>
            <w:r>
              <w:rPr>
                <w:rFonts w:hint="eastAsia" w:ascii="宋体" w:hAnsi="宋体" w:cs="宋体"/>
                <w:color w:val="auto"/>
                <w:kern w:val="0"/>
                <w:szCs w:val="21"/>
                <w:u w:val="single"/>
              </w:rPr>
              <w:t>建筑</w:t>
            </w:r>
            <w:r>
              <w:rPr>
                <w:rFonts w:hint="eastAsia" w:ascii="宋体" w:hAnsi="宋体" w:cs="宋体"/>
                <w:color w:val="auto"/>
                <w:kern w:val="0"/>
                <w:szCs w:val="21"/>
              </w:rPr>
              <w:t>行业；</w:t>
            </w:r>
          </w:p>
        </w:tc>
      </w:tr>
      <w:tr w14:paraId="72B1F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3DD9FE8E">
            <w:pPr>
              <w:shd w:val="clear"/>
              <w:snapToGrid w:val="0"/>
              <w:spacing w:line="440" w:lineRule="exact"/>
              <w:jc w:val="center"/>
              <w:rPr>
                <w:rFonts w:ascii="宋体" w:hAnsi="宋体" w:cs="宋体"/>
                <w:color w:val="auto"/>
                <w:szCs w:val="21"/>
              </w:rPr>
            </w:pPr>
            <w:r>
              <w:rPr>
                <w:rFonts w:hint="eastAsia" w:ascii="宋体" w:hAnsi="宋体" w:cs="宋体"/>
                <w:color w:val="auto"/>
                <w:szCs w:val="21"/>
              </w:rPr>
              <w:t>7</w:t>
            </w:r>
          </w:p>
        </w:tc>
        <w:tc>
          <w:tcPr>
            <w:tcW w:w="1843" w:type="dxa"/>
            <w:tcBorders>
              <w:top w:val="single" w:color="000000" w:sz="8" w:space="0"/>
              <w:left w:val="single" w:color="000000" w:sz="2" w:space="0"/>
              <w:right w:val="single" w:color="000000" w:sz="8" w:space="0"/>
            </w:tcBorders>
            <w:vAlign w:val="center"/>
          </w:tcPr>
          <w:p w14:paraId="4EA81C6F">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24FFCBCB">
            <w:pPr>
              <w:shd w:val="clear"/>
              <w:spacing w:line="440" w:lineRule="exact"/>
              <w:rPr>
                <w:rFonts w:ascii="宋体" w:hAnsi="宋体" w:cs="宋体"/>
                <w:snapToGrid w:val="0"/>
                <w:color w:val="auto"/>
                <w:kern w:val="28"/>
                <w:szCs w:val="21"/>
              </w:rPr>
            </w:pPr>
            <w:r>
              <w:rPr>
                <w:rFonts w:hint="eastAsia" w:ascii="宋体" w:hAnsi="宋体" w:cs="宋体"/>
                <w:snapToGrid w:val="0"/>
                <w:color w:val="auto"/>
                <w:kern w:val="28"/>
                <w:szCs w:val="21"/>
              </w:rPr>
              <w:t>参照国家发改委发改办价格[2003]857号通知和原国家计委计价格[2002]1980号文件规定的工程招标费率标准*0.8收取代理服务费，按照成交通知书确定的成交总金额，向成交人收取代理服务费。成交人应在本公司发出成交通知书5个工作日内向本采购代理机构支付代理服务费。代理服务费只收现金、银行票汇款、电汇款。</w:t>
            </w:r>
          </w:p>
        </w:tc>
      </w:tr>
    </w:tbl>
    <w:p w14:paraId="1FB0CC3D">
      <w:pPr>
        <w:shd w:val="clear"/>
        <w:snapToGrid w:val="0"/>
        <w:spacing w:line="360" w:lineRule="auto"/>
        <w:ind w:firstLine="643"/>
        <w:jc w:val="center"/>
        <w:rPr>
          <w:rFonts w:asciiTheme="minorEastAsia" w:hAnsiTheme="minorEastAsia" w:eastAsiaTheme="minorEastAsia" w:cstheme="minorEastAsia"/>
          <w:b/>
          <w:color w:val="auto"/>
          <w:sz w:val="32"/>
          <w:szCs w:val="20"/>
        </w:rPr>
      </w:pPr>
    </w:p>
    <w:p w14:paraId="0213D386">
      <w:pPr>
        <w:pStyle w:val="2"/>
        <w:shd w:val="clear"/>
        <w:rPr>
          <w:color w:val="auto"/>
        </w:rPr>
      </w:pPr>
      <w:r>
        <w:rPr>
          <w:color w:val="auto"/>
        </w:rPr>
        <w:br w:type="page"/>
      </w:r>
    </w:p>
    <w:bookmarkEnd w:id="12"/>
    <w:p w14:paraId="214D6C5C">
      <w:pPr>
        <w:shd w:val="clear"/>
        <w:spacing w:line="360" w:lineRule="auto"/>
        <w:ind w:firstLine="3845" w:firstLineChars="1197"/>
        <w:outlineLvl w:val="0"/>
        <w:rPr>
          <w:rFonts w:asciiTheme="minorEastAsia" w:hAnsiTheme="minorEastAsia" w:eastAsiaTheme="minorEastAsia" w:cstheme="minorEastAsia"/>
          <w:b/>
          <w:color w:val="auto"/>
          <w:sz w:val="32"/>
          <w:szCs w:val="20"/>
        </w:rPr>
      </w:pPr>
      <w:bookmarkStart w:id="23" w:name="第三部分"/>
      <w:bookmarkStart w:id="24" w:name="_Toc164416483"/>
      <w:bookmarkStart w:id="25" w:name="第四部分"/>
      <w:r>
        <w:rPr>
          <w:rFonts w:hint="eastAsia" w:asciiTheme="minorEastAsia" w:hAnsiTheme="minorEastAsia" w:eastAsiaTheme="minorEastAsia" w:cstheme="minorEastAsia"/>
          <w:b/>
          <w:color w:val="auto"/>
          <w:sz w:val="32"/>
          <w:szCs w:val="20"/>
        </w:rPr>
        <w:t>一、总则</w:t>
      </w:r>
    </w:p>
    <w:p w14:paraId="0EEF6438">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适用范围</w:t>
      </w:r>
    </w:p>
    <w:p w14:paraId="4DEAA1F6">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本竞争性磋商文件适用于该项目的采购、响应、响应文件开启、资格审查及信用信息查询、评审、成交供应商确定、合同、验收等行为（法律、法规另有规定的，从其规定）。</w:t>
      </w:r>
    </w:p>
    <w:p w14:paraId="0B69481D">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定义</w:t>
      </w:r>
    </w:p>
    <w:p w14:paraId="37F5A72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 “采购人”系指竞争性磋商公告中载明的本项目的采购人。</w:t>
      </w:r>
    </w:p>
    <w:p w14:paraId="6971CAC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 “采购代理机构”系指竞争性磋商公告中载明的本项目的采购代理机构。</w:t>
      </w:r>
    </w:p>
    <w:p w14:paraId="049BF7C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 “</w:t>
      </w:r>
      <w:r>
        <w:rPr>
          <w:rFonts w:hint="eastAsia" w:asciiTheme="minorEastAsia" w:hAnsiTheme="minorEastAsia" w:eastAsiaTheme="minorEastAsia" w:cstheme="minorEastAsia"/>
          <w:color w:val="auto"/>
          <w:szCs w:val="21"/>
          <w:lang w:val="zh-CN"/>
        </w:rPr>
        <w:t>供应商</w:t>
      </w:r>
      <w:r>
        <w:rPr>
          <w:rFonts w:hint="eastAsia" w:asciiTheme="minorEastAsia" w:hAnsiTheme="minorEastAsia" w:eastAsiaTheme="minorEastAsia" w:cstheme="minorEastAsia"/>
          <w:color w:val="auto"/>
          <w:szCs w:val="21"/>
        </w:rPr>
        <w:t>”系指是指响应采购、参加磋商竞争的法人、其他组织或者自然人。</w:t>
      </w:r>
    </w:p>
    <w:p w14:paraId="6B9A7DA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2.4 “负责人”系指法人企业的法定负责人，或其他组织为法律、行政法规规定代表单位行使职权的主要负责人，或自然人本人。</w:t>
      </w:r>
    </w:p>
    <w:p w14:paraId="63A6D57C">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2.5“电子签名”系指数据电文中以电子形式所含、所附用于识别签名人身份并表明签名人认可其中内容的数据；“公章”系指单位法定名称章。</w:t>
      </w:r>
    </w:p>
    <w:p w14:paraId="4D11069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2.6“电子交易平台”是指本项目政府采购活动所依托的政府采购云平台（https://www.zcygov.cn/）。</w:t>
      </w:r>
    </w:p>
    <w:p w14:paraId="5C10F2E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2.7 “▲” 系指实质性要求条款，“</w:t>
      </w:r>
      <w:r>
        <w:rPr>
          <w:rFonts w:hint="eastAsia" w:ascii="MS Gothic" w:hAnsi="MS Gothic" w:eastAsia="MS Gothic" w:cs="MS Gothic"/>
          <w:color w:val="auto"/>
          <w:szCs w:val="21"/>
        </w:rPr>
        <w:t>☑</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 系指适用本项目的要求，“☐” 系指不适用本项目的要求。</w:t>
      </w:r>
    </w:p>
    <w:p w14:paraId="2C8809F5">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采购项目需要落实的政府采购政策</w:t>
      </w:r>
    </w:p>
    <w:p w14:paraId="29DBE4E1">
      <w:pPr>
        <w:numPr>
          <w:ilvl w:val="1"/>
          <w:numId w:val="2"/>
        </w:num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本项目不允许采购进口产品。</w:t>
      </w:r>
    </w:p>
    <w:p w14:paraId="2E7F8640">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 支持绿色发展</w:t>
      </w:r>
    </w:p>
    <w:p w14:paraId="2BEFD3A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3.3支持中小企业发展</w:t>
      </w:r>
    </w:p>
    <w:p w14:paraId="34987E8C">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09F53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符合中小企业划分标准的个体工商户，在政府采购活动中视同中小企业。</w:t>
      </w:r>
    </w:p>
    <w:p w14:paraId="4D9F61CF">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rPr>
        <w:t>3.3.2</w:t>
      </w:r>
      <w:r>
        <w:rPr>
          <w:rFonts w:hint="eastAsia" w:asciiTheme="minorEastAsia" w:hAnsiTheme="minorEastAsia" w:eastAsiaTheme="minorEastAsia" w:cstheme="minorEastAsia"/>
          <w:color w:val="auto"/>
          <w:kern w:val="0"/>
          <w:szCs w:val="21"/>
        </w:rPr>
        <w:t>在政府采购活动中，</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提供的货物、工程或者服务符合下列情形的，享受中小企业扶持政策：</w:t>
      </w:r>
    </w:p>
    <w:p w14:paraId="7E40448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3.3.2.1在货物采购项目中，货物由中小企业制造，即货物由中小企业生产且使用该中小企业商号或者注册商标；</w:t>
      </w:r>
    </w:p>
    <w:p w14:paraId="033C343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3.3.2.2在工程采购项目中，工程由中小企业承建，即工程施工单位为中小企业；</w:t>
      </w:r>
    </w:p>
    <w:p w14:paraId="47B1210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3.3.2.3在服务采购项目中，服务由中小企业承接，即提供服务的人员为中小企业依照《中华人民共和国劳动合同法》订立劳动合同的从业人员。</w:t>
      </w:r>
    </w:p>
    <w:p w14:paraId="61C1720A">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在货物采购项目中，</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提供的货物既有中小企业制造货物，也有大型企业制造货物的，不享受中小企业扶持政策。</w:t>
      </w:r>
    </w:p>
    <w:p w14:paraId="6967E88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以联合体形式参加政府采购活动，联合体各方均为中小企业的，联合体视同中小企业。其中，联合体各方均为小微企业的，联合体视同小微企业。</w:t>
      </w:r>
    </w:p>
    <w:p w14:paraId="7B3B63A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3.3.3对于未预留份额专门面向中小企业的政府采购货物或服务或工程项目，以及预留份额政府采购货物或服务项目中的非预留部分标项，对小型和微型企业的谈判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工程项目为 2%）的扣除，用扣除后的价格参加评审。组成联合体或者接受分包的小微企业与联合体内其他企业、分包企业之间存在直接控股、管理关系的，不享受价格扣除优惠政策。</w:t>
      </w:r>
    </w:p>
    <w:p w14:paraId="3C66182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3.3.4符合《关于促进残疾人就业政府采购政策的通知》（财库〔2017〕141号）规定的条件并提供《残疾人福利性单位声明函》的残疾人福利性单位视同小型、微型企业；</w:t>
      </w:r>
    </w:p>
    <w:p w14:paraId="34AF06A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B13348E">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3.3.6可享受中小企业扶持政策的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应按照竞争性磋商文件格式要求提供《中小企业声明函》，</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提供的《中小企业声明函》与实际情况不符的，不享受中小企业扶持政策。声明内容不实的，属于提供虚假材料谋取中标、成交的，依法承担法律责任。</w:t>
      </w:r>
    </w:p>
    <w:p w14:paraId="4EB5E25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3.3.7中小企业享受扶持政策获得政府采购合同的，小微企业不得将合同分包给大中型企业，中型企业不得将合同分包给大型企业。</w:t>
      </w:r>
    </w:p>
    <w:p w14:paraId="7F08DEAE">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特别说明</w:t>
      </w:r>
    </w:p>
    <w:p w14:paraId="7ECB363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4.1关于分公司磋商响应</w:t>
      </w:r>
    </w:p>
    <w:p w14:paraId="0FA59DF4">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除银行、保险、石油石化、电力、电信等特殊行业外。法人的分支机构由于不能独立承担民事责任，不能以分支机构的身份参加政府采购，只能以法人身份参加。 </w:t>
      </w:r>
    </w:p>
    <w:p w14:paraId="19159E50">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4.2关于知识产权</w:t>
      </w:r>
    </w:p>
    <w:p w14:paraId="76E831B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4.2.1 </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必须保证，采购人在中华人民共和国境内使用磋商响应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w:t>
      </w:r>
    </w:p>
    <w:p w14:paraId="22FCB0EB">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4.2.2 磋商报价应包含所有应向所有权人支付的专利权、商标权或其它知识产权的一切相关费用。</w:t>
      </w:r>
    </w:p>
    <w:p w14:paraId="485AE35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4.2.3 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承担所有责任及费用。</w:t>
      </w:r>
    </w:p>
    <w:p w14:paraId="43197BE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的风险</w:t>
      </w:r>
    </w:p>
    <w:p w14:paraId="4DB1B289">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4.3.1 </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应详细阅读竞争性磋商文件中的全部内容和要求，按照竞争性磋商文件的要求提交响应文件，没有按照竞争性磋商文件要求提供响应文件和资料导致的风险由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承担,并对所提供的全部资料的真实性承担法律责任。</w:t>
      </w:r>
    </w:p>
    <w:p w14:paraId="757CB070">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4.3.2 无论因何种原因导致本次采购活动终止致</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损失的，相关责任人均不承担任何责任。</w:t>
      </w:r>
    </w:p>
    <w:p w14:paraId="71FE2B21">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询问、质疑、投诉</w:t>
      </w:r>
    </w:p>
    <w:p w14:paraId="21BFA473">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.1供应商询问</w:t>
      </w:r>
    </w:p>
    <w:p w14:paraId="3EB3110C">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F8364FC">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.2供应商质疑</w:t>
      </w:r>
    </w:p>
    <w:p w14:paraId="3F8697EE">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.1提出质疑的供应商应当是参与所质疑项目采购活动的供应商。潜在供应商已依法获取其可质疑的竞争性磋商文件的，可以对该文件提出质疑。</w:t>
      </w:r>
    </w:p>
    <w:p w14:paraId="50511BA9">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2供应商认为竞争性磋商文件、采购过程和成交结果使自己的权益受到损害的，可以在知道或者应知其权益受到损害之日起七个工作日内，以书面形式向采购人或者采购代理机构提出质疑，否则，采购人或者采购代理机构不予受理：</w:t>
      </w:r>
    </w:p>
    <w:p w14:paraId="24C4AA1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5.2.2.1对竞争性磋商文件提出质疑的，质疑期限为供应商获得竞争性磋商文件之日或者竞争性磋商文件公告期限届满之日起计算。</w:t>
      </w:r>
    </w:p>
    <w:p w14:paraId="0305EBC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5.2.2.2对采购过程提出质疑的，质疑期限为各采购程序环节结束之日起计算。</w:t>
      </w:r>
    </w:p>
    <w:p w14:paraId="473411E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5.2.2.3对采购结果提出质疑的，质疑期限自采购结果公告期限届满之日起计算。</w:t>
      </w:r>
    </w:p>
    <w:p w14:paraId="01D7216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5.2.2.4对同一采购程序环节的质疑，供应商须一次性提出。</w:t>
      </w:r>
    </w:p>
    <w:p w14:paraId="0420F6FF">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w:t>
      </w:r>
      <w:r>
        <w:rPr>
          <w:rFonts w:hint="eastAsia" w:asciiTheme="minorEastAsia" w:hAnsiTheme="minorEastAsia" w:eastAsiaTheme="minorEastAsia" w:cstheme="minorEastAsia"/>
          <w:color w:val="auto"/>
          <w:szCs w:val="21"/>
        </w:rPr>
        <w:t>供应商提出质疑应当提交质疑函和必要的证明材料。质疑函应当包括下列内容：</w:t>
      </w:r>
    </w:p>
    <w:p w14:paraId="4E631E2E">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.2.3.1供应商的姓名或者名称、地址、邮编、联系人及联系电话；</w:t>
      </w:r>
    </w:p>
    <w:p w14:paraId="1AD3F5B5">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.2.3.2质疑项目的名称、编号；</w:t>
      </w:r>
    </w:p>
    <w:p w14:paraId="413A13BB">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.2.3.3具体、明确的质疑事项和与质疑事项相关的请求；</w:t>
      </w:r>
    </w:p>
    <w:p w14:paraId="5A45DA25">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.2.3.4事实依据；</w:t>
      </w:r>
    </w:p>
    <w:p w14:paraId="6373BE64">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.2.3.5必要的法律依据；</w:t>
      </w:r>
    </w:p>
    <w:p w14:paraId="3468C94B">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.2.3.6提出质疑的日期。</w:t>
      </w:r>
    </w:p>
    <w:p w14:paraId="65780270">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5.2.3.7对竞争性磋商文件提出质疑的需要提供在乐采云平台获取竞争性磋商文件的截图。</w:t>
      </w:r>
    </w:p>
    <w:p w14:paraId="2EE57669">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供应商提交的质疑函需一式三份。供应商为自然人的，应当由本人签字；供应商为法人或者其他组织的，应当由法定代表人、主要负责人，或者其授权代表签字或者盖章，并加盖公章。</w:t>
      </w:r>
    </w:p>
    <w:p w14:paraId="79723EF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质疑函范本请到浙江企业采购信息服务网下载专区下载。</w:t>
      </w:r>
    </w:p>
    <w:p w14:paraId="0995D55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4CFA8FA4">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.5询问或者质疑事项可能影响采购结果的，采购人应当暂停签订合同，已经签订合同的，应当中止履行合同。</w:t>
      </w:r>
    </w:p>
    <w:p w14:paraId="35F987F0">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.3供应商投诉</w:t>
      </w:r>
    </w:p>
    <w:p w14:paraId="2DE414B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325DB89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供应商投诉的事项不得超出已质疑事项的范围，基于质疑答复内容提出的投诉事项除外。</w:t>
      </w:r>
    </w:p>
    <w:p w14:paraId="5C731E1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5.3.3供应商投诉应当有明确的请求和必要的证明材料。</w:t>
      </w:r>
    </w:p>
    <w:p w14:paraId="5B64D004">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5.3.4以联合体形式参加采购活动的，其投诉应当由组成联合体的所有供应商共同提出。</w:t>
      </w:r>
    </w:p>
    <w:p w14:paraId="1FCC2713">
      <w:pPr>
        <w:shd w:val="clear"/>
        <w:spacing w:line="360" w:lineRule="auto"/>
        <w:ind w:firstLine="420" w:firstLineChars="200"/>
        <w:rPr>
          <w:color w:val="auto"/>
        </w:rPr>
      </w:pPr>
      <w:r>
        <w:rPr>
          <w:rFonts w:hint="eastAsia" w:asciiTheme="minorEastAsia" w:hAnsiTheme="minorEastAsia" w:eastAsiaTheme="minorEastAsia" w:cstheme="minorEastAsia"/>
          <w:color w:val="auto"/>
          <w:szCs w:val="21"/>
        </w:rPr>
        <w:t>5.3.5投诉人对</w:t>
      </w:r>
      <w:r>
        <w:rPr>
          <w:rFonts w:hint="eastAsia"/>
          <w:color w:val="auto"/>
        </w:rPr>
        <w:t>监督管理部门的投诉处理决定</w:t>
      </w:r>
      <w:r>
        <w:rPr>
          <w:rFonts w:hint="eastAsia" w:asciiTheme="minorEastAsia" w:hAnsiTheme="minorEastAsia" w:eastAsiaTheme="minorEastAsia" w:cstheme="minorEastAsia"/>
          <w:color w:val="auto"/>
          <w:szCs w:val="21"/>
        </w:rPr>
        <w:t>不服</w:t>
      </w:r>
      <w:r>
        <w:rPr>
          <w:rFonts w:hint="eastAsia"/>
          <w:color w:val="auto"/>
        </w:rPr>
        <w:t>或监督管理部门逾期未作处理的，可以向区国资管理中心反映。供应商或相关利害关系人在</w:t>
      </w:r>
      <w:r>
        <w:rPr>
          <w:rFonts w:hint="eastAsia" w:asciiTheme="minorEastAsia" w:hAnsiTheme="minorEastAsia" w:eastAsiaTheme="minorEastAsia" w:cstheme="minorEastAsia"/>
          <w:color w:val="auto"/>
          <w:szCs w:val="21"/>
        </w:rPr>
        <w:t>采购过程</w:t>
      </w:r>
      <w:r>
        <w:rPr>
          <w:rFonts w:hint="eastAsia"/>
          <w:color w:val="auto"/>
        </w:rPr>
        <w:t>中发现涉及违法违纪行为或造成国有资产损失的，可以向纪检监察部门和区国资管理中心</w:t>
      </w:r>
      <w:r>
        <w:rPr>
          <w:rFonts w:hint="eastAsia" w:asciiTheme="minorEastAsia" w:hAnsiTheme="minorEastAsia" w:eastAsiaTheme="minorEastAsia" w:cstheme="minorEastAsia"/>
          <w:color w:val="auto"/>
          <w:szCs w:val="21"/>
        </w:rPr>
        <w:t>反映</w:t>
      </w:r>
      <w:r>
        <w:rPr>
          <w:rFonts w:hint="eastAsia"/>
          <w:color w:val="auto"/>
        </w:rPr>
        <w:t>。举报违法行为，应提供有效线索和证明材料。</w:t>
      </w:r>
    </w:p>
    <w:p w14:paraId="7CCF6C09">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投诉书范本请到浙江企业采购信息服务网下载专区下载。</w:t>
      </w:r>
    </w:p>
    <w:p w14:paraId="5AAA916C">
      <w:pPr>
        <w:shd w:val="clear"/>
        <w:spacing w:line="360" w:lineRule="auto"/>
        <w:ind w:firstLine="643"/>
        <w:jc w:val="center"/>
        <w:outlineLvl w:val="0"/>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 xml:space="preserve">      </w:t>
      </w:r>
    </w:p>
    <w:p w14:paraId="5EAF7ABF">
      <w:pPr>
        <w:shd w:val="clear"/>
        <w:ind w:firstLine="643"/>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br w:type="page"/>
      </w:r>
    </w:p>
    <w:p w14:paraId="10A1157F">
      <w:pPr>
        <w:shd w:val="clear"/>
        <w:spacing w:line="360" w:lineRule="auto"/>
        <w:ind w:firstLine="643"/>
        <w:jc w:val="center"/>
        <w:outlineLvl w:val="0"/>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二、竞争性磋商文件的构成、澄清、修改</w:t>
      </w:r>
    </w:p>
    <w:p w14:paraId="189B35D7">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竞争性磋商文件的构成</w:t>
      </w:r>
    </w:p>
    <w:p w14:paraId="2681759D">
      <w:pPr>
        <w:pStyle w:val="15"/>
        <w:shd w:val="clear"/>
        <w:rPr>
          <w:color w:val="auto"/>
        </w:rPr>
      </w:pPr>
      <w:r>
        <w:rPr>
          <w:rFonts w:hint="eastAsia"/>
          <w:color w:val="auto"/>
        </w:rPr>
        <w:t>6.1 竞争性磋商文件包括下列文件</w:t>
      </w:r>
      <w:r>
        <w:rPr>
          <w:rFonts w:hint="eastAsia"/>
          <w:bCs/>
          <w:color w:val="auto"/>
        </w:rPr>
        <w:t>及附件：</w:t>
      </w:r>
    </w:p>
    <w:p w14:paraId="62EF8C4B">
      <w:pPr>
        <w:pStyle w:val="15"/>
        <w:shd w:val="clear"/>
        <w:rPr>
          <w:color w:val="auto"/>
        </w:rPr>
      </w:pPr>
      <w:r>
        <w:rPr>
          <w:rFonts w:hint="eastAsia"/>
          <w:color w:val="auto"/>
        </w:rPr>
        <w:t>6.1.1 竞争性磋商公告；</w:t>
      </w:r>
    </w:p>
    <w:p w14:paraId="7EAA7803">
      <w:pPr>
        <w:pStyle w:val="15"/>
        <w:shd w:val="clear"/>
        <w:rPr>
          <w:color w:val="auto"/>
        </w:rPr>
      </w:pPr>
      <w:r>
        <w:rPr>
          <w:rFonts w:hint="eastAsia"/>
          <w:color w:val="auto"/>
        </w:rPr>
        <w:t xml:space="preserve">6.1.2 </w:t>
      </w:r>
      <w:r>
        <w:rPr>
          <w:rFonts w:hint="eastAsia"/>
          <w:color w:val="auto"/>
          <w:lang w:val="zh-CN"/>
        </w:rPr>
        <w:t>响应</w:t>
      </w:r>
      <w:r>
        <w:rPr>
          <w:rFonts w:hint="eastAsia"/>
          <w:color w:val="auto"/>
        </w:rPr>
        <w:t>须知；</w:t>
      </w:r>
    </w:p>
    <w:p w14:paraId="2F2F5010">
      <w:pPr>
        <w:pStyle w:val="15"/>
        <w:shd w:val="clear"/>
        <w:rPr>
          <w:color w:val="auto"/>
        </w:rPr>
      </w:pPr>
      <w:r>
        <w:rPr>
          <w:rFonts w:hint="eastAsia"/>
          <w:color w:val="auto"/>
        </w:rPr>
        <w:t>6.1.3 采购需求；</w:t>
      </w:r>
    </w:p>
    <w:p w14:paraId="6167902C">
      <w:pPr>
        <w:pStyle w:val="15"/>
        <w:shd w:val="clear"/>
        <w:rPr>
          <w:color w:val="auto"/>
        </w:rPr>
      </w:pPr>
      <w:r>
        <w:rPr>
          <w:rFonts w:hint="eastAsia"/>
          <w:color w:val="auto"/>
        </w:rPr>
        <w:t>6.1.4 评审办法；</w:t>
      </w:r>
    </w:p>
    <w:p w14:paraId="05F4E945">
      <w:pPr>
        <w:pStyle w:val="15"/>
        <w:shd w:val="clear"/>
        <w:rPr>
          <w:color w:val="auto"/>
        </w:rPr>
      </w:pPr>
      <w:r>
        <w:rPr>
          <w:rFonts w:hint="eastAsia"/>
          <w:color w:val="auto"/>
        </w:rPr>
        <w:t>6.1.5 拟签订的合同文本；</w:t>
      </w:r>
    </w:p>
    <w:p w14:paraId="47556ADF">
      <w:pPr>
        <w:pStyle w:val="15"/>
        <w:shd w:val="clear"/>
        <w:rPr>
          <w:color w:val="auto"/>
        </w:rPr>
      </w:pPr>
      <w:r>
        <w:rPr>
          <w:rFonts w:hint="eastAsia"/>
          <w:color w:val="auto"/>
        </w:rPr>
        <w:t>6.1.6 应提交的有关格式范例。</w:t>
      </w:r>
    </w:p>
    <w:p w14:paraId="4C72158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6.2与本项目有关的</w:t>
      </w:r>
      <w:r>
        <w:rPr>
          <w:rFonts w:hint="eastAsia" w:asciiTheme="minorEastAsia" w:hAnsiTheme="minorEastAsia" w:eastAsiaTheme="minorEastAsia" w:cstheme="minorEastAsia"/>
          <w:bCs/>
          <w:color w:val="auto"/>
          <w:szCs w:val="21"/>
        </w:rPr>
        <w:t>澄清或者修改的内容为</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bCs/>
          <w:color w:val="auto"/>
          <w:szCs w:val="21"/>
        </w:rPr>
        <w:t>文件的组成部分</w:t>
      </w:r>
      <w:r>
        <w:rPr>
          <w:rFonts w:hint="eastAsia" w:asciiTheme="minorEastAsia" w:hAnsiTheme="minorEastAsia" w:eastAsiaTheme="minorEastAsia" w:cstheme="minorEastAsia"/>
          <w:color w:val="auto"/>
          <w:szCs w:val="21"/>
        </w:rPr>
        <w:t>。</w:t>
      </w:r>
    </w:p>
    <w:p w14:paraId="3E3861F7">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竞争性磋商文件的澄清、修改</w:t>
      </w:r>
    </w:p>
    <w:p w14:paraId="2CE0E99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7.1 采购人对竞争性磋商文件进行必要的澄清或者修改的，在采购信息发布网站上发布更正公告。澄清或者修改的内容可能影响响应文件编制的，更正公告在响应截止时间至少5日前发出；不足5日的，顺延提交响应文件截止时间。</w:t>
      </w:r>
    </w:p>
    <w:p w14:paraId="0248D2F4">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7.2 更正公告为竞争性磋商文件的组成部分，一经在网站发布，视同已通知所有竞争性磋商文件的收受人，不再采用其它方式传达相关信息, 若因未能及时了解到上述网站上发布的相关信息而导致的一切后果自行承担。</w:t>
      </w:r>
    </w:p>
    <w:p w14:paraId="65650D2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7.3 如更正公告有重新发布电子竞争性磋商文件的，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应下载最新发布的电子竞争性磋商文件制作响应文件。</w:t>
      </w:r>
    </w:p>
    <w:p w14:paraId="0DE5FE48">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7.4 已获取竞争性磋商文件的潜在</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，若有问题需要澄清，应于响应截止时间前，以书面形式向采购代理机构提出。</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在规定的时间内未对竞争性磋商文件提出疑问、质疑或要求澄清的，将视其为无异议。对竞争性磋商文件中描述有歧义或前后不一致的地方，磋商小组有权进行评判，但对同一条款的评判应适用于每个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w:t>
      </w:r>
    </w:p>
    <w:p w14:paraId="3D7E0C98">
      <w:pPr>
        <w:shd w:val="clear"/>
        <w:spacing w:line="360" w:lineRule="auto"/>
        <w:ind w:firstLine="602"/>
        <w:jc w:val="center"/>
        <w:outlineLvl w:val="0"/>
        <w:rPr>
          <w:rFonts w:asciiTheme="minorEastAsia" w:hAnsiTheme="minorEastAsia" w:eastAsiaTheme="minorEastAsia" w:cstheme="minorEastAsia"/>
          <w:b/>
          <w:color w:val="auto"/>
          <w:sz w:val="30"/>
          <w:szCs w:val="20"/>
        </w:rPr>
      </w:pPr>
      <w:r>
        <w:rPr>
          <w:rFonts w:hint="eastAsia" w:asciiTheme="minorEastAsia" w:hAnsiTheme="minorEastAsia" w:eastAsiaTheme="minorEastAsia" w:cstheme="minorEastAsia"/>
          <w:b/>
          <w:color w:val="auto"/>
          <w:sz w:val="30"/>
          <w:szCs w:val="20"/>
        </w:rPr>
        <w:br w:type="page"/>
      </w:r>
      <w:r>
        <w:rPr>
          <w:rFonts w:hint="eastAsia" w:asciiTheme="minorEastAsia" w:hAnsiTheme="minorEastAsia" w:eastAsiaTheme="minorEastAsia" w:cstheme="minorEastAsia"/>
          <w:b/>
          <w:color w:val="auto"/>
          <w:sz w:val="30"/>
          <w:szCs w:val="20"/>
        </w:rPr>
        <w:t>三、响应</w:t>
      </w:r>
    </w:p>
    <w:p w14:paraId="398C6BD8">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响应文件的语言</w:t>
      </w:r>
    </w:p>
    <w:p w14:paraId="5D59F7EF">
      <w:pPr>
        <w:shd w:val="clear"/>
        <w:autoSpaceDE w:val="0"/>
        <w:autoSpaceDN w:val="0"/>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响应文件及</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与采购有关的来往通知、函件和文件均应使用中文。</w:t>
      </w:r>
    </w:p>
    <w:p w14:paraId="3ABA7700">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响应文件的组成</w:t>
      </w:r>
    </w:p>
    <w:p w14:paraId="2759275C">
      <w:pPr>
        <w:shd w:val="clear"/>
        <w:snapToGrid w:val="0"/>
        <w:spacing w:line="360" w:lineRule="auto"/>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9.1 资格文件：</w:t>
      </w:r>
    </w:p>
    <w:p w14:paraId="0EEDBDA3">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9.1.1有效的企业法人营业执照（或事业法人登记证）、其他组织（个体工商户）的营业执照或者民办非企业单位登记证书；</w:t>
      </w:r>
    </w:p>
    <w:p w14:paraId="3AF114E5">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9.1.2符合参加采购活动应当具备的一般条件的承诺函(格式见第六部分)；</w:t>
      </w:r>
    </w:p>
    <w:p w14:paraId="798A1B25">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9.1.3本项目的特定资格要求；</w:t>
      </w:r>
    </w:p>
    <w:p w14:paraId="1CF46467">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9.1.4其他资料（如有）。</w:t>
      </w:r>
    </w:p>
    <w:p w14:paraId="7AA4A9CF">
      <w:pPr>
        <w:shd w:val="clear"/>
        <w:snapToGrid w:val="0"/>
        <w:spacing w:line="360" w:lineRule="auto"/>
        <w:ind w:firstLine="422" w:firstLineChars="200"/>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b/>
          <w:bCs/>
          <w:color w:val="auto"/>
          <w:szCs w:val="21"/>
        </w:rPr>
        <w:t>9</w:t>
      </w: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2</w:t>
      </w:r>
      <w:r>
        <w:rPr>
          <w:rFonts w:hint="eastAsia" w:asciiTheme="minorEastAsia" w:hAnsiTheme="minorEastAsia" w:eastAsiaTheme="minorEastAsia" w:cstheme="minorEastAsia"/>
          <w:b/>
          <w:bCs/>
          <w:color w:val="auto"/>
          <w:szCs w:val="21"/>
          <w:lang w:val="zh-CN"/>
        </w:rPr>
        <w:t xml:space="preserve"> </w:t>
      </w:r>
      <w:r>
        <w:rPr>
          <w:rFonts w:hint="eastAsia" w:asciiTheme="minorEastAsia" w:hAnsiTheme="minorEastAsia" w:eastAsiaTheme="minorEastAsia" w:cstheme="minorEastAsia"/>
          <w:b/>
          <w:bCs/>
          <w:color w:val="auto"/>
          <w:szCs w:val="21"/>
        </w:rPr>
        <w:t>商务技术</w:t>
      </w:r>
      <w:r>
        <w:rPr>
          <w:rFonts w:hint="eastAsia" w:asciiTheme="minorEastAsia" w:hAnsiTheme="minorEastAsia" w:eastAsiaTheme="minorEastAsia" w:cstheme="minorEastAsia"/>
          <w:b/>
          <w:bCs/>
          <w:color w:val="auto"/>
          <w:szCs w:val="21"/>
          <w:lang w:val="zh-CN"/>
        </w:rPr>
        <w:t>文件：</w:t>
      </w:r>
    </w:p>
    <w:p w14:paraId="1E4EF3E2">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 评分索引表；</w:t>
      </w:r>
    </w:p>
    <w:p w14:paraId="22F6DA0D">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9.2.2符合性自查表；</w:t>
      </w:r>
    </w:p>
    <w:p w14:paraId="1B754027">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9.2.3磋商函；</w:t>
      </w:r>
      <w:r>
        <w:rPr>
          <w:rFonts w:hint="eastAsia" w:asciiTheme="minorEastAsia" w:hAnsiTheme="minorEastAsia" w:eastAsiaTheme="minorEastAsia" w:cstheme="minorEastAsia"/>
          <w:color w:val="auto"/>
          <w:szCs w:val="21"/>
          <w:lang w:val="zh-CN"/>
        </w:rPr>
        <w:t xml:space="preserve"> </w:t>
      </w:r>
    </w:p>
    <w:p w14:paraId="458C90F1">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9.2.4 授权委托书或法定代表人（单位负责人、自然人本人）身份证明；</w:t>
      </w:r>
    </w:p>
    <w:p w14:paraId="28EF3632">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9.2.5 供应商情况表；</w:t>
      </w:r>
    </w:p>
    <w:p w14:paraId="11D9043D">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9.2.6 距采购人最近或者能为本项目提供最优服务的网点情况表；</w:t>
      </w:r>
    </w:p>
    <w:p w14:paraId="3859B786">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7 评标标准相应的商务技术资料；</w:t>
      </w:r>
    </w:p>
    <w:p w14:paraId="43D0E2A0">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9.2.8 商务</w:t>
      </w:r>
      <w:r>
        <w:rPr>
          <w:rFonts w:hint="eastAsia" w:asciiTheme="minorEastAsia" w:hAnsiTheme="minorEastAsia" w:eastAsiaTheme="minorEastAsia" w:cstheme="minorEastAsia"/>
          <w:b/>
          <w:bCs/>
          <w:color w:val="auto"/>
          <w:szCs w:val="21"/>
        </w:rPr>
        <w:t>响应</w:t>
      </w:r>
      <w:r>
        <w:rPr>
          <w:rFonts w:hint="eastAsia" w:asciiTheme="minorEastAsia" w:hAnsiTheme="minorEastAsia" w:eastAsiaTheme="minorEastAsia" w:cstheme="minorEastAsia"/>
          <w:color w:val="auto"/>
          <w:szCs w:val="21"/>
        </w:rPr>
        <w:t>表；</w:t>
      </w:r>
    </w:p>
    <w:p w14:paraId="141BF496">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9.2.9 技术</w:t>
      </w:r>
      <w:r>
        <w:rPr>
          <w:rFonts w:hint="eastAsia" w:asciiTheme="minorEastAsia" w:hAnsiTheme="minorEastAsia" w:eastAsiaTheme="minorEastAsia" w:cstheme="minorEastAsia"/>
          <w:b/>
          <w:bCs/>
          <w:color w:val="auto"/>
          <w:szCs w:val="21"/>
        </w:rPr>
        <w:t>响应</w:t>
      </w:r>
      <w:r>
        <w:rPr>
          <w:rFonts w:hint="eastAsia" w:asciiTheme="minorEastAsia" w:hAnsiTheme="minorEastAsia" w:eastAsiaTheme="minorEastAsia" w:cstheme="minorEastAsia"/>
          <w:color w:val="auto"/>
          <w:szCs w:val="21"/>
        </w:rPr>
        <w:t>表；</w:t>
      </w:r>
    </w:p>
    <w:p w14:paraId="645A4915">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9.2.10 同类业绩情况一览表；</w:t>
      </w:r>
    </w:p>
    <w:p w14:paraId="4CAA2A68">
      <w:pPr>
        <w:shd w:val="clear"/>
        <w:snapToGrid w:val="0"/>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9.2.11</w:t>
      </w:r>
      <w:r>
        <w:rPr>
          <w:rFonts w:hint="eastAsia" w:asciiTheme="minorEastAsia" w:hAnsiTheme="minorEastAsia" w:eastAsiaTheme="minorEastAsia" w:cstheme="minorEastAsia"/>
          <w:color w:val="auto"/>
          <w:szCs w:val="21"/>
          <w:lang w:val="zh-CN"/>
        </w:rPr>
        <w:t>政府采购供应商廉洁自律承诺书；</w:t>
      </w:r>
    </w:p>
    <w:p w14:paraId="6ECC5D28">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9.2.12其他资料（如有）。</w:t>
      </w:r>
    </w:p>
    <w:p w14:paraId="7EB83B9A">
      <w:pPr>
        <w:shd w:val="clear"/>
        <w:snapToGrid w:val="0"/>
        <w:spacing w:line="360" w:lineRule="auto"/>
        <w:ind w:firstLine="422" w:firstLineChars="200"/>
        <w:rPr>
          <w:rFonts w:asciiTheme="minorEastAsia" w:hAnsiTheme="minorEastAsia" w:eastAsiaTheme="minorEastAsia" w:cstheme="minorEastAsia"/>
          <w:b/>
          <w:bCs/>
          <w:color w:val="auto"/>
          <w:szCs w:val="21"/>
          <w:u w:val="single"/>
          <w:lang w:val="zh-CN"/>
        </w:rPr>
      </w:pPr>
      <w:r>
        <w:rPr>
          <w:rFonts w:hint="eastAsia" w:asciiTheme="minorEastAsia" w:hAnsiTheme="minorEastAsia" w:eastAsiaTheme="minorEastAsia" w:cstheme="minorEastAsia"/>
          <w:b/>
          <w:bCs/>
          <w:color w:val="auto"/>
          <w:kern w:val="0"/>
          <w:szCs w:val="21"/>
        </w:rPr>
        <w:t>9</w:t>
      </w:r>
      <w:r>
        <w:rPr>
          <w:rFonts w:hint="eastAsia" w:asciiTheme="minorEastAsia" w:hAnsiTheme="minorEastAsia" w:eastAsiaTheme="minorEastAsia" w:cstheme="minorEastAsia"/>
          <w:b/>
          <w:bCs/>
          <w:color w:val="auto"/>
          <w:kern w:val="0"/>
          <w:szCs w:val="21"/>
          <w:lang w:val="zh-CN"/>
        </w:rPr>
        <w:t>.</w:t>
      </w:r>
      <w:r>
        <w:rPr>
          <w:rFonts w:hint="eastAsia" w:asciiTheme="minorEastAsia" w:hAnsiTheme="minorEastAsia" w:eastAsiaTheme="minorEastAsia" w:cstheme="minorEastAsia"/>
          <w:b/>
          <w:bCs/>
          <w:color w:val="auto"/>
          <w:kern w:val="0"/>
          <w:szCs w:val="21"/>
        </w:rPr>
        <w:t xml:space="preserve">3 </w:t>
      </w:r>
      <w:r>
        <w:rPr>
          <w:rFonts w:hint="eastAsia" w:asciiTheme="minorEastAsia" w:hAnsiTheme="minorEastAsia" w:eastAsiaTheme="minorEastAsia" w:cstheme="minorEastAsia"/>
          <w:b/>
          <w:bCs/>
          <w:color w:val="auto"/>
          <w:szCs w:val="21"/>
        </w:rPr>
        <w:t xml:space="preserve">报价文件： </w:t>
      </w:r>
    </w:p>
    <w:p w14:paraId="66BE97C6">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9.3.1 报价一览表；</w:t>
      </w:r>
    </w:p>
    <w:p w14:paraId="2C2D7AA2">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9.3.2中小企业声明函；</w:t>
      </w:r>
    </w:p>
    <w:p w14:paraId="55A5CBD2">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9.3.3残疾人福利性单位声明函（如有）；</w:t>
      </w:r>
    </w:p>
    <w:p w14:paraId="38BB3B3D">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9.3.4 监狱企业的证明文件（如有）；</w:t>
      </w:r>
    </w:p>
    <w:p w14:paraId="581EBDF5">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9.3.5政府采购统计基础信息表；</w:t>
      </w:r>
    </w:p>
    <w:p w14:paraId="0CA8356C">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9.3.6其他资料（如有）。</w:t>
      </w:r>
    </w:p>
    <w:p w14:paraId="57F74B90">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响应文件的编制</w:t>
      </w:r>
    </w:p>
    <w:p w14:paraId="57FAF10E">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Cs w:val="21"/>
        </w:rPr>
        <w:t>未有规定格式的资料，</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应自行编制，但至少须包含9.响应文件组成中的内容。</w:t>
      </w:r>
      <w:r>
        <w:rPr>
          <w:rFonts w:hint="eastAsia" w:asciiTheme="minorEastAsia" w:hAnsiTheme="minorEastAsia" w:eastAsiaTheme="minorEastAsia" w:cstheme="minorEastAsia"/>
          <w:color w:val="auto"/>
          <w:kern w:val="0"/>
          <w:szCs w:val="21"/>
          <w:lang w:val="zh-CN"/>
        </w:rPr>
        <w:t>混乱的编排导致响应文件被误读或磋商小组查找不到有效文件是供应商的风险。</w:t>
      </w:r>
    </w:p>
    <w:p w14:paraId="4E31405A">
      <w:pPr>
        <w:shd w:val="clear"/>
        <w:spacing w:line="360" w:lineRule="auto"/>
        <w:ind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.2供应商进行电子投标应安装客户端软件—“乐采云电子交易客户端”，并按照竞争性磋商文件和电子交易平台的要求编制并加密响应文件。供应商未按规定加密的响应文件，电子交易平台将拒收并提示。</w:t>
      </w:r>
    </w:p>
    <w:p w14:paraId="6F50589C">
      <w:pPr>
        <w:shd w:val="clear"/>
        <w:spacing w:line="360" w:lineRule="auto"/>
        <w:ind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.3使用“乐采云电子交易客户端”需要提前申领CA数字证书，申领流程请自行前往“浙江企业采购信息服务网-下载专区-电子交易客户端-CA驱动和申领流程”进行查阅。</w:t>
      </w:r>
    </w:p>
    <w:p w14:paraId="37C4A739">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投响应文件的签署、盖章</w:t>
      </w:r>
    </w:p>
    <w:p w14:paraId="349FBA51">
      <w:pPr>
        <w:pStyle w:val="50"/>
        <w:shd w:val="clear"/>
        <w:snapToGrid w:val="0"/>
        <w:spacing w:before="0"/>
        <w:ind w:firstLine="42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11.1响应文件按照竞争性磋商文件第六部分格式要求进行签署、盖章。</w:t>
      </w:r>
      <w:r>
        <w:rPr>
          <w:rFonts w:hint="eastAsia" w:asciiTheme="minorEastAsia" w:hAnsiTheme="minorEastAsia" w:eastAsiaTheme="minorEastAsia" w:cstheme="minorEastAsia"/>
          <w:b/>
          <w:color w:val="auto"/>
          <w:sz w:val="21"/>
          <w:szCs w:val="21"/>
        </w:rPr>
        <w:t>▲供应商的响应文件未按照竞争性磋商文件要求签署、盖章的，其响应无效</w:t>
      </w:r>
      <w:r>
        <w:rPr>
          <w:rFonts w:hint="eastAsia" w:asciiTheme="minorEastAsia" w:hAnsiTheme="minorEastAsia" w:eastAsiaTheme="minorEastAsia" w:cstheme="minorEastAsia"/>
          <w:color w:val="auto"/>
          <w:sz w:val="21"/>
          <w:szCs w:val="21"/>
        </w:rPr>
        <w:t>。</w:t>
      </w:r>
    </w:p>
    <w:p w14:paraId="2E0C6AD9">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11.2为确保网上操作合法、有效和安全，</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sz w:val="21"/>
          <w:szCs w:val="21"/>
        </w:rPr>
        <w:t>应当在响应截止时间前完成在“政府采购云平台”的身份认证，确保在电子投标过程中能够对相关数据电文进行加密和使用电子签名。</w:t>
      </w:r>
    </w:p>
    <w:p w14:paraId="30B57E55">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11.3竞争性磋商文件对响应文件签署、盖章的要求适用于电子签名。</w:t>
      </w:r>
    </w:p>
    <w:p w14:paraId="398737E8">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响应文件的提交、补充、修改、撤回</w:t>
      </w:r>
    </w:p>
    <w:p w14:paraId="1439B61C">
      <w:pPr>
        <w:pStyle w:val="50"/>
        <w:shd w:val="clear"/>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589B36C4">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12.2电子交易平台收到响应文件，将妥善保存并即时向供应商发出确认回执通知。在响应截止时间前，除供应商补充、修改或者撤回响应文件外，任何单位和个人不得解密或提取响应文件。</w:t>
      </w:r>
    </w:p>
    <w:p w14:paraId="793D856C">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12.3采购人、采购代理机构可以视情况延长响应文件提交的截止时间。在上述情况下，采购代理机构与</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sz w:val="21"/>
          <w:szCs w:val="21"/>
        </w:rPr>
        <w:t>以前在响应截止期方面的全部权利、责任和义务，将适用于延长至新的响应截止期。</w:t>
      </w:r>
    </w:p>
    <w:p w14:paraId="383418C6">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响应有效期</w:t>
      </w:r>
    </w:p>
    <w:p w14:paraId="2B4D06FA">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响应有效期为从提交响应文件的截止之日起90天。▲</w:t>
      </w:r>
      <w:r>
        <w:rPr>
          <w:rFonts w:hint="eastAsia" w:asciiTheme="minorEastAsia" w:hAnsiTheme="minorEastAsia" w:eastAsiaTheme="minorEastAsia" w:cstheme="minorEastAsia"/>
          <w:b/>
          <w:color w:val="auto"/>
          <w:szCs w:val="21"/>
        </w:rPr>
        <w:t>供应商的响应文件中承诺的响应有效期少于竞争性磋商文件中载明的响应有效期的，响应无效。</w:t>
      </w:r>
    </w:p>
    <w:p w14:paraId="297C3086">
      <w:pPr>
        <w:pStyle w:val="50"/>
        <w:shd w:val="clear"/>
        <w:spacing w:before="0"/>
        <w:ind w:firstLine="0" w:firstLineChars="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四、响应文件开启、资格审查与信用信息查询</w:t>
      </w:r>
    </w:p>
    <w:p w14:paraId="60E2623A">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 xml:space="preserve">响应文件开启 </w:t>
      </w:r>
    </w:p>
    <w:p w14:paraId="447B1C85">
      <w:pPr>
        <w:pStyle w:val="45"/>
        <w:shd w:val="clear"/>
        <w:spacing w:before="0" w:line="360" w:lineRule="auto"/>
        <w:ind w:left="0" w:firstLine="420" w:firstLineChars="2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14.1采购代理机构按照竞争性磋商文件规定的时间通过电子交易平台组织响应文件开启，所有</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均应当准时在线参加。</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不足3家的，不得开启响应文件。</w:t>
      </w:r>
    </w:p>
    <w:p w14:paraId="411D9FD5">
      <w:pPr>
        <w:pStyle w:val="45"/>
        <w:shd w:val="clear"/>
        <w:spacing w:before="0" w:line="360" w:lineRule="auto"/>
        <w:ind w:left="0" w:firstLine="210" w:firstLineChars="1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14.2开启响应文件时，电子交易平台按响应文件开启时间自动提取所有响应文件。采购代理机构依托电子交易平台发起开始解密指令，</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按照平台提示和竞争性磋商文件的规定在半小时内完成在线解密。</w:t>
      </w:r>
    </w:p>
    <w:p w14:paraId="6A2BF623">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资格审查</w:t>
      </w:r>
    </w:p>
    <w:p w14:paraId="13F587E6">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w:t>
      </w:r>
      <w:r>
        <w:rPr>
          <w:rFonts w:hint="eastAsia" w:asciiTheme="minorEastAsia" w:hAnsiTheme="minorEastAsia" w:eastAsiaTheme="minorEastAsia" w:cstheme="minorEastAsia"/>
          <w:color w:val="auto"/>
          <w:sz w:val="21"/>
          <w:szCs w:val="21"/>
        </w:rPr>
        <w:t>响应文件开启</w:t>
      </w:r>
      <w:r>
        <w:rPr>
          <w:rFonts w:hint="eastAsia" w:asciiTheme="minorEastAsia" w:hAnsiTheme="minorEastAsia" w:eastAsiaTheme="minorEastAsia" w:cstheme="minorEastAsia"/>
          <w:color w:val="auto"/>
          <w:kern w:val="0"/>
          <w:sz w:val="21"/>
          <w:szCs w:val="21"/>
        </w:rPr>
        <w:t>后，采购人或采购代理机构依据法律法规和</w:t>
      </w:r>
      <w:r>
        <w:rPr>
          <w:rFonts w:hint="eastAsia" w:asciiTheme="minorEastAsia" w:hAnsiTheme="minorEastAsia" w:eastAsiaTheme="minorEastAsia" w:cstheme="minorEastAsia"/>
          <w:color w:val="auto"/>
          <w:sz w:val="21"/>
          <w:szCs w:val="21"/>
        </w:rPr>
        <w:t>竞争性磋商</w:t>
      </w:r>
      <w:r>
        <w:rPr>
          <w:rFonts w:hint="eastAsia" w:asciiTheme="minorEastAsia" w:hAnsiTheme="minorEastAsia" w:eastAsiaTheme="minorEastAsia" w:cstheme="minorEastAsia"/>
          <w:color w:val="auto"/>
          <w:kern w:val="0"/>
          <w:sz w:val="21"/>
          <w:szCs w:val="21"/>
        </w:rPr>
        <w:t>文件的规定，对供应商的资格条件进行审查。</w:t>
      </w:r>
    </w:p>
    <w:p w14:paraId="433B81D1">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sz w:val="21"/>
          <w:szCs w:val="21"/>
        </w:rPr>
        <w:t>2对未通过资格审查的供应商，采购人或采购代理机构告知其未通过的原因。</w:t>
      </w:r>
    </w:p>
    <w:p w14:paraId="3F7C7C21">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sz w:val="21"/>
          <w:szCs w:val="21"/>
        </w:rPr>
        <w:t>3合格供应商不足3家的，不再评审，但符合《政府采购竞争性磋商采购方式管理暂行办法》第二十一条第三款和《财政部关于政府采购竞争性磋商采购方式管理暂行办法有关问题的补充通知》规定的情形，采购活动可以继续进行。</w:t>
      </w:r>
    </w:p>
    <w:p w14:paraId="006EE376">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信用信息查询</w:t>
      </w:r>
    </w:p>
    <w:p w14:paraId="205625F9">
      <w:pPr>
        <w:pStyle w:val="50"/>
        <w:shd w:val="clear"/>
        <w:spacing w:before="0"/>
        <w:ind w:firstLine="495" w:firstLineChars="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16.1信用信息查询渠道及截止时间：采购代理机构将通过“信用中国”网站(www.creditchina.gov.cn)、中国政府采购网(www.ccgp.gov.cn)渠道查询供应商响应截止时间当天的信用记录。</w:t>
      </w:r>
    </w:p>
    <w:p w14:paraId="502F3F4F">
      <w:pPr>
        <w:pStyle w:val="50"/>
        <w:shd w:val="clear"/>
        <w:spacing w:before="0"/>
        <w:ind w:firstLine="495" w:firstLineChars="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将被拒绝参与采购活动。</w:t>
      </w:r>
    </w:p>
    <w:p w14:paraId="28249C37">
      <w:pPr>
        <w:shd w:val="clear"/>
        <w:snapToGrid w:val="0"/>
        <w:spacing w:line="360" w:lineRule="auto"/>
        <w:ind w:firstLine="723"/>
        <w:jc w:val="center"/>
        <w:outlineLvl w:val="0"/>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五、评审</w:t>
      </w:r>
    </w:p>
    <w:p w14:paraId="5632B10F">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bookmarkStart w:id="26" w:name="_Toc91899903"/>
      <w:r>
        <w:rPr>
          <w:rFonts w:hint="eastAsia" w:asciiTheme="minorEastAsia" w:hAnsiTheme="minorEastAsia" w:eastAsiaTheme="minorEastAsia" w:cstheme="minorEastAsia"/>
          <w:b/>
          <w:color w:val="auto"/>
          <w:szCs w:val="21"/>
        </w:rPr>
        <w:t>磋商小组</w:t>
      </w:r>
    </w:p>
    <w:p w14:paraId="4CD35EA5">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 本次采购依法组建磋商小组。磋商小组由采购人代表和评审专家组成，评审专家从专家库随机抽取。</w:t>
      </w:r>
    </w:p>
    <w:p w14:paraId="2D211548">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 评审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73D0F024">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 评审专家有下列情形之一的，应主动提出回避，采购当事人也可以要求该评审专家回避：</w:t>
      </w:r>
    </w:p>
    <w:p w14:paraId="1348CB03">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17.3.1 参加采购活动前3年内与供应商存在劳动关系；</w:t>
      </w:r>
    </w:p>
    <w:p w14:paraId="4536B8D0">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 参加采购活动前3年内担任供应商的董事、监事；</w:t>
      </w:r>
    </w:p>
    <w:p w14:paraId="32A96F72">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17.3.3 参加采购活动前3年内是供应商的控股股东或者实际控制人；</w:t>
      </w:r>
    </w:p>
    <w:p w14:paraId="386A2E89">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17.3.4 与供应商的法定代表人或者负责人有夫妻、直系血亲、三代以内旁系血亲或者近姻亲关系；</w:t>
      </w:r>
    </w:p>
    <w:p w14:paraId="6CC4E8E4">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17.3.5 与供应商有其他可能影响采购活动公平、公正进行的关系。</w:t>
      </w:r>
    </w:p>
    <w:p w14:paraId="4340410D">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DC4CF62">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 磋商小组判断响应文件的有效性、合格性和响应情况，仅依据供应商所递交一切文件的真实表述，不受与本项目无直接关联的外部信息、传言而影响自身的专业判断。</w:t>
      </w:r>
    </w:p>
    <w:p w14:paraId="1034331B">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67AC0282">
      <w:pPr>
        <w:shd w:val="clear"/>
        <w:spacing w:line="360" w:lineRule="auto"/>
        <w:ind w:firstLine="482"/>
        <w:rPr>
          <w:rFonts w:asciiTheme="minorEastAsia" w:hAnsiTheme="minorEastAsia" w:eastAsiaTheme="minorEastAsia" w:cstheme="minorEastAsia"/>
          <w:b/>
          <w:color w:val="auto"/>
          <w:sz w:val="24"/>
        </w:rPr>
      </w:pPr>
    </w:p>
    <w:p w14:paraId="2EB43126">
      <w:pPr>
        <w:shd w:val="clear"/>
        <w:snapToGrid w:val="0"/>
        <w:spacing w:line="360" w:lineRule="auto"/>
        <w:ind w:firstLine="723"/>
        <w:jc w:val="center"/>
        <w:outlineLvl w:val="0"/>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六、成交</w:t>
      </w:r>
    </w:p>
    <w:p w14:paraId="4F105278">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确定成交供应商</w:t>
      </w:r>
    </w:p>
    <w:p w14:paraId="6899D2C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color w:val="auto"/>
          <w:kern w:val="0"/>
          <w:sz w:val="21"/>
          <w:szCs w:val="21"/>
        </w:rPr>
        <w:t>采购人授权磋商小组直接确定排序第一的供应商为成交供应商。</w:t>
      </w:r>
    </w:p>
    <w:p w14:paraId="65EC2261">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成交通知与成交结果公告</w:t>
      </w:r>
    </w:p>
    <w:p w14:paraId="18B2EC05">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19.1自成交供应商确定之日起2个工作日内，采购代理机构通过电子交易平台向成交供应商发出成交通知书，同时编制发布采购结果公告。采购代理机构也可以以纸质形式进行成交通知。</w:t>
      </w:r>
    </w:p>
    <w:p w14:paraId="4A90189C">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r>
        <w:rPr>
          <w:rFonts w:hint="eastAsia" w:asciiTheme="minorEastAsia" w:hAnsiTheme="minorEastAsia" w:eastAsiaTheme="minorEastAsia" w:cstheme="minorEastAsia"/>
          <w:b/>
          <w:bCs/>
          <w:color w:val="auto"/>
          <w:kern w:val="0"/>
          <w:sz w:val="21"/>
          <w:szCs w:val="21"/>
        </w:rPr>
        <w:t>。</w:t>
      </w:r>
    </w:p>
    <w:p w14:paraId="0B43BCD9">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19.3公告期限为1个工作日。</w:t>
      </w:r>
    </w:p>
    <w:p w14:paraId="04CB78CA">
      <w:pPr>
        <w:shd w:val="clear"/>
        <w:snapToGrid w:val="0"/>
        <w:spacing w:line="360" w:lineRule="auto"/>
        <w:ind w:firstLine="643"/>
        <w:rPr>
          <w:rFonts w:asciiTheme="minorEastAsia" w:hAnsiTheme="minorEastAsia" w:eastAsiaTheme="minorEastAsia" w:cstheme="minorEastAsia"/>
          <w:b/>
          <w:color w:val="auto"/>
          <w:sz w:val="32"/>
        </w:rPr>
      </w:pPr>
    </w:p>
    <w:p w14:paraId="580CE984">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七、合同授予</w:t>
      </w:r>
    </w:p>
    <w:p w14:paraId="3EDFB9A4">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合同授予</w:t>
      </w:r>
    </w:p>
    <w:p w14:paraId="7986B242">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合同主要条款详见第五部分拟签订的合同文本。</w:t>
      </w:r>
    </w:p>
    <w:p w14:paraId="54B6694A">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合同的签订</w:t>
      </w:r>
    </w:p>
    <w:p w14:paraId="4B115587">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 采购人与成交供应商应当通过电子交易平台在成交通知书发出之日起30日内，按照竞争性磋商文件及成交供应商的响应文件确定的事项签订采购合同，并在合同签订之日起2个工作日内依法发布合同公告。</w:t>
      </w:r>
    </w:p>
    <w:p w14:paraId="21914523">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2</w:t>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zh-CN"/>
        </w:rPr>
        <w:t>.2成交供应商按规定的日期、时间、地点，由法定代表人或其授权代表与采购人代表签订合同。如成交人为联合体的，由联合体成员各方法定代表人或其授权代表与采购人代表签订合同。</w:t>
      </w:r>
    </w:p>
    <w:p w14:paraId="58D49AEC">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21.3如签订合同并生效后，供应商无故拒绝或延期，除按照合同条款处理外，列入不良行为记录名单，并给予通报。</w:t>
      </w:r>
    </w:p>
    <w:p w14:paraId="76193DC6">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r>
        <w:rPr>
          <w:rFonts w:hint="eastAsia" w:asciiTheme="minorEastAsia" w:hAnsiTheme="minorEastAsia" w:eastAsiaTheme="minorEastAsia" w:cstheme="minorEastAsia"/>
          <w:color w:val="auto"/>
          <w:kern w:val="0"/>
          <w:sz w:val="21"/>
          <w:szCs w:val="21"/>
          <w:lang w:val="zh-CN"/>
        </w:rPr>
        <w:t>成交</w:t>
      </w:r>
      <w:r>
        <w:rPr>
          <w:rFonts w:hint="eastAsia" w:asciiTheme="minorEastAsia" w:hAnsiTheme="minorEastAsia" w:eastAsiaTheme="minorEastAsia" w:cstheme="minorEastAsia"/>
          <w:color w:val="auto"/>
          <w:kern w:val="0"/>
          <w:sz w:val="21"/>
          <w:szCs w:val="21"/>
        </w:rPr>
        <w:t>供应商拒绝与采购人签订合同的，列入不良行为记录名单，采购人、采购代理机构重新开展采购活动。</w:t>
      </w:r>
    </w:p>
    <w:p w14:paraId="10EB0625">
      <w:pPr>
        <w:pStyle w:val="50"/>
        <w:shd w:val="clear"/>
        <w:spacing w:before="0"/>
        <w:ind w:firstLine="420"/>
        <w:rPr>
          <w:rFonts w:asciiTheme="minorEastAsia" w:hAnsiTheme="minorEastAsia" w:eastAsiaTheme="minorEastAsia" w:cstheme="minorEastAsia"/>
          <w:color w:val="auto"/>
          <w:kern w:val="0"/>
          <w:sz w:val="21"/>
          <w:szCs w:val="21"/>
        </w:rPr>
      </w:pPr>
    </w:p>
    <w:p w14:paraId="6F3C491B">
      <w:pPr>
        <w:shd w:val="clear"/>
        <w:snapToGrid w:val="0"/>
        <w:spacing w:line="360" w:lineRule="auto"/>
        <w:ind w:firstLine="3357" w:firstLineChars="1045"/>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32"/>
        </w:rPr>
        <w:t>八、电子交易活动的中止</w:t>
      </w:r>
    </w:p>
    <w:p w14:paraId="678660F9">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电子交易活动的中止</w:t>
      </w:r>
    </w:p>
    <w:p w14:paraId="3BDA3B14">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采购过程中出现以下情形，导致电子交易平台无法正常运行，或者无法保证电子交易的公平、公正和安全时，采购代理机构可中止电子交易活动：</w:t>
      </w:r>
    </w:p>
    <w:p w14:paraId="336A7162">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22.1电子交易平台发生故障而无法登录访问的； </w:t>
      </w:r>
    </w:p>
    <w:p w14:paraId="7E6F3DC5">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22.2电子交易平台应用或数据库出现错误，不能进行正常操作的；</w:t>
      </w:r>
    </w:p>
    <w:p w14:paraId="44F1AFF4">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22.3电子交易平台发现严重安全漏洞，有潜在泄密危险的；</w:t>
      </w:r>
    </w:p>
    <w:p w14:paraId="24A372A4">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22.4病毒发作导致不能进行正常操作的； </w:t>
      </w:r>
    </w:p>
    <w:p w14:paraId="473D9BE5">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22.5其他无法保证电子交易的公平、公正和安全的情况。</w:t>
      </w:r>
    </w:p>
    <w:p w14:paraId="25D691A3">
      <w:pPr>
        <w:shd w:val="clear"/>
        <w:snapToGrid w:val="0"/>
        <w:spacing w:line="360" w:lineRule="auto"/>
        <w:ind w:firstLine="643"/>
        <w:rPr>
          <w:rFonts w:asciiTheme="minorEastAsia" w:hAnsiTheme="minorEastAsia" w:eastAsiaTheme="minorEastAsia" w:cstheme="minorEastAsia"/>
          <w:b/>
          <w:color w:val="auto"/>
          <w:sz w:val="32"/>
        </w:rPr>
      </w:pPr>
    </w:p>
    <w:p w14:paraId="6D42D385">
      <w:pPr>
        <w:shd w:val="clear"/>
        <w:snapToGrid w:val="0"/>
        <w:spacing w:line="360" w:lineRule="auto"/>
        <w:ind w:firstLine="643"/>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九、验收</w:t>
      </w:r>
    </w:p>
    <w:p w14:paraId="63CB5611">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验收</w:t>
      </w:r>
    </w:p>
    <w:bookmarkEnd w:id="23"/>
    <w:bookmarkEnd w:id="24"/>
    <w:bookmarkEnd w:id="26"/>
    <w:p w14:paraId="5F9827F6">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3262A32">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1994B19">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r>
        <w:rPr>
          <w:rFonts w:hint="eastAsia" w:asciiTheme="minorEastAsia" w:hAnsiTheme="minorEastAsia" w:eastAsiaTheme="minorEastAsia" w:cstheme="minorEastAsia"/>
          <w:color w:val="auto"/>
          <w:kern w:val="0"/>
          <w:szCs w:val="21"/>
        </w:rPr>
        <w:br w:type="page"/>
      </w:r>
    </w:p>
    <w:p w14:paraId="3E0CC968">
      <w:pPr>
        <w:shd w:val="clear"/>
        <w:tabs>
          <w:tab w:val="left" w:pos="0"/>
        </w:tabs>
        <w:spacing w:line="360" w:lineRule="auto"/>
        <w:ind w:firstLine="723"/>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第三部分   采购需求</w:t>
      </w:r>
    </w:p>
    <w:p w14:paraId="6F58270E">
      <w:pPr>
        <w:shd w:val="clear"/>
        <w:spacing w:before="120" w:beforeLines="50" w:line="360" w:lineRule="auto"/>
        <w:ind w:firstLine="422" w:firstLineChars="200"/>
        <w:rPr>
          <w:rFonts w:ascii="宋体" w:hAnsi="宋体" w:cs="宋体"/>
          <w:b/>
          <w:color w:val="auto"/>
          <w:szCs w:val="21"/>
        </w:rPr>
      </w:pPr>
      <w:bookmarkStart w:id="27" w:name="_Hlk128151554"/>
      <w:r>
        <w:rPr>
          <w:rFonts w:hint="eastAsia" w:ascii="宋体" w:hAnsi="宋体" w:cs="宋体"/>
          <w:b/>
          <w:color w:val="auto"/>
          <w:szCs w:val="21"/>
        </w:rPr>
        <w:t>（一）采购范围</w:t>
      </w:r>
    </w:p>
    <w:p w14:paraId="2110E627">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施工图范围内的电力排管、电缆井、路面破修等。</w:t>
      </w:r>
    </w:p>
    <w:p w14:paraId="1F59F162">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（二）施工图设计内容：</w:t>
      </w:r>
    </w:p>
    <w:p w14:paraId="7E5E92CA">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施工图设计情况:</w:t>
      </w:r>
      <w:r>
        <w:rPr>
          <w:rFonts w:hint="eastAsia"/>
          <w:color w:val="auto"/>
        </w:rPr>
        <w:t xml:space="preserve"> 详见图纸。</w:t>
      </w:r>
    </w:p>
    <w:p w14:paraId="4616C2D3">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（三）项目部分要求前附表（前附表要求如与采购文件其他内容有出入的，以本表为准）</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6C0D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1C1AC2C">
            <w:pPr>
              <w:widowControl w:val="0"/>
              <w:shd w:val="clear"/>
              <w:spacing w:line="360" w:lineRule="auto"/>
              <w:jc w:val="center"/>
              <w:rPr>
                <w:rFonts w:ascii="宋体" w:hAnsi="宋体" w:cs="宋体"/>
                <w:color w:val="auto"/>
                <w:szCs w:val="21"/>
              </w:rPr>
            </w:pPr>
            <w:r>
              <w:rPr>
                <w:color w:val="auto"/>
                <w:szCs w:val="21"/>
              </w:rPr>
              <w:t>序号</w:t>
            </w:r>
          </w:p>
        </w:tc>
        <w:tc>
          <w:tcPr>
            <w:tcW w:w="3669" w:type="dxa"/>
            <w:vAlign w:val="center"/>
          </w:tcPr>
          <w:p w14:paraId="161B508F">
            <w:pPr>
              <w:widowControl w:val="0"/>
              <w:shd w:val="clear"/>
              <w:spacing w:line="360" w:lineRule="auto"/>
              <w:jc w:val="center"/>
              <w:rPr>
                <w:rFonts w:ascii="宋体" w:hAnsi="宋体" w:cs="宋体"/>
                <w:color w:val="auto"/>
                <w:szCs w:val="21"/>
              </w:rPr>
            </w:pPr>
            <w:r>
              <w:rPr>
                <w:color w:val="auto"/>
                <w:szCs w:val="21"/>
              </w:rPr>
              <w:t>项目内容</w:t>
            </w:r>
          </w:p>
        </w:tc>
        <w:tc>
          <w:tcPr>
            <w:tcW w:w="3103" w:type="dxa"/>
            <w:vAlign w:val="center"/>
          </w:tcPr>
          <w:p w14:paraId="1870861F">
            <w:pPr>
              <w:widowControl w:val="0"/>
              <w:shd w:val="clear"/>
              <w:spacing w:line="360" w:lineRule="auto"/>
              <w:jc w:val="center"/>
              <w:rPr>
                <w:rFonts w:ascii="宋体" w:hAnsi="宋体" w:cs="宋体"/>
                <w:color w:val="auto"/>
                <w:szCs w:val="21"/>
              </w:rPr>
            </w:pPr>
            <w:r>
              <w:rPr>
                <w:color w:val="auto"/>
                <w:szCs w:val="21"/>
              </w:rPr>
              <w:t>说明与要求</w:t>
            </w:r>
          </w:p>
        </w:tc>
        <w:tc>
          <w:tcPr>
            <w:tcW w:w="1541" w:type="dxa"/>
            <w:vAlign w:val="center"/>
          </w:tcPr>
          <w:p w14:paraId="14C92291">
            <w:pPr>
              <w:widowControl w:val="0"/>
              <w:shd w:val="clear"/>
              <w:spacing w:line="360" w:lineRule="auto"/>
              <w:jc w:val="center"/>
              <w:rPr>
                <w:rFonts w:ascii="宋体" w:hAnsi="宋体" w:cs="宋体"/>
                <w:color w:val="auto"/>
                <w:szCs w:val="21"/>
              </w:rPr>
            </w:pPr>
            <w:r>
              <w:rPr>
                <w:rFonts w:hint="eastAsia"/>
                <w:color w:val="auto"/>
                <w:szCs w:val="21"/>
              </w:rPr>
              <w:t>供应商响应</w:t>
            </w:r>
          </w:p>
        </w:tc>
      </w:tr>
      <w:tr w14:paraId="41EE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F849AA6">
            <w:pPr>
              <w:widowControl w:val="0"/>
              <w:shd w:val="clear"/>
              <w:spacing w:line="360" w:lineRule="auto"/>
              <w:jc w:val="center"/>
              <w:rPr>
                <w:rFonts w:ascii="宋体" w:hAnsi="宋体" w:cs="宋体"/>
                <w:color w:val="auto"/>
                <w:szCs w:val="21"/>
              </w:rPr>
            </w:pPr>
            <w:r>
              <w:rPr>
                <w:rFonts w:ascii="Times New Roman" w:hAnsi="Times New Roman"/>
                <w:color w:val="auto"/>
                <w:szCs w:val="21"/>
              </w:rPr>
              <w:t>1</w:t>
            </w:r>
          </w:p>
        </w:tc>
        <w:tc>
          <w:tcPr>
            <w:tcW w:w="3669" w:type="dxa"/>
            <w:vAlign w:val="center"/>
          </w:tcPr>
          <w:p w14:paraId="785310AA">
            <w:pPr>
              <w:widowControl w:val="0"/>
              <w:shd w:val="clear"/>
              <w:spacing w:line="360" w:lineRule="auto"/>
              <w:jc w:val="center"/>
              <w:rPr>
                <w:rFonts w:ascii="宋体" w:hAnsi="宋体" w:cs="宋体"/>
                <w:color w:val="auto"/>
                <w:szCs w:val="21"/>
              </w:rPr>
            </w:pPr>
            <w:r>
              <w:rPr>
                <w:color w:val="auto"/>
                <w:szCs w:val="21"/>
              </w:rPr>
              <w:t>施工准备时间</w:t>
            </w:r>
          </w:p>
        </w:tc>
        <w:tc>
          <w:tcPr>
            <w:tcW w:w="3103" w:type="dxa"/>
            <w:vAlign w:val="center"/>
          </w:tcPr>
          <w:p w14:paraId="7A339699">
            <w:pPr>
              <w:widowControl w:val="0"/>
              <w:shd w:val="clear"/>
              <w:spacing w:line="360" w:lineRule="auto"/>
              <w:jc w:val="center"/>
              <w:rPr>
                <w:rFonts w:ascii="宋体" w:hAnsi="宋体" w:cs="宋体"/>
                <w:color w:val="auto"/>
                <w:szCs w:val="21"/>
              </w:rPr>
            </w:pPr>
            <w:r>
              <w:rPr>
                <w:rFonts w:hint="eastAsia" w:ascii="宋体"/>
                <w:color w:val="auto"/>
                <w:szCs w:val="21"/>
              </w:rPr>
              <w:t>签订合同后 7 天</w:t>
            </w:r>
          </w:p>
        </w:tc>
        <w:tc>
          <w:tcPr>
            <w:tcW w:w="1541" w:type="dxa"/>
            <w:vAlign w:val="center"/>
          </w:tcPr>
          <w:p w14:paraId="513FE82E">
            <w:pPr>
              <w:widowControl w:val="0"/>
              <w:shd w:val="clear"/>
              <w:spacing w:line="360" w:lineRule="auto"/>
              <w:jc w:val="center"/>
              <w:rPr>
                <w:rFonts w:ascii="宋体" w:hAnsi="宋体" w:cs="宋体"/>
                <w:color w:val="auto"/>
                <w:szCs w:val="21"/>
              </w:rPr>
            </w:pPr>
          </w:p>
        </w:tc>
      </w:tr>
      <w:tr w14:paraId="1D69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36BA72B">
            <w:pPr>
              <w:widowControl w:val="0"/>
              <w:shd w:val="clear"/>
              <w:spacing w:line="360" w:lineRule="auto"/>
              <w:jc w:val="center"/>
              <w:rPr>
                <w:rFonts w:ascii="宋体" w:hAnsi="宋体" w:cs="宋体"/>
                <w:color w:val="auto"/>
                <w:szCs w:val="21"/>
              </w:rPr>
            </w:pPr>
            <w:r>
              <w:rPr>
                <w:rFonts w:ascii="Times New Roman" w:hAnsi="Times New Roman"/>
                <w:color w:val="auto"/>
                <w:szCs w:val="21"/>
              </w:rPr>
              <w:t>2</w:t>
            </w:r>
          </w:p>
        </w:tc>
        <w:tc>
          <w:tcPr>
            <w:tcW w:w="3669" w:type="dxa"/>
            <w:vAlign w:val="center"/>
          </w:tcPr>
          <w:p w14:paraId="7710C1DC">
            <w:pPr>
              <w:widowControl w:val="0"/>
              <w:shd w:val="clear"/>
              <w:snapToGrid w:val="0"/>
              <w:spacing w:line="360" w:lineRule="auto"/>
              <w:jc w:val="center"/>
              <w:rPr>
                <w:rFonts w:ascii="宋体" w:hAnsi="宋体" w:cs="宋体"/>
                <w:color w:val="auto"/>
                <w:szCs w:val="21"/>
              </w:rPr>
            </w:pPr>
            <w:r>
              <w:rPr>
                <w:color w:val="auto"/>
                <w:szCs w:val="21"/>
              </w:rPr>
              <w:t>延误合同工期赔偿标准</w:t>
            </w:r>
          </w:p>
        </w:tc>
        <w:tc>
          <w:tcPr>
            <w:tcW w:w="3103" w:type="dxa"/>
            <w:vAlign w:val="center"/>
          </w:tcPr>
          <w:p w14:paraId="02AFF186">
            <w:pPr>
              <w:widowControl w:val="0"/>
              <w:shd w:val="clear"/>
              <w:snapToGrid w:val="0"/>
              <w:spacing w:line="360" w:lineRule="auto"/>
              <w:jc w:val="center"/>
              <w:rPr>
                <w:rFonts w:ascii="宋体" w:hAnsi="宋体" w:cs="宋体"/>
                <w:color w:val="auto"/>
                <w:szCs w:val="21"/>
              </w:rPr>
            </w:pPr>
            <w:r>
              <w:rPr>
                <w:rFonts w:hint="eastAsia" w:ascii="宋体"/>
                <w:color w:val="auto"/>
                <w:szCs w:val="21"/>
              </w:rPr>
              <w:t>1000 元/天</w:t>
            </w:r>
          </w:p>
        </w:tc>
        <w:tc>
          <w:tcPr>
            <w:tcW w:w="1541" w:type="dxa"/>
            <w:vAlign w:val="center"/>
          </w:tcPr>
          <w:p w14:paraId="0FD08A42">
            <w:pPr>
              <w:widowControl w:val="0"/>
              <w:shd w:val="clear"/>
              <w:spacing w:line="360" w:lineRule="auto"/>
              <w:jc w:val="center"/>
              <w:rPr>
                <w:rFonts w:ascii="宋体" w:hAnsi="宋体" w:cs="宋体"/>
                <w:color w:val="auto"/>
                <w:szCs w:val="21"/>
              </w:rPr>
            </w:pPr>
          </w:p>
        </w:tc>
      </w:tr>
      <w:tr w14:paraId="3668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8981437">
            <w:pPr>
              <w:widowControl w:val="0"/>
              <w:shd w:val="clear"/>
              <w:spacing w:line="360" w:lineRule="auto"/>
              <w:jc w:val="center"/>
              <w:rPr>
                <w:rFonts w:ascii="宋体" w:hAnsi="宋体" w:cs="宋体"/>
                <w:color w:val="auto"/>
                <w:szCs w:val="21"/>
              </w:rPr>
            </w:pPr>
            <w:r>
              <w:rPr>
                <w:rFonts w:ascii="Times New Roman" w:hAnsi="Times New Roman"/>
                <w:color w:val="auto"/>
                <w:szCs w:val="21"/>
              </w:rPr>
              <w:t>3</w:t>
            </w:r>
          </w:p>
        </w:tc>
        <w:tc>
          <w:tcPr>
            <w:tcW w:w="3669" w:type="dxa"/>
            <w:vAlign w:val="center"/>
          </w:tcPr>
          <w:p w14:paraId="0C5703D7">
            <w:pPr>
              <w:widowControl w:val="0"/>
              <w:shd w:val="clear"/>
              <w:snapToGrid w:val="0"/>
              <w:spacing w:line="360" w:lineRule="auto"/>
              <w:jc w:val="center"/>
              <w:rPr>
                <w:rFonts w:ascii="宋体" w:hAnsi="宋体" w:cs="宋体"/>
                <w:color w:val="auto"/>
                <w:szCs w:val="21"/>
              </w:rPr>
            </w:pPr>
            <w:r>
              <w:rPr>
                <w:rFonts w:hint="eastAsia" w:ascii="宋体"/>
                <w:color w:val="auto"/>
                <w:szCs w:val="21"/>
              </w:rPr>
              <w:t>未达到工程工期违约金限额</w:t>
            </w:r>
          </w:p>
        </w:tc>
        <w:tc>
          <w:tcPr>
            <w:tcW w:w="3103" w:type="dxa"/>
            <w:vAlign w:val="center"/>
          </w:tcPr>
          <w:p w14:paraId="5E0BB203">
            <w:pPr>
              <w:widowControl w:val="0"/>
              <w:shd w:val="clear"/>
              <w:snapToGrid w:val="0"/>
              <w:spacing w:line="360" w:lineRule="auto"/>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2 </w:t>
            </w:r>
            <w:r>
              <w:rPr>
                <w:rFonts w:hint="eastAsia" w:ascii="宋体"/>
                <w:color w:val="auto"/>
                <w:szCs w:val="21"/>
              </w:rPr>
              <w:t>%</w:t>
            </w:r>
          </w:p>
        </w:tc>
        <w:tc>
          <w:tcPr>
            <w:tcW w:w="1541" w:type="dxa"/>
            <w:vAlign w:val="center"/>
          </w:tcPr>
          <w:p w14:paraId="336C9938">
            <w:pPr>
              <w:widowControl w:val="0"/>
              <w:shd w:val="clear"/>
              <w:spacing w:line="360" w:lineRule="auto"/>
              <w:jc w:val="center"/>
              <w:rPr>
                <w:rFonts w:ascii="宋体" w:hAnsi="宋体" w:cs="宋体"/>
                <w:color w:val="auto"/>
                <w:szCs w:val="21"/>
              </w:rPr>
            </w:pPr>
          </w:p>
        </w:tc>
      </w:tr>
      <w:tr w14:paraId="3AC4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7672A5F">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4</w:t>
            </w:r>
          </w:p>
        </w:tc>
        <w:tc>
          <w:tcPr>
            <w:tcW w:w="3669" w:type="dxa"/>
            <w:vAlign w:val="center"/>
          </w:tcPr>
          <w:p w14:paraId="78C2A175">
            <w:pPr>
              <w:widowControl w:val="0"/>
              <w:shd w:val="clear"/>
              <w:spacing w:line="350" w:lineRule="exact"/>
              <w:jc w:val="center"/>
              <w:rPr>
                <w:rFonts w:ascii="宋体"/>
                <w:color w:val="auto"/>
                <w:szCs w:val="21"/>
              </w:rPr>
            </w:pPr>
            <w:r>
              <w:rPr>
                <w:rFonts w:hint="eastAsia" w:ascii="宋体"/>
                <w:color w:val="auto"/>
                <w:szCs w:val="21"/>
              </w:rPr>
              <w:t>未达到工程质量验收标准违约金限额</w:t>
            </w:r>
          </w:p>
        </w:tc>
        <w:tc>
          <w:tcPr>
            <w:tcW w:w="3103" w:type="dxa"/>
            <w:vAlign w:val="center"/>
          </w:tcPr>
          <w:p w14:paraId="6B10E8CA">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524DFBBB">
            <w:pPr>
              <w:widowControl w:val="0"/>
              <w:shd w:val="clear"/>
              <w:spacing w:line="360" w:lineRule="auto"/>
              <w:jc w:val="center"/>
              <w:rPr>
                <w:rFonts w:ascii="宋体" w:hAnsi="宋体" w:cs="宋体"/>
                <w:color w:val="auto"/>
                <w:szCs w:val="21"/>
              </w:rPr>
            </w:pPr>
          </w:p>
        </w:tc>
      </w:tr>
      <w:tr w14:paraId="7B33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5BD791A">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5</w:t>
            </w:r>
          </w:p>
        </w:tc>
        <w:tc>
          <w:tcPr>
            <w:tcW w:w="3669" w:type="dxa"/>
            <w:vAlign w:val="center"/>
          </w:tcPr>
          <w:p w14:paraId="47BE3924">
            <w:pPr>
              <w:widowControl w:val="0"/>
              <w:shd w:val="clear"/>
              <w:spacing w:line="350" w:lineRule="exact"/>
              <w:jc w:val="center"/>
              <w:rPr>
                <w:rFonts w:ascii="宋体"/>
                <w:color w:val="auto"/>
                <w:szCs w:val="21"/>
              </w:rPr>
            </w:pPr>
            <w:r>
              <w:rPr>
                <w:rFonts w:hint="eastAsia" w:ascii="宋体"/>
                <w:color w:val="auto"/>
                <w:szCs w:val="21"/>
              </w:rPr>
              <w:t>未履行安全文明施工承诺违约金限额</w:t>
            </w:r>
          </w:p>
        </w:tc>
        <w:tc>
          <w:tcPr>
            <w:tcW w:w="3103" w:type="dxa"/>
            <w:vAlign w:val="center"/>
          </w:tcPr>
          <w:p w14:paraId="7289F5D5">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5ADB6400">
            <w:pPr>
              <w:widowControl w:val="0"/>
              <w:shd w:val="clear"/>
              <w:spacing w:line="360" w:lineRule="auto"/>
              <w:jc w:val="center"/>
              <w:rPr>
                <w:rFonts w:ascii="宋体" w:hAnsi="宋体" w:cs="宋体"/>
                <w:color w:val="auto"/>
                <w:szCs w:val="21"/>
              </w:rPr>
            </w:pPr>
          </w:p>
        </w:tc>
      </w:tr>
      <w:tr w14:paraId="6B8F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8040BE5">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6</w:t>
            </w:r>
          </w:p>
        </w:tc>
        <w:tc>
          <w:tcPr>
            <w:tcW w:w="3669" w:type="dxa"/>
            <w:vAlign w:val="center"/>
          </w:tcPr>
          <w:p w14:paraId="492C321E">
            <w:pPr>
              <w:widowControl w:val="0"/>
              <w:shd w:val="clear"/>
              <w:spacing w:line="350" w:lineRule="exact"/>
              <w:jc w:val="center"/>
              <w:rPr>
                <w:rFonts w:ascii="宋体" w:hAnsi="宋体" w:cs="宋体"/>
                <w:color w:val="auto"/>
                <w:szCs w:val="21"/>
              </w:rPr>
            </w:pPr>
            <w:r>
              <w:rPr>
                <w:rFonts w:hint="eastAsia" w:ascii="宋体"/>
                <w:color w:val="auto"/>
                <w:szCs w:val="21"/>
              </w:rPr>
              <w:t>未履行项目经理及主要施工管理人员到场承诺违约金限额（项目经理到场率80%以上）</w:t>
            </w:r>
          </w:p>
        </w:tc>
        <w:tc>
          <w:tcPr>
            <w:tcW w:w="3103" w:type="dxa"/>
            <w:vAlign w:val="center"/>
          </w:tcPr>
          <w:p w14:paraId="7EF9385D">
            <w:pPr>
              <w:widowControl w:val="0"/>
              <w:shd w:val="clear"/>
              <w:spacing w:line="350" w:lineRule="exact"/>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186ACC17">
            <w:pPr>
              <w:widowControl w:val="0"/>
              <w:shd w:val="clear"/>
              <w:spacing w:line="360" w:lineRule="auto"/>
              <w:jc w:val="center"/>
              <w:rPr>
                <w:rFonts w:ascii="宋体" w:hAnsi="宋体" w:cs="宋体"/>
                <w:color w:val="auto"/>
                <w:szCs w:val="21"/>
              </w:rPr>
            </w:pPr>
          </w:p>
        </w:tc>
      </w:tr>
      <w:tr w14:paraId="764D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4FCC448">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7</w:t>
            </w:r>
          </w:p>
        </w:tc>
        <w:tc>
          <w:tcPr>
            <w:tcW w:w="3669" w:type="dxa"/>
            <w:vAlign w:val="center"/>
          </w:tcPr>
          <w:p w14:paraId="765CCA9D">
            <w:pPr>
              <w:widowControl w:val="0"/>
              <w:shd w:val="clear"/>
              <w:spacing w:line="350" w:lineRule="exact"/>
              <w:jc w:val="center"/>
              <w:rPr>
                <w:rFonts w:ascii="宋体" w:hAnsi="宋体" w:cs="宋体"/>
                <w:color w:val="auto"/>
                <w:szCs w:val="21"/>
              </w:rPr>
            </w:pPr>
            <w:r>
              <w:rPr>
                <w:rFonts w:hint="eastAsia" w:ascii="宋体"/>
                <w:color w:val="auto"/>
                <w:szCs w:val="21"/>
              </w:rPr>
              <w:t>安全文明费、提前竣工增加费、其它施工组织措施费</w:t>
            </w:r>
          </w:p>
        </w:tc>
        <w:tc>
          <w:tcPr>
            <w:tcW w:w="3103" w:type="dxa"/>
            <w:vAlign w:val="center"/>
          </w:tcPr>
          <w:p w14:paraId="3F032ED1">
            <w:pPr>
              <w:widowControl w:val="0"/>
              <w:shd w:val="clear"/>
              <w:spacing w:line="350" w:lineRule="exact"/>
              <w:jc w:val="center"/>
              <w:rPr>
                <w:rFonts w:ascii="宋体" w:hAnsi="宋体" w:cs="宋体"/>
                <w:color w:val="auto"/>
                <w:szCs w:val="21"/>
              </w:rPr>
            </w:pPr>
            <w:r>
              <w:rPr>
                <w:rFonts w:hint="eastAsia" w:ascii="宋体"/>
                <w:color w:val="auto"/>
                <w:szCs w:val="21"/>
              </w:rPr>
              <w:t>安全文明施工费按市区一般工程考虑，标化工地增加费、提前竣工增加费、二次搬运费、行车、行人干扰增加费及其他项目费不计取</w:t>
            </w:r>
          </w:p>
        </w:tc>
        <w:tc>
          <w:tcPr>
            <w:tcW w:w="1541" w:type="dxa"/>
            <w:vAlign w:val="center"/>
          </w:tcPr>
          <w:p w14:paraId="4B5E220F">
            <w:pPr>
              <w:widowControl w:val="0"/>
              <w:shd w:val="clear"/>
              <w:spacing w:line="360" w:lineRule="auto"/>
              <w:jc w:val="center"/>
              <w:rPr>
                <w:rFonts w:ascii="宋体" w:hAnsi="宋体" w:cs="宋体"/>
                <w:color w:val="auto"/>
                <w:szCs w:val="21"/>
              </w:rPr>
            </w:pPr>
          </w:p>
        </w:tc>
      </w:tr>
      <w:tr w14:paraId="155B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2B4BF4CE">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8</w:t>
            </w:r>
          </w:p>
        </w:tc>
        <w:tc>
          <w:tcPr>
            <w:tcW w:w="3669" w:type="dxa"/>
          </w:tcPr>
          <w:p w14:paraId="4612BD8F">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w:t>
            </w:r>
            <w:r>
              <w:rPr>
                <w:rFonts w:hint="eastAsia" w:ascii="Times New Roman"/>
                <w:color w:val="auto"/>
                <w:szCs w:val="21"/>
              </w:rPr>
              <w:t>采购文件</w:t>
            </w:r>
            <w:r>
              <w:rPr>
                <w:rFonts w:ascii="Times New Roman"/>
                <w:color w:val="auto"/>
                <w:szCs w:val="21"/>
              </w:rPr>
              <w:t>其它内容</w:t>
            </w:r>
          </w:p>
        </w:tc>
        <w:tc>
          <w:tcPr>
            <w:tcW w:w="3103" w:type="dxa"/>
          </w:tcPr>
          <w:p w14:paraId="3528D52A">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6E1222DF">
            <w:pPr>
              <w:widowControl w:val="0"/>
              <w:shd w:val="clear"/>
              <w:spacing w:before="120" w:beforeLines="50" w:line="360" w:lineRule="auto"/>
              <w:jc w:val="center"/>
              <w:rPr>
                <w:rFonts w:ascii="宋体" w:hAnsi="宋体" w:cs="宋体"/>
                <w:color w:val="auto"/>
                <w:szCs w:val="21"/>
              </w:rPr>
            </w:pPr>
          </w:p>
        </w:tc>
      </w:tr>
      <w:tr w14:paraId="2E5F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1841EF78">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9</w:t>
            </w:r>
          </w:p>
        </w:tc>
        <w:tc>
          <w:tcPr>
            <w:tcW w:w="3669" w:type="dxa"/>
          </w:tcPr>
          <w:p w14:paraId="7B1D321B">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是否同意合同条款及合同附件格式</w:t>
            </w:r>
          </w:p>
        </w:tc>
        <w:tc>
          <w:tcPr>
            <w:tcW w:w="3103" w:type="dxa"/>
          </w:tcPr>
          <w:p w14:paraId="74D24074">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45874C46">
            <w:pPr>
              <w:widowControl w:val="0"/>
              <w:shd w:val="clear"/>
              <w:spacing w:before="120" w:beforeLines="50" w:line="360" w:lineRule="auto"/>
              <w:jc w:val="center"/>
              <w:rPr>
                <w:rFonts w:ascii="宋体" w:hAnsi="宋体" w:cs="宋体"/>
                <w:color w:val="auto"/>
                <w:szCs w:val="21"/>
              </w:rPr>
            </w:pPr>
          </w:p>
        </w:tc>
      </w:tr>
    </w:tbl>
    <w:p w14:paraId="78D87961">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▲注：“供应商响应”一栏中必须填写“同意”，否则其响应文件将被否决。</w:t>
      </w:r>
    </w:p>
    <w:p w14:paraId="1F2B62CD">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(四）工程量清单、图纸</w:t>
      </w:r>
    </w:p>
    <w:p w14:paraId="0D07AB68">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详见采购文件附件：工程造价咨询报告书、图纸</w:t>
      </w:r>
    </w:p>
    <w:p w14:paraId="7781C6AB">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1、工程量清单说明</w:t>
      </w:r>
    </w:p>
    <w:p w14:paraId="1979875E">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1）本工程量清单应与采购文件中的竞争性磋商须知、合同条款、技术标准和要求及图纸（如有）等一起阅读和理解。</w:t>
      </w:r>
    </w:p>
    <w:p w14:paraId="2711EA1F">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4D780151">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3）供应商不得擅自改动采购人提供的工程量清单内容（计量单位、工程数量等），磋商综合折扣率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14BE396A">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（五）主要人员要求：</w:t>
      </w:r>
    </w:p>
    <w:p w14:paraId="220EE90A">
      <w:pPr>
        <w:shd w:val="clear"/>
        <w:tabs>
          <w:tab w:val="left" w:pos="4915"/>
        </w:tabs>
        <w:spacing w:line="360" w:lineRule="auto"/>
        <w:ind w:firstLine="422" w:firstLineChars="200"/>
        <w:rPr>
          <w:rFonts w:cs="宋体"/>
          <w:color w:val="auto"/>
          <w:szCs w:val="21"/>
        </w:rPr>
      </w:pPr>
      <w:r>
        <w:rPr>
          <w:rFonts w:hint="eastAsia" w:ascii="宋体" w:hAnsi="宋体" w:cs="宋体"/>
          <w:b/>
          <w:color w:val="auto"/>
          <w:szCs w:val="21"/>
        </w:rPr>
        <w:t>▲</w:t>
      </w:r>
      <w:r>
        <w:rPr>
          <w:rFonts w:hint="eastAsia" w:cs="宋体"/>
          <w:color w:val="auto"/>
          <w:szCs w:val="21"/>
        </w:rPr>
        <w:t>1、项目负责人：具</w:t>
      </w:r>
      <w:r>
        <w:rPr>
          <w:rFonts w:hint="eastAsia" w:ascii="Times New Roman" w:hAnsi="Times New Roman" w:cs="宋体"/>
          <w:color w:val="auto"/>
          <w:szCs w:val="21"/>
        </w:rPr>
        <w:t>有市政公用工程专业注册建造师贰级及以上证书，并具有有效的</w:t>
      </w:r>
      <w:r>
        <w:rPr>
          <w:rFonts w:hint="eastAsia" w:cs="宋体"/>
          <w:color w:val="auto"/>
          <w:szCs w:val="21"/>
        </w:rPr>
        <w:t>《安全生产考核合格证书》</w:t>
      </w:r>
      <w:r>
        <w:rPr>
          <w:rFonts w:hint="eastAsia" w:ascii="Times New Roman" w:hAnsi="Times New Roman" w:cs="宋体"/>
          <w:color w:val="auto"/>
          <w:szCs w:val="21"/>
        </w:rPr>
        <w:t>（B证）；（投标文件中提供相关证书证明材料）</w:t>
      </w:r>
    </w:p>
    <w:p w14:paraId="42AEA72F">
      <w:pPr>
        <w:shd w:val="clear"/>
        <w:tabs>
          <w:tab w:val="left" w:pos="4915"/>
        </w:tabs>
        <w:spacing w:line="360" w:lineRule="auto"/>
        <w:ind w:firstLine="422" w:firstLineChars="200"/>
        <w:rPr>
          <w:rFonts w:cs="宋体"/>
          <w:color w:val="auto"/>
          <w:szCs w:val="21"/>
        </w:rPr>
      </w:pPr>
      <w:r>
        <w:rPr>
          <w:rFonts w:hint="eastAsia" w:ascii="宋体" w:hAnsi="宋体" w:cs="宋体"/>
          <w:b/>
          <w:color w:val="auto"/>
          <w:szCs w:val="21"/>
        </w:rPr>
        <w:t>▲</w:t>
      </w:r>
      <w:r>
        <w:rPr>
          <w:rFonts w:hint="eastAsia" w:cs="宋体"/>
          <w:color w:val="auto"/>
          <w:szCs w:val="21"/>
        </w:rPr>
        <w:t>2</w:t>
      </w:r>
      <w:r>
        <w:rPr>
          <w:rFonts w:cs="宋体"/>
          <w:color w:val="auto"/>
          <w:szCs w:val="21"/>
        </w:rPr>
        <w:t>、</w:t>
      </w:r>
      <w:r>
        <w:rPr>
          <w:rFonts w:hint="eastAsia" w:cs="宋体"/>
          <w:color w:val="auto"/>
          <w:szCs w:val="21"/>
        </w:rPr>
        <w:t>项目专职安全员1名：具备有效的《安全生产考核合格证书》（C证）</w:t>
      </w:r>
      <w:r>
        <w:rPr>
          <w:rFonts w:hint="eastAsia" w:ascii="宋体" w:hAnsi="宋体" w:cs="宋体"/>
          <w:bCs/>
          <w:color w:val="auto"/>
          <w:szCs w:val="21"/>
        </w:rPr>
        <w:t>。</w:t>
      </w:r>
      <w:r>
        <w:rPr>
          <w:rFonts w:hint="eastAsia" w:ascii="Times New Roman" w:hAnsi="Times New Roman" w:cs="宋体"/>
          <w:color w:val="auto"/>
          <w:szCs w:val="21"/>
        </w:rPr>
        <w:t>（投标文件中提供相关证书证明材料）</w:t>
      </w:r>
    </w:p>
    <w:p w14:paraId="2DC1EF4D">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（六）商务条款要求表</w:t>
      </w:r>
    </w:p>
    <w:bookmarkEnd w:id="27"/>
    <w:tbl>
      <w:tblPr>
        <w:tblStyle w:val="27"/>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205C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E907166">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序号</w:t>
            </w:r>
          </w:p>
        </w:tc>
        <w:tc>
          <w:tcPr>
            <w:tcW w:w="9046" w:type="dxa"/>
            <w:vAlign w:val="center"/>
          </w:tcPr>
          <w:p w14:paraId="11640062">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商务条款要求</w:t>
            </w:r>
          </w:p>
        </w:tc>
      </w:tr>
      <w:tr w14:paraId="56AF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962" w:type="dxa"/>
            <w:vAlign w:val="center"/>
          </w:tcPr>
          <w:p w14:paraId="71CE5F20">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1</w:t>
            </w:r>
          </w:p>
        </w:tc>
        <w:tc>
          <w:tcPr>
            <w:tcW w:w="9046" w:type="dxa"/>
            <w:vAlign w:val="center"/>
          </w:tcPr>
          <w:p w14:paraId="539318AE">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履约保证金：签约合同金额的2%，电汇、银行支票、银行保函、保险公司担保等形式。于签订合同的同时缴纳给采购人，项目竣工验收后退回。</w:t>
            </w:r>
          </w:p>
        </w:tc>
      </w:tr>
      <w:tr w14:paraId="40BB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62" w:type="dxa"/>
            <w:vAlign w:val="center"/>
          </w:tcPr>
          <w:p w14:paraId="578B977F">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2</w:t>
            </w:r>
          </w:p>
        </w:tc>
        <w:tc>
          <w:tcPr>
            <w:tcW w:w="9046" w:type="dxa"/>
            <w:vAlign w:val="center"/>
          </w:tcPr>
          <w:p w14:paraId="30DD46DF">
            <w:pPr>
              <w:shd w:val="clear"/>
              <w:spacing w:before="120" w:beforeLines="50" w:line="360" w:lineRule="auto"/>
              <w:rPr>
                <w:rFonts w:ascii="宋体" w:hAnsi="宋体" w:cs="宋体"/>
                <w:bCs/>
                <w:color w:val="auto"/>
                <w:szCs w:val="21"/>
              </w:rPr>
            </w:pPr>
            <w:r>
              <w:rPr>
                <w:rFonts w:hint="eastAsia" w:ascii="宋体" w:hAnsi="宋体" w:cs="宋体"/>
                <w:bCs/>
                <w:color w:val="auto"/>
                <w:szCs w:val="21"/>
              </w:rPr>
              <w:t>质量等级要求：达到国家和行业施工验收规范一次性验收合格</w:t>
            </w:r>
          </w:p>
          <w:p w14:paraId="19CCB140">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安全等级要求：合格</w:t>
            </w:r>
          </w:p>
        </w:tc>
      </w:tr>
      <w:tr w14:paraId="480A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62" w:type="dxa"/>
            <w:vAlign w:val="center"/>
          </w:tcPr>
          <w:p w14:paraId="5A9CF34F">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3</w:t>
            </w:r>
          </w:p>
        </w:tc>
        <w:tc>
          <w:tcPr>
            <w:tcW w:w="9046" w:type="dxa"/>
            <w:vAlign w:val="center"/>
          </w:tcPr>
          <w:p w14:paraId="757028E6">
            <w:pPr>
              <w:shd w:val="clear"/>
              <w:spacing w:before="120" w:beforeLines="50" w:line="360" w:lineRule="auto"/>
              <w:rPr>
                <w:rFonts w:ascii="宋体" w:hAnsi="宋体" w:cs="宋体"/>
                <w:bCs/>
                <w:color w:val="auto"/>
                <w:szCs w:val="21"/>
              </w:rPr>
            </w:pPr>
            <w:r>
              <w:rPr>
                <w:rFonts w:hint="eastAsia" w:ascii="宋体" w:hAnsi="宋体" w:cs="宋体"/>
                <w:bCs/>
                <w:color w:val="auto"/>
                <w:szCs w:val="21"/>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r>
      <w:tr w14:paraId="1628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962" w:type="dxa"/>
            <w:vAlign w:val="center"/>
          </w:tcPr>
          <w:p w14:paraId="4A2FCD1E">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4</w:t>
            </w:r>
          </w:p>
        </w:tc>
        <w:tc>
          <w:tcPr>
            <w:tcW w:w="9046" w:type="dxa"/>
            <w:vAlign w:val="center"/>
          </w:tcPr>
          <w:p w14:paraId="21446C56">
            <w:pPr>
              <w:shd w:val="clear"/>
              <w:spacing w:before="120" w:beforeLines="50" w:line="360" w:lineRule="auto"/>
              <w:rPr>
                <w:rFonts w:ascii="宋体" w:hAnsi="宋体" w:cs="宋体"/>
                <w:bCs/>
                <w:color w:val="auto"/>
                <w:szCs w:val="21"/>
              </w:rPr>
            </w:pPr>
            <w:r>
              <w:rPr>
                <w:rFonts w:hint="eastAsia" w:ascii="宋体" w:hAnsi="宋体" w:cs="宋体"/>
                <w:bCs/>
                <w:color w:val="auto"/>
                <w:szCs w:val="21"/>
              </w:rPr>
              <w:t>付款方式：在合同签订生效后一周内，支付合同价款的20%；（预付款扣回的方式：在前2次工程进度款支付时各扣回预付款的50%)在工程施工进度至50%时支付合同价款的30%；工程施工进度至80%时支付合同价款的30%；待工程竣工验收合格后支付至合同价款的80%；待竣工结算经审计部门审定后支付至审定价格的98.5%，余款在质量保证期过后付清。</w:t>
            </w:r>
          </w:p>
        </w:tc>
      </w:tr>
      <w:tr w14:paraId="4837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62" w:type="dxa"/>
            <w:vAlign w:val="center"/>
          </w:tcPr>
          <w:p w14:paraId="6F64BE3E">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5</w:t>
            </w:r>
          </w:p>
        </w:tc>
        <w:tc>
          <w:tcPr>
            <w:tcW w:w="9046" w:type="dxa"/>
            <w:vAlign w:val="center"/>
          </w:tcPr>
          <w:p w14:paraId="739B328A">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施工工期：合同签订后100日历天内完工；</w:t>
            </w:r>
          </w:p>
          <w:p w14:paraId="4CCA1CD5">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施工地点：业主指定地点。</w:t>
            </w:r>
          </w:p>
        </w:tc>
      </w:tr>
      <w:tr w14:paraId="0CF0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377EA389">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6</w:t>
            </w:r>
          </w:p>
        </w:tc>
        <w:tc>
          <w:tcPr>
            <w:tcW w:w="9046" w:type="dxa"/>
            <w:vAlign w:val="center"/>
          </w:tcPr>
          <w:p w14:paraId="70C6A15E">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报价方式：采用综合折扣率方式进行报价，同时折扣率不得高于94%。</w:t>
            </w:r>
          </w:p>
          <w:p w14:paraId="4DB781D6">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本项目为单价合同，工程量按实结算。</w:t>
            </w:r>
          </w:p>
        </w:tc>
      </w:tr>
      <w:tr w14:paraId="2AF6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ACBEF61">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7</w:t>
            </w:r>
          </w:p>
        </w:tc>
        <w:tc>
          <w:tcPr>
            <w:tcW w:w="9046" w:type="dxa"/>
            <w:vAlign w:val="center"/>
          </w:tcPr>
          <w:p w14:paraId="451754B5">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本项目签约合同价计算公式：（预算金额-暂定价）*成交综合折扣率+暂定价。</w:t>
            </w:r>
          </w:p>
        </w:tc>
      </w:tr>
    </w:tbl>
    <w:p w14:paraId="27974C77">
      <w:pPr>
        <w:shd w:val="clear"/>
        <w:rPr>
          <w:rFonts w:asciiTheme="minorEastAsia" w:hAnsiTheme="minorEastAsia" w:eastAsiaTheme="minorEastAsia" w:cstheme="minorEastAsia"/>
          <w:color w:val="auto"/>
        </w:rPr>
      </w:pPr>
    </w:p>
    <w:p w14:paraId="72202419">
      <w:pPr>
        <w:shd w:val="clear"/>
        <w:ind w:firstLine="723"/>
        <w:jc w:val="center"/>
        <w:rPr>
          <w:rFonts w:asciiTheme="minorEastAsia" w:hAnsiTheme="minorEastAsia" w:eastAsiaTheme="minorEastAsia" w:cstheme="minorEastAsia"/>
          <w:b/>
          <w:color w:val="auto"/>
          <w:sz w:val="36"/>
          <w:szCs w:val="36"/>
        </w:rPr>
      </w:pPr>
    </w:p>
    <w:p w14:paraId="680FD3F6">
      <w:pPr>
        <w:shd w:val="clear"/>
        <w:ind w:firstLine="723"/>
        <w:jc w:val="center"/>
        <w:rPr>
          <w:rFonts w:asciiTheme="minorEastAsia" w:hAnsiTheme="minorEastAsia" w:eastAsiaTheme="minorEastAsia" w:cstheme="minorEastAsia"/>
          <w:b/>
          <w:color w:val="auto"/>
          <w:sz w:val="36"/>
          <w:szCs w:val="36"/>
        </w:rPr>
      </w:pPr>
    </w:p>
    <w:p w14:paraId="4E31B669">
      <w:pPr>
        <w:shd w:val="clear"/>
        <w:ind w:firstLine="723"/>
        <w:jc w:val="center"/>
        <w:rPr>
          <w:rFonts w:asciiTheme="minorEastAsia" w:hAnsiTheme="minorEastAsia" w:eastAsiaTheme="minorEastAsia" w:cstheme="minorEastAsia"/>
          <w:b/>
          <w:color w:val="auto"/>
          <w:sz w:val="36"/>
          <w:szCs w:val="36"/>
        </w:rPr>
      </w:pPr>
    </w:p>
    <w:p w14:paraId="17D829AA">
      <w:pPr>
        <w:shd w:val="clear"/>
        <w:ind w:firstLine="723"/>
        <w:jc w:val="center"/>
        <w:rPr>
          <w:rFonts w:asciiTheme="minorEastAsia" w:hAnsiTheme="minorEastAsia" w:eastAsiaTheme="minorEastAsia" w:cstheme="minorEastAsia"/>
          <w:b/>
          <w:color w:val="auto"/>
          <w:sz w:val="36"/>
          <w:szCs w:val="36"/>
        </w:rPr>
      </w:pPr>
    </w:p>
    <w:p w14:paraId="636B7783">
      <w:pPr>
        <w:shd w:val="clear"/>
        <w:ind w:firstLine="723"/>
        <w:jc w:val="center"/>
        <w:rPr>
          <w:rFonts w:asciiTheme="minorEastAsia" w:hAnsiTheme="minorEastAsia" w:eastAsiaTheme="minorEastAsia" w:cstheme="minorEastAsia"/>
          <w:b/>
          <w:color w:val="auto"/>
          <w:sz w:val="36"/>
          <w:szCs w:val="36"/>
        </w:rPr>
      </w:pPr>
    </w:p>
    <w:p w14:paraId="5AE6CAD8">
      <w:pPr>
        <w:shd w:val="clear"/>
        <w:ind w:firstLine="723"/>
        <w:jc w:val="center"/>
        <w:rPr>
          <w:rFonts w:asciiTheme="minorEastAsia" w:hAnsiTheme="minorEastAsia" w:eastAsiaTheme="minorEastAsia" w:cstheme="minorEastAsia"/>
          <w:b/>
          <w:color w:val="auto"/>
          <w:sz w:val="36"/>
          <w:szCs w:val="36"/>
        </w:rPr>
      </w:pPr>
    </w:p>
    <w:p w14:paraId="3FC6EC1B">
      <w:pPr>
        <w:shd w:val="clear"/>
        <w:ind w:firstLine="723"/>
        <w:rPr>
          <w:rFonts w:asciiTheme="minorEastAsia" w:hAnsiTheme="minorEastAsia" w:eastAsiaTheme="minorEastAsia" w:cstheme="minorEastAsia"/>
          <w:b/>
          <w:color w:val="auto"/>
          <w:sz w:val="36"/>
          <w:szCs w:val="36"/>
        </w:rPr>
      </w:pPr>
      <w:r>
        <w:rPr>
          <w:rFonts w:asciiTheme="minorEastAsia" w:hAnsiTheme="minorEastAsia" w:eastAsiaTheme="minorEastAsia" w:cstheme="minorEastAsia"/>
          <w:b/>
          <w:color w:val="auto"/>
          <w:sz w:val="36"/>
          <w:szCs w:val="36"/>
        </w:rPr>
        <w:br w:type="page"/>
      </w:r>
      <w:r>
        <w:rPr>
          <w:rFonts w:hint="eastAsia" w:asciiTheme="minorEastAsia" w:hAnsiTheme="minorEastAsia" w:eastAsiaTheme="minorEastAsia" w:cstheme="minorEastAsia"/>
          <w:b/>
          <w:color w:val="auto"/>
          <w:sz w:val="36"/>
          <w:szCs w:val="36"/>
        </w:rPr>
        <w:t xml:space="preserve">                 第四部分   </w:t>
      </w:r>
      <w:bookmarkStart w:id="28" w:name="_Toc184313271"/>
      <w:bookmarkEnd w:id="28"/>
      <w:bookmarkStart w:id="29" w:name="_Toc184312122"/>
      <w:bookmarkEnd w:id="29"/>
      <w:bookmarkStart w:id="30" w:name="_Toc184310300"/>
      <w:bookmarkEnd w:id="30"/>
      <w:bookmarkStart w:id="31" w:name="_Toc184314410"/>
      <w:bookmarkEnd w:id="31"/>
      <w:bookmarkStart w:id="32" w:name="_Toc184312121"/>
      <w:bookmarkEnd w:id="32"/>
      <w:bookmarkStart w:id="33" w:name="_Toc184312127"/>
      <w:bookmarkEnd w:id="33"/>
      <w:bookmarkStart w:id="34" w:name="_Toc184312082"/>
      <w:bookmarkEnd w:id="34"/>
      <w:bookmarkStart w:id="35" w:name="_Toc184310291"/>
      <w:bookmarkEnd w:id="35"/>
      <w:bookmarkStart w:id="36" w:name="_Toc184310283"/>
      <w:bookmarkEnd w:id="36"/>
      <w:bookmarkStart w:id="37" w:name="_Toc184314458"/>
      <w:bookmarkEnd w:id="37"/>
      <w:bookmarkStart w:id="38" w:name="_Toc184313287"/>
      <w:bookmarkEnd w:id="38"/>
      <w:bookmarkStart w:id="39" w:name="_Toc184312119"/>
      <w:bookmarkEnd w:id="39"/>
      <w:bookmarkStart w:id="40" w:name="_Toc184313263"/>
      <w:bookmarkEnd w:id="40"/>
      <w:bookmarkStart w:id="41" w:name="_Toc184308042"/>
      <w:bookmarkEnd w:id="41"/>
      <w:bookmarkStart w:id="42" w:name="_Toc184310272"/>
      <w:bookmarkEnd w:id="42"/>
      <w:bookmarkStart w:id="43" w:name="_Toc184313248"/>
      <w:bookmarkEnd w:id="43"/>
      <w:bookmarkStart w:id="44" w:name="_Toc184310286"/>
      <w:bookmarkEnd w:id="44"/>
      <w:bookmarkStart w:id="45" w:name="_Toc184308088"/>
      <w:bookmarkEnd w:id="45"/>
      <w:bookmarkStart w:id="46" w:name="_Toc184308036"/>
      <w:bookmarkEnd w:id="46"/>
      <w:bookmarkStart w:id="47" w:name="_Toc184310303"/>
      <w:bookmarkEnd w:id="47"/>
      <w:bookmarkStart w:id="48" w:name="_Toc184312093"/>
      <w:bookmarkEnd w:id="48"/>
      <w:bookmarkStart w:id="49" w:name="_Toc184310329"/>
      <w:bookmarkEnd w:id="49"/>
      <w:bookmarkStart w:id="50" w:name="_Toc184310330"/>
      <w:bookmarkEnd w:id="50"/>
      <w:bookmarkStart w:id="51" w:name="_Toc184308081"/>
      <w:bookmarkEnd w:id="51"/>
      <w:bookmarkStart w:id="52" w:name="_Toc184313262"/>
      <w:bookmarkEnd w:id="52"/>
      <w:bookmarkStart w:id="53" w:name="_Toc184314435"/>
      <w:bookmarkEnd w:id="53"/>
      <w:bookmarkStart w:id="54" w:name="_Toc184314460"/>
      <w:bookmarkEnd w:id="54"/>
      <w:bookmarkStart w:id="55" w:name="_Toc184312103"/>
      <w:bookmarkEnd w:id="55"/>
      <w:bookmarkStart w:id="56" w:name="_Toc184308044"/>
      <w:bookmarkEnd w:id="56"/>
      <w:bookmarkStart w:id="57" w:name="_Toc184308075"/>
      <w:bookmarkEnd w:id="57"/>
      <w:bookmarkStart w:id="58" w:name="_Toc184314469"/>
      <w:bookmarkEnd w:id="58"/>
      <w:bookmarkStart w:id="59" w:name="_Toc184313275"/>
      <w:bookmarkEnd w:id="59"/>
      <w:bookmarkStart w:id="60" w:name="_Toc184313291"/>
      <w:bookmarkEnd w:id="60"/>
      <w:bookmarkStart w:id="61" w:name="_Toc184314431"/>
      <w:bookmarkEnd w:id="61"/>
      <w:bookmarkStart w:id="62" w:name="_Toc184313272"/>
      <w:bookmarkEnd w:id="62"/>
      <w:bookmarkStart w:id="63" w:name="_Toc184308040"/>
      <w:bookmarkEnd w:id="63"/>
      <w:bookmarkStart w:id="64" w:name="_Toc184314430"/>
      <w:bookmarkEnd w:id="64"/>
      <w:bookmarkStart w:id="65" w:name="_Toc184310325"/>
      <w:bookmarkEnd w:id="65"/>
      <w:bookmarkStart w:id="66" w:name="_Toc184312120"/>
      <w:bookmarkEnd w:id="66"/>
      <w:bookmarkStart w:id="67" w:name="_Toc184313299"/>
      <w:bookmarkEnd w:id="67"/>
      <w:bookmarkStart w:id="68" w:name="_Toc184308106"/>
      <w:bookmarkEnd w:id="68"/>
      <w:bookmarkStart w:id="69" w:name="_Toc184310299"/>
      <w:bookmarkEnd w:id="69"/>
      <w:bookmarkStart w:id="70" w:name="_Toc184310333"/>
      <w:bookmarkEnd w:id="70"/>
      <w:bookmarkStart w:id="71" w:name="_Toc184314427"/>
      <w:bookmarkEnd w:id="71"/>
      <w:bookmarkStart w:id="72" w:name="_Toc184310293"/>
      <w:bookmarkEnd w:id="72"/>
      <w:bookmarkStart w:id="73" w:name="_Toc184312069"/>
      <w:bookmarkEnd w:id="73"/>
      <w:bookmarkStart w:id="74" w:name="_Toc184312084"/>
      <w:bookmarkEnd w:id="74"/>
      <w:bookmarkStart w:id="75" w:name="_Toc184313310"/>
      <w:bookmarkEnd w:id="75"/>
      <w:bookmarkStart w:id="76" w:name="_Toc184310342"/>
      <w:bookmarkEnd w:id="76"/>
      <w:bookmarkStart w:id="77" w:name="_Toc184313301"/>
      <w:bookmarkEnd w:id="77"/>
      <w:bookmarkStart w:id="78" w:name="_Toc184313305"/>
      <w:bookmarkEnd w:id="78"/>
      <w:bookmarkStart w:id="79" w:name="_Toc184312080"/>
      <w:bookmarkEnd w:id="79"/>
      <w:bookmarkStart w:id="80" w:name="_Toc184308056"/>
      <w:bookmarkEnd w:id="80"/>
      <w:bookmarkStart w:id="81" w:name="_Toc184313280"/>
      <w:bookmarkEnd w:id="81"/>
      <w:bookmarkStart w:id="82" w:name="_Toc184314442"/>
      <w:bookmarkEnd w:id="82"/>
      <w:bookmarkStart w:id="83" w:name="_Toc184313258"/>
      <w:bookmarkEnd w:id="83"/>
      <w:bookmarkStart w:id="84" w:name="_Toc184308039"/>
      <w:bookmarkEnd w:id="84"/>
      <w:bookmarkStart w:id="85" w:name="_Toc184308066"/>
      <w:bookmarkEnd w:id="85"/>
      <w:bookmarkStart w:id="86" w:name="_Toc184310332"/>
      <w:bookmarkEnd w:id="86"/>
      <w:bookmarkStart w:id="87" w:name="_Toc184313250"/>
      <w:bookmarkEnd w:id="87"/>
      <w:bookmarkStart w:id="88" w:name="_Toc184313253"/>
      <w:bookmarkEnd w:id="88"/>
      <w:bookmarkStart w:id="89" w:name="_Toc184314456"/>
      <w:bookmarkEnd w:id="89"/>
      <w:bookmarkStart w:id="90" w:name="_Toc184314417"/>
      <w:bookmarkEnd w:id="90"/>
      <w:bookmarkStart w:id="91" w:name="_Toc184310340"/>
      <w:bookmarkEnd w:id="91"/>
      <w:bookmarkStart w:id="92" w:name="_Toc184308073"/>
      <w:bookmarkEnd w:id="92"/>
      <w:bookmarkStart w:id="93" w:name="_Toc184308076"/>
      <w:bookmarkEnd w:id="93"/>
      <w:bookmarkStart w:id="94" w:name="_Toc184310326"/>
      <w:bookmarkEnd w:id="94"/>
      <w:bookmarkStart w:id="95" w:name="_Toc184313290"/>
      <w:bookmarkEnd w:id="95"/>
      <w:bookmarkStart w:id="96" w:name="_Toc184312125"/>
      <w:bookmarkEnd w:id="96"/>
      <w:bookmarkStart w:id="97" w:name="_Toc184314462"/>
      <w:bookmarkEnd w:id="97"/>
      <w:bookmarkStart w:id="98" w:name="_Toc184308045"/>
      <w:bookmarkEnd w:id="98"/>
      <w:bookmarkStart w:id="99" w:name="_Toc184312085"/>
      <w:bookmarkEnd w:id="99"/>
      <w:bookmarkStart w:id="100" w:name="_Toc184308097"/>
      <w:bookmarkEnd w:id="100"/>
      <w:bookmarkStart w:id="101" w:name="_Toc184310294"/>
      <w:bookmarkEnd w:id="101"/>
      <w:bookmarkStart w:id="102" w:name="_Toc184312076"/>
      <w:bookmarkEnd w:id="102"/>
      <w:bookmarkStart w:id="103" w:name="_Toc184313277"/>
      <w:bookmarkEnd w:id="103"/>
      <w:bookmarkStart w:id="104" w:name="_Toc184312088"/>
      <w:bookmarkEnd w:id="104"/>
      <w:bookmarkStart w:id="105" w:name="_Toc184312130"/>
      <w:bookmarkEnd w:id="105"/>
      <w:bookmarkStart w:id="106" w:name="_Toc184308084"/>
      <w:bookmarkEnd w:id="106"/>
      <w:bookmarkStart w:id="107" w:name="_Toc184313279"/>
      <w:bookmarkEnd w:id="107"/>
      <w:bookmarkStart w:id="108" w:name="_Toc184308101"/>
      <w:bookmarkEnd w:id="108"/>
      <w:bookmarkStart w:id="109" w:name="_Toc184313238"/>
      <w:bookmarkEnd w:id="109"/>
      <w:bookmarkStart w:id="110" w:name="_Toc184312135"/>
      <w:bookmarkEnd w:id="110"/>
      <w:bookmarkStart w:id="111" w:name="_Toc184313285"/>
      <w:bookmarkEnd w:id="111"/>
      <w:bookmarkStart w:id="112" w:name="_Toc184310284"/>
      <w:bookmarkEnd w:id="112"/>
      <w:bookmarkStart w:id="113" w:name="_Toc184313308"/>
      <w:bookmarkEnd w:id="113"/>
      <w:bookmarkStart w:id="114" w:name="_Toc184313261"/>
      <w:bookmarkEnd w:id="114"/>
      <w:bookmarkStart w:id="115" w:name="_Toc184312089"/>
      <w:bookmarkEnd w:id="115"/>
      <w:bookmarkStart w:id="116" w:name="_Toc184308091"/>
      <w:bookmarkEnd w:id="116"/>
      <w:bookmarkStart w:id="117" w:name="_Toc184313239"/>
      <w:bookmarkEnd w:id="117"/>
      <w:bookmarkStart w:id="118" w:name="_Toc184312136"/>
      <w:bookmarkEnd w:id="118"/>
      <w:bookmarkStart w:id="119" w:name="_Toc184314455"/>
      <w:bookmarkEnd w:id="119"/>
      <w:bookmarkStart w:id="120" w:name="_Toc184314457"/>
      <w:bookmarkEnd w:id="120"/>
      <w:bookmarkStart w:id="121" w:name="_Toc184312094"/>
      <w:bookmarkEnd w:id="121"/>
      <w:bookmarkStart w:id="122" w:name="_Toc184314433"/>
      <w:bookmarkEnd w:id="122"/>
      <w:bookmarkStart w:id="123" w:name="_Toc184308059"/>
      <w:bookmarkEnd w:id="123"/>
      <w:bookmarkStart w:id="124" w:name="_Toc184310307"/>
      <w:bookmarkEnd w:id="124"/>
      <w:bookmarkStart w:id="125" w:name="_Toc184313242"/>
      <w:bookmarkEnd w:id="125"/>
      <w:bookmarkStart w:id="126" w:name="_Toc184310311"/>
      <w:bookmarkEnd w:id="126"/>
      <w:bookmarkStart w:id="127" w:name="_Toc184314440"/>
      <w:bookmarkEnd w:id="127"/>
      <w:bookmarkStart w:id="128" w:name="_Toc184314449"/>
      <w:bookmarkEnd w:id="128"/>
      <w:bookmarkStart w:id="129" w:name="_Toc184312128"/>
      <w:bookmarkEnd w:id="129"/>
      <w:bookmarkStart w:id="130" w:name="_Toc184313257"/>
      <w:bookmarkEnd w:id="130"/>
      <w:bookmarkStart w:id="131" w:name="_Toc184310295"/>
      <w:bookmarkEnd w:id="131"/>
      <w:bookmarkStart w:id="132" w:name="_Toc184313304"/>
      <w:bookmarkEnd w:id="132"/>
      <w:bookmarkStart w:id="133" w:name="_Toc184308054"/>
      <w:bookmarkEnd w:id="133"/>
      <w:bookmarkStart w:id="134" w:name="_Toc184310328"/>
      <w:bookmarkEnd w:id="134"/>
      <w:bookmarkStart w:id="135" w:name="_Toc184308063"/>
      <w:bookmarkEnd w:id="135"/>
      <w:bookmarkStart w:id="136" w:name="_Toc184310317"/>
      <w:bookmarkEnd w:id="136"/>
      <w:bookmarkStart w:id="137" w:name="_Toc184308090"/>
      <w:bookmarkEnd w:id="137"/>
      <w:bookmarkStart w:id="138" w:name="_Toc184314480"/>
      <w:bookmarkEnd w:id="138"/>
      <w:bookmarkStart w:id="139" w:name="_Toc184314445"/>
      <w:bookmarkEnd w:id="139"/>
      <w:bookmarkStart w:id="140" w:name="_Toc184314446"/>
      <w:bookmarkEnd w:id="140"/>
      <w:bookmarkStart w:id="141" w:name="_Toc184312118"/>
      <w:bookmarkEnd w:id="141"/>
      <w:bookmarkStart w:id="142" w:name="_Toc184312116"/>
      <w:bookmarkEnd w:id="142"/>
      <w:bookmarkStart w:id="143" w:name="_Toc184308055"/>
      <w:bookmarkEnd w:id="143"/>
      <w:bookmarkStart w:id="144" w:name="_Toc184310323"/>
      <w:bookmarkEnd w:id="144"/>
      <w:bookmarkStart w:id="145" w:name="_Toc184312099"/>
      <w:bookmarkEnd w:id="145"/>
      <w:bookmarkStart w:id="146" w:name="_Toc184314447"/>
      <w:bookmarkEnd w:id="146"/>
      <w:bookmarkStart w:id="147" w:name="_Toc184308077"/>
      <w:bookmarkEnd w:id="147"/>
      <w:bookmarkStart w:id="148" w:name="_Toc184312101"/>
      <w:bookmarkEnd w:id="148"/>
      <w:bookmarkStart w:id="149" w:name="_Toc184314434"/>
      <w:bookmarkEnd w:id="149"/>
      <w:bookmarkStart w:id="150" w:name="_Toc184308096"/>
      <w:bookmarkEnd w:id="150"/>
      <w:bookmarkStart w:id="151" w:name="_Toc184314441"/>
      <w:bookmarkEnd w:id="151"/>
      <w:bookmarkStart w:id="152" w:name="_Toc184312095"/>
      <w:bookmarkEnd w:id="152"/>
      <w:bookmarkStart w:id="153" w:name="_Toc184313273"/>
      <w:bookmarkEnd w:id="153"/>
      <w:bookmarkStart w:id="154" w:name="_Toc184313300"/>
      <w:bookmarkEnd w:id="154"/>
      <w:bookmarkStart w:id="155" w:name="_Toc184313282"/>
      <w:bookmarkEnd w:id="155"/>
      <w:bookmarkStart w:id="156" w:name="_Toc184308104"/>
      <w:bookmarkEnd w:id="156"/>
      <w:bookmarkStart w:id="157" w:name="_Toc184313274"/>
      <w:bookmarkEnd w:id="157"/>
      <w:bookmarkStart w:id="158" w:name="_Toc184312114"/>
      <w:bookmarkEnd w:id="158"/>
      <w:bookmarkStart w:id="159" w:name="_Toc184308041"/>
      <w:bookmarkEnd w:id="159"/>
      <w:bookmarkStart w:id="160" w:name="_Toc184312109"/>
      <w:bookmarkEnd w:id="160"/>
      <w:bookmarkStart w:id="161" w:name="_Toc184310314"/>
      <w:bookmarkEnd w:id="161"/>
      <w:bookmarkStart w:id="162" w:name="_Toc184310287"/>
      <w:bookmarkEnd w:id="162"/>
      <w:bookmarkStart w:id="163" w:name="_Toc184312110"/>
      <w:bookmarkEnd w:id="163"/>
      <w:bookmarkStart w:id="164" w:name="_Toc184310310"/>
      <w:bookmarkEnd w:id="164"/>
      <w:bookmarkStart w:id="165" w:name="_Toc184310274"/>
      <w:bookmarkEnd w:id="165"/>
      <w:bookmarkStart w:id="166" w:name="_Toc184312073"/>
      <w:bookmarkEnd w:id="166"/>
      <w:bookmarkStart w:id="167" w:name="_Toc184313247"/>
      <w:bookmarkEnd w:id="167"/>
      <w:bookmarkStart w:id="168" w:name="_Toc184310327"/>
      <w:bookmarkEnd w:id="168"/>
      <w:bookmarkStart w:id="169" w:name="_Toc184314478"/>
      <w:bookmarkEnd w:id="169"/>
      <w:bookmarkStart w:id="170" w:name="_Toc184308079"/>
      <w:bookmarkEnd w:id="170"/>
      <w:bookmarkStart w:id="171" w:name="_Toc184314432"/>
      <w:bookmarkEnd w:id="171"/>
      <w:bookmarkStart w:id="172" w:name="_Toc184314437"/>
      <w:bookmarkEnd w:id="172"/>
      <w:bookmarkStart w:id="173" w:name="_Toc184310275"/>
      <w:bookmarkEnd w:id="173"/>
      <w:bookmarkStart w:id="174" w:name="_Toc184310292"/>
      <w:bookmarkEnd w:id="174"/>
      <w:bookmarkStart w:id="175" w:name="_Toc184313294"/>
      <w:bookmarkEnd w:id="175"/>
      <w:bookmarkStart w:id="176" w:name="_Toc184314482"/>
      <w:bookmarkEnd w:id="176"/>
      <w:bookmarkStart w:id="177" w:name="_Toc184310302"/>
      <w:bookmarkEnd w:id="177"/>
      <w:bookmarkStart w:id="178" w:name="_Toc184308053"/>
      <w:bookmarkEnd w:id="178"/>
      <w:bookmarkStart w:id="179" w:name="_Toc184312108"/>
      <w:bookmarkEnd w:id="179"/>
      <w:bookmarkStart w:id="180" w:name="_Toc184310318"/>
      <w:bookmarkEnd w:id="180"/>
      <w:bookmarkStart w:id="181" w:name="_Toc184308089"/>
      <w:bookmarkEnd w:id="181"/>
      <w:bookmarkStart w:id="182" w:name="_Toc184314438"/>
      <w:bookmarkEnd w:id="182"/>
      <w:bookmarkStart w:id="183" w:name="_Toc184308061"/>
      <w:bookmarkEnd w:id="183"/>
      <w:bookmarkStart w:id="184" w:name="_Toc184312096"/>
      <w:bookmarkEnd w:id="184"/>
      <w:bookmarkStart w:id="185" w:name="_Toc184314476"/>
      <w:bookmarkEnd w:id="185"/>
      <w:bookmarkStart w:id="186" w:name="_Toc184314453"/>
      <w:bookmarkEnd w:id="186"/>
      <w:bookmarkStart w:id="187" w:name="_Toc184312091"/>
      <w:bookmarkEnd w:id="187"/>
      <w:bookmarkStart w:id="188" w:name="_Toc184308092"/>
      <w:bookmarkEnd w:id="188"/>
      <w:bookmarkStart w:id="189" w:name="_Toc184313269"/>
      <w:bookmarkEnd w:id="189"/>
      <w:bookmarkStart w:id="190" w:name="_Toc184310309"/>
      <w:bookmarkEnd w:id="190"/>
      <w:bookmarkStart w:id="191" w:name="_Toc184314475"/>
      <w:bookmarkEnd w:id="191"/>
      <w:bookmarkStart w:id="192" w:name="_Toc184312072"/>
      <w:bookmarkEnd w:id="192"/>
      <w:bookmarkStart w:id="193" w:name="_Toc184308064"/>
      <w:bookmarkEnd w:id="193"/>
      <w:bookmarkStart w:id="194" w:name="_Toc184308038"/>
      <w:bookmarkEnd w:id="194"/>
      <w:bookmarkStart w:id="195" w:name="_Toc184313306"/>
      <w:bookmarkEnd w:id="195"/>
      <w:bookmarkStart w:id="196" w:name="_Toc184314414"/>
      <w:bookmarkEnd w:id="196"/>
      <w:bookmarkStart w:id="197" w:name="_Toc184313278"/>
      <w:bookmarkEnd w:id="197"/>
      <w:bookmarkStart w:id="198" w:name="_Toc184308095"/>
      <w:bookmarkEnd w:id="198"/>
      <w:bookmarkStart w:id="199" w:name="_Toc184314477"/>
      <w:bookmarkEnd w:id="199"/>
      <w:bookmarkStart w:id="200" w:name="_Toc184313307"/>
      <w:bookmarkEnd w:id="200"/>
      <w:bookmarkStart w:id="201" w:name="_Toc184312086"/>
      <w:bookmarkEnd w:id="201"/>
      <w:bookmarkStart w:id="202" w:name="_Toc184308049"/>
      <w:bookmarkEnd w:id="202"/>
      <w:bookmarkStart w:id="203" w:name="_Toc184310285"/>
      <w:bookmarkEnd w:id="203"/>
      <w:bookmarkStart w:id="204" w:name="_Toc184310288"/>
      <w:bookmarkEnd w:id="204"/>
      <w:bookmarkStart w:id="205" w:name="_Toc184312124"/>
      <w:bookmarkEnd w:id="205"/>
      <w:bookmarkStart w:id="206" w:name="_Toc184310296"/>
      <w:bookmarkEnd w:id="206"/>
      <w:bookmarkStart w:id="207" w:name="_Toc184313265"/>
      <w:bookmarkEnd w:id="207"/>
      <w:bookmarkStart w:id="208" w:name="_Toc184308052"/>
      <w:bookmarkEnd w:id="208"/>
      <w:bookmarkStart w:id="209" w:name="_Toc184308068"/>
      <w:bookmarkEnd w:id="209"/>
      <w:bookmarkStart w:id="210" w:name="_Toc184308099"/>
      <w:bookmarkEnd w:id="210"/>
      <w:bookmarkStart w:id="211" w:name="_Toc184312133"/>
      <w:bookmarkEnd w:id="211"/>
      <w:bookmarkStart w:id="212" w:name="_Toc184314450"/>
      <w:bookmarkEnd w:id="212"/>
      <w:bookmarkStart w:id="213" w:name="_Toc184310338"/>
      <w:bookmarkEnd w:id="213"/>
      <w:bookmarkStart w:id="214" w:name="_Toc184314436"/>
      <w:bookmarkEnd w:id="214"/>
      <w:bookmarkStart w:id="215" w:name="_Toc184314479"/>
      <w:bookmarkEnd w:id="215"/>
      <w:bookmarkStart w:id="216" w:name="_Toc184312075"/>
      <w:bookmarkEnd w:id="216"/>
      <w:bookmarkStart w:id="217" w:name="_Toc184308067"/>
      <w:bookmarkEnd w:id="217"/>
      <w:bookmarkStart w:id="218" w:name="_Toc184308048"/>
      <w:bookmarkEnd w:id="218"/>
      <w:bookmarkStart w:id="219" w:name="_Toc184314463"/>
      <w:bookmarkEnd w:id="219"/>
      <w:bookmarkStart w:id="220" w:name="_Toc184308047"/>
      <w:bookmarkEnd w:id="220"/>
      <w:bookmarkStart w:id="221" w:name="_Toc184312107"/>
      <w:bookmarkEnd w:id="221"/>
      <w:bookmarkStart w:id="222" w:name="_Toc184310316"/>
      <w:bookmarkEnd w:id="222"/>
      <w:bookmarkStart w:id="223" w:name="_Toc184313295"/>
      <w:bookmarkEnd w:id="223"/>
      <w:bookmarkStart w:id="224" w:name="_Toc184314419"/>
      <w:bookmarkEnd w:id="224"/>
      <w:bookmarkStart w:id="225" w:name="_Toc184313264"/>
      <w:bookmarkEnd w:id="225"/>
      <w:bookmarkStart w:id="226" w:name="_Toc184310305"/>
      <w:bookmarkEnd w:id="226"/>
      <w:bookmarkStart w:id="227" w:name="_Toc184313244"/>
      <w:bookmarkEnd w:id="227"/>
      <w:bookmarkStart w:id="228" w:name="_Toc184313246"/>
      <w:bookmarkEnd w:id="228"/>
      <w:bookmarkStart w:id="229" w:name="_Toc184310282"/>
      <w:bookmarkEnd w:id="229"/>
      <w:bookmarkStart w:id="230" w:name="_Toc184313240"/>
      <w:bookmarkEnd w:id="230"/>
      <w:bookmarkStart w:id="231" w:name="_Toc184314452"/>
      <w:bookmarkEnd w:id="231"/>
      <w:bookmarkStart w:id="232" w:name="_Toc184313292"/>
      <w:bookmarkEnd w:id="232"/>
      <w:bookmarkStart w:id="233" w:name="_Toc184312081"/>
      <w:bookmarkEnd w:id="233"/>
      <w:bookmarkStart w:id="234" w:name="_Toc184314428"/>
      <w:bookmarkEnd w:id="234"/>
      <w:bookmarkStart w:id="235" w:name="_Toc184314423"/>
      <w:bookmarkEnd w:id="235"/>
      <w:bookmarkStart w:id="236" w:name="_Toc184312123"/>
      <w:bookmarkEnd w:id="236"/>
      <w:bookmarkStart w:id="237" w:name="_Toc184310331"/>
      <w:bookmarkEnd w:id="237"/>
      <w:bookmarkStart w:id="238" w:name="_Toc184308062"/>
      <w:bookmarkEnd w:id="238"/>
      <w:bookmarkStart w:id="239" w:name="_Toc184313245"/>
      <w:bookmarkEnd w:id="239"/>
      <w:bookmarkStart w:id="240" w:name="_Toc184310341"/>
      <w:bookmarkEnd w:id="240"/>
      <w:bookmarkStart w:id="241" w:name="_Toc184312115"/>
      <w:bookmarkEnd w:id="241"/>
      <w:bookmarkStart w:id="242" w:name="_Toc184313259"/>
      <w:bookmarkEnd w:id="242"/>
      <w:bookmarkStart w:id="243" w:name="_Toc184310290"/>
      <w:bookmarkEnd w:id="243"/>
      <w:bookmarkStart w:id="244" w:name="_Toc184308080"/>
      <w:bookmarkEnd w:id="244"/>
      <w:bookmarkStart w:id="245" w:name="_Toc184308078"/>
      <w:bookmarkEnd w:id="245"/>
      <w:bookmarkStart w:id="246" w:name="_Toc184310319"/>
      <w:bookmarkEnd w:id="246"/>
      <w:bookmarkStart w:id="247" w:name="_Toc184314444"/>
      <w:bookmarkEnd w:id="247"/>
      <w:bookmarkStart w:id="248" w:name="_Toc184312106"/>
      <w:bookmarkEnd w:id="248"/>
      <w:bookmarkStart w:id="249" w:name="_Toc184312071"/>
      <w:bookmarkEnd w:id="249"/>
      <w:bookmarkStart w:id="250" w:name="_Toc184308098"/>
      <w:bookmarkEnd w:id="250"/>
      <w:bookmarkStart w:id="251" w:name="_Toc184310273"/>
      <w:bookmarkEnd w:id="251"/>
      <w:bookmarkStart w:id="252" w:name="_Toc184308103"/>
      <w:bookmarkEnd w:id="252"/>
      <w:bookmarkStart w:id="253" w:name="_Toc184313276"/>
      <w:bookmarkEnd w:id="253"/>
      <w:bookmarkStart w:id="254" w:name="_Toc184314412"/>
      <w:bookmarkEnd w:id="254"/>
      <w:bookmarkStart w:id="255" w:name="_Toc184314459"/>
      <w:bookmarkEnd w:id="255"/>
      <w:bookmarkStart w:id="256" w:name="_Toc184310298"/>
      <w:bookmarkEnd w:id="256"/>
      <w:bookmarkStart w:id="257" w:name="_Toc184313255"/>
      <w:bookmarkEnd w:id="257"/>
      <w:bookmarkStart w:id="258" w:name="_Toc184314448"/>
      <w:bookmarkEnd w:id="258"/>
      <w:bookmarkStart w:id="259" w:name="_Toc184314418"/>
      <w:bookmarkEnd w:id="259"/>
      <w:bookmarkStart w:id="260" w:name="_Toc184313284"/>
      <w:bookmarkEnd w:id="260"/>
      <w:bookmarkStart w:id="261" w:name="_Toc184310324"/>
      <w:bookmarkEnd w:id="261"/>
      <w:bookmarkStart w:id="262" w:name="_Toc184308050"/>
      <w:bookmarkEnd w:id="262"/>
      <w:bookmarkStart w:id="263" w:name="_Toc184310277"/>
      <w:bookmarkEnd w:id="263"/>
      <w:bookmarkStart w:id="264" w:name="_Toc184313283"/>
      <w:bookmarkEnd w:id="264"/>
      <w:bookmarkStart w:id="265" w:name="_Toc184312138"/>
      <w:bookmarkEnd w:id="265"/>
      <w:bookmarkStart w:id="266" w:name="_Toc184313254"/>
      <w:bookmarkEnd w:id="266"/>
      <w:bookmarkStart w:id="267" w:name="_Toc184312137"/>
      <w:bookmarkEnd w:id="267"/>
      <w:bookmarkStart w:id="268" w:name="_Toc184313302"/>
      <w:bookmarkEnd w:id="268"/>
      <w:bookmarkStart w:id="269" w:name="_Toc184314473"/>
      <w:bookmarkEnd w:id="269"/>
      <w:bookmarkStart w:id="270" w:name="_Toc184312105"/>
      <w:bookmarkEnd w:id="270"/>
      <w:bookmarkStart w:id="271" w:name="_Toc184310315"/>
      <w:bookmarkEnd w:id="271"/>
      <w:bookmarkStart w:id="272" w:name="_Toc184314443"/>
      <w:bookmarkEnd w:id="272"/>
      <w:bookmarkStart w:id="273" w:name="_Toc184308051"/>
      <w:bookmarkEnd w:id="273"/>
      <w:bookmarkStart w:id="274" w:name="_Toc184312068"/>
      <w:bookmarkEnd w:id="274"/>
      <w:bookmarkStart w:id="275" w:name="_Toc184313270"/>
      <w:bookmarkEnd w:id="275"/>
      <w:bookmarkStart w:id="276" w:name="_Toc184308058"/>
      <w:bookmarkEnd w:id="276"/>
      <w:bookmarkStart w:id="277" w:name="_Toc184313260"/>
      <w:bookmarkEnd w:id="277"/>
      <w:bookmarkStart w:id="278" w:name="_Toc184308085"/>
      <w:bookmarkEnd w:id="278"/>
      <w:bookmarkStart w:id="279" w:name="_Toc184312131"/>
      <w:bookmarkEnd w:id="279"/>
      <w:bookmarkStart w:id="280" w:name="_Toc184313298"/>
      <w:bookmarkEnd w:id="280"/>
      <w:bookmarkStart w:id="281" w:name="_Toc184308070"/>
      <w:bookmarkEnd w:id="281"/>
      <w:bookmarkStart w:id="282" w:name="_Toc184310336"/>
      <w:bookmarkEnd w:id="282"/>
      <w:bookmarkStart w:id="283" w:name="_Toc184312074"/>
      <w:bookmarkEnd w:id="283"/>
      <w:bookmarkStart w:id="284" w:name="_Toc184314474"/>
      <w:bookmarkEnd w:id="284"/>
      <w:bookmarkStart w:id="285" w:name="_Toc184314411"/>
      <w:bookmarkEnd w:id="285"/>
      <w:bookmarkStart w:id="286" w:name="_Toc184314464"/>
      <w:bookmarkEnd w:id="286"/>
      <w:bookmarkStart w:id="287" w:name="_Toc184313288"/>
      <w:bookmarkEnd w:id="287"/>
      <w:bookmarkStart w:id="288" w:name="_Toc184314420"/>
      <w:bookmarkEnd w:id="288"/>
      <w:bookmarkStart w:id="289" w:name="_Toc184310304"/>
      <w:bookmarkEnd w:id="289"/>
      <w:bookmarkStart w:id="290" w:name="_Toc184312067"/>
      <w:bookmarkEnd w:id="290"/>
      <w:bookmarkStart w:id="291" w:name="_Toc184310335"/>
      <w:bookmarkEnd w:id="291"/>
      <w:bookmarkStart w:id="292" w:name="_Toc184313289"/>
      <w:bookmarkEnd w:id="292"/>
      <w:bookmarkStart w:id="293" w:name="_Toc184310280"/>
      <w:bookmarkEnd w:id="293"/>
      <w:bookmarkStart w:id="294" w:name="_Toc184312079"/>
      <w:bookmarkEnd w:id="294"/>
      <w:bookmarkStart w:id="295" w:name="_Toc184313293"/>
      <w:bookmarkEnd w:id="295"/>
      <w:bookmarkStart w:id="296" w:name="_Toc184312113"/>
      <w:bookmarkEnd w:id="296"/>
      <w:bookmarkStart w:id="297" w:name="_Toc184313251"/>
      <w:bookmarkEnd w:id="297"/>
      <w:bookmarkStart w:id="298" w:name="_Toc184308072"/>
      <w:bookmarkEnd w:id="298"/>
      <w:bookmarkStart w:id="299" w:name="_Toc184313243"/>
      <w:bookmarkEnd w:id="299"/>
      <w:bookmarkStart w:id="300" w:name="_Toc184312097"/>
      <w:bookmarkEnd w:id="300"/>
      <w:bookmarkStart w:id="301" w:name="_Toc184313249"/>
      <w:bookmarkEnd w:id="301"/>
      <w:bookmarkStart w:id="302" w:name="_Toc184308037"/>
      <w:bookmarkEnd w:id="302"/>
      <w:bookmarkStart w:id="303" w:name="_Toc184314416"/>
      <w:bookmarkEnd w:id="303"/>
      <w:bookmarkStart w:id="304" w:name="_Toc184312117"/>
      <w:bookmarkEnd w:id="304"/>
      <w:bookmarkStart w:id="305" w:name="_Toc184314415"/>
      <w:bookmarkEnd w:id="305"/>
      <w:bookmarkStart w:id="306" w:name="_Toc184314422"/>
      <w:bookmarkEnd w:id="306"/>
      <w:bookmarkStart w:id="307" w:name="_Toc184312102"/>
      <w:bookmarkEnd w:id="307"/>
      <w:bookmarkStart w:id="308" w:name="_Toc184312126"/>
      <w:bookmarkEnd w:id="308"/>
      <w:bookmarkStart w:id="309" w:name="_Toc184312100"/>
      <w:bookmarkEnd w:id="309"/>
      <w:bookmarkStart w:id="310" w:name="_Toc184310279"/>
      <w:bookmarkEnd w:id="310"/>
      <w:bookmarkStart w:id="311" w:name="_Toc184312077"/>
      <w:bookmarkEnd w:id="311"/>
      <w:bookmarkStart w:id="312" w:name="_Toc184310281"/>
      <w:bookmarkEnd w:id="312"/>
      <w:bookmarkStart w:id="313" w:name="_Toc184314413"/>
      <w:bookmarkEnd w:id="313"/>
      <w:bookmarkStart w:id="314" w:name="_Toc184312134"/>
      <w:bookmarkEnd w:id="314"/>
      <w:bookmarkStart w:id="315" w:name="_Toc184308107"/>
      <w:bookmarkEnd w:id="315"/>
      <w:bookmarkStart w:id="316" w:name="_Toc184313303"/>
      <w:bookmarkEnd w:id="316"/>
      <w:bookmarkStart w:id="317" w:name="_Toc184314461"/>
      <w:bookmarkEnd w:id="317"/>
      <w:bookmarkStart w:id="318" w:name="_Toc184314472"/>
      <w:bookmarkEnd w:id="318"/>
      <w:bookmarkStart w:id="319" w:name="_Toc184310301"/>
      <w:bookmarkEnd w:id="319"/>
      <w:bookmarkStart w:id="320" w:name="_Toc184312132"/>
      <w:bookmarkEnd w:id="320"/>
      <w:bookmarkStart w:id="321" w:name="_Toc184313252"/>
      <w:bookmarkEnd w:id="321"/>
      <w:bookmarkStart w:id="322" w:name="_Toc184308105"/>
      <w:bookmarkEnd w:id="322"/>
      <w:bookmarkStart w:id="323" w:name="_Toc184312070"/>
      <w:bookmarkEnd w:id="323"/>
      <w:bookmarkStart w:id="324" w:name="_Toc184310344"/>
      <w:bookmarkEnd w:id="324"/>
      <w:bookmarkStart w:id="325" w:name="_Toc184310289"/>
      <w:bookmarkEnd w:id="325"/>
      <w:bookmarkStart w:id="326" w:name="_Toc184312111"/>
      <w:bookmarkEnd w:id="326"/>
      <w:bookmarkStart w:id="327" w:name="_Toc184310343"/>
      <w:bookmarkEnd w:id="327"/>
      <w:bookmarkStart w:id="328" w:name="_Toc184308074"/>
      <w:bookmarkEnd w:id="328"/>
      <w:bookmarkStart w:id="329" w:name="_Toc184310322"/>
      <w:bookmarkEnd w:id="329"/>
      <w:bookmarkStart w:id="330" w:name="_Toc184308087"/>
      <w:bookmarkEnd w:id="330"/>
      <w:bookmarkStart w:id="331" w:name="_Toc184312087"/>
      <w:bookmarkEnd w:id="331"/>
      <w:bookmarkStart w:id="332" w:name="_Toc184310321"/>
      <w:bookmarkEnd w:id="332"/>
      <w:bookmarkStart w:id="333" w:name="_Toc184314424"/>
      <w:bookmarkEnd w:id="333"/>
      <w:bookmarkStart w:id="334" w:name="_Toc184314481"/>
      <w:bookmarkEnd w:id="334"/>
      <w:bookmarkStart w:id="335" w:name="_Toc184313268"/>
      <w:bookmarkEnd w:id="335"/>
      <w:bookmarkStart w:id="336" w:name="_Toc184312112"/>
      <w:bookmarkEnd w:id="336"/>
      <w:bookmarkStart w:id="337" w:name="_Toc184312092"/>
      <w:bookmarkEnd w:id="337"/>
      <w:bookmarkStart w:id="338" w:name="_Toc184313286"/>
      <w:bookmarkEnd w:id="338"/>
      <w:bookmarkStart w:id="339" w:name="_Toc184314470"/>
      <w:bookmarkEnd w:id="339"/>
      <w:bookmarkStart w:id="340" w:name="_Toc184310278"/>
      <w:bookmarkEnd w:id="340"/>
      <w:bookmarkStart w:id="341" w:name="_Toc184308069"/>
      <w:bookmarkEnd w:id="341"/>
      <w:bookmarkStart w:id="342" w:name="_Toc184308057"/>
      <w:bookmarkEnd w:id="342"/>
      <w:bookmarkStart w:id="343" w:name="_Toc184310276"/>
      <w:bookmarkEnd w:id="343"/>
      <w:bookmarkStart w:id="344" w:name="_Toc184308082"/>
      <w:bookmarkEnd w:id="344"/>
      <w:bookmarkStart w:id="345" w:name="_Toc184308108"/>
      <w:bookmarkEnd w:id="345"/>
      <w:bookmarkStart w:id="346" w:name="_Toc184310312"/>
      <w:bookmarkEnd w:id="346"/>
      <w:bookmarkStart w:id="347" w:name="_Toc184310313"/>
      <w:bookmarkEnd w:id="347"/>
      <w:bookmarkStart w:id="348" w:name="_Toc184310334"/>
      <w:bookmarkEnd w:id="348"/>
      <w:bookmarkStart w:id="349" w:name="_Toc184314429"/>
      <w:bookmarkEnd w:id="349"/>
      <w:bookmarkStart w:id="350" w:name="_Toc184314465"/>
      <w:bookmarkEnd w:id="350"/>
      <w:bookmarkStart w:id="351" w:name="_Toc184312129"/>
      <w:bookmarkEnd w:id="351"/>
      <w:bookmarkStart w:id="352" w:name="_Toc184308043"/>
      <w:bookmarkEnd w:id="352"/>
      <w:bookmarkStart w:id="353" w:name="_Toc184308094"/>
      <w:bookmarkEnd w:id="353"/>
      <w:bookmarkStart w:id="354" w:name="_Toc184314467"/>
      <w:bookmarkEnd w:id="354"/>
      <w:bookmarkStart w:id="355" w:name="_Toc184308093"/>
      <w:bookmarkEnd w:id="355"/>
      <w:bookmarkStart w:id="356" w:name="_Toc184313296"/>
      <w:bookmarkEnd w:id="356"/>
      <w:bookmarkStart w:id="357" w:name="_Toc184314425"/>
      <w:bookmarkEnd w:id="357"/>
      <w:bookmarkStart w:id="358" w:name="_Toc184312104"/>
      <w:bookmarkEnd w:id="358"/>
      <w:bookmarkStart w:id="359" w:name="_Toc184308102"/>
      <w:bookmarkEnd w:id="359"/>
      <w:bookmarkStart w:id="360" w:name="_Toc184314468"/>
      <w:bookmarkEnd w:id="360"/>
      <w:bookmarkStart w:id="361" w:name="_Toc184314454"/>
      <w:bookmarkEnd w:id="361"/>
      <w:bookmarkStart w:id="362" w:name="_Toc184314451"/>
      <w:bookmarkEnd w:id="362"/>
      <w:bookmarkStart w:id="363" w:name="_Toc184314466"/>
      <w:bookmarkEnd w:id="363"/>
      <w:bookmarkStart w:id="364" w:name="_Toc184313297"/>
      <w:bookmarkEnd w:id="364"/>
      <w:bookmarkStart w:id="365" w:name="_Toc184312078"/>
      <w:bookmarkEnd w:id="365"/>
      <w:bookmarkStart w:id="366" w:name="_Toc184312090"/>
      <w:bookmarkEnd w:id="366"/>
      <w:bookmarkStart w:id="367" w:name="_Toc184310337"/>
      <w:bookmarkEnd w:id="367"/>
      <w:bookmarkStart w:id="368" w:name="_Toc184314439"/>
      <w:bookmarkEnd w:id="368"/>
      <w:bookmarkStart w:id="369" w:name="_Toc184310320"/>
      <w:bookmarkEnd w:id="369"/>
      <w:bookmarkStart w:id="370" w:name="_Toc184313256"/>
      <w:bookmarkEnd w:id="370"/>
      <w:bookmarkStart w:id="371" w:name="_Toc184308046"/>
      <w:bookmarkEnd w:id="371"/>
      <w:bookmarkStart w:id="372" w:name="_Toc184313266"/>
      <w:bookmarkEnd w:id="372"/>
      <w:bookmarkStart w:id="373" w:name="_Toc184310297"/>
      <w:bookmarkEnd w:id="373"/>
      <w:bookmarkStart w:id="374" w:name="_Toc184308060"/>
      <w:bookmarkEnd w:id="374"/>
      <w:bookmarkStart w:id="375" w:name="_Toc184308065"/>
      <w:bookmarkEnd w:id="375"/>
      <w:bookmarkStart w:id="376" w:name="_Toc184313309"/>
      <w:bookmarkEnd w:id="376"/>
      <w:bookmarkStart w:id="377" w:name="_Toc184314471"/>
      <w:bookmarkEnd w:id="377"/>
      <w:bookmarkStart w:id="378" w:name="_Toc184310339"/>
      <w:bookmarkEnd w:id="378"/>
      <w:bookmarkStart w:id="379" w:name="_Toc184314421"/>
      <w:bookmarkEnd w:id="379"/>
      <w:bookmarkStart w:id="380" w:name="_Toc184310308"/>
      <w:bookmarkEnd w:id="380"/>
      <w:bookmarkStart w:id="381" w:name="_Toc184308086"/>
      <w:bookmarkEnd w:id="381"/>
      <w:bookmarkStart w:id="382" w:name="_Toc184308071"/>
      <w:bookmarkEnd w:id="382"/>
      <w:bookmarkStart w:id="383" w:name="_Toc184310306"/>
      <w:bookmarkEnd w:id="383"/>
      <w:bookmarkStart w:id="384" w:name="_Toc184313241"/>
      <w:bookmarkEnd w:id="384"/>
      <w:bookmarkStart w:id="385" w:name="_Toc184312098"/>
      <w:bookmarkEnd w:id="385"/>
      <w:bookmarkStart w:id="386" w:name="_Toc184312083"/>
      <w:bookmarkEnd w:id="386"/>
      <w:bookmarkStart w:id="387" w:name="_Toc184313281"/>
      <w:bookmarkEnd w:id="387"/>
      <w:bookmarkStart w:id="388" w:name="_Toc184308083"/>
      <w:bookmarkEnd w:id="388"/>
      <w:bookmarkStart w:id="389" w:name="_Toc184313267"/>
      <w:bookmarkEnd w:id="389"/>
      <w:bookmarkStart w:id="390" w:name="_Toc184314426"/>
      <w:bookmarkEnd w:id="390"/>
      <w:bookmarkStart w:id="391" w:name="_Toc184308100"/>
      <w:bookmarkEnd w:id="391"/>
      <w:bookmarkStart w:id="392" w:name="_Toc184312139"/>
      <w:bookmarkEnd w:id="392"/>
      <w:r>
        <w:rPr>
          <w:rFonts w:hint="eastAsia" w:asciiTheme="minorEastAsia" w:hAnsiTheme="minorEastAsia" w:eastAsiaTheme="minorEastAsia" w:cstheme="minorEastAsia"/>
          <w:b/>
          <w:color w:val="auto"/>
          <w:sz w:val="36"/>
          <w:szCs w:val="36"/>
        </w:rPr>
        <w:t>评审办法</w:t>
      </w:r>
    </w:p>
    <w:p w14:paraId="42024AEF">
      <w:pPr>
        <w:shd w:val="clear"/>
        <w:snapToGrid w:val="0"/>
        <w:spacing w:line="360" w:lineRule="auto"/>
        <w:ind w:firstLine="643"/>
        <w:jc w:val="center"/>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b/>
          <w:color w:val="auto"/>
          <w:sz w:val="32"/>
          <w:szCs w:val="20"/>
        </w:rPr>
        <w:t>评审办法前附表</w:t>
      </w:r>
    </w:p>
    <w:tbl>
      <w:tblPr>
        <w:tblStyle w:val="27"/>
        <w:tblW w:w="95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24"/>
        <w:gridCol w:w="7528"/>
      </w:tblGrid>
      <w:tr w14:paraId="04077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7ABBE24E">
            <w:pPr>
              <w:shd w:val="clear"/>
              <w:spacing w:line="360" w:lineRule="auto"/>
              <w:rPr>
                <w:color w:val="auto"/>
                <w:szCs w:val="21"/>
              </w:rPr>
            </w:pPr>
          </w:p>
        </w:tc>
        <w:tc>
          <w:tcPr>
            <w:tcW w:w="1224" w:type="dxa"/>
            <w:vAlign w:val="center"/>
          </w:tcPr>
          <w:p w14:paraId="7B574535">
            <w:pPr>
              <w:shd w:val="clear"/>
              <w:spacing w:line="360" w:lineRule="auto"/>
              <w:jc w:val="center"/>
              <w:rPr>
                <w:color w:val="auto"/>
                <w:szCs w:val="21"/>
              </w:rPr>
            </w:pPr>
            <w:r>
              <w:rPr>
                <w:rFonts w:hint="eastAsia"/>
                <w:color w:val="auto"/>
              </w:rPr>
              <w:t>项目</w:t>
            </w:r>
          </w:p>
        </w:tc>
        <w:tc>
          <w:tcPr>
            <w:tcW w:w="7528" w:type="dxa"/>
            <w:vAlign w:val="center"/>
          </w:tcPr>
          <w:p w14:paraId="19EAF3A0">
            <w:pPr>
              <w:shd w:val="clear"/>
              <w:tabs>
                <w:tab w:val="left" w:pos="4915"/>
              </w:tabs>
              <w:spacing w:line="360" w:lineRule="auto"/>
              <w:jc w:val="center"/>
              <w:rPr>
                <w:color w:val="auto"/>
                <w:szCs w:val="21"/>
              </w:rPr>
            </w:pPr>
            <w:r>
              <w:rPr>
                <w:rFonts w:hint="eastAsia"/>
                <w:color w:val="auto"/>
              </w:rPr>
              <w:t>评分细则</w:t>
            </w:r>
          </w:p>
        </w:tc>
      </w:tr>
      <w:tr w14:paraId="7B8E03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29867557">
            <w:pPr>
              <w:shd w:val="clear"/>
              <w:spacing w:line="360" w:lineRule="auto"/>
              <w:rPr>
                <w:color w:val="auto"/>
                <w:szCs w:val="21"/>
              </w:rPr>
            </w:pPr>
            <w:r>
              <w:rPr>
                <w:color w:val="auto"/>
                <w:szCs w:val="21"/>
              </w:rPr>
              <w:t>技术资信</w:t>
            </w:r>
            <w:r>
              <w:rPr>
                <w:rFonts w:hint="eastAsia"/>
                <w:color w:val="auto"/>
                <w:szCs w:val="21"/>
              </w:rPr>
              <w:t>部分65</w:t>
            </w:r>
            <w:r>
              <w:rPr>
                <w:color w:val="auto"/>
                <w:szCs w:val="21"/>
              </w:rPr>
              <w:t>分</w:t>
            </w:r>
          </w:p>
        </w:tc>
        <w:tc>
          <w:tcPr>
            <w:tcW w:w="1224" w:type="dxa"/>
            <w:vAlign w:val="center"/>
          </w:tcPr>
          <w:p w14:paraId="049BB278">
            <w:pPr>
              <w:shd w:val="clear"/>
              <w:spacing w:line="360" w:lineRule="auto"/>
              <w:jc w:val="center"/>
              <w:rPr>
                <w:color w:val="auto"/>
                <w:szCs w:val="21"/>
              </w:rPr>
            </w:pPr>
            <w:r>
              <w:rPr>
                <w:rFonts w:hint="eastAsia"/>
                <w:color w:val="auto"/>
                <w:szCs w:val="21"/>
              </w:rPr>
              <w:t>项目主要</w:t>
            </w:r>
            <w:r>
              <w:rPr>
                <w:color w:val="auto"/>
                <w:szCs w:val="21"/>
              </w:rPr>
              <w:t>技术</w:t>
            </w:r>
            <w:r>
              <w:rPr>
                <w:rFonts w:hint="eastAsia"/>
                <w:color w:val="auto"/>
                <w:szCs w:val="21"/>
              </w:rPr>
              <w:t>要求</w:t>
            </w:r>
          </w:p>
          <w:p w14:paraId="66F4212D">
            <w:pPr>
              <w:shd w:val="clear"/>
              <w:spacing w:line="360" w:lineRule="auto"/>
              <w:jc w:val="center"/>
              <w:rPr>
                <w:color w:val="auto"/>
                <w:szCs w:val="21"/>
              </w:rPr>
            </w:pPr>
            <w:r>
              <w:rPr>
                <w:color w:val="auto"/>
                <w:szCs w:val="21"/>
              </w:rPr>
              <w:t>响应情况</w:t>
            </w:r>
          </w:p>
          <w:p w14:paraId="62066ED3">
            <w:pPr>
              <w:shd w:val="clear"/>
              <w:spacing w:line="360" w:lineRule="auto"/>
              <w:jc w:val="center"/>
              <w:rPr>
                <w:color w:val="auto"/>
                <w:szCs w:val="21"/>
              </w:rPr>
            </w:pPr>
            <w:r>
              <w:rPr>
                <w:color w:val="auto"/>
                <w:szCs w:val="21"/>
              </w:rPr>
              <w:t>（</w:t>
            </w:r>
            <w:r>
              <w:rPr>
                <w:rFonts w:hint="eastAsia"/>
                <w:color w:val="auto"/>
                <w:szCs w:val="21"/>
              </w:rPr>
              <w:t>15</w:t>
            </w:r>
            <w:r>
              <w:rPr>
                <w:color w:val="auto"/>
                <w:szCs w:val="21"/>
              </w:rPr>
              <w:t>分）</w:t>
            </w:r>
          </w:p>
        </w:tc>
        <w:tc>
          <w:tcPr>
            <w:tcW w:w="7528" w:type="dxa"/>
            <w:vAlign w:val="center"/>
          </w:tcPr>
          <w:p w14:paraId="7672C0BF">
            <w:pPr>
              <w:shd w:val="clear"/>
              <w:tabs>
                <w:tab w:val="left" w:pos="4915"/>
              </w:tabs>
              <w:spacing w:line="360" w:lineRule="auto"/>
              <w:rPr>
                <w:rFonts w:cs="宋体"/>
                <w:color w:val="auto"/>
                <w:szCs w:val="21"/>
              </w:rPr>
            </w:pPr>
            <w:r>
              <w:rPr>
                <w:rFonts w:hint="eastAsia" w:cs="宋体"/>
                <w:color w:val="auto"/>
                <w:szCs w:val="21"/>
              </w:rPr>
              <w:t>1、项目技术要求响应情况（15分）</w:t>
            </w:r>
          </w:p>
          <w:p w14:paraId="7B707F48">
            <w:pPr>
              <w:shd w:val="clear"/>
              <w:tabs>
                <w:tab w:val="left" w:pos="4915"/>
              </w:tabs>
              <w:spacing w:line="360" w:lineRule="auto"/>
              <w:rPr>
                <w:color w:val="auto"/>
                <w:szCs w:val="21"/>
              </w:rPr>
            </w:pPr>
            <w:r>
              <w:rPr>
                <w:rFonts w:hint="eastAsia" w:cs="宋体"/>
                <w:color w:val="auto"/>
                <w:szCs w:val="21"/>
              </w:rPr>
              <w:t>响应文件对采购文件“第三部分采购需求”的响应情况：全部满足采购文件要求的得15分，非实质性要求的每负偏离一项扣2分。标▲条款的有任一负偏离的作无效响应文件处理。</w:t>
            </w:r>
          </w:p>
        </w:tc>
      </w:tr>
      <w:tr w14:paraId="5AE814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659087D0">
            <w:pPr>
              <w:shd w:val="clear"/>
              <w:spacing w:line="360" w:lineRule="auto"/>
              <w:rPr>
                <w:color w:val="auto"/>
                <w:szCs w:val="21"/>
              </w:rPr>
            </w:pPr>
          </w:p>
        </w:tc>
        <w:tc>
          <w:tcPr>
            <w:tcW w:w="1224" w:type="dxa"/>
            <w:vMerge w:val="restart"/>
            <w:vAlign w:val="center"/>
          </w:tcPr>
          <w:p w14:paraId="42EC3233">
            <w:pPr>
              <w:shd w:val="clear"/>
              <w:spacing w:line="360" w:lineRule="auto"/>
              <w:jc w:val="center"/>
              <w:rPr>
                <w:color w:val="auto"/>
                <w:szCs w:val="21"/>
              </w:rPr>
            </w:pPr>
            <w:r>
              <w:rPr>
                <w:rFonts w:hint="eastAsia"/>
                <w:color w:val="auto"/>
                <w:szCs w:val="21"/>
              </w:rPr>
              <w:t>施工组织方案</w:t>
            </w:r>
          </w:p>
          <w:p w14:paraId="2CD63CCF">
            <w:pPr>
              <w:shd w:val="clear"/>
              <w:spacing w:line="360" w:lineRule="auto"/>
              <w:jc w:val="center"/>
              <w:rPr>
                <w:color w:val="auto"/>
                <w:szCs w:val="21"/>
              </w:rPr>
            </w:pPr>
            <w:r>
              <w:rPr>
                <w:color w:val="auto"/>
                <w:szCs w:val="21"/>
              </w:rPr>
              <w:t>（</w:t>
            </w:r>
            <w:r>
              <w:rPr>
                <w:rFonts w:hint="eastAsia"/>
                <w:color w:val="auto"/>
                <w:szCs w:val="21"/>
              </w:rPr>
              <w:t>30</w:t>
            </w:r>
            <w:r>
              <w:rPr>
                <w:color w:val="auto"/>
                <w:szCs w:val="21"/>
              </w:rPr>
              <w:t>分）</w:t>
            </w:r>
          </w:p>
        </w:tc>
        <w:tc>
          <w:tcPr>
            <w:tcW w:w="7528" w:type="dxa"/>
            <w:vAlign w:val="center"/>
          </w:tcPr>
          <w:p w14:paraId="2E34A348">
            <w:pPr>
              <w:numPr>
                <w:ilvl w:val="0"/>
                <w:numId w:val="3"/>
              </w:numPr>
              <w:shd w:val="clear"/>
              <w:tabs>
                <w:tab w:val="left" w:pos="4915"/>
              </w:tabs>
              <w:spacing w:line="360" w:lineRule="auto"/>
              <w:rPr>
                <w:rFonts w:cs="宋体"/>
                <w:color w:val="auto"/>
                <w:szCs w:val="21"/>
              </w:rPr>
            </w:pPr>
            <w:r>
              <w:rPr>
                <w:rFonts w:hint="eastAsia" w:cs="宋体"/>
                <w:color w:val="auto"/>
                <w:szCs w:val="21"/>
              </w:rPr>
              <w:t>项目背景调查（5分）</w:t>
            </w:r>
          </w:p>
          <w:p w14:paraId="0F9A3955">
            <w:pPr>
              <w:shd w:val="clear"/>
              <w:tabs>
                <w:tab w:val="left" w:pos="4915"/>
              </w:tabs>
              <w:spacing w:line="360" w:lineRule="auto"/>
              <w:rPr>
                <w:rFonts w:cs="宋体"/>
                <w:color w:val="auto"/>
                <w:szCs w:val="21"/>
              </w:rPr>
            </w:pPr>
            <w:r>
              <w:rPr>
                <w:rFonts w:hint="eastAsia" w:cs="宋体"/>
                <w:color w:val="auto"/>
                <w:szCs w:val="21"/>
              </w:rPr>
              <w:t>评委对供应商根据目前项目情况所进行的调查和分析进行综合评议并打分：方案完全符合本项目需求、调查充分、分析全面的得5分；方案能满足项目的主体需求，调查不够充分、分析不够全面的得3分；方案有明显缺漏项或没有针对性，难以保证满足项目实施的得1分。未提供不得分。</w:t>
            </w:r>
          </w:p>
        </w:tc>
      </w:tr>
      <w:tr w14:paraId="34A0D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EE1797B">
            <w:pPr>
              <w:shd w:val="clear"/>
              <w:spacing w:line="360" w:lineRule="auto"/>
              <w:rPr>
                <w:color w:val="auto"/>
                <w:szCs w:val="21"/>
              </w:rPr>
            </w:pPr>
          </w:p>
        </w:tc>
        <w:tc>
          <w:tcPr>
            <w:tcW w:w="1224" w:type="dxa"/>
            <w:vMerge w:val="continue"/>
            <w:vAlign w:val="center"/>
          </w:tcPr>
          <w:p w14:paraId="64F13045">
            <w:pPr>
              <w:shd w:val="clear"/>
              <w:spacing w:line="360" w:lineRule="auto"/>
              <w:rPr>
                <w:color w:val="auto"/>
                <w:szCs w:val="21"/>
              </w:rPr>
            </w:pPr>
          </w:p>
        </w:tc>
        <w:tc>
          <w:tcPr>
            <w:tcW w:w="7528" w:type="dxa"/>
            <w:vAlign w:val="center"/>
          </w:tcPr>
          <w:p w14:paraId="2486A351">
            <w:pPr>
              <w:shd w:val="clear"/>
              <w:tabs>
                <w:tab w:val="left" w:pos="4915"/>
              </w:tabs>
              <w:spacing w:line="360" w:lineRule="auto"/>
              <w:rPr>
                <w:rFonts w:cs="宋体"/>
                <w:color w:val="auto"/>
                <w:szCs w:val="21"/>
              </w:rPr>
            </w:pPr>
            <w:r>
              <w:rPr>
                <w:rFonts w:hint="eastAsia" w:cs="宋体"/>
                <w:color w:val="auto"/>
                <w:szCs w:val="21"/>
              </w:rPr>
              <w:t>3、施工组织方案实施（5分）</w:t>
            </w:r>
          </w:p>
          <w:p w14:paraId="38691BF9">
            <w:pPr>
              <w:shd w:val="clear"/>
              <w:tabs>
                <w:tab w:val="left" w:pos="4915"/>
              </w:tabs>
              <w:spacing w:line="360" w:lineRule="auto"/>
              <w:rPr>
                <w:rFonts w:ascii="Times New Roman" w:hAnsi="Times New Roman" w:cs="宋体"/>
                <w:color w:val="auto"/>
                <w:szCs w:val="21"/>
              </w:rPr>
            </w:pPr>
            <w:r>
              <w:rPr>
                <w:rFonts w:hint="eastAsia" w:cs="宋体"/>
                <w:color w:val="auto"/>
                <w:szCs w:val="21"/>
              </w:rPr>
              <w:t>评委对整体施工组织方案进行综合评议并打分：方案完全符合本项目需求、工程关键节点分析准确、把控得当的得5分；方案能满足项目的主体需求，工程关键节点把控不够明确的得3分；方案有明显缺漏项或没有针对性，难以保证满足项目实施的得1分。未提供不得分。</w:t>
            </w:r>
          </w:p>
        </w:tc>
      </w:tr>
      <w:tr w14:paraId="4DC59A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5DEA45C4">
            <w:pPr>
              <w:shd w:val="clear"/>
              <w:spacing w:line="360" w:lineRule="auto"/>
              <w:rPr>
                <w:color w:val="auto"/>
                <w:szCs w:val="21"/>
              </w:rPr>
            </w:pPr>
          </w:p>
        </w:tc>
        <w:tc>
          <w:tcPr>
            <w:tcW w:w="1224" w:type="dxa"/>
            <w:vMerge w:val="continue"/>
            <w:vAlign w:val="center"/>
          </w:tcPr>
          <w:p w14:paraId="250945CA">
            <w:pPr>
              <w:shd w:val="clear"/>
              <w:spacing w:line="360" w:lineRule="auto"/>
              <w:rPr>
                <w:color w:val="auto"/>
                <w:szCs w:val="21"/>
              </w:rPr>
            </w:pPr>
          </w:p>
        </w:tc>
        <w:tc>
          <w:tcPr>
            <w:tcW w:w="7528" w:type="dxa"/>
            <w:vAlign w:val="center"/>
          </w:tcPr>
          <w:p w14:paraId="76AF537C">
            <w:pPr>
              <w:shd w:val="clear"/>
              <w:tabs>
                <w:tab w:val="left" w:pos="4915"/>
              </w:tabs>
              <w:spacing w:line="360" w:lineRule="auto"/>
              <w:rPr>
                <w:rFonts w:cs="宋体"/>
                <w:color w:val="auto"/>
                <w:szCs w:val="21"/>
              </w:rPr>
            </w:pPr>
            <w:r>
              <w:rPr>
                <w:rFonts w:hint="eastAsia" w:cs="宋体"/>
                <w:color w:val="auto"/>
                <w:szCs w:val="21"/>
              </w:rPr>
              <w:t>4、工程质量保证措施（5分）</w:t>
            </w:r>
          </w:p>
          <w:p w14:paraId="16569108">
            <w:pPr>
              <w:shd w:val="clear"/>
              <w:tabs>
                <w:tab w:val="left" w:pos="4915"/>
              </w:tabs>
              <w:spacing w:line="360" w:lineRule="auto"/>
              <w:rPr>
                <w:rFonts w:ascii="Times New Roman" w:hAnsi="Times New Roman" w:cs="宋体"/>
                <w:color w:val="auto"/>
                <w:szCs w:val="21"/>
              </w:rPr>
            </w:pPr>
            <w:r>
              <w:rPr>
                <w:rFonts w:hint="eastAsia" w:cs="宋体"/>
                <w:color w:val="auto"/>
                <w:szCs w:val="21"/>
              </w:rPr>
              <w:t>评委对工程质量保证措施进行综合评议并打分：各项保证措施有力、符合行业规范、符合本项目需求的得5分；措施上有部分非主体内容的欠缺，尚不影响履约的得3分；措施上有主体内容的缺项或缺少具体有效的保证措施，难以保证满足项目需求的得1分。未提供不得分。</w:t>
            </w:r>
          </w:p>
        </w:tc>
      </w:tr>
      <w:tr w14:paraId="2F5786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B8F36F7">
            <w:pPr>
              <w:shd w:val="clear"/>
              <w:spacing w:line="360" w:lineRule="auto"/>
              <w:rPr>
                <w:color w:val="auto"/>
                <w:szCs w:val="21"/>
              </w:rPr>
            </w:pPr>
          </w:p>
        </w:tc>
        <w:tc>
          <w:tcPr>
            <w:tcW w:w="1224" w:type="dxa"/>
            <w:vMerge w:val="continue"/>
            <w:vAlign w:val="center"/>
          </w:tcPr>
          <w:p w14:paraId="0E833130">
            <w:pPr>
              <w:shd w:val="clear"/>
              <w:spacing w:line="360" w:lineRule="auto"/>
              <w:rPr>
                <w:color w:val="auto"/>
                <w:szCs w:val="21"/>
              </w:rPr>
            </w:pPr>
          </w:p>
        </w:tc>
        <w:tc>
          <w:tcPr>
            <w:tcW w:w="7528" w:type="dxa"/>
            <w:vAlign w:val="center"/>
          </w:tcPr>
          <w:p w14:paraId="4ABDD6D0">
            <w:pPr>
              <w:shd w:val="clear"/>
              <w:tabs>
                <w:tab w:val="left" w:pos="4915"/>
              </w:tabs>
              <w:spacing w:line="360" w:lineRule="auto"/>
              <w:rPr>
                <w:rFonts w:cs="宋体"/>
                <w:color w:val="auto"/>
                <w:szCs w:val="21"/>
              </w:rPr>
            </w:pPr>
            <w:r>
              <w:rPr>
                <w:rFonts w:hint="eastAsia" w:cs="宋体"/>
                <w:color w:val="auto"/>
                <w:szCs w:val="21"/>
              </w:rPr>
              <w:t>5、施工进度管理与控制（5分）</w:t>
            </w:r>
          </w:p>
          <w:p w14:paraId="03CC3195">
            <w:pPr>
              <w:shd w:val="clear"/>
              <w:tabs>
                <w:tab w:val="left" w:pos="4915"/>
              </w:tabs>
              <w:spacing w:line="360" w:lineRule="auto"/>
              <w:rPr>
                <w:rFonts w:ascii="Times New Roman" w:hAnsi="Times New Roman" w:cs="宋体"/>
                <w:color w:val="auto"/>
                <w:szCs w:val="21"/>
              </w:rPr>
            </w:pPr>
            <w:r>
              <w:rPr>
                <w:rFonts w:hint="eastAsia" w:cs="宋体"/>
                <w:color w:val="auto"/>
                <w:szCs w:val="21"/>
              </w:rPr>
              <w:t>评委对施工进度管理与控制进行综合评议并打分：进度计划安排得当、各时间节点明确、项目工期有有效保障的得5分；进度安排尚能满足项目需求、部分时间节点不够明确或存在前松后紧的得3分；进度安排存在明显不合理之处、或时间节点混乱、难以保障项目工期的得1分。未提供不得分。</w:t>
            </w:r>
          </w:p>
        </w:tc>
      </w:tr>
      <w:tr w14:paraId="67F379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1D9A729">
            <w:pPr>
              <w:shd w:val="clear"/>
              <w:spacing w:line="360" w:lineRule="auto"/>
              <w:rPr>
                <w:color w:val="auto"/>
                <w:szCs w:val="21"/>
              </w:rPr>
            </w:pPr>
          </w:p>
        </w:tc>
        <w:tc>
          <w:tcPr>
            <w:tcW w:w="1224" w:type="dxa"/>
            <w:vMerge w:val="continue"/>
            <w:vAlign w:val="center"/>
          </w:tcPr>
          <w:p w14:paraId="72C3CC94">
            <w:pPr>
              <w:shd w:val="clear"/>
              <w:spacing w:line="360" w:lineRule="auto"/>
              <w:rPr>
                <w:color w:val="auto"/>
                <w:szCs w:val="21"/>
              </w:rPr>
            </w:pPr>
          </w:p>
        </w:tc>
        <w:tc>
          <w:tcPr>
            <w:tcW w:w="7528" w:type="dxa"/>
            <w:vAlign w:val="center"/>
          </w:tcPr>
          <w:p w14:paraId="3E190E3C">
            <w:pPr>
              <w:shd w:val="clear"/>
              <w:tabs>
                <w:tab w:val="left" w:pos="4915"/>
              </w:tabs>
              <w:spacing w:line="360" w:lineRule="auto"/>
              <w:rPr>
                <w:rFonts w:cs="宋体"/>
                <w:color w:val="auto"/>
                <w:szCs w:val="21"/>
              </w:rPr>
            </w:pPr>
            <w:r>
              <w:rPr>
                <w:rFonts w:hint="eastAsia" w:cs="宋体"/>
                <w:color w:val="auto"/>
                <w:szCs w:val="21"/>
              </w:rPr>
              <w:t>6、安全生产、文明施工措施（5分）</w:t>
            </w:r>
          </w:p>
          <w:p w14:paraId="4937A6CB">
            <w:pPr>
              <w:shd w:val="clear"/>
              <w:tabs>
                <w:tab w:val="left" w:pos="4915"/>
              </w:tabs>
              <w:spacing w:line="360" w:lineRule="auto"/>
              <w:rPr>
                <w:rFonts w:ascii="Times New Roman" w:hAnsi="Times New Roman" w:cs="宋体"/>
                <w:color w:val="auto"/>
                <w:szCs w:val="21"/>
              </w:rPr>
            </w:pPr>
            <w:r>
              <w:rPr>
                <w:rFonts w:hint="eastAsia" w:cs="宋体"/>
                <w:color w:val="auto"/>
                <w:szCs w:val="21"/>
              </w:rPr>
              <w:t>评委对安全生产、文明施工措施进行综合评议并打分：对施工噪音、施工震动、施工扬尘等防治措施具体有效、符合本项目需求的得5分；措施上存在细节部分欠缺，尚不影响履约的得3分；措施有缺项或缺少有效防治手段，难以保证项目实施的得1分。未提供不得分。</w:t>
            </w:r>
          </w:p>
        </w:tc>
      </w:tr>
      <w:tr w14:paraId="428B61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vAlign w:val="center"/>
          </w:tcPr>
          <w:p w14:paraId="14410053">
            <w:pPr>
              <w:shd w:val="clear"/>
              <w:spacing w:line="360" w:lineRule="auto"/>
              <w:rPr>
                <w:color w:val="auto"/>
                <w:szCs w:val="21"/>
              </w:rPr>
            </w:pPr>
          </w:p>
        </w:tc>
        <w:tc>
          <w:tcPr>
            <w:tcW w:w="1224" w:type="dxa"/>
            <w:vMerge w:val="continue"/>
            <w:vAlign w:val="center"/>
          </w:tcPr>
          <w:p w14:paraId="68FE2906">
            <w:pPr>
              <w:shd w:val="clear"/>
              <w:spacing w:line="360" w:lineRule="auto"/>
              <w:rPr>
                <w:color w:val="auto"/>
                <w:szCs w:val="21"/>
              </w:rPr>
            </w:pPr>
          </w:p>
        </w:tc>
        <w:tc>
          <w:tcPr>
            <w:tcW w:w="7528" w:type="dxa"/>
            <w:vAlign w:val="center"/>
          </w:tcPr>
          <w:p w14:paraId="301DC458">
            <w:pPr>
              <w:shd w:val="clear"/>
              <w:tabs>
                <w:tab w:val="left" w:pos="4915"/>
              </w:tabs>
              <w:spacing w:line="360" w:lineRule="auto"/>
              <w:rPr>
                <w:rFonts w:cs="宋体"/>
                <w:color w:val="auto"/>
                <w:szCs w:val="21"/>
              </w:rPr>
            </w:pPr>
            <w:r>
              <w:rPr>
                <w:rFonts w:hint="eastAsia" w:cs="宋体"/>
                <w:color w:val="auto"/>
                <w:szCs w:val="21"/>
              </w:rPr>
              <w:t>7、环保管理体系和措施（5分）</w:t>
            </w:r>
          </w:p>
          <w:p w14:paraId="24217423">
            <w:pPr>
              <w:shd w:val="clear"/>
              <w:tabs>
                <w:tab w:val="left" w:pos="4915"/>
              </w:tabs>
              <w:spacing w:line="360" w:lineRule="auto"/>
              <w:rPr>
                <w:rFonts w:ascii="Times New Roman" w:hAnsi="Times New Roman" w:cs="宋体"/>
                <w:color w:val="auto"/>
                <w:szCs w:val="21"/>
              </w:rPr>
            </w:pPr>
            <w:r>
              <w:rPr>
                <w:rFonts w:hint="eastAsia" w:cs="宋体"/>
                <w:color w:val="auto"/>
                <w:szCs w:val="21"/>
              </w:rPr>
              <w:t>评委对环保管理体系和措施进行综合评议并打分：环保管理体系健全有效、措施具体细致、符合本项目需求的得5分；体系及措施上有部分欠缺，但尚不影响实施的得3分；体系及措施有明显缺漏项，或过于笼统无法保证项目实施的得1分。未提供不得分。</w:t>
            </w:r>
          </w:p>
        </w:tc>
      </w:tr>
      <w:tr w14:paraId="35858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48" w:type="dxa"/>
            <w:vMerge w:val="continue"/>
            <w:vAlign w:val="center"/>
          </w:tcPr>
          <w:p w14:paraId="0141C65C">
            <w:pPr>
              <w:shd w:val="clear"/>
              <w:spacing w:line="360" w:lineRule="auto"/>
              <w:rPr>
                <w:color w:val="auto"/>
                <w:szCs w:val="21"/>
              </w:rPr>
            </w:pPr>
          </w:p>
        </w:tc>
        <w:tc>
          <w:tcPr>
            <w:tcW w:w="1224" w:type="dxa"/>
            <w:vAlign w:val="center"/>
          </w:tcPr>
          <w:p w14:paraId="317FDCD4">
            <w:pPr>
              <w:shd w:val="clear"/>
              <w:spacing w:line="360" w:lineRule="auto"/>
              <w:jc w:val="center"/>
              <w:rPr>
                <w:color w:val="auto"/>
                <w:szCs w:val="21"/>
              </w:rPr>
            </w:pPr>
            <w:r>
              <w:rPr>
                <w:rFonts w:hint="eastAsia"/>
                <w:color w:val="auto"/>
                <w:szCs w:val="21"/>
              </w:rPr>
              <w:t>项目团队（5分）</w:t>
            </w:r>
          </w:p>
        </w:tc>
        <w:tc>
          <w:tcPr>
            <w:tcW w:w="7528" w:type="dxa"/>
            <w:vAlign w:val="center"/>
          </w:tcPr>
          <w:p w14:paraId="640DB1AB">
            <w:pPr>
              <w:shd w:val="clear"/>
              <w:tabs>
                <w:tab w:val="left" w:pos="4915"/>
              </w:tabs>
              <w:spacing w:line="360" w:lineRule="auto"/>
              <w:rPr>
                <w:rFonts w:cs="宋体"/>
                <w:color w:val="auto"/>
                <w:szCs w:val="21"/>
              </w:rPr>
            </w:pPr>
            <w:r>
              <w:rPr>
                <w:rFonts w:hint="eastAsia" w:cs="宋体"/>
                <w:color w:val="auto"/>
                <w:szCs w:val="21"/>
              </w:rPr>
              <w:t>8、其他施工人员配备（5分）</w:t>
            </w:r>
          </w:p>
          <w:p w14:paraId="28A4B0F8">
            <w:pPr>
              <w:shd w:val="clear"/>
              <w:tabs>
                <w:tab w:val="left" w:pos="4915"/>
              </w:tabs>
              <w:spacing w:line="360" w:lineRule="auto"/>
              <w:rPr>
                <w:rFonts w:cs="宋体"/>
                <w:color w:val="auto"/>
                <w:szCs w:val="21"/>
              </w:rPr>
            </w:pPr>
            <w:r>
              <w:rPr>
                <w:rFonts w:hint="eastAsia" w:cs="宋体"/>
                <w:color w:val="auto"/>
                <w:szCs w:val="21"/>
              </w:rPr>
              <w:t>评委对其他施工人员配备进行综合评议并打分：人员配置满足项目需求、人员经过规范的上岗前培训并考试合格的得5分；人员配置满足项目需求的、上岗培训不足的得3分；人员配置难以满足项目需求、或未经上岗前培训的得1分。未提供不得分。</w:t>
            </w:r>
          </w:p>
        </w:tc>
      </w:tr>
      <w:tr w14:paraId="7CE191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48" w:type="dxa"/>
            <w:vMerge w:val="continue"/>
            <w:vAlign w:val="center"/>
          </w:tcPr>
          <w:p w14:paraId="60899878">
            <w:pPr>
              <w:shd w:val="clear"/>
              <w:spacing w:line="360" w:lineRule="auto"/>
              <w:rPr>
                <w:color w:val="auto"/>
                <w:szCs w:val="21"/>
              </w:rPr>
            </w:pPr>
          </w:p>
        </w:tc>
        <w:tc>
          <w:tcPr>
            <w:tcW w:w="1224" w:type="dxa"/>
            <w:vAlign w:val="center"/>
          </w:tcPr>
          <w:p w14:paraId="5C2D7DFC">
            <w:pPr>
              <w:shd w:val="clear"/>
              <w:spacing w:line="360" w:lineRule="auto"/>
              <w:rPr>
                <w:rFonts w:cs="Calibri"/>
                <w:color w:val="auto"/>
                <w:szCs w:val="21"/>
              </w:rPr>
            </w:pPr>
            <w:r>
              <w:rPr>
                <w:rFonts w:hint="eastAsia" w:cs="Calibri"/>
                <w:color w:val="auto"/>
                <w:szCs w:val="21"/>
              </w:rPr>
              <w:t>售后服务方案（5分）</w:t>
            </w:r>
          </w:p>
        </w:tc>
        <w:tc>
          <w:tcPr>
            <w:tcW w:w="7528" w:type="dxa"/>
            <w:vAlign w:val="center"/>
          </w:tcPr>
          <w:p w14:paraId="7C6F88D4">
            <w:pPr>
              <w:shd w:val="clear"/>
              <w:tabs>
                <w:tab w:val="left" w:pos="4915"/>
              </w:tabs>
              <w:spacing w:line="360" w:lineRule="auto"/>
              <w:rPr>
                <w:rFonts w:cs="宋体"/>
                <w:color w:val="auto"/>
                <w:szCs w:val="21"/>
              </w:rPr>
            </w:pPr>
            <w:r>
              <w:rPr>
                <w:rFonts w:hint="eastAsia" w:cs="Calibri"/>
                <w:color w:val="auto"/>
                <w:szCs w:val="21"/>
              </w:rPr>
              <w:t>9、售后服务方案</w:t>
            </w:r>
            <w:r>
              <w:rPr>
                <w:rFonts w:hint="eastAsia" w:cs="宋体"/>
                <w:color w:val="auto"/>
                <w:szCs w:val="21"/>
              </w:rPr>
              <w:t>（5分）</w:t>
            </w:r>
          </w:p>
          <w:p w14:paraId="2FBD2E49">
            <w:pPr>
              <w:shd w:val="clear"/>
              <w:spacing w:line="360" w:lineRule="auto"/>
              <w:rPr>
                <w:rFonts w:cs="宋体"/>
                <w:color w:val="auto"/>
                <w:szCs w:val="21"/>
              </w:rPr>
            </w:pPr>
            <w:r>
              <w:rPr>
                <w:rFonts w:hint="eastAsia" w:cs="宋体"/>
                <w:color w:val="auto"/>
                <w:szCs w:val="21"/>
              </w:rPr>
              <w:t>评委对售后服务方案进行综合评议并打分：服务保障体系完备、方案内容完全符合本项目需求得5分；有服务保障体系但部分内容有欠缺、但尚不影响履约得3分；方案内容存在明显缺漏项、不符合规范的得1分。未提供不得分。</w:t>
            </w:r>
          </w:p>
        </w:tc>
      </w:tr>
      <w:tr w14:paraId="7E196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48" w:type="dxa"/>
            <w:vMerge w:val="continue"/>
            <w:vAlign w:val="center"/>
          </w:tcPr>
          <w:p w14:paraId="3CAF49A3">
            <w:pPr>
              <w:shd w:val="clear"/>
              <w:spacing w:line="360" w:lineRule="auto"/>
              <w:rPr>
                <w:color w:val="auto"/>
                <w:szCs w:val="21"/>
              </w:rPr>
            </w:pPr>
          </w:p>
        </w:tc>
        <w:tc>
          <w:tcPr>
            <w:tcW w:w="1224" w:type="dxa"/>
            <w:vAlign w:val="center"/>
          </w:tcPr>
          <w:p w14:paraId="19EB15C1">
            <w:pPr>
              <w:shd w:val="clear"/>
              <w:tabs>
                <w:tab w:val="left" w:pos="4915"/>
              </w:tabs>
              <w:spacing w:line="360" w:lineRule="auto"/>
              <w:rPr>
                <w:rFonts w:cs="Calibri"/>
                <w:color w:val="auto"/>
                <w:szCs w:val="21"/>
              </w:rPr>
            </w:pPr>
            <w:r>
              <w:rPr>
                <w:rFonts w:hint="eastAsia" w:cs="Calibri"/>
                <w:color w:val="auto"/>
                <w:szCs w:val="21"/>
              </w:rPr>
              <w:t>突发性事件应急预案（5分）</w:t>
            </w:r>
          </w:p>
        </w:tc>
        <w:tc>
          <w:tcPr>
            <w:tcW w:w="7528" w:type="dxa"/>
            <w:vAlign w:val="center"/>
          </w:tcPr>
          <w:p w14:paraId="2D268EEE">
            <w:pPr>
              <w:shd w:val="clear"/>
              <w:spacing w:line="360" w:lineRule="auto"/>
              <w:rPr>
                <w:color w:val="auto"/>
                <w:szCs w:val="21"/>
              </w:rPr>
            </w:pPr>
            <w:r>
              <w:rPr>
                <w:rFonts w:hint="eastAsia" w:cs="宋体"/>
                <w:color w:val="auto"/>
                <w:szCs w:val="21"/>
              </w:rPr>
              <w:t>10、评委对突发性事件应急预案进行综合评议并打分：应急预案内容完全符合本项目需求、应急保障体系完备得5分；预案有部分非主体内容的欠缺，尚不影响实施的得3分；预案不全或过于笼统，难以保证项目实施的1分。未提供不得分。</w:t>
            </w:r>
          </w:p>
        </w:tc>
      </w:tr>
      <w:tr w14:paraId="21A75E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6E85FD98">
            <w:pPr>
              <w:shd w:val="clear"/>
              <w:spacing w:line="360" w:lineRule="auto"/>
              <w:rPr>
                <w:color w:val="auto"/>
                <w:szCs w:val="21"/>
              </w:rPr>
            </w:pPr>
          </w:p>
        </w:tc>
        <w:tc>
          <w:tcPr>
            <w:tcW w:w="1224" w:type="dxa"/>
            <w:vAlign w:val="center"/>
          </w:tcPr>
          <w:p w14:paraId="15FE0031">
            <w:pPr>
              <w:shd w:val="clear"/>
              <w:spacing w:line="360" w:lineRule="auto"/>
              <w:jc w:val="center"/>
              <w:rPr>
                <w:rFonts w:cs="宋体"/>
                <w:color w:val="auto"/>
                <w:szCs w:val="21"/>
              </w:rPr>
            </w:pPr>
            <w:r>
              <w:rPr>
                <w:color w:val="auto"/>
                <w:szCs w:val="21"/>
              </w:rPr>
              <w:t>合理化建议（</w:t>
            </w:r>
            <w:r>
              <w:rPr>
                <w:rFonts w:hint="eastAsia"/>
                <w:color w:val="auto"/>
                <w:szCs w:val="21"/>
              </w:rPr>
              <w:t>1</w:t>
            </w:r>
            <w:r>
              <w:rPr>
                <w:color w:val="auto"/>
                <w:szCs w:val="21"/>
              </w:rPr>
              <w:t>分）</w:t>
            </w:r>
          </w:p>
        </w:tc>
        <w:tc>
          <w:tcPr>
            <w:tcW w:w="7528" w:type="dxa"/>
            <w:vAlign w:val="center"/>
          </w:tcPr>
          <w:p w14:paraId="69A1EBCF">
            <w:pPr>
              <w:shd w:val="clear"/>
              <w:spacing w:line="360" w:lineRule="auto"/>
              <w:rPr>
                <w:color w:val="auto"/>
                <w:szCs w:val="21"/>
              </w:rPr>
            </w:pPr>
            <w:r>
              <w:rPr>
                <w:rFonts w:hint="eastAsia"/>
                <w:color w:val="auto"/>
                <w:szCs w:val="21"/>
              </w:rPr>
              <w:t>11、</w:t>
            </w:r>
            <w:r>
              <w:rPr>
                <w:color w:val="auto"/>
                <w:szCs w:val="21"/>
              </w:rPr>
              <w:t>根据</w:t>
            </w:r>
            <w:r>
              <w:rPr>
                <w:rFonts w:hint="eastAsia"/>
                <w:color w:val="auto"/>
                <w:szCs w:val="21"/>
              </w:rPr>
              <w:t>供应商</w:t>
            </w:r>
            <w:r>
              <w:rPr>
                <w:color w:val="auto"/>
                <w:szCs w:val="21"/>
              </w:rPr>
              <w:t>提出的针对本项目的合理化建议进行评议（</w:t>
            </w:r>
            <w:r>
              <w:rPr>
                <w:rFonts w:hint="eastAsia"/>
                <w:color w:val="auto"/>
                <w:szCs w:val="21"/>
              </w:rPr>
              <w:t>1</w:t>
            </w:r>
            <w:r>
              <w:rPr>
                <w:color w:val="auto"/>
                <w:szCs w:val="21"/>
              </w:rPr>
              <w:t>分）</w:t>
            </w:r>
          </w:p>
          <w:p w14:paraId="5A38FF27">
            <w:pPr>
              <w:shd w:val="clear"/>
              <w:spacing w:line="360" w:lineRule="auto"/>
              <w:rPr>
                <w:rFonts w:cs="宋体"/>
                <w:color w:val="auto"/>
                <w:szCs w:val="21"/>
              </w:rPr>
            </w:pPr>
            <w:r>
              <w:rPr>
                <w:color w:val="auto"/>
                <w:szCs w:val="21"/>
              </w:rPr>
              <w:t>提出的建议具有实际意义</w:t>
            </w:r>
            <w:r>
              <w:rPr>
                <w:rFonts w:hint="eastAsia"/>
                <w:color w:val="auto"/>
                <w:szCs w:val="21"/>
              </w:rPr>
              <w:t>并得到采纳</w:t>
            </w:r>
            <w:r>
              <w:rPr>
                <w:color w:val="auto"/>
                <w:szCs w:val="21"/>
              </w:rPr>
              <w:t>，每项得</w:t>
            </w:r>
            <w:r>
              <w:rPr>
                <w:rFonts w:hint="eastAsia"/>
                <w:color w:val="auto"/>
                <w:szCs w:val="21"/>
              </w:rPr>
              <w:t>0.5分</w:t>
            </w:r>
            <w:r>
              <w:rPr>
                <w:color w:val="auto"/>
                <w:szCs w:val="21"/>
              </w:rPr>
              <w:t>，最高得</w:t>
            </w:r>
            <w:r>
              <w:rPr>
                <w:rFonts w:hint="eastAsia"/>
                <w:color w:val="auto"/>
                <w:szCs w:val="21"/>
              </w:rPr>
              <w:t>1</w:t>
            </w:r>
            <w:r>
              <w:rPr>
                <w:color w:val="auto"/>
                <w:szCs w:val="21"/>
              </w:rPr>
              <w:t>分。与本项目</w:t>
            </w:r>
            <w:r>
              <w:rPr>
                <w:rFonts w:hint="eastAsia"/>
                <w:color w:val="auto"/>
                <w:szCs w:val="21"/>
              </w:rPr>
              <w:t>履约</w:t>
            </w:r>
            <w:r>
              <w:rPr>
                <w:color w:val="auto"/>
                <w:szCs w:val="21"/>
              </w:rPr>
              <w:t>无关的建议不予认可。</w:t>
            </w:r>
          </w:p>
        </w:tc>
      </w:tr>
      <w:tr w14:paraId="5D526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1B4A08C9">
            <w:pPr>
              <w:shd w:val="clear"/>
              <w:spacing w:line="360" w:lineRule="auto"/>
              <w:rPr>
                <w:color w:val="auto"/>
                <w:szCs w:val="21"/>
              </w:rPr>
            </w:pPr>
          </w:p>
        </w:tc>
        <w:tc>
          <w:tcPr>
            <w:tcW w:w="1224" w:type="dxa"/>
            <w:vAlign w:val="center"/>
          </w:tcPr>
          <w:p w14:paraId="1337CDF5">
            <w:pPr>
              <w:shd w:val="clear"/>
              <w:spacing w:line="360" w:lineRule="auto"/>
              <w:jc w:val="center"/>
              <w:rPr>
                <w:color w:val="auto"/>
                <w:szCs w:val="21"/>
              </w:rPr>
            </w:pPr>
            <w:r>
              <w:rPr>
                <w:rFonts w:hint="eastAsia"/>
                <w:color w:val="auto"/>
                <w:szCs w:val="21"/>
              </w:rPr>
              <w:t>业绩（3分）</w:t>
            </w:r>
          </w:p>
        </w:tc>
        <w:tc>
          <w:tcPr>
            <w:tcW w:w="7528" w:type="dxa"/>
            <w:vAlign w:val="center"/>
          </w:tcPr>
          <w:p w14:paraId="353758EE">
            <w:pPr>
              <w:shd w:val="clear"/>
              <w:spacing w:line="360" w:lineRule="auto"/>
              <w:rPr>
                <w:color w:val="auto"/>
                <w:szCs w:val="21"/>
              </w:rPr>
            </w:pPr>
            <w:r>
              <w:rPr>
                <w:rFonts w:hint="eastAsia"/>
                <w:color w:val="auto"/>
                <w:szCs w:val="21"/>
              </w:rPr>
              <w:t>12、</w:t>
            </w:r>
            <w:r>
              <w:rPr>
                <w:rFonts w:hint="eastAsia" w:ascii="宋体" w:hAnsi="宋体"/>
                <w:bCs/>
                <w:color w:val="auto"/>
                <w:szCs w:val="21"/>
              </w:rPr>
              <w:t>供应商自2020年1月1日以后承担过电力市政工程类项目的，每提供一个项目业绩合同得1分，最高得3分。（注：需同时提供中标（成交）通知（确认）书和施工合同复印件，未提供或提供不全均不得分。）</w:t>
            </w:r>
          </w:p>
        </w:tc>
      </w:tr>
      <w:tr w14:paraId="3524BA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6C17F220">
            <w:pPr>
              <w:shd w:val="clear"/>
              <w:spacing w:line="360" w:lineRule="auto"/>
              <w:rPr>
                <w:color w:val="auto"/>
                <w:szCs w:val="21"/>
              </w:rPr>
            </w:pPr>
          </w:p>
        </w:tc>
        <w:tc>
          <w:tcPr>
            <w:tcW w:w="1224" w:type="dxa"/>
            <w:vAlign w:val="center"/>
          </w:tcPr>
          <w:p w14:paraId="1F8926B9">
            <w:pPr>
              <w:shd w:val="clear"/>
              <w:spacing w:line="360" w:lineRule="auto"/>
              <w:jc w:val="center"/>
              <w:rPr>
                <w:color w:val="auto"/>
                <w:szCs w:val="21"/>
              </w:rPr>
            </w:pPr>
            <w:r>
              <w:rPr>
                <w:rFonts w:hint="eastAsia" w:hAnsi="宋体" w:cs="Calibri"/>
                <w:color w:val="auto"/>
                <w:szCs w:val="21"/>
              </w:rPr>
              <w:t>政策性加分（1分）</w:t>
            </w:r>
          </w:p>
        </w:tc>
        <w:tc>
          <w:tcPr>
            <w:tcW w:w="7528" w:type="dxa"/>
            <w:vAlign w:val="center"/>
          </w:tcPr>
          <w:p w14:paraId="38F46813">
            <w:pPr>
              <w:shd w:val="clear"/>
              <w:spacing w:line="360" w:lineRule="auto"/>
              <w:rPr>
                <w:rFonts w:ascii="Times New Roman" w:hAnsi="Times New Roman"/>
                <w:color w:val="auto"/>
                <w:szCs w:val="21"/>
              </w:rPr>
            </w:pPr>
            <w:r>
              <w:rPr>
                <w:rFonts w:hint="eastAsia"/>
                <w:color w:val="auto"/>
                <w:szCs w:val="21"/>
              </w:rPr>
              <w:t>13、</w:t>
            </w:r>
            <w:r>
              <w:rPr>
                <w:rFonts w:hint="eastAsia" w:ascii="Times New Roman" w:hAnsi="Times New Roman"/>
                <w:color w:val="auto"/>
                <w:szCs w:val="21"/>
              </w:rPr>
              <w:t>供应商是国家认定的少数民族地区企业的加1分。</w:t>
            </w:r>
          </w:p>
          <w:p w14:paraId="75181E60">
            <w:pPr>
              <w:shd w:val="clear"/>
              <w:spacing w:line="360" w:lineRule="auto"/>
              <w:rPr>
                <w:color w:val="auto"/>
                <w:szCs w:val="21"/>
              </w:rPr>
            </w:pPr>
            <w:r>
              <w:rPr>
                <w:rFonts w:hint="eastAsia" w:ascii="Times New Roman" w:hAnsi="Times New Roman"/>
                <w:color w:val="auto"/>
                <w:szCs w:val="21"/>
              </w:rPr>
              <w:t>提供证明文件复印件并加盖公章。</w:t>
            </w:r>
          </w:p>
        </w:tc>
      </w:tr>
      <w:tr w14:paraId="26716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075E9DD0">
            <w:pPr>
              <w:shd w:val="clear"/>
              <w:spacing w:line="360" w:lineRule="auto"/>
              <w:rPr>
                <w:color w:val="auto"/>
                <w:szCs w:val="21"/>
              </w:rPr>
            </w:pPr>
            <w:r>
              <w:rPr>
                <w:color w:val="auto"/>
                <w:szCs w:val="21"/>
              </w:rPr>
              <w:t>价格</w:t>
            </w:r>
            <w:r>
              <w:rPr>
                <w:rFonts w:hint="eastAsia"/>
                <w:color w:val="auto"/>
                <w:szCs w:val="21"/>
              </w:rPr>
              <w:t>部分35</w:t>
            </w:r>
            <w:r>
              <w:rPr>
                <w:color w:val="auto"/>
                <w:szCs w:val="21"/>
              </w:rPr>
              <w:t>分</w:t>
            </w:r>
          </w:p>
        </w:tc>
        <w:tc>
          <w:tcPr>
            <w:tcW w:w="1224" w:type="dxa"/>
            <w:vAlign w:val="center"/>
          </w:tcPr>
          <w:p w14:paraId="04B7817F">
            <w:pPr>
              <w:shd w:val="clear"/>
              <w:spacing w:line="360" w:lineRule="auto"/>
              <w:jc w:val="center"/>
              <w:rPr>
                <w:color w:val="auto"/>
                <w:szCs w:val="21"/>
              </w:rPr>
            </w:pPr>
            <w:r>
              <w:rPr>
                <w:color w:val="auto"/>
                <w:szCs w:val="21"/>
              </w:rPr>
              <w:t>磋商报价（</w:t>
            </w:r>
            <w:r>
              <w:rPr>
                <w:rFonts w:hint="eastAsia"/>
                <w:color w:val="auto"/>
                <w:szCs w:val="21"/>
              </w:rPr>
              <w:t>35</w:t>
            </w:r>
            <w:r>
              <w:rPr>
                <w:color w:val="auto"/>
                <w:szCs w:val="21"/>
              </w:rPr>
              <w:t>分）</w:t>
            </w:r>
          </w:p>
        </w:tc>
        <w:tc>
          <w:tcPr>
            <w:tcW w:w="7528" w:type="dxa"/>
            <w:vAlign w:val="center"/>
          </w:tcPr>
          <w:p w14:paraId="2FBF5AF6">
            <w:pPr>
              <w:shd w:val="clear"/>
              <w:spacing w:line="360" w:lineRule="auto"/>
              <w:rPr>
                <w:rFonts w:ascii="Times New Roman" w:hAnsi="Times New Roman"/>
                <w:color w:val="auto"/>
                <w:szCs w:val="21"/>
              </w:rPr>
            </w:pPr>
            <w:r>
              <w:rPr>
                <w:rFonts w:hint="eastAsia" w:ascii="Times New Roman" w:hAnsi="Times New Roman"/>
                <w:color w:val="auto"/>
                <w:szCs w:val="21"/>
              </w:rPr>
              <w:t>满足磋商文件要求且参与评审的最终综合折扣率最低的价格为磋商基准价，其价格分为满分。其他供应商的价格分统一按照下列公式计算：</w:t>
            </w:r>
          </w:p>
          <w:p w14:paraId="5E058AE1">
            <w:pPr>
              <w:shd w:val="clear"/>
              <w:spacing w:line="360" w:lineRule="auto"/>
              <w:rPr>
                <w:color w:val="auto"/>
              </w:rPr>
            </w:pPr>
            <w:r>
              <w:rPr>
                <w:rFonts w:hint="eastAsia"/>
                <w:color w:val="auto"/>
                <w:lang w:val="zh-CN"/>
              </w:rPr>
              <w:t>参与评审价格=</w:t>
            </w:r>
            <w:r>
              <w:rPr>
                <w:rFonts w:hint="eastAsia" w:ascii="Times New Roman" w:hAnsi="Times New Roman"/>
                <w:color w:val="auto"/>
                <w:szCs w:val="21"/>
              </w:rPr>
              <w:t>磋商报价</w:t>
            </w:r>
            <w:r>
              <w:rPr>
                <w:rFonts w:hint="eastAsia"/>
                <w:color w:val="auto"/>
                <w:lang w:val="zh-CN"/>
              </w:rPr>
              <w:t>×（1-小微企业价格扣除优惠值5%）</w:t>
            </w:r>
          </w:p>
          <w:p w14:paraId="193000A2">
            <w:pPr>
              <w:shd w:val="clear"/>
              <w:spacing w:line="360" w:lineRule="auto"/>
              <w:rPr>
                <w:rFonts w:ascii="Times New Roman" w:hAnsi="Times New Roman"/>
                <w:color w:val="auto"/>
                <w:szCs w:val="21"/>
              </w:rPr>
            </w:pPr>
            <w:r>
              <w:rPr>
                <w:rFonts w:hint="eastAsia" w:ascii="Times New Roman" w:hAnsi="Times New Roman"/>
                <w:color w:val="auto"/>
                <w:szCs w:val="21"/>
              </w:rPr>
              <w:t xml:space="preserve">磋商报价得分=（磋商基准价/参与评审的最终综合折扣率）×价格权值×100 </w:t>
            </w:r>
          </w:p>
        </w:tc>
      </w:tr>
    </w:tbl>
    <w:p w14:paraId="0D36A5BE">
      <w:pPr>
        <w:shd w:val="clear"/>
        <w:ind w:firstLine="560"/>
        <w:rPr>
          <w:rFonts w:asciiTheme="minorEastAsia" w:hAnsiTheme="minorEastAsia" w:eastAsiaTheme="minorEastAsia" w:cstheme="minorEastAsia"/>
          <w:color w:val="auto"/>
          <w:sz w:val="28"/>
        </w:rPr>
      </w:pPr>
    </w:p>
    <w:p w14:paraId="1181C15C">
      <w:pPr>
        <w:shd w:val="clear"/>
        <w:snapToGrid w:val="0"/>
        <w:spacing w:line="440" w:lineRule="exact"/>
        <w:ind w:firstLine="422" w:firstLineChars="200"/>
        <w:rPr>
          <w:rFonts w:asciiTheme="minorEastAsia" w:hAnsiTheme="minorEastAsia" w:eastAsiaTheme="minorEastAsia" w:cstheme="minorEastAsia"/>
          <w:b/>
          <w:color w:val="auto"/>
          <w:kern w:val="0"/>
          <w:szCs w:val="21"/>
          <w:lang w:val="zh-CN"/>
        </w:rPr>
      </w:pPr>
      <w:r>
        <w:rPr>
          <w:rFonts w:hint="eastAsia" w:asciiTheme="minorEastAsia" w:hAnsiTheme="minorEastAsia" w:eastAsiaTheme="minorEastAsia" w:cstheme="minorEastAsia"/>
          <w:b/>
          <w:color w:val="auto"/>
          <w:szCs w:val="21"/>
        </w:rPr>
        <w:t>备注：</w:t>
      </w:r>
      <w:r>
        <w:rPr>
          <w:rFonts w:hint="eastAsia" w:asciiTheme="minorEastAsia" w:hAnsiTheme="minorEastAsia" w:eastAsiaTheme="minorEastAsia" w:cstheme="minorEastAsia"/>
          <w:color w:val="auto"/>
          <w:kern w:val="0"/>
          <w:szCs w:val="21"/>
          <w:lang w:val="zh-CN"/>
        </w:rPr>
        <w:t>供应商编制响应文件（商务技术文件部分）时，建议按此目录（序号和内容）提供评标标准相应的商务技术资料。</w:t>
      </w:r>
    </w:p>
    <w:p w14:paraId="4F044F59">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p>
    <w:p w14:paraId="11A96AF5">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一、评审方法</w:t>
      </w:r>
    </w:p>
    <w:bookmarkEnd w:id="25"/>
    <w:p w14:paraId="305B4543">
      <w:pPr>
        <w:shd w:val="clear"/>
        <w:spacing w:line="360" w:lineRule="auto"/>
        <w:ind w:firstLine="413" w:firstLineChars="196"/>
        <w:rPr>
          <w:rFonts w:asciiTheme="minorEastAsia" w:hAnsiTheme="minorEastAsia" w:eastAsiaTheme="minorEastAsia" w:cstheme="minorEastAsia"/>
          <w:color w:val="auto"/>
          <w:kern w:val="0"/>
          <w:szCs w:val="21"/>
        </w:rPr>
      </w:pPr>
      <w:bookmarkStart w:id="393" w:name="第五部分"/>
      <w:bookmarkStart w:id="394" w:name="_Toc86217003"/>
      <w:r>
        <w:rPr>
          <w:rFonts w:hint="eastAsia" w:asciiTheme="minorEastAsia" w:hAnsiTheme="minorEastAsia" w:eastAsiaTheme="minorEastAsia" w:cstheme="minorEastAsia"/>
          <w:b/>
          <w:color w:val="auto"/>
          <w:kern w:val="0"/>
          <w:szCs w:val="21"/>
        </w:rPr>
        <w:t>1.本项目采用综合评分法。</w:t>
      </w:r>
      <w:r>
        <w:rPr>
          <w:rFonts w:hint="eastAsia" w:asciiTheme="minorEastAsia" w:hAnsiTheme="minorEastAsia" w:eastAsiaTheme="minorEastAsia" w:cstheme="minorEastAsia"/>
          <w:color w:val="auto"/>
          <w:kern w:val="0"/>
          <w:szCs w:val="21"/>
        </w:rPr>
        <w:t>综合评分法，是指响应文件满足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文件全部实质性要求，且按照评审因素的量化指标评审得分最高的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为成交候选供应商的评标方法。</w:t>
      </w:r>
    </w:p>
    <w:p w14:paraId="03CC276E">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二、评审标准</w:t>
      </w:r>
    </w:p>
    <w:p w14:paraId="28914EA0">
      <w:pPr>
        <w:shd w:val="clear"/>
        <w:spacing w:line="360" w:lineRule="auto"/>
        <w:ind w:firstLine="413" w:firstLineChars="196"/>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b/>
          <w:color w:val="auto"/>
          <w:szCs w:val="21"/>
        </w:rPr>
        <w:t>评审标准：</w:t>
      </w:r>
      <w:r>
        <w:rPr>
          <w:rFonts w:hint="eastAsia" w:asciiTheme="minorEastAsia" w:hAnsiTheme="minorEastAsia" w:eastAsiaTheme="minorEastAsia" w:cstheme="minorEastAsia"/>
          <w:color w:val="auto"/>
          <w:kern w:val="0"/>
          <w:szCs w:val="21"/>
        </w:rPr>
        <w:t>见评审办法前附表。</w:t>
      </w:r>
    </w:p>
    <w:p w14:paraId="1E8271CC">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三、评审程序</w:t>
      </w:r>
    </w:p>
    <w:p w14:paraId="52CAF861">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3.1 符合性审查。</w:t>
      </w:r>
      <w:r>
        <w:rPr>
          <w:rFonts w:hint="eastAsia" w:asciiTheme="minorEastAsia" w:hAnsiTheme="minorEastAsia" w:eastAsiaTheme="minorEastAsia" w:cstheme="minorEastAsia"/>
          <w:color w:val="auto"/>
          <w:kern w:val="0"/>
          <w:szCs w:val="21"/>
        </w:rPr>
        <w:t>磋商小组应当对符合资格的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的响应文件进行符合性审查，以确定其是否满足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文件的实质性要求。不满足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文件的实质性要求的，响应无效。</w:t>
      </w:r>
    </w:p>
    <w:p w14:paraId="74937C48">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3.2磋商</w:t>
      </w:r>
    </w:p>
    <w:p w14:paraId="1E37183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Cs w:val="21"/>
        </w:rPr>
        <w:t>项目需求的技术、服务条款”以及“合同条款”进行实质性变动</w:t>
      </w:r>
      <w:r>
        <w:rPr>
          <w:rFonts w:hint="eastAsia" w:asciiTheme="minorEastAsia" w:hAnsiTheme="minorEastAsia" w:eastAsiaTheme="minorEastAsia" w:cstheme="minorEastAsia"/>
          <w:color w:val="auto"/>
          <w:kern w:val="0"/>
          <w:szCs w:val="21"/>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2F63381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3.2.2</w:t>
      </w:r>
      <w:r>
        <w:rPr>
          <w:rFonts w:hint="eastAsia" w:asciiTheme="minorEastAsia" w:hAnsiTheme="minorEastAsia" w:eastAsiaTheme="minorEastAsia" w:cstheme="minorEastAsia"/>
          <w:b/>
          <w:bCs/>
          <w:color w:val="auto"/>
          <w:kern w:val="0"/>
          <w:szCs w:val="21"/>
        </w:rPr>
        <w:t>各有效供应商在规定时间内在线提交第二次报价（即最终报价），磋商小组以第二次报价（即最终报价）作为价格评议的标准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b/>
          <w:bCs/>
          <w:color w:val="auto"/>
          <w:kern w:val="0"/>
          <w:szCs w:val="21"/>
        </w:rPr>
        <w:t>未在规定时间内在线提交第二次报价（即最终报价）视为无效响应文件。</w:t>
      </w:r>
      <w:r>
        <w:rPr>
          <w:rFonts w:hint="eastAsia" w:asciiTheme="minorEastAsia" w:hAnsiTheme="minorEastAsia" w:eastAsiaTheme="minorEastAsia" w:cstheme="minorEastAsia"/>
          <w:color w:val="auto"/>
          <w:kern w:val="0"/>
          <w:szCs w:val="21"/>
        </w:rPr>
        <w:t>已提交响应文件的供应商，在提交最终报价之前，可以根据磋商情况退出磋商。</w:t>
      </w:r>
    </w:p>
    <w:p w14:paraId="07A803CF">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3.2.3经磋商确定最终采购需求和提交最后报价的供应商后，由磋商小组采用综合评分法对提交最后报价的供应商的响应文件和最后报价进行综合评分。</w:t>
      </w:r>
    </w:p>
    <w:p w14:paraId="40F48CD3">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3.3 商务技术评审。</w:t>
      </w:r>
      <w:r>
        <w:rPr>
          <w:rFonts w:hint="eastAsia" w:asciiTheme="minorEastAsia" w:hAnsiTheme="minorEastAsia" w:eastAsiaTheme="minorEastAsia" w:cstheme="minorEastAsia"/>
          <w:color w:val="auto"/>
          <w:kern w:val="0"/>
          <w:szCs w:val="21"/>
        </w:rPr>
        <w:t>磋商小组应当按照</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文件中规定的评标方法和标准，对符合性审查合格的响应文件进行商务和技术评估。</w:t>
      </w:r>
    </w:p>
    <w:p w14:paraId="3E05F635">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3.4 汇总商务技术得分。</w:t>
      </w:r>
      <w:r>
        <w:rPr>
          <w:rFonts w:hint="eastAsia" w:asciiTheme="minorEastAsia" w:hAnsiTheme="minorEastAsia" w:eastAsiaTheme="minorEastAsia" w:cstheme="minorEastAsia"/>
          <w:color w:val="auto"/>
          <w:kern w:val="0"/>
          <w:szCs w:val="21"/>
        </w:rPr>
        <w:t>磋商小组各成员应当独立对每个</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的商务和技术文件进行评价，并汇总商务技术得分情况。</w:t>
      </w:r>
    </w:p>
    <w:p w14:paraId="1EAC50D6">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3.5 报价评审。</w:t>
      </w:r>
    </w:p>
    <w:p w14:paraId="51C0222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磋商小组对供应商提交的报价进行评审。</w:t>
      </w:r>
    </w:p>
    <w:p w14:paraId="6CFF7E27">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3.5.1响应文件报价出现前后不一致的，按照下列规定修正：</w:t>
      </w:r>
    </w:p>
    <w:p w14:paraId="08D233C0">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3.5.1.1电子交易平台生成的开标记录表(报价表)内容与响应文件中报价一览表(报价表)不一致的，以响应文件中报价一览表(报价表)为准；</w:t>
      </w:r>
    </w:p>
    <w:p w14:paraId="3C204E17">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3.5.1.2响应文件中报价一览表(报价表)内容与响应文件中相应内容不一致的，以报价一览表(报价表)为准；</w:t>
      </w:r>
    </w:p>
    <w:p w14:paraId="1AEA5DC8">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3.5.1.3 大写金额和小写金额不一致的，以大写金额为准;</w:t>
      </w:r>
    </w:p>
    <w:p w14:paraId="4E09E167">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3.5.1.4 单价金额小数点或者百分比有明显错位的，以报价一览表的总价为准，并修改单价;</w:t>
      </w:r>
    </w:p>
    <w:p w14:paraId="5946E3E9">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3.5.1.5同时出现两种以上不一致的，按照3.5.1规定的顺序修正。修正后的报价经</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确认后产生约束力。</w:t>
      </w:r>
    </w:p>
    <w:p w14:paraId="0A03C0D9">
      <w:pPr>
        <w:shd w:val="clear"/>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3.5.2响应文件出现不是唯一的、有选择性磋商报价的，响应无效。</w:t>
      </w:r>
    </w:p>
    <w:p w14:paraId="377036BD">
      <w:pPr>
        <w:shd w:val="clear"/>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3.5.3磋商报价超过</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文件中规定的预算金额或者最高限价的，响应无效。</w:t>
      </w:r>
    </w:p>
    <w:p w14:paraId="686CE943">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3.5.4磋商小组认为</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的报价明显低于其他通过符合性审查</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的报价，有可能影响产品质量或者不能诚信履约的，应当要求其在30分钟内提供书面说明，必要时提交相关证明材料;</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不能证明其报价合理性的，磋商小组应当将其作为无效响应处理。</w:t>
      </w:r>
    </w:p>
    <w:p w14:paraId="63FF7C4E">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3.6</w:t>
      </w:r>
      <w:r>
        <w:rPr>
          <w:rFonts w:hint="eastAsia" w:asciiTheme="minorEastAsia" w:hAnsiTheme="minorEastAsia" w:eastAsiaTheme="minorEastAsia" w:cstheme="minorEastAsia"/>
          <w:b/>
          <w:bCs/>
          <w:color w:val="auto"/>
          <w:kern w:val="0"/>
          <w:szCs w:val="21"/>
        </w:rPr>
        <w:t>综合评议。</w:t>
      </w:r>
      <w:r>
        <w:rPr>
          <w:rFonts w:hint="eastAsia" w:asciiTheme="minorEastAsia" w:hAnsiTheme="minorEastAsia" w:eastAsiaTheme="minorEastAsia" w:cstheme="minorEastAsia"/>
          <w:color w:val="auto"/>
          <w:kern w:val="0"/>
          <w:szCs w:val="21"/>
        </w:rPr>
        <w:t>评分汇总（汇总各评委的评分，计算所有评委评出的总分的算术平均值作为供应商的综合得分）；按综合得分从高到低排序。</w:t>
      </w:r>
    </w:p>
    <w:p w14:paraId="264D2E42">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3.7</w:t>
      </w:r>
      <w:r>
        <w:rPr>
          <w:rFonts w:hint="eastAsia" w:asciiTheme="minorEastAsia" w:hAnsiTheme="minorEastAsia" w:eastAsiaTheme="minorEastAsia" w:cstheme="minorEastAsia"/>
          <w:b/>
          <w:bCs/>
          <w:color w:val="auto"/>
          <w:kern w:val="0"/>
          <w:szCs w:val="21"/>
        </w:rPr>
        <w:t>磋商小组根据综合评分情况</w:t>
      </w:r>
      <w:r>
        <w:rPr>
          <w:rFonts w:hint="eastAsia" w:asciiTheme="minorEastAsia" w:hAnsiTheme="minorEastAsia" w:eastAsiaTheme="minorEastAsia" w:cstheme="minorEastAsia"/>
          <w:color w:val="auto"/>
          <w:kern w:val="0"/>
          <w:szCs w:val="21"/>
        </w:rPr>
        <w:t>，按照评审得分由高到低顺序推荐3名成交候选供应商。评审得分相同的，按照最后报价由低到高的顺序推荐。评审得分且最后报价相同的，按照技术指标优劣顺序推荐。</w:t>
      </w:r>
    </w:p>
    <w:p w14:paraId="4E2A4AE7">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3.8编写评标报告。</w:t>
      </w:r>
      <w:r>
        <w:rPr>
          <w:rFonts w:hint="eastAsia" w:asciiTheme="minorEastAsia" w:hAnsiTheme="minorEastAsia" w:eastAsiaTheme="minorEastAsia" w:cstheme="minorEastAsia"/>
          <w:color w:val="auto"/>
          <w:kern w:val="0"/>
          <w:szCs w:val="21"/>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D0E728C">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四、评审中的其他事项</w:t>
      </w:r>
    </w:p>
    <w:p w14:paraId="6F647357">
      <w:pPr>
        <w:pStyle w:val="50"/>
        <w:shd w:val="clear"/>
        <w:spacing w:before="0"/>
        <w:ind w:firstLine="422"/>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kern w:val="0"/>
          <w:sz w:val="21"/>
          <w:szCs w:val="21"/>
        </w:rPr>
        <w:t>4.1响应澄清、说明或者补正。</w:t>
      </w:r>
      <w:r>
        <w:rPr>
          <w:rFonts w:hint="eastAsia" w:asciiTheme="minorEastAsia" w:hAnsiTheme="minorEastAsia" w:eastAsiaTheme="minorEastAsia" w:cstheme="minorEastAsia"/>
          <w:color w:val="auto"/>
          <w:kern w:val="0"/>
          <w:sz w:val="21"/>
          <w:szCs w:val="21"/>
        </w:rPr>
        <w:t>对于响应文件中含义不明确、同类问题表述不一致或者有明显文字和计算错误的内容需要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作出必要的澄清、说明或者补正的，磋商小组和</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通过电子交易平台交换数据电文，</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提交澄清、说明或补正的时间不得少于半小时，</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已经明确表示澄清说明或补正完毕的除外。</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的澄清、说明或者补正不得超出响应文件的范围或者改变响应文件的实质性内容。</w:t>
      </w:r>
    </w:p>
    <w:p w14:paraId="18DF8A12">
      <w:pPr>
        <w:pStyle w:val="13"/>
        <w:shd w:val="clear"/>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kern w:val="0"/>
          <w:sz w:val="21"/>
          <w:szCs w:val="21"/>
        </w:rPr>
        <w:t>4.2响应无效的情形。</w:t>
      </w:r>
    </w:p>
    <w:p w14:paraId="3C437B7A">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4.2.1 没有响应</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文件实质性要求的响应将被视为无效响应。</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文件要求的，应认定其响应无效。</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修改、补正响应文件后，不影响磋商小组对其响应文件所作的评价和评分结果。</w:t>
      </w:r>
    </w:p>
    <w:p w14:paraId="46E74BFB">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 在电子开评标时，如发现下列情形之一的，将被视为无效响应文件：</w:t>
      </w:r>
    </w:p>
    <w:p w14:paraId="6CA9609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4.2.2.1电子投标文件解密失败的；</w:t>
      </w:r>
    </w:p>
    <w:p w14:paraId="6D974CA9">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4.2.2.2响应文件未按</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文件要求加密、签字、盖章的；</w:t>
      </w:r>
    </w:p>
    <w:p w14:paraId="7DC46CD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 在资格审查、符合性审查和商务评审时，如发现下列情形之一的，将被视为无效响应文件：</w:t>
      </w:r>
    </w:p>
    <w:p w14:paraId="7BDF16D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4.2.3.1 资格证明文件不全的或者不符合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文件标明的资格要求的；</w:t>
      </w:r>
    </w:p>
    <w:p w14:paraId="4D7A1E6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4.2.3.2 响应文件未按</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文件要求签署、盖章的；</w:t>
      </w:r>
    </w:p>
    <w:p w14:paraId="66FE1A99">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4.2.3.3 响应代表人未能出具身份证明或身份证明与法定代表授权委托书不符的。</w:t>
      </w:r>
    </w:p>
    <w:p w14:paraId="72A81F3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4.2.3.4 响应文件格式不规范、项目不齐全或者内容虚假的；</w:t>
      </w:r>
    </w:p>
    <w:p w14:paraId="1107339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文件要求的（经磋商小组认定并允许其当场更正的笔误除外）；</w:t>
      </w:r>
    </w:p>
    <w:p w14:paraId="5B0D8D0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4.2.3.6 响应有效期、交货时间、质保期等商务条款不能满足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w:t>
      </w:r>
    </w:p>
    <w:p w14:paraId="245BBB38">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4.2.3.7 带“▲”的条款不能满足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文件要求、未实质性响应</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文件要求或者响应文件有采购人不能接受的附加条件的；</w:t>
      </w:r>
    </w:p>
    <w:p w14:paraId="12F62E6A">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4.2.3.8 单位负责人为同一人或者存在直接控股、管理关系的不同供应商参加同一合同项下的采购活动的；</w:t>
      </w:r>
    </w:p>
    <w:p w14:paraId="0CB69BB9">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4.2.3.9 为采购项目提供整体设计、规范编制或者项目管理、监理、检测等服务的供应商参加该采购项目的其他采购活动的；</w:t>
      </w:r>
    </w:p>
    <w:p w14:paraId="2ABFFF7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4.2.3.10 商务技术文件中出现本项目磋商报价或单价的。</w:t>
      </w:r>
    </w:p>
    <w:p w14:paraId="6903DFA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4.3.在技术评审时，如发现下列情形之一的，将被视为无效响应文件：</w:t>
      </w:r>
    </w:p>
    <w:p w14:paraId="2EB5010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4.3.1未提供或未如实提供磋商货物的技术参数，或者响应文件标明的响应或偏离与事实不符或虚假响应的；</w:t>
      </w:r>
    </w:p>
    <w:p w14:paraId="7A0AC8E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4.3.2 明显不符合竞争性磋商文件要求的规格型号、质量标准，或者与竞争性磋商文件中标“▲”的技术指标、主要功能项目发生实质性偏离的；</w:t>
      </w:r>
    </w:p>
    <w:p w14:paraId="1300AAEC">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4.3.3 允许偏离的技术、性能指标或辅助功能项目发生负偏离达/项（含）以上的；</w:t>
      </w:r>
    </w:p>
    <w:p w14:paraId="4CBA5039">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4.3.4 技术方案不明确，存在一个或一个以上备选（替代）技术方案的；</w:t>
      </w:r>
    </w:p>
    <w:p w14:paraId="6F85ABE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4.3.5 与其他参加本次磋商</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的响应文件（技术文件）的文字表述内容差错相同2处以上的；</w:t>
      </w:r>
    </w:p>
    <w:p w14:paraId="7F3A9D55">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4.3.6 采购人拟采购的产品属于政府强制采购的节能产品品目清单范围的，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未按竞争性磋商文件要求提供国家确定的认证机构出具的、处于有效期之内的节能产品认证证书的。</w:t>
      </w:r>
    </w:p>
    <w:p w14:paraId="3F0FCB19">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 在报价评审时，如发现下列情形之一的，响应文件将被视为无效：</w:t>
      </w:r>
    </w:p>
    <w:p w14:paraId="759578D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4.4.1 未采用人民币报价或者未按照竞争性磋商文件标明的币种报价的；</w:t>
      </w:r>
    </w:p>
    <w:p w14:paraId="755D691F">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4.4.2 报价超过</w:t>
      </w:r>
      <w:r>
        <w:rPr>
          <w:rFonts w:hint="eastAsia" w:ascii="宋体" w:hAnsi="宋体" w:cs="宋体"/>
          <w:bCs/>
          <w:snapToGrid w:val="0"/>
          <w:color w:val="auto"/>
          <w:szCs w:val="21"/>
        </w:rPr>
        <w:t>最高综合折扣率的</w:t>
      </w:r>
      <w:r>
        <w:rPr>
          <w:rFonts w:hint="eastAsia" w:asciiTheme="minorEastAsia" w:hAnsiTheme="minorEastAsia" w:eastAsiaTheme="minorEastAsia" w:cstheme="minorEastAsia"/>
          <w:color w:val="auto"/>
          <w:kern w:val="0"/>
          <w:szCs w:val="21"/>
        </w:rPr>
        <w:t>；</w:t>
      </w:r>
    </w:p>
    <w:p w14:paraId="0681069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4.4.3 磋商报价具有选择性的；</w:t>
      </w:r>
    </w:p>
    <w:p w14:paraId="6D51CE9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4.4.4 磋商报价中出现缺项、漏项或被磋商小组认定为有可能影响产品质量或者不能诚信履约的且不能在合理的时间内证明其报价合理性的；</w:t>
      </w:r>
    </w:p>
    <w:p w14:paraId="5AC1C1B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4.4.5供应商对根据修正原则修正后的报价不确认的。</w:t>
      </w:r>
    </w:p>
    <w:p w14:paraId="1BC38CE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4.5其他无效情形：</w:t>
      </w:r>
    </w:p>
    <w:p w14:paraId="1E2BED09">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4.5.1 不同</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的响应文件出自同一终端设备或在相同Internet主机分配地址（相同IP地址）进行网上报名、磋商的；</w:t>
      </w:r>
    </w:p>
    <w:p w14:paraId="6F0A60C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4.5.2 法律、法规、规章（适用本市的）及省级以上规范性文件（适用本市的）规定的其他无效情形。</w:t>
      </w:r>
    </w:p>
    <w:p w14:paraId="1DFB84F2">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szCs w:val="21"/>
        </w:rPr>
        <w:t>5.采购终止的情形。</w:t>
      </w:r>
      <w:r>
        <w:rPr>
          <w:rFonts w:hint="eastAsia" w:asciiTheme="minorEastAsia" w:hAnsiTheme="minorEastAsia" w:eastAsiaTheme="minorEastAsia" w:cstheme="minorEastAsia"/>
          <w:color w:val="auto"/>
          <w:kern w:val="0"/>
          <w:szCs w:val="21"/>
        </w:rPr>
        <w:t>在本项目磋商采购中，出现下列情形之一的，应当终止竞争性磋商采购活动，发布项目终止公告并说明原因，重新开展采购活动：</w:t>
      </w:r>
    </w:p>
    <w:p w14:paraId="7523D5A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5.1因情况变化，不再符合规定的竞争性磋商采购方式适用情形的；</w:t>
      </w:r>
    </w:p>
    <w:p w14:paraId="3573A5AC">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5.2出现影响采购公正的违法、违规行为的；</w:t>
      </w:r>
    </w:p>
    <w:p w14:paraId="64B80D9F">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7D60A22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5.4电子交易平台无法正常运行，无法保证电子交易的公平、公正和安全的情况。</w:t>
      </w:r>
    </w:p>
    <w:p w14:paraId="5AED4C3B">
      <w:pPr>
        <w:pStyle w:val="13"/>
        <w:shd w:val="clear"/>
        <w:snapToGrid w:val="0"/>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6.修改竞争性磋商文件，重新组织采购活动。</w:t>
      </w:r>
      <w:r>
        <w:rPr>
          <w:rFonts w:hint="eastAsia" w:asciiTheme="minorEastAsia" w:hAnsiTheme="minorEastAsia" w:eastAsiaTheme="minorEastAsia" w:cstheme="minorEastAsia"/>
          <w:color w:val="auto"/>
          <w:sz w:val="21"/>
          <w:szCs w:val="21"/>
        </w:rPr>
        <w:t>磋商小组发现竞争性磋商文件存在歧义、重大缺陷导致评标工作无法进行，或者竞争性磋商文件内容违反国家有关强制性规定的，将停止评标工作，并与采购人、采购代理机构沟通并作书面记录。采购人、采购代理机构确认后，将修改竞争性磋商文件，重新组织采购活动。</w:t>
      </w:r>
    </w:p>
    <w:p w14:paraId="450C1578">
      <w:pPr>
        <w:pStyle w:val="13"/>
        <w:shd w:val="clear"/>
        <w:adjustRightInd w:val="0"/>
        <w:snapToGrid w:val="0"/>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kern w:val="0"/>
          <w:sz w:val="21"/>
          <w:szCs w:val="21"/>
        </w:rPr>
        <w:t>7.重新开展采购。</w:t>
      </w:r>
      <w:r>
        <w:rPr>
          <w:rFonts w:hint="eastAsia" w:asciiTheme="minorEastAsia" w:hAnsiTheme="minorEastAsia" w:eastAsiaTheme="minorEastAsia" w:cstheme="minorEastAsia"/>
          <w:color w:val="auto"/>
          <w:sz w:val="21"/>
          <w:szCs w:val="21"/>
        </w:rPr>
        <w:t>有政府采购法第七十一条、第七十二条规定的违法行为之一，影响或者可能影响中标、成交结果的，依照下列规定处理：</w:t>
      </w:r>
    </w:p>
    <w:p w14:paraId="7D4E3956">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7.1未确定成交或者成交人的，终止本次采购活动，重新开展采购活动。</w:t>
      </w:r>
    </w:p>
    <w:p w14:paraId="029BC99B">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7.2已确定成交或者成交人但尚未签订采购合同的，成交或者成交结果无效，重新开展采购活动。</w:t>
      </w:r>
    </w:p>
    <w:p w14:paraId="471F2FDC">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7.3采购合同已签订但尚未履行的，撤销合同，重新开展采购活动。</w:t>
      </w:r>
    </w:p>
    <w:p w14:paraId="725FFC8C">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7.4采购合同已经履行，给采购人、供应商造成损失的，由责任人承担赔偿责任。</w:t>
      </w:r>
    </w:p>
    <w:p w14:paraId="0E30D15B">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7.5采购当事人有其他违反采购法</w:t>
      </w:r>
      <w:r>
        <w:rPr>
          <w:rFonts w:hint="eastAsia" w:asciiTheme="minorEastAsia" w:hAnsiTheme="minorEastAsia" w:eastAsiaTheme="minorEastAsia" w:cstheme="minorEastAsia"/>
          <w:color w:val="auto"/>
          <w:kern w:val="0"/>
          <w:sz w:val="21"/>
          <w:szCs w:val="21"/>
        </w:rPr>
        <w:t>或者政府采购法实施条例等法律法规规定</w:t>
      </w:r>
      <w:r>
        <w:rPr>
          <w:rFonts w:hint="eastAsia" w:asciiTheme="minorEastAsia" w:hAnsiTheme="minorEastAsia" w:eastAsiaTheme="minorEastAsia" w:cstheme="minorEastAsia"/>
          <w:color w:val="auto"/>
          <w:sz w:val="21"/>
          <w:szCs w:val="21"/>
        </w:rPr>
        <w:t>的行为，经改正后仍然影响或者可能影响中标、成交结果或者依法被认定为中标、成交无效的，依照7.1-7.4规定处理。</w:t>
      </w:r>
    </w:p>
    <w:p w14:paraId="732071B0">
      <w:pPr>
        <w:shd w:val="clear"/>
        <w:spacing w:line="360" w:lineRule="auto"/>
        <w:ind w:firstLine="723"/>
        <w:rPr>
          <w:rFonts w:asciiTheme="minorEastAsia" w:hAnsiTheme="minorEastAsia" w:eastAsiaTheme="minorEastAsia" w:cstheme="minorEastAsia"/>
          <w:b/>
          <w:color w:val="auto"/>
          <w:sz w:val="36"/>
          <w:szCs w:val="36"/>
        </w:rPr>
      </w:pPr>
    </w:p>
    <w:p w14:paraId="3B55858E">
      <w:pPr>
        <w:pStyle w:val="13"/>
        <w:numPr>
          <w:ilvl w:val="0"/>
          <w:numId w:val="4"/>
        </w:numPr>
        <w:shd w:val="clear"/>
        <w:adjustRightInd w:val="0"/>
        <w:snapToGrid w:val="0"/>
        <w:spacing w:line="360" w:lineRule="auto"/>
        <w:ind w:firstLine="0" w:firstLineChars="0"/>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r>
        <w:rPr>
          <w:rFonts w:asciiTheme="minorEastAsia" w:hAnsiTheme="minorEastAsia" w:eastAsiaTheme="minorEastAsia" w:cstheme="minorEastAsia"/>
          <w:b/>
          <w:color w:val="auto"/>
          <w:sz w:val="36"/>
          <w:szCs w:val="36"/>
        </w:rPr>
        <w:t xml:space="preserve"> </w:t>
      </w:r>
      <w:r>
        <w:rPr>
          <w:rFonts w:hint="eastAsia" w:asciiTheme="minorEastAsia" w:hAnsiTheme="minorEastAsia" w:eastAsiaTheme="minorEastAsia" w:cstheme="minorEastAsia"/>
          <w:b/>
          <w:color w:val="auto"/>
          <w:sz w:val="36"/>
          <w:szCs w:val="36"/>
        </w:rPr>
        <w:t>合同文本（工程类）</w:t>
      </w:r>
    </w:p>
    <w:p w14:paraId="0933EDA5">
      <w:pPr>
        <w:pStyle w:val="51"/>
        <w:shd w:val="clear"/>
        <w:ind w:left="0" w:leftChars="0" w:firstLine="0" w:firstLineChars="0"/>
        <w:rPr>
          <w:rFonts w:asciiTheme="minorEastAsia" w:hAnsiTheme="minorEastAsia" w:eastAsiaTheme="minorEastAsia" w:cstheme="minorEastAsia"/>
          <w:color w:val="auto"/>
          <w:szCs w:val="24"/>
        </w:rPr>
      </w:pPr>
    </w:p>
    <w:p w14:paraId="04BC97E6">
      <w:pPr>
        <w:pStyle w:val="51"/>
        <w:shd w:val="clear"/>
        <w:rPr>
          <w:rFonts w:asciiTheme="minorEastAsia" w:hAnsiTheme="minorEastAsia" w:eastAsiaTheme="minorEastAsia" w:cstheme="minorEastAsia"/>
          <w:color w:val="auto"/>
          <w:szCs w:val="24"/>
        </w:rPr>
      </w:pPr>
    </w:p>
    <w:p w14:paraId="6E6F1DED">
      <w:pPr>
        <w:pStyle w:val="51"/>
        <w:shd w:val="clear"/>
        <w:ind w:left="0" w:leftChars="0" w:firstLine="0" w:firstLineChars="0"/>
        <w:rPr>
          <w:rFonts w:asciiTheme="minorEastAsia" w:hAnsiTheme="minorEastAsia" w:eastAsiaTheme="minorEastAsia" w:cstheme="minorEastAsia"/>
          <w:color w:val="auto"/>
          <w:szCs w:val="24"/>
        </w:rPr>
      </w:pPr>
    </w:p>
    <w:p w14:paraId="2C4AA1B6">
      <w:pPr>
        <w:shd w:val="clear"/>
        <w:spacing w:before="120" w:line="360" w:lineRule="auto"/>
        <w:ind w:firstLine="480"/>
        <w:rPr>
          <w:rFonts w:asciiTheme="minorEastAsia" w:hAnsiTheme="minorEastAsia" w:eastAsiaTheme="minorEastAsia" w:cstheme="minorEastAsia"/>
          <w:color w:val="auto"/>
          <w:sz w:val="24"/>
        </w:rPr>
      </w:pPr>
    </w:p>
    <w:p w14:paraId="3783B721">
      <w:pPr>
        <w:shd w:val="clear"/>
        <w:spacing w:before="120" w:line="360" w:lineRule="auto"/>
        <w:ind w:left="960" w:firstLine="720" w:firstLineChars="300"/>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项目名称：</w:t>
      </w:r>
      <w:r>
        <w:rPr>
          <w:rFonts w:hint="eastAsia" w:asciiTheme="minorEastAsia" w:hAnsiTheme="minorEastAsia" w:eastAsiaTheme="minorEastAsia" w:cstheme="minorEastAsia"/>
          <w:color w:val="auto"/>
          <w:sz w:val="24"/>
          <w:u w:val="single"/>
        </w:rPr>
        <w:t>弥勒文化博物馆项目-电力迁改工程（土建部分） </w:t>
      </w:r>
    </w:p>
    <w:p w14:paraId="7878FA89">
      <w:pPr>
        <w:pStyle w:val="43"/>
        <w:shd w:val="clear"/>
        <w:spacing w:before="120"/>
        <w:ind w:firstLine="480"/>
        <w:rPr>
          <w:rFonts w:asciiTheme="minorEastAsia" w:hAnsiTheme="minorEastAsia" w:eastAsiaTheme="minorEastAsia" w:cstheme="minorEastAsia"/>
          <w:color w:val="auto"/>
          <w:szCs w:val="24"/>
        </w:rPr>
      </w:pPr>
    </w:p>
    <w:p w14:paraId="6B9DCDF0">
      <w:pPr>
        <w:pStyle w:val="43"/>
        <w:shd w:val="clear"/>
        <w:spacing w:before="120"/>
        <w:ind w:firstLine="480"/>
        <w:rPr>
          <w:rFonts w:asciiTheme="minorEastAsia" w:hAnsiTheme="minorEastAsia" w:eastAsiaTheme="minorEastAsia" w:cstheme="minorEastAsia"/>
          <w:color w:val="auto"/>
          <w:szCs w:val="24"/>
        </w:rPr>
      </w:pPr>
    </w:p>
    <w:p w14:paraId="3864A77D">
      <w:pPr>
        <w:shd w:val="clear"/>
        <w:spacing w:line="360" w:lineRule="auto"/>
        <w:ind w:firstLine="480"/>
        <w:rPr>
          <w:rFonts w:asciiTheme="minorEastAsia" w:hAnsiTheme="minorEastAsia" w:eastAsiaTheme="minorEastAsia" w:cstheme="minorEastAsia"/>
          <w:color w:val="auto"/>
          <w:sz w:val="24"/>
        </w:rPr>
      </w:pPr>
    </w:p>
    <w:p w14:paraId="13CE4442">
      <w:pPr>
        <w:shd w:val="clear"/>
        <w:spacing w:before="120" w:line="600" w:lineRule="auto"/>
        <w:ind w:left="960" w:firstLine="720" w:firstLineChars="300"/>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甲方：</w:t>
      </w:r>
      <w:r>
        <w:rPr>
          <w:rFonts w:hint="eastAsia" w:asciiTheme="minorEastAsia" w:hAnsiTheme="minorEastAsia" w:eastAsiaTheme="minorEastAsia" w:cstheme="minorEastAsia"/>
          <w:color w:val="auto"/>
          <w:sz w:val="24"/>
          <w:u w:val="single"/>
        </w:rPr>
        <w:t xml:space="preserve">                                   </w:t>
      </w:r>
    </w:p>
    <w:p w14:paraId="76FCA764">
      <w:pPr>
        <w:shd w:val="clear"/>
        <w:spacing w:before="120" w:line="600" w:lineRule="auto"/>
        <w:ind w:left="960" w:firstLine="720" w:firstLineChars="3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乙方：</w:t>
      </w:r>
      <w:r>
        <w:rPr>
          <w:rFonts w:hint="eastAsia" w:asciiTheme="minorEastAsia" w:hAnsiTheme="minorEastAsia" w:eastAsiaTheme="minorEastAsia" w:cstheme="minorEastAsia"/>
          <w:color w:val="auto"/>
          <w:sz w:val="24"/>
          <w:u w:val="single"/>
        </w:rPr>
        <w:t xml:space="preserve">                                       </w:t>
      </w:r>
    </w:p>
    <w:p w14:paraId="74D1A857">
      <w:pPr>
        <w:shd w:val="clear"/>
        <w:spacing w:before="120" w:line="600" w:lineRule="auto"/>
        <w:ind w:firstLine="1680" w:firstLineChars="7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签订地：</w:t>
      </w:r>
      <w:r>
        <w:rPr>
          <w:rFonts w:hint="eastAsia" w:asciiTheme="minorEastAsia" w:hAnsiTheme="minorEastAsia" w:eastAsiaTheme="minorEastAsia" w:cstheme="minorEastAsia"/>
          <w:color w:val="auto"/>
          <w:sz w:val="24"/>
          <w:u w:val="single"/>
        </w:rPr>
        <w:t xml:space="preserve">                                     </w:t>
      </w:r>
    </w:p>
    <w:p w14:paraId="1C5ECD2E">
      <w:pPr>
        <w:shd w:val="clear"/>
        <w:spacing w:before="120" w:line="600" w:lineRule="auto"/>
        <w:ind w:firstLine="1680" w:firstLineChars="7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签订日期：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w:t>
      </w:r>
    </w:p>
    <w:p w14:paraId="79F72C8F">
      <w:pPr>
        <w:shd w:val="clear"/>
        <w:spacing w:line="360" w:lineRule="auto"/>
        <w:ind w:firstLine="480"/>
        <w:jc w:val="center"/>
        <w:outlineLvl w:val="1"/>
        <w:rPr>
          <w:rFonts w:ascii="宋体" w:hAnsi="宋体" w:cs="宋体"/>
          <w:color w:val="auto"/>
          <w:sz w:val="30"/>
          <w:szCs w:val="30"/>
        </w:rPr>
      </w:pPr>
      <w:r>
        <w:rPr>
          <w:rFonts w:hint="eastAsia" w:asciiTheme="minorEastAsia" w:hAnsiTheme="minorEastAsia" w:eastAsiaTheme="minorEastAsia" w:cstheme="minorEastAsia"/>
          <w:color w:val="auto"/>
          <w:sz w:val="24"/>
          <w:u w:val="single"/>
          <w:lang w:val="zh-CN"/>
        </w:rPr>
        <w:br w:type="page"/>
      </w:r>
      <w:r>
        <w:rPr>
          <w:rFonts w:hint="eastAsia" w:ascii="宋体" w:hAnsi="宋体" w:cs="宋体"/>
          <w:color w:val="auto"/>
          <w:sz w:val="30"/>
          <w:szCs w:val="30"/>
        </w:rPr>
        <w:t>第一部分  协 议 书</w:t>
      </w:r>
    </w:p>
    <w:p w14:paraId="2AA081A2">
      <w:pPr>
        <w:shd w:val="clear"/>
        <w:spacing w:line="360" w:lineRule="auto"/>
        <w:rPr>
          <w:rFonts w:ascii="宋体" w:hAnsi="宋体" w:cs="宋体"/>
          <w:color w:val="auto"/>
          <w:szCs w:val="21"/>
          <w:u w:val="single"/>
        </w:rPr>
      </w:pPr>
      <w:r>
        <w:rPr>
          <w:rFonts w:hint="eastAsia" w:ascii="宋体" w:hAnsi="宋体" w:cs="宋体"/>
          <w:color w:val="auto"/>
          <w:szCs w:val="21"/>
        </w:rPr>
        <w:t>发包人（甲方）：</w:t>
      </w:r>
      <w:r>
        <w:rPr>
          <w:rFonts w:hint="eastAsia" w:ascii="宋体" w:hAnsi="宋体" w:cs="宋体"/>
          <w:color w:val="auto"/>
          <w:szCs w:val="21"/>
          <w:u w:val="single"/>
        </w:rPr>
        <w:t xml:space="preserve">宁波市奉化区惠海地下管线投资有限公司 </w:t>
      </w:r>
    </w:p>
    <w:p w14:paraId="57F5D332">
      <w:pPr>
        <w:shd w:val="clear"/>
        <w:spacing w:line="360" w:lineRule="auto"/>
        <w:rPr>
          <w:rFonts w:ascii="宋体" w:hAnsi="宋体" w:cs="宋体"/>
          <w:color w:val="auto"/>
          <w:szCs w:val="21"/>
          <w:u w:val="single"/>
        </w:rPr>
      </w:pPr>
      <w:r>
        <w:rPr>
          <w:rFonts w:hint="eastAsia" w:ascii="宋体" w:hAnsi="宋体" w:cs="宋体"/>
          <w:color w:val="auto"/>
          <w:szCs w:val="21"/>
        </w:rPr>
        <w:t>承包人（乙方）：</w:t>
      </w:r>
      <w:r>
        <w:rPr>
          <w:rFonts w:hint="eastAsia" w:ascii="宋体" w:hAnsi="宋体" w:cs="宋体"/>
          <w:color w:val="auto"/>
          <w:szCs w:val="21"/>
          <w:u w:val="single"/>
        </w:rPr>
        <w:t xml:space="preserve">                                    </w:t>
      </w:r>
    </w:p>
    <w:p w14:paraId="2CDCE1E8">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依照《中华人民共和国民法典》、《中华人民共和国建筑法》及其他有关法律、行政法规、遵循平等、自愿、公平和诚实信用的原则，发包人和承包人本着平等互利的原则，根据交易须知和成交确认书，按下述条款和条件签署本合同。</w:t>
      </w:r>
    </w:p>
    <w:p w14:paraId="185D5B4B">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一、工程概况</w:t>
      </w:r>
    </w:p>
    <w:p w14:paraId="1BA87B1A">
      <w:pPr>
        <w:shd w:val="clear"/>
        <w:spacing w:line="360" w:lineRule="auto"/>
        <w:ind w:left="1529" w:leftChars="228" w:hanging="1050" w:hangingChars="500"/>
        <w:rPr>
          <w:rFonts w:ascii="宋体" w:hAnsi="宋体" w:cs="宋体"/>
          <w:color w:val="auto"/>
          <w:szCs w:val="21"/>
          <w:u w:val="single"/>
        </w:rPr>
      </w:pPr>
      <w:r>
        <w:rPr>
          <w:rFonts w:hint="eastAsia" w:ascii="宋体" w:hAnsi="宋体" w:cs="宋体"/>
          <w:color w:val="auto"/>
          <w:szCs w:val="21"/>
        </w:rPr>
        <w:t>工程名称：</w:t>
      </w:r>
      <w:r>
        <w:rPr>
          <w:rFonts w:hint="eastAsia" w:ascii="宋体" w:hAnsi="宋体" w:cs="宋体"/>
          <w:color w:val="auto"/>
          <w:szCs w:val="21"/>
          <w:u w:val="single"/>
        </w:rPr>
        <w:t>弥勒文化博物馆项目-电力迁改工程（土建部分）</w:t>
      </w:r>
    </w:p>
    <w:p w14:paraId="0450D861">
      <w:pPr>
        <w:shd w:val="clear"/>
        <w:spacing w:line="360" w:lineRule="auto"/>
        <w:ind w:left="1529" w:leftChars="228" w:hanging="1050" w:hangingChars="500"/>
        <w:rPr>
          <w:rFonts w:ascii="宋体" w:hAnsi="宋体" w:cs="宋体"/>
          <w:color w:val="auto"/>
          <w:szCs w:val="21"/>
          <w:u w:val="single"/>
        </w:rPr>
      </w:pPr>
      <w:r>
        <w:rPr>
          <w:rFonts w:hint="eastAsia" w:ascii="宋体" w:hAnsi="宋体" w:cs="宋体"/>
          <w:color w:val="auto"/>
          <w:szCs w:val="21"/>
        </w:rPr>
        <w:t>工程地点：</w:t>
      </w:r>
      <w:r>
        <w:rPr>
          <w:rFonts w:hint="eastAsia" w:ascii="宋体" w:hAnsi="宋体" w:cs="宋体"/>
          <w:color w:val="auto"/>
          <w:szCs w:val="21"/>
          <w:u w:val="single"/>
        </w:rPr>
        <w:t xml:space="preserve">       </w:t>
      </w:r>
    </w:p>
    <w:p w14:paraId="3F0CF637">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工程内容：</w:t>
      </w:r>
      <w:r>
        <w:rPr>
          <w:rFonts w:hint="eastAsia" w:ascii="宋体" w:hAnsi="宋体"/>
          <w:color w:val="auto"/>
          <w:szCs w:val="21"/>
          <w:u w:val="single"/>
        </w:rPr>
        <w:t>详见图纸</w:t>
      </w:r>
    </w:p>
    <w:p w14:paraId="73346619">
      <w:pPr>
        <w:shd w:val="clear"/>
        <w:spacing w:line="360" w:lineRule="auto"/>
        <w:ind w:left="1739" w:leftChars="228" w:hanging="1260" w:hangingChars="600"/>
        <w:rPr>
          <w:rFonts w:ascii="宋体" w:hAnsi="宋体" w:cs="宋体"/>
          <w:color w:val="auto"/>
          <w:szCs w:val="21"/>
          <w:u w:val="single"/>
        </w:rPr>
      </w:pPr>
      <w:r>
        <w:rPr>
          <w:rFonts w:hint="eastAsia" w:ascii="宋体" w:hAnsi="宋体" w:cs="宋体"/>
          <w:color w:val="auto"/>
          <w:szCs w:val="21"/>
        </w:rPr>
        <w:t>工程立项批准文号：</w:t>
      </w:r>
      <w:r>
        <w:rPr>
          <w:rFonts w:hint="eastAsia" w:ascii="宋体" w:hAnsi="宋体" w:cs="宋体"/>
          <w:color w:val="auto"/>
          <w:szCs w:val="21"/>
          <w:u w:val="single"/>
        </w:rPr>
        <w:t xml:space="preserve">                    </w:t>
      </w:r>
    </w:p>
    <w:p w14:paraId="4443B609">
      <w:pPr>
        <w:shd w:val="clear"/>
        <w:spacing w:line="360" w:lineRule="auto"/>
        <w:ind w:left="1739" w:leftChars="228" w:hanging="1260" w:hangingChars="600"/>
        <w:rPr>
          <w:rFonts w:ascii="宋体" w:hAnsi="宋体" w:cs="宋体"/>
          <w:color w:val="auto"/>
          <w:szCs w:val="21"/>
        </w:rPr>
      </w:pPr>
      <w:r>
        <w:rPr>
          <w:rFonts w:hint="eastAsia" w:ascii="宋体" w:hAnsi="宋体" w:cs="宋体"/>
          <w:color w:val="auto"/>
          <w:szCs w:val="21"/>
        </w:rPr>
        <w:t>资金来源：</w:t>
      </w:r>
      <w:r>
        <w:rPr>
          <w:rFonts w:hint="eastAsia" w:ascii="宋体" w:hAnsi="宋体" w:cs="宋体"/>
          <w:color w:val="auto"/>
          <w:szCs w:val="21"/>
          <w:u w:val="single"/>
        </w:rPr>
        <w:t xml:space="preserve">   </w:t>
      </w:r>
    </w:p>
    <w:p w14:paraId="33140DBA">
      <w:pPr>
        <w:shd w:val="clear"/>
        <w:spacing w:line="360" w:lineRule="auto"/>
        <w:ind w:left="551"/>
        <w:rPr>
          <w:rFonts w:ascii="宋体" w:hAnsi="宋体" w:cs="宋体"/>
          <w:color w:val="auto"/>
          <w:szCs w:val="21"/>
        </w:rPr>
      </w:pPr>
      <w:r>
        <w:rPr>
          <w:rFonts w:hint="eastAsia" w:ascii="宋体" w:hAnsi="宋体" w:cs="宋体"/>
          <w:color w:val="auto"/>
          <w:szCs w:val="21"/>
        </w:rPr>
        <w:t>二、工程承包范围</w:t>
      </w:r>
    </w:p>
    <w:p w14:paraId="02C0CB1C">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承包范围</w:t>
      </w:r>
      <w:r>
        <w:rPr>
          <w:rFonts w:hint="eastAsia" w:ascii="宋体" w:hAnsi="宋体" w:cs="宋体"/>
          <w:color w:val="auto"/>
          <w:szCs w:val="21"/>
          <w:u w:val="single"/>
        </w:rPr>
        <w:t>：施工图范围内的电力排管、电缆井、路面破修等。</w:t>
      </w:r>
    </w:p>
    <w:p w14:paraId="2EC59202">
      <w:pPr>
        <w:pStyle w:val="66"/>
        <w:shd w:val="clear"/>
        <w:spacing w:line="360" w:lineRule="auto"/>
        <w:ind w:firstLine="420" w:firstLineChars="200"/>
        <w:rPr>
          <w:rFonts w:cs="宋体"/>
          <w:color w:val="auto"/>
          <w:sz w:val="21"/>
          <w:szCs w:val="21"/>
        </w:rPr>
      </w:pPr>
      <w:r>
        <w:rPr>
          <w:rFonts w:hint="eastAsia" w:cs="宋体"/>
          <w:color w:val="auto"/>
          <w:sz w:val="21"/>
          <w:szCs w:val="21"/>
        </w:rPr>
        <w:t>三、合同工期</w:t>
      </w:r>
    </w:p>
    <w:p w14:paraId="309A4DAC">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日(具体以监理开工令为准)</w:t>
      </w:r>
    </w:p>
    <w:p w14:paraId="4A695825">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合同工期总日历天数：</w:t>
      </w:r>
      <w:r>
        <w:rPr>
          <w:rFonts w:hint="eastAsia" w:ascii="宋体" w:hAnsi="宋体" w:cs="宋体"/>
          <w:color w:val="auto"/>
          <w:szCs w:val="21"/>
          <w:u w:val="single"/>
        </w:rPr>
        <w:t>100日历天</w:t>
      </w:r>
      <w:r>
        <w:rPr>
          <w:rFonts w:hint="eastAsia" w:ascii="宋体" w:hAnsi="宋体" w:cs="宋体"/>
          <w:color w:val="auto"/>
          <w:szCs w:val="21"/>
        </w:rPr>
        <w:t>。</w:t>
      </w:r>
    </w:p>
    <w:p w14:paraId="76286850">
      <w:pPr>
        <w:shd w:val="clear"/>
        <w:spacing w:line="360" w:lineRule="auto"/>
        <w:ind w:firstLine="403" w:firstLineChars="192"/>
        <w:rPr>
          <w:rFonts w:ascii="宋体" w:hAnsi="宋体" w:cs="宋体"/>
          <w:b/>
          <w:color w:val="auto"/>
          <w:szCs w:val="21"/>
        </w:rPr>
      </w:pPr>
      <w:r>
        <w:rPr>
          <w:rFonts w:hint="eastAsia" w:ascii="宋体" w:hAnsi="宋体" w:cs="宋体"/>
          <w:color w:val="auto"/>
          <w:szCs w:val="21"/>
        </w:rPr>
        <w:t>若实际开工日期由于甲方原因或不可抗力因素造成滞后,则以甲方正式批准的实际开工之日为准。</w:t>
      </w:r>
    </w:p>
    <w:p w14:paraId="592DDC3A">
      <w:pPr>
        <w:shd w:val="clear"/>
        <w:spacing w:line="360" w:lineRule="auto"/>
        <w:ind w:firstLine="476" w:firstLineChars="227"/>
        <w:rPr>
          <w:rFonts w:ascii="宋体" w:hAnsi="宋体" w:cs="宋体"/>
          <w:color w:val="auto"/>
          <w:szCs w:val="21"/>
        </w:rPr>
      </w:pPr>
      <w:r>
        <w:rPr>
          <w:rFonts w:hint="eastAsia" w:ascii="宋体" w:hAnsi="宋体" w:cs="宋体"/>
          <w:color w:val="auto"/>
          <w:szCs w:val="21"/>
        </w:rPr>
        <w:t>四、质量与安全要求</w:t>
      </w:r>
    </w:p>
    <w:p w14:paraId="57C5D13F">
      <w:pPr>
        <w:shd w:val="clear"/>
        <w:spacing w:line="360" w:lineRule="auto"/>
        <w:ind w:firstLine="476" w:firstLineChars="227"/>
        <w:rPr>
          <w:rFonts w:ascii="宋体" w:hAnsi="宋体" w:cs="宋体"/>
          <w:color w:val="auto"/>
          <w:szCs w:val="21"/>
        </w:rPr>
      </w:pPr>
      <w:r>
        <w:rPr>
          <w:rFonts w:hint="eastAsia" w:ascii="宋体" w:hAnsi="宋体" w:cs="宋体"/>
          <w:color w:val="auto"/>
          <w:szCs w:val="21"/>
        </w:rPr>
        <w:t>1、达到国家和行业施工验收规范一次性验收合格。</w:t>
      </w:r>
    </w:p>
    <w:p w14:paraId="7F7FC44F">
      <w:pPr>
        <w:shd w:val="clear"/>
        <w:spacing w:line="360" w:lineRule="auto"/>
        <w:ind w:firstLine="457" w:firstLineChars="218"/>
        <w:rPr>
          <w:rFonts w:ascii="宋体" w:hAnsi="宋体" w:cs="宋体"/>
          <w:color w:val="auto"/>
          <w:szCs w:val="21"/>
        </w:rPr>
      </w:pPr>
      <w:r>
        <w:rPr>
          <w:rFonts w:hint="eastAsia" w:ascii="宋体" w:hAnsi="宋体" w:cs="宋体"/>
          <w:color w:val="auto"/>
          <w:szCs w:val="21"/>
        </w:rPr>
        <w:t>2、工程安全要求：合格。</w:t>
      </w:r>
    </w:p>
    <w:p w14:paraId="3B96693A">
      <w:pPr>
        <w:shd w:val="clear"/>
        <w:spacing w:line="360" w:lineRule="auto"/>
        <w:ind w:left="551"/>
        <w:rPr>
          <w:rFonts w:ascii="宋体" w:hAnsi="宋体" w:cs="宋体"/>
          <w:color w:val="auto"/>
          <w:szCs w:val="21"/>
        </w:rPr>
      </w:pPr>
      <w:r>
        <w:rPr>
          <w:rFonts w:hint="eastAsia" w:ascii="宋体" w:hAnsi="宋体" w:cs="宋体"/>
          <w:color w:val="auto"/>
          <w:szCs w:val="21"/>
        </w:rPr>
        <w:t>五、合同价款</w:t>
      </w:r>
    </w:p>
    <w:p w14:paraId="7548B801">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金额（大写）：</w:t>
      </w:r>
      <w:r>
        <w:rPr>
          <w:rFonts w:hint="eastAsia" w:ascii="宋体" w:hAnsi="宋体" w:cs="宋体"/>
          <w:color w:val="auto"/>
          <w:szCs w:val="21"/>
          <w:u w:val="single"/>
        </w:rPr>
        <w:t xml:space="preserve">                   </w:t>
      </w:r>
      <w:r>
        <w:rPr>
          <w:rFonts w:hint="eastAsia" w:ascii="宋体" w:hAnsi="宋体" w:cs="宋体"/>
          <w:color w:val="auto"/>
          <w:szCs w:val="21"/>
        </w:rPr>
        <w:t>元整 ，</w:t>
      </w:r>
      <w:r>
        <w:rPr>
          <w:rFonts w:hint="eastAsia" w:ascii="宋体" w:hAnsi="宋体" w:cs="宋体"/>
          <w:color w:val="auto"/>
          <w:spacing w:val="14"/>
          <w:szCs w:val="21"/>
        </w:rPr>
        <w:t>￥:</w:t>
      </w:r>
      <w:r>
        <w:rPr>
          <w:rFonts w:hint="eastAsia" w:ascii="宋体" w:hAnsi="宋体" w:cs="宋体"/>
          <w:color w:val="auto"/>
          <w:szCs w:val="21"/>
          <w:u w:val="single"/>
        </w:rPr>
        <w:t xml:space="preserve">            </w:t>
      </w:r>
      <w:r>
        <w:rPr>
          <w:rFonts w:hint="eastAsia" w:ascii="宋体" w:hAnsi="宋体" w:cs="宋体"/>
          <w:color w:val="auto"/>
          <w:szCs w:val="21"/>
        </w:rPr>
        <w:t>元。综合折扣率：</w:t>
      </w:r>
      <w:r>
        <w:rPr>
          <w:rFonts w:hint="eastAsia" w:ascii="宋体" w:hAnsi="宋体" w:cs="宋体"/>
          <w:color w:val="auto"/>
          <w:szCs w:val="21"/>
          <w:u w:val="single"/>
        </w:rPr>
        <w:t xml:space="preserve">   </w:t>
      </w:r>
      <w:r>
        <w:rPr>
          <w:rFonts w:hint="eastAsia" w:ascii="宋体" w:hAnsi="宋体" w:cs="宋体"/>
          <w:color w:val="auto"/>
          <w:szCs w:val="21"/>
        </w:rPr>
        <w:t>%。</w:t>
      </w:r>
    </w:p>
    <w:p w14:paraId="6DC4A93C">
      <w:pPr>
        <w:shd w:val="clear"/>
        <w:spacing w:line="360" w:lineRule="auto"/>
        <w:ind w:firstLine="403" w:firstLineChars="192"/>
        <w:rPr>
          <w:rFonts w:ascii="宋体" w:hAnsi="宋体" w:cs="宋体"/>
          <w:color w:val="auto"/>
          <w:szCs w:val="21"/>
          <w:u w:val="single"/>
        </w:rPr>
      </w:pPr>
      <w:r>
        <w:rPr>
          <w:rFonts w:hint="eastAsia" w:ascii="宋体" w:hAnsi="宋体" w:cs="宋体"/>
          <w:color w:val="auto"/>
          <w:szCs w:val="21"/>
        </w:rPr>
        <w:t>合同价格类型：</w:t>
      </w:r>
      <w:r>
        <w:rPr>
          <w:rFonts w:hint="eastAsia" w:ascii="宋体" w:hAnsi="宋体" w:cs="宋体"/>
          <w:color w:val="auto"/>
          <w:szCs w:val="21"/>
          <w:u w:val="single"/>
        </w:rPr>
        <w:t>单价合同。</w:t>
      </w:r>
    </w:p>
    <w:p w14:paraId="028B62A1">
      <w:pPr>
        <w:shd w:val="clear"/>
        <w:spacing w:line="360" w:lineRule="auto"/>
        <w:ind w:left="551"/>
        <w:rPr>
          <w:rFonts w:ascii="宋体" w:hAnsi="宋体" w:cs="宋体"/>
          <w:color w:val="auto"/>
          <w:szCs w:val="21"/>
        </w:rPr>
      </w:pPr>
      <w:r>
        <w:rPr>
          <w:rFonts w:hint="eastAsia" w:ascii="宋体" w:hAnsi="宋体" w:cs="宋体"/>
          <w:color w:val="auto"/>
          <w:szCs w:val="21"/>
        </w:rPr>
        <w:t>六、组成合同的文件</w:t>
      </w:r>
    </w:p>
    <w:p w14:paraId="1BB2F061">
      <w:pPr>
        <w:shd w:val="clear"/>
        <w:spacing w:line="440" w:lineRule="exact"/>
        <w:ind w:firstLine="420"/>
        <w:rPr>
          <w:rFonts w:ascii="宋体" w:hAnsi="宋体" w:cs="宋体"/>
          <w:color w:val="auto"/>
          <w:szCs w:val="21"/>
        </w:rPr>
      </w:pPr>
      <w:r>
        <w:rPr>
          <w:rFonts w:hint="eastAsia" w:ascii="宋体" w:hAnsi="宋体" w:cs="宋体"/>
          <w:color w:val="auto"/>
          <w:szCs w:val="21"/>
        </w:rPr>
        <w:t>组成本合同的文件包括：</w:t>
      </w:r>
    </w:p>
    <w:p w14:paraId="6A53424A">
      <w:pPr>
        <w:shd w:val="clear"/>
        <w:spacing w:line="440" w:lineRule="exact"/>
        <w:ind w:firstLine="420"/>
        <w:rPr>
          <w:rFonts w:ascii="宋体" w:hAnsi="宋体" w:cs="宋体"/>
          <w:color w:val="auto"/>
          <w:szCs w:val="21"/>
        </w:rPr>
      </w:pPr>
      <w:r>
        <w:rPr>
          <w:rFonts w:hint="eastAsia" w:ascii="宋体" w:hAnsi="宋体" w:cs="宋体"/>
          <w:color w:val="auto"/>
          <w:szCs w:val="21"/>
        </w:rPr>
        <w:t>1、本协议书</w:t>
      </w:r>
    </w:p>
    <w:p w14:paraId="3199F1DC">
      <w:pPr>
        <w:shd w:val="clear"/>
        <w:spacing w:line="440" w:lineRule="exact"/>
        <w:ind w:firstLine="420"/>
        <w:rPr>
          <w:rFonts w:ascii="宋体" w:hAnsi="宋体" w:cs="宋体"/>
          <w:color w:val="auto"/>
          <w:szCs w:val="21"/>
        </w:rPr>
      </w:pPr>
      <w:r>
        <w:rPr>
          <w:rFonts w:hint="eastAsia" w:ascii="宋体" w:hAnsi="宋体" w:cs="宋体"/>
          <w:color w:val="auto"/>
          <w:szCs w:val="21"/>
        </w:rPr>
        <w:t>2、成交确认书</w:t>
      </w:r>
    </w:p>
    <w:p w14:paraId="5A2B4899">
      <w:pPr>
        <w:shd w:val="clear"/>
        <w:spacing w:line="440" w:lineRule="exact"/>
        <w:ind w:firstLine="420"/>
        <w:rPr>
          <w:rFonts w:ascii="宋体" w:hAnsi="宋体" w:cs="宋体"/>
          <w:color w:val="auto"/>
          <w:szCs w:val="21"/>
        </w:rPr>
      </w:pPr>
      <w:r>
        <w:rPr>
          <w:rFonts w:hint="eastAsia" w:ascii="宋体" w:hAnsi="宋体" w:cs="宋体"/>
          <w:color w:val="auto"/>
          <w:szCs w:val="21"/>
        </w:rPr>
        <w:t>3、本合同专用条款及其附件</w:t>
      </w:r>
    </w:p>
    <w:p w14:paraId="5CB3935F">
      <w:pPr>
        <w:shd w:val="clear"/>
        <w:spacing w:line="440" w:lineRule="exact"/>
        <w:ind w:firstLine="420"/>
        <w:rPr>
          <w:rFonts w:ascii="宋体" w:hAnsi="宋体" w:cs="宋体"/>
          <w:color w:val="auto"/>
          <w:szCs w:val="21"/>
        </w:rPr>
      </w:pPr>
      <w:r>
        <w:rPr>
          <w:rFonts w:hint="eastAsia" w:ascii="宋体" w:hAnsi="宋体" w:cs="宋体"/>
          <w:color w:val="auto"/>
          <w:szCs w:val="21"/>
        </w:rPr>
        <w:t>4、交易公告及其附件</w:t>
      </w:r>
    </w:p>
    <w:p w14:paraId="432AC666">
      <w:pPr>
        <w:shd w:val="clear"/>
        <w:spacing w:line="440" w:lineRule="exact"/>
        <w:ind w:firstLine="420"/>
        <w:rPr>
          <w:rFonts w:ascii="宋体" w:hAnsi="宋体" w:cs="宋体"/>
          <w:color w:val="auto"/>
          <w:szCs w:val="21"/>
        </w:rPr>
      </w:pPr>
      <w:r>
        <w:rPr>
          <w:rFonts w:hint="eastAsia" w:ascii="宋体" w:hAnsi="宋体" w:cs="宋体"/>
          <w:color w:val="auto"/>
          <w:szCs w:val="21"/>
        </w:rPr>
        <w:t>5、本合同通用条款</w:t>
      </w:r>
    </w:p>
    <w:p w14:paraId="16630452">
      <w:pPr>
        <w:shd w:val="clear"/>
        <w:spacing w:line="440" w:lineRule="exact"/>
        <w:ind w:firstLine="420"/>
        <w:rPr>
          <w:rFonts w:ascii="宋体" w:hAnsi="宋体" w:cs="宋体"/>
          <w:color w:val="auto"/>
          <w:szCs w:val="21"/>
        </w:rPr>
      </w:pPr>
      <w:r>
        <w:rPr>
          <w:rFonts w:hint="eastAsia" w:ascii="宋体" w:hAnsi="宋体" w:cs="宋体"/>
          <w:color w:val="auto"/>
          <w:szCs w:val="21"/>
        </w:rPr>
        <w:t>6、标准、规范及有关技术文件</w:t>
      </w:r>
    </w:p>
    <w:p w14:paraId="3A945EA9">
      <w:pPr>
        <w:shd w:val="clear"/>
        <w:spacing w:line="440" w:lineRule="exact"/>
        <w:ind w:firstLine="420"/>
        <w:rPr>
          <w:rFonts w:ascii="宋体" w:hAnsi="宋体" w:cs="宋体"/>
          <w:color w:val="auto"/>
          <w:szCs w:val="21"/>
        </w:rPr>
      </w:pPr>
      <w:r>
        <w:rPr>
          <w:rFonts w:hint="eastAsia" w:ascii="宋体" w:hAnsi="宋体" w:cs="宋体"/>
          <w:color w:val="auto"/>
          <w:szCs w:val="21"/>
        </w:rPr>
        <w:t>7、图纸</w:t>
      </w:r>
    </w:p>
    <w:p w14:paraId="4CE6AA53">
      <w:pPr>
        <w:shd w:val="clear"/>
        <w:spacing w:line="440" w:lineRule="exact"/>
        <w:ind w:firstLine="420"/>
        <w:rPr>
          <w:rFonts w:ascii="宋体" w:hAnsi="宋体" w:cs="宋体"/>
          <w:color w:val="auto"/>
          <w:szCs w:val="21"/>
        </w:rPr>
      </w:pPr>
      <w:r>
        <w:rPr>
          <w:rFonts w:hint="eastAsia" w:ascii="宋体" w:hAnsi="宋体" w:cs="宋体"/>
          <w:color w:val="auto"/>
          <w:szCs w:val="21"/>
        </w:rPr>
        <w:t>8、工程量清单或预算书</w:t>
      </w:r>
    </w:p>
    <w:p w14:paraId="345442E7">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双方有关工程的洽商、变更等书面协议或文件视为本合同的组成部分。</w:t>
      </w:r>
    </w:p>
    <w:p w14:paraId="570AB59A">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七</w:t>
      </w:r>
      <w:r>
        <w:rPr>
          <w:rFonts w:hint="eastAsia" w:ascii="宋体" w:hAnsi="宋体" w:cs="宋体"/>
          <w:b/>
          <w:color w:val="auto"/>
          <w:szCs w:val="21"/>
        </w:rPr>
        <w:t>、</w:t>
      </w:r>
      <w:r>
        <w:rPr>
          <w:rFonts w:hint="eastAsia" w:ascii="宋体" w:hAnsi="宋体" w:cs="宋体"/>
          <w:color w:val="auto"/>
          <w:szCs w:val="21"/>
        </w:rPr>
        <w:t>本协议书中有关词语含义与本合同第二部分《通用条款》中分别赋予它们的定义相同。</w:t>
      </w:r>
    </w:p>
    <w:p w14:paraId="5C2BDD83">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八、承包人向发包人承诺按照合同约定进行施工、竣工并在质量保修期内承担工程质量保修责任。</w:t>
      </w:r>
    </w:p>
    <w:p w14:paraId="5474348F">
      <w:pPr>
        <w:shd w:val="clear"/>
        <w:spacing w:line="440" w:lineRule="exact"/>
        <w:ind w:firstLine="420" w:firstLineChars="200"/>
        <w:rPr>
          <w:rFonts w:ascii="宋体" w:hAnsi="宋体" w:cs="宋体"/>
          <w:b/>
          <w:color w:val="auto"/>
          <w:szCs w:val="21"/>
        </w:rPr>
      </w:pPr>
      <w:r>
        <w:rPr>
          <w:rFonts w:hint="eastAsia" w:ascii="宋体" w:hAnsi="宋体" w:cs="宋体"/>
          <w:color w:val="auto"/>
          <w:szCs w:val="21"/>
        </w:rPr>
        <w:t>九、发包人向承包人承诺按照合同约定的期限和方式支付合同价款及其他应当支付的款项。</w:t>
      </w:r>
    </w:p>
    <w:p w14:paraId="77A37801">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十、合同生效</w:t>
      </w:r>
    </w:p>
    <w:p w14:paraId="47858CA8">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合同订立时间：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14:paraId="611CA11C">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合同订立地点：宁波市奉化区 </w:t>
      </w:r>
    </w:p>
    <w:p w14:paraId="2605BE71">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本合同双方约定</w:t>
      </w:r>
      <w:r>
        <w:rPr>
          <w:rFonts w:hint="eastAsia" w:ascii="宋体" w:hAnsi="宋体" w:cs="宋体"/>
          <w:color w:val="auto"/>
          <w:szCs w:val="21"/>
          <w:u w:val="single"/>
        </w:rPr>
        <w:t>加盖双方单位印章并经法定代表人或其委托代理人签字，并按约定提供履约担保</w:t>
      </w:r>
      <w:r>
        <w:rPr>
          <w:rFonts w:hint="eastAsia" w:ascii="宋体" w:hAnsi="宋体" w:cs="宋体"/>
          <w:color w:val="auto"/>
          <w:szCs w:val="21"/>
        </w:rPr>
        <w:t>后生效。</w:t>
      </w:r>
    </w:p>
    <w:p w14:paraId="0C0E0050">
      <w:pPr>
        <w:shd w:val="clear"/>
        <w:spacing w:line="440" w:lineRule="exact"/>
        <w:rPr>
          <w:rFonts w:ascii="宋体" w:hAnsi="宋体" w:cs="宋体"/>
          <w:color w:val="auto"/>
          <w:szCs w:val="21"/>
        </w:rPr>
      </w:pPr>
      <w:r>
        <w:rPr>
          <w:rFonts w:hint="eastAsia" w:ascii="宋体" w:hAnsi="宋体" w:cs="宋体"/>
          <w:color w:val="auto"/>
          <w:szCs w:val="21"/>
        </w:rPr>
        <w:t xml:space="preserve">    十一、合同份数</w:t>
      </w:r>
    </w:p>
    <w:p w14:paraId="3457FBD0">
      <w:pPr>
        <w:shd w:val="clear"/>
        <w:spacing w:line="44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olor w:val="auto"/>
          <w:szCs w:val="21"/>
        </w:rPr>
        <w:t>本合同一式陆份，发包方贰份，承包方肆份。</w:t>
      </w:r>
    </w:p>
    <w:p w14:paraId="08C51A30">
      <w:pPr>
        <w:shd w:val="clear"/>
        <w:autoSpaceDE w:val="0"/>
        <w:autoSpaceDN w:val="0"/>
        <w:adjustRightInd w:val="0"/>
        <w:spacing w:line="380" w:lineRule="exact"/>
        <w:ind w:firstLine="420" w:firstLineChars="200"/>
        <w:rPr>
          <w:rFonts w:ascii="宋体" w:hAnsi="宋体" w:cs="宋体"/>
          <w:color w:val="auto"/>
          <w:szCs w:val="21"/>
        </w:rPr>
      </w:pPr>
    </w:p>
    <w:p w14:paraId="78595009">
      <w:pPr>
        <w:shd w:val="clear"/>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发包人(公章)：</w:t>
      </w:r>
      <w:r>
        <w:rPr>
          <w:rFonts w:hint="eastAsia" w:ascii="宋体" w:hAnsi="宋体" w:cs="宋体"/>
          <w:color w:val="auto"/>
          <w:kern w:val="0"/>
          <w:szCs w:val="21"/>
          <w:lang w:val="zh-CN"/>
        </w:rPr>
        <w:t>宁波市奉化区惠海</w:t>
      </w:r>
      <w:r>
        <w:rPr>
          <w:rFonts w:hint="eastAsia" w:ascii="宋体" w:hAnsi="宋体" w:cs="宋体"/>
          <w:color w:val="auto"/>
          <w:kern w:val="0"/>
          <w:szCs w:val="21"/>
          <w:lang w:val="zh-CN"/>
        </w:rPr>
        <w:tab/>
      </w:r>
      <w:r>
        <w:rPr>
          <w:rFonts w:hint="eastAsia" w:ascii="宋体" w:hAnsi="宋体" w:cs="宋体"/>
          <w:color w:val="auto"/>
          <w:kern w:val="0"/>
          <w:szCs w:val="21"/>
        </w:rPr>
        <w:t xml:space="preserve">  </w:t>
      </w:r>
      <w:r>
        <w:rPr>
          <w:rFonts w:hint="eastAsia" w:ascii="宋体" w:hAnsi="宋体" w:cs="宋体"/>
          <w:color w:val="auto"/>
          <w:szCs w:val="21"/>
        </w:rPr>
        <w:t>承包人(公章)：</w:t>
      </w:r>
      <w:r>
        <w:rPr>
          <w:rFonts w:hint="eastAsia" w:ascii="宋体" w:hAnsi="宋体" w:cs="宋体"/>
          <w:color w:val="auto"/>
          <w:kern w:val="0"/>
          <w:szCs w:val="21"/>
        </w:rPr>
        <w:t xml:space="preserve">              </w:t>
      </w:r>
    </w:p>
    <w:p w14:paraId="5EBC0FCD">
      <w:pPr>
        <w:shd w:val="clear"/>
        <w:autoSpaceDE w:val="0"/>
        <w:autoSpaceDN w:val="0"/>
        <w:adjustRightInd w:val="0"/>
        <w:spacing w:line="380" w:lineRule="exact"/>
        <w:ind w:firstLine="1470" w:firstLineChars="700"/>
        <w:rPr>
          <w:rFonts w:ascii="宋体" w:hAnsi="宋体" w:cs="宋体"/>
          <w:color w:val="auto"/>
          <w:kern w:val="0"/>
          <w:szCs w:val="21"/>
          <w:lang w:val="zh-CN"/>
        </w:rPr>
      </w:pPr>
      <w:r>
        <w:rPr>
          <w:rFonts w:hint="eastAsia" w:ascii="宋体" w:hAnsi="宋体" w:cs="宋体"/>
          <w:color w:val="auto"/>
          <w:kern w:val="0"/>
          <w:szCs w:val="21"/>
          <w:lang w:val="zh-CN"/>
        </w:rPr>
        <w:t>地下管线投资有限公司</w:t>
      </w:r>
    </w:p>
    <w:p w14:paraId="5C3A679E">
      <w:pPr>
        <w:shd w:val="clear"/>
        <w:autoSpaceDE w:val="0"/>
        <w:autoSpaceDN w:val="0"/>
        <w:adjustRightInd w:val="0"/>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kern w:val="0"/>
          <w:szCs w:val="21"/>
        </w:rPr>
        <w:tab/>
      </w:r>
      <w:r>
        <w:rPr>
          <w:rFonts w:hint="eastAsia" w:ascii="宋体" w:hAnsi="宋体" w:cs="宋体"/>
          <w:color w:val="auto"/>
          <w:kern w:val="0"/>
          <w:szCs w:val="21"/>
        </w:rPr>
        <w:t xml:space="preserve">奉化区岳林街道中山东路518号    地址：          </w:t>
      </w:r>
    </w:p>
    <w:p w14:paraId="046C5160">
      <w:pPr>
        <w:shd w:val="clear"/>
        <w:autoSpaceDE w:val="0"/>
        <w:autoSpaceDN w:val="0"/>
        <w:adjustRightInd w:val="0"/>
        <w:spacing w:line="380" w:lineRule="exact"/>
        <w:ind w:left="521" w:leftChars="248"/>
        <w:rPr>
          <w:rFonts w:ascii="宋体" w:hAnsi="宋体" w:cs="宋体"/>
          <w:color w:val="auto"/>
          <w:kern w:val="0"/>
          <w:szCs w:val="21"/>
        </w:rPr>
      </w:pPr>
      <w:r>
        <w:rPr>
          <w:rFonts w:hint="eastAsia" w:ascii="宋体" w:hAnsi="宋体" w:cs="宋体"/>
          <w:color w:val="auto"/>
          <w:kern w:val="0"/>
          <w:szCs w:val="21"/>
        </w:rPr>
        <w:t xml:space="preserve">      金城大厦A座18楼</w:t>
      </w:r>
    </w:p>
    <w:p w14:paraId="364E89B2">
      <w:pPr>
        <w:shd w:val="clea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法定代表人</w:t>
      </w:r>
      <w:r>
        <w:rPr>
          <w:rFonts w:hint="eastAsia" w:ascii="宋体" w:hAnsi="宋体" w:cs="宋体"/>
          <w:color w:val="auto"/>
          <w:kern w:val="0"/>
          <w:szCs w:val="21"/>
        </w:rPr>
        <w:t xml:space="preserve">：                        </w:t>
      </w:r>
      <w:r>
        <w:rPr>
          <w:rFonts w:hint="eastAsia" w:ascii="宋体" w:hAnsi="宋体" w:cs="宋体"/>
          <w:color w:val="auto"/>
          <w:kern w:val="0"/>
          <w:szCs w:val="21"/>
          <w:lang w:val="zh-CN"/>
        </w:rPr>
        <w:t>法定代表人</w:t>
      </w:r>
      <w:r>
        <w:rPr>
          <w:rFonts w:hint="eastAsia" w:ascii="宋体" w:hAnsi="宋体" w:cs="宋体"/>
          <w:color w:val="auto"/>
          <w:kern w:val="0"/>
          <w:szCs w:val="21"/>
        </w:rPr>
        <w:t xml:space="preserve">： </w:t>
      </w:r>
    </w:p>
    <w:p w14:paraId="60392213">
      <w:pPr>
        <w:shd w:val="clea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委托代理人</w:t>
      </w:r>
      <w:r>
        <w:rPr>
          <w:rFonts w:hint="eastAsia" w:ascii="宋体" w:hAnsi="宋体" w:cs="宋体"/>
          <w:color w:val="auto"/>
          <w:kern w:val="0"/>
          <w:szCs w:val="21"/>
        </w:rPr>
        <w:t xml:space="preserve">：                        </w:t>
      </w:r>
      <w:r>
        <w:rPr>
          <w:rFonts w:hint="eastAsia" w:ascii="宋体" w:hAnsi="宋体" w:cs="宋体"/>
          <w:color w:val="auto"/>
          <w:kern w:val="0"/>
          <w:szCs w:val="21"/>
          <w:lang w:val="zh-CN"/>
        </w:rPr>
        <w:t>委托代理人</w:t>
      </w:r>
      <w:r>
        <w:rPr>
          <w:rFonts w:hint="eastAsia" w:ascii="宋体" w:hAnsi="宋体" w:cs="宋体"/>
          <w:color w:val="auto"/>
          <w:kern w:val="0"/>
          <w:szCs w:val="21"/>
        </w:rPr>
        <w:t>：</w:t>
      </w:r>
    </w:p>
    <w:p w14:paraId="236EB038">
      <w:pPr>
        <w:shd w:val="clea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电话：0574-88967016</w:t>
      </w:r>
      <w:r>
        <w:rPr>
          <w:rFonts w:hint="eastAsia" w:ascii="宋体" w:hAnsi="宋体" w:cs="宋体"/>
          <w:color w:val="auto"/>
          <w:kern w:val="0"/>
          <w:szCs w:val="21"/>
          <w:lang w:val="zh-CN"/>
        </w:rPr>
        <w:tab/>
      </w:r>
      <w:r>
        <w:rPr>
          <w:rFonts w:hint="eastAsia" w:ascii="宋体" w:hAnsi="宋体" w:cs="宋体"/>
          <w:color w:val="auto"/>
          <w:kern w:val="0"/>
          <w:szCs w:val="21"/>
          <w:lang w:val="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zh-CN"/>
        </w:rPr>
        <w:t>电话：</w:t>
      </w:r>
      <w:r>
        <w:rPr>
          <w:rFonts w:hint="eastAsia" w:ascii="宋体" w:hAnsi="宋体" w:cs="宋体"/>
          <w:color w:val="auto"/>
          <w:kern w:val="0"/>
          <w:szCs w:val="21"/>
        </w:rPr>
        <w:t xml:space="preserve"> </w:t>
      </w:r>
    </w:p>
    <w:p w14:paraId="72496F9E">
      <w:pPr>
        <w:shd w:val="clear"/>
        <w:autoSpaceDE w:val="0"/>
        <w:autoSpaceDN w:val="0"/>
        <w:adjustRightInd w:val="0"/>
        <w:spacing w:line="440" w:lineRule="exact"/>
        <w:ind w:left="479" w:leftChars="228" w:firstLine="35" w:firstLineChars="17"/>
        <w:rPr>
          <w:rFonts w:ascii="宋体" w:hAnsi="宋体" w:cs="宋体"/>
          <w:color w:val="auto"/>
          <w:kern w:val="0"/>
          <w:szCs w:val="21"/>
        </w:rPr>
      </w:pPr>
      <w:r>
        <w:rPr>
          <w:rFonts w:hint="eastAsia" w:ascii="宋体" w:hAnsi="宋体" w:cs="宋体"/>
          <w:color w:val="auto"/>
          <w:kern w:val="0"/>
          <w:szCs w:val="21"/>
          <w:lang w:val="zh-CN"/>
        </w:rPr>
        <w:t>开户银行：宁波银行股份有限公司岳林支行  开户银行：</w:t>
      </w:r>
      <w:r>
        <w:rPr>
          <w:rFonts w:hint="eastAsia" w:ascii="宋体" w:hAnsi="宋体" w:cs="宋体"/>
          <w:color w:val="auto"/>
          <w:kern w:val="0"/>
          <w:szCs w:val="21"/>
        </w:rPr>
        <w:t xml:space="preserve">    </w:t>
      </w:r>
    </w:p>
    <w:p w14:paraId="051CCE0D">
      <w:pPr>
        <w:shd w:val="clear"/>
        <w:autoSpaceDE w:val="0"/>
        <w:autoSpaceDN w:val="0"/>
        <w:adjustRightInd w:val="0"/>
        <w:spacing w:line="440" w:lineRule="exact"/>
        <w:ind w:left="479" w:leftChars="228" w:firstLine="35" w:firstLineChars="17"/>
        <w:rPr>
          <w:color w:val="auto"/>
          <w:szCs w:val="21"/>
        </w:rPr>
      </w:pPr>
      <w:r>
        <w:rPr>
          <w:rFonts w:hint="eastAsia" w:ascii="宋体" w:hAnsi="宋体" w:cs="宋体"/>
          <w:color w:val="auto"/>
          <w:kern w:val="0"/>
          <w:szCs w:val="21"/>
          <w:lang w:val="zh-CN"/>
        </w:rPr>
        <w:t xml:space="preserve">账号：64040122 000030230          </w:t>
      </w:r>
      <w:r>
        <w:rPr>
          <w:rFonts w:hint="eastAsia" w:ascii="宋体" w:hAnsi="宋体" w:cs="宋体"/>
          <w:color w:val="auto"/>
          <w:kern w:val="0"/>
          <w:szCs w:val="21"/>
        </w:rPr>
        <w:t xml:space="preserve">  </w:t>
      </w:r>
      <w:r>
        <w:rPr>
          <w:rFonts w:hint="eastAsia" w:ascii="宋体" w:hAnsi="宋体" w:cs="宋体"/>
          <w:color w:val="auto"/>
          <w:kern w:val="0"/>
          <w:szCs w:val="21"/>
          <w:lang w:val="zh-CN"/>
        </w:rPr>
        <w:t xml:space="preserve">账号： </w:t>
      </w:r>
      <w:r>
        <w:rPr>
          <w:rFonts w:hint="eastAsia" w:ascii="宋体" w:hAnsi="宋体" w:cs="宋体"/>
          <w:color w:val="auto"/>
          <w:kern w:val="0"/>
          <w:szCs w:val="21"/>
        </w:rPr>
        <w:t xml:space="preserve">           </w:t>
      </w:r>
    </w:p>
    <w:p w14:paraId="30937BF8">
      <w:pPr>
        <w:shd w:val="clear"/>
        <w:spacing w:line="360" w:lineRule="auto"/>
        <w:ind w:firstLine="422"/>
        <w:jc w:val="center"/>
        <w:rPr>
          <w:rFonts w:ascii="宋体" w:hAnsi="宋体" w:cs="宋体"/>
          <w:b/>
          <w:bCs/>
          <w:color w:val="auto"/>
          <w:szCs w:val="21"/>
        </w:rPr>
      </w:pPr>
    </w:p>
    <w:p w14:paraId="2685A86F">
      <w:pPr>
        <w:shd w:val="clear"/>
        <w:spacing w:line="360" w:lineRule="auto"/>
        <w:ind w:firstLine="422"/>
        <w:jc w:val="center"/>
        <w:rPr>
          <w:rFonts w:ascii="宋体" w:hAnsi="宋体" w:cs="宋体"/>
          <w:b/>
          <w:bCs/>
          <w:color w:val="auto"/>
          <w:szCs w:val="21"/>
        </w:rPr>
      </w:pPr>
    </w:p>
    <w:p w14:paraId="028C8163">
      <w:pPr>
        <w:shd w:val="clear"/>
        <w:spacing w:line="360" w:lineRule="auto"/>
        <w:ind w:firstLine="422"/>
        <w:jc w:val="center"/>
        <w:rPr>
          <w:rFonts w:ascii="宋体" w:hAnsi="宋体" w:cs="宋体"/>
          <w:b/>
          <w:bCs/>
          <w:color w:val="auto"/>
          <w:szCs w:val="21"/>
        </w:rPr>
      </w:pPr>
    </w:p>
    <w:p w14:paraId="0610F6D5">
      <w:pPr>
        <w:shd w:val="clear"/>
        <w:spacing w:line="360" w:lineRule="auto"/>
        <w:ind w:firstLine="422"/>
        <w:jc w:val="center"/>
        <w:rPr>
          <w:rFonts w:ascii="宋体" w:hAnsi="宋体" w:cs="宋体"/>
          <w:b/>
          <w:bCs/>
          <w:color w:val="auto"/>
          <w:szCs w:val="21"/>
        </w:rPr>
      </w:pPr>
    </w:p>
    <w:p w14:paraId="035354EB">
      <w:pPr>
        <w:shd w:val="clear"/>
        <w:spacing w:line="360" w:lineRule="auto"/>
        <w:ind w:firstLine="422"/>
        <w:jc w:val="center"/>
        <w:rPr>
          <w:rFonts w:ascii="宋体" w:hAnsi="宋体" w:cs="宋体"/>
          <w:b/>
          <w:bCs/>
          <w:color w:val="auto"/>
          <w:szCs w:val="21"/>
        </w:rPr>
      </w:pPr>
    </w:p>
    <w:p w14:paraId="37173A1E">
      <w:pPr>
        <w:shd w:val="clear"/>
        <w:spacing w:line="360" w:lineRule="auto"/>
        <w:ind w:firstLine="422"/>
        <w:jc w:val="center"/>
        <w:rPr>
          <w:rFonts w:ascii="宋体" w:hAnsi="宋体" w:cs="宋体"/>
          <w:b/>
          <w:bCs/>
          <w:color w:val="auto"/>
          <w:szCs w:val="21"/>
        </w:rPr>
      </w:pPr>
    </w:p>
    <w:p w14:paraId="51F49493">
      <w:pPr>
        <w:shd w:val="clear"/>
        <w:spacing w:line="360" w:lineRule="auto"/>
        <w:ind w:firstLine="422"/>
        <w:jc w:val="center"/>
        <w:rPr>
          <w:rFonts w:ascii="宋体" w:hAnsi="宋体" w:cs="宋体"/>
          <w:b/>
          <w:color w:val="auto"/>
          <w:szCs w:val="21"/>
        </w:rPr>
      </w:pPr>
      <w:r>
        <w:rPr>
          <w:rFonts w:hint="eastAsia" w:ascii="宋体" w:hAnsi="宋体" w:cs="宋体"/>
          <w:b/>
          <w:bCs/>
          <w:color w:val="auto"/>
          <w:szCs w:val="21"/>
        </w:rPr>
        <w:t>第二部分</w:t>
      </w:r>
      <w:r>
        <w:rPr>
          <w:rFonts w:hint="eastAsia" w:ascii="宋体" w:hAnsi="宋体" w:cs="宋体"/>
          <w:b/>
          <w:color w:val="auto"/>
          <w:szCs w:val="21"/>
        </w:rPr>
        <w:t xml:space="preserve"> 通用合同条款</w:t>
      </w:r>
    </w:p>
    <w:p w14:paraId="1E034366">
      <w:pPr>
        <w:shd w:val="clear"/>
        <w:spacing w:line="420" w:lineRule="exact"/>
        <w:ind w:firstLine="420" w:firstLineChars="200"/>
        <w:rPr>
          <w:rFonts w:ascii="宋体" w:hAnsi="宋体"/>
          <w:color w:val="auto"/>
          <w:kern w:val="0"/>
          <w:szCs w:val="21"/>
        </w:rPr>
      </w:pPr>
      <w:r>
        <w:rPr>
          <w:rFonts w:hint="eastAsia" w:ascii="宋体" w:hAnsi="宋体"/>
          <w:color w:val="auto"/>
          <w:kern w:val="0"/>
          <w:szCs w:val="21"/>
        </w:rPr>
        <w:t>通用合同条款直接引用建市[2017]214号“住房城乡建设部、工商总局关于印发建设工程施工合同（示范文本）的通知”附件《建设工程施工合同（示范文本）（GF-2017-0201）第二部分“通用合同条款”内容。</w:t>
      </w:r>
    </w:p>
    <w:p w14:paraId="714D5944">
      <w:pPr>
        <w:shd w:val="clear"/>
        <w:spacing w:line="360" w:lineRule="auto"/>
        <w:rPr>
          <w:rFonts w:ascii="宋体" w:hAnsi="宋体" w:cs="宋体"/>
          <w:color w:val="auto"/>
          <w:szCs w:val="21"/>
        </w:rPr>
      </w:pPr>
    </w:p>
    <w:p w14:paraId="51F1D81F">
      <w:pPr>
        <w:pStyle w:val="5"/>
        <w:shd w:val="clear"/>
        <w:spacing w:before="120" w:line="360" w:lineRule="auto"/>
        <w:ind w:firstLine="422"/>
        <w:jc w:val="center"/>
        <w:rPr>
          <w:rFonts w:ascii="宋体" w:hAnsi="宋体" w:cs="宋体"/>
          <w:color w:val="auto"/>
          <w:sz w:val="21"/>
          <w:szCs w:val="21"/>
        </w:rPr>
      </w:pPr>
      <w:bookmarkStart w:id="395" w:name="_Toc364853223"/>
      <w:r>
        <w:rPr>
          <w:rFonts w:hint="eastAsia" w:ascii="宋体" w:hAnsi="宋体" w:cs="宋体"/>
          <w:color w:val="auto"/>
          <w:sz w:val="21"/>
          <w:szCs w:val="21"/>
        </w:rPr>
        <w:t>第三部分 专用合同条款</w:t>
      </w:r>
      <w:bookmarkEnd w:id="395"/>
    </w:p>
    <w:p w14:paraId="1734E57B">
      <w:pPr>
        <w:shd w:val="clear"/>
        <w:spacing w:line="420" w:lineRule="exact"/>
        <w:ind w:firstLine="420" w:firstLineChars="200"/>
        <w:rPr>
          <w:rFonts w:ascii="宋体" w:hAnsi="宋体"/>
          <w:color w:val="auto"/>
          <w:kern w:val="0"/>
          <w:szCs w:val="21"/>
        </w:rPr>
      </w:pPr>
      <w:bookmarkStart w:id="396" w:name="_Toc364853224"/>
      <w:r>
        <w:rPr>
          <w:rFonts w:hint="eastAsia" w:ascii="宋体" w:hAnsi="宋体"/>
          <w:color w:val="auto"/>
          <w:kern w:val="0"/>
          <w:szCs w:val="21"/>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14:paraId="7EC10834">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 一般约定</w:t>
      </w:r>
      <w:bookmarkEnd w:id="396"/>
    </w:p>
    <w:p w14:paraId="2CF7C088">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 xml:space="preserve">1.3 法律 </w:t>
      </w:r>
    </w:p>
    <w:p w14:paraId="61FC0C72">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适用于合同的其他规范性文件：浙江省、宁波市有关工程建设的法规、规章及规范性文件。</w:t>
      </w:r>
    </w:p>
    <w:p w14:paraId="6523E4DE">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 标准和规范</w:t>
      </w:r>
    </w:p>
    <w:p w14:paraId="56CE56D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1.4.1适用于工程的标准规范包括：浙江省、宁波市工程建设相关的施工及验收规范和标准。</w:t>
      </w:r>
    </w:p>
    <w:p w14:paraId="04EFE5A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 合同文件的优先顺序</w:t>
      </w:r>
    </w:p>
    <w:p w14:paraId="6698A932">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合同文件的优先解释顺序执行通用条款。</w:t>
      </w:r>
    </w:p>
    <w:p w14:paraId="3EB5C2D8">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1.6 图纸和承包人文件</w:t>
      </w:r>
      <w:r>
        <w:rPr>
          <w:rFonts w:hint="eastAsia" w:hAnsi="宋体" w:cs="宋体"/>
          <w:color w:val="auto"/>
          <w:sz w:val="21"/>
          <w:szCs w:val="21"/>
        </w:rPr>
        <w:tab/>
      </w:r>
    </w:p>
    <w:p w14:paraId="36E4288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1.6.1图纸的提供</w:t>
      </w:r>
    </w:p>
    <w:p w14:paraId="02D7C5E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发包人向承包人提供图纸的期限：向承包人发出成交确认书后3天内；</w:t>
      </w:r>
    </w:p>
    <w:p w14:paraId="1B27E18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发包人向承包人提供图纸的数量：一式五套；</w:t>
      </w:r>
    </w:p>
    <w:p w14:paraId="36A30A31">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发包人向承包人提供图纸的内容：工程承包范围内的各专业工程。</w:t>
      </w:r>
    </w:p>
    <w:p w14:paraId="4B09B156">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1.6.4 承包人文件</w:t>
      </w:r>
    </w:p>
    <w:p w14:paraId="04D9183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需要由承包人提供的文件，包括：施工组织设计、工程进度计划、专项施工方案、加工图、大样图、协调配合图等；</w:t>
      </w:r>
    </w:p>
    <w:p w14:paraId="60344EC9">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承包人提供的文件的期限为：施工组织设计、工程进度计划在工程开工前7天，其他文件在相应专项工程或部位施工前7天；</w:t>
      </w:r>
    </w:p>
    <w:p w14:paraId="698A0326">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承包人提供的文件的数量为：一式五套；</w:t>
      </w:r>
    </w:p>
    <w:p w14:paraId="59617CE1">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1.6.5 现场图纸准备</w:t>
      </w:r>
    </w:p>
    <w:p w14:paraId="3E96CF9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关于现场图纸准备的约定：承包人在施工现场保存至少一套完整的图纸和承包人文件。</w:t>
      </w:r>
    </w:p>
    <w:p w14:paraId="40BC142C">
      <w:pPr>
        <w:shd w:val="clear"/>
        <w:spacing w:line="450" w:lineRule="exact"/>
        <w:ind w:firstLine="422" w:firstLineChars="200"/>
        <w:rPr>
          <w:rFonts w:ascii="宋体" w:hAnsi="宋体" w:cs="宋体"/>
          <w:b/>
          <w:color w:val="auto"/>
          <w:szCs w:val="21"/>
        </w:rPr>
      </w:pPr>
      <w:r>
        <w:rPr>
          <w:rFonts w:hint="eastAsia" w:ascii="宋体" w:hAnsi="宋体" w:cs="宋体"/>
          <w:b/>
          <w:color w:val="auto"/>
          <w:szCs w:val="21"/>
        </w:rPr>
        <w:t>1.7联络</w:t>
      </w:r>
    </w:p>
    <w:p w14:paraId="14ABAAB9">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1.7.1发包人和承包人应当在通用条款规定的时间内将与合同有关的通知、批准、证明、证书、指示、指令、要求、请求、同意、意见、确定和决定等书面函件送达对方当事人。</w:t>
      </w:r>
    </w:p>
    <w:p w14:paraId="507B8A8B">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1.7.2发包人接收文件的地点：</w:t>
      </w:r>
      <w:r>
        <w:rPr>
          <w:rFonts w:hint="eastAsia" w:ascii="宋体" w:hAnsi="宋体" w:cs="宋体"/>
          <w:color w:val="auto"/>
          <w:szCs w:val="21"/>
          <w:u w:val="single"/>
        </w:rPr>
        <w:t>发包人驻项目办公所在地</w:t>
      </w:r>
      <w:r>
        <w:rPr>
          <w:rFonts w:hint="eastAsia" w:ascii="宋体" w:hAnsi="宋体" w:cs="宋体"/>
          <w:color w:val="auto"/>
          <w:szCs w:val="21"/>
        </w:rPr>
        <w:t>；</w:t>
      </w:r>
    </w:p>
    <w:p w14:paraId="2778EF07">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发包人指定的接收人为：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655234D8">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承包人接收文件的地点：</w:t>
      </w:r>
      <w:r>
        <w:rPr>
          <w:rFonts w:hint="eastAsia" w:ascii="宋体" w:hAnsi="宋体" w:cs="宋体"/>
          <w:color w:val="auto"/>
          <w:szCs w:val="21"/>
          <w:u w:val="single"/>
        </w:rPr>
        <w:t>承包人驻项目办公所在地</w:t>
      </w:r>
      <w:r>
        <w:rPr>
          <w:rFonts w:hint="eastAsia" w:ascii="宋体" w:hAnsi="宋体" w:cs="宋体"/>
          <w:color w:val="auto"/>
          <w:szCs w:val="21"/>
        </w:rPr>
        <w:t>；</w:t>
      </w:r>
    </w:p>
    <w:p w14:paraId="49518698">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承包人指定的接收人为：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5453C06B">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监理人接收文件的地点：</w:t>
      </w:r>
      <w:r>
        <w:rPr>
          <w:rFonts w:hint="eastAsia" w:ascii="宋体" w:hAnsi="宋体" w:cs="宋体"/>
          <w:color w:val="auto"/>
          <w:szCs w:val="21"/>
          <w:u w:val="single"/>
        </w:rPr>
        <w:t>承包人驻项目办公所在地</w:t>
      </w:r>
      <w:r>
        <w:rPr>
          <w:rFonts w:hint="eastAsia" w:ascii="宋体" w:hAnsi="宋体" w:cs="宋体"/>
          <w:color w:val="auto"/>
          <w:szCs w:val="21"/>
        </w:rPr>
        <w:t>；</w:t>
      </w:r>
    </w:p>
    <w:p w14:paraId="74533D3E">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监理人指定的接收人为：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5A88EBBC">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1.10 交通运输</w:t>
      </w:r>
    </w:p>
    <w:p w14:paraId="1C7EB9B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1.10.1 出入现场的权利：执行通用条款。</w:t>
      </w:r>
    </w:p>
    <w:p w14:paraId="63BA8350">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1.10.3 关于场外交通和场内交通边界的约定：</w:t>
      </w:r>
      <w:r>
        <w:rPr>
          <w:rFonts w:hint="eastAsia" w:ascii="宋体" w:hAnsi="宋体" w:cs="宋体"/>
          <w:color w:val="auto"/>
          <w:szCs w:val="21"/>
          <w:u w:val="single"/>
        </w:rPr>
        <w:t xml:space="preserve">   无   </w:t>
      </w:r>
      <w:r>
        <w:rPr>
          <w:rFonts w:hint="eastAsia" w:ascii="宋体" w:hAnsi="宋体" w:cs="宋体"/>
          <w:color w:val="auto"/>
          <w:szCs w:val="21"/>
        </w:rPr>
        <w:t>。</w:t>
      </w:r>
    </w:p>
    <w:p w14:paraId="3D5732A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1.10.4 超大件和超重件的运输</w:t>
      </w:r>
    </w:p>
    <w:p w14:paraId="2F800DF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运输超大件或超重件所需的道路和桥梁临时加固改造费用和其他有关费用由</w:t>
      </w:r>
      <w:r>
        <w:rPr>
          <w:rFonts w:hint="eastAsia" w:ascii="宋体" w:hAnsi="宋体" w:cs="宋体"/>
          <w:color w:val="auto"/>
          <w:szCs w:val="21"/>
          <w:u w:val="single"/>
        </w:rPr>
        <w:t>承包人</w:t>
      </w:r>
      <w:r>
        <w:rPr>
          <w:rFonts w:hint="eastAsia" w:ascii="宋体" w:hAnsi="宋体" w:cs="宋体"/>
          <w:color w:val="auto"/>
          <w:szCs w:val="21"/>
        </w:rPr>
        <w:t xml:space="preserve">承担。 </w:t>
      </w:r>
    </w:p>
    <w:p w14:paraId="1FE109AC">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1.11 知识产权</w:t>
      </w:r>
    </w:p>
    <w:p w14:paraId="1AF7D5C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关于本合同的知识产权、使用及使用费用约定：执行通用条款。</w:t>
      </w:r>
    </w:p>
    <w:p w14:paraId="53BCF51E">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1.13工程量清单错误的修正</w:t>
      </w:r>
    </w:p>
    <w:p w14:paraId="67967603">
      <w:pPr>
        <w:shd w:val="clear"/>
        <w:spacing w:line="450" w:lineRule="exact"/>
        <w:ind w:firstLine="420" w:firstLineChars="200"/>
        <w:rPr>
          <w:rFonts w:ascii="宋体" w:hAnsi="宋体" w:cs="宋体"/>
          <w:color w:val="auto"/>
          <w:szCs w:val="21"/>
        </w:rPr>
      </w:pPr>
      <w:bookmarkStart w:id="397" w:name="_Toc364853225"/>
      <w:r>
        <w:rPr>
          <w:rFonts w:hint="eastAsia" w:ascii="宋体" w:hAnsi="宋体" w:cs="宋体"/>
          <w:color w:val="auto"/>
          <w:szCs w:val="21"/>
        </w:rPr>
        <w:t>允许对下列工程量清单的错误进行调整：（1）工程量清单存在缺项、漏项；（2）任一招标工程量清单项目的工程量有偏差；（3）未按照国家现行计量规范强制性规定计量。</w:t>
      </w:r>
    </w:p>
    <w:p w14:paraId="0E7A8591">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2. 发包人</w:t>
      </w:r>
      <w:bookmarkEnd w:id="397"/>
    </w:p>
    <w:p w14:paraId="7F8CB459">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2.2 发包人代表</w:t>
      </w:r>
    </w:p>
    <w:p w14:paraId="14A901C8">
      <w:pPr>
        <w:pStyle w:val="67"/>
        <w:shd w:val="clear"/>
        <w:spacing w:before="120" w:line="360" w:lineRule="auto"/>
        <w:ind w:firstLine="401" w:firstLineChars="190"/>
        <w:rPr>
          <w:rFonts w:ascii="仿宋_GB2312" w:hAnsi="宋体" w:eastAsia="仿宋_GB2312"/>
          <w:color w:val="auto"/>
          <w:sz w:val="21"/>
          <w:szCs w:val="21"/>
          <w:u w:val="single"/>
        </w:rPr>
      </w:pPr>
      <w:r>
        <w:rPr>
          <w:rFonts w:hint="eastAsia" w:ascii="仿宋_GB2312" w:hAnsi="宋体" w:eastAsia="仿宋_GB2312"/>
          <w:color w:val="auto"/>
          <w:sz w:val="21"/>
          <w:szCs w:val="21"/>
        </w:rPr>
        <w:t>发包人代表姓名：</w:t>
      </w:r>
      <w:r>
        <w:rPr>
          <w:rFonts w:hint="eastAsia" w:ascii="仿宋_GB2312" w:hAnsi="宋体" w:eastAsia="仿宋_GB2312"/>
          <w:color w:val="auto"/>
          <w:sz w:val="21"/>
          <w:szCs w:val="21"/>
          <w:u w:val="single"/>
        </w:rPr>
        <w:t xml:space="preserve">                     </w:t>
      </w:r>
    </w:p>
    <w:p w14:paraId="587F9B53">
      <w:pPr>
        <w:pStyle w:val="67"/>
        <w:shd w:val="clear"/>
        <w:spacing w:before="120" w:line="360" w:lineRule="auto"/>
        <w:ind w:firstLine="401" w:firstLineChars="190"/>
        <w:rPr>
          <w:rFonts w:ascii="仿宋_GB2312" w:hAnsi="宋体" w:eastAsia="仿宋_GB2312"/>
          <w:color w:val="auto"/>
          <w:sz w:val="21"/>
          <w:szCs w:val="21"/>
          <w:u w:val="single"/>
        </w:rPr>
      </w:pPr>
      <w:r>
        <w:rPr>
          <w:rFonts w:hint="eastAsia" w:ascii="仿宋_GB2312" w:hAnsi="宋体" w:eastAsia="仿宋_GB2312"/>
          <w:color w:val="auto"/>
          <w:sz w:val="21"/>
          <w:szCs w:val="21"/>
        </w:rPr>
        <w:t>身份证号码：</w:t>
      </w:r>
      <w:r>
        <w:rPr>
          <w:rFonts w:hint="eastAsia" w:ascii="仿宋_GB2312" w:hAnsi="宋体" w:eastAsia="仿宋_GB2312"/>
          <w:color w:val="auto"/>
          <w:sz w:val="21"/>
          <w:szCs w:val="21"/>
          <w:u w:val="single"/>
        </w:rPr>
        <w:t xml:space="preserve">                          </w:t>
      </w:r>
    </w:p>
    <w:p w14:paraId="149B0636">
      <w:pPr>
        <w:pStyle w:val="67"/>
        <w:shd w:val="clear"/>
        <w:spacing w:before="120" w:line="360" w:lineRule="auto"/>
        <w:ind w:firstLine="401" w:firstLineChars="190"/>
        <w:rPr>
          <w:rFonts w:ascii="仿宋_GB2312" w:hAnsi="宋体" w:eastAsia="仿宋_GB2312"/>
          <w:color w:val="auto"/>
          <w:sz w:val="21"/>
          <w:szCs w:val="21"/>
        </w:rPr>
      </w:pPr>
      <w:r>
        <w:rPr>
          <w:rFonts w:hint="eastAsia" w:ascii="仿宋_GB2312" w:hAnsi="宋体" w:eastAsia="仿宋_GB2312"/>
          <w:color w:val="auto"/>
          <w:sz w:val="21"/>
          <w:szCs w:val="21"/>
        </w:rPr>
        <w:t>联系电话</w:t>
      </w:r>
      <w:r>
        <w:rPr>
          <w:rFonts w:hint="eastAsia" w:ascii="仿宋_GB2312" w:hAnsi="宋体" w:eastAsia="仿宋_GB2312"/>
          <w:color w:val="auto"/>
          <w:sz w:val="21"/>
          <w:szCs w:val="21"/>
          <w:u w:val="single"/>
        </w:rPr>
        <w:t xml:space="preserve">：                            </w:t>
      </w:r>
    </w:p>
    <w:p w14:paraId="79CF596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71AEEEC7">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2.5 资金来源证明及支付担保</w:t>
      </w:r>
    </w:p>
    <w:p w14:paraId="20BF17EA">
      <w:pPr>
        <w:shd w:val="clear"/>
        <w:spacing w:line="450" w:lineRule="exact"/>
        <w:ind w:firstLine="420" w:firstLineChars="200"/>
        <w:rPr>
          <w:rFonts w:ascii="宋体" w:hAnsi="宋体" w:cs="宋体"/>
          <w:color w:val="auto"/>
          <w:szCs w:val="21"/>
        </w:rPr>
      </w:pPr>
      <w:bookmarkStart w:id="398" w:name="_Toc364853226"/>
      <w:r>
        <w:rPr>
          <w:rFonts w:hint="eastAsia" w:ascii="宋体" w:hAnsi="宋体" w:cs="宋体"/>
          <w:color w:val="auto"/>
          <w:szCs w:val="21"/>
        </w:rPr>
        <w:t>按《宁波市房屋建筑和市政基础设施工程担保管理办法（试行）》规定，发包人</w:t>
      </w:r>
      <w:r>
        <w:rPr>
          <w:rFonts w:hint="eastAsia" w:ascii="宋体" w:hAnsi="宋体" w:cs="宋体"/>
          <w:color w:val="auto"/>
          <w:kern w:val="0"/>
          <w:szCs w:val="21"/>
          <w:u w:val="single"/>
        </w:rPr>
        <w:t xml:space="preserve">不需 </w:t>
      </w:r>
      <w:r>
        <w:rPr>
          <w:rFonts w:hint="eastAsia" w:ascii="宋体" w:hAnsi="宋体" w:cs="宋体"/>
          <w:color w:val="auto"/>
          <w:szCs w:val="21"/>
        </w:rPr>
        <w:t>向承包人提供合同款的支付担保。</w:t>
      </w:r>
    </w:p>
    <w:p w14:paraId="0AFC1DBF">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3. 承包人</w:t>
      </w:r>
      <w:bookmarkEnd w:id="398"/>
    </w:p>
    <w:p w14:paraId="40B7A657">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3.1 承包人的一般义务</w:t>
      </w:r>
    </w:p>
    <w:p w14:paraId="3F7F69E5">
      <w:pPr>
        <w:shd w:val="clear"/>
        <w:spacing w:line="450" w:lineRule="exact"/>
        <w:ind w:firstLine="420" w:firstLineChars="200"/>
        <w:rPr>
          <w:rFonts w:ascii="宋体" w:hAnsi="宋体" w:cs="宋体"/>
          <w:color w:val="auto"/>
          <w:szCs w:val="21"/>
          <w:u w:val="single"/>
        </w:rPr>
      </w:pPr>
      <w:r>
        <w:rPr>
          <w:rFonts w:hint="eastAsia" w:ascii="宋体" w:hAnsi="宋体" w:cs="宋体"/>
          <w:color w:val="auto"/>
          <w:kern w:val="0"/>
          <w:szCs w:val="21"/>
        </w:rPr>
        <w:t>（9）</w:t>
      </w:r>
      <w:r>
        <w:rPr>
          <w:rFonts w:hint="eastAsia" w:ascii="宋体" w:hAnsi="宋体" w:cs="宋体"/>
          <w:color w:val="auto"/>
          <w:szCs w:val="21"/>
        </w:rPr>
        <w:t>承包人应在具备竣工验收合格条件后2个月内按宁波市奉化区城建档案归档要求向发包人提交竣工资料，至少包括纸质及电子资料各3套，为此产生的费用由承包人承担。</w:t>
      </w:r>
    </w:p>
    <w:p w14:paraId="7B460896">
      <w:pPr>
        <w:pStyle w:val="67"/>
        <w:shd w:val="clear"/>
        <w:spacing w:before="120" w:line="450" w:lineRule="exact"/>
        <w:ind w:firstLine="398" w:firstLineChars="189"/>
        <w:rPr>
          <w:rFonts w:hAnsi="宋体" w:cs="宋体"/>
          <w:color w:val="auto"/>
          <w:sz w:val="21"/>
          <w:szCs w:val="21"/>
        </w:rPr>
      </w:pPr>
      <w:r>
        <w:rPr>
          <w:rFonts w:hint="eastAsia" w:hAnsi="宋体" w:cs="宋体"/>
          <w:color w:val="auto"/>
          <w:sz w:val="21"/>
          <w:szCs w:val="21"/>
        </w:rPr>
        <w:t>3.2 项目经理</w:t>
      </w:r>
    </w:p>
    <w:p w14:paraId="2D82FE22">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项目经理姓名：</w:t>
      </w:r>
      <w:r>
        <w:rPr>
          <w:rFonts w:hint="eastAsia" w:hAnsi="宋体" w:cs="宋体"/>
          <w:color w:val="auto"/>
          <w:sz w:val="21"/>
          <w:szCs w:val="21"/>
          <w:u w:val="single"/>
        </w:rPr>
        <w:t xml:space="preserve">                      </w:t>
      </w:r>
    </w:p>
    <w:p w14:paraId="14F9D315">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身份证号码：</w:t>
      </w:r>
      <w:r>
        <w:rPr>
          <w:rFonts w:hint="eastAsia" w:hAnsi="宋体" w:cs="宋体"/>
          <w:color w:val="auto"/>
          <w:sz w:val="21"/>
          <w:szCs w:val="21"/>
          <w:u w:val="single"/>
        </w:rPr>
        <w:t xml:space="preserve">                      </w:t>
      </w:r>
    </w:p>
    <w:p w14:paraId="19198210">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联系电话：</w:t>
      </w:r>
      <w:r>
        <w:rPr>
          <w:rFonts w:hint="eastAsia" w:hAnsi="宋体" w:cs="宋体"/>
          <w:color w:val="auto"/>
          <w:sz w:val="21"/>
          <w:szCs w:val="21"/>
          <w:u w:val="single"/>
        </w:rPr>
        <w:t xml:space="preserve">                       </w:t>
      </w:r>
    </w:p>
    <w:p w14:paraId="0BE8AF2D">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安全员姓名：</w:t>
      </w:r>
      <w:r>
        <w:rPr>
          <w:rFonts w:hint="eastAsia" w:hAnsi="宋体" w:cs="宋体"/>
          <w:color w:val="auto"/>
          <w:sz w:val="21"/>
          <w:szCs w:val="21"/>
          <w:u w:val="single"/>
        </w:rPr>
        <w:t xml:space="preserve">                      </w:t>
      </w:r>
    </w:p>
    <w:p w14:paraId="001DE737">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身份证号码：</w:t>
      </w:r>
      <w:r>
        <w:rPr>
          <w:rFonts w:hint="eastAsia" w:hAnsi="宋体" w:cs="宋体"/>
          <w:color w:val="auto"/>
          <w:sz w:val="21"/>
          <w:szCs w:val="21"/>
          <w:u w:val="single"/>
        </w:rPr>
        <w:t xml:space="preserve">                      </w:t>
      </w:r>
    </w:p>
    <w:p w14:paraId="3502D380">
      <w:pPr>
        <w:pStyle w:val="67"/>
        <w:shd w:val="clear"/>
        <w:spacing w:before="120" w:line="450" w:lineRule="exact"/>
        <w:ind w:firstLine="398" w:firstLineChars="189"/>
        <w:rPr>
          <w:rFonts w:hAnsi="宋体" w:cs="宋体"/>
          <w:color w:val="auto"/>
          <w:sz w:val="21"/>
          <w:szCs w:val="21"/>
        </w:rPr>
      </w:pPr>
      <w:r>
        <w:rPr>
          <w:rFonts w:hint="eastAsia" w:hAnsi="宋体" w:cs="宋体"/>
          <w:color w:val="auto"/>
          <w:sz w:val="21"/>
          <w:szCs w:val="21"/>
        </w:rPr>
        <w:t>联系电话：</w:t>
      </w:r>
      <w:r>
        <w:rPr>
          <w:rFonts w:hint="eastAsia" w:hAnsi="宋体" w:cs="宋体"/>
          <w:color w:val="auto"/>
          <w:sz w:val="21"/>
          <w:szCs w:val="21"/>
          <w:u w:val="single"/>
        </w:rPr>
        <w:t xml:space="preserve">                        </w:t>
      </w:r>
    </w:p>
    <w:p w14:paraId="021C0C5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3.2.1承包人委派的项目</w:t>
      </w:r>
      <w:r>
        <w:rPr>
          <w:rFonts w:hint="eastAsia" w:ascii="宋体" w:hAnsi="宋体" w:cs="宋体"/>
          <w:color w:val="auto"/>
          <w:szCs w:val="21"/>
        </w:rPr>
        <w:t>经理</w:t>
      </w:r>
      <w:r>
        <w:rPr>
          <w:rFonts w:hint="eastAsia" w:ascii="宋体" w:hAnsi="宋体" w:cs="宋体"/>
          <w:color w:val="auto"/>
          <w:kern w:val="0"/>
          <w:szCs w:val="21"/>
        </w:rPr>
        <w:t>及其执业行为应遵守通用条款约定，违反约定的，按本专用条款约定，承担违约责任。</w:t>
      </w:r>
    </w:p>
    <w:p w14:paraId="25B30B2F">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6C18AAB8">
      <w:pPr>
        <w:shd w:val="clear"/>
        <w:spacing w:line="450" w:lineRule="exact"/>
        <w:ind w:firstLine="420" w:firstLineChars="200"/>
        <w:rPr>
          <w:rFonts w:ascii="宋体" w:hAnsi="宋体" w:cs="宋体"/>
          <w:color w:val="auto"/>
          <w:kern w:val="0"/>
          <w:szCs w:val="21"/>
        </w:rPr>
      </w:pPr>
      <w:r>
        <w:rPr>
          <w:rFonts w:hint="eastAsia" w:ascii="宋体" w:hAnsi="宋体" w:cs="宋体"/>
          <w:color w:val="auto"/>
          <w:szCs w:val="21"/>
        </w:rPr>
        <w:t>（2）承包人对项目经理的授权范围如下：在承</w:t>
      </w:r>
      <w:r>
        <w:rPr>
          <w:rFonts w:hint="eastAsia" w:ascii="宋体" w:hAnsi="宋体" w:cs="宋体"/>
          <w:color w:val="auto"/>
          <w:kern w:val="0"/>
          <w:szCs w:val="21"/>
        </w:rPr>
        <w:t>包人授权范围内履行承包人的职权，对工程建设的质量、安全、工期以及工程造价控制负责，所有上报给发包人的文件均需项目经理签字。</w:t>
      </w:r>
    </w:p>
    <w:p w14:paraId="3ABD1831">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（3）承包人未提交劳动合同，以及没有为项目经理缴纳社会保险证明的违约责任：发包人有权解除合同，由此造成的费用增加和工期延误损失均由承包人承担。</w:t>
      </w:r>
    </w:p>
    <w:p w14:paraId="6571FEFB">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（4）关于项目经理每月在施工现场的时间要求：每月在施工现场时间不得少于</w:t>
      </w:r>
      <w:r>
        <w:rPr>
          <w:rFonts w:hint="eastAsia" w:ascii="宋体" w:hAnsi="宋体" w:cs="宋体"/>
          <w:color w:val="auto"/>
          <w:kern w:val="0"/>
          <w:szCs w:val="21"/>
          <w:u w:val="single"/>
        </w:rPr>
        <w:t xml:space="preserve"> 25</w:t>
      </w:r>
      <w:r>
        <w:rPr>
          <w:rFonts w:hint="eastAsia" w:ascii="宋体" w:hAnsi="宋体" w:cs="宋体"/>
          <w:color w:val="auto"/>
          <w:kern w:val="0"/>
          <w:szCs w:val="21"/>
        </w:rPr>
        <w:t>天，每天工作时间不得少于</w:t>
      </w:r>
      <w:r>
        <w:rPr>
          <w:rFonts w:hint="eastAsia" w:ascii="宋体" w:hAnsi="宋体" w:cs="宋体"/>
          <w:color w:val="auto"/>
          <w:kern w:val="0"/>
          <w:szCs w:val="21"/>
          <w:u w:val="single"/>
        </w:rPr>
        <w:t xml:space="preserve"> 8 </w:t>
      </w:r>
      <w:r>
        <w:rPr>
          <w:rFonts w:hint="eastAsia" w:ascii="宋体" w:hAnsi="宋体" w:cs="宋体"/>
          <w:color w:val="auto"/>
          <w:kern w:val="0"/>
          <w:szCs w:val="21"/>
        </w:rPr>
        <w:t>小时，且重要工程例会及验收环节等必须由项目经理参加。</w:t>
      </w:r>
    </w:p>
    <w:p w14:paraId="07340B25">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（5）项目经理未经批准，擅自离开施工现场的违约责任：处违约金</w:t>
      </w:r>
      <w:r>
        <w:rPr>
          <w:rFonts w:hint="eastAsia" w:ascii="宋体" w:hAnsi="宋体" w:cs="宋体"/>
          <w:color w:val="auto"/>
          <w:kern w:val="0"/>
          <w:szCs w:val="21"/>
          <w:u w:val="single"/>
        </w:rPr>
        <w:t>1000</w:t>
      </w:r>
      <w:r>
        <w:rPr>
          <w:rFonts w:hint="eastAsia" w:ascii="宋体" w:hAnsi="宋体" w:cs="宋体"/>
          <w:color w:val="auto"/>
          <w:kern w:val="0"/>
          <w:szCs w:val="21"/>
        </w:rPr>
        <w:t>元/次，违约金从前附表中承诺的“未履行项目经理及主要施工管理人员到场承诺违约金限额”中扣除，该项限额不足时，发包人有权向承包人追偿。</w:t>
      </w:r>
    </w:p>
    <w:p w14:paraId="3D4A02C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发包人对项目经理擅自离开施工现场的违约处理，应根据监理人对项目经理的考勤结果进行。</w:t>
      </w:r>
    </w:p>
    <w:p w14:paraId="4E2ED4A5">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3.2.3 承包人擅自更换项目经理的违约责任：处违约金</w:t>
      </w:r>
      <w:r>
        <w:rPr>
          <w:rFonts w:hint="eastAsia" w:ascii="宋体" w:hAnsi="宋体" w:cs="宋体"/>
          <w:color w:val="auto"/>
          <w:kern w:val="0"/>
          <w:szCs w:val="21"/>
          <w:u w:val="single"/>
        </w:rPr>
        <w:t xml:space="preserve"> 10000 </w:t>
      </w:r>
      <w:r>
        <w:rPr>
          <w:rFonts w:hint="eastAsia" w:ascii="宋体" w:hAnsi="宋体" w:cs="宋体"/>
          <w:color w:val="auto"/>
          <w:kern w:val="0"/>
          <w:szCs w:val="21"/>
        </w:rPr>
        <w:t>元/次，违约金从前附表中承诺的“未履行项目经理及主要施工管理人员到场承诺违约金限额”中扣除，该项限额不足时，发包人有权向承包人追偿，且有权拒绝接受其擅自更换的项目经理。</w:t>
      </w:r>
    </w:p>
    <w:p w14:paraId="010C08DC">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前附表中承诺的“未履行项目经理及主要施工管理人员到场承诺违约金限额”。情节严重的，发包人有权解除合同，由此造成的一切损失由承包人承担。</w:t>
      </w:r>
    </w:p>
    <w:p w14:paraId="343A3F9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3.3 承包人人员</w:t>
      </w:r>
    </w:p>
    <w:p w14:paraId="70FD7E2A">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3.3.1 承包人应接到开工通知后7天内提交与</w:t>
      </w:r>
      <w:r>
        <w:rPr>
          <w:rFonts w:hint="eastAsia" w:ascii="宋体" w:hAnsi="宋体" w:cs="宋体"/>
          <w:color w:val="auto"/>
          <w:szCs w:val="21"/>
        </w:rPr>
        <w:t>投标时所承诺的人员一致的</w:t>
      </w:r>
      <w:r>
        <w:rPr>
          <w:rFonts w:hint="eastAsia" w:ascii="宋体" w:hAnsi="宋体" w:cs="宋体"/>
          <w:color w:val="auto"/>
          <w:kern w:val="0"/>
          <w:szCs w:val="21"/>
        </w:rPr>
        <w:t>项目管理机构及施工现场管理人员安排报告。</w:t>
      </w:r>
    </w:p>
    <w:p w14:paraId="44CFC28A">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前附表中承诺中的“未履行项目经理及主要施工管理人员到场承诺违约金限额”。</w:t>
      </w:r>
    </w:p>
    <w:p w14:paraId="347F1AE1">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245F7483">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3.3.5 承包人擅自更换主要施工管理人员的违约责任：处违约金5000元/人/次，违约金从前附表中承诺的“未履行项目经理及主要施工管理人员到场承诺违约金限额”中扣除，该项限额不足时，发包人有权向承包人追偿，且有权拒绝接受其擅自更换的主要施工管理人员。</w:t>
      </w:r>
    </w:p>
    <w:p w14:paraId="0E27990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承包人主要施工管理人员擅自离开施工现场的违约责任：处违约金2000元/人/次，违约金从前附表中承诺的“未履行项目经理及主要施工管理人员到场承诺违约金限额”中扣除，该项限额不足时，发包人有权向承包人追偿。</w:t>
      </w:r>
    </w:p>
    <w:p w14:paraId="232A85E0">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3.5 分包</w:t>
      </w:r>
    </w:p>
    <w:p w14:paraId="5B02699F">
      <w:pPr>
        <w:pStyle w:val="67"/>
        <w:shd w:val="clear"/>
        <w:spacing w:before="120" w:line="450" w:lineRule="exact"/>
        <w:ind w:firstLine="399" w:firstLineChars="190"/>
        <w:rPr>
          <w:rFonts w:hAnsi="宋体" w:cs="宋体"/>
          <w:b w:val="0"/>
          <w:bCs/>
          <w:color w:val="auto"/>
          <w:kern w:val="0"/>
          <w:sz w:val="21"/>
          <w:szCs w:val="21"/>
        </w:rPr>
      </w:pPr>
      <w:r>
        <w:rPr>
          <w:rFonts w:hint="eastAsia" w:hAnsi="宋体" w:cs="宋体"/>
          <w:b w:val="0"/>
          <w:bCs/>
          <w:color w:val="auto"/>
          <w:kern w:val="0"/>
          <w:sz w:val="21"/>
          <w:szCs w:val="21"/>
        </w:rPr>
        <w:t>不允许。</w:t>
      </w:r>
    </w:p>
    <w:p w14:paraId="3DF74F0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3.6 工程照管与成品、半成品保护</w:t>
      </w:r>
    </w:p>
    <w:p w14:paraId="2C0F9556">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工程照管与成品、半成品保护有关约定：执行通用条款。</w:t>
      </w:r>
    </w:p>
    <w:p w14:paraId="30BB72AB">
      <w:pPr>
        <w:pStyle w:val="67"/>
        <w:shd w:val="clear"/>
        <w:spacing w:before="120" w:line="450" w:lineRule="exact"/>
        <w:ind w:firstLine="401" w:firstLineChars="190"/>
        <w:rPr>
          <w:rFonts w:hAnsi="宋体" w:cs="宋体"/>
          <w:color w:val="auto"/>
          <w:sz w:val="21"/>
          <w:szCs w:val="21"/>
        </w:rPr>
      </w:pPr>
      <w:bookmarkStart w:id="399" w:name="_Toc364853227"/>
      <w:r>
        <w:rPr>
          <w:rFonts w:hint="eastAsia" w:hAnsi="宋体" w:cs="宋体"/>
          <w:color w:val="auto"/>
          <w:sz w:val="21"/>
          <w:szCs w:val="21"/>
        </w:rPr>
        <w:t>3.7 履约担保</w:t>
      </w:r>
    </w:p>
    <w:p w14:paraId="54D27D55">
      <w:pPr>
        <w:pStyle w:val="67"/>
        <w:shd w:val="clear"/>
        <w:spacing w:before="120" w:line="450" w:lineRule="exact"/>
        <w:ind w:left="105" w:hanging="105" w:hangingChars="50"/>
        <w:rPr>
          <w:rFonts w:hAnsi="宋体" w:cs="宋体"/>
          <w:b w:val="0"/>
          <w:color w:val="auto"/>
          <w:kern w:val="0"/>
          <w:sz w:val="21"/>
          <w:szCs w:val="21"/>
        </w:rPr>
      </w:pPr>
      <w:r>
        <w:rPr>
          <w:rFonts w:hint="eastAsia" w:hAnsi="宋体" w:cs="宋体"/>
          <w:b w:val="0"/>
          <w:color w:val="auto"/>
          <w:kern w:val="0"/>
          <w:sz w:val="21"/>
          <w:szCs w:val="21"/>
        </w:rPr>
        <w:t>（1）承包人提供的履约担保形式为</w:t>
      </w:r>
      <w:r>
        <w:rPr>
          <w:rFonts w:hint="eastAsia" w:hAnsi="宋体" w:cs="宋体"/>
          <w:b w:val="0"/>
          <w:color w:val="auto"/>
          <w:kern w:val="0"/>
          <w:sz w:val="21"/>
          <w:szCs w:val="21"/>
          <w:u w:val="single"/>
        </w:rPr>
        <w:t xml:space="preserve">    </w:t>
      </w:r>
      <w:r>
        <w:rPr>
          <w:rFonts w:hint="eastAsia" w:hAnsi="宋体" w:cs="宋体"/>
          <w:b w:val="0"/>
          <w:color w:val="auto"/>
          <w:kern w:val="0"/>
          <w:sz w:val="21"/>
          <w:szCs w:val="21"/>
        </w:rPr>
        <w:t xml:space="preserve">（ A、履约保函；/  B、履约保证金电汇、/  C、银行支票、/ D、银行保函、/  E、保险公司担保）。                </w:t>
      </w:r>
    </w:p>
    <w:p w14:paraId="6F829A28">
      <w:pPr>
        <w:pStyle w:val="67"/>
        <w:shd w:val="clear"/>
        <w:spacing w:before="120" w:line="450" w:lineRule="exact"/>
        <w:ind w:left="554" w:leftChars="114" w:hanging="315" w:hangingChars="150"/>
        <w:rPr>
          <w:rFonts w:hAnsi="宋体" w:cs="宋体"/>
          <w:b w:val="0"/>
          <w:color w:val="auto"/>
          <w:kern w:val="0"/>
          <w:sz w:val="21"/>
          <w:szCs w:val="21"/>
        </w:rPr>
      </w:pPr>
      <w:r>
        <w:rPr>
          <w:rFonts w:hint="eastAsia" w:hAnsi="宋体" w:cs="宋体"/>
          <w:b w:val="0"/>
          <w:color w:val="auto"/>
          <w:kern w:val="0"/>
          <w:sz w:val="21"/>
          <w:szCs w:val="21"/>
        </w:rPr>
        <w:t>①提供履约保证金的，承包人在签订合同的同时向发包人提交合同价款的2%（即</w:t>
      </w:r>
      <w:r>
        <w:rPr>
          <w:rFonts w:hint="eastAsia" w:hAnsi="宋体" w:cs="宋体"/>
          <w:b w:val="0"/>
          <w:color w:val="auto"/>
          <w:kern w:val="0"/>
          <w:sz w:val="21"/>
          <w:szCs w:val="21"/>
          <w:u w:val="single"/>
        </w:rPr>
        <w:t xml:space="preserve"> </w:t>
      </w:r>
      <w:r>
        <w:rPr>
          <w:rFonts w:hint="eastAsia" w:hAnsi="宋体" w:cs="宋体"/>
          <w:b w:val="0"/>
          <w:color w:val="auto"/>
          <w:kern w:val="0"/>
          <w:sz w:val="21"/>
          <w:szCs w:val="21"/>
        </w:rPr>
        <w:t>元）的履约保证金；</w:t>
      </w:r>
    </w:p>
    <w:p w14:paraId="769D4BFB">
      <w:pPr>
        <w:pStyle w:val="67"/>
        <w:shd w:val="clear"/>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（2）履约担保期限自合同生效之日起至发包人签认并由监理人向承包人出具工程接收证书之日止。</w:t>
      </w:r>
    </w:p>
    <w:p w14:paraId="1113F5F0">
      <w:pPr>
        <w:pStyle w:val="67"/>
        <w:shd w:val="clear"/>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6E2CA52E">
      <w:pPr>
        <w:pStyle w:val="67"/>
        <w:shd w:val="clear"/>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（4）履约担保在工程竣工验收合格后28天内予以退还。</w:t>
      </w:r>
    </w:p>
    <w:p w14:paraId="44DB4FA4">
      <w:pPr>
        <w:pStyle w:val="67"/>
        <w:shd w:val="clear"/>
        <w:spacing w:before="120" w:line="450" w:lineRule="exact"/>
        <w:ind w:firstLine="105" w:firstLineChars="50"/>
        <w:rPr>
          <w:rFonts w:hAnsi="宋体" w:cs="宋体"/>
          <w:b w:val="0"/>
          <w:color w:val="auto"/>
          <w:kern w:val="0"/>
          <w:sz w:val="21"/>
          <w:szCs w:val="21"/>
        </w:rPr>
      </w:pPr>
      <w:r>
        <w:rPr>
          <w:rFonts w:hint="eastAsia" w:hAnsi="宋体" w:cs="宋体"/>
          <w:color w:val="auto"/>
          <w:sz w:val="21"/>
          <w:szCs w:val="21"/>
        </w:rPr>
        <w:t>4. 监理人</w:t>
      </w:r>
      <w:bookmarkEnd w:id="399"/>
    </w:p>
    <w:p w14:paraId="7CD929B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4.1监理人的一般规定</w:t>
      </w:r>
    </w:p>
    <w:p w14:paraId="06983BB4">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关于监理人的监理内容：工程建设监理合同授予监理人的权利。</w:t>
      </w:r>
    </w:p>
    <w:p w14:paraId="398E57DB">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 xml:space="preserve">关于监理人的监理权限：涉及费用、工期、图纸更改等工程变更指令和付款、暂停工程施工指令的下达权需取得发包人书面批准方可执行。 </w:t>
      </w:r>
    </w:p>
    <w:p w14:paraId="50860244">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关于监理人在施工现场的办公场所、生活场所的提供和费用承担的约定：执行通用条款。</w:t>
      </w:r>
    </w:p>
    <w:p w14:paraId="67467F2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4.4 商定或确定</w:t>
      </w:r>
    </w:p>
    <w:p w14:paraId="66EA8976">
      <w:pPr>
        <w:shd w:val="clear"/>
        <w:spacing w:line="450" w:lineRule="exact"/>
        <w:ind w:firstLine="441" w:firstLineChars="210"/>
        <w:rPr>
          <w:rFonts w:ascii="宋体" w:hAnsi="宋体" w:cs="宋体"/>
          <w:color w:val="auto"/>
          <w:kern w:val="0"/>
          <w:szCs w:val="21"/>
        </w:rPr>
      </w:pPr>
      <w:bookmarkStart w:id="400" w:name="_Toc364853228"/>
      <w:r>
        <w:rPr>
          <w:rFonts w:hint="eastAsia" w:ascii="宋体" w:hAnsi="宋体" w:cs="宋体"/>
          <w:color w:val="auto"/>
          <w:kern w:val="0"/>
          <w:szCs w:val="21"/>
        </w:rPr>
        <w:t>当合同当事人对需要商定或确定的事项不能达成一致时，总监理工程师应按照合同约定作出公正确定，应在合同当事人会商之日起 7 天内提供书面确定意见。</w:t>
      </w:r>
    </w:p>
    <w:p w14:paraId="2610F73B">
      <w:pPr>
        <w:shd w:val="clear"/>
        <w:spacing w:line="450" w:lineRule="exact"/>
        <w:ind w:firstLine="103" w:firstLineChars="49"/>
        <w:rPr>
          <w:rFonts w:ascii="宋体" w:hAnsi="宋体" w:cs="宋体"/>
          <w:b/>
          <w:color w:val="auto"/>
          <w:kern w:val="0"/>
          <w:szCs w:val="21"/>
        </w:rPr>
      </w:pPr>
      <w:r>
        <w:rPr>
          <w:rFonts w:hint="eastAsia" w:ascii="宋体" w:hAnsi="宋体" w:cs="宋体"/>
          <w:b/>
          <w:color w:val="auto"/>
          <w:szCs w:val="21"/>
        </w:rPr>
        <w:t>5. 工程质量</w:t>
      </w:r>
      <w:bookmarkEnd w:id="400"/>
    </w:p>
    <w:p w14:paraId="180DA6A1">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5.1 质量要求:</w:t>
      </w:r>
      <w:r>
        <w:rPr>
          <w:rFonts w:hint="eastAsia" w:ascii="宋体" w:hAnsi="宋体" w:cs="宋体"/>
          <w:color w:val="auto"/>
          <w:kern w:val="0"/>
          <w:szCs w:val="21"/>
          <w:u w:val="single"/>
        </w:rPr>
        <w:t>达到国家和行业施工验收规范一次性验收合格</w:t>
      </w:r>
    </w:p>
    <w:p w14:paraId="4520B70A">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5.1.1 特殊质量标准和要求：</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52369292">
      <w:pPr>
        <w:pStyle w:val="67"/>
        <w:shd w:val="clear"/>
        <w:spacing w:before="120" w:line="450" w:lineRule="exact"/>
        <w:ind w:firstLine="399" w:firstLineChars="190"/>
        <w:rPr>
          <w:rFonts w:hAnsi="宋体" w:cs="宋体"/>
          <w:b w:val="0"/>
          <w:color w:val="auto"/>
          <w:sz w:val="21"/>
          <w:szCs w:val="21"/>
        </w:rPr>
      </w:pPr>
      <w:r>
        <w:rPr>
          <w:rFonts w:hint="eastAsia" w:hAnsi="宋体" w:cs="宋体"/>
          <w:b w:val="0"/>
          <w:color w:val="auto"/>
          <w:sz w:val="21"/>
          <w:szCs w:val="21"/>
        </w:rPr>
        <w:t>5.3 隐蔽工程检查</w:t>
      </w:r>
    </w:p>
    <w:p w14:paraId="051392F6">
      <w:pPr>
        <w:shd w:val="clear"/>
        <w:spacing w:line="450" w:lineRule="exact"/>
        <w:ind w:firstLine="441" w:firstLineChars="210"/>
        <w:rPr>
          <w:rFonts w:ascii="宋体" w:hAnsi="宋体" w:cs="宋体"/>
          <w:color w:val="auto"/>
          <w:kern w:val="0"/>
          <w:szCs w:val="21"/>
        </w:rPr>
      </w:pPr>
      <w:bookmarkStart w:id="401" w:name="_Toc364853229"/>
      <w:r>
        <w:rPr>
          <w:rFonts w:hint="eastAsia" w:ascii="宋体" w:hAnsi="宋体" w:cs="宋体"/>
          <w:color w:val="auto"/>
          <w:kern w:val="0"/>
          <w:szCs w:val="21"/>
        </w:rPr>
        <w:t>5.3.2承包人提前通知监理人隐蔽工程检查的期限的约定：承包人应在共同检查前</w:t>
      </w:r>
      <w:r>
        <w:rPr>
          <w:rFonts w:hint="eastAsia" w:ascii="宋体" w:hAnsi="宋体" w:cs="宋体"/>
          <w:color w:val="auto"/>
          <w:kern w:val="0"/>
          <w:szCs w:val="21"/>
          <w:u w:val="single"/>
        </w:rPr>
        <w:t xml:space="preserve">24 </w:t>
      </w:r>
      <w:r>
        <w:rPr>
          <w:rFonts w:hint="eastAsia" w:ascii="宋体" w:hAnsi="宋体" w:cs="宋体"/>
          <w:color w:val="auto"/>
          <w:kern w:val="0"/>
          <w:szCs w:val="21"/>
        </w:rPr>
        <w:t>小时书面通知监理人检查。</w:t>
      </w:r>
    </w:p>
    <w:p w14:paraId="21717BA3">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监理人不能按时进行检查时，应提前</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小时提交书面延期要求。延期最长不得超过：</w:t>
      </w:r>
      <w:r>
        <w:rPr>
          <w:rFonts w:hint="eastAsia" w:ascii="宋体" w:hAnsi="宋体" w:cs="宋体"/>
          <w:color w:val="auto"/>
          <w:kern w:val="0"/>
          <w:szCs w:val="21"/>
          <w:u w:val="single"/>
        </w:rPr>
        <w:t xml:space="preserve"> 48</w:t>
      </w:r>
      <w:r>
        <w:rPr>
          <w:rFonts w:hint="eastAsia" w:ascii="宋体" w:hAnsi="宋体" w:cs="宋体"/>
          <w:color w:val="auto"/>
          <w:kern w:val="0"/>
          <w:szCs w:val="21"/>
        </w:rPr>
        <w:t>小时。</w:t>
      </w:r>
    </w:p>
    <w:p w14:paraId="3946D0E0">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6. 安全文明施工与环境保护</w:t>
      </w:r>
      <w:bookmarkEnd w:id="401"/>
    </w:p>
    <w:p w14:paraId="6E8B0C78">
      <w:pPr>
        <w:shd w:val="clear"/>
        <w:spacing w:line="450" w:lineRule="exact"/>
        <w:ind w:firstLine="420" w:firstLineChars="200"/>
        <w:rPr>
          <w:rFonts w:ascii="宋体" w:hAnsi="宋体" w:cs="宋体"/>
          <w:color w:val="auto"/>
          <w:szCs w:val="21"/>
        </w:rPr>
      </w:pPr>
      <w:bookmarkStart w:id="402" w:name="_Toc364853230"/>
      <w:r>
        <w:rPr>
          <w:rFonts w:hint="eastAsia" w:ascii="宋体" w:hAnsi="宋体" w:cs="宋体"/>
          <w:color w:val="auto"/>
          <w:szCs w:val="21"/>
        </w:rPr>
        <w:t>6.1安全文明施工</w:t>
      </w:r>
    </w:p>
    <w:p w14:paraId="36B6183F">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6.1.1 项目安全生产的达标目标及相应事项的约定：合格。</w:t>
      </w:r>
    </w:p>
    <w:p w14:paraId="18E9D9E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施工期间由于承包人违反安全操作规范，发生重大死亡及其它事故，发包人将根据事故的严重程度对承包人予以处罚；被政府部门处罚的，承包人承担一切责任。</w:t>
      </w:r>
    </w:p>
    <w:p w14:paraId="5E9675B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6.1.1.1 承包方未履行安全文明施工发生以下情况之一的，视为承包方未履行安全生产文明施工违约，承包方须支付合同价款的1% ：</w:t>
      </w:r>
    </w:p>
    <w:p w14:paraId="34743DAF">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(1)未达到合同要求的安全等级要求（安全等级以宁波市奉化区住房和城乡建设局文件和上级文件为准）；</w:t>
      </w:r>
    </w:p>
    <w:p w14:paraId="0ADD0F4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（2）在施工期间，施工单位发生事故等级为一般事故及以上生产安全责任事故（事故等级和责任按按国务院第493号令和行政部门的事故调查报告认定）；</w:t>
      </w:r>
    </w:p>
    <w:p w14:paraId="66A105F9">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6.1.1.2在施工期间，发现承包方现场管理混乱的，每发现一次扣除合同价款的0.3% （上述条款每次扣款金额如低于3000元/次的，则按3000元/次扣除）。</w:t>
      </w:r>
    </w:p>
    <w:p w14:paraId="6E0B404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6.1.1.3承包方对安全隐患整改不力，对发包方、监理单位及上级部门提出的安全隐患整改不到位的，每发现一次扣合同价款的0.3%（上述条款每次扣款金额如低于3000元/次的，则按3000元/次扣除）。</w:t>
      </w:r>
    </w:p>
    <w:p w14:paraId="1DDF12B2">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注：以上（6.1.1.2和6.1.1.3）条款出现累计三次及以上相同问题或情况的，除执行上述条款约定的扣款外，还须另行扣除合同价款的1% （扣款金额如低于2000元的，则按2000元扣除）。</w:t>
      </w:r>
    </w:p>
    <w:p w14:paraId="27A052A6">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6.1.4 关于治安保卫的特别约定：执行通用条款。</w:t>
      </w:r>
    </w:p>
    <w:p w14:paraId="02089EB9">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6.1.5文明施工应按《宁波市建设工程文明施工管理规定》文件要求执行。</w:t>
      </w:r>
    </w:p>
    <w:p w14:paraId="21E76EB8">
      <w:pPr>
        <w:shd w:val="clear"/>
        <w:spacing w:line="450" w:lineRule="exact"/>
        <w:ind w:firstLine="420" w:firstLineChars="200"/>
        <w:rPr>
          <w:rFonts w:ascii="宋体" w:hAnsi="宋体" w:cs="宋体"/>
          <w:color w:val="auto"/>
          <w:kern w:val="0"/>
          <w:szCs w:val="21"/>
        </w:rPr>
      </w:pPr>
      <w:r>
        <w:rPr>
          <w:rFonts w:hint="eastAsia" w:ascii="宋体" w:hAnsi="宋体" w:cs="宋体"/>
          <w:color w:val="auto"/>
          <w:szCs w:val="21"/>
        </w:rPr>
        <w:t>6.1.6 关于安全文明施工费相关约定：市区一般工程考虑。</w:t>
      </w:r>
    </w:p>
    <w:p w14:paraId="1C66B091">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7. 工期和进度</w:t>
      </w:r>
      <w:bookmarkEnd w:id="402"/>
    </w:p>
    <w:p w14:paraId="0E55A2BB">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7.1 施工组织设计</w:t>
      </w:r>
    </w:p>
    <w:p w14:paraId="02A42139">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7.1.1 合同当事人约定的施工组织设计应包括的其他内容：</w:t>
      </w:r>
      <w:r>
        <w:rPr>
          <w:rFonts w:hint="eastAsia" w:ascii="宋体" w:hAnsi="宋体" w:cs="宋体"/>
          <w:color w:val="auto"/>
          <w:kern w:val="0"/>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auto"/>
          <w:kern w:val="0"/>
          <w:szCs w:val="21"/>
        </w:rPr>
        <w:t>。</w:t>
      </w:r>
    </w:p>
    <w:p w14:paraId="68CBC50D">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7.1.2 施工组织设计的提交和修改：按通用条款约定执行。</w:t>
      </w:r>
    </w:p>
    <w:p w14:paraId="017B102C">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7.2 施工进度计划</w:t>
      </w:r>
    </w:p>
    <w:p w14:paraId="794FC403">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施工进度计划的编制和修订：按通用条款约定执行。</w:t>
      </w:r>
    </w:p>
    <w:p w14:paraId="101A63C0">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7.3 开工</w:t>
      </w:r>
    </w:p>
    <w:p w14:paraId="58729E0C">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7.3.1 开工准备</w:t>
      </w:r>
    </w:p>
    <w:p w14:paraId="1F0B2D9E">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关于承包人提交工程开工报审表的期限：按第7.1款[施工组织设计]约定的时间。</w:t>
      </w:r>
    </w:p>
    <w:p w14:paraId="68A0DA32">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关于发包人应完成的其他开工准备工作及期限：在第7.3.2项[开工通知]载明的开工日期前7天获得开工所需的各项行政审批和许可手续。</w:t>
      </w:r>
    </w:p>
    <w:p w14:paraId="715DF6D3">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关于承包人应完成的其他开工准备工作及期限： 在第7.3.2项[开工通知]载明的开工日期前7天签订材料、工程设备、周转材料等的采购合同，确定劳动力、材料、机械的进场安排。</w:t>
      </w:r>
    </w:p>
    <w:p w14:paraId="2D5AA5BD">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7.3.2 开工通知</w:t>
      </w:r>
    </w:p>
    <w:p w14:paraId="641023F5">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因发包人原因造成监理人未能在通用条款规定的期限内发出开工通知的，承包人有权提出价格调整要求，或者解除合同。</w:t>
      </w:r>
    </w:p>
    <w:p w14:paraId="511ADD9B">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7.4 测量放线</w:t>
      </w:r>
    </w:p>
    <w:p w14:paraId="4DD22E28">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7.4.1 发包人通过监理人向承包人提供测量基准点、基准线和水准点及其书面资料的期限：不得晚于在第7.3.2项[开工通知]载明的开工日期前7天。</w:t>
      </w:r>
    </w:p>
    <w:p w14:paraId="72CD042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7.5 工期延误</w:t>
      </w:r>
    </w:p>
    <w:p w14:paraId="2DBB1A94">
      <w:pPr>
        <w:pStyle w:val="67"/>
        <w:shd w:val="clear"/>
        <w:spacing w:before="120" w:line="450" w:lineRule="exact"/>
        <w:ind w:firstLine="401" w:firstLineChars="190"/>
        <w:rPr>
          <w:rFonts w:hAnsi="宋体" w:cs="宋体"/>
          <w:b w:val="0"/>
          <w:color w:val="auto"/>
          <w:sz w:val="21"/>
          <w:szCs w:val="21"/>
        </w:rPr>
      </w:pPr>
      <w:r>
        <w:rPr>
          <w:rFonts w:hint="eastAsia" w:hAnsi="宋体" w:cs="宋体"/>
          <w:color w:val="auto"/>
          <w:sz w:val="21"/>
          <w:szCs w:val="21"/>
        </w:rPr>
        <w:t xml:space="preserve">7.5.1 </w:t>
      </w:r>
      <w:r>
        <w:rPr>
          <w:rFonts w:hint="eastAsia" w:hAnsi="宋体" w:cs="宋体"/>
          <w:b w:val="0"/>
          <w:color w:val="auto"/>
          <w:sz w:val="21"/>
          <w:szCs w:val="21"/>
        </w:rPr>
        <w:t>因发包人原因导致工期延误</w:t>
      </w:r>
    </w:p>
    <w:p w14:paraId="1FF254A3">
      <w:pPr>
        <w:pStyle w:val="67"/>
        <w:shd w:val="clear"/>
        <w:spacing w:before="120" w:line="450" w:lineRule="exact"/>
        <w:ind w:firstLine="399" w:firstLineChars="190"/>
        <w:rPr>
          <w:rFonts w:hAnsi="宋体" w:cs="宋体"/>
          <w:color w:val="auto"/>
          <w:sz w:val="21"/>
          <w:szCs w:val="21"/>
        </w:rPr>
      </w:pPr>
      <w:r>
        <w:rPr>
          <w:rFonts w:hint="eastAsia" w:hAnsi="宋体" w:cs="宋体"/>
          <w:b w:val="0"/>
          <w:color w:val="auto"/>
          <w:sz w:val="21"/>
          <w:szCs w:val="21"/>
        </w:rPr>
        <w:t>（7）因发包人原因导致工期延误的其他情形：</w:t>
      </w:r>
      <w:r>
        <w:rPr>
          <w:rFonts w:hint="eastAsia" w:hAnsi="宋体" w:cs="宋体"/>
          <w:b w:val="0"/>
          <w:color w:val="auto"/>
          <w:sz w:val="21"/>
          <w:szCs w:val="21"/>
          <w:u w:val="single"/>
        </w:rPr>
        <w:t xml:space="preserve">  无  </w:t>
      </w:r>
      <w:r>
        <w:rPr>
          <w:rFonts w:hint="eastAsia" w:hAnsi="宋体" w:cs="宋体"/>
          <w:b w:val="0"/>
          <w:color w:val="auto"/>
          <w:sz w:val="21"/>
          <w:szCs w:val="21"/>
        </w:rPr>
        <w:t>。</w:t>
      </w:r>
    </w:p>
    <w:p w14:paraId="7EED0CA3">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7.5.2 因承包人原因导致工期延误</w:t>
      </w:r>
    </w:p>
    <w:p w14:paraId="1D39C12B">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因承包人原因造成工期延误，逾期竣工违约金的计算方法根据“</w:t>
      </w:r>
      <w:r>
        <w:rPr>
          <w:rFonts w:hint="eastAsia" w:ascii="宋体" w:hAnsi="宋体" w:cs="宋体"/>
          <w:b/>
          <w:color w:val="auto"/>
          <w:szCs w:val="21"/>
        </w:rPr>
        <w:t>前附表</w:t>
      </w:r>
      <w:r>
        <w:rPr>
          <w:rFonts w:hint="eastAsia" w:ascii="宋体" w:hAnsi="宋体" w:cs="宋体"/>
          <w:color w:val="auto"/>
          <w:kern w:val="0"/>
          <w:szCs w:val="21"/>
        </w:rPr>
        <w:t>”承诺确定，为</w:t>
      </w:r>
      <w:r>
        <w:rPr>
          <w:rFonts w:hint="eastAsia" w:ascii="宋体" w:hAnsi="宋体" w:cs="宋体"/>
          <w:color w:val="auto"/>
          <w:kern w:val="0"/>
          <w:szCs w:val="21"/>
          <w:u w:val="single"/>
        </w:rPr>
        <w:t>1000</w:t>
      </w:r>
      <w:r>
        <w:rPr>
          <w:rFonts w:hint="eastAsia" w:ascii="宋体" w:hAnsi="宋体" w:cs="宋体"/>
          <w:color w:val="auto"/>
          <w:kern w:val="0"/>
          <w:szCs w:val="21"/>
        </w:rPr>
        <w:t>元/天。</w:t>
      </w:r>
    </w:p>
    <w:p w14:paraId="07418345">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因承包人原因造成工期延误，逾期竣工违约金的上限根据“</w:t>
      </w:r>
      <w:r>
        <w:rPr>
          <w:rFonts w:hint="eastAsia" w:ascii="宋体" w:hAnsi="宋体" w:cs="宋体"/>
          <w:b/>
          <w:color w:val="auto"/>
          <w:szCs w:val="21"/>
        </w:rPr>
        <w:t>前附表</w:t>
      </w:r>
      <w:r>
        <w:rPr>
          <w:rFonts w:hint="eastAsia" w:ascii="宋体" w:hAnsi="宋体" w:cs="宋体"/>
          <w:color w:val="auto"/>
          <w:kern w:val="0"/>
          <w:szCs w:val="21"/>
        </w:rPr>
        <w:t>”承诺确定，为合同价款的</w:t>
      </w:r>
      <w:r>
        <w:rPr>
          <w:rFonts w:hint="eastAsia" w:ascii="宋体" w:hAnsi="宋体" w:cs="宋体"/>
          <w:color w:val="auto"/>
          <w:kern w:val="0"/>
          <w:szCs w:val="21"/>
          <w:u w:val="single"/>
        </w:rPr>
        <w:t xml:space="preserve"> 2 </w:t>
      </w:r>
      <w:r>
        <w:rPr>
          <w:rFonts w:hint="eastAsia" w:ascii="宋体" w:hAnsi="宋体" w:cs="宋体"/>
          <w:color w:val="auto"/>
          <w:kern w:val="0"/>
          <w:szCs w:val="21"/>
        </w:rPr>
        <w:t>%。</w:t>
      </w:r>
    </w:p>
    <w:p w14:paraId="2BE5097B">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7.6 不利物质条件</w:t>
      </w:r>
    </w:p>
    <w:p w14:paraId="0C59F9FD">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不利物质条件的其他情形和有关约定：地勘资料未设计的地下管道、地雷、岩层等，但不包括气候条件。</w:t>
      </w:r>
    </w:p>
    <w:p w14:paraId="1547B60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7.7异常恶劣的气候条件</w:t>
      </w:r>
    </w:p>
    <w:p w14:paraId="20188FDF">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发包人和承包人同意以下情形视为异常恶劣的气候条件：</w:t>
      </w:r>
    </w:p>
    <w:p w14:paraId="1B13D35D">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（1）12小时内降雨量达到50mm以上；</w:t>
      </w:r>
    </w:p>
    <w:p w14:paraId="41FCE833">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（2）风速达到8级及以上的热带风暴（或台风）；</w:t>
      </w:r>
    </w:p>
    <w:p w14:paraId="58939979">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（3）日最高气温超过38度或低于零下10度；</w:t>
      </w:r>
    </w:p>
    <w:p w14:paraId="501AA847">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（4）造成工程损坏的冰雹和12小时内降雪量达到4mm及以上的大雪灾害。</w:t>
      </w:r>
    </w:p>
    <w:p w14:paraId="4F5E1EF8">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（5）政府有关部门通知停工的其它恶劣气候条件。</w:t>
      </w:r>
    </w:p>
    <w:p w14:paraId="7354FA7F">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7.9 提前竣工的奖励</w:t>
      </w:r>
    </w:p>
    <w:p w14:paraId="0160562E">
      <w:pPr>
        <w:shd w:val="clear"/>
        <w:autoSpaceDE w:val="0"/>
        <w:autoSpaceDN w:val="0"/>
        <w:adjustRightInd w:val="0"/>
        <w:spacing w:line="450" w:lineRule="exact"/>
        <w:ind w:left="630" w:leftChars="200" w:hanging="210" w:hangingChars="100"/>
        <w:rPr>
          <w:rFonts w:ascii="宋体" w:hAnsi="宋体" w:cs="宋体"/>
          <w:color w:val="auto"/>
          <w:kern w:val="0"/>
          <w:szCs w:val="21"/>
        </w:rPr>
      </w:pPr>
      <w:r>
        <w:rPr>
          <w:rFonts w:hint="eastAsia" w:ascii="宋体" w:hAnsi="宋体" w:cs="宋体"/>
          <w:color w:val="auto"/>
          <w:kern w:val="0"/>
          <w:szCs w:val="21"/>
        </w:rPr>
        <w:t>7.9.2 提前竣工的奖励：根据“</w:t>
      </w:r>
      <w:r>
        <w:rPr>
          <w:rFonts w:hint="eastAsia" w:ascii="宋体" w:hAnsi="宋体" w:cs="宋体"/>
          <w:b/>
          <w:color w:val="auto"/>
          <w:szCs w:val="21"/>
        </w:rPr>
        <w:t>前附表</w:t>
      </w:r>
      <w:r>
        <w:rPr>
          <w:rFonts w:hint="eastAsia" w:ascii="宋体" w:hAnsi="宋体" w:cs="宋体"/>
          <w:color w:val="auto"/>
          <w:kern w:val="0"/>
          <w:szCs w:val="21"/>
        </w:rPr>
        <w:t>”承诺，提前竣工奖励为</w:t>
      </w:r>
      <w:r>
        <w:rPr>
          <w:rFonts w:hint="eastAsia" w:ascii="宋体" w:hAnsi="宋体" w:cs="宋体"/>
          <w:color w:val="auto"/>
          <w:kern w:val="0"/>
          <w:szCs w:val="21"/>
          <w:u w:val="single"/>
        </w:rPr>
        <w:t xml:space="preserve">  0 </w:t>
      </w:r>
      <w:r>
        <w:rPr>
          <w:rFonts w:hint="eastAsia" w:ascii="宋体" w:hAnsi="宋体" w:cs="宋体"/>
          <w:color w:val="auto"/>
          <w:kern w:val="0"/>
          <w:szCs w:val="21"/>
        </w:rPr>
        <w:t>元/天。</w:t>
      </w:r>
      <w:bookmarkStart w:id="403" w:name="_Toc364853231"/>
    </w:p>
    <w:p w14:paraId="76316146">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8. 材料与设备</w:t>
      </w:r>
      <w:bookmarkEnd w:id="403"/>
    </w:p>
    <w:p w14:paraId="37C7B5F8">
      <w:pPr>
        <w:pStyle w:val="67"/>
        <w:shd w:val="clear"/>
        <w:spacing w:before="120" w:line="450" w:lineRule="exact"/>
        <w:ind w:firstLine="310" w:firstLineChars="147"/>
        <w:rPr>
          <w:rFonts w:hAnsi="宋体" w:cs="宋体"/>
          <w:color w:val="auto"/>
          <w:sz w:val="21"/>
          <w:szCs w:val="21"/>
        </w:rPr>
      </w:pPr>
      <w:r>
        <w:rPr>
          <w:rFonts w:hint="eastAsia" w:hAnsi="宋体" w:cs="宋体"/>
          <w:color w:val="auto"/>
          <w:sz w:val="21"/>
          <w:szCs w:val="21"/>
        </w:rPr>
        <w:t xml:space="preserve"> 8.2承包人采购材料与工程设备</w:t>
      </w:r>
    </w:p>
    <w:p w14:paraId="5F8D1A96">
      <w:pPr>
        <w:pStyle w:val="67"/>
        <w:shd w:val="clear"/>
        <w:spacing w:before="120" w:line="450" w:lineRule="exact"/>
        <w:ind w:firstLine="420"/>
        <w:rPr>
          <w:rFonts w:hAnsi="宋体" w:cs="宋体"/>
          <w:b w:val="0"/>
          <w:color w:val="auto"/>
          <w:sz w:val="21"/>
          <w:szCs w:val="21"/>
        </w:rPr>
      </w:pPr>
      <w:r>
        <w:rPr>
          <w:rFonts w:hint="eastAsia" w:hAnsi="宋体" w:cs="宋体"/>
          <w:b w:val="0"/>
          <w:color w:val="auto"/>
          <w:sz w:val="21"/>
          <w:szCs w:val="21"/>
        </w:rPr>
        <w:t>承包人负责采购材料、工程设备的，应按照设计和有关标准要求采购，并提供产品合格证明及出厂证明，对材料、工程设备质量负责。</w:t>
      </w:r>
    </w:p>
    <w:p w14:paraId="66EBDD5F">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8.4材料与工程设备的保管与使用</w:t>
      </w:r>
    </w:p>
    <w:p w14:paraId="6665FF8C">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8</w:t>
      </w:r>
      <w:bookmarkStart w:id="404" w:name="_Toc292559373"/>
      <w:bookmarkStart w:id="405" w:name="_Toc292559878"/>
      <w:r>
        <w:rPr>
          <w:rFonts w:hint="eastAsia" w:ascii="宋体" w:hAnsi="宋体" w:cs="宋体"/>
          <w:color w:val="auto"/>
          <w:kern w:val="0"/>
          <w:szCs w:val="21"/>
        </w:rPr>
        <w:t>.4.1保管费用承担：执行通用条款。</w:t>
      </w:r>
      <w:bookmarkEnd w:id="404"/>
      <w:bookmarkEnd w:id="405"/>
    </w:p>
    <w:p w14:paraId="7FC74D45">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8.8 施工设备和临时设施</w:t>
      </w:r>
    </w:p>
    <w:p w14:paraId="0BC6C673">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8.8.1 承包人提供的施工设备和临时设施</w:t>
      </w:r>
    </w:p>
    <w:p w14:paraId="73A2F2D2">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关于修建临时设施费用承担的约定：执行通用条款。</w:t>
      </w:r>
      <w:bookmarkStart w:id="406" w:name="_Toc364853232"/>
    </w:p>
    <w:bookmarkEnd w:id="406"/>
    <w:p w14:paraId="54EC9DC9">
      <w:pPr>
        <w:pStyle w:val="6"/>
        <w:shd w:val="clear"/>
        <w:spacing w:line="450" w:lineRule="exact"/>
        <w:ind w:firstLine="422"/>
        <w:rPr>
          <w:rFonts w:ascii="宋体" w:hAnsi="宋体" w:cs="宋体"/>
          <w:color w:val="auto"/>
          <w:sz w:val="21"/>
          <w:szCs w:val="21"/>
        </w:rPr>
      </w:pPr>
      <w:bookmarkStart w:id="407" w:name="_Toc364853233"/>
      <w:r>
        <w:rPr>
          <w:rFonts w:hint="eastAsia" w:ascii="宋体" w:hAnsi="宋体" w:cs="宋体"/>
          <w:color w:val="auto"/>
          <w:sz w:val="21"/>
          <w:szCs w:val="21"/>
        </w:rPr>
        <w:t>10. 变更</w:t>
      </w:r>
    </w:p>
    <w:p w14:paraId="5E10A1B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10.1变更的范围</w:t>
      </w:r>
    </w:p>
    <w:p w14:paraId="343F463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合同双方当事人约定：合同履行过程中发生以下情形时，应按照本条约定进行合同变更。</w:t>
      </w:r>
    </w:p>
    <w:p w14:paraId="6DB67F94">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1）、法律法规以及政府主管部门的政策性调整；</w:t>
      </w:r>
    </w:p>
    <w:p w14:paraId="7C08FA54">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2）、增加或减少合同中任何工作，或追加额外的工作；</w:t>
      </w:r>
    </w:p>
    <w:p w14:paraId="7A358673">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3）、取消合同中任何工作，但转由他人实施的工作除外；</w:t>
      </w:r>
    </w:p>
    <w:p w14:paraId="7C665703">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4)、改变合同中任何工作的质量标准或其他特性；</w:t>
      </w:r>
    </w:p>
    <w:p w14:paraId="241B6064">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5)、改变工程的基线、标高、位置和尺寸；</w:t>
      </w:r>
    </w:p>
    <w:p w14:paraId="60C78AE0">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6)、改变工程的时间安排或实施顺序。</w:t>
      </w:r>
    </w:p>
    <w:p w14:paraId="417D2F60">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10.4 变更估价</w:t>
      </w:r>
    </w:p>
    <w:p w14:paraId="78BD28B1">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 变更估价原则</w:t>
      </w:r>
    </w:p>
    <w:p w14:paraId="28F3AB1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10.4.1.1 关于变更估价的约定：</w:t>
      </w:r>
    </w:p>
    <w:p w14:paraId="08C47F46">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（1）工程预算书有相同项目的，按照相同项目单价结合</w:t>
      </w:r>
      <w:r>
        <w:rPr>
          <w:rFonts w:hint="eastAsia" w:ascii="宋体" w:hAnsi="宋体" w:cs="宋体"/>
          <w:b/>
          <w:color w:val="auto"/>
          <w:kern w:val="0"/>
          <w:szCs w:val="21"/>
        </w:rPr>
        <w:t>综合折扣率</w:t>
      </w:r>
      <w:r>
        <w:rPr>
          <w:rFonts w:hint="eastAsia" w:ascii="宋体" w:hAnsi="宋体" w:cs="宋体"/>
          <w:color w:val="auto"/>
          <w:kern w:val="0"/>
          <w:szCs w:val="21"/>
        </w:rPr>
        <w:t>认定；</w:t>
      </w:r>
    </w:p>
    <w:p w14:paraId="247C3ADB">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（2）工程预算书中无相同项目，但有类似项目的，参照类似项目单价结合</w:t>
      </w:r>
      <w:r>
        <w:rPr>
          <w:rFonts w:hint="eastAsia" w:ascii="宋体" w:hAnsi="宋体" w:cs="宋体"/>
          <w:b/>
          <w:color w:val="auto"/>
          <w:kern w:val="0"/>
          <w:szCs w:val="21"/>
        </w:rPr>
        <w:t>综合折扣率</w:t>
      </w:r>
      <w:r>
        <w:rPr>
          <w:rFonts w:hint="eastAsia" w:ascii="宋体" w:hAnsi="宋体" w:cs="宋体"/>
          <w:color w:val="auto"/>
          <w:kern w:val="0"/>
          <w:szCs w:val="21"/>
        </w:rPr>
        <w:t>（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384984F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（3）变更导致实际完成的变更工程量与工程预算书中列明的该项目工程量的变化幅度增加或减少15%以上的，其增加或减少超过15%以上部分工程量的相应单价由承包人根据本工程计价依据并结合</w:t>
      </w:r>
      <w:r>
        <w:rPr>
          <w:rFonts w:hint="eastAsia" w:ascii="宋体" w:hAnsi="宋体" w:cs="宋体"/>
          <w:b/>
          <w:color w:val="auto"/>
          <w:kern w:val="0"/>
          <w:szCs w:val="21"/>
        </w:rPr>
        <w:t>综合折扣率</w:t>
      </w:r>
      <w:r>
        <w:rPr>
          <w:rFonts w:hint="eastAsia" w:ascii="宋体" w:hAnsi="宋体" w:cs="宋体"/>
          <w:color w:val="auto"/>
          <w:kern w:val="0"/>
          <w:szCs w:val="21"/>
        </w:rPr>
        <w:t>后提出综合单价，经监理人及发包人或其委托的咨询单位工程师确认，作为结算依据。</w:t>
      </w:r>
    </w:p>
    <w:p w14:paraId="0A06D778">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（4）工程预算书中无相同项目及类似项目单价的，由承包人根据实际完成的工程内容、规定的工程取费类别、本工程计价依据并结合</w:t>
      </w:r>
      <w:r>
        <w:rPr>
          <w:rFonts w:hint="eastAsia" w:ascii="宋体" w:hAnsi="宋体" w:cs="宋体"/>
          <w:b/>
          <w:color w:val="auto"/>
          <w:kern w:val="0"/>
          <w:szCs w:val="21"/>
        </w:rPr>
        <w:t>综合折扣率</w:t>
      </w:r>
      <w:r>
        <w:rPr>
          <w:rFonts w:hint="eastAsia" w:ascii="宋体" w:hAnsi="宋体" w:cs="宋体"/>
          <w:color w:val="auto"/>
          <w:kern w:val="0"/>
          <w:szCs w:val="21"/>
        </w:rPr>
        <w:t>提出综合单价，经签证方式确定的材料、设备价格不作下浮。</w:t>
      </w:r>
    </w:p>
    <w:p w14:paraId="0553B5D1">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10.4.1.2 关于变更措施项目费的约定：</w:t>
      </w:r>
    </w:p>
    <w:p w14:paraId="35196487">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结算办法第10.4.1.1条款约定原则计算的单价提出措施费；采用以“项”计价的措施项目，根据工程量清单中的措施项目和金额结合</w:t>
      </w:r>
      <w:r>
        <w:rPr>
          <w:rFonts w:hint="eastAsia" w:ascii="宋体" w:hAnsi="宋体" w:cs="宋体"/>
          <w:b/>
          <w:color w:val="auto"/>
          <w:kern w:val="0"/>
          <w:szCs w:val="21"/>
        </w:rPr>
        <w:t>综合折扣率</w:t>
      </w:r>
      <w:r>
        <w:rPr>
          <w:rFonts w:hint="eastAsia" w:ascii="宋体" w:hAnsi="宋体" w:cs="宋体"/>
          <w:color w:val="auto"/>
          <w:kern w:val="0"/>
          <w:szCs w:val="21"/>
        </w:rPr>
        <w:t>或发承包双方确认调整后的措施项目和金额计算。</w:t>
      </w:r>
    </w:p>
    <w:p w14:paraId="45D1297B">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（1）原措施项目费中已有的措施项目，按原措施项目费的组价方法调整。</w:t>
      </w:r>
    </w:p>
    <w:p w14:paraId="1C8CAA75">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（2）原措施费没有的措施项目，承包人根据实际措施项目内容、规定的工程取费类别、现行计价依据并结合</w:t>
      </w:r>
      <w:r>
        <w:rPr>
          <w:rFonts w:hint="eastAsia" w:ascii="宋体" w:hAnsi="宋体" w:cs="宋体"/>
          <w:b/>
          <w:color w:val="auto"/>
          <w:kern w:val="0"/>
          <w:szCs w:val="21"/>
        </w:rPr>
        <w:t>综合折扣率</w:t>
      </w:r>
      <w:r>
        <w:rPr>
          <w:rFonts w:hint="eastAsia" w:ascii="宋体" w:hAnsi="宋体" w:cs="宋体"/>
          <w:color w:val="auto"/>
          <w:kern w:val="0"/>
          <w:szCs w:val="21"/>
        </w:rPr>
        <w:t>后提出措施费。</w:t>
      </w:r>
    </w:p>
    <w:p w14:paraId="2A36DBB8">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10.4.1.3 关于其他项目费变更的约定：</w:t>
      </w:r>
    </w:p>
    <w:p w14:paraId="5901C037">
      <w:pPr>
        <w:shd w:val="clear"/>
        <w:spacing w:line="450" w:lineRule="exact"/>
        <w:ind w:firstLine="420" w:firstLineChars="200"/>
        <w:rPr>
          <w:color w:val="auto"/>
        </w:rPr>
      </w:pPr>
      <w:r>
        <w:rPr>
          <w:rFonts w:hint="eastAsia" w:ascii="宋体" w:hAnsi="宋体" w:cs="宋体"/>
          <w:color w:val="auto"/>
          <w:kern w:val="0"/>
          <w:szCs w:val="21"/>
        </w:rPr>
        <w:t>（1）承包人应发包人要求完成合同以外的项目、工作，或者发生应由发包人承担责任的事件，承包人应按合同约定的时间、程序向发包人提出费用或责任事件确认的书面资料，办理现场签证。现场签证作为其竣工结算的依据。发包人在现场签证时涉及工程量、价、费等内容的，按合同约定的时间，由具备工程计价资格的人员核对，并详细、明确签署相应意见，否则视为认同承包人提出的内容及金额。</w:t>
      </w:r>
    </w:p>
    <w:p w14:paraId="6371CC4C">
      <w:pPr>
        <w:shd w:val="clear"/>
        <w:spacing w:line="450" w:lineRule="exact"/>
        <w:ind w:right="105" w:rightChars="50" w:firstLine="420" w:firstLineChars="200"/>
        <w:rPr>
          <w:rFonts w:ascii="宋体" w:hAnsi="宋体" w:cs="宋体"/>
          <w:color w:val="auto"/>
          <w:szCs w:val="21"/>
        </w:rPr>
      </w:pPr>
      <w:r>
        <w:rPr>
          <w:rFonts w:hint="eastAsia" w:ascii="宋体" w:hAnsi="宋体"/>
          <w:color w:val="auto"/>
          <w:szCs w:val="21"/>
        </w:rPr>
        <w:t>10.4.1.4</w:t>
      </w:r>
      <w:r>
        <w:rPr>
          <w:rFonts w:hint="eastAsia" w:ascii="宋体" w:hAnsi="宋体" w:cs="宋体"/>
          <w:color w:val="auto"/>
          <w:szCs w:val="21"/>
        </w:rPr>
        <w:t>计价依据：</w:t>
      </w:r>
      <w:r>
        <w:rPr>
          <w:rFonts w:hint="eastAsia" w:ascii="宋体" w:hAnsi="宋体" w:cs="宋体"/>
          <w:color w:val="auto"/>
          <w:kern w:val="0"/>
          <w:szCs w:val="21"/>
        </w:rPr>
        <w:t xml:space="preserve">                                                                                                                                                                                               </w:t>
      </w:r>
    </w:p>
    <w:p w14:paraId="48CCC8B1">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一、编制的依据</w:t>
      </w:r>
      <w:r>
        <w:rPr>
          <w:rFonts w:hint="eastAsia" w:ascii="宋体" w:hAnsi="宋体" w:cs="宋体"/>
          <w:color w:val="auto"/>
          <w:szCs w:val="21"/>
        </w:rPr>
        <w:t>：</w:t>
      </w:r>
    </w:p>
    <w:p w14:paraId="13F6D2E0">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(一)建设单位提供的施工图纸；</w:t>
      </w:r>
    </w:p>
    <w:p w14:paraId="63537676">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(二)《宁波市政府投资建设工程造价管理办法》(宁波市人民政府令【2014】第209号)；</w:t>
      </w:r>
    </w:p>
    <w:p w14:paraId="59DDDACF">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(三)《奉化区政府投资项目管理办法的通知》(奉政办发【2020】55号)；</w:t>
      </w:r>
    </w:p>
    <w:p w14:paraId="3D7BBF5E">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(四)《宁波市奉化区政府投资项目评审管理办法》(奉政办发【2023】3号)；</w:t>
      </w:r>
    </w:p>
    <w:p w14:paraId="3FCE083A">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(五)《浙江省市政工程预算定额》(2018版) ；</w:t>
      </w:r>
    </w:p>
    <w:p w14:paraId="4DCCA72E">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(六)《浙江省通用安装工程预算定额》(2018版) ；</w:t>
      </w:r>
    </w:p>
    <w:p w14:paraId="0CAD4589">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(七)《建设工程工程量清单计价规范》(GB50500-2013) ；</w:t>
      </w:r>
    </w:p>
    <w:p w14:paraId="0BF5B568">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(八)《市政工程工程量计算规范》(GB50857-2013) ；</w:t>
      </w:r>
    </w:p>
    <w:p w14:paraId="0DC4AAA0">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(九)《通用安装工程工程量计算规范》(GB50856-2013) ；</w:t>
      </w:r>
    </w:p>
    <w:p w14:paraId="5A9EA087">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(十)《浙江省建设工程计价规则》(2018版) ；</w:t>
      </w:r>
    </w:p>
    <w:p w14:paraId="58611549">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(十一)省、市造价文件及其他有关造价依据；</w:t>
      </w:r>
    </w:p>
    <w:p w14:paraId="31E90F78">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二、编制的原则及办法:</w:t>
      </w:r>
    </w:p>
    <w:p w14:paraId="2831B169">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(一)工程量:按业主提供的施工图进行计算;</w:t>
      </w:r>
    </w:p>
    <w:p w14:paraId="65717FD7">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二)人工及材料信息价:人工信息价按《宁波建设工程造价信息(综合版)》2024年6月刊计入，材料信息价按《宁波建设工程造价信息(综合版)》2024年6月刊奉化区除税价计入，缺项的材料按同期宁波市区除税价计入，《宁波建设工程造价信息(综合版)》没有的材料价按《浙江造价信息》2024年6月除税价计入，无信息价部分结合相关文件并按市场询价计入;</w:t>
      </w:r>
    </w:p>
    <w:p w14:paraId="07914F03">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三)取费标准:按市政排水工程计取，企业管理费(含安责费)、利润及施工组织措施费费率均按中值计取;计取安全文明施工基本费(按非市区工程)、冬雨季施工增加费，未计取二次搬运费、行人、行车干扰费、提前竣工增加费、标化工地增加费及安全文明施工标准提升增加费;规费费率按标准费率的30%计取:本工程采用国标清单计价法,按一般计税方法计税,税金依据浙建建发【2019】92号文件规定执行，税率为 9%。</w:t>
      </w:r>
    </w:p>
    <w:p w14:paraId="197801C7">
      <w:pPr>
        <w:shd w:val="clear"/>
        <w:spacing w:line="450" w:lineRule="exact"/>
        <w:ind w:firstLine="420" w:firstLineChars="200"/>
        <w:rPr>
          <w:color w:val="auto"/>
        </w:rPr>
      </w:pPr>
      <w:r>
        <w:rPr>
          <w:rFonts w:hint="eastAsia" w:ascii="宋体" w:hAnsi="宋体" w:cs="宋体"/>
          <w:color w:val="auto"/>
          <w:kern w:val="0"/>
          <w:szCs w:val="21"/>
        </w:rPr>
        <w:t>（四）本项目余土外运运距按20km包干计，处置费不计，结算时不作调整。严禁承包人在施工期间偷倒、乱倒等行为，否则引起的一切责任均由承包人承担。</w:t>
      </w:r>
    </w:p>
    <w:p w14:paraId="477D4B66">
      <w:pPr>
        <w:shd w:val="clear"/>
        <w:autoSpaceDE w:val="0"/>
        <w:autoSpaceDN w:val="0"/>
        <w:adjustRightInd w:val="0"/>
        <w:spacing w:before="9" w:line="450" w:lineRule="exact"/>
        <w:ind w:right="-20" w:firstLine="482" w:firstLineChars="200"/>
        <w:rPr>
          <w:rFonts w:ascii="宋体" w:hAnsi="宋体" w:cs="宋体"/>
          <w:b/>
          <w:color w:val="auto"/>
          <w:kern w:val="0"/>
          <w:szCs w:val="21"/>
        </w:rPr>
      </w:pPr>
      <w:r>
        <w:rPr>
          <w:rFonts w:hint="eastAsia" w:ascii="宋体" w:hAnsi="宋体"/>
          <w:b/>
          <w:color w:val="auto"/>
          <w:sz w:val="24"/>
        </w:rPr>
        <w:t>本项目综合折扣率为</w:t>
      </w:r>
      <w:r>
        <w:rPr>
          <w:rFonts w:hint="eastAsia" w:ascii="宋体" w:hAnsi="宋体"/>
          <w:b/>
          <w:color w:val="auto"/>
          <w:sz w:val="24"/>
          <w:u w:val="single"/>
        </w:rPr>
        <w:t xml:space="preserve">    %</w:t>
      </w:r>
      <w:r>
        <w:rPr>
          <w:rFonts w:hint="eastAsia" w:ascii="宋体" w:hAnsi="宋体"/>
          <w:b/>
          <w:color w:val="auto"/>
          <w:sz w:val="24"/>
        </w:rPr>
        <w:t>。</w:t>
      </w:r>
    </w:p>
    <w:p w14:paraId="7C845385">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11. 价格调整</w:t>
      </w:r>
      <w:bookmarkEnd w:id="407"/>
    </w:p>
    <w:p w14:paraId="17A6DC4C">
      <w:pPr>
        <w:shd w:val="clear"/>
        <w:spacing w:line="450" w:lineRule="exact"/>
        <w:ind w:firstLine="422" w:firstLineChars="200"/>
        <w:rPr>
          <w:rFonts w:ascii="宋体" w:hAnsi="宋体" w:cs="宋体"/>
          <w:b/>
          <w:color w:val="auto"/>
          <w:szCs w:val="21"/>
        </w:rPr>
      </w:pPr>
      <w:r>
        <w:rPr>
          <w:rFonts w:hint="eastAsia" w:ascii="宋体" w:hAnsi="宋体" w:cs="宋体"/>
          <w:b/>
          <w:color w:val="auto"/>
          <w:szCs w:val="21"/>
        </w:rPr>
        <w:t>11.1 市场价格波动引起的调整</w:t>
      </w:r>
    </w:p>
    <w:p w14:paraId="2D2E34CD">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11.1.1 合同当事人约定：实际施工期内不作调整。</w:t>
      </w:r>
    </w:p>
    <w:p w14:paraId="71C2E04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11.2 法律变化引起的调整</w:t>
      </w:r>
    </w:p>
    <w:p w14:paraId="4DC9828D">
      <w:pPr>
        <w:shd w:val="clear"/>
        <w:spacing w:line="450" w:lineRule="exact"/>
        <w:ind w:firstLine="420" w:firstLineChars="200"/>
        <w:rPr>
          <w:rFonts w:ascii="宋体" w:hAnsi="宋体" w:cs="宋体"/>
          <w:color w:val="auto"/>
          <w:szCs w:val="21"/>
        </w:rPr>
      </w:pPr>
      <w:bookmarkStart w:id="408" w:name="_Toc364853234"/>
      <w:r>
        <w:rPr>
          <w:rFonts w:hint="eastAsia" w:ascii="宋体" w:hAnsi="宋体" w:cs="宋体"/>
          <w:color w:val="auto"/>
          <w:szCs w:val="21"/>
        </w:rPr>
        <w:t>合同当事人关于本条的补充约定：</w:t>
      </w:r>
    </w:p>
    <w:p w14:paraId="7DB1A95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（1）本条所称的法律包括法律、法规、规章及规范性文件。</w:t>
      </w:r>
    </w:p>
    <w:p w14:paraId="56B5B079">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（2）国有投资项目应按本省建设行政主管部门或其授权工程造价管理机构发布的规定调整合同价款。</w:t>
      </w:r>
    </w:p>
    <w:p w14:paraId="01C18898">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12. 合同价格、计量与支付</w:t>
      </w:r>
      <w:bookmarkEnd w:id="408"/>
    </w:p>
    <w:p w14:paraId="212FF789">
      <w:pPr>
        <w:pStyle w:val="67"/>
        <w:shd w:val="clear"/>
        <w:spacing w:before="120" w:line="450" w:lineRule="exact"/>
        <w:ind w:firstLine="401" w:firstLineChars="190"/>
        <w:rPr>
          <w:rFonts w:hAnsi="宋体" w:cs="宋体"/>
          <w:color w:val="auto"/>
          <w:sz w:val="21"/>
          <w:szCs w:val="21"/>
        </w:rPr>
      </w:pPr>
      <w:bookmarkStart w:id="409" w:name="_Toc267251461"/>
      <w:bookmarkStart w:id="410" w:name="_Toc292559916"/>
      <w:bookmarkStart w:id="411" w:name="_Toc292559411"/>
      <w:bookmarkStart w:id="412" w:name="_Toc296944545"/>
      <w:bookmarkStart w:id="413" w:name="_Toc296891246"/>
      <w:bookmarkStart w:id="414" w:name="_Toc297048392"/>
      <w:bookmarkStart w:id="415" w:name="_Toc296891034"/>
      <w:bookmarkStart w:id="416" w:name="_Toc296346707"/>
      <w:bookmarkStart w:id="417" w:name="_Toc297120506"/>
      <w:bookmarkStart w:id="418" w:name="_Toc296347205"/>
      <w:bookmarkStart w:id="419" w:name="_Toc296503206"/>
      <w:bookmarkStart w:id="420" w:name="_Toc303539160"/>
      <w:bookmarkStart w:id="421" w:name="_Toc297123553"/>
      <w:bookmarkStart w:id="422" w:name="_Toc312678041"/>
      <w:bookmarkStart w:id="423" w:name="_Toc300935003"/>
      <w:bookmarkStart w:id="424" w:name="_Toc297216212"/>
      <w:bookmarkStart w:id="425" w:name="_Toc304295580"/>
      <w:r>
        <w:rPr>
          <w:rFonts w:hint="eastAsia" w:hAnsi="宋体" w:cs="宋体"/>
          <w:color w:val="auto"/>
          <w:sz w:val="21"/>
          <w:szCs w:val="21"/>
        </w:rPr>
        <w:t>12.1 合</w:t>
      </w:r>
      <w:bookmarkEnd w:id="409"/>
      <w:bookmarkEnd w:id="410"/>
      <w:bookmarkEnd w:id="411"/>
      <w:r>
        <w:rPr>
          <w:rFonts w:hint="eastAsia" w:hAnsi="宋体" w:cs="宋体"/>
          <w:color w:val="auto"/>
          <w:sz w:val="21"/>
          <w:szCs w:val="21"/>
        </w:rPr>
        <w:t>同价</w:t>
      </w:r>
      <w:bookmarkEnd w:id="412"/>
      <w:bookmarkEnd w:id="413"/>
      <w:bookmarkEnd w:id="414"/>
      <w:bookmarkEnd w:id="415"/>
      <w:bookmarkEnd w:id="416"/>
      <w:bookmarkEnd w:id="417"/>
      <w:bookmarkEnd w:id="418"/>
      <w:bookmarkEnd w:id="419"/>
      <w:r>
        <w:rPr>
          <w:rFonts w:hint="eastAsia" w:hAnsi="宋体" w:cs="宋体"/>
          <w:color w:val="auto"/>
          <w:sz w:val="21"/>
          <w:szCs w:val="21"/>
        </w:rPr>
        <w:t>格形式</w:t>
      </w:r>
    </w:p>
    <w:bookmarkEnd w:id="420"/>
    <w:bookmarkEnd w:id="421"/>
    <w:bookmarkEnd w:id="422"/>
    <w:bookmarkEnd w:id="423"/>
    <w:bookmarkEnd w:id="424"/>
    <w:bookmarkEnd w:id="425"/>
    <w:p w14:paraId="0FD3EB58">
      <w:pPr>
        <w:shd w:val="clear"/>
        <w:spacing w:line="450" w:lineRule="exact"/>
        <w:ind w:firstLine="422" w:firstLineChars="200"/>
        <w:rPr>
          <w:rFonts w:ascii="宋体" w:hAnsi="宋体" w:cs="宋体"/>
          <w:b/>
          <w:color w:val="auto"/>
          <w:kern w:val="0"/>
          <w:szCs w:val="21"/>
        </w:rPr>
      </w:pPr>
      <w:r>
        <w:rPr>
          <w:rFonts w:hint="eastAsia" w:ascii="宋体" w:hAnsi="宋体" w:cs="宋体"/>
          <w:b/>
          <w:color w:val="auto"/>
          <w:kern w:val="0"/>
          <w:szCs w:val="21"/>
        </w:rPr>
        <w:t>本合同采用合同当事人签订的合同协议书中约定的价格形式，即：单价合同。</w:t>
      </w:r>
    </w:p>
    <w:p w14:paraId="52ED4A52">
      <w:pPr>
        <w:shd w:val="clear"/>
        <w:spacing w:line="450" w:lineRule="exact"/>
        <w:ind w:firstLine="422" w:firstLineChars="200"/>
        <w:rPr>
          <w:rFonts w:hAnsi="宋体" w:cs="宋体"/>
          <w:color w:val="auto"/>
          <w:szCs w:val="21"/>
        </w:rPr>
      </w:pPr>
      <w:r>
        <w:rPr>
          <w:rFonts w:hint="eastAsia" w:ascii="宋体" w:hAnsi="宋体" w:cs="宋体"/>
          <w:b/>
          <w:color w:val="auto"/>
          <w:kern w:val="0"/>
          <w:szCs w:val="21"/>
        </w:rPr>
        <w:t xml:space="preserve">结算子项单价的确定：以发包人确定的工程预算书中相应子项综合单价结合综合折扣率确定。工程量按实际工程量计算。 </w:t>
      </w:r>
      <w:r>
        <w:rPr>
          <w:rFonts w:hint="eastAsia" w:ascii="宋体" w:hAnsi="宋体" w:cs="宋体"/>
          <w:color w:val="auto"/>
          <w:kern w:val="0"/>
          <w:szCs w:val="21"/>
        </w:rPr>
        <w:t xml:space="preserve"> </w:t>
      </w:r>
      <w:r>
        <w:rPr>
          <w:rFonts w:hint="eastAsia" w:hAnsi="宋体" w:cs="宋体"/>
          <w:color w:val="auto"/>
          <w:szCs w:val="21"/>
        </w:rPr>
        <w:t xml:space="preserve">  </w:t>
      </w:r>
    </w:p>
    <w:p w14:paraId="650E6DF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12.2 预付款</w:t>
      </w:r>
    </w:p>
    <w:p w14:paraId="5C565B4D">
      <w:pPr>
        <w:pStyle w:val="15"/>
        <w:shd w:val="clear"/>
        <w:rPr>
          <w:color w:val="auto"/>
        </w:rPr>
      </w:pPr>
      <w:r>
        <w:rPr>
          <w:rFonts w:hint="eastAsia"/>
          <w:color w:val="auto"/>
        </w:rPr>
        <w:t>12.2.1 预付款的支付和扣回的方式：在合同签订生效后一周内，支付合同价款的20%。预付款扣回的方式：在前2次工程进度款支付时各扣回预付款的50%。</w:t>
      </w:r>
    </w:p>
    <w:p w14:paraId="40E68AB7">
      <w:pPr>
        <w:pStyle w:val="67"/>
        <w:shd w:val="clear"/>
        <w:spacing w:before="120" w:line="450" w:lineRule="exact"/>
        <w:ind w:firstLine="310" w:firstLineChars="147"/>
        <w:rPr>
          <w:rFonts w:hAnsi="宋体" w:cs="宋体"/>
          <w:color w:val="auto"/>
          <w:sz w:val="21"/>
          <w:szCs w:val="21"/>
        </w:rPr>
      </w:pPr>
      <w:r>
        <w:rPr>
          <w:rFonts w:hint="eastAsia" w:hAnsi="宋体" w:cs="宋体"/>
          <w:color w:val="auto"/>
          <w:sz w:val="21"/>
          <w:szCs w:val="21"/>
        </w:rPr>
        <w:t>12.3 计量</w:t>
      </w:r>
    </w:p>
    <w:p w14:paraId="4C77931E">
      <w:pPr>
        <w:pStyle w:val="15"/>
        <w:shd w:val="clear"/>
        <w:rPr>
          <w:color w:val="auto"/>
        </w:rPr>
      </w:pPr>
      <w:r>
        <w:rPr>
          <w:rFonts w:hint="eastAsia"/>
          <w:color w:val="auto"/>
        </w:rPr>
        <w:t>关于工程量计算原则约定：按现行的工程量计算规则执行。</w:t>
      </w:r>
    </w:p>
    <w:p w14:paraId="2EA633A1">
      <w:pPr>
        <w:pStyle w:val="15"/>
        <w:shd w:val="clear"/>
        <w:rPr>
          <w:color w:val="auto"/>
        </w:rPr>
      </w:pPr>
      <w:r>
        <w:rPr>
          <w:rFonts w:hint="eastAsia"/>
          <w:color w:val="auto"/>
        </w:rPr>
        <w:t>关于计量周期及本合同计量方式和程序的约定：执行通用条款。</w:t>
      </w:r>
    </w:p>
    <w:p w14:paraId="3B14A25A">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12.4 工程进度款支付</w:t>
      </w:r>
    </w:p>
    <w:p w14:paraId="4E2D94A4">
      <w:pPr>
        <w:shd w:val="clear"/>
        <w:snapToGrid w:val="0"/>
        <w:spacing w:line="450" w:lineRule="exact"/>
        <w:ind w:firstLine="420"/>
        <w:rPr>
          <w:rFonts w:ascii="宋体" w:hAnsi="宋体" w:cs="宋体"/>
          <w:b/>
          <w:bCs/>
          <w:color w:val="auto"/>
          <w:szCs w:val="21"/>
          <w:u w:val="single"/>
        </w:rPr>
      </w:pPr>
      <w:r>
        <w:rPr>
          <w:rFonts w:hint="eastAsia" w:ascii="宋体" w:hAnsi="宋体" w:cs="宋体"/>
          <w:color w:val="auto"/>
          <w:szCs w:val="21"/>
        </w:rPr>
        <w:t>关于付款周期、进度款支付程序和方法的约定</w:t>
      </w:r>
      <w:bookmarkStart w:id="426" w:name="_Toc364853235"/>
      <w:r>
        <w:rPr>
          <w:rFonts w:hint="eastAsia" w:ascii="宋体" w:hAnsi="宋体" w:cs="宋体"/>
          <w:color w:val="auto"/>
          <w:szCs w:val="21"/>
        </w:rPr>
        <w:t>：</w:t>
      </w:r>
      <w:r>
        <w:rPr>
          <w:rFonts w:hint="eastAsia" w:ascii="宋体" w:hAnsi="宋体" w:cs="宋体"/>
          <w:b/>
          <w:bCs/>
          <w:color w:val="auto"/>
          <w:szCs w:val="21"/>
          <w:u w:val="single"/>
        </w:rPr>
        <w:t>在工程施工进度至50%时支付合同价款的30%；工程施工进度至80%时支付合同价款的30%；待工程竣工验收合格后支付至合同价款的80%；待竣工结算经审计部门审定后支付至审定价格的</w:t>
      </w:r>
      <w:r>
        <w:rPr>
          <w:rFonts w:ascii="宋体" w:hAnsi="宋体" w:cs="宋体"/>
          <w:b/>
          <w:bCs/>
          <w:color w:val="auto"/>
          <w:szCs w:val="21"/>
          <w:u w:val="single"/>
        </w:rPr>
        <w:t>98.5%</w:t>
      </w:r>
      <w:r>
        <w:rPr>
          <w:rFonts w:hint="eastAsia" w:ascii="宋体" w:hAnsi="宋体" w:cs="宋体"/>
          <w:b/>
          <w:bCs/>
          <w:color w:val="auto"/>
          <w:szCs w:val="21"/>
          <w:u w:val="single"/>
        </w:rPr>
        <w:t>，余款在质量保证期过后付清。</w:t>
      </w:r>
    </w:p>
    <w:p w14:paraId="63A05556">
      <w:pPr>
        <w:pStyle w:val="67"/>
        <w:shd w:val="clear"/>
        <w:spacing w:before="120" w:line="450" w:lineRule="exact"/>
        <w:ind w:firstLine="310" w:firstLineChars="147"/>
        <w:rPr>
          <w:rFonts w:hAnsi="宋体" w:cs="宋体"/>
          <w:color w:val="auto"/>
          <w:sz w:val="21"/>
          <w:szCs w:val="21"/>
        </w:rPr>
      </w:pPr>
      <w:r>
        <w:rPr>
          <w:rFonts w:hint="eastAsia" w:hAnsi="宋体" w:cs="宋体"/>
          <w:color w:val="auto"/>
          <w:sz w:val="21"/>
          <w:szCs w:val="21"/>
        </w:rPr>
        <w:t>12.5 特别约定</w:t>
      </w:r>
    </w:p>
    <w:p w14:paraId="6705BA19">
      <w:pPr>
        <w:pStyle w:val="15"/>
        <w:shd w:val="clear"/>
        <w:rPr>
          <w:color w:val="auto"/>
        </w:rPr>
      </w:pPr>
      <w:r>
        <w:rPr>
          <w:rFonts w:hint="eastAsia"/>
          <w:color w:val="auto"/>
        </w:rPr>
        <w:t>发包人受项目业主委托，实施该项目的施工招标及管理工作。因此上述工程款的支付受项目业主单位向发包人支付工程款的时间、金额的约束，若项目业主单位向发包人支付工程款的时间延迟，则发包人向承包人支付工程款的时间作相应顺延，对此，承包人予以认可并且承诺不会因此追究发包人逾期付款的违约责任。承包人如需项目业主单位的相关信息可向发包人咨询。</w:t>
      </w:r>
    </w:p>
    <w:p w14:paraId="49F883AF">
      <w:pPr>
        <w:shd w:val="clear"/>
        <w:snapToGrid w:val="0"/>
        <w:spacing w:line="450" w:lineRule="exact"/>
        <w:ind w:firstLine="422"/>
        <w:rPr>
          <w:rFonts w:ascii="宋体" w:hAnsi="宋体" w:cs="宋体"/>
          <w:b/>
          <w:color w:val="auto"/>
          <w:szCs w:val="21"/>
        </w:rPr>
      </w:pPr>
      <w:r>
        <w:rPr>
          <w:rFonts w:hint="eastAsia" w:ascii="宋体" w:hAnsi="宋体" w:cs="宋体"/>
          <w:b/>
          <w:color w:val="auto"/>
          <w:szCs w:val="21"/>
        </w:rPr>
        <w:t>13. 验收和工程试车</w:t>
      </w:r>
      <w:bookmarkEnd w:id="426"/>
    </w:p>
    <w:p w14:paraId="49674C1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13.1 分部分项工程验收</w:t>
      </w:r>
    </w:p>
    <w:p w14:paraId="722461E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13.1.2 监理人不能按时进行验收时，应提前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小时提交书面延期要求，但延期不能超过48小时。</w:t>
      </w:r>
    </w:p>
    <w:p w14:paraId="6328FAB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13.2 竣工验收</w:t>
      </w:r>
    </w:p>
    <w:p w14:paraId="796080D3">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13.2.2 竣工验收程序</w:t>
      </w:r>
    </w:p>
    <w:p w14:paraId="6D81A68A">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关于竣工验收程序的约定：执行通用条款。</w:t>
      </w:r>
    </w:p>
    <w:p w14:paraId="6BD2F117">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发包人不按照本项约定组织竣工验收、颁发工程接收证书的违约金的计算方法：执行通用条款。</w:t>
      </w:r>
    </w:p>
    <w:p w14:paraId="04739CA1">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13.2.5　移交、接收全部与部分工程</w:t>
      </w:r>
    </w:p>
    <w:p w14:paraId="30008AA1">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承包人向发包人移交工程的期限：在颁发工程接收证书后</w:t>
      </w:r>
      <w:r>
        <w:rPr>
          <w:rFonts w:hint="eastAsia" w:ascii="宋体" w:hAnsi="宋体" w:cs="宋体"/>
          <w:color w:val="auto"/>
          <w:szCs w:val="21"/>
          <w:u w:val="single"/>
        </w:rPr>
        <w:t xml:space="preserve">7 </w:t>
      </w:r>
      <w:r>
        <w:rPr>
          <w:rFonts w:hint="eastAsia" w:ascii="宋体" w:hAnsi="宋体" w:cs="宋体"/>
          <w:color w:val="auto"/>
          <w:szCs w:val="21"/>
        </w:rPr>
        <w:t>天内完成工程的移交。</w:t>
      </w:r>
    </w:p>
    <w:p w14:paraId="03DC69E3">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发包人无正当理由未按本合同约定接收全部或部分工程的，除承担自应接收工程</w:t>
      </w:r>
      <w:r>
        <w:rPr>
          <w:rFonts w:hint="eastAsia" w:ascii="宋体" w:hAnsi="宋体" w:cs="宋体"/>
          <w:color w:val="auto"/>
          <w:szCs w:val="21"/>
        </w:rPr>
        <w:t>之日起的工程照管、成本保护、保管等与工程有关的各项费用外，应当按本专用条款约定的</w:t>
      </w:r>
      <w:r>
        <w:rPr>
          <w:rFonts w:hint="eastAsia" w:ascii="宋体" w:hAnsi="宋体" w:cs="宋体"/>
          <w:color w:val="auto"/>
          <w:kern w:val="0"/>
          <w:szCs w:val="21"/>
        </w:rPr>
        <w:t>提前竣工奖励的5倍标准</w:t>
      </w:r>
      <w:r>
        <w:rPr>
          <w:rFonts w:hint="eastAsia" w:ascii="宋体" w:hAnsi="宋体" w:cs="宋体"/>
          <w:color w:val="auto"/>
          <w:szCs w:val="21"/>
        </w:rPr>
        <w:t>向承包人支付逾期接收工程的违约金。</w:t>
      </w:r>
    </w:p>
    <w:p w14:paraId="0A3CB6D8">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Cs w:val="21"/>
        </w:rPr>
        <w:t>包人支付逾期移交工程的违约金。</w:t>
      </w:r>
    </w:p>
    <w:p w14:paraId="5B0D1E4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13.3 工程试车</w:t>
      </w:r>
    </w:p>
    <w:p w14:paraId="09C89A3D">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13.3.1 关于试车程序及费用的约定：执行通用条款。</w:t>
      </w:r>
    </w:p>
    <w:p w14:paraId="52FFC1D8">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13.3.3　关于投料试车相关事项的约定：执行通用条款。</w:t>
      </w:r>
    </w:p>
    <w:p w14:paraId="251142A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13.6 竣工退场</w:t>
      </w:r>
    </w:p>
    <w:p w14:paraId="099392F7">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13.6.1 竣工退场</w:t>
      </w:r>
    </w:p>
    <w:p w14:paraId="577A76C5">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承包人应当在发包人颁发工程接收证书后</w:t>
      </w:r>
      <w:r>
        <w:rPr>
          <w:rFonts w:hint="eastAsia" w:ascii="宋体" w:hAnsi="宋体" w:cs="宋体"/>
          <w:color w:val="auto"/>
          <w:szCs w:val="21"/>
          <w:u w:val="single"/>
        </w:rPr>
        <w:t xml:space="preserve">  14</w:t>
      </w:r>
      <w:r>
        <w:rPr>
          <w:rFonts w:hint="eastAsia" w:ascii="宋体" w:hAnsi="宋体" w:cs="宋体"/>
          <w:color w:val="auto"/>
          <w:kern w:val="0"/>
          <w:szCs w:val="21"/>
        </w:rPr>
        <w:t>天</w:t>
      </w:r>
      <w:r>
        <w:rPr>
          <w:rFonts w:hint="eastAsia" w:ascii="宋体" w:hAnsi="宋体" w:cs="宋体"/>
          <w:color w:val="auto"/>
          <w:szCs w:val="21"/>
        </w:rPr>
        <w:t>内完成竣工退场，逾期未完成的，按通用条款执行。</w:t>
      </w:r>
    </w:p>
    <w:p w14:paraId="58C74132">
      <w:pPr>
        <w:pStyle w:val="6"/>
        <w:shd w:val="clear"/>
        <w:spacing w:line="450" w:lineRule="exact"/>
        <w:ind w:firstLine="422"/>
        <w:rPr>
          <w:rFonts w:ascii="宋体" w:hAnsi="宋体" w:cs="宋体"/>
          <w:color w:val="auto"/>
          <w:sz w:val="21"/>
          <w:szCs w:val="21"/>
        </w:rPr>
      </w:pPr>
      <w:bookmarkStart w:id="427" w:name="_Toc364853236"/>
      <w:r>
        <w:rPr>
          <w:rFonts w:hint="eastAsia" w:ascii="宋体" w:hAnsi="宋体" w:cs="宋体"/>
          <w:color w:val="auto"/>
          <w:sz w:val="21"/>
          <w:szCs w:val="21"/>
        </w:rPr>
        <w:t>14. 竣工结算</w:t>
      </w:r>
      <w:bookmarkEnd w:id="427"/>
    </w:p>
    <w:p w14:paraId="65435F1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14.1 竣工结算申请</w:t>
      </w:r>
    </w:p>
    <w:p w14:paraId="28C587E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承包人应当在工程竣工验收合格后</w:t>
      </w:r>
      <w:r>
        <w:rPr>
          <w:rFonts w:hint="eastAsia" w:ascii="宋体" w:hAnsi="宋体" w:cs="宋体"/>
          <w:color w:val="auto"/>
          <w:szCs w:val="21"/>
          <w:u w:val="single"/>
        </w:rPr>
        <w:t>　28　</w:t>
      </w:r>
      <w:r>
        <w:rPr>
          <w:rFonts w:hint="eastAsia" w:ascii="宋体" w:hAnsi="宋体" w:cs="宋体"/>
          <w:color w:val="auto"/>
          <w:kern w:val="0"/>
          <w:szCs w:val="21"/>
        </w:rPr>
        <w:t>天</w:t>
      </w:r>
      <w:r>
        <w:rPr>
          <w:rFonts w:hint="eastAsia" w:ascii="宋体" w:hAnsi="宋体" w:cs="宋体"/>
          <w:color w:val="auto"/>
          <w:szCs w:val="21"/>
        </w:rPr>
        <w:t>内向发包人或其委托的工程造价咨询人提交竣工结算申请单及其完整的结算资料3份。</w:t>
      </w:r>
    </w:p>
    <w:p w14:paraId="67F1574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68D3A4B9">
      <w:pPr>
        <w:shd w:val="clear"/>
        <w:autoSpaceDE w:val="0"/>
        <w:autoSpaceDN w:val="0"/>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竣工结算申请单应包括的内容：按通用条款执行。</w:t>
      </w:r>
    </w:p>
    <w:p w14:paraId="11DC737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14.2 竣工结算审核</w:t>
      </w:r>
    </w:p>
    <w:p w14:paraId="15F2C906">
      <w:pPr>
        <w:pStyle w:val="68"/>
        <w:shd w:val="clear"/>
        <w:adjustRightInd w:val="0"/>
        <w:spacing w:line="450" w:lineRule="exact"/>
        <w:ind w:firstLine="420" w:firstLineChars="200"/>
        <w:rPr>
          <w:rFonts w:hAnsi="宋体" w:eastAsia="宋体" w:cs="宋体"/>
          <w:color w:val="auto"/>
          <w:sz w:val="21"/>
          <w:szCs w:val="21"/>
        </w:rPr>
      </w:pPr>
      <w:r>
        <w:rPr>
          <w:rFonts w:hint="eastAsia" w:hAnsi="宋体" w:eastAsia="宋体" w:cs="宋体"/>
          <w:color w:val="auto"/>
          <w:sz w:val="21"/>
          <w:szCs w:val="21"/>
        </w:rPr>
        <w:t>14.2.1 竣工结算审核</w:t>
      </w:r>
    </w:p>
    <w:p w14:paraId="28A980C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（1）发包人在收到承包人完整的竣工结算审核申请资料后，应在28天内及时提交财政或审计部门审核，财政或审计部门出具结算审核报告后，发包人应在14天内签发竣工付款证书。</w:t>
      </w:r>
    </w:p>
    <w:p w14:paraId="75BB0C1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发包人在收到承包人提交的竣工结算申请单后</w:t>
      </w:r>
      <w:r>
        <w:rPr>
          <w:rFonts w:hint="eastAsia" w:ascii="宋体" w:hAnsi="宋体" w:cs="宋体"/>
          <w:color w:val="auto"/>
          <w:szCs w:val="21"/>
          <w:u w:val="single"/>
        </w:rPr>
        <w:t>　28　</w:t>
      </w:r>
      <w:r>
        <w:rPr>
          <w:rFonts w:hint="eastAsia" w:ascii="宋体" w:hAnsi="宋体" w:cs="宋体"/>
          <w:color w:val="auto"/>
          <w:szCs w:val="21"/>
        </w:rPr>
        <w:t>天未提出异议或者未出具结算报告的，视为发包人认可承包人提交的竣工结算申请单，逾期，视为已</w:t>
      </w:r>
    </w:p>
    <w:p w14:paraId="01C6197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签发竣工付款证书。</w:t>
      </w:r>
    </w:p>
    <w:p w14:paraId="79D05A4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（2）发包人应在签发竣工付款证书后</w:t>
      </w:r>
      <w:r>
        <w:rPr>
          <w:rFonts w:hint="eastAsia" w:ascii="宋体" w:hAnsi="宋体" w:cs="宋体"/>
          <w:color w:val="auto"/>
          <w:szCs w:val="21"/>
          <w:u w:val="single"/>
        </w:rPr>
        <w:t>　7　</w:t>
      </w:r>
      <w:r>
        <w:rPr>
          <w:rFonts w:hint="eastAsia" w:ascii="宋体" w:hAnsi="宋体" w:cs="宋体"/>
          <w:color w:val="auto"/>
          <w:szCs w:val="21"/>
        </w:rPr>
        <w:t>天内，完成对承包人的竣工付款。发包人逾期支付的违约责任按通用条款执行。</w:t>
      </w:r>
    </w:p>
    <w:p w14:paraId="36CD7C69">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741FAA37">
      <w:pPr>
        <w:shd w:val="clear"/>
        <w:spacing w:line="450" w:lineRule="exact"/>
        <w:ind w:firstLine="525" w:firstLineChars="250"/>
        <w:rPr>
          <w:rFonts w:ascii="宋体" w:hAnsi="宋体" w:cs="宋体"/>
          <w:color w:val="auto"/>
          <w:szCs w:val="21"/>
        </w:rPr>
      </w:pPr>
      <w:r>
        <w:rPr>
          <w:rFonts w:hint="eastAsia" w:ascii="宋体" w:hAnsi="宋体" w:cs="宋体"/>
          <w:color w:val="auto"/>
          <w:szCs w:val="21"/>
        </w:rPr>
        <w:t>（4）委托中介机构进行竣工结算审核时发生追加费，其费用由承包方承担。结算追加费执行浙价服【2009】84号标准，结合奉化财政局规定执行。</w:t>
      </w:r>
    </w:p>
    <w:p w14:paraId="67CE7B99">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（5）关于承包人收款账户的约定：执行通用条款。</w:t>
      </w:r>
    </w:p>
    <w:p w14:paraId="77894DF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14.4 最终结清</w:t>
      </w:r>
    </w:p>
    <w:p w14:paraId="2E06C63B">
      <w:pPr>
        <w:shd w:val="clear"/>
        <w:spacing w:line="450" w:lineRule="exact"/>
        <w:ind w:firstLine="420" w:firstLineChars="200"/>
        <w:rPr>
          <w:rFonts w:ascii="宋体" w:hAnsi="宋体" w:cs="宋体"/>
          <w:color w:val="auto"/>
          <w:szCs w:val="21"/>
        </w:rPr>
      </w:pPr>
      <w:bookmarkStart w:id="428" w:name="_Toc364853237"/>
      <w:r>
        <w:rPr>
          <w:rFonts w:hint="eastAsia" w:ascii="宋体" w:hAnsi="宋体" w:cs="宋体"/>
          <w:color w:val="auto"/>
          <w:szCs w:val="21"/>
        </w:rPr>
        <w:t>14.4.1 最终结清申请单</w:t>
      </w:r>
    </w:p>
    <w:p w14:paraId="1766FE7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（1）承包人应在缺陷责任期终止证书颁发后7天内提交3份最终结清申请单，并提供相关证明材料。最终结清申请单应列明质量保证金、应扣除的质量保证金、缺陷责任期内发生的增减费用。</w:t>
      </w:r>
    </w:p>
    <w:p w14:paraId="584C313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（2）发包人对最终结清申请单内容有异议的，有权要求承包人进行修正和提供补充资料，但应当出具书面意见。承包人应当按照发包人的书面意见提交修正后的最终结清申请单。</w:t>
      </w:r>
    </w:p>
    <w:p w14:paraId="17911031">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14.4.2 最终结清证书和支付</w:t>
      </w:r>
    </w:p>
    <w:p w14:paraId="1F7CF5B9">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（1）发包人应在收到承包人提交的最终结清申请单后</w:t>
      </w:r>
      <w:r>
        <w:rPr>
          <w:rFonts w:hint="eastAsia" w:ascii="宋体" w:hAnsi="宋体" w:cs="宋体"/>
          <w:color w:val="auto"/>
          <w:szCs w:val="21"/>
          <w:u w:val="single"/>
        </w:rPr>
        <w:t>14</w:t>
      </w:r>
      <w:r>
        <w:rPr>
          <w:rFonts w:hint="eastAsia" w:ascii="宋体" w:hAnsi="宋体" w:cs="宋体"/>
          <w:color w:val="auto"/>
          <w:szCs w:val="21"/>
        </w:rPr>
        <w:t>天内完成审批并向承包人颁发最终结清证书。发包人逾期未完成审批，又未提出修改意见的，视为发包人同意承包人提交的最终结清申请单并已颁发最终结清证书 。</w:t>
      </w:r>
    </w:p>
    <w:p w14:paraId="420D82D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（2）发包人应在颁发最终结清证书后</w:t>
      </w:r>
      <w:r>
        <w:rPr>
          <w:rFonts w:hint="eastAsia" w:ascii="宋体" w:hAnsi="宋体" w:cs="宋体"/>
          <w:color w:val="auto"/>
          <w:szCs w:val="21"/>
          <w:u w:val="single"/>
        </w:rPr>
        <w:t>　7　</w:t>
      </w:r>
      <w:r>
        <w:rPr>
          <w:rFonts w:hint="eastAsia" w:ascii="宋体" w:hAnsi="宋体" w:cs="宋体"/>
          <w:color w:val="auto"/>
          <w:kern w:val="0"/>
          <w:szCs w:val="21"/>
        </w:rPr>
        <w:t>天</w:t>
      </w:r>
      <w:r>
        <w:rPr>
          <w:rFonts w:hint="eastAsia" w:ascii="宋体" w:hAnsi="宋体" w:cs="宋体"/>
          <w:color w:val="auto"/>
          <w:szCs w:val="21"/>
        </w:rPr>
        <w:t>内完成支付。发包人逾期支付的违约责任按通用条款执行。</w:t>
      </w:r>
    </w:p>
    <w:p w14:paraId="60AA661C">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15. 缺陷责任期与保修</w:t>
      </w:r>
      <w:bookmarkEnd w:id="428"/>
    </w:p>
    <w:p w14:paraId="2E2792F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15.2缺陷责任期</w:t>
      </w:r>
    </w:p>
    <w:p w14:paraId="37998969">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15.2.1 本合同缺陷责任期为</w:t>
      </w:r>
      <w:r>
        <w:rPr>
          <w:rFonts w:hint="eastAsia" w:ascii="宋体" w:hAnsi="宋体" w:cs="宋体"/>
          <w:color w:val="auto"/>
          <w:szCs w:val="21"/>
          <w:u w:val="single"/>
        </w:rPr>
        <w:t>12</w:t>
      </w:r>
      <w:r>
        <w:rPr>
          <w:rFonts w:hint="eastAsia" w:ascii="宋体" w:hAnsi="宋体" w:cs="宋体"/>
          <w:color w:val="auto"/>
          <w:szCs w:val="21"/>
        </w:rPr>
        <w:t>个月。</w:t>
      </w:r>
    </w:p>
    <w:p w14:paraId="4E87FFDF">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color w:val="auto"/>
          <w:szCs w:val="21"/>
          <w:u w:val="single"/>
        </w:rPr>
        <w:t xml:space="preserve">　12  </w:t>
      </w:r>
      <w:r>
        <w:rPr>
          <w:rFonts w:hint="eastAsia" w:ascii="宋体" w:hAnsi="宋体" w:cs="宋体"/>
          <w:color w:val="auto"/>
          <w:szCs w:val="21"/>
        </w:rPr>
        <w:t>个月。</w:t>
      </w:r>
    </w:p>
    <w:p w14:paraId="6F56F6F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15.3 质量保证担保</w:t>
      </w:r>
    </w:p>
    <w:p w14:paraId="375279B7">
      <w:pPr>
        <w:pStyle w:val="67"/>
        <w:shd w:val="clear"/>
        <w:spacing w:before="120" w:line="450" w:lineRule="exact"/>
        <w:ind w:firstLine="399" w:firstLineChars="190"/>
        <w:rPr>
          <w:rFonts w:hAnsi="宋体" w:cs="宋体"/>
          <w:color w:val="auto"/>
          <w:sz w:val="21"/>
          <w:szCs w:val="21"/>
        </w:rPr>
      </w:pPr>
      <w:r>
        <w:rPr>
          <w:rFonts w:hint="eastAsia" w:hAnsi="宋体" w:cs="宋体"/>
          <w:b w:val="0"/>
          <w:color w:val="auto"/>
          <w:sz w:val="21"/>
          <w:szCs w:val="21"/>
        </w:rPr>
        <w:t xml:space="preserve">15.3.1质量保证期：自实际竣工验收合格之日起计算12个月。 </w:t>
      </w:r>
    </w:p>
    <w:p w14:paraId="1A0153E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15.3.2承包人与质量保证担保有关的任何利息或其它类似的费用或者收益由承包人承担；因承包人原因导致缺陷责任期延长的，继续提供质量保证担保所增加的费用由承包人承担。</w:t>
      </w:r>
    </w:p>
    <w:p w14:paraId="226C1CE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15.4保修</w:t>
      </w:r>
    </w:p>
    <w:p w14:paraId="6D23D5D3">
      <w:pPr>
        <w:shd w:val="clear"/>
        <w:spacing w:line="450" w:lineRule="exact"/>
        <w:ind w:firstLine="420" w:firstLineChars="200"/>
        <w:rPr>
          <w:rFonts w:ascii="宋体" w:hAnsi="宋体" w:cs="宋体"/>
          <w:color w:val="auto"/>
          <w:kern w:val="0"/>
          <w:szCs w:val="21"/>
        </w:rPr>
      </w:pPr>
      <w:bookmarkStart w:id="429" w:name="_Toc364853238"/>
      <w:r>
        <w:rPr>
          <w:rFonts w:hint="eastAsia" w:ascii="宋体" w:hAnsi="宋体" w:cs="宋体"/>
          <w:color w:val="auto"/>
          <w:kern w:val="0"/>
          <w:szCs w:val="21"/>
        </w:rPr>
        <w:t>15.4.1 保修责任</w:t>
      </w:r>
    </w:p>
    <w:p w14:paraId="08513D0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工程保修期为：1年。</w:t>
      </w:r>
    </w:p>
    <w:p w14:paraId="16937A7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15.4.3 修复通知</w:t>
      </w:r>
    </w:p>
    <w:p w14:paraId="12F77A4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合同当事人约定：承包人收到保修通知并到达工程现场的合理时间为48小时内（含48小时）。</w:t>
      </w:r>
    </w:p>
    <w:p w14:paraId="0716793B">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16. 违约</w:t>
      </w:r>
      <w:bookmarkEnd w:id="429"/>
    </w:p>
    <w:p w14:paraId="122D3DF5">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16.1 发包人违约</w:t>
      </w:r>
    </w:p>
    <w:p w14:paraId="1F419752">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16.1.1发包人违约的情形按通用条款确定。</w:t>
      </w:r>
    </w:p>
    <w:p w14:paraId="4E06241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16.1.2 发包人违约的责任</w:t>
      </w:r>
    </w:p>
    <w:p w14:paraId="1FF567E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发包人应承担其违约承包人增加的费用和（或）延误工期，并支付承包人合理的利润。</w:t>
      </w:r>
    </w:p>
    <w:p w14:paraId="27A2A5B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16.1.3  关于发包人违约解除合同的约定：执行通用条款。</w:t>
      </w:r>
    </w:p>
    <w:p w14:paraId="7D05DFC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16.2 承包人违约</w:t>
      </w:r>
    </w:p>
    <w:p w14:paraId="0F878BCF">
      <w:pPr>
        <w:shd w:val="clear"/>
        <w:spacing w:line="450" w:lineRule="exact"/>
        <w:ind w:firstLine="420" w:firstLineChars="200"/>
        <w:rPr>
          <w:rFonts w:ascii="宋体" w:hAnsi="宋体" w:cs="宋体"/>
          <w:color w:val="auto"/>
          <w:szCs w:val="21"/>
        </w:rPr>
      </w:pPr>
      <w:bookmarkStart w:id="430" w:name="_Toc364853239"/>
      <w:r>
        <w:rPr>
          <w:rFonts w:hint="eastAsia" w:ascii="宋体" w:hAnsi="宋体" w:cs="宋体"/>
          <w:color w:val="auto"/>
          <w:szCs w:val="21"/>
        </w:rPr>
        <w:t>16.2.1 承包人违约的情形按通用条款确定。</w:t>
      </w:r>
    </w:p>
    <w:p w14:paraId="065853F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16.2.2承包人违约的责任</w:t>
      </w:r>
    </w:p>
    <w:p w14:paraId="1E4CE24E">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szCs w:val="21"/>
        </w:rPr>
        <w:t>承包人应承担其违约行为及纠正其违约行为而增加的费用和（或）延误的工期。延误工期的，</w:t>
      </w:r>
      <w:r>
        <w:rPr>
          <w:rFonts w:hint="eastAsia" w:ascii="宋体" w:hAnsi="宋体" w:cs="宋体"/>
          <w:color w:val="auto"/>
          <w:kern w:val="0"/>
          <w:szCs w:val="21"/>
        </w:rPr>
        <w:t>根据实际延误的时间，按本合同约定的工期延误赔偿标准向发包人支付违约金；延误超过56天的，按本合同约定的工期延误赔偿标准两倍支付违约金；逾期竣工违约金的限额不足时，发包人有权向承包人追偿。承包人未履行主要机械设备到场承诺，经监理人和发包人认定影响施工工期或施工质量的，监理人和发包人将签发《整改通知书》，承包人收到《整改通知书》后3天内仍未整改到位的，发包人有权扣除其主要机械设备到场违约金。</w:t>
      </w:r>
    </w:p>
    <w:p w14:paraId="5C396453">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若承包人对合同履约不到位（包含延误合同工期、未达到工程质量要求、未履行项目经理及主要施工管理人员到场承诺、未履行安全文明施工承诺、未履行主要机械设备到场承诺等）导致承包人违约的。若违约金不足以弥补发包人损失的，承包人继续承担赔偿责任，赔偿款在工程进度款中扣除。</w:t>
      </w:r>
    </w:p>
    <w:p w14:paraId="39D68FAA">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16.2.3 关于因承包人违约解除合同的约定：执行通用条款。</w:t>
      </w:r>
    </w:p>
    <w:p w14:paraId="34EDDB05">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36C93A69">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17. 不可抗力</w:t>
      </w:r>
      <w:bookmarkEnd w:id="430"/>
      <w:r>
        <w:rPr>
          <w:rFonts w:hint="eastAsia" w:ascii="宋体" w:hAnsi="宋体" w:cs="宋体"/>
          <w:color w:val="auto"/>
          <w:sz w:val="21"/>
          <w:szCs w:val="21"/>
        </w:rPr>
        <w:t xml:space="preserve"> </w:t>
      </w:r>
    </w:p>
    <w:p w14:paraId="5435BF42">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17.1 不可抗力的确认</w:t>
      </w:r>
    </w:p>
    <w:p w14:paraId="47AD5031">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除通用合同条款约定的不可抗力事件之外，视为不可抗力的其他情形：火灾、洪水、罢工、政府征用、政府禁止令等。</w:t>
      </w:r>
    </w:p>
    <w:p w14:paraId="5BD8103E">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17.4 因不可抗力解除合同</w:t>
      </w:r>
    </w:p>
    <w:p w14:paraId="2E423D12">
      <w:pPr>
        <w:shd w:val="clear"/>
        <w:adjustRightInd w:val="0"/>
        <w:spacing w:line="450" w:lineRule="exact"/>
        <w:ind w:firstLine="420" w:firstLineChars="200"/>
        <w:rPr>
          <w:rFonts w:ascii="宋体" w:hAnsi="宋体" w:cs="宋体"/>
          <w:color w:val="auto"/>
          <w:kern w:val="0"/>
          <w:szCs w:val="21"/>
        </w:rPr>
      </w:pPr>
      <w:bookmarkStart w:id="431" w:name="_Toc364853240"/>
      <w:r>
        <w:rPr>
          <w:rFonts w:hint="eastAsia" w:ascii="宋体" w:hAnsi="宋体" w:cs="宋体"/>
          <w:color w:val="auto"/>
          <w:kern w:val="0"/>
          <w:szCs w:val="21"/>
        </w:rPr>
        <w:t>合同解除后，发包人应在商定或确定发包人应支付款项后28天内完成款项的支付。</w:t>
      </w:r>
    </w:p>
    <w:p w14:paraId="19FB51B8">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18. 保险</w:t>
      </w:r>
      <w:bookmarkEnd w:id="431"/>
    </w:p>
    <w:p w14:paraId="0B9A63F5">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18.1 工程保险</w:t>
      </w:r>
    </w:p>
    <w:p w14:paraId="6E9DD362">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关于工程保险的特别约定：</w:t>
      </w:r>
      <w:r>
        <w:rPr>
          <w:rFonts w:hint="eastAsia" w:ascii="宋体" w:hAnsi="宋体" w:cs="宋体"/>
          <w:color w:val="auto"/>
          <w:szCs w:val="21"/>
        </w:rPr>
        <w:t>执行通用条款</w:t>
      </w:r>
      <w:r>
        <w:rPr>
          <w:rFonts w:hint="eastAsia" w:ascii="宋体" w:hAnsi="宋体" w:cs="宋体"/>
          <w:color w:val="auto"/>
          <w:kern w:val="0"/>
          <w:szCs w:val="21"/>
        </w:rPr>
        <w:t>。</w:t>
      </w:r>
    </w:p>
    <w:p w14:paraId="74F681EB">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18.3 其他保险</w:t>
      </w:r>
    </w:p>
    <w:p w14:paraId="618D6CC1">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关于其他保险的约定：除第三者责任险外，保险费用由被保险人承担。</w:t>
      </w:r>
    </w:p>
    <w:p w14:paraId="7FB78F86">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承包人</w:t>
      </w:r>
      <w:r>
        <w:rPr>
          <w:rFonts w:hint="eastAsia" w:ascii="宋体" w:hAnsi="宋体" w:cs="宋体"/>
          <w:color w:val="auto"/>
          <w:kern w:val="0"/>
          <w:szCs w:val="21"/>
          <w:u w:val="single"/>
        </w:rPr>
        <w:t xml:space="preserve">  应当 </w:t>
      </w:r>
      <w:r>
        <w:rPr>
          <w:rFonts w:hint="eastAsia" w:ascii="宋体" w:hAnsi="宋体" w:cs="宋体"/>
          <w:color w:val="auto"/>
          <w:kern w:val="0"/>
          <w:szCs w:val="21"/>
        </w:rPr>
        <w:t>为其施工设备等办理财产保险。</w:t>
      </w:r>
    </w:p>
    <w:p w14:paraId="438CC831">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18.7 通知义务</w:t>
      </w:r>
    </w:p>
    <w:p w14:paraId="765D7CD3">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关于变更保险合同时的通知义务的约定：执行通用条款。</w:t>
      </w:r>
      <w:bookmarkStart w:id="432" w:name="_Toc364853241"/>
    </w:p>
    <w:p w14:paraId="2C73CF85">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20. 争议解决</w:t>
      </w:r>
      <w:bookmarkEnd w:id="432"/>
    </w:p>
    <w:p w14:paraId="7E0F5B45">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20.3 争议评审</w:t>
      </w:r>
    </w:p>
    <w:p w14:paraId="5D739BB3">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合同当事人</w:t>
      </w:r>
      <w:r>
        <w:rPr>
          <w:rFonts w:hint="eastAsia" w:ascii="宋体" w:hAnsi="宋体" w:cs="宋体"/>
          <w:color w:val="auto"/>
          <w:kern w:val="0"/>
          <w:szCs w:val="21"/>
          <w:u w:val="single"/>
        </w:rPr>
        <w:t xml:space="preserve">   不同意  </w:t>
      </w:r>
      <w:r>
        <w:rPr>
          <w:rFonts w:hint="eastAsia" w:ascii="宋体" w:hAnsi="宋体" w:cs="宋体"/>
          <w:color w:val="auto"/>
          <w:kern w:val="0"/>
          <w:szCs w:val="21"/>
        </w:rPr>
        <w:t xml:space="preserve">将工程争议提交争议评审小组决定。  </w:t>
      </w:r>
    </w:p>
    <w:p w14:paraId="4172D4AD">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20.4仲裁或诉讼</w:t>
      </w:r>
    </w:p>
    <w:p w14:paraId="7F1D5D66">
      <w:pPr>
        <w:shd w:val="clear"/>
        <w:adjustRightInd w:val="0"/>
        <w:spacing w:line="450" w:lineRule="exact"/>
        <w:ind w:firstLine="420" w:firstLineChars="200"/>
        <w:rPr>
          <w:rFonts w:ascii="宋体" w:hAnsi="宋体" w:cs="宋体"/>
          <w:color w:val="auto"/>
          <w:kern w:val="0"/>
          <w:sz w:val="24"/>
        </w:rPr>
      </w:pPr>
      <w:r>
        <w:rPr>
          <w:rFonts w:hint="eastAsia" w:ascii="宋体" w:hAnsi="宋体" w:cs="宋体"/>
          <w:color w:val="auto"/>
          <w:kern w:val="0"/>
          <w:szCs w:val="21"/>
        </w:rPr>
        <w:t>因合同及合同有关事项发生的争议，向</w:t>
      </w:r>
      <w:r>
        <w:rPr>
          <w:rFonts w:hint="eastAsia" w:ascii="宋体" w:hAnsi="宋体" w:cs="宋体"/>
          <w:color w:val="auto"/>
          <w:kern w:val="0"/>
          <w:szCs w:val="21"/>
          <w:u w:val="single"/>
        </w:rPr>
        <w:t>宁波市奉化区</w:t>
      </w:r>
      <w:r>
        <w:rPr>
          <w:rFonts w:hint="eastAsia" w:ascii="宋体" w:hAnsi="宋体" w:cs="宋体"/>
          <w:color w:val="auto"/>
          <w:kern w:val="0"/>
          <w:szCs w:val="21"/>
        </w:rPr>
        <w:t>人民法院起诉。</w:t>
      </w:r>
    </w:p>
    <w:p w14:paraId="33E35042">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21.其他条款</w:t>
      </w:r>
    </w:p>
    <w:p w14:paraId="7B330BF2">
      <w:pPr>
        <w:shd w:val="clear"/>
        <w:spacing w:line="360" w:lineRule="auto"/>
        <w:ind w:firstLine="480"/>
        <w:outlineLvl w:val="1"/>
        <w:rPr>
          <w:rFonts w:ascii="宋体" w:hAnsi="宋体" w:cs="宋体"/>
          <w:b/>
          <w:color w:val="auto"/>
          <w:kern w:val="0"/>
          <w:szCs w:val="21"/>
        </w:rPr>
      </w:pPr>
      <w:r>
        <w:rPr>
          <w:rFonts w:hint="eastAsia" w:ascii="宋体" w:hAnsi="宋体" w:cs="宋体"/>
          <w:b/>
          <w:color w:val="auto"/>
          <w:kern w:val="0"/>
          <w:szCs w:val="21"/>
        </w:rPr>
        <w:t>发包人受项目业主委托，实施该项目的施工管理工作，若项目业主单位发现合同履约不到位（包含延误合同工期、未达到工程质量要求、未履行项目经理及主要施工管理人员到场承诺、未履行安全文明施工承诺、未履行主要机械设备到场承诺等）对发包人予以处罚，则发包人向承包人作出相应的处罚。</w:t>
      </w:r>
      <w:r>
        <w:rPr>
          <w:rFonts w:ascii="宋体" w:hAnsi="宋体" w:cs="宋体"/>
          <w:b/>
          <w:color w:val="auto"/>
          <w:kern w:val="0"/>
          <w:szCs w:val="21"/>
        </w:rPr>
        <w:t xml:space="preserve"> </w:t>
      </w:r>
    </w:p>
    <w:p w14:paraId="139C7EC3">
      <w:pPr>
        <w:shd w:val="clear"/>
        <w:spacing w:line="360" w:lineRule="auto"/>
        <w:ind w:firstLine="482" w:firstLineChars="200"/>
        <w:jc w:val="center"/>
        <w:rPr>
          <w:rFonts w:ascii="宋体" w:hAnsi="宋体" w:cs="宋体"/>
          <w:b/>
          <w:bCs/>
          <w:color w:val="auto"/>
          <w:szCs w:val="21"/>
        </w:rPr>
      </w:pPr>
      <w:r>
        <w:rPr>
          <w:rFonts w:hint="eastAsia" w:asciiTheme="minorEastAsia" w:hAnsiTheme="minorEastAsia" w:eastAsiaTheme="minorEastAsia" w:cstheme="minorEastAsia"/>
          <w:b/>
          <w:color w:val="auto"/>
          <w:sz w:val="24"/>
        </w:rPr>
        <w:br w:type="page"/>
      </w:r>
      <w:r>
        <w:rPr>
          <w:rFonts w:hint="eastAsia" w:ascii="宋体" w:hAnsi="宋体" w:cs="宋体"/>
          <w:b/>
          <w:bCs/>
          <w:color w:val="auto"/>
          <w:szCs w:val="21"/>
        </w:rPr>
        <w:t>第四部分  附件</w:t>
      </w:r>
    </w:p>
    <w:p w14:paraId="1DC3ADD3">
      <w:pPr>
        <w:shd w:val="clear"/>
        <w:spacing w:line="360" w:lineRule="auto"/>
        <w:ind w:firstLine="420" w:firstLineChars="200"/>
        <w:rPr>
          <w:rFonts w:ascii="宋体" w:hAnsi="宋体" w:cs="宋体"/>
          <w:color w:val="auto"/>
          <w:szCs w:val="21"/>
        </w:rPr>
      </w:pPr>
    </w:p>
    <w:p w14:paraId="5AF736E5">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专用合同条款附件：</w:t>
      </w:r>
    </w:p>
    <w:p w14:paraId="2E87DD47">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附件1：工程质量保修书</w:t>
      </w:r>
    </w:p>
    <w:p w14:paraId="4E1D6816">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附件2：安全生产合同</w:t>
      </w:r>
    </w:p>
    <w:p w14:paraId="41DBEACC">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附件3：工程项目廉政合同</w:t>
      </w:r>
    </w:p>
    <w:p w14:paraId="33BB6B91">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附件4：承包人用于本工程施工的机械设备表</w:t>
      </w:r>
    </w:p>
    <w:p w14:paraId="3FDE1E51">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附件5：承包人主要施工管理人员表</w:t>
      </w:r>
    </w:p>
    <w:p w14:paraId="6485E832">
      <w:pPr>
        <w:shd w:val="clear"/>
        <w:spacing w:line="360" w:lineRule="auto"/>
        <w:rPr>
          <w:rFonts w:ascii="宋体" w:hAnsi="宋体" w:cs="宋体"/>
          <w:color w:val="auto"/>
          <w:szCs w:val="21"/>
        </w:rPr>
      </w:pPr>
    </w:p>
    <w:p w14:paraId="0F2805C2">
      <w:pPr>
        <w:shd w:val="clear"/>
        <w:spacing w:line="360" w:lineRule="auto"/>
        <w:rPr>
          <w:rFonts w:ascii="宋体" w:hAnsi="宋体" w:cs="宋体"/>
          <w:color w:val="auto"/>
          <w:szCs w:val="21"/>
        </w:rPr>
      </w:pPr>
    </w:p>
    <w:p w14:paraId="4A7E0BAC">
      <w:pPr>
        <w:shd w:val="clear"/>
        <w:spacing w:line="360" w:lineRule="auto"/>
        <w:rPr>
          <w:rFonts w:ascii="宋体" w:hAnsi="宋体" w:cs="宋体"/>
          <w:color w:val="auto"/>
          <w:szCs w:val="21"/>
        </w:rPr>
      </w:pPr>
    </w:p>
    <w:p w14:paraId="5AFB960C">
      <w:pPr>
        <w:shd w:val="clear"/>
        <w:spacing w:line="360" w:lineRule="auto"/>
        <w:rPr>
          <w:rFonts w:ascii="宋体" w:hAnsi="宋体" w:cs="宋体"/>
          <w:color w:val="auto"/>
          <w:szCs w:val="21"/>
        </w:rPr>
      </w:pPr>
    </w:p>
    <w:p w14:paraId="0C79AEBB">
      <w:pPr>
        <w:shd w:val="clear"/>
        <w:spacing w:line="360" w:lineRule="auto"/>
        <w:rPr>
          <w:rFonts w:ascii="宋体" w:hAnsi="宋体" w:cs="宋体"/>
          <w:color w:val="auto"/>
          <w:szCs w:val="21"/>
        </w:rPr>
      </w:pPr>
    </w:p>
    <w:p w14:paraId="54C14B5E">
      <w:pPr>
        <w:shd w:val="clear"/>
        <w:spacing w:line="360" w:lineRule="auto"/>
        <w:rPr>
          <w:rFonts w:ascii="宋体" w:hAnsi="宋体" w:cs="宋体"/>
          <w:color w:val="auto"/>
          <w:szCs w:val="21"/>
        </w:rPr>
      </w:pPr>
    </w:p>
    <w:p w14:paraId="735B9E12">
      <w:pPr>
        <w:shd w:val="clear"/>
        <w:spacing w:line="360" w:lineRule="auto"/>
        <w:rPr>
          <w:rFonts w:ascii="宋体" w:hAnsi="宋体" w:cs="宋体"/>
          <w:color w:val="auto"/>
          <w:szCs w:val="21"/>
        </w:rPr>
      </w:pPr>
    </w:p>
    <w:p w14:paraId="50266546">
      <w:pPr>
        <w:shd w:val="clear"/>
        <w:spacing w:line="360" w:lineRule="auto"/>
        <w:rPr>
          <w:rFonts w:ascii="宋体" w:hAnsi="宋体" w:cs="宋体"/>
          <w:color w:val="auto"/>
          <w:szCs w:val="21"/>
        </w:rPr>
      </w:pPr>
    </w:p>
    <w:p w14:paraId="381C0DAC">
      <w:pPr>
        <w:shd w:val="clear"/>
        <w:spacing w:line="360" w:lineRule="auto"/>
        <w:rPr>
          <w:rFonts w:ascii="宋体" w:hAnsi="宋体" w:cs="宋体"/>
          <w:color w:val="auto"/>
          <w:szCs w:val="21"/>
        </w:rPr>
      </w:pPr>
    </w:p>
    <w:p w14:paraId="28E113F7">
      <w:pPr>
        <w:shd w:val="clear"/>
        <w:spacing w:line="360" w:lineRule="auto"/>
        <w:rPr>
          <w:rFonts w:ascii="宋体" w:hAnsi="宋体" w:cs="宋体"/>
          <w:color w:val="auto"/>
          <w:szCs w:val="21"/>
        </w:rPr>
      </w:pPr>
    </w:p>
    <w:p w14:paraId="038C0A45">
      <w:pPr>
        <w:shd w:val="clear"/>
        <w:spacing w:line="360" w:lineRule="auto"/>
        <w:rPr>
          <w:rFonts w:ascii="宋体" w:hAnsi="宋体" w:cs="宋体"/>
          <w:color w:val="auto"/>
          <w:szCs w:val="21"/>
        </w:rPr>
      </w:pPr>
    </w:p>
    <w:p w14:paraId="0A002C83">
      <w:pPr>
        <w:shd w:val="clear"/>
        <w:spacing w:line="360" w:lineRule="auto"/>
        <w:rPr>
          <w:rFonts w:ascii="宋体" w:hAnsi="宋体" w:cs="宋体"/>
          <w:color w:val="auto"/>
          <w:szCs w:val="21"/>
        </w:rPr>
      </w:pPr>
    </w:p>
    <w:p w14:paraId="405EF69C">
      <w:pPr>
        <w:shd w:val="clear"/>
        <w:spacing w:line="360" w:lineRule="auto"/>
        <w:rPr>
          <w:rFonts w:ascii="宋体" w:hAnsi="宋体" w:cs="宋体"/>
          <w:color w:val="auto"/>
          <w:szCs w:val="21"/>
        </w:rPr>
      </w:pPr>
    </w:p>
    <w:p w14:paraId="428029FC">
      <w:pPr>
        <w:shd w:val="clear"/>
        <w:spacing w:line="360" w:lineRule="auto"/>
        <w:rPr>
          <w:rFonts w:ascii="宋体" w:hAnsi="宋体" w:cs="宋体"/>
          <w:color w:val="auto"/>
          <w:szCs w:val="21"/>
        </w:rPr>
      </w:pPr>
    </w:p>
    <w:p w14:paraId="2C4553CA">
      <w:pPr>
        <w:shd w:val="clear"/>
        <w:spacing w:line="360" w:lineRule="auto"/>
        <w:ind w:firstLine="422"/>
        <w:rPr>
          <w:rFonts w:ascii="宋体" w:hAnsi="宋体" w:cs="宋体"/>
          <w:b/>
          <w:color w:val="auto"/>
          <w:szCs w:val="21"/>
        </w:rPr>
      </w:pPr>
    </w:p>
    <w:p w14:paraId="6215BFC6">
      <w:pPr>
        <w:shd w:val="clear"/>
        <w:spacing w:line="360" w:lineRule="auto"/>
        <w:ind w:firstLine="422"/>
        <w:rPr>
          <w:rFonts w:ascii="宋体" w:hAnsi="宋体" w:cs="宋体"/>
          <w:b/>
          <w:color w:val="auto"/>
          <w:szCs w:val="21"/>
        </w:rPr>
      </w:pPr>
    </w:p>
    <w:p w14:paraId="405037B4">
      <w:pPr>
        <w:shd w:val="clear"/>
        <w:spacing w:line="360" w:lineRule="auto"/>
        <w:ind w:firstLine="422"/>
        <w:rPr>
          <w:rFonts w:ascii="宋体" w:hAnsi="宋体" w:cs="宋体"/>
          <w:b/>
          <w:color w:val="auto"/>
          <w:szCs w:val="21"/>
        </w:rPr>
      </w:pPr>
    </w:p>
    <w:p w14:paraId="75725B44">
      <w:pPr>
        <w:shd w:val="clear"/>
        <w:spacing w:line="360" w:lineRule="auto"/>
        <w:ind w:firstLine="422"/>
        <w:rPr>
          <w:rFonts w:ascii="宋体" w:hAnsi="宋体" w:cs="宋体"/>
          <w:b/>
          <w:color w:val="auto"/>
          <w:szCs w:val="21"/>
        </w:rPr>
      </w:pPr>
    </w:p>
    <w:p w14:paraId="60BBBC50">
      <w:pPr>
        <w:shd w:val="clear"/>
        <w:spacing w:line="360" w:lineRule="auto"/>
        <w:ind w:firstLine="422"/>
        <w:rPr>
          <w:rFonts w:ascii="宋体" w:hAnsi="宋体" w:cs="宋体"/>
          <w:b/>
          <w:color w:val="auto"/>
          <w:szCs w:val="21"/>
        </w:rPr>
      </w:pPr>
    </w:p>
    <w:p w14:paraId="368304DC">
      <w:pPr>
        <w:shd w:val="clear"/>
        <w:spacing w:line="360" w:lineRule="auto"/>
        <w:ind w:firstLine="422"/>
        <w:rPr>
          <w:rFonts w:ascii="宋体" w:hAnsi="宋体" w:cs="宋体"/>
          <w:b/>
          <w:color w:val="auto"/>
          <w:szCs w:val="21"/>
        </w:rPr>
      </w:pPr>
    </w:p>
    <w:p w14:paraId="03B69141">
      <w:pPr>
        <w:shd w:val="clear"/>
        <w:spacing w:line="360" w:lineRule="auto"/>
        <w:ind w:firstLine="422"/>
        <w:rPr>
          <w:rFonts w:ascii="宋体" w:hAnsi="宋体" w:cs="宋体"/>
          <w:b/>
          <w:color w:val="auto"/>
          <w:szCs w:val="21"/>
        </w:rPr>
      </w:pPr>
    </w:p>
    <w:p w14:paraId="318A071D">
      <w:pPr>
        <w:shd w:val="clear"/>
        <w:spacing w:line="360" w:lineRule="auto"/>
        <w:ind w:firstLine="422"/>
        <w:rPr>
          <w:rFonts w:ascii="宋体" w:hAnsi="宋体" w:cs="宋体"/>
          <w:b/>
          <w:color w:val="auto"/>
          <w:szCs w:val="21"/>
        </w:rPr>
      </w:pPr>
    </w:p>
    <w:p w14:paraId="2AF187E9">
      <w:pPr>
        <w:shd w:val="clear"/>
        <w:spacing w:line="360" w:lineRule="auto"/>
        <w:ind w:firstLine="422"/>
        <w:rPr>
          <w:rFonts w:ascii="宋体" w:hAnsi="宋体" w:cs="宋体"/>
          <w:b/>
          <w:color w:val="auto"/>
          <w:szCs w:val="21"/>
        </w:rPr>
      </w:pPr>
    </w:p>
    <w:p w14:paraId="4D42B1CD">
      <w:pPr>
        <w:shd w:val="clear"/>
        <w:spacing w:line="360" w:lineRule="auto"/>
        <w:ind w:firstLine="422"/>
        <w:rPr>
          <w:rFonts w:ascii="宋体" w:hAnsi="宋体" w:cs="宋体"/>
          <w:b/>
          <w:color w:val="auto"/>
          <w:szCs w:val="21"/>
        </w:rPr>
      </w:pPr>
    </w:p>
    <w:p w14:paraId="4A410B3B">
      <w:pPr>
        <w:shd w:val="clear"/>
        <w:spacing w:line="360" w:lineRule="auto"/>
        <w:ind w:firstLine="422"/>
        <w:rPr>
          <w:rFonts w:ascii="宋体" w:hAnsi="宋体" w:cs="宋体"/>
          <w:b/>
          <w:color w:val="auto"/>
          <w:szCs w:val="21"/>
        </w:rPr>
      </w:pPr>
    </w:p>
    <w:p w14:paraId="27C4019E">
      <w:pPr>
        <w:shd w:val="clear"/>
        <w:spacing w:line="360" w:lineRule="auto"/>
        <w:ind w:firstLine="422"/>
        <w:rPr>
          <w:rFonts w:ascii="宋体" w:hAnsi="宋体" w:cs="宋体"/>
          <w:b/>
          <w:color w:val="auto"/>
          <w:szCs w:val="21"/>
        </w:rPr>
      </w:pPr>
    </w:p>
    <w:p w14:paraId="6B17C406">
      <w:pPr>
        <w:shd w:val="clear"/>
        <w:spacing w:line="360" w:lineRule="auto"/>
        <w:ind w:firstLine="422"/>
        <w:rPr>
          <w:rFonts w:ascii="宋体" w:hAnsi="宋体" w:cs="宋体"/>
          <w:b/>
          <w:color w:val="auto"/>
          <w:szCs w:val="21"/>
        </w:rPr>
      </w:pPr>
      <w:r>
        <w:rPr>
          <w:rFonts w:hint="eastAsia" w:ascii="宋体" w:hAnsi="宋体" w:cs="宋体"/>
          <w:b/>
          <w:color w:val="auto"/>
          <w:szCs w:val="21"/>
        </w:rPr>
        <w:t>附</w:t>
      </w:r>
      <w:bookmarkStart w:id="433" w:name="_Toc296944565"/>
      <w:bookmarkStart w:id="434" w:name="_Toc296891054"/>
      <w:bookmarkStart w:id="435" w:name="_Toc267261693"/>
      <w:bookmarkStart w:id="436" w:name="_Toc296347225"/>
      <w:bookmarkStart w:id="437" w:name="_Toc296503226"/>
      <w:bookmarkStart w:id="438" w:name="_Toc296891266"/>
      <w:bookmarkStart w:id="439" w:name="_Toc296346727"/>
      <w:r>
        <w:rPr>
          <w:rFonts w:hint="eastAsia" w:ascii="宋体" w:hAnsi="宋体" w:cs="宋体"/>
          <w:b/>
          <w:color w:val="auto"/>
          <w:szCs w:val="21"/>
        </w:rPr>
        <w:t>件1：</w:t>
      </w:r>
      <w:bookmarkEnd w:id="433"/>
      <w:bookmarkEnd w:id="434"/>
      <w:bookmarkEnd w:id="435"/>
      <w:bookmarkEnd w:id="436"/>
      <w:bookmarkEnd w:id="437"/>
      <w:bookmarkEnd w:id="438"/>
      <w:bookmarkEnd w:id="439"/>
      <w:r>
        <w:rPr>
          <w:rFonts w:hint="eastAsia" w:ascii="宋体" w:hAnsi="宋体" w:cs="宋体"/>
          <w:b/>
          <w:color w:val="auto"/>
          <w:szCs w:val="21"/>
        </w:rPr>
        <w:t xml:space="preserve">    </w:t>
      </w:r>
    </w:p>
    <w:p w14:paraId="68512988">
      <w:pPr>
        <w:shd w:val="clear"/>
        <w:spacing w:before="120" w:beforeLines="50" w:after="120" w:afterLines="50" w:line="360" w:lineRule="auto"/>
        <w:ind w:firstLine="422"/>
        <w:jc w:val="center"/>
        <w:rPr>
          <w:rFonts w:ascii="宋体" w:hAnsi="宋体" w:cs="宋体"/>
          <w:b/>
          <w:color w:val="auto"/>
          <w:szCs w:val="21"/>
        </w:rPr>
      </w:pPr>
      <w:r>
        <w:rPr>
          <w:rFonts w:hint="eastAsia" w:ascii="宋体" w:hAnsi="宋体" w:cs="宋体"/>
          <w:b/>
          <w:color w:val="auto"/>
          <w:szCs w:val="21"/>
        </w:rPr>
        <w:t>工程质量保修书</w:t>
      </w:r>
    </w:p>
    <w:p w14:paraId="4B035FDE">
      <w:pPr>
        <w:shd w:val="clear"/>
        <w:spacing w:line="360" w:lineRule="auto"/>
        <w:rPr>
          <w:rFonts w:ascii="宋体" w:hAnsi="宋体" w:cs="宋体"/>
          <w:color w:val="auto"/>
          <w:szCs w:val="21"/>
          <w:u w:val="single"/>
        </w:rPr>
      </w:pPr>
      <w:r>
        <w:rPr>
          <w:rFonts w:hint="eastAsia" w:ascii="宋体" w:hAnsi="宋体" w:cs="宋体"/>
          <w:color w:val="auto"/>
          <w:szCs w:val="21"/>
        </w:rPr>
        <w:t xml:space="preserve">    发包人（全称）：</w:t>
      </w:r>
      <w:r>
        <w:rPr>
          <w:rFonts w:hint="eastAsia" w:ascii="宋体" w:hAnsi="宋体" w:cs="宋体"/>
          <w:color w:val="auto"/>
          <w:szCs w:val="21"/>
          <w:u w:val="single"/>
        </w:rPr>
        <w:t>宁波市奉化区惠海地下管线投资有限公司</w:t>
      </w:r>
    </w:p>
    <w:p w14:paraId="7265CFCF">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承包人（全称）：</w:t>
      </w:r>
      <w:r>
        <w:rPr>
          <w:rFonts w:hint="eastAsia" w:ascii="宋体" w:hAnsi="宋体" w:cs="宋体"/>
          <w:color w:val="auto"/>
          <w:szCs w:val="21"/>
          <w:u w:val="single"/>
        </w:rPr>
        <w:t xml:space="preserve">                                  </w:t>
      </w:r>
    </w:p>
    <w:p w14:paraId="213692C9">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发包人和承包人根据《中华人民共和国建筑法》和《建设工程质量管理条例》，经协商一致就</w:t>
      </w:r>
      <w:r>
        <w:rPr>
          <w:rFonts w:hint="eastAsia" w:ascii="宋体" w:hAnsi="宋体" w:cs="宋体"/>
          <w:color w:val="auto"/>
          <w:szCs w:val="21"/>
          <w:u w:val="single"/>
        </w:rPr>
        <w:t>弥勒文化博物馆项目-电力迁改工程（土建部分）</w:t>
      </w:r>
      <w:r>
        <w:rPr>
          <w:rFonts w:hint="eastAsia" w:ascii="宋体" w:hAnsi="宋体" w:cs="宋体"/>
          <w:color w:val="auto"/>
          <w:szCs w:val="21"/>
        </w:rPr>
        <w:t>质量保修书。</w:t>
      </w:r>
    </w:p>
    <w:p w14:paraId="2AE3B341">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一、工程质量保修范围和内容</w:t>
      </w:r>
    </w:p>
    <w:p w14:paraId="77C59C49">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Cs/>
          <w:color w:val="auto"/>
          <w:szCs w:val="21"/>
          <w:u w:val="single"/>
        </w:rPr>
        <w:t>施工图范围内的电力排管、电缆井、路面破修等。</w:t>
      </w:r>
    </w:p>
    <w:p w14:paraId="0AD1F7F7">
      <w:pPr>
        <w:pStyle w:val="66"/>
        <w:shd w:val="clear"/>
        <w:spacing w:line="360" w:lineRule="auto"/>
        <w:ind w:firstLine="422" w:firstLineChars="200"/>
        <w:rPr>
          <w:rFonts w:cs="宋体"/>
          <w:b/>
          <w:color w:val="auto"/>
          <w:sz w:val="21"/>
          <w:szCs w:val="21"/>
        </w:rPr>
      </w:pPr>
      <w:r>
        <w:rPr>
          <w:rFonts w:hint="eastAsia" w:cs="宋体"/>
          <w:b/>
          <w:color w:val="auto"/>
          <w:sz w:val="21"/>
          <w:szCs w:val="21"/>
        </w:rPr>
        <w:t>二、质量保修期</w:t>
      </w:r>
    </w:p>
    <w:p w14:paraId="36348D0F">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根据《建设工程质量管理条例》及有关规定，工程的质量保修期如下：</w:t>
      </w:r>
    </w:p>
    <w:p w14:paraId="40B1144D">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1．本工程保修期为1年。</w:t>
      </w:r>
    </w:p>
    <w:p w14:paraId="1864CCCC">
      <w:pPr>
        <w:shd w:val="clear"/>
        <w:spacing w:line="360" w:lineRule="auto"/>
        <w:rPr>
          <w:rFonts w:ascii="宋体" w:hAnsi="宋体" w:cs="宋体"/>
          <w:b/>
          <w:color w:val="auto"/>
          <w:szCs w:val="21"/>
        </w:rPr>
      </w:pPr>
      <w:r>
        <w:rPr>
          <w:rFonts w:hint="eastAsia" w:ascii="宋体" w:hAnsi="宋体" w:cs="宋体"/>
          <w:color w:val="auto"/>
          <w:szCs w:val="21"/>
        </w:rPr>
        <w:t>　　质量保修期</w:t>
      </w:r>
      <w:r>
        <w:rPr>
          <w:rFonts w:hint="eastAsia" w:hAnsi="宋体" w:cs="宋体"/>
          <w:color w:val="auto"/>
          <w:szCs w:val="21"/>
        </w:rPr>
        <w:t>自实际竣工验收合格之日起12计算个月</w:t>
      </w:r>
      <w:r>
        <w:rPr>
          <w:rFonts w:hint="eastAsia" w:ascii="宋体" w:hAnsi="宋体" w:cs="宋体"/>
          <w:color w:val="auto"/>
          <w:szCs w:val="21"/>
        </w:rPr>
        <w:t>。</w:t>
      </w:r>
    </w:p>
    <w:p w14:paraId="3DCE3603">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三、缺陷责任期</w:t>
      </w:r>
    </w:p>
    <w:p w14:paraId="49F3A1C6">
      <w:pPr>
        <w:shd w:val="clear"/>
        <w:spacing w:line="360" w:lineRule="auto"/>
        <w:ind w:firstLine="411" w:firstLineChars="196"/>
        <w:rPr>
          <w:rFonts w:ascii="宋体" w:hAnsi="宋体" w:cs="宋体"/>
          <w:color w:val="auto"/>
          <w:szCs w:val="21"/>
        </w:rPr>
      </w:pPr>
      <w:r>
        <w:rPr>
          <w:rFonts w:hint="eastAsia" w:ascii="宋体" w:hAnsi="宋体" w:cs="宋体"/>
          <w:color w:val="auto"/>
          <w:szCs w:val="21"/>
        </w:rPr>
        <w:t>工程缺陷责任期为</w:t>
      </w:r>
      <w:r>
        <w:rPr>
          <w:rFonts w:hint="eastAsia" w:ascii="宋体" w:hAnsi="宋体" w:cs="宋体"/>
          <w:color w:val="auto"/>
          <w:szCs w:val="21"/>
          <w:u w:val="single"/>
        </w:rPr>
        <w:t xml:space="preserve"> 12</w:t>
      </w:r>
      <w:r>
        <w:rPr>
          <w:rFonts w:hint="eastAsia" w:ascii="宋体" w:hAnsi="宋体" w:cs="宋体"/>
          <w:color w:val="auto"/>
          <w:szCs w:val="21"/>
        </w:rPr>
        <w:t>个月，缺陷责任期</w:t>
      </w:r>
      <w:r>
        <w:rPr>
          <w:rFonts w:hint="eastAsia" w:ascii="宋体" w:hAnsi="宋体" w:cs="宋体"/>
          <w:bCs/>
          <w:color w:val="auto"/>
          <w:szCs w:val="21"/>
        </w:rPr>
        <w:t>自工程接受证书中写明的全部工程完工日开始算起（发包人提前验收并签发接受证书的单位工程和部分工程，若未投入正常使用，其缺陷责任期亦按全部工程的完工日开始起算）</w:t>
      </w:r>
      <w:r>
        <w:rPr>
          <w:rFonts w:hint="eastAsia" w:ascii="宋体" w:hAnsi="宋体" w:cs="宋体"/>
          <w:color w:val="auto"/>
          <w:szCs w:val="21"/>
        </w:rPr>
        <w:t>。</w:t>
      </w:r>
    </w:p>
    <w:p w14:paraId="4E0E3D76">
      <w:pPr>
        <w:shd w:val="clear"/>
        <w:spacing w:line="360" w:lineRule="auto"/>
        <w:ind w:firstLine="411" w:firstLineChars="196"/>
        <w:rPr>
          <w:rFonts w:ascii="宋体" w:hAnsi="宋体" w:cs="宋体"/>
          <w:color w:val="auto"/>
          <w:szCs w:val="21"/>
        </w:rPr>
      </w:pPr>
      <w:r>
        <w:rPr>
          <w:rFonts w:hint="eastAsia" w:ascii="宋体" w:hAnsi="宋体" w:cs="宋体"/>
          <w:color w:val="auto"/>
          <w:szCs w:val="21"/>
        </w:rPr>
        <w:t>缺陷责任期终止后，发包人在完成最终结清后应退还承包人的质量保证金保函或剩余的质量保证金。</w:t>
      </w:r>
    </w:p>
    <w:p w14:paraId="2E6528A1">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四、质量保修责任</w:t>
      </w:r>
    </w:p>
    <w:p w14:paraId="509ECEE0">
      <w:pPr>
        <w:shd w:val="clea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1．属于保修范围、内容的项目，承包人应当在接到保修通知之日起7天内派人保修。承包人不在约定期限内派人保修的，发包人可以委托他人修理。</w:t>
      </w:r>
    </w:p>
    <w:p w14:paraId="7C60381D">
      <w:pPr>
        <w:shd w:val="clea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2．发生紧急事故需抢修的，承包人在接到事故通知后，应当立即到达事故现场抢修。</w:t>
      </w:r>
    </w:p>
    <w:p w14:paraId="06ACAAD3">
      <w:pPr>
        <w:shd w:val="clea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7E5CA96">
      <w:pPr>
        <w:shd w:val="clear"/>
        <w:spacing w:line="360" w:lineRule="auto"/>
        <w:ind w:left="105" w:leftChars="50" w:firstLine="420" w:firstLineChars="200"/>
        <w:rPr>
          <w:rFonts w:ascii="宋体" w:hAnsi="宋体" w:cs="宋体"/>
          <w:b/>
          <w:color w:val="auto"/>
          <w:szCs w:val="21"/>
        </w:rPr>
      </w:pPr>
      <w:r>
        <w:rPr>
          <w:rFonts w:hint="eastAsia" w:ascii="宋体" w:hAnsi="宋体" w:cs="宋体"/>
          <w:color w:val="auto"/>
          <w:szCs w:val="21"/>
        </w:rPr>
        <w:t>4．质量保修完成后，由发包人组织验收。</w:t>
      </w:r>
    </w:p>
    <w:p w14:paraId="3FBDB12A">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五、保修费用</w:t>
      </w:r>
    </w:p>
    <w:p w14:paraId="70631FD3">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保修费用由造成质量缺陷的责任方承担。</w:t>
      </w:r>
    </w:p>
    <w:p w14:paraId="1FD494B9">
      <w:pPr>
        <w:shd w:val="clear"/>
        <w:spacing w:line="360" w:lineRule="auto"/>
        <w:ind w:firstLine="413" w:firstLineChars="196"/>
        <w:rPr>
          <w:rFonts w:ascii="宋体" w:hAnsi="宋体" w:cs="宋体"/>
          <w:b/>
          <w:color w:val="auto"/>
          <w:szCs w:val="21"/>
          <w:u w:val="single"/>
        </w:rPr>
      </w:pPr>
      <w:r>
        <w:rPr>
          <w:rFonts w:hint="eastAsia" w:ascii="宋体" w:hAnsi="宋体" w:cs="宋体"/>
          <w:b/>
          <w:color w:val="auto"/>
          <w:szCs w:val="21"/>
        </w:rPr>
        <w:t>六、双方约定的其他工程质量保修事项：</w:t>
      </w:r>
      <w:r>
        <w:rPr>
          <w:rFonts w:hint="eastAsia" w:ascii="宋体" w:hAnsi="宋体" w:cs="宋体"/>
          <w:b/>
          <w:color w:val="auto"/>
          <w:szCs w:val="21"/>
          <w:u w:val="single"/>
        </w:rPr>
        <w:t xml:space="preserve">    /    </w:t>
      </w:r>
      <w:r>
        <w:rPr>
          <w:rFonts w:hint="eastAsia" w:ascii="宋体" w:hAnsi="宋体" w:cs="宋体"/>
          <w:color w:val="auto"/>
          <w:szCs w:val="21"/>
        </w:rPr>
        <w:t>。</w:t>
      </w:r>
    </w:p>
    <w:p w14:paraId="6A9C898E">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工程质量保修书由发包人、承包人在工程竣工验收前共同签署，作为施工合同附件，其有效期限至保修期满。</w:t>
      </w:r>
    </w:p>
    <w:p w14:paraId="59AC5DDA">
      <w:pPr>
        <w:shd w:val="clear"/>
        <w:spacing w:line="360" w:lineRule="auto"/>
        <w:ind w:firstLine="420"/>
        <w:rPr>
          <w:rFonts w:ascii="宋体" w:hAnsi="宋体" w:cs="宋体"/>
          <w:color w:val="auto"/>
          <w:szCs w:val="21"/>
        </w:rPr>
      </w:pPr>
    </w:p>
    <w:p w14:paraId="081E5121">
      <w:pPr>
        <w:shd w:val="clear"/>
        <w:autoSpaceDE w:val="0"/>
        <w:autoSpaceDN w:val="0"/>
        <w:adjustRightInd w:val="0"/>
        <w:spacing w:line="380" w:lineRule="exact"/>
        <w:rPr>
          <w:rFonts w:ascii="宋体" w:hAnsi="宋体" w:cs="宋体"/>
          <w:color w:val="auto"/>
          <w:kern w:val="0"/>
          <w:szCs w:val="21"/>
        </w:rPr>
      </w:pPr>
      <w:r>
        <w:rPr>
          <w:rFonts w:hint="eastAsia" w:ascii="宋体" w:hAnsi="宋体" w:cs="宋体"/>
          <w:color w:val="auto"/>
          <w:szCs w:val="21"/>
        </w:rPr>
        <w:t>发包人(公章)：</w:t>
      </w:r>
      <w:r>
        <w:rPr>
          <w:rFonts w:hint="eastAsia" w:ascii="宋体" w:hAnsi="宋体" w:cs="宋体"/>
          <w:color w:val="auto"/>
          <w:szCs w:val="21"/>
          <w:u w:val="single"/>
        </w:rPr>
        <w:t xml:space="preserve"> </w:t>
      </w:r>
      <w:r>
        <w:rPr>
          <w:rFonts w:hint="eastAsia" w:ascii="宋体" w:hAnsi="宋体" w:cs="宋体"/>
          <w:color w:val="auto"/>
          <w:spacing w:val="14"/>
          <w:szCs w:val="21"/>
          <w:u w:val="single"/>
        </w:rPr>
        <w:t>宁波市奉化区惠海</w:t>
      </w:r>
      <w:r>
        <w:rPr>
          <w:rFonts w:hint="eastAsia" w:ascii="宋体" w:hAnsi="宋体" w:cs="宋体"/>
          <w:color w:val="auto"/>
          <w:spacing w:val="14"/>
          <w:szCs w:val="21"/>
        </w:rPr>
        <w:t xml:space="preserve">     </w:t>
      </w:r>
      <w:r>
        <w:rPr>
          <w:rFonts w:hint="eastAsia" w:ascii="宋体" w:hAnsi="宋体" w:cs="宋体"/>
          <w:color w:val="auto"/>
          <w:szCs w:val="21"/>
        </w:rPr>
        <w:t>承包人(公章):</w:t>
      </w:r>
      <w:r>
        <w:rPr>
          <w:rFonts w:hint="eastAsia" w:ascii="宋体" w:hAnsi="宋体" w:cs="宋体"/>
          <w:color w:val="auto"/>
          <w:szCs w:val="21"/>
          <w:u w:val="single"/>
        </w:rPr>
        <w:t xml:space="preserve">                </w:t>
      </w:r>
    </w:p>
    <w:p w14:paraId="13E5547D">
      <w:pPr>
        <w:shd w:val="clear"/>
        <w:spacing w:line="560" w:lineRule="exact"/>
        <w:ind w:firstLine="1190" w:firstLineChars="500"/>
        <w:rPr>
          <w:rFonts w:ascii="宋体" w:hAnsi="宋体" w:cs="宋体"/>
          <w:color w:val="auto"/>
          <w:szCs w:val="21"/>
          <w:u w:val="single"/>
        </w:rPr>
      </w:pPr>
      <w:r>
        <w:rPr>
          <w:rFonts w:hint="eastAsia" w:ascii="宋体" w:hAnsi="宋体" w:cs="宋体"/>
          <w:color w:val="auto"/>
          <w:spacing w:val="14"/>
          <w:szCs w:val="21"/>
          <w:u w:val="single"/>
        </w:rPr>
        <w:t>地下管线投资有限公司</w:t>
      </w:r>
      <w:r>
        <w:rPr>
          <w:rFonts w:hint="eastAsia" w:ascii="宋体" w:hAnsi="宋体" w:cs="宋体"/>
          <w:color w:val="auto"/>
          <w:szCs w:val="21"/>
          <w:u w:val="single"/>
        </w:rPr>
        <w:t xml:space="preserve"> </w:t>
      </w:r>
    </w:p>
    <w:p w14:paraId="5AD0BFD9">
      <w:pPr>
        <w:shd w:val="clear"/>
        <w:spacing w:line="560" w:lineRule="exact"/>
        <w:rPr>
          <w:rFonts w:ascii="宋体" w:hAnsi="宋体" w:cs="宋体"/>
          <w:color w:val="auto"/>
          <w:kern w:val="0"/>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r>
        <w:rPr>
          <w:rFonts w:hint="eastAsia" w:ascii="宋体" w:hAnsi="宋体" w:cs="宋体"/>
          <w:color w:val="auto"/>
          <w:kern w:val="0"/>
          <w:szCs w:val="21"/>
          <w:u w:val="single"/>
        </w:rPr>
        <w:t>奉化区岳林街道中山东路518号</w:t>
      </w:r>
      <w:r>
        <w:rPr>
          <w:rFonts w:hint="eastAsia" w:ascii="宋体" w:hAnsi="宋体" w:cs="宋体"/>
          <w:color w:val="auto"/>
          <w:kern w:val="0"/>
          <w:szCs w:val="21"/>
        </w:rPr>
        <w:t xml:space="preserve">   </w:t>
      </w:r>
      <w:r>
        <w:rPr>
          <w:rFonts w:hint="eastAsia" w:ascii="宋体" w:hAnsi="宋体" w:cs="宋体"/>
          <w:color w:val="auto"/>
          <w:szCs w:val="21"/>
        </w:rPr>
        <w:t>地址：</w:t>
      </w:r>
      <w:r>
        <w:rPr>
          <w:rFonts w:hint="eastAsia" w:ascii="宋体" w:hAnsi="宋体" w:cs="宋体"/>
          <w:color w:val="auto"/>
          <w:szCs w:val="21"/>
          <w:u w:val="single"/>
        </w:rPr>
        <w:t xml:space="preserve">                      </w:t>
      </w:r>
    </w:p>
    <w:p w14:paraId="4E97E661">
      <w:pPr>
        <w:shd w:val="clear"/>
        <w:spacing w:line="560" w:lineRule="exact"/>
        <w:ind w:firstLine="1050" w:firstLineChars="500"/>
        <w:rPr>
          <w:rFonts w:ascii="宋体" w:hAnsi="宋体" w:cs="宋体"/>
          <w:color w:val="auto"/>
          <w:szCs w:val="21"/>
        </w:rPr>
      </w:pPr>
      <w:r>
        <w:rPr>
          <w:rFonts w:hint="eastAsia" w:ascii="宋体" w:hAnsi="宋体" w:cs="宋体"/>
          <w:color w:val="auto"/>
          <w:kern w:val="0"/>
          <w:szCs w:val="21"/>
          <w:u w:val="single"/>
        </w:rPr>
        <w:t>金城大厦A座18楼</w:t>
      </w:r>
      <w:r>
        <w:rPr>
          <w:rFonts w:hint="eastAsia" w:ascii="宋体" w:hAnsi="宋体" w:cs="宋体"/>
          <w:color w:val="auto"/>
          <w:szCs w:val="21"/>
        </w:rPr>
        <w:t xml:space="preserve">  </w:t>
      </w:r>
    </w:p>
    <w:p w14:paraId="221308D7">
      <w:pPr>
        <w:shd w:val="clear"/>
        <w:spacing w:line="560" w:lineRule="exact"/>
        <w:rPr>
          <w:rFonts w:ascii="宋体" w:hAnsi="宋体" w:cs="宋体"/>
          <w:color w:val="auto"/>
          <w:szCs w:val="21"/>
          <w:u w:val="single"/>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法定代表人(签字):</w:t>
      </w:r>
      <w:r>
        <w:rPr>
          <w:rFonts w:hint="eastAsia" w:ascii="宋体" w:hAnsi="宋体" w:cs="宋体"/>
          <w:color w:val="auto"/>
          <w:szCs w:val="21"/>
          <w:u w:val="single"/>
        </w:rPr>
        <w:t xml:space="preserve">                  </w:t>
      </w:r>
    </w:p>
    <w:p w14:paraId="4C1436E4">
      <w:pPr>
        <w:shd w:val="clear"/>
        <w:spacing w:line="560" w:lineRule="exact"/>
        <w:rPr>
          <w:rFonts w:ascii="宋体" w:hAnsi="宋体" w:cs="宋体"/>
          <w:color w:val="auto"/>
          <w:szCs w:val="21"/>
          <w:u w:val="single"/>
        </w:rPr>
      </w:pPr>
      <w:r>
        <w:rPr>
          <w:rFonts w:hint="eastAsia" w:ascii="宋体" w:hAnsi="宋体" w:cs="宋体"/>
          <w:color w:val="auto"/>
          <w:szCs w:val="21"/>
        </w:rPr>
        <w:t>委托代理人(签字)：</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委托代理人(签字):</w:t>
      </w:r>
      <w:r>
        <w:rPr>
          <w:rFonts w:hint="eastAsia" w:ascii="宋体" w:hAnsi="宋体" w:cs="宋体"/>
          <w:color w:val="auto"/>
          <w:szCs w:val="21"/>
          <w:u w:val="single"/>
        </w:rPr>
        <w:t xml:space="preserve">                  </w:t>
      </w:r>
    </w:p>
    <w:p w14:paraId="2CFD9F19">
      <w:pPr>
        <w:shd w:val="clear"/>
        <w:spacing w:line="560" w:lineRule="exact"/>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5972BAC3">
      <w:pPr>
        <w:shd w:val="clear"/>
        <w:spacing w:line="560" w:lineRule="exact"/>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rPr>
        <w:t xml:space="preserve">   传  真：</w:t>
      </w:r>
      <w:r>
        <w:rPr>
          <w:rFonts w:hint="eastAsia" w:ascii="宋体" w:hAnsi="宋体" w:cs="宋体"/>
          <w:color w:val="auto"/>
          <w:szCs w:val="21"/>
          <w:u w:val="single"/>
        </w:rPr>
        <w:t xml:space="preserve">                         </w:t>
      </w:r>
    </w:p>
    <w:p w14:paraId="4374957E">
      <w:pPr>
        <w:shd w:val="clear"/>
        <w:autoSpaceDE w:val="0"/>
        <w:autoSpaceDN w:val="0"/>
        <w:adjustRightInd w:val="0"/>
        <w:spacing w:line="440" w:lineRule="exact"/>
        <w:rPr>
          <w:rFonts w:ascii="宋体" w:hAnsi="宋体" w:cs="宋体"/>
          <w:color w:val="auto"/>
          <w:kern w:val="0"/>
          <w:szCs w:val="21"/>
        </w:rPr>
      </w:pPr>
      <w:r>
        <w:rPr>
          <w:rFonts w:hint="eastAsia" w:ascii="宋体" w:hAnsi="宋体" w:cs="宋体"/>
          <w:color w:val="auto"/>
          <w:kern w:val="0"/>
          <w:szCs w:val="21"/>
          <w:lang w:val="zh-CN"/>
        </w:rPr>
        <w:t>开户银行：</w:t>
      </w:r>
      <w:r>
        <w:rPr>
          <w:rFonts w:hint="eastAsia" w:ascii="宋体" w:hAnsi="宋体" w:cs="宋体"/>
          <w:color w:val="auto"/>
          <w:kern w:val="0"/>
          <w:szCs w:val="21"/>
          <w:u w:val="single"/>
          <w:lang w:val="zh-CN"/>
        </w:rPr>
        <w:t>宁波银行股份有限公司岳林支行</w:t>
      </w:r>
      <w:r>
        <w:rPr>
          <w:rFonts w:hint="eastAsia" w:ascii="宋体" w:hAnsi="宋体" w:cs="宋体"/>
          <w:color w:val="auto"/>
          <w:kern w:val="0"/>
          <w:szCs w:val="21"/>
          <w:lang w:val="zh-CN"/>
        </w:rPr>
        <w:t xml:space="preserve">   开户银行：</w:t>
      </w:r>
      <w:r>
        <w:rPr>
          <w:rFonts w:hint="eastAsia" w:ascii="宋体" w:hAnsi="宋体" w:cs="宋体"/>
          <w:color w:val="auto"/>
          <w:kern w:val="0"/>
          <w:szCs w:val="21"/>
          <w:u w:val="single"/>
        </w:rPr>
        <w:t xml:space="preserve">                       </w:t>
      </w:r>
    </w:p>
    <w:p w14:paraId="0BF67901">
      <w:pPr>
        <w:shd w:val="clear"/>
        <w:spacing w:line="360" w:lineRule="auto"/>
        <w:rPr>
          <w:rFonts w:ascii="宋体" w:hAnsi="宋体" w:cs="宋体"/>
          <w:color w:val="auto"/>
          <w:szCs w:val="21"/>
          <w:u w:val="single"/>
        </w:rPr>
      </w:pPr>
      <w:r>
        <w:rPr>
          <w:rFonts w:hint="eastAsia" w:ascii="宋体" w:hAnsi="宋体" w:cs="宋体"/>
          <w:color w:val="auto"/>
          <w:kern w:val="0"/>
          <w:szCs w:val="21"/>
          <w:lang w:val="zh-CN"/>
        </w:rPr>
        <w:t>账号：</w:t>
      </w:r>
      <w:r>
        <w:rPr>
          <w:rFonts w:hint="eastAsia" w:ascii="宋体" w:hAnsi="宋体" w:cs="宋体"/>
          <w:color w:val="auto"/>
          <w:kern w:val="0"/>
          <w:szCs w:val="21"/>
          <w:u w:val="single"/>
          <w:lang w:val="zh-CN"/>
        </w:rPr>
        <w:t xml:space="preserve">64040122 000030230 </w:t>
      </w:r>
      <w:r>
        <w:rPr>
          <w:rFonts w:hint="eastAsia" w:ascii="宋体" w:hAnsi="宋体" w:cs="宋体"/>
          <w:color w:val="auto"/>
          <w:kern w:val="0"/>
          <w:szCs w:val="21"/>
          <w:lang w:val="zh-CN"/>
        </w:rPr>
        <w:t xml:space="preserve">         账号： </w:t>
      </w:r>
      <w:r>
        <w:rPr>
          <w:rFonts w:hint="eastAsia" w:ascii="宋体" w:hAnsi="宋体" w:cs="宋体"/>
          <w:color w:val="auto"/>
          <w:kern w:val="0"/>
          <w:szCs w:val="21"/>
          <w:u w:val="single"/>
        </w:rPr>
        <w:t xml:space="preserve">                       </w:t>
      </w:r>
      <w:r>
        <w:rPr>
          <w:rFonts w:hint="eastAsia" w:ascii="宋体" w:hAnsi="宋体" w:cs="宋体"/>
          <w:color w:val="auto"/>
          <w:szCs w:val="21"/>
          <w:u w:val="single"/>
        </w:rPr>
        <w:t xml:space="preserve">  </w:t>
      </w:r>
    </w:p>
    <w:p w14:paraId="67E2F4CB">
      <w:pPr>
        <w:shd w:val="clear"/>
        <w:spacing w:line="360" w:lineRule="auto"/>
        <w:rPr>
          <w:rFonts w:ascii="宋体" w:hAnsi="宋体" w:cs="宋体"/>
          <w:color w:val="auto"/>
          <w:szCs w:val="21"/>
          <w:u w:val="single"/>
        </w:rPr>
      </w:pPr>
    </w:p>
    <w:p w14:paraId="196E8610">
      <w:pPr>
        <w:shd w:val="clear"/>
        <w:spacing w:line="360" w:lineRule="auto"/>
        <w:rPr>
          <w:rFonts w:ascii="宋体" w:hAnsi="宋体" w:cs="宋体"/>
          <w:color w:val="auto"/>
          <w:szCs w:val="21"/>
          <w:u w:val="single"/>
        </w:rPr>
      </w:pPr>
    </w:p>
    <w:p w14:paraId="6158E96F">
      <w:pPr>
        <w:shd w:val="clear"/>
        <w:spacing w:line="360" w:lineRule="auto"/>
        <w:rPr>
          <w:rFonts w:ascii="宋体" w:hAnsi="宋体" w:cs="宋体"/>
          <w:color w:val="auto"/>
          <w:szCs w:val="21"/>
          <w:u w:val="single"/>
        </w:rPr>
      </w:pPr>
    </w:p>
    <w:p w14:paraId="2AF93571">
      <w:pPr>
        <w:shd w:val="clear"/>
        <w:spacing w:line="360" w:lineRule="auto"/>
        <w:rPr>
          <w:rFonts w:ascii="宋体" w:hAnsi="宋体" w:cs="宋体"/>
          <w:color w:val="auto"/>
          <w:szCs w:val="21"/>
          <w:u w:val="single"/>
        </w:rPr>
      </w:pPr>
    </w:p>
    <w:p w14:paraId="230E762A">
      <w:pPr>
        <w:shd w:val="clear"/>
        <w:spacing w:line="360" w:lineRule="auto"/>
        <w:rPr>
          <w:rFonts w:ascii="宋体" w:hAnsi="宋体" w:cs="宋体"/>
          <w:color w:val="auto"/>
          <w:szCs w:val="21"/>
          <w:u w:val="single"/>
        </w:rPr>
      </w:pPr>
    </w:p>
    <w:p w14:paraId="55F4CE71">
      <w:pPr>
        <w:shd w:val="clear"/>
        <w:spacing w:line="360" w:lineRule="auto"/>
        <w:rPr>
          <w:rFonts w:ascii="宋体" w:hAnsi="宋体" w:cs="宋体"/>
          <w:color w:val="auto"/>
          <w:szCs w:val="21"/>
          <w:u w:val="single"/>
        </w:rPr>
      </w:pPr>
    </w:p>
    <w:p w14:paraId="56C3D615">
      <w:pPr>
        <w:shd w:val="clear"/>
        <w:spacing w:line="360" w:lineRule="auto"/>
        <w:rPr>
          <w:rFonts w:ascii="宋体" w:hAnsi="宋体" w:cs="宋体"/>
          <w:color w:val="auto"/>
          <w:szCs w:val="21"/>
          <w:u w:val="single"/>
        </w:rPr>
      </w:pPr>
    </w:p>
    <w:p w14:paraId="7C225DCC">
      <w:pPr>
        <w:shd w:val="clear"/>
        <w:spacing w:line="360" w:lineRule="auto"/>
        <w:rPr>
          <w:rFonts w:ascii="宋体" w:hAnsi="宋体" w:cs="宋体"/>
          <w:color w:val="auto"/>
          <w:szCs w:val="21"/>
          <w:u w:val="single"/>
        </w:rPr>
      </w:pPr>
    </w:p>
    <w:p w14:paraId="4CE8FD9E">
      <w:pPr>
        <w:shd w:val="clear"/>
        <w:spacing w:line="360" w:lineRule="auto"/>
        <w:ind w:firstLine="422"/>
        <w:rPr>
          <w:rFonts w:ascii="宋体" w:hAnsi="宋体" w:cs="宋体"/>
          <w:b/>
          <w:bCs/>
          <w:color w:val="auto"/>
          <w:szCs w:val="21"/>
        </w:rPr>
      </w:pPr>
      <w:bookmarkStart w:id="440" w:name="_Toc359567922"/>
      <w:bookmarkStart w:id="441" w:name="_Toc315695461"/>
      <w:bookmarkStart w:id="442" w:name="_Toc315695235"/>
      <w:bookmarkStart w:id="443" w:name="_Toc358876721"/>
      <w:bookmarkStart w:id="444" w:name="_Toc360114130"/>
    </w:p>
    <w:p w14:paraId="1453B6DF">
      <w:pPr>
        <w:shd w:val="clear"/>
        <w:spacing w:line="360" w:lineRule="auto"/>
        <w:ind w:firstLine="422"/>
        <w:rPr>
          <w:rFonts w:ascii="宋体" w:hAnsi="宋体" w:cs="宋体"/>
          <w:b/>
          <w:bCs/>
          <w:color w:val="auto"/>
          <w:szCs w:val="21"/>
        </w:rPr>
      </w:pPr>
    </w:p>
    <w:p w14:paraId="080436E3">
      <w:pPr>
        <w:shd w:val="clear"/>
        <w:spacing w:line="360" w:lineRule="auto"/>
        <w:ind w:firstLine="422"/>
        <w:rPr>
          <w:rFonts w:ascii="宋体" w:hAnsi="宋体" w:cs="宋体"/>
          <w:b/>
          <w:bCs/>
          <w:color w:val="auto"/>
          <w:szCs w:val="21"/>
        </w:rPr>
      </w:pPr>
    </w:p>
    <w:p w14:paraId="29EA68C1">
      <w:pPr>
        <w:shd w:val="clear"/>
        <w:spacing w:line="360" w:lineRule="auto"/>
        <w:ind w:firstLine="422"/>
        <w:rPr>
          <w:rFonts w:ascii="宋体" w:hAnsi="宋体" w:cs="宋体"/>
          <w:b/>
          <w:bCs/>
          <w:color w:val="auto"/>
          <w:szCs w:val="21"/>
        </w:rPr>
      </w:pPr>
    </w:p>
    <w:p w14:paraId="09388529">
      <w:pPr>
        <w:shd w:val="clear"/>
        <w:spacing w:line="360" w:lineRule="auto"/>
        <w:ind w:firstLine="422"/>
        <w:rPr>
          <w:rFonts w:ascii="宋体" w:hAnsi="宋体" w:cs="宋体"/>
          <w:b/>
          <w:bCs/>
          <w:color w:val="auto"/>
          <w:szCs w:val="21"/>
        </w:rPr>
      </w:pPr>
    </w:p>
    <w:p w14:paraId="673CE1D6">
      <w:pPr>
        <w:shd w:val="clear"/>
        <w:spacing w:line="360" w:lineRule="auto"/>
        <w:ind w:firstLine="422"/>
        <w:rPr>
          <w:rFonts w:ascii="宋体" w:hAnsi="宋体" w:cs="宋体"/>
          <w:b/>
          <w:bCs/>
          <w:color w:val="auto"/>
          <w:szCs w:val="21"/>
        </w:rPr>
      </w:pPr>
    </w:p>
    <w:p w14:paraId="6DF715ED">
      <w:pPr>
        <w:shd w:val="clear"/>
        <w:spacing w:line="360" w:lineRule="auto"/>
        <w:ind w:firstLine="422"/>
        <w:rPr>
          <w:rFonts w:ascii="宋体" w:hAnsi="宋体" w:cs="宋体"/>
          <w:b/>
          <w:bCs/>
          <w:color w:val="auto"/>
          <w:szCs w:val="21"/>
        </w:rPr>
      </w:pPr>
    </w:p>
    <w:p w14:paraId="1E7F2B6B">
      <w:pPr>
        <w:shd w:val="clear"/>
        <w:ind w:firstLine="422"/>
        <w:rPr>
          <w:rFonts w:ascii="宋体" w:hAnsi="宋体" w:cs="宋体"/>
          <w:b/>
          <w:bCs/>
          <w:color w:val="auto"/>
          <w:szCs w:val="21"/>
        </w:rPr>
      </w:pPr>
      <w:r>
        <w:rPr>
          <w:rFonts w:ascii="宋体" w:hAnsi="宋体" w:cs="宋体"/>
          <w:b/>
          <w:bCs/>
          <w:color w:val="auto"/>
          <w:szCs w:val="21"/>
        </w:rPr>
        <w:br w:type="page"/>
      </w:r>
    </w:p>
    <w:p w14:paraId="74604176">
      <w:pPr>
        <w:shd w:val="clear"/>
        <w:spacing w:line="360" w:lineRule="auto"/>
        <w:ind w:firstLine="422"/>
        <w:rPr>
          <w:rFonts w:ascii="宋体" w:hAnsi="宋体" w:cs="宋体"/>
          <w:b/>
          <w:bCs/>
          <w:color w:val="auto"/>
          <w:szCs w:val="21"/>
        </w:rPr>
      </w:pPr>
    </w:p>
    <w:p w14:paraId="00D20AD4">
      <w:pPr>
        <w:shd w:val="clear"/>
        <w:spacing w:line="360" w:lineRule="auto"/>
        <w:ind w:firstLine="422"/>
        <w:rPr>
          <w:rFonts w:ascii="宋体" w:hAnsi="宋体" w:cs="宋体"/>
          <w:b/>
          <w:bCs/>
          <w:color w:val="auto"/>
          <w:szCs w:val="21"/>
        </w:rPr>
      </w:pPr>
    </w:p>
    <w:p w14:paraId="1A222C99">
      <w:pPr>
        <w:shd w:val="clear"/>
        <w:spacing w:line="360" w:lineRule="auto"/>
        <w:ind w:firstLine="422"/>
        <w:rPr>
          <w:rFonts w:ascii="宋体" w:hAnsi="宋体" w:cs="宋体"/>
          <w:b/>
          <w:color w:val="auto"/>
          <w:szCs w:val="21"/>
        </w:rPr>
      </w:pPr>
      <w:r>
        <w:rPr>
          <w:rFonts w:hint="eastAsia" w:ascii="宋体" w:hAnsi="宋体" w:cs="宋体"/>
          <w:b/>
          <w:bCs/>
          <w:color w:val="auto"/>
          <w:szCs w:val="21"/>
        </w:rPr>
        <w:t xml:space="preserve">附件2：                       </w:t>
      </w:r>
      <w:r>
        <w:rPr>
          <w:rFonts w:hint="eastAsia" w:ascii="宋体" w:hAnsi="宋体" w:cs="宋体"/>
          <w:b/>
          <w:color w:val="auto"/>
          <w:szCs w:val="21"/>
        </w:rPr>
        <w:t>安全生产合同</w:t>
      </w:r>
    </w:p>
    <w:p w14:paraId="166149BA">
      <w:pPr>
        <w:shd w:val="clear"/>
        <w:spacing w:line="360" w:lineRule="auto"/>
        <w:ind w:firstLine="420" w:firstLineChars="200"/>
        <w:rPr>
          <w:rFonts w:ascii="宋体" w:hAnsi="宋体" w:cs="宋体"/>
          <w:bCs/>
          <w:color w:val="auto"/>
          <w:szCs w:val="21"/>
          <w:u w:val="single"/>
        </w:rPr>
      </w:pPr>
      <w:r>
        <w:rPr>
          <w:rFonts w:hint="eastAsia" w:ascii="宋体" w:hAnsi="宋体" w:cs="宋体"/>
          <w:color w:val="auto"/>
          <w:szCs w:val="21"/>
        </w:rPr>
        <w:t>为在</w:t>
      </w:r>
      <w:r>
        <w:rPr>
          <w:rFonts w:hint="eastAsia" w:ascii="宋体" w:hAnsi="宋体" w:cs="宋体"/>
          <w:color w:val="auto"/>
          <w:szCs w:val="21"/>
          <w:u w:val="single"/>
        </w:rPr>
        <w:t>弥勒文化博物馆项目-电力迁改工程（土建部分）</w:t>
      </w:r>
      <w:r>
        <w:rPr>
          <w:rFonts w:hint="eastAsia" w:ascii="宋体" w:hAnsi="宋体" w:cs="宋体"/>
          <w:color w:val="auto"/>
          <w:szCs w:val="21"/>
        </w:rPr>
        <w:t>（项目名称）施工合同的实施过程中创造安全、高效的施工环境，切实搞好本项目的安全管理工作，本项目发包人</w:t>
      </w:r>
      <w:r>
        <w:rPr>
          <w:rFonts w:hint="eastAsia" w:ascii="宋体" w:hAnsi="宋体" w:cs="宋体"/>
          <w:color w:val="auto"/>
          <w:szCs w:val="21"/>
          <w:u w:val="single"/>
        </w:rPr>
        <w:t>宁波市奉化区惠海地下管线投资有限公司</w:t>
      </w:r>
      <w:r>
        <w:rPr>
          <w:rFonts w:hint="eastAsia" w:ascii="宋体" w:hAnsi="宋体" w:cs="宋体"/>
          <w:color w:val="auto"/>
          <w:szCs w:val="21"/>
        </w:rPr>
        <w:t>（发包人名称，以下简称“发包人”）与</w:t>
      </w:r>
      <w:r>
        <w:rPr>
          <w:rFonts w:hint="eastAsia" w:ascii="宋体" w:hAnsi="宋体" w:cs="宋体"/>
          <w:color w:val="auto"/>
          <w:szCs w:val="21"/>
          <w:u w:val="single"/>
        </w:rPr>
        <w:t xml:space="preserve">               （</w:t>
      </w:r>
      <w:r>
        <w:rPr>
          <w:rFonts w:hint="eastAsia" w:ascii="宋体" w:hAnsi="宋体" w:cs="宋体"/>
          <w:color w:val="auto"/>
          <w:szCs w:val="21"/>
        </w:rPr>
        <w:t>承包人名称，以下简称“承包人”）特此签订安全生产合同：</w:t>
      </w:r>
    </w:p>
    <w:p w14:paraId="61EFB848">
      <w:pPr>
        <w:shd w:val="clear"/>
        <w:spacing w:line="420" w:lineRule="exact"/>
        <w:ind w:left="480"/>
        <w:rPr>
          <w:rFonts w:ascii="宋体" w:hAnsi="宋体" w:cs="宋体"/>
          <w:color w:val="auto"/>
          <w:szCs w:val="21"/>
        </w:rPr>
      </w:pPr>
      <w:r>
        <w:rPr>
          <w:rFonts w:hint="eastAsia" w:ascii="宋体" w:hAnsi="宋体" w:cs="宋体"/>
          <w:color w:val="auto"/>
          <w:szCs w:val="21"/>
        </w:rPr>
        <w:t>1.发包人职责</w:t>
      </w:r>
    </w:p>
    <w:p w14:paraId="3E738FBD">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（1）严格遵守国家有关安全生产的法律法规，认真执行工程承包合同中的有关安全要求。</w:t>
      </w:r>
    </w:p>
    <w:p w14:paraId="31BE265C">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（2）按照“安全第一、预防为主”和坚持“管生产必须管安全”的原则进行安全生产管理，做到生产与安全工作同时计划、布置、检查、总结和评比。</w:t>
      </w:r>
    </w:p>
    <w:p w14:paraId="23A71F61">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（3）重要的安全设施必须坚持与主体工程“三同时”的原则，即：同时设计、审批，同时施工，同时验收，投入使用。</w:t>
      </w:r>
    </w:p>
    <w:p w14:paraId="55518A4C">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（4）定期召开安全生产调度会，及时传达中央及地方有关安全生产的精神。</w:t>
      </w:r>
    </w:p>
    <w:p w14:paraId="1AD454B4">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（5）组织对承包人施工现场安全生产检查，监督承包人及时处理发现的各种安全隐患。</w:t>
      </w:r>
    </w:p>
    <w:p w14:paraId="499E619E">
      <w:pPr>
        <w:shd w:val="clear"/>
        <w:spacing w:line="420" w:lineRule="exact"/>
        <w:ind w:left="480"/>
        <w:rPr>
          <w:rFonts w:ascii="宋体" w:hAnsi="宋体" w:cs="宋体"/>
          <w:color w:val="auto"/>
          <w:szCs w:val="21"/>
        </w:rPr>
      </w:pPr>
      <w:r>
        <w:rPr>
          <w:rFonts w:hint="eastAsia" w:ascii="宋体" w:hAnsi="宋体" w:cs="宋体"/>
          <w:color w:val="auto"/>
          <w:szCs w:val="21"/>
        </w:rPr>
        <w:t>2.承包人职责</w:t>
      </w:r>
    </w:p>
    <w:p w14:paraId="797F05C9">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（1）严格遵守《中华人民共和国安全生产法》、《建设工程安全生产管理条例》等国家有关安全生产的法律法规有关安全生产的规定。认真执行工程承包合同中的有关安全要求。</w:t>
      </w:r>
    </w:p>
    <w:p w14:paraId="1D615FC8">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14AD6E1A">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0A387B69">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（4）承包人在任何时候都应采取各种合理的预防措施，防止其员工发生任何违法、违禁、暴力或妨碍治安的行为。</w:t>
      </w:r>
    </w:p>
    <w:p w14:paraId="0ED25A3F">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F149594">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853013B">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（7）操作人员上岗，必须按规定穿戴防护用品。施工负责人和安全检查员应随时检查劳动防护用品的穿戴情况，不按规定穿戴防护用品的人员不得上岗。</w:t>
      </w:r>
    </w:p>
    <w:p w14:paraId="5837E0E6">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（8）所有施工机具设备和高空作业的设备均应定期检查，并有安全员的签字记录，保证其经常处于完好状态；不合格的机具、设备和劳动保护用品严禁使用：</w:t>
      </w:r>
    </w:p>
    <w:p w14:paraId="17E2BBAF">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（9）施工中采用新技术、新工艺、新设备、新材料时，必须制定相应的安全技术措施，施工现场必须具有相关的安全标志牌。</w:t>
      </w:r>
    </w:p>
    <w:p w14:paraId="2D8F7EEC">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455F56F">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3.违约责任</w:t>
      </w:r>
    </w:p>
    <w:p w14:paraId="6C22FCB6">
      <w:pPr>
        <w:shd w:val="clear"/>
        <w:spacing w:line="420" w:lineRule="exact"/>
        <w:ind w:left="480"/>
        <w:rPr>
          <w:rFonts w:ascii="宋体" w:hAnsi="宋体" w:cs="宋体"/>
          <w:color w:val="auto"/>
          <w:szCs w:val="21"/>
        </w:rPr>
      </w:pPr>
      <w:r>
        <w:rPr>
          <w:rFonts w:hint="eastAsia" w:ascii="宋体" w:hAnsi="宋体" w:cs="宋体"/>
          <w:color w:val="auto"/>
          <w:szCs w:val="21"/>
        </w:rPr>
        <w:t>如因发包人或承包人违约造成安全事故，将依法追究责任。</w:t>
      </w:r>
    </w:p>
    <w:p w14:paraId="60363FD4">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4.本合同由双方法定代表人或其授权的代理人签署并加盖单位章后生效，全部工程竣工验收后失效。</w:t>
      </w:r>
    </w:p>
    <w:p w14:paraId="77C19FC1">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olor w:val="auto"/>
          <w:szCs w:val="21"/>
        </w:rPr>
        <w:t>本合同一式陆份，甲、乙双方各执贰份，招标代理机构壹份，归档壹份。</w:t>
      </w:r>
    </w:p>
    <w:p w14:paraId="4A03E7E0">
      <w:pPr>
        <w:shd w:val="clear"/>
        <w:autoSpaceDE w:val="0"/>
        <w:autoSpaceDN w:val="0"/>
        <w:adjustRightInd w:val="0"/>
        <w:spacing w:line="380" w:lineRule="exact"/>
        <w:rPr>
          <w:rFonts w:ascii="宋体" w:hAnsi="宋体" w:cs="宋体"/>
          <w:color w:val="auto"/>
          <w:kern w:val="0"/>
          <w:szCs w:val="21"/>
          <w:lang w:val="zh-CN"/>
        </w:rPr>
      </w:pPr>
      <w:r>
        <w:rPr>
          <w:rFonts w:hint="eastAsia" w:ascii="宋体" w:hAnsi="宋体" w:cs="宋体"/>
          <w:color w:val="auto"/>
          <w:szCs w:val="21"/>
        </w:rPr>
        <w:t>发包人：（盖章）</w:t>
      </w:r>
      <w:r>
        <w:rPr>
          <w:rFonts w:hint="eastAsia" w:ascii="宋体" w:hAnsi="宋体" w:cs="宋体"/>
          <w:color w:val="auto"/>
          <w:szCs w:val="21"/>
          <w:u w:val="single"/>
        </w:rPr>
        <w:t>宁波市奉化区惠海</w:t>
      </w:r>
      <w:r>
        <w:rPr>
          <w:rFonts w:hint="eastAsia" w:ascii="宋体" w:hAnsi="宋体" w:cs="宋体"/>
          <w:color w:val="auto"/>
          <w:spacing w:val="14"/>
          <w:szCs w:val="21"/>
          <w:u w:val="single"/>
        </w:rPr>
        <w:t xml:space="preserve"> </w:t>
      </w:r>
      <w:r>
        <w:rPr>
          <w:rFonts w:hint="eastAsia" w:ascii="宋体" w:hAnsi="宋体" w:cs="宋体"/>
          <w:color w:val="auto"/>
          <w:spacing w:val="14"/>
          <w:szCs w:val="21"/>
        </w:rPr>
        <w:t xml:space="preserve">  </w:t>
      </w:r>
      <w:r>
        <w:rPr>
          <w:rFonts w:hint="eastAsia" w:ascii="宋体" w:hAnsi="宋体" w:cs="宋体"/>
          <w:color w:val="auto"/>
          <w:szCs w:val="21"/>
        </w:rPr>
        <w:t>承包人：</w:t>
      </w:r>
      <w:r>
        <w:rPr>
          <w:rFonts w:hint="eastAsia" w:ascii="宋体" w:hAnsi="宋体" w:cs="宋体"/>
          <w:color w:val="auto"/>
          <w:szCs w:val="21"/>
          <w:u w:val="single"/>
        </w:rPr>
        <w:t xml:space="preserve">                  （</w:t>
      </w:r>
      <w:r>
        <w:rPr>
          <w:rFonts w:hint="eastAsia" w:ascii="宋体" w:hAnsi="宋体" w:cs="宋体"/>
          <w:color w:val="auto"/>
          <w:szCs w:val="21"/>
        </w:rPr>
        <w:t>盖章</w:t>
      </w:r>
      <w:r>
        <w:rPr>
          <w:rFonts w:hint="eastAsia" w:ascii="宋体" w:hAnsi="宋体" w:cs="宋体"/>
          <w:color w:val="auto"/>
          <w:szCs w:val="21"/>
          <w:u w:val="single"/>
        </w:rPr>
        <w:t>）</w:t>
      </w:r>
    </w:p>
    <w:p w14:paraId="41F65E0D">
      <w:pPr>
        <w:shd w:val="clear"/>
        <w:spacing w:line="42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地下管线投资有限公司 </w:t>
      </w:r>
      <w:r>
        <w:rPr>
          <w:rFonts w:hint="eastAsia" w:ascii="宋体" w:hAnsi="宋体" w:cs="宋体"/>
          <w:color w:val="auto"/>
          <w:szCs w:val="21"/>
        </w:rPr>
        <w:t xml:space="preserve"> </w:t>
      </w:r>
    </w:p>
    <w:p w14:paraId="5CCE8EA6">
      <w:pPr>
        <w:shd w:val="clear"/>
        <w:spacing w:line="420" w:lineRule="exact"/>
        <w:rPr>
          <w:rFonts w:ascii="宋体" w:hAnsi="宋体" w:cs="宋体"/>
          <w:color w:val="auto"/>
          <w:szCs w:val="21"/>
        </w:rPr>
      </w:pPr>
      <w:r>
        <w:rPr>
          <w:rFonts w:hint="eastAsia" w:ascii="宋体" w:hAnsi="宋体" w:cs="宋体"/>
          <w:color w:val="auto"/>
          <w:szCs w:val="21"/>
        </w:rPr>
        <w:t>法定代表人或                       法定代表人或</w:t>
      </w:r>
    </w:p>
    <w:p w14:paraId="7CF5F88D">
      <w:pPr>
        <w:shd w:val="clear"/>
        <w:spacing w:line="420" w:lineRule="exact"/>
        <w:rPr>
          <w:rFonts w:ascii="宋体" w:hAnsi="宋体" w:cs="宋体"/>
          <w:color w:val="auto"/>
          <w:szCs w:val="21"/>
        </w:rPr>
      </w:pPr>
      <w:r>
        <w:rPr>
          <w:rFonts w:hint="eastAsia" w:ascii="宋体" w:hAnsi="宋体" w:cs="宋体"/>
          <w:color w:val="auto"/>
          <w:szCs w:val="21"/>
        </w:rPr>
        <w:t>其委托代理人：</w:t>
      </w:r>
      <w:r>
        <w:rPr>
          <w:rFonts w:hint="eastAsia" w:ascii="宋体" w:hAnsi="宋体" w:cs="宋体"/>
          <w:color w:val="auto"/>
          <w:szCs w:val="21"/>
          <w:u w:val="single"/>
        </w:rPr>
        <w:t xml:space="preserve">           </w:t>
      </w:r>
      <w:r>
        <w:rPr>
          <w:rFonts w:hint="eastAsia" w:ascii="宋体" w:hAnsi="宋体" w:cs="宋体"/>
          <w:color w:val="auto"/>
          <w:szCs w:val="21"/>
        </w:rPr>
        <w:t>（签字）  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14:paraId="3695F758">
      <w:pPr>
        <w:shd w:val="clear"/>
        <w:spacing w:line="420" w:lineRule="exact"/>
        <w:ind w:left="840"/>
        <w:rPr>
          <w:rFonts w:ascii="宋体" w:hAnsi="宋体" w:cs="宋体"/>
          <w:color w:val="auto"/>
          <w:szCs w:val="21"/>
        </w:rPr>
      </w:pPr>
    </w:p>
    <w:p w14:paraId="322565DB">
      <w:pPr>
        <w:shd w:val="clear"/>
        <w:spacing w:line="420" w:lineRule="exact"/>
        <w:ind w:left="840" w:leftChars="400" w:firstLine="315" w:firstLineChars="15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3A08F07">
      <w:pPr>
        <w:shd w:val="clear"/>
        <w:spacing w:line="360" w:lineRule="auto"/>
        <w:ind w:firstLine="422"/>
        <w:rPr>
          <w:rFonts w:ascii="宋体" w:hAnsi="宋体" w:cs="宋体"/>
          <w:b/>
          <w:bCs/>
          <w:color w:val="auto"/>
          <w:szCs w:val="21"/>
        </w:rPr>
      </w:pPr>
    </w:p>
    <w:p w14:paraId="1989AC19">
      <w:pPr>
        <w:shd w:val="clear"/>
        <w:spacing w:line="360" w:lineRule="auto"/>
        <w:ind w:firstLine="422"/>
        <w:rPr>
          <w:rFonts w:ascii="宋体" w:hAnsi="宋体" w:cs="宋体"/>
          <w:b/>
          <w:bCs/>
          <w:color w:val="auto"/>
          <w:szCs w:val="21"/>
        </w:rPr>
      </w:pPr>
    </w:p>
    <w:p w14:paraId="2EF560BC">
      <w:pPr>
        <w:shd w:val="clear"/>
        <w:spacing w:line="360" w:lineRule="auto"/>
        <w:ind w:firstLine="422"/>
        <w:rPr>
          <w:rFonts w:ascii="宋体" w:hAnsi="宋体" w:cs="宋体"/>
          <w:b/>
          <w:bCs/>
          <w:color w:val="auto"/>
          <w:szCs w:val="21"/>
        </w:rPr>
      </w:pPr>
    </w:p>
    <w:p w14:paraId="06B98CF9">
      <w:pPr>
        <w:shd w:val="clear"/>
        <w:spacing w:line="360" w:lineRule="auto"/>
        <w:ind w:firstLine="422"/>
        <w:rPr>
          <w:rFonts w:ascii="宋体" w:hAnsi="宋体" w:cs="宋体"/>
          <w:b/>
          <w:bCs/>
          <w:color w:val="auto"/>
          <w:szCs w:val="21"/>
        </w:rPr>
      </w:pPr>
    </w:p>
    <w:p w14:paraId="4933135F">
      <w:pPr>
        <w:shd w:val="clear"/>
        <w:spacing w:line="360" w:lineRule="auto"/>
        <w:ind w:firstLine="422"/>
        <w:rPr>
          <w:rFonts w:ascii="宋体" w:hAnsi="宋体" w:cs="宋体"/>
          <w:b/>
          <w:bCs/>
          <w:color w:val="auto"/>
          <w:szCs w:val="21"/>
        </w:rPr>
      </w:pPr>
    </w:p>
    <w:p w14:paraId="1C7B0353">
      <w:pPr>
        <w:shd w:val="clear"/>
        <w:spacing w:line="360" w:lineRule="auto"/>
        <w:ind w:firstLine="422"/>
        <w:rPr>
          <w:rFonts w:ascii="宋体" w:hAnsi="宋体" w:cs="宋体"/>
          <w:b/>
          <w:bCs/>
          <w:color w:val="auto"/>
          <w:szCs w:val="21"/>
        </w:rPr>
      </w:pPr>
    </w:p>
    <w:p w14:paraId="0EDF0D4A">
      <w:pPr>
        <w:shd w:val="clear"/>
        <w:spacing w:line="360" w:lineRule="auto"/>
        <w:ind w:firstLine="422"/>
        <w:rPr>
          <w:rFonts w:ascii="宋体" w:hAnsi="宋体" w:cs="宋体"/>
          <w:b/>
          <w:bCs/>
          <w:color w:val="auto"/>
          <w:szCs w:val="21"/>
        </w:rPr>
      </w:pPr>
    </w:p>
    <w:p w14:paraId="40A05033">
      <w:pPr>
        <w:shd w:val="clear"/>
        <w:spacing w:line="360" w:lineRule="auto"/>
        <w:ind w:firstLine="422"/>
        <w:rPr>
          <w:rFonts w:ascii="宋体" w:hAnsi="宋体" w:cs="宋体"/>
          <w:b/>
          <w:bCs/>
          <w:color w:val="auto"/>
          <w:szCs w:val="21"/>
        </w:rPr>
      </w:pPr>
    </w:p>
    <w:p w14:paraId="16C51934">
      <w:pPr>
        <w:shd w:val="clear"/>
        <w:spacing w:line="360" w:lineRule="auto"/>
        <w:ind w:firstLine="422"/>
        <w:rPr>
          <w:rFonts w:ascii="宋体" w:hAnsi="宋体" w:cs="宋体"/>
          <w:b/>
          <w:bCs/>
          <w:color w:val="auto"/>
          <w:szCs w:val="21"/>
        </w:rPr>
      </w:pPr>
    </w:p>
    <w:p w14:paraId="3E3534DD">
      <w:pPr>
        <w:shd w:val="clear"/>
        <w:spacing w:line="360" w:lineRule="auto"/>
        <w:ind w:firstLine="422"/>
        <w:rPr>
          <w:rFonts w:ascii="宋体" w:hAnsi="宋体" w:cs="宋体"/>
          <w:b/>
          <w:color w:val="auto"/>
          <w:szCs w:val="21"/>
          <w:lang w:val="zh-CN"/>
        </w:rPr>
      </w:pPr>
      <w:r>
        <w:rPr>
          <w:rFonts w:hint="eastAsia" w:ascii="宋体" w:hAnsi="宋体" w:cs="宋体"/>
          <w:b/>
          <w:bCs/>
          <w:color w:val="auto"/>
          <w:szCs w:val="21"/>
        </w:rPr>
        <w:t xml:space="preserve">附件3：                   </w:t>
      </w:r>
      <w:r>
        <w:rPr>
          <w:rFonts w:hint="eastAsia" w:ascii="宋体" w:hAnsi="宋体" w:cs="宋体"/>
          <w:b/>
          <w:color w:val="auto"/>
          <w:szCs w:val="21"/>
          <w:lang w:val="zh-CN"/>
        </w:rPr>
        <w:t>工程项目廉政合同</w:t>
      </w:r>
      <w:bookmarkEnd w:id="440"/>
      <w:bookmarkEnd w:id="441"/>
      <w:bookmarkEnd w:id="442"/>
      <w:bookmarkEnd w:id="443"/>
      <w:bookmarkEnd w:id="444"/>
    </w:p>
    <w:p w14:paraId="0BFE72AC">
      <w:pPr>
        <w:shd w:val="clear"/>
        <w:spacing w:before="100" w:beforeAutospacing="1" w:after="100" w:afterAutospacing="1"/>
        <w:ind w:firstLine="420" w:firstLineChars="200"/>
        <w:outlineLvl w:val="0"/>
        <w:rPr>
          <w:rFonts w:ascii="宋体" w:hAnsi="宋体" w:cs="宋体"/>
          <w:color w:val="auto"/>
          <w:kern w:val="0"/>
          <w:szCs w:val="21"/>
          <w:u w:val="single"/>
        </w:rPr>
      </w:pPr>
      <w:r>
        <w:rPr>
          <w:rFonts w:hint="eastAsia" w:ascii="宋体" w:hAnsi="宋体" w:cs="宋体"/>
          <w:color w:val="auto"/>
          <w:kern w:val="0"/>
          <w:szCs w:val="21"/>
          <w:lang w:val="zh-CN"/>
        </w:rPr>
        <w:t>工程项目名称：</w:t>
      </w:r>
      <w:r>
        <w:rPr>
          <w:rFonts w:hint="eastAsia" w:ascii="宋体" w:hAnsi="宋体" w:cs="宋体"/>
          <w:color w:val="auto"/>
          <w:szCs w:val="21"/>
          <w:u w:val="single"/>
        </w:rPr>
        <w:t>弥勒文化博物馆项目-电力迁改工程（土建部分）</w:t>
      </w:r>
    </w:p>
    <w:p w14:paraId="0D18A2AB">
      <w:pPr>
        <w:shd w:val="clear"/>
        <w:spacing w:before="100" w:beforeAutospacing="1" w:after="100" w:afterAutospacing="1" w:line="240" w:lineRule="exact"/>
        <w:ind w:firstLine="420" w:firstLineChars="200"/>
        <w:outlineLvl w:val="0"/>
        <w:rPr>
          <w:rFonts w:ascii="宋体" w:hAnsi="宋体" w:cs="宋体"/>
          <w:color w:val="auto"/>
          <w:kern w:val="0"/>
          <w:szCs w:val="21"/>
          <w:u w:val="single"/>
          <w:lang w:val="zh-CN"/>
        </w:rPr>
      </w:pPr>
      <w:r>
        <w:rPr>
          <w:rFonts w:hint="eastAsia" w:ascii="宋体" w:hAnsi="宋体" w:cs="宋体"/>
          <w:color w:val="auto"/>
          <w:kern w:val="0"/>
          <w:szCs w:val="21"/>
          <w:lang w:val="zh-CN"/>
        </w:rPr>
        <w:t>发包人名称(以下称甲方)：</w:t>
      </w:r>
      <w:r>
        <w:rPr>
          <w:rFonts w:hint="eastAsia" w:ascii="宋体" w:hAnsi="宋体" w:cs="宋体"/>
          <w:color w:val="auto"/>
          <w:kern w:val="0"/>
          <w:szCs w:val="21"/>
          <w:u w:val="single"/>
          <w:lang w:val="zh-CN"/>
        </w:rPr>
        <w:t xml:space="preserve">宁波市奉化区惠海地下管线投资有限公司 </w:t>
      </w:r>
    </w:p>
    <w:p w14:paraId="24DDD03C">
      <w:pPr>
        <w:shd w:val="clear"/>
        <w:autoSpaceDE w:val="0"/>
        <w:autoSpaceDN w:val="0"/>
        <w:adjustRightInd w:val="0"/>
        <w:spacing w:line="240" w:lineRule="exact"/>
        <w:ind w:firstLine="420" w:firstLineChars="200"/>
        <w:rPr>
          <w:rFonts w:ascii="宋体" w:hAnsi="宋体" w:cs="宋体"/>
          <w:color w:val="auto"/>
          <w:kern w:val="0"/>
          <w:szCs w:val="21"/>
          <w:u w:val="single"/>
        </w:rPr>
      </w:pPr>
      <w:r>
        <w:rPr>
          <w:rFonts w:hint="eastAsia" w:ascii="宋体" w:hAnsi="宋体" w:cs="宋体"/>
          <w:color w:val="auto"/>
          <w:kern w:val="0"/>
          <w:szCs w:val="21"/>
          <w:lang w:val="zh-CN"/>
        </w:rPr>
        <w:t>承包人名称(以下称乙方)：</w:t>
      </w:r>
      <w:r>
        <w:rPr>
          <w:rFonts w:hint="eastAsia" w:ascii="宋体" w:hAnsi="宋体" w:cs="宋体"/>
          <w:color w:val="auto"/>
          <w:szCs w:val="21"/>
          <w:u w:val="single"/>
        </w:rPr>
        <w:t xml:space="preserve">                                 </w:t>
      </w:r>
    </w:p>
    <w:p w14:paraId="137DF90F">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023CF587">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第一条  甲乙双方的权利和义务    </w:t>
      </w:r>
    </w:p>
    <w:p w14:paraId="2A2B8570">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(一)严格遵守国家关于市场准入、勘测设计、施工监理、招标询价、工程施工、设备安装和市场经营活动等有关法律法规和相关政策，以及廉政建设的各项规定。    </w:t>
      </w:r>
    </w:p>
    <w:p w14:paraId="723EB48A">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(二)严格执行本项目发包承包双方签订的 (施工合同、监理合同、勘测设计合同、采购合同、代理合同等)合同，自觉按合同办事。    </w:t>
      </w:r>
    </w:p>
    <w:p w14:paraId="0A022D4F">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4212445B">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66B9E64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第二条  甲方的责任    </w:t>
      </w:r>
    </w:p>
    <w:p w14:paraId="568E72AC">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甲方的负责人和从事该工程项目的工作人员，在工程项目的事前、事中、事后应遵守以下规定：    </w:t>
      </w:r>
    </w:p>
    <w:p w14:paraId="48E1FCD5">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(一)不以任何理由向乙方索要或接受回扣、礼金、有价证券、贵重物品和好处费、感谢费等；不在乙方报销应由甲方或个人支付的费用。    </w:t>
      </w:r>
    </w:p>
    <w:p w14:paraId="15A6A6FC">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(二)不参加乙方安排的宴请及其他消费活动；不接受乙方提供的通讯工具、交通工具、高档办公用品等。    </w:t>
      </w:r>
    </w:p>
    <w:p w14:paraId="3756534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(三)不要求、暗示和接受乙方为个人装修住房、为配偶子女的工作安排以及本人或亲属旅游、出国(境)等提供方便。    </w:t>
      </w:r>
    </w:p>
    <w:p w14:paraId="77771129">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(四)配偶、子女不得从事与乙方承包工程有关的设备材料供应、工程分包、劳务等经济活动。    </w:t>
      </w:r>
    </w:p>
    <w:p w14:paraId="1F6A3FEE">
      <w:pPr>
        <w:shd w:val="clear"/>
        <w:autoSpaceDE w:val="0"/>
        <w:autoSpaceDN w:val="0"/>
        <w:adjustRightInd w:val="0"/>
        <w:spacing w:line="380" w:lineRule="exact"/>
        <w:ind w:firstLine="315" w:firstLineChars="150"/>
        <w:rPr>
          <w:rFonts w:ascii="宋体" w:hAnsi="宋体" w:cs="宋体"/>
          <w:color w:val="auto"/>
          <w:kern w:val="0"/>
          <w:szCs w:val="21"/>
          <w:lang w:val="zh-CN"/>
        </w:rPr>
      </w:pPr>
      <w:r>
        <w:rPr>
          <w:rFonts w:hint="eastAsia" w:ascii="宋体" w:hAnsi="宋体" w:cs="宋体"/>
          <w:color w:val="auto"/>
          <w:kern w:val="0"/>
          <w:szCs w:val="21"/>
          <w:lang w:val="zh-CN"/>
        </w:rPr>
        <w:t>（五)不以任何理由向乙方推荐分包人或要求乙方购买项目合同规定以外的材料、设备和服务等。</w:t>
      </w:r>
    </w:p>
    <w:p w14:paraId="694349AC">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第三条  乙方的责任</w:t>
      </w:r>
    </w:p>
    <w:p w14:paraId="0A491DE8">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乙方应与甲方保持正常的业务交往，按照有关法律法规和程序开展业务活动，严格执行工程建设的有关方针、政策，尤其是有关强制性标准和规范，并遵守以下规定：    </w:t>
      </w:r>
    </w:p>
    <w:p w14:paraId="2439043C">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(一)不以任何理由向甲方及其工作人员行贿或赠送礼金、有价证券、贵重物品。    </w:t>
      </w:r>
    </w:p>
    <w:p w14:paraId="5A9D0211">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(二)不以任何名义为甲方及其工作人员报销应由对方支付的费用。    </w:t>
      </w:r>
    </w:p>
    <w:p w14:paraId="5981B3D3">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(三)不以任何理由宴请甲方工作人员或安排其他消费活动。    </w:t>
      </w:r>
    </w:p>
    <w:p w14:paraId="0BC71D00">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(四)不为甲方和工作人员购置或提供通讯工具、交通工具、高档办公用品和装修住房等。 </w:t>
      </w:r>
    </w:p>
    <w:p w14:paraId="7C0BC81E">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第四条  违约责任 </w:t>
      </w:r>
    </w:p>
    <w:p w14:paraId="17E9A867">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0E97946E">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2A9F11D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(三)乙方如将部分辅助项目分包的，乙方有责任向分包人交待本合同的具体内容，并严格执行本合同之规定，分包人如有违反上述责任行为的，乙方将承担连带责任。    </w:t>
      </w:r>
    </w:p>
    <w:p w14:paraId="5A11FBE0">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第五条  双方约定：在自觉履行合同的同时，由甲、乙双方的监督单位负责对本合同履行情况进行监督检查。</w:t>
      </w:r>
    </w:p>
    <w:p w14:paraId="76F3A84A">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第六条  本合同作为</w:t>
      </w:r>
      <w:r>
        <w:rPr>
          <w:rFonts w:hint="eastAsia" w:ascii="宋体" w:hAnsi="宋体" w:cs="宋体"/>
          <w:color w:val="auto"/>
          <w:szCs w:val="21"/>
          <w:u w:val="single"/>
        </w:rPr>
        <w:t>弥勒文化博物馆项目-电力迁改工程（土建部分）</w:t>
      </w:r>
      <w:r>
        <w:rPr>
          <w:rFonts w:hint="eastAsia" w:ascii="宋体" w:hAnsi="宋体" w:cs="宋体"/>
          <w:color w:val="auto"/>
          <w:kern w:val="0"/>
          <w:szCs w:val="21"/>
          <w:lang w:val="zh-CN"/>
        </w:rPr>
        <w:t>签订工程施工合同的附件，与主合同具有同等法律效力。</w:t>
      </w:r>
    </w:p>
    <w:p w14:paraId="57E6033B">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甲乙双方签署后立即生效。</w:t>
      </w:r>
    </w:p>
    <w:p w14:paraId="7AF46F53">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第七条  本合同的有效期为双方签署之日起至该工程项目竣工验收合格时止。    </w:t>
      </w:r>
    </w:p>
    <w:p w14:paraId="742E9F49">
      <w:pPr>
        <w:shd w:val="clear"/>
        <w:spacing w:line="380" w:lineRule="exact"/>
        <w:ind w:firstLine="420" w:firstLineChars="200"/>
        <w:rPr>
          <w:rFonts w:ascii="宋体" w:hAnsi="宋体" w:cs="宋体"/>
          <w:color w:val="auto"/>
          <w:szCs w:val="21"/>
        </w:rPr>
      </w:pPr>
      <w:r>
        <w:rPr>
          <w:rFonts w:hint="eastAsia" w:ascii="宋体" w:hAnsi="宋体" w:cs="宋体"/>
          <w:color w:val="auto"/>
          <w:szCs w:val="21"/>
        </w:rPr>
        <w:t xml:space="preserve">第八条  </w:t>
      </w:r>
      <w:r>
        <w:rPr>
          <w:rFonts w:hint="eastAsia" w:ascii="宋体" w:hAnsi="宋体"/>
          <w:color w:val="auto"/>
          <w:szCs w:val="21"/>
        </w:rPr>
        <w:t>本合同一式陆份，甲、乙双方各执贰份，招标代理机构壹份，归档壹份。</w:t>
      </w:r>
    </w:p>
    <w:p w14:paraId="6407A85E">
      <w:pPr>
        <w:shd w:val="clear"/>
        <w:autoSpaceDE w:val="0"/>
        <w:autoSpaceDN w:val="0"/>
        <w:adjustRightInd w:val="0"/>
        <w:spacing w:line="380" w:lineRule="exact"/>
        <w:rPr>
          <w:rFonts w:ascii="宋体" w:hAnsi="宋体" w:cs="宋体"/>
          <w:color w:val="auto"/>
          <w:szCs w:val="21"/>
        </w:rPr>
      </w:pPr>
      <w:r>
        <w:rPr>
          <w:rFonts w:hint="eastAsia" w:ascii="宋体" w:hAnsi="宋体" w:cs="宋体"/>
          <w:color w:val="auto"/>
          <w:szCs w:val="21"/>
        </w:rPr>
        <w:t xml:space="preserve">甲方(盖章)：               </w:t>
      </w:r>
      <w:r>
        <w:rPr>
          <w:rFonts w:hint="eastAsia" w:ascii="宋体" w:hAnsi="宋体" w:cs="宋体"/>
          <w:color w:val="auto"/>
          <w:kern w:val="0"/>
          <w:szCs w:val="21"/>
          <w:lang w:val="zh-CN"/>
        </w:rPr>
        <w:tab/>
      </w:r>
      <w:r>
        <w:rPr>
          <w:rFonts w:hint="eastAsia" w:ascii="宋体" w:hAnsi="宋体" w:cs="宋体"/>
          <w:color w:val="auto"/>
          <w:kern w:val="0"/>
          <w:szCs w:val="21"/>
        </w:rPr>
        <w:t xml:space="preserve">       </w:t>
      </w:r>
      <w:r>
        <w:rPr>
          <w:rFonts w:hint="eastAsia" w:ascii="宋体" w:hAnsi="宋体" w:cs="宋体"/>
          <w:color w:val="auto"/>
          <w:szCs w:val="21"/>
        </w:rPr>
        <w:t>乙方(盖章)：</w:t>
      </w:r>
    </w:p>
    <w:p w14:paraId="59C28D37">
      <w:pPr>
        <w:shd w:val="clear"/>
        <w:tabs>
          <w:tab w:val="left" w:pos="4962"/>
        </w:tabs>
        <w:spacing w:line="400" w:lineRule="exact"/>
        <w:rPr>
          <w:rFonts w:ascii="宋体" w:hAnsi="宋体" w:cs="宋体"/>
          <w:color w:val="auto"/>
          <w:szCs w:val="21"/>
        </w:rPr>
      </w:pPr>
      <w:r>
        <w:rPr>
          <w:rFonts w:hint="eastAsia" w:ascii="宋体" w:hAnsi="宋体" w:cs="宋体"/>
          <w:color w:val="auto"/>
          <w:szCs w:val="21"/>
        </w:rPr>
        <w:t>法定代表人或其委托代理人：         法定代表人或其委托代理人：</w:t>
      </w:r>
    </w:p>
    <w:p w14:paraId="6B358B62">
      <w:pPr>
        <w:shd w:val="clear"/>
        <w:autoSpaceDE w:val="0"/>
        <w:autoSpaceDN w:val="0"/>
        <w:adjustRightInd w:val="0"/>
        <w:spacing w:line="380" w:lineRule="exact"/>
        <w:rPr>
          <w:rFonts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kern w:val="0"/>
          <w:szCs w:val="21"/>
        </w:rPr>
        <w:tab/>
      </w:r>
      <w:r>
        <w:rPr>
          <w:rFonts w:hint="eastAsia" w:ascii="宋体" w:hAnsi="宋体" w:cs="宋体"/>
          <w:color w:val="auto"/>
          <w:szCs w:val="21"/>
        </w:rPr>
        <w:t>奉化区岳林街道中山东路518号</w:t>
      </w:r>
      <w:r>
        <w:rPr>
          <w:rFonts w:hint="eastAsia" w:ascii="宋体" w:hAnsi="宋体" w:cs="宋体"/>
          <w:color w:val="auto"/>
          <w:kern w:val="0"/>
          <w:szCs w:val="21"/>
        </w:rPr>
        <w:t>地址：</w:t>
      </w:r>
    </w:p>
    <w:p w14:paraId="64BDEB77">
      <w:pPr>
        <w:shd w:val="clear"/>
        <w:autoSpaceDE w:val="0"/>
        <w:autoSpaceDN w:val="0"/>
        <w:adjustRightInd w:val="0"/>
        <w:spacing w:line="380" w:lineRule="exact"/>
        <w:ind w:left="521" w:leftChars="248"/>
        <w:rPr>
          <w:rFonts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szCs w:val="21"/>
        </w:rPr>
        <w:t>金城大厦A座18楼</w:t>
      </w:r>
    </w:p>
    <w:p w14:paraId="71751D35">
      <w:pPr>
        <w:shd w:val="clear"/>
        <w:tabs>
          <w:tab w:val="left" w:pos="4962"/>
        </w:tabs>
        <w:spacing w:line="400" w:lineRule="exact"/>
        <w:ind w:firstLine="420" w:firstLineChars="200"/>
        <w:rPr>
          <w:rFonts w:ascii="宋体" w:hAnsi="宋体" w:cs="宋体"/>
          <w:color w:val="auto"/>
          <w:szCs w:val="21"/>
        </w:rPr>
      </w:pPr>
      <w:r>
        <w:rPr>
          <w:rFonts w:hint="eastAsia" w:ascii="宋体" w:hAnsi="宋体" w:cs="宋体"/>
          <w:color w:val="auto"/>
          <w:szCs w:val="21"/>
        </w:rPr>
        <w:t>电话：</w:t>
      </w:r>
      <w:r>
        <w:rPr>
          <w:rFonts w:hint="eastAsia" w:ascii="宋体" w:hAnsi="宋体" w:cs="宋体"/>
          <w:color w:val="auto"/>
          <w:szCs w:val="21"/>
        </w:rPr>
        <w:tab/>
      </w:r>
      <w:r>
        <w:rPr>
          <w:rFonts w:hint="eastAsia" w:ascii="宋体" w:hAnsi="宋体" w:cs="宋体"/>
          <w:color w:val="auto"/>
          <w:szCs w:val="21"/>
        </w:rPr>
        <w:t>电话：</w:t>
      </w:r>
    </w:p>
    <w:p w14:paraId="50D4E12C">
      <w:pPr>
        <w:shd w:val="clear"/>
        <w:tabs>
          <w:tab w:val="left" w:pos="5385"/>
        </w:tabs>
        <w:spacing w:line="400" w:lineRule="exact"/>
        <w:ind w:firstLine="840" w:firstLineChars="400"/>
        <w:rPr>
          <w:rFonts w:ascii="宋体" w:hAnsi="宋体" w:cs="宋体"/>
          <w:color w:val="auto"/>
          <w:szCs w:val="21"/>
        </w:rPr>
      </w:pPr>
      <w:r>
        <w:rPr>
          <w:rFonts w:hint="eastAsia" w:ascii="宋体" w:hAnsi="宋体" w:cs="宋体"/>
          <w:color w:val="auto"/>
          <w:szCs w:val="21"/>
        </w:rPr>
        <w:t>年 月  日</w:t>
      </w:r>
      <w:r>
        <w:rPr>
          <w:rFonts w:hint="eastAsia" w:ascii="宋体" w:hAnsi="宋体" w:cs="宋体"/>
          <w:color w:val="auto"/>
          <w:szCs w:val="21"/>
        </w:rPr>
        <w:tab/>
      </w:r>
      <w:r>
        <w:rPr>
          <w:rFonts w:hint="eastAsia" w:ascii="宋体" w:hAnsi="宋体" w:cs="宋体"/>
          <w:color w:val="auto"/>
          <w:szCs w:val="21"/>
        </w:rPr>
        <w:t>年 月   日</w:t>
      </w:r>
    </w:p>
    <w:p w14:paraId="05D82EF1">
      <w:pPr>
        <w:shd w:val="clear"/>
        <w:spacing w:line="360" w:lineRule="auto"/>
        <w:ind w:firstLine="422"/>
        <w:rPr>
          <w:rFonts w:ascii="宋体" w:hAnsi="宋体" w:cs="宋体"/>
          <w:b/>
          <w:color w:val="auto"/>
          <w:szCs w:val="21"/>
        </w:rPr>
      </w:pPr>
    </w:p>
    <w:p w14:paraId="7F5E9BE7">
      <w:pPr>
        <w:shd w:val="clear"/>
        <w:spacing w:line="360" w:lineRule="auto"/>
        <w:ind w:firstLine="422"/>
        <w:rPr>
          <w:rFonts w:ascii="宋体" w:hAnsi="宋体" w:cs="宋体"/>
          <w:b/>
          <w:color w:val="auto"/>
          <w:szCs w:val="21"/>
        </w:rPr>
      </w:pPr>
    </w:p>
    <w:p w14:paraId="7467B3D1">
      <w:pPr>
        <w:shd w:val="clear"/>
        <w:spacing w:line="360" w:lineRule="auto"/>
        <w:ind w:firstLine="422"/>
        <w:rPr>
          <w:rFonts w:ascii="宋体" w:hAnsi="宋体" w:cs="宋体"/>
          <w:b/>
          <w:color w:val="auto"/>
          <w:szCs w:val="21"/>
        </w:rPr>
      </w:pPr>
    </w:p>
    <w:p w14:paraId="71D47E13">
      <w:pPr>
        <w:shd w:val="clear"/>
        <w:spacing w:line="360" w:lineRule="auto"/>
        <w:ind w:firstLine="422"/>
        <w:rPr>
          <w:rFonts w:ascii="宋体" w:hAnsi="宋体" w:cs="宋体"/>
          <w:b/>
          <w:color w:val="auto"/>
          <w:szCs w:val="21"/>
        </w:rPr>
      </w:pPr>
    </w:p>
    <w:p w14:paraId="0FF240B7">
      <w:pPr>
        <w:shd w:val="clear"/>
        <w:spacing w:line="360" w:lineRule="auto"/>
        <w:ind w:firstLine="422"/>
        <w:rPr>
          <w:rFonts w:ascii="宋体" w:hAnsi="宋体" w:cs="宋体"/>
          <w:b/>
          <w:color w:val="auto"/>
          <w:szCs w:val="21"/>
        </w:rPr>
      </w:pPr>
    </w:p>
    <w:p w14:paraId="15FCABF1">
      <w:pPr>
        <w:shd w:val="clear"/>
        <w:spacing w:line="360" w:lineRule="auto"/>
        <w:ind w:firstLine="422"/>
        <w:rPr>
          <w:rFonts w:ascii="宋体" w:hAnsi="宋体" w:cs="宋体"/>
          <w:b/>
          <w:color w:val="auto"/>
          <w:szCs w:val="21"/>
        </w:rPr>
      </w:pPr>
    </w:p>
    <w:p w14:paraId="32E72562">
      <w:pPr>
        <w:shd w:val="clear"/>
        <w:spacing w:line="360" w:lineRule="auto"/>
        <w:ind w:firstLine="422"/>
        <w:rPr>
          <w:rFonts w:ascii="宋体" w:hAnsi="宋体" w:cs="宋体"/>
          <w:b/>
          <w:color w:val="auto"/>
          <w:szCs w:val="21"/>
        </w:rPr>
      </w:pPr>
    </w:p>
    <w:p w14:paraId="13DABAC5">
      <w:pPr>
        <w:pStyle w:val="2"/>
        <w:shd w:val="clear"/>
        <w:rPr>
          <w:color w:val="auto"/>
        </w:rPr>
      </w:pPr>
    </w:p>
    <w:p w14:paraId="10A9EF98">
      <w:pPr>
        <w:pStyle w:val="2"/>
        <w:shd w:val="clear"/>
        <w:rPr>
          <w:color w:val="auto"/>
        </w:rPr>
      </w:pPr>
    </w:p>
    <w:p w14:paraId="3F4911D1">
      <w:pPr>
        <w:shd w:val="clear"/>
        <w:ind w:firstLine="422"/>
        <w:rPr>
          <w:rFonts w:ascii="宋体" w:hAnsi="宋体" w:cs="宋体"/>
          <w:b/>
          <w:color w:val="auto"/>
          <w:szCs w:val="21"/>
        </w:rPr>
      </w:pPr>
    </w:p>
    <w:p w14:paraId="09DDE27A">
      <w:pPr>
        <w:shd w:val="clear"/>
        <w:spacing w:line="360" w:lineRule="auto"/>
        <w:ind w:firstLine="422"/>
        <w:rPr>
          <w:rFonts w:ascii="宋体" w:hAnsi="宋体" w:cs="宋体"/>
          <w:b/>
          <w:color w:val="auto"/>
          <w:szCs w:val="21"/>
        </w:rPr>
      </w:pPr>
    </w:p>
    <w:p w14:paraId="5CADE55D">
      <w:pPr>
        <w:pStyle w:val="2"/>
        <w:shd w:val="clear"/>
        <w:rPr>
          <w:color w:val="auto"/>
        </w:rPr>
      </w:pPr>
    </w:p>
    <w:p w14:paraId="463F99BA">
      <w:pPr>
        <w:pStyle w:val="2"/>
        <w:shd w:val="clear"/>
        <w:rPr>
          <w:color w:val="auto"/>
        </w:rPr>
      </w:pPr>
    </w:p>
    <w:p w14:paraId="7D84229C">
      <w:pPr>
        <w:shd w:val="clear"/>
        <w:spacing w:line="360" w:lineRule="auto"/>
        <w:ind w:firstLine="422"/>
        <w:rPr>
          <w:rFonts w:ascii="宋体" w:hAnsi="宋体" w:cs="宋体"/>
          <w:b/>
          <w:color w:val="auto"/>
          <w:szCs w:val="21"/>
        </w:rPr>
      </w:pPr>
      <w:r>
        <w:rPr>
          <w:rFonts w:hint="eastAsia" w:ascii="宋体" w:hAnsi="宋体" w:cs="宋体"/>
          <w:b/>
          <w:color w:val="auto"/>
          <w:szCs w:val="21"/>
        </w:rPr>
        <w:t>附</w:t>
      </w:r>
      <w:bookmarkStart w:id="445" w:name="_Toc267261698"/>
      <w:bookmarkStart w:id="446" w:name="_Toc296891267"/>
      <w:bookmarkStart w:id="447" w:name="_Toc296891055"/>
      <w:bookmarkStart w:id="448" w:name="_Toc296944566"/>
      <w:bookmarkStart w:id="449" w:name="_Toc296346728"/>
      <w:bookmarkStart w:id="450" w:name="_Toc296503227"/>
      <w:bookmarkStart w:id="451" w:name="_Toc296347226"/>
      <w:r>
        <w:rPr>
          <w:rFonts w:hint="eastAsia" w:ascii="宋体" w:hAnsi="宋体" w:cs="宋体"/>
          <w:b/>
          <w:color w:val="auto"/>
          <w:szCs w:val="21"/>
        </w:rPr>
        <w:t>件4：</w:t>
      </w:r>
    </w:p>
    <w:bookmarkEnd w:id="445"/>
    <w:bookmarkEnd w:id="446"/>
    <w:bookmarkEnd w:id="447"/>
    <w:bookmarkEnd w:id="448"/>
    <w:bookmarkEnd w:id="449"/>
    <w:bookmarkEnd w:id="450"/>
    <w:bookmarkEnd w:id="451"/>
    <w:p w14:paraId="420A2661">
      <w:pPr>
        <w:shd w:val="clear"/>
        <w:spacing w:before="120" w:beforeLines="50" w:after="120" w:afterLines="50" w:line="360" w:lineRule="auto"/>
        <w:ind w:firstLine="422"/>
        <w:jc w:val="center"/>
        <w:rPr>
          <w:rFonts w:ascii="宋体" w:hAnsi="宋体" w:cs="宋体"/>
          <w:b/>
          <w:color w:val="auto"/>
          <w:szCs w:val="21"/>
        </w:rPr>
      </w:pPr>
      <w:r>
        <w:rPr>
          <w:rFonts w:hint="eastAsia" w:ascii="宋体" w:hAnsi="宋体" w:cs="宋体"/>
          <w:b/>
          <w:color w:val="auto"/>
          <w:szCs w:val="21"/>
        </w:rPr>
        <w:t>承包人用于本工程施工的机械设备表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4A488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1" w:type="dxa"/>
            <w:tcBorders>
              <w:top w:val="single" w:color="auto" w:sz="12" w:space="0"/>
              <w:bottom w:val="double" w:color="auto" w:sz="6" w:space="0"/>
            </w:tcBorders>
            <w:vAlign w:val="center"/>
          </w:tcPr>
          <w:p w14:paraId="6B9C6C2A">
            <w:pPr>
              <w:pStyle w:val="10"/>
              <w:keepNext/>
              <w:shd w:val="clear"/>
              <w:ind w:left="63" w:right="63"/>
              <w:rPr>
                <w:rFonts w:hAnsi="宋体" w:cs="宋体"/>
                <w:color w:val="auto"/>
                <w:sz w:val="21"/>
                <w:lang w:val="en-US"/>
              </w:rPr>
            </w:pPr>
            <w:r>
              <w:rPr>
                <w:rFonts w:hint="eastAsia" w:hAnsi="宋体" w:cs="宋体"/>
                <w:color w:val="auto"/>
                <w:sz w:val="21"/>
                <w:lang w:val="en-US"/>
              </w:rPr>
              <w:t>序号</w:t>
            </w:r>
          </w:p>
        </w:tc>
        <w:tc>
          <w:tcPr>
            <w:tcW w:w="1549" w:type="dxa"/>
            <w:tcBorders>
              <w:top w:val="single" w:color="auto" w:sz="12" w:space="0"/>
              <w:bottom w:val="double" w:color="auto" w:sz="6" w:space="0"/>
            </w:tcBorders>
            <w:vAlign w:val="center"/>
          </w:tcPr>
          <w:p w14:paraId="70D32E25">
            <w:pPr>
              <w:pStyle w:val="10"/>
              <w:keepNext/>
              <w:shd w:val="clear"/>
              <w:ind w:left="63" w:right="63"/>
              <w:rPr>
                <w:rFonts w:hAnsi="宋体" w:cs="宋体"/>
                <w:color w:val="auto"/>
                <w:sz w:val="21"/>
                <w:lang w:val="en-US"/>
              </w:rPr>
            </w:pPr>
            <w:r>
              <w:rPr>
                <w:rFonts w:hint="eastAsia" w:hAnsi="宋体" w:cs="宋体"/>
                <w:color w:val="auto"/>
                <w:sz w:val="21"/>
                <w:lang w:val="en-US"/>
              </w:rPr>
              <w:t>机械或</w:t>
            </w:r>
          </w:p>
          <w:p w14:paraId="0E4F4246">
            <w:pPr>
              <w:pStyle w:val="10"/>
              <w:keepNext/>
              <w:shd w:val="clear"/>
              <w:ind w:left="63" w:right="63"/>
              <w:rPr>
                <w:rFonts w:hAnsi="宋体" w:cs="宋体"/>
                <w:color w:val="auto"/>
                <w:sz w:val="21"/>
                <w:lang w:val="en-US"/>
              </w:rPr>
            </w:pPr>
            <w:r>
              <w:rPr>
                <w:rFonts w:hint="eastAsia" w:hAnsi="宋体" w:cs="宋体"/>
                <w:color w:val="auto"/>
                <w:sz w:val="21"/>
                <w:lang w:val="en-US"/>
              </w:rPr>
              <w:t>设备名称</w:t>
            </w:r>
          </w:p>
        </w:tc>
        <w:tc>
          <w:tcPr>
            <w:tcW w:w="1001" w:type="dxa"/>
            <w:tcBorders>
              <w:top w:val="single" w:color="auto" w:sz="12" w:space="0"/>
              <w:bottom w:val="double" w:color="auto" w:sz="6" w:space="0"/>
            </w:tcBorders>
            <w:vAlign w:val="center"/>
          </w:tcPr>
          <w:p w14:paraId="69EDB78D">
            <w:pPr>
              <w:pStyle w:val="10"/>
              <w:keepNext/>
              <w:shd w:val="clear"/>
              <w:ind w:left="63" w:right="63"/>
              <w:rPr>
                <w:rFonts w:hAnsi="宋体" w:cs="宋体"/>
                <w:color w:val="auto"/>
                <w:sz w:val="21"/>
                <w:lang w:val="en-US"/>
              </w:rPr>
            </w:pPr>
            <w:r>
              <w:rPr>
                <w:rFonts w:hint="eastAsia" w:hAnsi="宋体" w:cs="宋体"/>
                <w:color w:val="auto"/>
                <w:sz w:val="21"/>
                <w:lang w:val="en-US"/>
              </w:rPr>
              <w:t>规格</w:t>
            </w:r>
          </w:p>
          <w:p w14:paraId="250D206E">
            <w:pPr>
              <w:pStyle w:val="10"/>
              <w:keepNext/>
              <w:shd w:val="clear"/>
              <w:ind w:left="63" w:right="63"/>
              <w:rPr>
                <w:rFonts w:hAnsi="宋体" w:cs="宋体"/>
                <w:color w:val="auto"/>
                <w:sz w:val="21"/>
                <w:lang w:val="en-US"/>
              </w:rPr>
            </w:pPr>
            <w:r>
              <w:rPr>
                <w:rFonts w:hint="eastAsia" w:hAnsi="宋体" w:cs="宋体"/>
                <w:color w:val="auto"/>
                <w:sz w:val="21"/>
                <w:lang w:val="en-US"/>
              </w:rPr>
              <w:t>型号</w:t>
            </w:r>
          </w:p>
        </w:tc>
        <w:tc>
          <w:tcPr>
            <w:tcW w:w="718" w:type="dxa"/>
            <w:tcBorders>
              <w:top w:val="single" w:color="auto" w:sz="12" w:space="0"/>
              <w:bottom w:val="double" w:color="auto" w:sz="6" w:space="0"/>
            </w:tcBorders>
            <w:vAlign w:val="center"/>
          </w:tcPr>
          <w:p w14:paraId="30F6F1E1">
            <w:pPr>
              <w:pStyle w:val="10"/>
              <w:keepNext/>
              <w:shd w:val="clear"/>
              <w:ind w:left="63" w:right="63"/>
              <w:rPr>
                <w:rFonts w:hAnsi="宋体" w:cs="宋体"/>
                <w:color w:val="auto"/>
                <w:sz w:val="21"/>
                <w:lang w:val="en-US"/>
              </w:rPr>
            </w:pPr>
            <w:r>
              <w:rPr>
                <w:rFonts w:hint="eastAsia" w:hAnsi="宋体" w:cs="宋体"/>
                <w:color w:val="auto"/>
                <w:sz w:val="21"/>
                <w:lang w:val="en-US"/>
              </w:rPr>
              <w:t>数量</w:t>
            </w:r>
          </w:p>
        </w:tc>
        <w:tc>
          <w:tcPr>
            <w:tcW w:w="794" w:type="dxa"/>
            <w:tcBorders>
              <w:top w:val="single" w:color="auto" w:sz="12" w:space="0"/>
              <w:bottom w:val="double" w:color="auto" w:sz="6" w:space="0"/>
            </w:tcBorders>
            <w:vAlign w:val="center"/>
          </w:tcPr>
          <w:p w14:paraId="4FF91A41">
            <w:pPr>
              <w:pStyle w:val="10"/>
              <w:keepNext/>
              <w:shd w:val="clear"/>
              <w:ind w:left="63" w:right="63"/>
              <w:rPr>
                <w:rFonts w:hAnsi="宋体" w:cs="宋体"/>
                <w:color w:val="auto"/>
                <w:sz w:val="21"/>
                <w:lang w:val="en-US"/>
              </w:rPr>
            </w:pPr>
            <w:r>
              <w:rPr>
                <w:rFonts w:hint="eastAsia" w:hAnsi="宋体" w:cs="宋体"/>
                <w:color w:val="auto"/>
                <w:sz w:val="21"/>
                <w:lang w:val="en-US"/>
              </w:rPr>
              <w:t>产地</w:t>
            </w:r>
          </w:p>
        </w:tc>
        <w:tc>
          <w:tcPr>
            <w:tcW w:w="920" w:type="dxa"/>
            <w:tcBorders>
              <w:top w:val="single" w:color="auto" w:sz="12" w:space="0"/>
              <w:bottom w:val="double" w:color="auto" w:sz="6" w:space="0"/>
            </w:tcBorders>
            <w:vAlign w:val="center"/>
          </w:tcPr>
          <w:p w14:paraId="6873A134">
            <w:pPr>
              <w:pStyle w:val="10"/>
              <w:keepNext/>
              <w:shd w:val="clear"/>
              <w:ind w:left="63" w:right="63"/>
              <w:rPr>
                <w:rFonts w:hAnsi="宋体" w:cs="宋体"/>
                <w:color w:val="auto"/>
                <w:sz w:val="21"/>
                <w:lang w:val="en-US"/>
              </w:rPr>
            </w:pPr>
            <w:r>
              <w:rPr>
                <w:rFonts w:hint="eastAsia" w:hAnsi="宋体" w:cs="宋体"/>
                <w:color w:val="auto"/>
                <w:sz w:val="21"/>
                <w:lang w:val="en-US"/>
              </w:rPr>
              <w:t>制造</w:t>
            </w:r>
          </w:p>
          <w:p w14:paraId="12A4F1ED">
            <w:pPr>
              <w:pStyle w:val="10"/>
              <w:keepNext/>
              <w:shd w:val="clear"/>
              <w:ind w:left="63" w:right="63"/>
              <w:rPr>
                <w:rFonts w:hAnsi="宋体" w:cs="宋体"/>
                <w:color w:val="auto"/>
                <w:sz w:val="21"/>
                <w:lang w:val="en-US"/>
              </w:rPr>
            </w:pPr>
            <w:r>
              <w:rPr>
                <w:rFonts w:hint="eastAsia" w:hAnsi="宋体" w:cs="宋体"/>
                <w:color w:val="auto"/>
                <w:sz w:val="21"/>
                <w:lang w:val="en-US"/>
              </w:rPr>
              <w:t>年份</w:t>
            </w:r>
          </w:p>
        </w:tc>
        <w:tc>
          <w:tcPr>
            <w:tcW w:w="1334" w:type="dxa"/>
            <w:tcBorders>
              <w:top w:val="single" w:color="auto" w:sz="12" w:space="0"/>
              <w:bottom w:val="double" w:color="auto" w:sz="6" w:space="0"/>
            </w:tcBorders>
            <w:vAlign w:val="center"/>
          </w:tcPr>
          <w:p w14:paraId="62ED6041">
            <w:pPr>
              <w:pStyle w:val="10"/>
              <w:keepNext/>
              <w:shd w:val="clear"/>
              <w:ind w:left="63" w:right="63"/>
              <w:rPr>
                <w:rFonts w:hAnsi="宋体" w:cs="宋体"/>
                <w:color w:val="auto"/>
                <w:sz w:val="21"/>
                <w:lang w:val="en-US"/>
              </w:rPr>
            </w:pPr>
            <w:r>
              <w:rPr>
                <w:rFonts w:hint="eastAsia" w:hAnsi="宋体" w:cs="宋体"/>
                <w:color w:val="auto"/>
                <w:sz w:val="21"/>
                <w:lang w:val="en-US"/>
              </w:rPr>
              <w:t>额定功率(kW)</w:t>
            </w:r>
          </w:p>
        </w:tc>
        <w:tc>
          <w:tcPr>
            <w:tcW w:w="920" w:type="dxa"/>
            <w:tcBorders>
              <w:top w:val="single" w:color="auto" w:sz="12" w:space="0"/>
              <w:bottom w:val="double" w:color="auto" w:sz="6" w:space="0"/>
            </w:tcBorders>
            <w:vAlign w:val="center"/>
          </w:tcPr>
          <w:p w14:paraId="19C53A75">
            <w:pPr>
              <w:pStyle w:val="10"/>
              <w:keepNext/>
              <w:shd w:val="clear"/>
              <w:ind w:left="63" w:right="63"/>
              <w:rPr>
                <w:rFonts w:hAnsi="宋体" w:cs="宋体"/>
                <w:color w:val="auto"/>
                <w:sz w:val="21"/>
                <w:lang w:val="en-US"/>
              </w:rPr>
            </w:pPr>
            <w:r>
              <w:rPr>
                <w:rFonts w:hint="eastAsia" w:hAnsi="宋体" w:cs="宋体"/>
                <w:color w:val="auto"/>
                <w:sz w:val="21"/>
                <w:lang w:val="en-US"/>
              </w:rPr>
              <w:t>生产</w:t>
            </w:r>
          </w:p>
          <w:p w14:paraId="4F3B4F96">
            <w:pPr>
              <w:pStyle w:val="10"/>
              <w:keepNext/>
              <w:shd w:val="clear"/>
              <w:ind w:left="63" w:right="63"/>
              <w:rPr>
                <w:rFonts w:hAnsi="宋体" w:cs="宋体"/>
                <w:color w:val="auto"/>
                <w:sz w:val="21"/>
                <w:lang w:val="en-US"/>
              </w:rPr>
            </w:pPr>
            <w:r>
              <w:rPr>
                <w:rFonts w:hint="eastAsia" w:hAnsi="宋体" w:cs="宋体"/>
                <w:color w:val="auto"/>
                <w:sz w:val="21"/>
                <w:lang w:val="en-US"/>
              </w:rPr>
              <w:t>能力</w:t>
            </w:r>
          </w:p>
        </w:tc>
        <w:tc>
          <w:tcPr>
            <w:tcW w:w="828" w:type="dxa"/>
            <w:tcBorders>
              <w:top w:val="single" w:color="auto" w:sz="12" w:space="0"/>
              <w:bottom w:val="double" w:color="auto" w:sz="6" w:space="0"/>
            </w:tcBorders>
            <w:vAlign w:val="center"/>
          </w:tcPr>
          <w:p w14:paraId="5DDB986C">
            <w:pPr>
              <w:pStyle w:val="10"/>
              <w:keepNext/>
              <w:shd w:val="clear"/>
              <w:ind w:left="63" w:right="63"/>
              <w:rPr>
                <w:rFonts w:hAnsi="宋体" w:cs="宋体"/>
                <w:color w:val="auto"/>
                <w:sz w:val="21"/>
                <w:lang w:val="en-US"/>
              </w:rPr>
            </w:pPr>
            <w:r>
              <w:rPr>
                <w:rFonts w:hint="eastAsia" w:hAnsi="宋体" w:cs="宋体"/>
                <w:color w:val="auto"/>
                <w:sz w:val="21"/>
                <w:lang w:val="en-US"/>
              </w:rPr>
              <w:t>备注</w:t>
            </w:r>
          </w:p>
        </w:tc>
      </w:tr>
      <w:tr w14:paraId="352AA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vAlign w:val="center"/>
          </w:tcPr>
          <w:p w14:paraId="3343C478">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1549" w:type="dxa"/>
            <w:tcBorders>
              <w:top w:val="double" w:color="auto" w:sz="6" w:space="0"/>
              <w:bottom w:val="single" w:color="auto" w:sz="6" w:space="0"/>
            </w:tcBorders>
            <w:vAlign w:val="center"/>
          </w:tcPr>
          <w:p w14:paraId="1D46C63F">
            <w:pPr>
              <w:shd w:val="clear"/>
              <w:jc w:val="center"/>
              <w:rPr>
                <w:rFonts w:ascii="仿宋_GB2312" w:eastAsia="仿宋_GB2312"/>
                <w:color w:val="auto"/>
                <w:szCs w:val="21"/>
              </w:rPr>
            </w:pPr>
          </w:p>
        </w:tc>
        <w:tc>
          <w:tcPr>
            <w:tcW w:w="1001" w:type="dxa"/>
            <w:tcBorders>
              <w:top w:val="double" w:color="auto" w:sz="6" w:space="0"/>
              <w:bottom w:val="single" w:color="auto" w:sz="6" w:space="0"/>
            </w:tcBorders>
            <w:vAlign w:val="center"/>
          </w:tcPr>
          <w:p w14:paraId="641E861F">
            <w:pPr>
              <w:shd w:val="clear"/>
              <w:jc w:val="center"/>
              <w:rPr>
                <w:rFonts w:ascii="仿宋_GB2312" w:hAnsi="宋体" w:eastAsia="仿宋_GB2312" w:cs="宋体"/>
                <w:color w:val="auto"/>
                <w:kern w:val="0"/>
                <w:szCs w:val="21"/>
              </w:rPr>
            </w:pPr>
          </w:p>
        </w:tc>
        <w:tc>
          <w:tcPr>
            <w:tcW w:w="718" w:type="dxa"/>
            <w:tcBorders>
              <w:top w:val="double" w:color="auto" w:sz="6" w:space="0"/>
              <w:bottom w:val="single" w:color="auto" w:sz="6" w:space="0"/>
            </w:tcBorders>
            <w:vAlign w:val="bottom"/>
          </w:tcPr>
          <w:p w14:paraId="250AB24B">
            <w:pPr>
              <w:shd w:val="clear"/>
              <w:jc w:val="center"/>
              <w:rPr>
                <w:rFonts w:ascii="仿宋_GB2312" w:eastAsia="仿宋_GB2312"/>
                <w:color w:val="auto"/>
                <w:szCs w:val="21"/>
              </w:rPr>
            </w:pPr>
          </w:p>
        </w:tc>
        <w:tc>
          <w:tcPr>
            <w:tcW w:w="794" w:type="dxa"/>
            <w:tcBorders>
              <w:top w:val="double" w:color="auto" w:sz="6" w:space="0"/>
              <w:bottom w:val="single" w:color="auto" w:sz="6" w:space="0"/>
            </w:tcBorders>
            <w:vAlign w:val="center"/>
          </w:tcPr>
          <w:p w14:paraId="62B4B082">
            <w:pPr>
              <w:shd w:val="clear"/>
              <w:jc w:val="center"/>
              <w:rPr>
                <w:rFonts w:ascii="仿宋_GB2312" w:hAnsi="宋体" w:eastAsia="仿宋_GB2312" w:cs="宋体"/>
                <w:color w:val="auto"/>
                <w:kern w:val="0"/>
                <w:szCs w:val="21"/>
              </w:rPr>
            </w:pPr>
          </w:p>
        </w:tc>
        <w:tc>
          <w:tcPr>
            <w:tcW w:w="920" w:type="dxa"/>
            <w:tcBorders>
              <w:top w:val="double" w:color="auto" w:sz="6" w:space="0"/>
              <w:bottom w:val="single" w:color="auto" w:sz="6" w:space="0"/>
            </w:tcBorders>
            <w:vAlign w:val="center"/>
          </w:tcPr>
          <w:p w14:paraId="72FA16C2">
            <w:pPr>
              <w:shd w:val="clear"/>
              <w:jc w:val="center"/>
              <w:rPr>
                <w:rFonts w:ascii="仿宋_GB2312" w:hAnsi="宋体" w:eastAsia="仿宋_GB2312"/>
                <w:color w:val="auto"/>
                <w:szCs w:val="21"/>
              </w:rPr>
            </w:pPr>
          </w:p>
        </w:tc>
        <w:tc>
          <w:tcPr>
            <w:tcW w:w="1334" w:type="dxa"/>
            <w:tcBorders>
              <w:top w:val="double" w:color="auto" w:sz="6" w:space="0"/>
              <w:bottom w:val="single" w:color="auto" w:sz="6" w:space="0"/>
            </w:tcBorders>
            <w:vAlign w:val="bottom"/>
          </w:tcPr>
          <w:p w14:paraId="465D4513">
            <w:pPr>
              <w:shd w:val="clear"/>
              <w:jc w:val="center"/>
              <w:rPr>
                <w:rFonts w:ascii="仿宋_GB2312" w:eastAsia="仿宋_GB2312"/>
                <w:color w:val="auto"/>
                <w:szCs w:val="21"/>
              </w:rPr>
            </w:pPr>
          </w:p>
        </w:tc>
        <w:tc>
          <w:tcPr>
            <w:tcW w:w="920" w:type="dxa"/>
            <w:tcBorders>
              <w:top w:val="double" w:color="auto" w:sz="6" w:space="0"/>
              <w:bottom w:val="single" w:color="auto" w:sz="6" w:space="0"/>
            </w:tcBorders>
            <w:vAlign w:val="center"/>
          </w:tcPr>
          <w:p w14:paraId="73A859CD">
            <w:pPr>
              <w:pStyle w:val="10"/>
              <w:keepNext/>
              <w:shd w:val="clear"/>
              <w:ind w:left="63" w:right="63"/>
              <w:rPr>
                <w:rFonts w:hAnsi="宋体" w:cs="宋体"/>
                <w:color w:val="auto"/>
                <w:sz w:val="21"/>
                <w:lang w:val="en-US"/>
              </w:rPr>
            </w:pPr>
          </w:p>
        </w:tc>
        <w:tc>
          <w:tcPr>
            <w:tcW w:w="828" w:type="dxa"/>
            <w:tcBorders>
              <w:top w:val="double" w:color="auto" w:sz="6" w:space="0"/>
              <w:bottom w:val="single" w:color="auto" w:sz="6" w:space="0"/>
            </w:tcBorders>
            <w:vAlign w:val="center"/>
          </w:tcPr>
          <w:p w14:paraId="0D17990F">
            <w:pPr>
              <w:pStyle w:val="10"/>
              <w:keepNext/>
              <w:shd w:val="clear"/>
              <w:ind w:left="63" w:right="63"/>
              <w:rPr>
                <w:rFonts w:hAnsi="宋体" w:cs="宋体"/>
                <w:color w:val="auto"/>
                <w:sz w:val="21"/>
                <w:lang w:val="en-US"/>
              </w:rPr>
            </w:pPr>
          </w:p>
        </w:tc>
      </w:tr>
      <w:tr w14:paraId="0E9F9B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vAlign w:val="center"/>
          </w:tcPr>
          <w:p w14:paraId="31120849">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1549" w:type="dxa"/>
            <w:tcBorders>
              <w:top w:val="nil"/>
            </w:tcBorders>
            <w:vAlign w:val="center"/>
          </w:tcPr>
          <w:p w14:paraId="0D7B1A5C">
            <w:pPr>
              <w:shd w:val="clear"/>
              <w:jc w:val="center"/>
              <w:rPr>
                <w:rFonts w:ascii="仿宋_GB2312" w:eastAsia="仿宋_GB2312"/>
                <w:color w:val="auto"/>
                <w:szCs w:val="21"/>
              </w:rPr>
            </w:pPr>
          </w:p>
        </w:tc>
        <w:tc>
          <w:tcPr>
            <w:tcW w:w="1001" w:type="dxa"/>
            <w:tcBorders>
              <w:top w:val="nil"/>
            </w:tcBorders>
            <w:vAlign w:val="center"/>
          </w:tcPr>
          <w:p w14:paraId="30236B2A">
            <w:pPr>
              <w:shd w:val="clear"/>
              <w:jc w:val="center"/>
              <w:rPr>
                <w:rFonts w:ascii="仿宋_GB2312" w:hAnsi="宋体" w:eastAsia="仿宋_GB2312" w:cs="宋体"/>
                <w:color w:val="auto"/>
                <w:kern w:val="0"/>
                <w:szCs w:val="21"/>
              </w:rPr>
            </w:pPr>
          </w:p>
        </w:tc>
        <w:tc>
          <w:tcPr>
            <w:tcW w:w="718" w:type="dxa"/>
            <w:tcBorders>
              <w:top w:val="nil"/>
            </w:tcBorders>
            <w:vAlign w:val="bottom"/>
          </w:tcPr>
          <w:p w14:paraId="3540A47B">
            <w:pPr>
              <w:shd w:val="clear"/>
              <w:jc w:val="center"/>
              <w:rPr>
                <w:rFonts w:ascii="仿宋_GB2312" w:eastAsia="仿宋_GB2312"/>
                <w:color w:val="auto"/>
                <w:szCs w:val="21"/>
              </w:rPr>
            </w:pPr>
          </w:p>
        </w:tc>
        <w:tc>
          <w:tcPr>
            <w:tcW w:w="794" w:type="dxa"/>
            <w:tcBorders>
              <w:top w:val="nil"/>
            </w:tcBorders>
            <w:vAlign w:val="center"/>
          </w:tcPr>
          <w:p w14:paraId="33DED220">
            <w:pPr>
              <w:shd w:val="clear"/>
              <w:jc w:val="center"/>
              <w:rPr>
                <w:rFonts w:ascii="仿宋_GB2312" w:hAnsi="宋体" w:eastAsia="仿宋_GB2312"/>
                <w:color w:val="auto"/>
                <w:szCs w:val="21"/>
              </w:rPr>
            </w:pPr>
          </w:p>
        </w:tc>
        <w:tc>
          <w:tcPr>
            <w:tcW w:w="920" w:type="dxa"/>
            <w:tcBorders>
              <w:top w:val="nil"/>
            </w:tcBorders>
            <w:vAlign w:val="center"/>
          </w:tcPr>
          <w:p w14:paraId="3D42269E">
            <w:pPr>
              <w:shd w:val="clear"/>
              <w:ind w:firstLine="425"/>
              <w:jc w:val="center"/>
              <w:rPr>
                <w:rFonts w:ascii="仿宋_GB2312" w:hAnsi="宋体" w:eastAsia="仿宋_GB2312"/>
                <w:b/>
                <w:color w:val="auto"/>
                <w:szCs w:val="21"/>
              </w:rPr>
            </w:pPr>
          </w:p>
        </w:tc>
        <w:tc>
          <w:tcPr>
            <w:tcW w:w="1334" w:type="dxa"/>
            <w:tcBorders>
              <w:top w:val="nil"/>
            </w:tcBorders>
            <w:vAlign w:val="bottom"/>
          </w:tcPr>
          <w:p w14:paraId="53E4743C">
            <w:pPr>
              <w:shd w:val="clear"/>
              <w:jc w:val="center"/>
              <w:rPr>
                <w:rFonts w:ascii="仿宋_GB2312" w:eastAsia="仿宋_GB2312"/>
                <w:color w:val="auto"/>
                <w:szCs w:val="21"/>
              </w:rPr>
            </w:pPr>
          </w:p>
        </w:tc>
        <w:tc>
          <w:tcPr>
            <w:tcW w:w="920" w:type="dxa"/>
            <w:tcBorders>
              <w:top w:val="nil"/>
            </w:tcBorders>
            <w:vAlign w:val="center"/>
          </w:tcPr>
          <w:p w14:paraId="323B7C90">
            <w:pPr>
              <w:pStyle w:val="10"/>
              <w:keepNext/>
              <w:shd w:val="clear"/>
              <w:ind w:left="63" w:right="63"/>
              <w:rPr>
                <w:rFonts w:hAnsi="宋体" w:cs="宋体"/>
                <w:color w:val="auto"/>
                <w:sz w:val="21"/>
                <w:lang w:val="en-US"/>
              </w:rPr>
            </w:pPr>
          </w:p>
        </w:tc>
        <w:tc>
          <w:tcPr>
            <w:tcW w:w="828" w:type="dxa"/>
            <w:tcBorders>
              <w:top w:val="nil"/>
            </w:tcBorders>
            <w:vAlign w:val="center"/>
          </w:tcPr>
          <w:p w14:paraId="781B2D61">
            <w:pPr>
              <w:pStyle w:val="10"/>
              <w:keepNext/>
              <w:shd w:val="clear"/>
              <w:ind w:left="63" w:right="63"/>
              <w:rPr>
                <w:rFonts w:hAnsi="宋体" w:cs="宋体"/>
                <w:color w:val="auto"/>
                <w:sz w:val="21"/>
                <w:lang w:val="en-US"/>
              </w:rPr>
            </w:pPr>
          </w:p>
        </w:tc>
      </w:tr>
      <w:tr w14:paraId="7E45E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6B9DA36">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1549" w:type="dxa"/>
            <w:vAlign w:val="center"/>
          </w:tcPr>
          <w:p w14:paraId="79F19E56">
            <w:pPr>
              <w:shd w:val="clear"/>
              <w:jc w:val="center"/>
              <w:rPr>
                <w:rFonts w:ascii="仿宋_GB2312" w:eastAsia="仿宋_GB2312"/>
                <w:color w:val="auto"/>
                <w:szCs w:val="21"/>
              </w:rPr>
            </w:pPr>
          </w:p>
        </w:tc>
        <w:tc>
          <w:tcPr>
            <w:tcW w:w="1001" w:type="dxa"/>
            <w:vAlign w:val="center"/>
          </w:tcPr>
          <w:p w14:paraId="1B76937A">
            <w:pPr>
              <w:shd w:val="clear"/>
              <w:jc w:val="center"/>
              <w:rPr>
                <w:rFonts w:ascii="仿宋_GB2312" w:hAnsi="宋体" w:eastAsia="仿宋_GB2312" w:cs="宋体"/>
                <w:color w:val="auto"/>
                <w:kern w:val="0"/>
                <w:szCs w:val="21"/>
              </w:rPr>
            </w:pPr>
          </w:p>
        </w:tc>
        <w:tc>
          <w:tcPr>
            <w:tcW w:w="718" w:type="dxa"/>
            <w:vAlign w:val="bottom"/>
          </w:tcPr>
          <w:p w14:paraId="5CE051A8">
            <w:pPr>
              <w:shd w:val="clear"/>
              <w:jc w:val="center"/>
              <w:rPr>
                <w:rFonts w:ascii="仿宋_GB2312" w:eastAsia="仿宋_GB2312"/>
                <w:color w:val="auto"/>
                <w:szCs w:val="21"/>
              </w:rPr>
            </w:pPr>
          </w:p>
        </w:tc>
        <w:tc>
          <w:tcPr>
            <w:tcW w:w="794" w:type="dxa"/>
            <w:vAlign w:val="center"/>
          </w:tcPr>
          <w:p w14:paraId="3DCA5C0C">
            <w:pPr>
              <w:shd w:val="clear"/>
              <w:jc w:val="center"/>
              <w:rPr>
                <w:rFonts w:ascii="仿宋_GB2312" w:hAnsi="宋体" w:eastAsia="仿宋_GB2312"/>
                <w:color w:val="auto"/>
                <w:szCs w:val="21"/>
              </w:rPr>
            </w:pPr>
          </w:p>
        </w:tc>
        <w:tc>
          <w:tcPr>
            <w:tcW w:w="920" w:type="dxa"/>
            <w:vAlign w:val="center"/>
          </w:tcPr>
          <w:p w14:paraId="1CD4753F">
            <w:pPr>
              <w:shd w:val="clear"/>
              <w:ind w:firstLine="425"/>
              <w:jc w:val="center"/>
              <w:rPr>
                <w:rFonts w:ascii="仿宋_GB2312" w:hAnsi="宋体" w:eastAsia="仿宋_GB2312"/>
                <w:b/>
                <w:color w:val="auto"/>
                <w:szCs w:val="21"/>
              </w:rPr>
            </w:pPr>
          </w:p>
        </w:tc>
        <w:tc>
          <w:tcPr>
            <w:tcW w:w="1334" w:type="dxa"/>
            <w:vAlign w:val="bottom"/>
          </w:tcPr>
          <w:p w14:paraId="6A4A5D2A">
            <w:pPr>
              <w:shd w:val="clear"/>
              <w:jc w:val="center"/>
              <w:rPr>
                <w:rFonts w:ascii="仿宋_GB2312" w:eastAsia="仿宋_GB2312"/>
                <w:color w:val="auto"/>
                <w:szCs w:val="21"/>
              </w:rPr>
            </w:pPr>
          </w:p>
        </w:tc>
        <w:tc>
          <w:tcPr>
            <w:tcW w:w="920" w:type="dxa"/>
            <w:vAlign w:val="center"/>
          </w:tcPr>
          <w:p w14:paraId="0ECB4C22">
            <w:pPr>
              <w:pStyle w:val="10"/>
              <w:keepNext/>
              <w:shd w:val="clear"/>
              <w:ind w:left="63" w:right="63"/>
              <w:rPr>
                <w:rFonts w:hAnsi="宋体" w:cs="宋体"/>
                <w:color w:val="auto"/>
                <w:sz w:val="21"/>
                <w:lang w:val="en-US"/>
              </w:rPr>
            </w:pPr>
          </w:p>
        </w:tc>
        <w:tc>
          <w:tcPr>
            <w:tcW w:w="828" w:type="dxa"/>
            <w:vAlign w:val="center"/>
          </w:tcPr>
          <w:p w14:paraId="2456289C">
            <w:pPr>
              <w:pStyle w:val="10"/>
              <w:keepNext/>
              <w:shd w:val="clear"/>
              <w:ind w:left="63" w:right="63"/>
              <w:rPr>
                <w:rFonts w:hAnsi="宋体" w:cs="宋体"/>
                <w:color w:val="auto"/>
                <w:sz w:val="21"/>
                <w:lang w:val="en-US"/>
              </w:rPr>
            </w:pPr>
          </w:p>
        </w:tc>
      </w:tr>
      <w:tr w14:paraId="319BD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8130A39">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1549" w:type="dxa"/>
            <w:vAlign w:val="center"/>
          </w:tcPr>
          <w:p w14:paraId="78B61FCA">
            <w:pPr>
              <w:shd w:val="clear"/>
              <w:jc w:val="center"/>
              <w:rPr>
                <w:rFonts w:ascii="仿宋_GB2312" w:eastAsia="仿宋_GB2312"/>
                <w:color w:val="auto"/>
                <w:szCs w:val="21"/>
              </w:rPr>
            </w:pPr>
          </w:p>
        </w:tc>
        <w:tc>
          <w:tcPr>
            <w:tcW w:w="1001" w:type="dxa"/>
            <w:vAlign w:val="center"/>
          </w:tcPr>
          <w:p w14:paraId="7632A697">
            <w:pPr>
              <w:shd w:val="clear"/>
              <w:jc w:val="center"/>
              <w:rPr>
                <w:rFonts w:ascii="仿宋_GB2312" w:hAnsi="宋体" w:eastAsia="仿宋_GB2312" w:cs="宋体"/>
                <w:color w:val="auto"/>
                <w:kern w:val="0"/>
                <w:szCs w:val="21"/>
              </w:rPr>
            </w:pPr>
          </w:p>
        </w:tc>
        <w:tc>
          <w:tcPr>
            <w:tcW w:w="718" w:type="dxa"/>
            <w:vAlign w:val="bottom"/>
          </w:tcPr>
          <w:p w14:paraId="19108F74">
            <w:pPr>
              <w:shd w:val="clear"/>
              <w:jc w:val="center"/>
              <w:rPr>
                <w:rFonts w:ascii="仿宋_GB2312" w:eastAsia="仿宋_GB2312"/>
                <w:color w:val="auto"/>
                <w:szCs w:val="21"/>
              </w:rPr>
            </w:pPr>
          </w:p>
        </w:tc>
        <w:tc>
          <w:tcPr>
            <w:tcW w:w="794" w:type="dxa"/>
            <w:vAlign w:val="center"/>
          </w:tcPr>
          <w:p w14:paraId="629092EF">
            <w:pPr>
              <w:shd w:val="clear"/>
              <w:jc w:val="center"/>
              <w:rPr>
                <w:rFonts w:ascii="仿宋_GB2312" w:hAnsi="宋体" w:eastAsia="仿宋_GB2312"/>
                <w:color w:val="auto"/>
                <w:szCs w:val="21"/>
              </w:rPr>
            </w:pPr>
          </w:p>
        </w:tc>
        <w:tc>
          <w:tcPr>
            <w:tcW w:w="920" w:type="dxa"/>
            <w:vAlign w:val="center"/>
          </w:tcPr>
          <w:p w14:paraId="1CC3F398">
            <w:pPr>
              <w:shd w:val="clear"/>
              <w:ind w:firstLine="425"/>
              <w:jc w:val="center"/>
              <w:rPr>
                <w:rFonts w:ascii="仿宋_GB2312" w:hAnsi="宋体" w:eastAsia="仿宋_GB2312"/>
                <w:b/>
                <w:color w:val="auto"/>
                <w:szCs w:val="21"/>
              </w:rPr>
            </w:pPr>
          </w:p>
        </w:tc>
        <w:tc>
          <w:tcPr>
            <w:tcW w:w="1334" w:type="dxa"/>
            <w:vAlign w:val="bottom"/>
          </w:tcPr>
          <w:p w14:paraId="32FF3969">
            <w:pPr>
              <w:shd w:val="clear"/>
              <w:jc w:val="center"/>
              <w:rPr>
                <w:rFonts w:ascii="仿宋_GB2312" w:eastAsia="仿宋_GB2312"/>
                <w:color w:val="auto"/>
                <w:szCs w:val="21"/>
              </w:rPr>
            </w:pPr>
          </w:p>
        </w:tc>
        <w:tc>
          <w:tcPr>
            <w:tcW w:w="920" w:type="dxa"/>
            <w:vAlign w:val="center"/>
          </w:tcPr>
          <w:p w14:paraId="7BF0ADDE">
            <w:pPr>
              <w:pStyle w:val="10"/>
              <w:keepNext/>
              <w:shd w:val="clear"/>
              <w:ind w:left="63" w:right="63"/>
              <w:rPr>
                <w:rFonts w:hAnsi="宋体" w:cs="宋体"/>
                <w:color w:val="auto"/>
                <w:sz w:val="21"/>
                <w:lang w:val="en-US"/>
              </w:rPr>
            </w:pPr>
          </w:p>
        </w:tc>
        <w:tc>
          <w:tcPr>
            <w:tcW w:w="828" w:type="dxa"/>
            <w:vAlign w:val="center"/>
          </w:tcPr>
          <w:p w14:paraId="419DB63D">
            <w:pPr>
              <w:pStyle w:val="10"/>
              <w:keepNext/>
              <w:shd w:val="clear"/>
              <w:ind w:left="63" w:right="63"/>
              <w:rPr>
                <w:rFonts w:hAnsi="宋体" w:cs="宋体"/>
                <w:color w:val="auto"/>
                <w:sz w:val="21"/>
                <w:lang w:val="en-US"/>
              </w:rPr>
            </w:pPr>
          </w:p>
        </w:tc>
      </w:tr>
      <w:tr w14:paraId="1B4C8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C2D023B">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p>
        </w:tc>
        <w:tc>
          <w:tcPr>
            <w:tcW w:w="1549" w:type="dxa"/>
            <w:vAlign w:val="center"/>
          </w:tcPr>
          <w:p w14:paraId="224978C6">
            <w:pPr>
              <w:shd w:val="clear"/>
              <w:jc w:val="center"/>
              <w:rPr>
                <w:rFonts w:ascii="仿宋_GB2312" w:eastAsia="仿宋_GB2312"/>
                <w:color w:val="auto"/>
                <w:szCs w:val="21"/>
              </w:rPr>
            </w:pPr>
          </w:p>
        </w:tc>
        <w:tc>
          <w:tcPr>
            <w:tcW w:w="1001" w:type="dxa"/>
            <w:vAlign w:val="center"/>
          </w:tcPr>
          <w:p w14:paraId="35B887E2">
            <w:pPr>
              <w:shd w:val="clear"/>
              <w:jc w:val="center"/>
              <w:rPr>
                <w:rFonts w:ascii="仿宋_GB2312" w:hAnsi="宋体" w:eastAsia="仿宋_GB2312" w:cs="宋体"/>
                <w:color w:val="auto"/>
                <w:kern w:val="0"/>
                <w:szCs w:val="21"/>
              </w:rPr>
            </w:pPr>
          </w:p>
        </w:tc>
        <w:tc>
          <w:tcPr>
            <w:tcW w:w="718" w:type="dxa"/>
            <w:vAlign w:val="bottom"/>
          </w:tcPr>
          <w:p w14:paraId="6D90089C">
            <w:pPr>
              <w:shd w:val="clear"/>
              <w:jc w:val="center"/>
              <w:rPr>
                <w:rFonts w:ascii="仿宋_GB2312" w:eastAsia="仿宋_GB2312"/>
                <w:color w:val="auto"/>
                <w:szCs w:val="21"/>
              </w:rPr>
            </w:pPr>
          </w:p>
        </w:tc>
        <w:tc>
          <w:tcPr>
            <w:tcW w:w="794" w:type="dxa"/>
            <w:vAlign w:val="center"/>
          </w:tcPr>
          <w:p w14:paraId="260AA1AA">
            <w:pPr>
              <w:shd w:val="clear"/>
              <w:jc w:val="center"/>
              <w:rPr>
                <w:rFonts w:ascii="仿宋_GB2312" w:hAnsi="宋体" w:eastAsia="仿宋_GB2312"/>
                <w:color w:val="auto"/>
                <w:szCs w:val="21"/>
              </w:rPr>
            </w:pPr>
          </w:p>
        </w:tc>
        <w:tc>
          <w:tcPr>
            <w:tcW w:w="920" w:type="dxa"/>
            <w:vAlign w:val="center"/>
          </w:tcPr>
          <w:p w14:paraId="49627B61">
            <w:pPr>
              <w:shd w:val="clear"/>
              <w:ind w:firstLine="425"/>
              <w:jc w:val="center"/>
              <w:rPr>
                <w:rFonts w:ascii="仿宋_GB2312" w:hAnsi="宋体" w:eastAsia="仿宋_GB2312"/>
                <w:b/>
                <w:color w:val="auto"/>
                <w:szCs w:val="21"/>
              </w:rPr>
            </w:pPr>
          </w:p>
        </w:tc>
        <w:tc>
          <w:tcPr>
            <w:tcW w:w="1334" w:type="dxa"/>
            <w:vAlign w:val="bottom"/>
          </w:tcPr>
          <w:p w14:paraId="0003199D">
            <w:pPr>
              <w:shd w:val="clear"/>
              <w:jc w:val="center"/>
              <w:rPr>
                <w:rFonts w:ascii="仿宋_GB2312" w:eastAsia="仿宋_GB2312"/>
                <w:color w:val="auto"/>
                <w:szCs w:val="21"/>
              </w:rPr>
            </w:pPr>
          </w:p>
        </w:tc>
        <w:tc>
          <w:tcPr>
            <w:tcW w:w="920" w:type="dxa"/>
            <w:vAlign w:val="center"/>
          </w:tcPr>
          <w:p w14:paraId="6FE55372">
            <w:pPr>
              <w:pStyle w:val="10"/>
              <w:keepNext/>
              <w:shd w:val="clear"/>
              <w:ind w:left="63" w:right="63"/>
              <w:rPr>
                <w:rFonts w:hAnsi="宋体" w:cs="宋体"/>
                <w:color w:val="auto"/>
                <w:sz w:val="21"/>
                <w:lang w:val="en-US"/>
              </w:rPr>
            </w:pPr>
          </w:p>
        </w:tc>
        <w:tc>
          <w:tcPr>
            <w:tcW w:w="828" w:type="dxa"/>
            <w:vAlign w:val="center"/>
          </w:tcPr>
          <w:p w14:paraId="29D173DA">
            <w:pPr>
              <w:pStyle w:val="10"/>
              <w:keepNext/>
              <w:shd w:val="clear"/>
              <w:ind w:left="63" w:right="63"/>
              <w:rPr>
                <w:rFonts w:hAnsi="宋体" w:cs="宋体"/>
                <w:color w:val="auto"/>
                <w:sz w:val="21"/>
                <w:lang w:val="en-US"/>
              </w:rPr>
            </w:pPr>
          </w:p>
        </w:tc>
      </w:tr>
      <w:tr w14:paraId="7D302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E462129">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w:t>
            </w:r>
          </w:p>
        </w:tc>
        <w:tc>
          <w:tcPr>
            <w:tcW w:w="1549" w:type="dxa"/>
            <w:vAlign w:val="center"/>
          </w:tcPr>
          <w:p w14:paraId="2919360C">
            <w:pPr>
              <w:shd w:val="clear"/>
              <w:jc w:val="center"/>
              <w:rPr>
                <w:rFonts w:ascii="仿宋_GB2312" w:eastAsia="仿宋_GB2312"/>
                <w:color w:val="auto"/>
                <w:szCs w:val="21"/>
              </w:rPr>
            </w:pPr>
          </w:p>
        </w:tc>
        <w:tc>
          <w:tcPr>
            <w:tcW w:w="1001" w:type="dxa"/>
            <w:vAlign w:val="center"/>
          </w:tcPr>
          <w:p w14:paraId="587642D6">
            <w:pPr>
              <w:shd w:val="clear"/>
              <w:jc w:val="center"/>
              <w:rPr>
                <w:rFonts w:ascii="仿宋_GB2312" w:hAnsi="宋体" w:eastAsia="仿宋_GB2312" w:cs="宋体"/>
                <w:color w:val="auto"/>
                <w:kern w:val="0"/>
                <w:szCs w:val="21"/>
              </w:rPr>
            </w:pPr>
          </w:p>
        </w:tc>
        <w:tc>
          <w:tcPr>
            <w:tcW w:w="718" w:type="dxa"/>
            <w:vAlign w:val="bottom"/>
          </w:tcPr>
          <w:p w14:paraId="1973D929">
            <w:pPr>
              <w:shd w:val="clear"/>
              <w:jc w:val="center"/>
              <w:rPr>
                <w:rFonts w:ascii="仿宋_GB2312" w:eastAsia="仿宋_GB2312"/>
                <w:color w:val="auto"/>
                <w:szCs w:val="21"/>
              </w:rPr>
            </w:pPr>
          </w:p>
        </w:tc>
        <w:tc>
          <w:tcPr>
            <w:tcW w:w="794" w:type="dxa"/>
            <w:vAlign w:val="center"/>
          </w:tcPr>
          <w:p w14:paraId="7DA55BA5">
            <w:pPr>
              <w:shd w:val="clear"/>
              <w:jc w:val="center"/>
              <w:rPr>
                <w:rFonts w:ascii="仿宋_GB2312" w:hAnsi="宋体" w:eastAsia="仿宋_GB2312"/>
                <w:color w:val="auto"/>
                <w:szCs w:val="21"/>
              </w:rPr>
            </w:pPr>
          </w:p>
        </w:tc>
        <w:tc>
          <w:tcPr>
            <w:tcW w:w="920" w:type="dxa"/>
            <w:vAlign w:val="center"/>
          </w:tcPr>
          <w:p w14:paraId="46277C7C">
            <w:pPr>
              <w:shd w:val="clear"/>
              <w:ind w:firstLine="425"/>
              <w:jc w:val="center"/>
              <w:rPr>
                <w:rFonts w:ascii="仿宋_GB2312" w:hAnsi="宋体" w:eastAsia="仿宋_GB2312"/>
                <w:b/>
                <w:color w:val="auto"/>
                <w:szCs w:val="21"/>
              </w:rPr>
            </w:pPr>
          </w:p>
        </w:tc>
        <w:tc>
          <w:tcPr>
            <w:tcW w:w="1334" w:type="dxa"/>
            <w:vAlign w:val="bottom"/>
          </w:tcPr>
          <w:p w14:paraId="6B869A58">
            <w:pPr>
              <w:shd w:val="clear"/>
              <w:jc w:val="center"/>
              <w:rPr>
                <w:rFonts w:ascii="仿宋_GB2312" w:eastAsia="仿宋_GB2312"/>
                <w:color w:val="auto"/>
                <w:szCs w:val="21"/>
              </w:rPr>
            </w:pPr>
          </w:p>
        </w:tc>
        <w:tc>
          <w:tcPr>
            <w:tcW w:w="920" w:type="dxa"/>
            <w:vAlign w:val="center"/>
          </w:tcPr>
          <w:p w14:paraId="1494F1A7">
            <w:pPr>
              <w:pStyle w:val="10"/>
              <w:keepNext/>
              <w:shd w:val="clear"/>
              <w:ind w:left="63" w:right="63"/>
              <w:rPr>
                <w:rFonts w:hAnsi="宋体" w:cs="宋体"/>
                <w:color w:val="auto"/>
                <w:sz w:val="21"/>
                <w:lang w:val="en-US"/>
              </w:rPr>
            </w:pPr>
          </w:p>
        </w:tc>
        <w:tc>
          <w:tcPr>
            <w:tcW w:w="828" w:type="dxa"/>
            <w:vAlign w:val="center"/>
          </w:tcPr>
          <w:p w14:paraId="337CA6AE">
            <w:pPr>
              <w:pStyle w:val="10"/>
              <w:keepNext/>
              <w:shd w:val="clear"/>
              <w:ind w:left="63" w:right="63"/>
              <w:rPr>
                <w:rFonts w:hAnsi="宋体" w:cs="宋体"/>
                <w:color w:val="auto"/>
                <w:sz w:val="21"/>
                <w:lang w:val="en-US"/>
              </w:rPr>
            </w:pPr>
          </w:p>
        </w:tc>
      </w:tr>
      <w:tr w14:paraId="644FE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72E91DD">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7</w:t>
            </w:r>
          </w:p>
        </w:tc>
        <w:tc>
          <w:tcPr>
            <w:tcW w:w="1549" w:type="dxa"/>
            <w:vAlign w:val="center"/>
          </w:tcPr>
          <w:p w14:paraId="69447C98">
            <w:pPr>
              <w:shd w:val="clear"/>
              <w:jc w:val="center"/>
              <w:rPr>
                <w:rFonts w:ascii="仿宋_GB2312" w:eastAsia="仿宋_GB2312"/>
                <w:color w:val="auto"/>
                <w:szCs w:val="21"/>
              </w:rPr>
            </w:pPr>
          </w:p>
        </w:tc>
        <w:tc>
          <w:tcPr>
            <w:tcW w:w="1001" w:type="dxa"/>
            <w:vAlign w:val="center"/>
          </w:tcPr>
          <w:p w14:paraId="1F779652">
            <w:pPr>
              <w:shd w:val="clear"/>
              <w:jc w:val="center"/>
              <w:rPr>
                <w:rFonts w:ascii="仿宋_GB2312" w:hAnsi="宋体" w:eastAsia="仿宋_GB2312" w:cs="宋体"/>
                <w:color w:val="auto"/>
                <w:kern w:val="0"/>
                <w:szCs w:val="21"/>
              </w:rPr>
            </w:pPr>
          </w:p>
        </w:tc>
        <w:tc>
          <w:tcPr>
            <w:tcW w:w="718" w:type="dxa"/>
            <w:vAlign w:val="bottom"/>
          </w:tcPr>
          <w:p w14:paraId="31EDBD39">
            <w:pPr>
              <w:shd w:val="clear"/>
              <w:jc w:val="center"/>
              <w:rPr>
                <w:rFonts w:ascii="仿宋_GB2312" w:eastAsia="仿宋_GB2312"/>
                <w:color w:val="auto"/>
                <w:szCs w:val="21"/>
              </w:rPr>
            </w:pPr>
          </w:p>
        </w:tc>
        <w:tc>
          <w:tcPr>
            <w:tcW w:w="794" w:type="dxa"/>
            <w:vAlign w:val="center"/>
          </w:tcPr>
          <w:p w14:paraId="259EB54D">
            <w:pPr>
              <w:shd w:val="clear"/>
              <w:jc w:val="center"/>
              <w:rPr>
                <w:rFonts w:ascii="仿宋_GB2312" w:hAnsi="宋体" w:eastAsia="仿宋_GB2312"/>
                <w:color w:val="auto"/>
                <w:szCs w:val="21"/>
              </w:rPr>
            </w:pPr>
          </w:p>
        </w:tc>
        <w:tc>
          <w:tcPr>
            <w:tcW w:w="920" w:type="dxa"/>
            <w:vAlign w:val="center"/>
          </w:tcPr>
          <w:p w14:paraId="7A97EE2F">
            <w:pPr>
              <w:shd w:val="clear"/>
              <w:ind w:firstLine="425"/>
              <w:jc w:val="center"/>
              <w:rPr>
                <w:rFonts w:ascii="仿宋_GB2312" w:hAnsi="宋体" w:eastAsia="仿宋_GB2312"/>
                <w:b/>
                <w:color w:val="auto"/>
                <w:szCs w:val="21"/>
              </w:rPr>
            </w:pPr>
          </w:p>
        </w:tc>
        <w:tc>
          <w:tcPr>
            <w:tcW w:w="1334" w:type="dxa"/>
            <w:vAlign w:val="bottom"/>
          </w:tcPr>
          <w:p w14:paraId="7948D763">
            <w:pPr>
              <w:shd w:val="clear"/>
              <w:jc w:val="center"/>
              <w:rPr>
                <w:rFonts w:ascii="仿宋_GB2312" w:eastAsia="仿宋_GB2312"/>
                <w:color w:val="auto"/>
                <w:szCs w:val="21"/>
              </w:rPr>
            </w:pPr>
          </w:p>
        </w:tc>
        <w:tc>
          <w:tcPr>
            <w:tcW w:w="920" w:type="dxa"/>
            <w:vAlign w:val="center"/>
          </w:tcPr>
          <w:p w14:paraId="404859D0">
            <w:pPr>
              <w:pStyle w:val="10"/>
              <w:keepNext/>
              <w:shd w:val="clear"/>
              <w:ind w:left="63" w:right="63"/>
              <w:rPr>
                <w:rFonts w:hAnsi="宋体" w:cs="宋体"/>
                <w:color w:val="auto"/>
                <w:sz w:val="21"/>
                <w:lang w:val="en-US"/>
              </w:rPr>
            </w:pPr>
          </w:p>
        </w:tc>
        <w:tc>
          <w:tcPr>
            <w:tcW w:w="828" w:type="dxa"/>
            <w:vAlign w:val="center"/>
          </w:tcPr>
          <w:p w14:paraId="62CE5206">
            <w:pPr>
              <w:pStyle w:val="10"/>
              <w:keepNext/>
              <w:shd w:val="clear"/>
              <w:ind w:left="63" w:right="63"/>
              <w:rPr>
                <w:rFonts w:hAnsi="宋体" w:cs="宋体"/>
                <w:color w:val="auto"/>
                <w:sz w:val="21"/>
                <w:lang w:val="en-US"/>
              </w:rPr>
            </w:pPr>
          </w:p>
        </w:tc>
      </w:tr>
      <w:tr w14:paraId="6401C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450375BC">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w:t>
            </w:r>
          </w:p>
        </w:tc>
        <w:tc>
          <w:tcPr>
            <w:tcW w:w="1549" w:type="dxa"/>
            <w:vAlign w:val="center"/>
          </w:tcPr>
          <w:p w14:paraId="078745E6">
            <w:pPr>
              <w:shd w:val="clear"/>
              <w:jc w:val="center"/>
              <w:rPr>
                <w:rFonts w:ascii="仿宋_GB2312" w:eastAsia="仿宋_GB2312"/>
                <w:color w:val="auto"/>
                <w:szCs w:val="21"/>
              </w:rPr>
            </w:pPr>
          </w:p>
        </w:tc>
        <w:tc>
          <w:tcPr>
            <w:tcW w:w="1001" w:type="dxa"/>
            <w:vAlign w:val="center"/>
          </w:tcPr>
          <w:p w14:paraId="76C7FF34">
            <w:pPr>
              <w:shd w:val="clear"/>
              <w:jc w:val="center"/>
              <w:rPr>
                <w:rFonts w:ascii="仿宋_GB2312" w:hAnsi="宋体" w:eastAsia="仿宋_GB2312" w:cs="宋体"/>
                <w:color w:val="auto"/>
                <w:kern w:val="0"/>
                <w:szCs w:val="21"/>
              </w:rPr>
            </w:pPr>
          </w:p>
        </w:tc>
        <w:tc>
          <w:tcPr>
            <w:tcW w:w="718" w:type="dxa"/>
            <w:vAlign w:val="bottom"/>
          </w:tcPr>
          <w:p w14:paraId="77BD8365">
            <w:pPr>
              <w:shd w:val="clear"/>
              <w:jc w:val="center"/>
              <w:rPr>
                <w:rFonts w:ascii="仿宋_GB2312" w:eastAsia="仿宋_GB2312"/>
                <w:color w:val="auto"/>
                <w:szCs w:val="21"/>
              </w:rPr>
            </w:pPr>
          </w:p>
        </w:tc>
        <w:tc>
          <w:tcPr>
            <w:tcW w:w="794" w:type="dxa"/>
            <w:vAlign w:val="center"/>
          </w:tcPr>
          <w:p w14:paraId="3ABF169F">
            <w:pPr>
              <w:shd w:val="clear"/>
              <w:jc w:val="center"/>
              <w:rPr>
                <w:rFonts w:ascii="仿宋_GB2312" w:hAnsi="宋体" w:eastAsia="仿宋_GB2312"/>
                <w:color w:val="auto"/>
                <w:szCs w:val="21"/>
              </w:rPr>
            </w:pPr>
          </w:p>
        </w:tc>
        <w:tc>
          <w:tcPr>
            <w:tcW w:w="920" w:type="dxa"/>
            <w:vAlign w:val="center"/>
          </w:tcPr>
          <w:p w14:paraId="3923F87B">
            <w:pPr>
              <w:shd w:val="clear"/>
              <w:ind w:firstLine="425"/>
              <w:jc w:val="center"/>
              <w:rPr>
                <w:rFonts w:ascii="仿宋_GB2312" w:hAnsi="宋体" w:eastAsia="仿宋_GB2312"/>
                <w:b/>
                <w:color w:val="auto"/>
                <w:szCs w:val="21"/>
              </w:rPr>
            </w:pPr>
          </w:p>
        </w:tc>
        <w:tc>
          <w:tcPr>
            <w:tcW w:w="1334" w:type="dxa"/>
            <w:vAlign w:val="bottom"/>
          </w:tcPr>
          <w:p w14:paraId="4AD278F5">
            <w:pPr>
              <w:shd w:val="clear"/>
              <w:jc w:val="center"/>
              <w:rPr>
                <w:rFonts w:ascii="仿宋_GB2312" w:eastAsia="仿宋_GB2312"/>
                <w:color w:val="auto"/>
                <w:szCs w:val="21"/>
              </w:rPr>
            </w:pPr>
          </w:p>
        </w:tc>
        <w:tc>
          <w:tcPr>
            <w:tcW w:w="920" w:type="dxa"/>
            <w:vAlign w:val="center"/>
          </w:tcPr>
          <w:p w14:paraId="0E0DEF88">
            <w:pPr>
              <w:pStyle w:val="10"/>
              <w:keepNext/>
              <w:shd w:val="clear"/>
              <w:ind w:left="63" w:right="63"/>
              <w:rPr>
                <w:rFonts w:hAnsi="宋体" w:cs="宋体"/>
                <w:color w:val="auto"/>
                <w:sz w:val="21"/>
                <w:lang w:val="en-US"/>
              </w:rPr>
            </w:pPr>
          </w:p>
        </w:tc>
        <w:tc>
          <w:tcPr>
            <w:tcW w:w="828" w:type="dxa"/>
            <w:vAlign w:val="center"/>
          </w:tcPr>
          <w:p w14:paraId="51EBB737">
            <w:pPr>
              <w:pStyle w:val="10"/>
              <w:keepNext/>
              <w:shd w:val="clear"/>
              <w:ind w:left="63" w:right="63"/>
              <w:rPr>
                <w:rFonts w:hAnsi="宋体" w:cs="宋体"/>
                <w:color w:val="auto"/>
                <w:sz w:val="21"/>
                <w:lang w:val="en-US"/>
              </w:rPr>
            </w:pPr>
          </w:p>
        </w:tc>
      </w:tr>
      <w:tr w14:paraId="10391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2B47FC70">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9</w:t>
            </w:r>
          </w:p>
        </w:tc>
        <w:tc>
          <w:tcPr>
            <w:tcW w:w="1549" w:type="dxa"/>
            <w:vAlign w:val="center"/>
          </w:tcPr>
          <w:p w14:paraId="4320B79F">
            <w:pPr>
              <w:shd w:val="clear"/>
              <w:jc w:val="center"/>
              <w:rPr>
                <w:rFonts w:ascii="仿宋_GB2312" w:eastAsia="仿宋_GB2312"/>
                <w:color w:val="auto"/>
                <w:szCs w:val="21"/>
              </w:rPr>
            </w:pPr>
          </w:p>
        </w:tc>
        <w:tc>
          <w:tcPr>
            <w:tcW w:w="1001" w:type="dxa"/>
            <w:vAlign w:val="center"/>
          </w:tcPr>
          <w:p w14:paraId="6E72977B">
            <w:pPr>
              <w:shd w:val="clear"/>
              <w:jc w:val="center"/>
              <w:rPr>
                <w:rFonts w:ascii="仿宋_GB2312" w:hAnsi="宋体" w:eastAsia="仿宋_GB2312" w:cs="宋体"/>
                <w:color w:val="auto"/>
                <w:kern w:val="0"/>
                <w:szCs w:val="21"/>
              </w:rPr>
            </w:pPr>
          </w:p>
        </w:tc>
        <w:tc>
          <w:tcPr>
            <w:tcW w:w="718" w:type="dxa"/>
            <w:vAlign w:val="bottom"/>
          </w:tcPr>
          <w:p w14:paraId="798335BA">
            <w:pPr>
              <w:shd w:val="clear"/>
              <w:jc w:val="center"/>
              <w:rPr>
                <w:rFonts w:ascii="仿宋_GB2312" w:eastAsia="仿宋_GB2312"/>
                <w:color w:val="auto"/>
                <w:szCs w:val="21"/>
              </w:rPr>
            </w:pPr>
          </w:p>
        </w:tc>
        <w:tc>
          <w:tcPr>
            <w:tcW w:w="794" w:type="dxa"/>
            <w:vAlign w:val="center"/>
          </w:tcPr>
          <w:p w14:paraId="575D4F48">
            <w:pPr>
              <w:shd w:val="clear"/>
              <w:jc w:val="center"/>
              <w:rPr>
                <w:rFonts w:ascii="仿宋_GB2312" w:hAnsi="宋体" w:eastAsia="仿宋_GB2312"/>
                <w:color w:val="auto"/>
                <w:szCs w:val="21"/>
              </w:rPr>
            </w:pPr>
          </w:p>
        </w:tc>
        <w:tc>
          <w:tcPr>
            <w:tcW w:w="920" w:type="dxa"/>
            <w:vAlign w:val="center"/>
          </w:tcPr>
          <w:p w14:paraId="41C50E66">
            <w:pPr>
              <w:shd w:val="clear"/>
              <w:ind w:firstLine="425"/>
              <w:jc w:val="center"/>
              <w:rPr>
                <w:rFonts w:ascii="仿宋_GB2312" w:hAnsi="宋体" w:eastAsia="仿宋_GB2312"/>
                <w:b/>
                <w:color w:val="auto"/>
                <w:szCs w:val="21"/>
              </w:rPr>
            </w:pPr>
          </w:p>
        </w:tc>
        <w:tc>
          <w:tcPr>
            <w:tcW w:w="1334" w:type="dxa"/>
            <w:vAlign w:val="bottom"/>
          </w:tcPr>
          <w:p w14:paraId="3F2B3AF5">
            <w:pPr>
              <w:shd w:val="clear"/>
              <w:jc w:val="center"/>
              <w:rPr>
                <w:rFonts w:ascii="仿宋_GB2312" w:eastAsia="仿宋_GB2312"/>
                <w:color w:val="auto"/>
                <w:szCs w:val="21"/>
              </w:rPr>
            </w:pPr>
          </w:p>
        </w:tc>
        <w:tc>
          <w:tcPr>
            <w:tcW w:w="920" w:type="dxa"/>
          </w:tcPr>
          <w:p w14:paraId="36B5C22A">
            <w:pPr>
              <w:shd w:val="clear"/>
              <w:spacing w:line="360" w:lineRule="auto"/>
              <w:rPr>
                <w:rFonts w:ascii="宋体" w:hAnsi="宋体" w:cs="宋体"/>
                <w:color w:val="auto"/>
                <w:szCs w:val="21"/>
              </w:rPr>
            </w:pPr>
          </w:p>
        </w:tc>
        <w:tc>
          <w:tcPr>
            <w:tcW w:w="828" w:type="dxa"/>
          </w:tcPr>
          <w:p w14:paraId="6BD574C2">
            <w:pPr>
              <w:shd w:val="clear"/>
              <w:spacing w:line="360" w:lineRule="auto"/>
              <w:rPr>
                <w:rFonts w:ascii="宋体" w:hAnsi="宋体" w:cs="宋体"/>
                <w:color w:val="auto"/>
                <w:szCs w:val="21"/>
              </w:rPr>
            </w:pPr>
          </w:p>
        </w:tc>
      </w:tr>
      <w:tr w14:paraId="4AF3A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89E5C85">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549" w:type="dxa"/>
            <w:vAlign w:val="center"/>
          </w:tcPr>
          <w:p w14:paraId="52E61560">
            <w:pPr>
              <w:shd w:val="clear"/>
              <w:jc w:val="center"/>
              <w:rPr>
                <w:rFonts w:ascii="仿宋_GB2312" w:eastAsia="仿宋_GB2312"/>
                <w:color w:val="auto"/>
                <w:szCs w:val="21"/>
              </w:rPr>
            </w:pPr>
          </w:p>
        </w:tc>
        <w:tc>
          <w:tcPr>
            <w:tcW w:w="1001" w:type="dxa"/>
            <w:vAlign w:val="center"/>
          </w:tcPr>
          <w:p w14:paraId="007A2C4F">
            <w:pPr>
              <w:shd w:val="clear"/>
              <w:jc w:val="center"/>
              <w:rPr>
                <w:rFonts w:ascii="仿宋_GB2312" w:hAnsi="宋体" w:eastAsia="仿宋_GB2312" w:cs="宋体"/>
                <w:color w:val="auto"/>
                <w:kern w:val="0"/>
                <w:szCs w:val="21"/>
              </w:rPr>
            </w:pPr>
          </w:p>
        </w:tc>
        <w:tc>
          <w:tcPr>
            <w:tcW w:w="718" w:type="dxa"/>
            <w:vAlign w:val="bottom"/>
          </w:tcPr>
          <w:p w14:paraId="78639B39">
            <w:pPr>
              <w:shd w:val="clear"/>
              <w:jc w:val="center"/>
              <w:rPr>
                <w:rFonts w:ascii="仿宋_GB2312" w:eastAsia="仿宋_GB2312"/>
                <w:color w:val="auto"/>
                <w:szCs w:val="21"/>
              </w:rPr>
            </w:pPr>
          </w:p>
        </w:tc>
        <w:tc>
          <w:tcPr>
            <w:tcW w:w="794" w:type="dxa"/>
            <w:vAlign w:val="center"/>
          </w:tcPr>
          <w:p w14:paraId="0BD066C0">
            <w:pPr>
              <w:shd w:val="clear"/>
              <w:jc w:val="center"/>
              <w:rPr>
                <w:rFonts w:ascii="仿宋_GB2312" w:hAnsi="宋体" w:eastAsia="仿宋_GB2312"/>
                <w:color w:val="auto"/>
                <w:szCs w:val="21"/>
              </w:rPr>
            </w:pPr>
          </w:p>
        </w:tc>
        <w:tc>
          <w:tcPr>
            <w:tcW w:w="920" w:type="dxa"/>
            <w:vAlign w:val="center"/>
          </w:tcPr>
          <w:p w14:paraId="7C043E5D">
            <w:pPr>
              <w:shd w:val="clear"/>
              <w:ind w:firstLine="425"/>
              <w:jc w:val="center"/>
              <w:rPr>
                <w:rFonts w:ascii="仿宋_GB2312" w:hAnsi="宋体" w:eastAsia="仿宋_GB2312"/>
                <w:b/>
                <w:color w:val="auto"/>
                <w:szCs w:val="21"/>
              </w:rPr>
            </w:pPr>
          </w:p>
        </w:tc>
        <w:tc>
          <w:tcPr>
            <w:tcW w:w="1334" w:type="dxa"/>
            <w:vAlign w:val="bottom"/>
          </w:tcPr>
          <w:p w14:paraId="5ED07DBB">
            <w:pPr>
              <w:shd w:val="clear"/>
              <w:jc w:val="center"/>
              <w:rPr>
                <w:rFonts w:ascii="仿宋_GB2312" w:eastAsia="仿宋_GB2312"/>
                <w:color w:val="auto"/>
                <w:szCs w:val="21"/>
              </w:rPr>
            </w:pPr>
          </w:p>
        </w:tc>
        <w:tc>
          <w:tcPr>
            <w:tcW w:w="920" w:type="dxa"/>
            <w:vAlign w:val="center"/>
          </w:tcPr>
          <w:p w14:paraId="5BA9B58A">
            <w:pPr>
              <w:pStyle w:val="10"/>
              <w:keepNext/>
              <w:shd w:val="clear"/>
              <w:ind w:left="63" w:right="63"/>
              <w:rPr>
                <w:rFonts w:hAnsi="宋体" w:cs="宋体"/>
                <w:color w:val="auto"/>
                <w:sz w:val="21"/>
                <w:lang w:val="en-US"/>
              </w:rPr>
            </w:pPr>
          </w:p>
        </w:tc>
        <w:tc>
          <w:tcPr>
            <w:tcW w:w="828" w:type="dxa"/>
            <w:vAlign w:val="center"/>
          </w:tcPr>
          <w:p w14:paraId="20EC6E21">
            <w:pPr>
              <w:pStyle w:val="10"/>
              <w:keepNext/>
              <w:shd w:val="clear"/>
              <w:ind w:left="63" w:right="63"/>
              <w:rPr>
                <w:rFonts w:hAnsi="宋体" w:cs="宋体"/>
                <w:color w:val="auto"/>
                <w:sz w:val="21"/>
                <w:lang w:val="en-US"/>
              </w:rPr>
            </w:pPr>
          </w:p>
        </w:tc>
      </w:tr>
      <w:tr w14:paraId="515D6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8F15BE2">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11</w:t>
            </w:r>
          </w:p>
        </w:tc>
        <w:tc>
          <w:tcPr>
            <w:tcW w:w="1549" w:type="dxa"/>
            <w:vAlign w:val="center"/>
          </w:tcPr>
          <w:p w14:paraId="4CD16449">
            <w:pPr>
              <w:shd w:val="clear"/>
              <w:jc w:val="center"/>
              <w:rPr>
                <w:rFonts w:ascii="仿宋_GB2312" w:eastAsia="仿宋_GB2312"/>
                <w:color w:val="auto"/>
                <w:szCs w:val="21"/>
              </w:rPr>
            </w:pPr>
          </w:p>
        </w:tc>
        <w:tc>
          <w:tcPr>
            <w:tcW w:w="1001" w:type="dxa"/>
            <w:vAlign w:val="center"/>
          </w:tcPr>
          <w:p w14:paraId="4831BBA7">
            <w:pPr>
              <w:shd w:val="clear"/>
              <w:jc w:val="center"/>
              <w:rPr>
                <w:rFonts w:ascii="仿宋_GB2312" w:hAnsi="宋体" w:eastAsia="仿宋_GB2312" w:cs="宋体"/>
                <w:color w:val="auto"/>
                <w:kern w:val="0"/>
                <w:szCs w:val="21"/>
              </w:rPr>
            </w:pPr>
          </w:p>
        </w:tc>
        <w:tc>
          <w:tcPr>
            <w:tcW w:w="718" w:type="dxa"/>
            <w:vAlign w:val="bottom"/>
          </w:tcPr>
          <w:p w14:paraId="2BF1FDFB">
            <w:pPr>
              <w:shd w:val="clear"/>
              <w:jc w:val="center"/>
              <w:rPr>
                <w:rFonts w:ascii="仿宋_GB2312" w:eastAsia="仿宋_GB2312"/>
                <w:color w:val="auto"/>
                <w:szCs w:val="21"/>
              </w:rPr>
            </w:pPr>
          </w:p>
        </w:tc>
        <w:tc>
          <w:tcPr>
            <w:tcW w:w="794" w:type="dxa"/>
            <w:vAlign w:val="center"/>
          </w:tcPr>
          <w:p w14:paraId="7D28B6A8">
            <w:pPr>
              <w:shd w:val="clear"/>
              <w:jc w:val="center"/>
              <w:rPr>
                <w:rFonts w:ascii="仿宋_GB2312" w:hAnsi="宋体" w:eastAsia="仿宋_GB2312"/>
                <w:color w:val="auto"/>
                <w:szCs w:val="21"/>
              </w:rPr>
            </w:pPr>
          </w:p>
        </w:tc>
        <w:tc>
          <w:tcPr>
            <w:tcW w:w="920" w:type="dxa"/>
            <w:vAlign w:val="center"/>
          </w:tcPr>
          <w:p w14:paraId="6813BA55">
            <w:pPr>
              <w:shd w:val="clear"/>
              <w:ind w:firstLine="425"/>
              <w:jc w:val="center"/>
              <w:rPr>
                <w:rFonts w:ascii="仿宋_GB2312" w:hAnsi="宋体" w:eastAsia="仿宋_GB2312"/>
                <w:b/>
                <w:color w:val="auto"/>
                <w:szCs w:val="21"/>
              </w:rPr>
            </w:pPr>
          </w:p>
        </w:tc>
        <w:tc>
          <w:tcPr>
            <w:tcW w:w="1334" w:type="dxa"/>
            <w:vAlign w:val="bottom"/>
          </w:tcPr>
          <w:p w14:paraId="0183ECBC">
            <w:pPr>
              <w:shd w:val="clear"/>
              <w:jc w:val="center"/>
              <w:rPr>
                <w:rFonts w:ascii="仿宋_GB2312" w:eastAsia="仿宋_GB2312"/>
                <w:color w:val="auto"/>
                <w:szCs w:val="21"/>
              </w:rPr>
            </w:pPr>
          </w:p>
        </w:tc>
        <w:tc>
          <w:tcPr>
            <w:tcW w:w="920" w:type="dxa"/>
          </w:tcPr>
          <w:p w14:paraId="6929DD22">
            <w:pPr>
              <w:shd w:val="clear"/>
              <w:spacing w:line="360" w:lineRule="auto"/>
              <w:rPr>
                <w:rFonts w:ascii="宋体" w:hAnsi="宋体" w:cs="宋体"/>
                <w:color w:val="auto"/>
                <w:szCs w:val="21"/>
              </w:rPr>
            </w:pPr>
          </w:p>
        </w:tc>
        <w:tc>
          <w:tcPr>
            <w:tcW w:w="828" w:type="dxa"/>
          </w:tcPr>
          <w:p w14:paraId="2465094F">
            <w:pPr>
              <w:shd w:val="clear"/>
              <w:spacing w:line="360" w:lineRule="auto"/>
              <w:rPr>
                <w:rFonts w:ascii="宋体" w:hAnsi="宋体" w:cs="宋体"/>
                <w:color w:val="auto"/>
                <w:szCs w:val="21"/>
              </w:rPr>
            </w:pPr>
          </w:p>
        </w:tc>
      </w:tr>
      <w:tr w14:paraId="7BB71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67A1D84">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12</w:t>
            </w:r>
          </w:p>
        </w:tc>
        <w:tc>
          <w:tcPr>
            <w:tcW w:w="1549" w:type="dxa"/>
            <w:vAlign w:val="center"/>
          </w:tcPr>
          <w:p w14:paraId="01311E96">
            <w:pPr>
              <w:shd w:val="clear"/>
              <w:jc w:val="center"/>
              <w:rPr>
                <w:rFonts w:ascii="仿宋_GB2312" w:eastAsia="仿宋_GB2312"/>
                <w:color w:val="auto"/>
                <w:szCs w:val="21"/>
              </w:rPr>
            </w:pPr>
          </w:p>
        </w:tc>
        <w:tc>
          <w:tcPr>
            <w:tcW w:w="1001" w:type="dxa"/>
            <w:vAlign w:val="center"/>
          </w:tcPr>
          <w:p w14:paraId="3F797185">
            <w:pPr>
              <w:shd w:val="clear"/>
              <w:jc w:val="center"/>
              <w:rPr>
                <w:rFonts w:ascii="仿宋_GB2312" w:hAnsi="宋体" w:eastAsia="仿宋_GB2312" w:cs="宋体"/>
                <w:color w:val="auto"/>
                <w:kern w:val="0"/>
                <w:szCs w:val="21"/>
              </w:rPr>
            </w:pPr>
          </w:p>
        </w:tc>
        <w:tc>
          <w:tcPr>
            <w:tcW w:w="718" w:type="dxa"/>
            <w:vAlign w:val="bottom"/>
          </w:tcPr>
          <w:p w14:paraId="4E6FB2D1">
            <w:pPr>
              <w:shd w:val="clear"/>
              <w:jc w:val="center"/>
              <w:rPr>
                <w:rFonts w:ascii="仿宋_GB2312" w:eastAsia="仿宋_GB2312"/>
                <w:color w:val="auto"/>
                <w:szCs w:val="21"/>
              </w:rPr>
            </w:pPr>
          </w:p>
        </w:tc>
        <w:tc>
          <w:tcPr>
            <w:tcW w:w="794" w:type="dxa"/>
            <w:vAlign w:val="center"/>
          </w:tcPr>
          <w:p w14:paraId="21743C6A">
            <w:pPr>
              <w:shd w:val="clear"/>
              <w:jc w:val="center"/>
              <w:rPr>
                <w:rFonts w:ascii="仿宋_GB2312" w:hAnsi="宋体" w:eastAsia="仿宋_GB2312"/>
                <w:color w:val="auto"/>
                <w:szCs w:val="21"/>
              </w:rPr>
            </w:pPr>
          </w:p>
        </w:tc>
        <w:tc>
          <w:tcPr>
            <w:tcW w:w="920" w:type="dxa"/>
            <w:vAlign w:val="center"/>
          </w:tcPr>
          <w:p w14:paraId="764163EA">
            <w:pPr>
              <w:shd w:val="clear"/>
              <w:ind w:firstLine="425"/>
              <w:jc w:val="center"/>
              <w:rPr>
                <w:rFonts w:ascii="仿宋_GB2312" w:hAnsi="宋体" w:eastAsia="仿宋_GB2312"/>
                <w:b/>
                <w:color w:val="auto"/>
                <w:szCs w:val="21"/>
              </w:rPr>
            </w:pPr>
          </w:p>
        </w:tc>
        <w:tc>
          <w:tcPr>
            <w:tcW w:w="1334" w:type="dxa"/>
            <w:vAlign w:val="bottom"/>
          </w:tcPr>
          <w:p w14:paraId="03493461">
            <w:pPr>
              <w:shd w:val="clear"/>
              <w:jc w:val="center"/>
              <w:rPr>
                <w:rFonts w:ascii="仿宋_GB2312" w:eastAsia="仿宋_GB2312"/>
                <w:color w:val="auto"/>
                <w:szCs w:val="21"/>
              </w:rPr>
            </w:pPr>
          </w:p>
        </w:tc>
        <w:tc>
          <w:tcPr>
            <w:tcW w:w="920" w:type="dxa"/>
          </w:tcPr>
          <w:p w14:paraId="6ABE1A82">
            <w:pPr>
              <w:shd w:val="clear"/>
              <w:spacing w:line="360" w:lineRule="auto"/>
              <w:rPr>
                <w:rFonts w:ascii="宋体" w:hAnsi="宋体" w:cs="宋体"/>
                <w:color w:val="auto"/>
                <w:szCs w:val="21"/>
              </w:rPr>
            </w:pPr>
          </w:p>
        </w:tc>
        <w:tc>
          <w:tcPr>
            <w:tcW w:w="828" w:type="dxa"/>
          </w:tcPr>
          <w:p w14:paraId="3CE69198">
            <w:pPr>
              <w:shd w:val="clear"/>
              <w:spacing w:line="360" w:lineRule="auto"/>
              <w:rPr>
                <w:rFonts w:ascii="宋体" w:hAnsi="宋体" w:cs="宋体"/>
                <w:color w:val="auto"/>
                <w:szCs w:val="21"/>
              </w:rPr>
            </w:pPr>
          </w:p>
        </w:tc>
      </w:tr>
      <w:tr w14:paraId="7D143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2353B15">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13</w:t>
            </w:r>
          </w:p>
        </w:tc>
        <w:tc>
          <w:tcPr>
            <w:tcW w:w="1549" w:type="dxa"/>
            <w:vAlign w:val="center"/>
          </w:tcPr>
          <w:p w14:paraId="32994167">
            <w:pPr>
              <w:shd w:val="clear"/>
              <w:jc w:val="center"/>
              <w:rPr>
                <w:rFonts w:ascii="仿宋_GB2312" w:eastAsia="仿宋_GB2312"/>
                <w:color w:val="auto"/>
                <w:szCs w:val="21"/>
              </w:rPr>
            </w:pPr>
          </w:p>
        </w:tc>
        <w:tc>
          <w:tcPr>
            <w:tcW w:w="1001" w:type="dxa"/>
            <w:vAlign w:val="center"/>
          </w:tcPr>
          <w:p w14:paraId="4ADC95B9">
            <w:pPr>
              <w:shd w:val="clear"/>
              <w:jc w:val="center"/>
              <w:rPr>
                <w:rFonts w:ascii="仿宋_GB2312" w:hAnsi="宋体" w:eastAsia="仿宋_GB2312" w:cs="宋体"/>
                <w:color w:val="auto"/>
                <w:kern w:val="0"/>
                <w:szCs w:val="21"/>
              </w:rPr>
            </w:pPr>
          </w:p>
        </w:tc>
        <w:tc>
          <w:tcPr>
            <w:tcW w:w="718" w:type="dxa"/>
            <w:vAlign w:val="bottom"/>
          </w:tcPr>
          <w:p w14:paraId="4E45B8A3">
            <w:pPr>
              <w:shd w:val="clear"/>
              <w:jc w:val="center"/>
              <w:rPr>
                <w:rFonts w:ascii="仿宋_GB2312" w:eastAsia="仿宋_GB2312"/>
                <w:color w:val="auto"/>
                <w:szCs w:val="21"/>
              </w:rPr>
            </w:pPr>
          </w:p>
        </w:tc>
        <w:tc>
          <w:tcPr>
            <w:tcW w:w="794" w:type="dxa"/>
            <w:vAlign w:val="center"/>
          </w:tcPr>
          <w:p w14:paraId="473A646C">
            <w:pPr>
              <w:shd w:val="clear"/>
              <w:jc w:val="center"/>
              <w:rPr>
                <w:rFonts w:ascii="仿宋_GB2312" w:hAnsi="宋体" w:eastAsia="仿宋_GB2312"/>
                <w:color w:val="auto"/>
                <w:szCs w:val="21"/>
              </w:rPr>
            </w:pPr>
          </w:p>
        </w:tc>
        <w:tc>
          <w:tcPr>
            <w:tcW w:w="920" w:type="dxa"/>
            <w:vAlign w:val="center"/>
          </w:tcPr>
          <w:p w14:paraId="7B1053BD">
            <w:pPr>
              <w:shd w:val="clear"/>
              <w:ind w:firstLine="425"/>
              <w:jc w:val="center"/>
              <w:rPr>
                <w:rFonts w:ascii="仿宋_GB2312" w:hAnsi="宋体" w:eastAsia="仿宋_GB2312"/>
                <w:b/>
                <w:color w:val="auto"/>
                <w:szCs w:val="21"/>
              </w:rPr>
            </w:pPr>
          </w:p>
        </w:tc>
        <w:tc>
          <w:tcPr>
            <w:tcW w:w="1334" w:type="dxa"/>
            <w:vAlign w:val="bottom"/>
          </w:tcPr>
          <w:p w14:paraId="42684B23">
            <w:pPr>
              <w:shd w:val="clear"/>
              <w:jc w:val="center"/>
              <w:rPr>
                <w:rFonts w:ascii="仿宋_GB2312" w:eastAsia="仿宋_GB2312"/>
                <w:color w:val="auto"/>
                <w:szCs w:val="21"/>
              </w:rPr>
            </w:pPr>
          </w:p>
        </w:tc>
        <w:tc>
          <w:tcPr>
            <w:tcW w:w="920" w:type="dxa"/>
          </w:tcPr>
          <w:p w14:paraId="3D78697A">
            <w:pPr>
              <w:shd w:val="clear"/>
              <w:spacing w:line="360" w:lineRule="auto"/>
              <w:rPr>
                <w:rFonts w:ascii="宋体" w:hAnsi="宋体" w:cs="宋体"/>
                <w:color w:val="auto"/>
                <w:szCs w:val="21"/>
              </w:rPr>
            </w:pPr>
          </w:p>
        </w:tc>
        <w:tc>
          <w:tcPr>
            <w:tcW w:w="828" w:type="dxa"/>
          </w:tcPr>
          <w:p w14:paraId="30FD2873">
            <w:pPr>
              <w:shd w:val="clear"/>
              <w:spacing w:line="360" w:lineRule="auto"/>
              <w:rPr>
                <w:rFonts w:ascii="宋体" w:hAnsi="宋体" w:cs="宋体"/>
                <w:color w:val="auto"/>
                <w:szCs w:val="21"/>
              </w:rPr>
            </w:pPr>
          </w:p>
        </w:tc>
      </w:tr>
      <w:tr w14:paraId="0EB7F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B1A7983">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14</w:t>
            </w:r>
          </w:p>
        </w:tc>
        <w:tc>
          <w:tcPr>
            <w:tcW w:w="1549" w:type="dxa"/>
            <w:vAlign w:val="center"/>
          </w:tcPr>
          <w:p w14:paraId="068B2E4A">
            <w:pPr>
              <w:shd w:val="clear"/>
              <w:jc w:val="center"/>
              <w:rPr>
                <w:rFonts w:ascii="仿宋_GB2312" w:eastAsia="仿宋_GB2312"/>
                <w:color w:val="auto"/>
                <w:szCs w:val="21"/>
              </w:rPr>
            </w:pPr>
          </w:p>
        </w:tc>
        <w:tc>
          <w:tcPr>
            <w:tcW w:w="1001" w:type="dxa"/>
            <w:vAlign w:val="center"/>
          </w:tcPr>
          <w:p w14:paraId="191B43CC">
            <w:pPr>
              <w:shd w:val="clear"/>
              <w:jc w:val="center"/>
              <w:rPr>
                <w:rFonts w:ascii="仿宋_GB2312" w:hAnsi="宋体" w:eastAsia="仿宋_GB2312" w:cs="宋体"/>
                <w:color w:val="auto"/>
                <w:kern w:val="0"/>
                <w:szCs w:val="21"/>
              </w:rPr>
            </w:pPr>
          </w:p>
        </w:tc>
        <w:tc>
          <w:tcPr>
            <w:tcW w:w="718" w:type="dxa"/>
            <w:vAlign w:val="bottom"/>
          </w:tcPr>
          <w:p w14:paraId="1E1748E2">
            <w:pPr>
              <w:shd w:val="clear"/>
              <w:jc w:val="center"/>
              <w:rPr>
                <w:rFonts w:ascii="仿宋_GB2312" w:eastAsia="仿宋_GB2312"/>
                <w:color w:val="auto"/>
                <w:szCs w:val="21"/>
              </w:rPr>
            </w:pPr>
          </w:p>
        </w:tc>
        <w:tc>
          <w:tcPr>
            <w:tcW w:w="794" w:type="dxa"/>
            <w:vAlign w:val="center"/>
          </w:tcPr>
          <w:p w14:paraId="406544E3">
            <w:pPr>
              <w:shd w:val="clear"/>
              <w:jc w:val="center"/>
              <w:rPr>
                <w:rFonts w:ascii="仿宋_GB2312" w:hAnsi="宋体" w:eastAsia="仿宋_GB2312"/>
                <w:color w:val="auto"/>
                <w:szCs w:val="21"/>
              </w:rPr>
            </w:pPr>
          </w:p>
        </w:tc>
        <w:tc>
          <w:tcPr>
            <w:tcW w:w="920" w:type="dxa"/>
            <w:vAlign w:val="center"/>
          </w:tcPr>
          <w:p w14:paraId="053BC38D">
            <w:pPr>
              <w:shd w:val="clear"/>
              <w:ind w:firstLine="425"/>
              <w:jc w:val="center"/>
              <w:rPr>
                <w:rFonts w:ascii="仿宋_GB2312" w:hAnsi="宋体" w:eastAsia="仿宋_GB2312"/>
                <w:b/>
                <w:color w:val="auto"/>
                <w:szCs w:val="21"/>
              </w:rPr>
            </w:pPr>
          </w:p>
        </w:tc>
        <w:tc>
          <w:tcPr>
            <w:tcW w:w="1334" w:type="dxa"/>
            <w:vAlign w:val="bottom"/>
          </w:tcPr>
          <w:p w14:paraId="43E584C1">
            <w:pPr>
              <w:shd w:val="clear"/>
              <w:jc w:val="center"/>
              <w:rPr>
                <w:rFonts w:ascii="仿宋_GB2312" w:eastAsia="仿宋_GB2312"/>
                <w:color w:val="auto"/>
                <w:szCs w:val="21"/>
              </w:rPr>
            </w:pPr>
          </w:p>
        </w:tc>
        <w:tc>
          <w:tcPr>
            <w:tcW w:w="920" w:type="dxa"/>
          </w:tcPr>
          <w:p w14:paraId="07318685">
            <w:pPr>
              <w:shd w:val="clear"/>
              <w:spacing w:line="360" w:lineRule="auto"/>
              <w:rPr>
                <w:rFonts w:ascii="宋体" w:hAnsi="宋体" w:cs="宋体"/>
                <w:color w:val="auto"/>
                <w:szCs w:val="21"/>
              </w:rPr>
            </w:pPr>
          </w:p>
        </w:tc>
        <w:tc>
          <w:tcPr>
            <w:tcW w:w="828" w:type="dxa"/>
          </w:tcPr>
          <w:p w14:paraId="02283999">
            <w:pPr>
              <w:shd w:val="clear"/>
              <w:spacing w:line="360" w:lineRule="auto"/>
              <w:rPr>
                <w:rFonts w:ascii="宋体" w:hAnsi="宋体" w:cs="宋体"/>
                <w:color w:val="auto"/>
                <w:szCs w:val="21"/>
              </w:rPr>
            </w:pPr>
          </w:p>
        </w:tc>
      </w:tr>
      <w:tr w14:paraId="3F1DF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DC1B4AA">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15</w:t>
            </w:r>
          </w:p>
        </w:tc>
        <w:tc>
          <w:tcPr>
            <w:tcW w:w="1549" w:type="dxa"/>
            <w:vAlign w:val="center"/>
          </w:tcPr>
          <w:p w14:paraId="55345061">
            <w:pPr>
              <w:shd w:val="clear"/>
              <w:jc w:val="center"/>
              <w:rPr>
                <w:rFonts w:ascii="仿宋_GB2312" w:eastAsia="仿宋_GB2312"/>
                <w:color w:val="auto"/>
                <w:szCs w:val="21"/>
              </w:rPr>
            </w:pPr>
          </w:p>
        </w:tc>
        <w:tc>
          <w:tcPr>
            <w:tcW w:w="1001" w:type="dxa"/>
            <w:vAlign w:val="center"/>
          </w:tcPr>
          <w:p w14:paraId="3DACD059">
            <w:pPr>
              <w:shd w:val="clear"/>
              <w:jc w:val="center"/>
              <w:rPr>
                <w:rFonts w:ascii="仿宋_GB2312" w:hAnsi="宋体" w:eastAsia="仿宋_GB2312" w:cs="宋体"/>
                <w:color w:val="auto"/>
                <w:kern w:val="0"/>
                <w:szCs w:val="21"/>
              </w:rPr>
            </w:pPr>
          </w:p>
        </w:tc>
        <w:tc>
          <w:tcPr>
            <w:tcW w:w="718" w:type="dxa"/>
            <w:vAlign w:val="bottom"/>
          </w:tcPr>
          <w:p w14:paraId="58B96D04">
            <w:pPr>
              <w:shd w:val="clear"/>
              <w:jc w:val="center"/>
              <w:rPr>
                <w:rFonts w:ascii="仿宋_GB2312" w:eastAsia="仿宋_GB2312"/>
                <w:color w:val="auto"/>
                <w:szCs w:val="21"/>
              </w:rPr>
            </w:pPr>
          </w:p>
        </w:tc>
        <w:tc>
          <w:tcPr>
            <w:tcW w:w="794" w:type="dxa"/>
            <w:vAlign w:val="center"/>
          </w:tcPr>
          <w:p w14:paraId="5532E4C1">
            <w:pPr>
              <w:shd w:val="clear"/>
              <w:jc w:val="center"/>
              <w:rPr>
                <w:rFonts w:ascii="仿宋_GB2312" w:hAnsi="宋体" w:eastAsia="仿宋_GB2312"/>
                <w:color w:val="auto"/>
                <w:szCs w:val="21"/>
              </w:rPr>
            </w:pPr>
          </w:p>
        </w:tc>
        <w:tc>
          <w:tcPr>
            <w:tcW w:w="920" w:type="dxa"/>
            <w:vAlign w:val="center"/>
          </w:tcPr>
          <w:p w14:paraId="32AE4FCA">
            <w:pPr>
              <w:shd w:val="clear"/>
              <w:ind w:firstLine="425"/>
              <w:jc w:val="center"/>
              <w:rPr>
                <w:rFonts w:ascii="仿宋_GB2312" w:hAnsi="宋体" w:eastAsia="仿宋_GB2312"/>
                <w:b/>
                <w:color w:val="auto"/>
                <w:szCs w:val="21"/>
              </w:rPr>
            </w:pPr>
          </w:p>
        </w:tc>
        <w:tc>
          <w:tcPr>
            <w:tcW w:w="1334" w:type="dxa"/>
            <w:vAlign w:val="bottom"/>
          </w:tcPr>
          <w:p w14:paraId="41DD77DE">
            <w:pPr>
              <w:shd w:val="clear"/>
              <w:jc w:val="center"/>
              <w:rPr>
                <w:rFonts w:ascii="仿宋_GB2312" w:eastAsia="仿宋_GB2312"/>
                <w:color w:val="auto"/>
                <w:szCs w:val="21"/>
              </w:rPr>
            </w:pPr>
          </w:p>
        </w:tc>
        <w:tc>
          <w:tcPr>
            <w:tcW w:w="920" w:type="dxa"/>
          </w:tcPr>
          <w:p w14:paraId="68D3EAF2">
            <w:pPr>
              <w:shd w:val="clear"/>
              <w:spacing w:line="360" w:lineRule="auto"/>
              <w:rPr>
                <w:rFonts w:ascii="宋体" w:hAnsi="宋体" w:cs="宋体"/>
                <w:color w:val="auto"/>
                <w:szCs w:val="21"/>
              </w:rPr>
            </w:pPr>
          </w:p>
        </w:tc>
        <w:tc>
          <w:tcPr>
            <w:tcW w:w="828" w:type="dxa"/>
          </w:tcPr>
          <w:p w14:paraId="443F7918">
            <w:pPr>
              <w:shd w:val="clear"/>
              <w:spacing w:line="360" w:lineRule="auto"/>
              <w:rPr>
                <w:rFonts w:ascii="宋体" w:hAnsi="宋体" w:cs="宋体"/>
                <w:color w:val="auto"/>
                <w:szCs w:val="21"/>
              </w:rPr>
            </w:pPr>
          </w:p>
        </w:tc>
      </w:tr>
      <w:tr w14:paraId="0A619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4CD23882">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16</w:t>
            </w:r>
          </w:p>
        </w:tc>
        <w:tc>
          <w:tcPr>
            <w:tcW w:w="1549" w:type="dxa"/>
            <w:vAlign w:val="center"/>
          </w:tcPr>
          <w:p w14:paraId="1BD45652">
            <w:pPr>
              <w:shd w:val="clear"/>
              <w:jc w:val="center"/>
              <w:rPr>
                <w:rFonts w:ascii="仿宋_GB2312" w:eastAsia="仿宋_GB2312"/>
                <w:color w:val="auto"/>
                <w:szCs w:val="21"/>
              </w:rPr>
            </w:pPr>
          </w:p>
        </w:tc>
        <w:tc>
          <w:tcPr>
            <w:tcW w:w="1001" w:type="dxa"/>
            <w:vAlign w:val="center"/>
          </w:tcPr>
          <w:p w14:paraId="5ECEBE28">
            <w:pPr>
              <w:shd w:val="clear"/>
              <w:jc w:val="center"/>
              <w:rPr>
                <w:rFonts w:ascii="仿宋_GB2312" w:hAnsi="宋体" w:eastAsia="仿宋_GB2312" w:cs="宋体"/>
                <w:color w:val="auto"/>
                <w:kern w:val="0"/>
                <w:szCs w:val="21"/>
              </w:rPr>
            </w:pPr>
          </w:p>
        </w:tc>
        <w:tc>
          <w:tcPr>
            <w:tcW w:w="718" w:type="dxa"/>
            <w:vAlign w:val="bottom"/>
          </w:tcPr>
          <w:p w14:paraId="7C8BCF3B">
            <w:pPr>
              <w:shd w:val="clear"/>
              <w:jc w:val="center"/>
              <w:rPr>
                <w:rFonts w:ascii="仿宋_GB2312" w:eastAsia="仿宋_GB2312"/>
                <w:color w:val="auto"/>
                <w:szCs w:val="21"/>
              </w:rPr>
            </w:pPr>
          </w:p>
        </w:tc>
        <w:tc>
          <w:tcPr>
            <w:tcW w:w="794" w:type="dxa"/>
            <w:vAlign w:val="center"/>
          </w:tcPr>
          <w:p w14:paraId="3B31F7D5">
            <w:pPr>
              <w:shd w:val="clear"/>
              <w:jc w:val="center"/>
              <w:rPr>
                <w:rFonts w:ascii="仿宋_GB2312" w:hAnsi="宋体" w:eastAsia="仿宋_GB2312" w:cs="宋体"/>
                <w:color w:val="auto"/>
                <w:kern w:val="0"/>
                <w:szCs w:val="21"/>
              </w:rPr>
            </w:pPr>
          </w:p>
        </w:tc>
        <w:tc>
          <w:tcPr>
            <w:tcW w:w="920" w:type="dxa"/>
            <w:vAlign w:val="center"/>
          </w:tcPr>
          <w:p w14:paraId="29B9A1B3">
            <w:pPr>
              <w:shd w:val="clear"/>
              <w:ind w:firstLine="425"/>
              <w:jc w:val="center"/>
              <w:rPr>
                <w:rFonts w:ascii="仿宋_GB2312" w:hAnsi="宋体" w:eastAsia="仿宋_GB2312"/>
                <w:b/>
                <w:color w:val="auto"/>
                <w:szCs w:val="21"/>
              </w:rPr>
            </w:pPr>
          </w:p>
        </w:tc>
        <w:tc>
          <w:tcPr>
            <w:tcW w:w="1334" w:type="dxa"/>
            <w:vAlign w:val="bottom"/>
          </w:tcPr>
          <w:p w14:paraId="1D411E96">
            <w:pPr>
              <w:shd w:val="clear"/>
              <w:jc w:val="center"/>
              <w:rPr>
                <w:rFonts w:ascii="仿宋_GB2312" w:eastAsia="仿宋_GB2312"/>
                <w:color w:val="auto"/>
                <w:szCs w:val="21"/>
              </w:rPr>
            </w:pPr>
          </w:p>
        </w:tc>
        <w:tc>
          <w:tcPr>
            <w:tcW w:w="920" w:type="dxa"/>
          </w:tcPr>
          <w:p w14:paraId="50D51F5E">
            <w:pPr>
              <w:shd w:val="clear"/>
              <w:spacing w:line="360" w:lineRule="auto"/>
              <w:rPr>
                <w:rFonts w:ascii="宋体" w:hAnsi="宋体" w:cs="宋体"/>
                <w:color w:val="auto"/>
                <w:szCs w:val="21"/>
              </w:rPr>
            </w:pPr>
          </w:p>
        </w:tc>
        <w:tc>
          <w:tcPr>
            <w:tcW w:w="828" w:type="dxa"/>
          </w:tcPr>
          <w:p w14:paraId="3ED050C9">
            <w:pPr>
              <w:shd w:val="clear"/>
              <w:spacing w:line="360" w:lineRule="auto"/>
              <w:rPr>
                <w:rFonts w:ascii="宋体" w:hAnsi="宋体" w:cs="宋体"/>
                <w:color w:val="auto"/>
                <w:szCs w:val="21"/>
              </w:rPr>
            </w:pPr>
          </w:p>
        </w:tc>
      </w:tr>
      <w:tr w14:paraId="1C75D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A5A0BCC">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17</w:t>
            </w:r>
          </w:p>
        </w:tc>
        <w:tc>
          <w:tcPr>
            <w:tcW w:w="1549" w:type="dxa"/>
            <w:vAlign w:val="center"/>
          </w:tcPr>
          <w:p w14:paraId="35923FF5">
            <w:pPr>
              <w:shd w:val="clear"/>
              <w:jc w:val="center"/>
              <w:rPr>
                <w:rFonts w:ascii="仿宋_GB2312" w:eastAsia="仿宋_GB2312"/>
                <w:color w:val="auto"/>
                <w:szCs w:val="21"/>
              </w:rPr>
            </w:pPr>
          </w:p>
        </w:tc>
        <w:tc>
          <w:tcPr>
            <w:tcW w:w="1001" w:type="dxa"/>
            <w:vAlign w:val="center"/>
          </w:tcPr>
          <w:p w14:paraId="1EBD2B1F">
            <w:pPr>
              <w:shd w:val="clear"/>
              <w:jc w:val="center"/>
              <w:rPr>
                <w:rFonts w:ascii="仿宋_GB2312" w:hAnsi="宋体" w:eastAsia="仿宋_GB2312" w:cs="宋体"/>
                <w:color w:val="auto"/>
                <w:kern w:val="0"/>
                <w:szCs w:val="21"/>
              </w:rPr>
            </w:pPr>
          </w:p>
        </w:tc>
        <w:tc>
          <w:tcPr>
            <w:tcW w:w="718" w:type="dxa"/>
            <w:vAlign w:val="bottom"/>
          </w:tcPr>
          <w:p w14:paraId="2A4B1A67">
            <w:pPr>
              <w:shd w:val="clear"/>
              <w:jc w:val="center"/>
              <w:rPr>
                <w:rFonts w:ascii="仿宋_GB2312" w:eastAsia="仿宋_GB2312"/>
                <w:color w:val="auto"/>
                <w:szCs w:val="21"/>
              </w:rPr>
            </w:pPr>
          </w:p>
        </w:tc>
        <w:tc>
          <w:tcPr>
            <w:tcW w:w="794" w:type="dxa"/>
            <w:vAlign w:val="center"/>
          </w:tcPr>
          <w:p w14:paraId="66A904F1">
            <w:pPr>
              <w:shd w:val="clear"/>
              <w:jc w:val="center"/>
              <w:rPr>
                <w:rFonts w:ascii="仿宋_GB2312" w:hAnsi="宋体" w:eastAsia="仿宋_GB2312"/>
                <w:color w:val="auto"/>
                <w:szCs w:val="21"/>
              </w:rPr>
            </w:pPr>
          </w:p>
        </w:tc>
        <w:tc>
          <w:tcPr>
            <w:tcW w:w="920" w:type="dxa"/>
            <w:vAlign w:val="center"/>
          </w:tcPr>
          <w:p w14:paraId="4A1ECC2C">
            <w:pPr>
              <w:shd w:val="clear"/>
              <w:ind w:firstLine="425"/>
              <w:jc w:val="center"/>
              <w:rPr>
                <w:rFonts w:ascii="仿宋_GB2312" w:hAnsi="宋体" w:eastAsia="仿宋_GB2312"/>
                <w:b/>
                <w:color w:val="auto"/>
                <w:szCs w:val="21"/>
              </w:rPr>
            </w:pPr>
          </w:p>
        </w:tc>
        <w:tc>
          <w:tcPr>
            <w:tcW w:w="1334" w:type="dxa"/>
            <w:vAlign w:val="bottom"/>
          </w:tcPr>
          <w:p w14:paraId="71AE887F">
            <w:pPr>
              <w:shd w:val="clear"/>
              <w:jc w:val="center"/>
              <w:rPr>
                <w:rFonts w:ascii="仿宋_GB2312" w:eastAsia="仿宋_GB2312"/>
                <w:color w:val="auto"/>
                <w:szCs w:val="21"/>
              </w:rPr>
            </w:pPr>
          </w:p>
        </w:tc>
        <w:tc>
          <w:tcPr>
            <w:tcW w:w="920" w:type="dxa"/>
          </w:tcPr>
          <w:p w14:paraId="241132E3">
            <w:pPr>
              <w:shd w:val="clear"/>
              <w:spacing w:line="360" w:lineRule="auto"/>
              <w:rPr>
                <w:rFonts w:ascii="宋体" w:hAnsi="宋体" w:cs="宋体"/>
                <w:color w:val="auto"/>
                <w:szCs w:val="21"/>
              </w:rPr>
            </w:pPr>
          </w:p>
        </w:tc>
        <w:tc>
          <w:tcPr>
            <w:tcW w:w="828" w:type="dxa"/>
          </w:tcPr>
          <w:p w14:paraId="793E0928">
            <w:pPr>
              <w:shd w:val="clear"/>
              <w:spacing w:line="360" w:lineRule="auto"/>
              <w:rPr>
                <w:rFonts w:ascii="宋体" w:hAnsi="宋体" w:cs="宋体"/>
                <w:color w:val="auto"/>
                <w:szCs w:val="21"/>
              </w:rPr>
            </w:pPr>
          </w:p>
        </w:tc>
      </w:tr>
      <w:tr w14:paraId="43908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3E45438">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1549" w:type="dxa"/>
            <w:vAlign w:val="center"/>
          </w:tcPr>
          <w:p w14:paraId="338C8616">
            <w:pPr>
              <w:shd w:val="clear"/>
              <w:jc w:val="center"/>
              <w:rPr>
                <w:rFonts w:ascii="仿宋_GB2312" w:eastAsia="仿宋_GB2312"/>
                <w:color w:val="auto"/>
                <w:szCs w:val="21"/>
              </w:rPr>
            </w:pPr>
          </w:p>
        </w:tc>
        <w:tc>
          <w:tcPr>
            <w:tcW w:w="1001" w:type="dxa"/>
            <w:vAlign w:val="center"/>
          </w:tcPr>
          <w:p w14:paraId="09D65E02">
            <w:pPr>
              <w:shd w:val="clear"/>
              <w:jc w:val="center"/>
              <w:rPr>
                <w:rFonts w:ascii="仿宋_GB2312" w:eastAsia="仿宋_GB2312"/>
                <w:color w:val="auto"/>
                <w:szCs w:val="21"/>
              </w:rPr>
            </w:pPr>
          </w:p>
        </w:tc>
        <w:tc>
          <w:tcPr>
            <w:tcW w:w="718" w:type="dxa"/>
            <w:vAlign w:val="bottom"/>
          </w:tcPr>
          <w:p w14:paraId="101B5E44">
            <w:pPr>
              <w:shd w:val="clear"/>
              <w:jc w:val="center"/>
              <w:rPr>
                <w:rFonts w:ascii="仿宋_GB2312" w:eastAsia="仿宋_GB2312"/>
                <w:color w:val="auto"/>
                <w:szCs w:val="21"/>
              </w:rPr>
            </w:pPr>
          </w:p>
        </w:tc>
        <w:tc>
          <w:tcPr>
            <w:tcW w:w="794" w:type="dxa"/>
            <w:vAlign w:val="center"/>
          </w:tcPr>
          <w:p w14:paraId="2FAEF08B">
            <w:pPr>
              <w:shd w:val="clear"/>
              <w:jc w:val="center"/>
              <w:rPr>
                <w:rFonts w:ascii="仿宋_GB2312" w:eastAsia="仿宋_GB2312"/>
                <w:color w:val="auto"/>
                <w:szCs w:val="21"/>
              </w:rPr>
            </w:pPr>
          </w:p>
        </w:tc>
        <w:tc>
          <w:tcPr>
            <w:tcW w:w="920" w:type="dxa"/>
            <w:vAlign w:val="center"/>
          </w:tcPr>
          <w:p w14:paraId="6FDC3618">
            <w:pPr>
              <w:shd w:val="clear"/>
              <w:jc w:val="center"/>
              <w:rPr>
                <w:rFonts w:ascii="仿宋_GB2312" w:eastAsia="仿宋_GB2312"/>
                <w:color w:val="auto"/>
                <w:szCs w:val="21"/>
              </w:rPr>
            </w:pPr>
          </w:p>
        </w:tc>
        <w:tc>
          <w:tcPr>
            <w:tcW w:w="1334" w:type="dxa"/>
            <w:vAlign w:val="bottom"/>
          </w:tcPr>
          <w:p w14:paraId="52F7D99D">
            <w:pPr>
              <w:shd w:val="clear"/>
              <w:jc w:val="center"/>
              <w:rPr>
                <w:rFonts w:ascii="仿宋_GB2312" w:eastAsia="仿宋_GB2312"/>
                <w:color w:val="auto"/>
                <w:szCs w:val="21"/>
              </w:rPr>
            </w:pPr>
          </w:p>
        </w:tc>
        <w:tc>
          <w:tcPr>
            <w:tcW w:w="920" w:type="dxa"/>
          </w:tcPr>
          <w:p w14:paraId="650B3B48">
            <w:pPr>
              <w:shd w:val="clear"/>
              <w:spacing w:line="360" w:lineRule="auto"/>
              <w:rPr>
                <w:rFonts w:ascii="宋体" w:hAnsi="宋体" w:cs="宋体"/>
                <w:color w:val="auto"/>
                <w:szCs w:val="21"/>
              </w:rPr>
            </w:pPr>
          </w:p>
        </w:tc>
        <w:tc>
          <w:tcPr>
            <w:tcW w:w="828" w:type="dxa"/>
          </w:tcPr>
          <w:p w14:paraId="6A98FA05">
            <w:pPr>
              <w:shd w:val="clear"/>
              <w:spacing w:line="360" w:lineRule="auto"/>
              <w:rPr>
                <w:rFonts w:ascii="宋体" w:hAnsi="宋体" w:cs="宋体"/>
                <w:color w:val="auto"/>
                <w:szCs w:val="21"/>
              </w:rPr>
            </w:pPr>
          </w:p>
        </w:tc>
      </w:tr>
      <w:tr w14:paraId="32D5E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CFEA0DF">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19</w:t>
            </w:r>
          </w:p>
        </w:tc>
        <w:tc>
          <w:tcPr>
            <w:tcW w:w="1549" w:type="dxa"/>
            <w:vAlign w:val="center"/>
          </w:tcPr>
          <w:p w14:paraId="20194076">
            <w:pPr>
              <w:shd w:val="clear"/>
              <w:jc w:val="center"/>
              <w:rPr>
                <w:rFonts w:ascii="仿宋_GB2312" w:eastAsia="仿宋_GB2312"/>
                <w:color w:val="auto"/>
                <w:szCs w:val="21"/>
              </w:rPr>
            </w:pPr>
          </w:p>
        </w:tc>
        <w:tc>
          <w:tcPr>
            <w:tcW w:w="1001" w:type="dxa"/>
            <w:vAlign w:val="center"/>
          </w:tcPr>
          <w:p w14:paraId="37BC0D13">
            <w:pPr>
              <w:shd w:val="clear"/>
              <w:jc w:val="center"/>
              <w:rPr>
                <w:rFonts w:ascii="仿宋_GB2312" w:eastAsia="仿宋_GB2312"/>
                <w:color w:val="auto"/>
                <w:szCs w:val="21"/>
              </w:rPr>
            </w:pPr>
          </w:p>
        </w:tc>
        <w:tc>
          <w:tcPr>
            <w:tcW w:w="718" w:type="dxa"/>
            <w:vAlign w:val="bottom"/>
          </w:tcPr>
          <w:p w14:paraId="31BE9556">
            <w:pPr>
              <w:shd w:val="clear"/>
              <w:jc w:val="center"/>
              <w:rPr>
                <w:rFonts w:ascii="仿宋_GB2312" w:eastAsia="仿宋_GB2312"/>
                <w:color w:val="auto"/>
                <w:szCs w:val="21"/>
              </w:rPr>
            </w:pPr>
          </w:p>
        </w:tc>
        <w:tc>
          <w:tcPr>
            <w:tcW w:w="794" w:type="dxa"/>
            <w:vAlign w:val="center"/>
          </w:tcPr>
          <w:p w14:paraId="0D2A692E">
            <w:pPr>
              <w:shd w:val="clear"/>
              <w:jc w:val="center"/>
              <w:rPr>
                <w:rFonts w:ascii="仿宋_GB2312" w:eastAsia="仿宋_GB2312"/>
                <w:color w:val="auto"/>
                <w:szCs w:val="21"/>
              </w:rPr>
            </w:pPr>
          </w:p>
        </w:tc>
        <w:tc>
          <w:tcPr>
            <w:tcW w:w="920" w:type="dxa"/>
            <w:vAlign w:val="center"/>
          </w:tcPr>
          <w:p w14:paraId="2C11A343">
            <w:pPr>
              <w:shd w:val="clear"/>
              <w:jc w:val="center"/>
              <w:rPr>
                <w:rFonts w:ascii="仿宋_GB2312" w:eastAsia="仿宋_GB2312"/>
                <w:color w:val="auto"/>
                <w:szCs w:val="21"/>
              </w:rPr>
            </w:pPr>
          </w:p>
        </w:tc>
        <w:tc>
          <w:tcPr>
            <w:tcW w:w="1334" w:type="dxa"/>
            <w:vAlign w:val="bottom"/>
          </w:tcPr>
          <w:p w14:paraId="34CDC207">
            <w:pPr>
              <w:shd w:val="clear"/>
              <w:jc w:val="center"/>
              <w:rPr>
                <w:rFonts w:ascii="仿宋_GB2312" w:eastAsia="仿宋_GB2312"/>
                <w:color w:val="auto"/>
                <w:szCs w:val="21"/>
              </w:rPr>
            </w:pPr>
          </w:p>
        </w:tc>
        <w:tc>
          <w:tcPr>
            <w:tcW w:w="920" w:type="dxa"/>
          </w:tcPr>
          <w:p w14:paraId="2EC01171">
            <w:pPr>
              <w:shd w:val="clear"/>
              <w:spacing w:line="360" w:lineRule="auto"/>
              <w:rPr>
                <w:rFonts w:ascii="宋体" w:hAnsi="宋体" w:cs="宋体"/>
                <w:color w:val="auto"/>
                <w:szCs w:val="21"/>
              </w:rPr>
            </w:pPr>
          </w:p>
        </w:tc>
        <w:tc>
          <w:tcPr>
            <w:tcW w:w="828" w:type="dxa"/>
          </w:tcPr>
          <w:p w14:paraId="2E2A7429">
            <w:pPr>
              <w:shd w:val="clear"/>
              <w:spacing w:line="360" w:lineRule="auto"/>
              <w:rPr>
                <w:rFonts w:ascii="宋体" w:hAnsi="宋体" w:cs="宋体"/>
                <w:color w:val="auto"/>
                <w:szCs w:val="21"/>
              </w:rPr>
            </w:pPr>
          </w:p>
        </w:tc>
      </w:tr>
      <w:tr w14:paraId="3E63C2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279ED623">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w:t>
            </w:r>
          </w:p>
        </w:tc>
        <w:tc>
          <w:tcPr>
            <w:tcW w:w="1549" w:type="dxa"/>
            <w:vAlign w:val="center"/>
          </w:tcPr>
          <w:p w14:paraId="5FA1A21F">
            <w:pPr>
              <w:shd w:val="clear"/>
              <w:jc w:val="center"/>
              <w:rPr>
                <w:rFonts w:ascii="仿宋_GB2312" w:eastAsia="仿宋_GB2312"/>
                <w:color w:val="auto"/>
                <w:szCs w:val="21"/>
              </w:rPr>
            </w:pPr>
          </w:p>
        </w:tc>
        <w:tc>
          <w:tcPr>
            <w:tcW w:w="1001" w:type="dxa"/>
            <w:vAlign w:val="center"/>
          </w:tcPr>
          <w:p w14:paraId="12DE89D2">
            <w:pPr>
              <w:shd w:val="clear"/>
              <w:jc w:val="center"/>
              <w:rPr>
                <w:rFonts w:ascii="仿宋_GB2312" w:eastAsia="仿宋_GB2312"/>
                <w:color w:val="auto"/>
                <w:szCs w:val="21"/>
              </w:rPr>
            </w:pPr>
          </w:p>
        </w:tc>
        <w:tc>
          <w:tcPr>
            <w:tcW w:w="718" w:type="dxa"/>
            <w:vAlign w:val="bottom"/>
          </w:tcPr>
          <w:p w14:paraId="018B456A">
            <w:pPr>
              <w:shd w:val="clear"/>
              <w:jc w:val="center"/>
              <w:rPr>
                <w:rFonts w:ascii="仿宋_GB2312" w:eastAsia="仿宋_GB2312"/>
                <w:color w:val="auto"/>
                <w:szCs w:val="21"/>
              </w:rPr>
            </w:pPr>
          </w:p>
        </w:tc>
        <w:tc>
          <w:tcPr>
            <w:tcW w:w="794" w:type="dxa"/>
            <w:vAlign w:val="center"/>
          </w:tcPr>
          <w:p w14:paraId="1B7477A4">
            <w:pPr>
              <w:shd w:val="clear"/>
              <w:jc w:val="center"/>
              <w:rPr>
                <w:rFonts w:ascii="仿宋_GB2312" w:eastAsia="仿宋_GB2312"/>
                <w:color w:val="auto"/>
                <w:szCs w:val="21"/>
              </w:rPr>
            </w:pPr>
          </w:p>
        </w:tc>
        <w:tc>
          <w:tcPr>
            <w:tcW w:w="920" w:type="dxa"/>
            <w:vAlign w:val="center"/>
          </w:tcPr>
          <w:p w14:paraId="75B395BC">
            <w:pPr>
              <w:shd w:val="clear"/>
              <w:jc w:val="center"/>
              <w:rPr>
                <w:rFonts w:ascii="仿宋_GB2312" w:eastAsia="仿宋_GB2312"/>
                <w:color w:val="auto"/>
                <w:szCs w:val="21"/>
              </w:rPr>
            </w:pPr>
          </w:p>
        </w:tc>
        <w:tc>
          <w:tcPr>
            <w:tcW w:w="1334" w:type="dxa"/>
            <w:vAlign w:val="bottom"/>
          </w:tcPr>
          <w:p w14:paraId="6E1CA4FE">
            <w:pPr>
              <w:shd w:val="clear"/>
              <w:jc w:val="center"/>
              <w:rPr>
                <w:rFonts w:ascii="仿宋_GB2312" w:eastAsia="仿宋_GB2312"/>
                <w:color w:val="auto"/>
                <w:szCs w:val="21"/>
              </w:rPr>
            </w:pPr>
          </w:p>
        </w:tc>
        <w:tc>
          <w:tcPr>
            <w:tcW w:w="920" w:type="dxa"/>
          </w:tcPr>
          <w:p w14:paraId="036E3964">
            <w:pPr>
              <w:shd w:val="clear"/>
              <w:spacing w:line="360" w:lineRule="auto"/>
              <w:rPr>
                <w:rFonts w:ascii="宋体" w:hAnsi="宋体" w:cs="宋体"/>
                <w:color w:val="auto"/>
                <w:szCs w:val="21"/>
              </w:rPr>
            </w:pPr>
          </w:p>
        </w:tc>
        <w:tc>
          <w:tcPr>
            <w:tcW w:w="828" w:type="dxa"/>
          </w:tcPr>
          <w:p w14:paraId="5CB73B28">
            <w:pPr>
              <w:shd w:val="clear"/>
              <w:spacing w:line="360" w:lineRule="auto"/>
              <w:rPr>
                <w:rFonts w:ascii="宋体" w:hAnsi="宋体" w:cs="宋体"/>
                <w:color w:val="auto"/>
                <w:szCs w:val="21"/>
              </w:rPr>
            </w:pPr>
          </w:p>
        </w:tc>
      </w:tr>
    </w:tbl>
    <w:p w14:paraId="191A1DEF">
      <w:pPr>
        <w:shd w:val="clear"/>
        <w:spacing w:line="360" w:lineRule="auto"/>
        <w:ind w:firstLine="422"/>
        <w:rPr>
          <w:rFonts w:ascii="宋体" w:hAnsi="宋体" w:cs="宋体"/>
          <w:b/>
          <w:color w:val="auto"/>
          <w:szCs w:val="21"/>
        </w:rPr>
      </w:pPr>
      <w:r>
        <w:rPr>
          <w:rFonts w:hint="eastAsia" w:ascii="宋体" w:hAnsi="宋体" w:cs="宋体"/>
          <w:b/>
          <w:color w:val="auto"/>
          <w:szCs w:val="21"/>
        </w:rPr>
        <w:t>附</w:t>
      </w:r>
      <w:bookmarkStart w:id="452" w:name="_Toc296944567"/>
      <w:bookmarkStart w:id="453" w:name="_Toc296346729"/>
      <w:bookmarkStart w:id="454" w:name="_Toc296347227"/>
      <w:bookmarkStart w:id="455" w:name="_Toc296891268"/>
      <w:bookmarkStart w:id="456" w:name="_Toc296503228"/>
      <w:bookmarkStart w:id="457" w:name="_Toc296891056"/>
      <w:bookmarkStart w:id="458" w:name="_Toc267261699"/>
      <w:r>
        <w:rPr>
          <w:rFonts w:hint="eastAsia" w:ascii="宋体" w:hAnsi="宋体" w:cs="宋体"/>
          <w:b/>
          <w:color w:val="auto"/>
          <w:szCs w:val="21"/>
        </w:rPr>
        <w:t>件5：</w:t>
      </w:r>
    </w:p>
    <w:bookmarkEnd w:id="452"/>
    <w:bookmarkEnd w:id="453"/>
    <w:bookmarkEnd w:id="454"/>
    <w:bookmarkEnd w:id="455"/>
    <w:bookmarkEnd w:id="456"/>
    <w:bookmarkEnd w:id="457"/>
    <w:bookmarkEnd w:id="458"/>
    <w:p w14:paraId="43666A1B">
      <w:pPr>
        <w:shd w:val="clear"/>
        <w:spacing w:before="120" w:beforeLines="50" w:after="120" w:afterLines="50" w:line="360" w:lineRule="auto"/>
        <w:ind w:firstLine="422"/>
        <w:jc w:val="center"/>
        <w:rPr>
          <w:rFonts w:ascii="宋体" w:hAnsi="宋体" w:cs="宋体"/>
          <w:b/>
          <w:color w:val="auto"/>
          <w:szCs w:val="21"/>
        </w:rPr>
      </w:pPr>
      <w:r>
        <w:rPr>
          <w:rFonts w:hint="eastAsia" w:ascii="宋体" w:hAnsi="宋体" w:cs="宋体"/>
          <w:b/>
          <w:color w:val="auto"/>
          <w:szCs w:val="21"/>
        </w:rPr>
        <w:t>承包人主要施工管理人员表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4F68E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vAlign w:val="center"/>
          </w:tcPr>
          <w:p w14:paraId="2320F886">
            <w:pPr>
              <w:pStyle w:val="10"/>
              <w:keepNext/>
              <w:shd w:val="clear"/>
              <w:ind w:left="63" w:right="63"/>
              <w:rPr>
                <w:rFonts w:hAnsi="宋体" w:cs="宋体"/>
                <w:color w:val="auto"/>
                <w:sz w:val="21"/>
                <w:lang w:val="en-US"/>
              </w:rPr>
            </w:pPr>
            <w:r>
              <w:rPr>
                <w:rFonts w:hint="eastAsia" w:hAnsi="宋体" w:cs="宋体"/>
                <w:color w:val="auto"/>
                <w:sz w:val="21"/>
                <w:lang w:val="en-US"/>
              </w:rPr>
              <w:t>名    称</w:t>
            </w:r>
          </w:p>
        </w:tc>
        <w:tc>
          <w:tcPr>
            <w:tcW w:w="1279" w:type="dxa"/>
            <w:tcBorders>
              <w:top w:val="single" w:color="auto" w:sz="12" w:space="0"/>
              <w:bottom w:val="double" w:color="auto" w:sz="6" w:space="0"/>
            </w:tcBorders>
            <w:vAlign w:val="center"/>
          </w:tcPr>
          <w:p w14:paraId="66E3293C">
            <w:pPr>
              <w:pStyle w:val="10"/>
              <w:keepNext/>
              <w:shd w:val="clear"/>
              <w:ind w:left="63" w:right="63"/>
              <w:rPr>
                <w:rFonts w:hAnsi="宋体" w:cs="宋体"/>
                <w:color w:val="auto"/>
                <w:sz w:val="21"/>
                <w:lang w:val="en-US"/>
              </w:rPr>
            </w:pPr>
            <w:r>
              <w:rPr>
                <w:rFonts w:hint="eastAsia" w:hAnsi="宋体" w:cs="宋体"/>
                <w:color w:val="auto"/>
                <w:sz w:val="21"/>
                <w:lang w:val="en-US"/>
              </w:rPr>
              <w:t>姓名</w:t>
            </w:r>
          </w:p>
        </w:tc>
        <w:tc>
          <w:tcPr>
            <w:tcW w:w="1022" w:type="dxa"/>
            <w:tcBorders>
              <w:top w:val="single" w:color="auto" w:sz="12" w:space="0"/>
              <w:bottom w:val="double" w:color="auto" w:sz="6" w:space="0"/>
            </w:tcBorders>
            <w:vAlign w:val="center"/>
          </w:tcPr>
          <w:p w14:paraId="11E1827B">
            <w:pPr>
              <w:pStyle w:val="10"/>
              <w:keepNext/>
              <w:shd w:val="clear"/>
              <w:ind w:left="63" w:right="63"/>
              <w:rPr>
                <w:rFonts w:hAnsi="宋体" w:cs="宋体"/>
                <w:color w:val="auto"/>
                <w:sz w:val="21"/>
                <w:lang w:val="en-US"/>
              </w:rPr>
            </w:pPr>
            <w:r>
              <w:rPr>
                <w:rFonts w:hint="eastAsia" w:hAnsi="宋体" w:cs="宋体"/>
                <w:color w:val="auto"/>
                <w:sz w:val="21"/>
                <w:lang w:val="en-US"/>
              </w:rPr>
              <w:t>职务</w:t>
            </w:r>
          </w:p>
        </w:tc>
        <w:tc>
          <w:tcPr>
            <w:tcW w:w="1022" w:type="dxa"/>
            <w:tcBorders>
              <w:top w:val="single" w:color="auto" w:sz="12" w:space="0"/>
              <w:bottom w:val="double" w:color="auto" w:sz="6" w:space="0"/>
            </w:tcBorders>
            <w:vAlign w:val="center"/>
          </w:tcPr>
          <w:p w14:paraId="69E9708F">
            <w:pPr>
              <w:pStyle w:val="10"/>
              <w:keepNext/>
              <w:shd w:val="clear"/>
              <w:ind w:left="63" w:right="63"/>
              <w:rPr>
                <w:rFonts w:hAnsi="宋体" w:cs="宋体"/>
                <w:color w:val="auto"/>
                <w:sz w:val="21"/>
                <w:lang w:val="en-US"/>
              </w:rPr>
            </w:pPr>
            <w:r>
              <w:rPr>
                <w:rFonts w:hint="eastAsia" w:hAnsi="宋体" w:cs="宋体"/>
                <w:color w:val="auto"/>
                <w:sz w:val="21"/>
                <w:lang w:val="en-US"/>
              </w:rPr>
              <w:t>职称</w:t>
            </w:r>
          </w:p>
        </w:tc>
        <w:tc>
          <w:tcPr>
            <w:tcW w:w="3833" w:type="dxa"/>
            <w:tcBorders>
              <w:top w:val="single" w:color="auto" w:sz="12" w:space="0"/>
              <w:bottom w:val="double" w:color="auto" w:sz="6" w:space="0"/>
            </w:tcBorders>
            <w:vAlign w:val="center"/>
          </w:tcPr>
          <w:p w14:paraId="0B9885C7">
            <w:pPr>
              <w:pStyle w:val="10"/>
              <w:keepNext/>
              <w:shd w:val="clear"/>
              <w:ind w:left="63" w:right="63"/>
              <w:rPr>
                <w:rFonts w:hAnsi="宋体" w:cs="宋体"/>
                <w:color w:val="auto"/>
                <w:sz w:val="21"/>
                <w:lang w:val="en-US"/>
              </w:rPr>
            </w:pPr>
            <w:r>
              <w:rPr>
                <w:rFonts w:hint="eastAsia" w:hAnsi="宋体" w:cs="宋体"/>
                <w:color w:val="auto"/>
                <w:sz w:val="21"/>
                <w:lang w:val="en-US"/>
              </w:rPr>
              <w:t>主要资历、经验及承担过的项目</w:t>
            </w:r>
          </w:p>
        </w:tc>
      </w:tr>
      <w:tr w14:paraId="4DDE5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vAlign w:val="center"/>
          </w:tcPr>
          <w:p w14:paraId="06BF463C">
            <w:pPr>
              <w:pStyle w:val="10"/>
              <w:keepNext/>
              <w:shd w:val="clear"/>
              <w:ind w:left="63" w:right="63"/>
              <w:rPr>
                <w:rFonts w:hAnsi="宋体" w:cs="宋体"/>
                <w:color w:val="auto"/>
                <w:sz w:val="21"/>
                <w:lang w:val="en-US"/>
              </w:rPr>
            </w:pPr>
            <w:r>
              <w:rPr>
                <w:rFonts w:hint="eastAsia" w:hAnsi="宋体" w:cs="宋体"/>
                <w:color w:val="auto"/>
                <w:sz w:val="21"/>
                <w:lang w:val="en-US"/>
              </w:rPr>
              <w:t>一、总部人员</w:t>
            </w:r>
          </w:p>
        </w:tc>
      </w:tr>
      <w:tr w14:paraId="048EA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576D80E8">
            <w:pPr>
              <w:pStyle w:val="10"/>
              <w:keepNext/>
              <w:shd w:val="clear"/>
              <w:ind w:left="63" w:right="63"/>
              <w:rPr>
                <w:rFonts w:hAnsi="宋体" w:cs="宋体"/>
                <w:color w:val="auto"/>
                <w:sz w:val="21"/>
                <w:lang w:val="en-US"/>
              </w:rPr>
            </w:pPr>
            <w:r>
              <w:rPr>
                <w:rFonts w:hint="eastAsia" w:hAnsi="宋体" w:cs="宋体"/>
                <w:color w:val="auto"/>
                <w:sz w:val="21"/>
                <w:lang w:val="en-US"/>
              </w:rPr>
              <w:t>项目主管</w:t>
            </w:r>
          </w:p>
        </w:tc>
        <w:tc>
          <w:tcPr>
            <w:tcW w:w="1279" w:type="dxa"/>
            <w:tcBorders>
              <w:top w:val="nil"/>
            </w:tcBorders>
            <w:vAlign w:val="center"/>
          </w:tcPr>
          <w:p w14:paraId="260478E3">
            <w:pPr>
              <w:pStyle w:val="10"/>
              <w:keepNext/>
              <w:shd w:val="clear"/>
              <w:ind w:left="63" w:leftChars="30" w:right="63" w:rightChars="30"/>
              <w:rPr>
                <w:rFonts w:hAnsi="宋体" w:cs="宋体"/>
                <w:color w:val="auto"/>
                <w:sz w:val="21"/>
                <w:lang w:val="en-US"/>
              </w:rPr>
            </w:pPr>
          </w:p>
        </w:tc>
        <w:tc>
          <w:tcPr>
            <w:tcW w:w="1022" w:type="dxa"/>
            <w:tcBorders>
              <w:top w:val="nil"/>
            </w:tcBorders>
            <w:vAlign w:val="center"/>
          </w:tcPr>
          <w:p w14:paraId="73268702">
            <w:pPr>
              <w:pStyle w:val="10"/>
              <w:keepNext/>
              <w:shd w:val="clear"/>
              <w:ind w:left="63" w:leftChars="30" w:right="63" w:rightChars="30"/>
              <w:rPr>
                <w:rFonts w:hAnsi="宋体" w:cs="宋体"/>
                <w:color w:val="auto"/>
                <w:sz w:val="21"/>
                <w:lang w:val="en-US"/>
              </w:rPr>
            </w:pPr>
          </w:p>
        </w:tc>
        <w:tc>
          <w:tcPr>
            <w:tcW w:w="1022" w:type="dxa"/>
            <w:tcBorders>
              <w:top w:val="nil"/>
            </w:tcBorders>
            <w:vAlign w:val="center"/>
          </w:tcPr>
          <w:p w14:paraId="754EDD23">
            <w:pPr>
              <w:pStyle w:val="10"/>
              <w:keepNext/>
              <w:shd w:val="clear"/>
              <w:ind w:left="63" w:right="63"/>
              <w:rPr>
                <w:rFonts w:hAnsi="宋体" w:cs="宋体"/>
                <w:color w:val="auto"/>
                <w:sz w:val="21"/>
                <w:lang w:val="en-US"/>
              </w:rPr>
            </w:pPr>
          </w:p>
        </w:tc>
        <w:tc>
          <w:tcPr>
            <w:tcW w:w="3833" w:type="dxa"/>
            <w:tcBorders>
              <w:top w:val="nil"/>
            </w:tcBorders>
            <w:vAlign w:val="center"/>
          </w:tcPr>
          <w:p w14:paraId="493001E3">
            <w:pPr>
              <w:pStyle w:val="10"/>
              <w:keepNext/>
              <w:shd w:val="clear"/>
              <w:ind w:left="63" w:right="63"/>
              <w:rPr>
                <w:rFonts w:hAnsi="宋体" w:cs="宋体"/>
                <w:color w:val="auto"/>
                <w:sz w:val="21"/>
                <w:lang w:val="en-US"/>
              </w:rPr>
            </w:pPr>
          </w:p>
        </w:tc>
      </w:tr>
      <w:tr w14:paraId="4620BD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vAlign w:val="center"/>
          </w:tcPr>
          <w:p w14:paraId="546D125C">
            <w:pPr>
              <w:pStyle w:val="10"/>
              <w:keepNext/>
              <w:shd w:val="clear"/>
              <w:ind w:left="63" w:right="63"/>
              <w:rPr>
                <w:rFonts w:hAnsi="宋体" w:cs="宋体"/>
                <w:color w:val="auto"/>
                <w:sz w:val="21"/>
                <w:lang w:val="en-US"/>
              </w:rPr>
            </w:pPr>
          </w:p>
        </w:tc>
        <w:tc>
          <w:tcPr>
            <w:tcW w:w="1279" w:type="dxa"/>
            <w:vAlign w:val="center"/>
          </w:tcPr>
          <w:p w14:paraId="28DD0435">
            <w:pPr>
              <w:pStyle w:val="10"/>
              <w:keepNext/>
              <w:shd w:val="clear"/>
              <w:ind w:left="63" w:right="63"/>
              <w:rPr>
                <w:rFonts w:hAnsi="宋体" w:cs="宋体"/>
                <w:color w:val="auto"/>
                <w:sz w:val="21"/>
                <w:lang w:val="en-US"/>
              </w:rPr>
            </w:pPr>
          </w:p>
        </w:tc>
        <w:tc>
          <w:tcPr>
            <w:tcW w:w="1022" w:type="dxa"/>
            <w:vAlign w:val="center"/>
          </w:tcPr>
          <w:p w14:paraId="238F481E">
            <w:pPr>
              <w:pStyle w:val="10"/>
              <w:keepNext/>
              <w:shd w:val="clear"/>
              <w:ind w:left="63" w:right="63"/>
              <w:rPr>
                <w:rFonts w:hAnsi="宋体" w:cs="宋体"/>
                <w:color w:val="auto"/>
                <w:sz w:val="21"/>
                <w:lang w:val="en-US"/>
              </w:rPr>
            </w:pPr>
          </w:p>
        </w:tc>
        <w:tc>
          <w:tcPr>
            <w:tcW w:w="1022" w:type="dxa"/>
            <w:vAlign w:val="center"/>
          </w:tcPr>
          <w:p w14:paraId="41D076BE">
            <w:pPr>
              <w:pStyle w:val="10"/>
              <w:keepNext/>
              <w:shd w:val="clear"/>
              <w:ind w:left="63" w:right="63"/>
              <w:rPr>
                <w:rFonts w:hAnsi="宋体" w:cs="宋体"/>
                <w:color w:val="auto"/>
                <w:sz w:val="21"/>
                <w:lang w:val="en-US"/>
              </w:rPr>
            </w:pPr>
          </w:p>
        </w:tc>
        <w:tc>
          <w:tcPr>
            <w:tcW w:w="3833" w:type="dxa"/>
            <w:vAlign w:val="center"/>
          </w:tcPr>
          <w:p w14:paraId="2BFF6D74">
            <w:pPr>
              <w:pStyle w:val="10"/>
              <w:keepNext/>
              <w:shd w:val="clear"/>
              <w:ind w:left="63" w:right="63"/>
              <w:rPr>
                <w:rFonts w:hAnsi="宋体" w:cs="宋体"/>
                <w:color w:val="auto"/>
                <w:sz w:val="21"/>
                <w:lang w:val="en-US"/>
              </w:rPr>
            </w:pPr>
          </w:p>
        </w:tc>
      </w:tr>
      <w:tr w14:paraId="3A40F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0C5E5835">
            <w:pPr>
              <w:pStyle w:val="10"/>
              <w:keepNext/>
              <w:shd w:val="clear"/>
              <w:ind w:left="63" w:right="63"/>
              <w:rPr>
                <w:rFonts w:hAnsi="宋体" w:cs="宋体"/>
                <w:color w:val="auto"/>
                <w:sz w:val="21"/>
                <w:lang w:val="en-US"/>
              </w:rPr>
            </w:pPr>
            <w:r>
              <w:rPr>
                <w:rFonts w:hint="eastAsia" w:hAnsi="宋体" w:cs="宋体"/>
                <w:color w:val="auto"/>
                <w:sz w:val="21"/>
                <w:lang w:val="en-US"/>
              </w:rPr>
              <w:t>其他人员</w:t>
            </w:r>
          </w:p>
        </w:tc>
        <w:tc>
          <w:tcPr>
            <w:tcW w:w="1279" w:type="dxa"/>
            <w:vAlign w:val="center"/>
          </w:tcPr>
          <w:p w14:paraId="6A29E2A5">
            <w:pPr>
              <w:pStyle w:val="10"/>
              <w:keepNext/>
              <w:shd w:val="clear"/>
              <w:ind w:left="63" w:right="63"/>
              <w:rPr>
                <w:rFonts w:hAnsi="宋体" w:cs="宋体"/>
                <w:color w:val="auto"/>
                <w:sz w:val="21"/>
                <w:lang w:val="en-US"/>
              </w:rPr>
            </w:pPr>
          </w:p>
        </w:tc>
        <w:tc>
          <w:tcPr>
            <w:tcW w:w="1022" w:type="dxa"/>
            <w:vAlign w:val="center"/>
          </w:tcPr>
          <w:p w14:paraId="7DB0E8CF">
            <w:pPr>
              <w:pStyle w:val="10"/>
              <w:keepNext/>
              <w:shd w:val="clear"/>
              <w:ind w:left="63" w:right="63"/>
              <w:rPr>
                <w:rFonts w:hAnsi="宋体" w:cs="宋体"/>
                <w:color w:val="auto"/>
                <w:sz w:val="21"/>
                <w:lang w:val="en-US"/>
              </w:rPr>
            </w:pPr>
          </w:p>
        </w:tc>
        <w:tc>
          <w:tcPr>
            <w:tcW w:w="1022" w:type="dxa"/>
            <w:vAlign w:val="center"/>
          </w:tcPr>
          <w:p w14:paraId="7B88E307">
            <w:pPr>
              <w:pStyle w:val="10"/>
              <w:keepNext/>
              <w:shd w:val="clear"/>
              <w:ind w:left="63" w:right="63"/>
              <w:rPr>
                <w:rFonts w:hAnsi="宋体" w:cs="宋体"/>
                <w:color w:val="auto"/>
                <w:sz w:val="21"/>
                <w:lang w:val="en-US"/>
              </w:rPr>
            </w:pPr>
          </w:p>
        </w:tc>
        <w:tc>
          <w:tcPr>
            <w:tcW w:w="3833" w:type="dxa"/>
            <w:vAlign w:val="center"/>
          </w:tcPr>
          <w:p w14:paraId="76B67DA4">
            <w:pPr>
              <w:pStyle w:val="10"/>
              <w:keepNext/>
              <w:shd w:val="clear"/>
              <w:ind w:left="63" w:right="63"/>
              <w:rPr>
                <w:rFonts w:hAnsi="宋体" w:cs="宋体"/>
                <w:color w:val="auto"/>
                <w:sz w:val="21"/>
                <w:lang w:val="en-US"/>
              </w:rPr>
            </w:pPr>
          </w:p>
        </w:tc>
      </w:tr>
      <w:tr w14:paraId="6BF73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vAlign w:val="center"/>
          </w:tcPr>
          <w:p w14:paraId="65A98DA8">
            <w:pPr>
              <w:pStyle w:val="10"/>
              <w:keepNext/>
              <w:shd w:val="clear"/>
              <w:ind w:left="63" w:right="63"/>
              <w:rPr>
                <w:rFonts w:hAnsi="宋体" w:cs="宋体"/>
                <w:color w:val="auto"/>
                <w:sz w:val="21"/>
                <w:lang w:val="en-US"/>
              </w:rPr>
            </w:pPr>
          </w:p>
        </w:tc>
        <w:tc>
          <w:tcPr>
            <w:tcW w:w="1279" w:type="dxa"/>
            <w:vAlign w:val="center"/>
          </w:tcPr>
          <w:p w14:paraId="3030D78F">
            <w:pPr>
              <w:pStyle w:val="10"/>
              <w:keepNext/>
              <w:shd w:val="clear"/>
              <w:ind w:left="63" w:right="63"/>
              <w:rPr>
                <w:rFonts w:hAnsi="宋体" w:cs="宋体"/>
                <w:color w:val="auto"/>
                <w:sz w:val="21"/>
                <w:lang w:val="en-US"/>
              </w:rPr>
            </w:pPr>
          </w:p>
        </w:tc>
        <w:tc>
          <w:tcPr>
            <w:tcW w:w="1022" w:type="dxa"/>
            <w:vAlign w:val="center"/>
          </w:tcPr>
          <w:p w14:paraId="3AF33879">
            <w:pPr>
              <w:pStyle w:val="10"/>
              <w:keepNext/>
              <w:shd w:val="clear"/>
              <w:ind w:left="63" w:right="63"/>
              <w:rPr>
                <w:rFonts w:hAnsi="宋体" w:cs="宋体"/>
                <w:color w:val="auto"/>
                <w:sz w:val="21"/>
                <w:lang w:val="en-US"/>
              </w:rPr>
            </w:pPr>
          </w:p>
        </w:tc>
        <w:tc>
          <w:tcPr>
            <w:tcW w:w="1022" w:type="dxa"/>
            <w:vAlign w:val="center"/>
          </w:tcPr>
          <w:p w14:paraId="4332A0B2">
            <w:pPr>
              <w:pStyle w:val="10"/>
              <w:keepNext/>
              <w:shd w:val="clear"/>
              <w:ind w:left="63" w:right="63"/>
              <w:rPr>
                <w:rFonts w:hAnsi="宋体" w:cs="宋体"/>
                <w:color w:val="auto"/>
                <w:sz w:val="21"/>
                <w:lang w:val="en-US"/>
              </w:rPr>
            </w:pPr>
          </w:p>
        </w:tc>
        <w:tc>
          <w:tcPr>
            <w:tcW w:w="3833" w:type="dxa"/>
            <w:vAlign w:val="center"/>
          </w:tcPr>
          <w:p w14:paraId="0632F804">
            <w:pPr>
              <w:pStyle w:val="10"/>
              <w:keepNext/>
              <w:shd w:val="clear"/>
              <w:ind w:left="63" w:right="63"/>
              <w:rPr>
                <w:rFonts w:hAnsi="宋体" w:cs="宋体"/>
                <w:color w:val="auto"/>
                <w:sz w:val="21"/>
                <w:lang w:val="en-US"/>
              </w:rPr>
            </w:pPr>
          </w:p>
        </w:tc>
      </w:tr>
      <w:tr w14:paraId="6ADD5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vAlign w:val="center"/>
          </w:tcPr>
          <w:p w14:paraId="2C2B53D4">
            <w:pPr>
              <w:pStyle w:val="10"/>
              <w:keepNext/>
              <w:shd w:val="clear"/>
              <w:ind w:left="63" w:right="63"/>
              <w:rPr>
                <w:rFonts w:hAnsi="宋体" w:cs="宋体"/>
                <w:color w:val="auto"/>
                <w:sz w:val="21"/>
                <w:lang w:val="en-US"/>
              </w:rPr>
            </w:pPr>
            <w:r>
              <w:rPr>
                <w:rFonts w:hint="eastAsia" w:hAnsi="宋体" w:cs="宋体"/>
                <w:color w:val="auto"/>
                <w:sz w:val="21"/>
                <w:lang w:val="en-US"/>
              </w:rPr>
              <w:t>二、现场人员</w:t>
            </w:r>
          </w:p>
        </w:tc>
      </w:tr>
      <w:tr w14:paraId="00B6F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7" w:hRule="atLeast"/>
          <w:jc w:val="center"/>
        </w:trPr>
        <w:tc>
          <w:tcPr>
            <w:tcW w:w="1689" w:type="dxa"/>
            <w:tcBorders>
              <w:top w:val="single" w:color="auto" w:sz="6" w:space="0"/>
              <w:bottom w:val="single" w:color="auto" w:sz="6" w:space="0"/>
            </w:tcBorders>
            <w:vAlign w:val="center"/>
          </w:tcPr>
          <w:p w14:paraId="3F878DC1">
            <w:pPr>
              <w:pStyle w:val="10"/>
              <w:keepNext/>
              <w:shd w:val="clear"/>
              <w:ind w:left="63" w:right="63"/>
              <w:rPr>
                <w:rFonts w:hAnsi="宋体" w:cs="宋体"/>
                <w:color w:val="auto"/>
                <w:sz w:val="21"/>
                <w:lang w:val="en-US"/>
              </w:rPr>
            </w:pPr>
            <w:r>
              <w:rPr>
                <w:rFonts w:hint="eastAsia" w:hAnsi="宋体" w:cs="宋体"/>
                <w:color w:val="auto"/>
                <w:sz w:val="21"/>
                <w:lang w:val="en-US"/>
              </w:rPr>
              <w:t>项目经理</w:t>
            </w:r>
          </w:p>
        </w:tc>
        <w:tc>
          <w:tcPr>
            <w:tcW w:w="1279" w:type="dxa"/>
            <w:vAlign w:val="center"/>
          </w:tcPr>
          <w:p w14:paraId="1CD1CBD1">
            <w:pPr>
              <w:pStyle w:val="10"/>
              <w:keepNext/>
              <w:shd w:val="clear"/>
              <w:ind w:left="63" w:leftChars="30" w:right="63" w:rightChars="30"/>
              <w:rPr>
                <w:rFonts w:hAnsi="宋体" w:cs="宋体"/>
                <w:color w:val="auto"/>
                <w:sz w:val="21"/>
                <w:lang w:val="en-US"/>
              </w:rPr>
            </w:pPr>
          </w:p>
        </w:tc>
        <w:tc>
          <w:tcPr>
            <w:tcW w:w="1022" w:type="dxa"/>
            <w:vAlign w:val="center"/>
          </w:tcPr>
          <w:p w14:paraId="37CDB900">
            <w:pPr>
              <w:pStyle w:val="10"/>
              <w:keepNext/>
              <w:shd w:val="clear"/>
              <w:ind w:left="63" w:leftChars="30" w:right="63" w:rightChars="30"/>
              <w:rPr>
                <w:rFonts w:hAnsi="宋体" w:cs="宋体"/>
                <w:color w:val="auto"/>
                <w:sz w:val="21"/>
                <w:lang w:val="en-US"/>
              </w:rPr>
            </w:pPr>
          </w:p>
        </w:tc>
        <w:tc>
          <w:tcPr>
            <w:tcW w:w="1022" w:type="dxa"/>
            <w:vAlign w:val="center"/>
          </w:tcPr>
          <w:p w14:paraId="15539BF1">
            <w:pPr>
              <w:pStyle w:val="10"/>
              <w:keepNext/>
              <w:shd w:val="clear"/>
              <w:ind w:left="63" w:leftChars="30" w:right="63" w:rightChars="30"/>
              <w:rPr>
                <w:rFonts w:hAnsi="宋体" w:cs="宋体"/>
                <w:color w:val="auto"/>
                <w:sz w:val="21"/>
                <w:lang w:val="en-US"/>
              </w:rPr>
            </w:pPr>
          </w:p>
        </w:tc>
        <w:tc>
          <w:tcPr>
            <w:tcW w:w="3833" w:type="dxa"/>
            <w:vAlign w:val="center"/>
          </w:tcPr>
          <w:p w14:paraId="0F87A4DA">
            <w:pPr>
              <w:pStyle w:val="10"/>
              <w:keepNext/>
              <w:shd w:val="clear"/>
              <w:ind w:left="63" w:right="63"/>
              <w:rPr>
                <w:rFonts w:hAnsi="宋体" w:cs="宋体"/>
                <w:color w:val="auto"/>
                <w:sz w:val="21"/>
                <w:lang w:val="en-US"/>
              </w:rPr>
            </w:pPr>
          </w:p>
        </w:tc>
      </w:tr>
      <w:tr w14:paraId="37EFF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vAlign w:val="center"/>
          </w:tcPr>
          <w:p w14:paraId="6A561A16">
            <w:pPr>
              <w:pStyle w:val="10"/>
              <w:keepNext/>
              <w:shd w:val="clear"/>
              <w:ind w:left="63" w:right="63"/>
              <w:rPr>
                <w:rFonts w:hAnsi="宋体" w:cs="宋体"/>
                <w:color w:val="auto"/>
                <w:sz w:val="21"/>
                <w:lang w:val="en-US"/>
              </w:rPr>
            </w:pPr>
            <w:r>
              <w:rPr>
                <w:rFonts w:hint="eastAsia" w:hAnsi="宋体" w:cs="宋体"/>
                <w:color w:val="auto"/>
                <w:sz w:val="21"/>
                <w:lang w:val="en-US"/>
              </w:rPr>
              <w:t>技术负责人</w:t>
            </w:r>
          </w:p>
        </w:tc>
        <w:tc>
          <w:tcPr>
            <w:tcW w:w="1279" w:type="dxa"/>
            <w:vAlign w:val="center"/>
          </w:tcPr>
          <w:p w14:paraId="4792078B">
            <w:pPr>
              <w:pStyle w:val="10"/>
              <w:keepNext/>
              <w:shd w:val="clear"/>
              <w:ind w:left="63" w:leftChars="30" w:right="63" w:rightChars="30"/>
              <w:rPr>
                <w:rFonts w:hAnsi="宋体" w:cs="宋体"/>
                <w:color w:val="auto"/>
                <w:sz w:val="21"/>
                <w:lang w:val="en-US"/>
              </w:rPr>
            </w:pPr>
          </w:p>
        </w:tc>
        <w:tc>
          <w:tcPr>
            <w:tcW w:w="1022" w:type="dxa"/>
            <w:vAlign w:val="center"/>
          </w:tcPr>
          <w:p w14:paraId="58C35916">
            <w:pPr>
              <w:pStyle w:val="10"/>
              <w:keepNext/>
              <w:shd w:val="clear"/>
              <w:ind w:left="63" w:leftChars="30" w:right="63" w:rightChars="30"/>
              <w:rPr>
                <w:rFonts w:hAnsi="宋体" w:cs="宋体"/>
                <w:color w:val="auto"/>
                <w:sz w:val="21"/>
                <w:lang w:val="en-US"/>
              </w:rPr>
            </w:pPr>
          </w:p>
        </w:tc>
        <w:tc>
          <w:tcPr>
            <w:tcW w:w="1022" w:type="dxa"/>
            <w:vAlign w:val="center"/>
          </w:tcPr>
          <w:p w14:paraId="3C0005ED">
            <w:pPr>
              <w:pStyle w:val="10"/>
              <w:keepNext/>
              <w:shd w:val="clear"/>
              <w:ind w:left="63" w:leftChars="30" w:right="63" w:rightChars="30"/>
              <w:rPr>
                <w:rFonts w:hAnsi="宋体" w:cs="宋体"/>
                <w:color w:val="auto"/>
                <w:sz w:val="21"/>
                <w:lang w:val="en-US"/>
              </w:rPr>
            </w:pPr>
          </w:p>
        </w:tc>
        <w:tc>
          <w:tcPr>
            <w:tcW w:w="3833" w:type="dxa"/>
            <w:vAlign w:val="center"/>
          </w:tcPr>
          <w:p w14:paraId="36D81C61">
            <w:pPr>
              <w:pStyle w:val="10"/>
              <w:keepNext/>
              <w:shd w:val="clear"/>
              <w:ind w:left="63" w:right="63"/>
              <w:rPr>
                <w:rFonts w:hAnsi="宋体" w:cs="宋体"/>
                <w:color w:val="auto"/>
                <w:sz w:val="21"/>
                <w:lang w:val="en-US"/>
              </w:rPr>
            </w:pPr>
          </w:p>
        </w:tc>
      </w:tr>
      <w:tr w14:paraId="20518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7C58517F">
            <w:pPr>
              <w:pStyle w:val="10"/>
              <w:keepNext/>
              <w:shd w:val="clear"/>
              <w:ind w:left="63" w:right="63"/>
              <w:rPr>
                <w:rFonts w:hAnsi="宋体" w:cs="宋体"/>
                <w:color w:val="auto"/>
                <w:sz w:val="21"/>
                <w:lang w:val="en-US"/>
              </w:rPr>
            </w:pPr>
            <w:r>
              <w:rPr>
                <w:rFonts w:hint="eastAsia" w:hAnsi="宋体" w:cs="宋体"/>
                <w:color w:val="auto"/>
                <w:sz w:val="21"/>
                <w:lang w:val="en-US"/>
              </w:rPr>
              <w:t>施工管理</w:t>
            </w:r>
          </w:p>
        </w:tc>
        <w:tc>
          <w:tcPr>
            <w:tcW w:w="1279" w:type="dxa"/>
            <w:vAlign w:val="center"/>
          </w:tcPr>
          <w:p w14:paraId="4836114D">
            <w:pPr>
              <w:pStyle w:val="10"/>
              <w:keepNext/>
              <w:shd w:val="clear"/>
              <w:ind w:left="63" w:leftChars="30" w:right="63" w:rightChars="30"/>
              <w:rPr>
                <w:rFonts w:hAnsi="宋体" w:cs="宋体"/>
                <w:color w:val="auto"/>
                <w:sz w:val="21"/>
                <w:lang w:val="en-US"/>
              </w:rPr>
            </w:pPr>
          </w:p>
        </w:tc>
        <w:tc>
          <w:tcPr>
            <w:tcW w:w="1022" w:type="dxa"/>
            <w:vAlign w:val="center"/>
          </w:tcPr>
          <w:p w14:paraId="415F34A0">
            <w:pPr>
              <w:pStyle w:val="10"/>
              <w:keepNext/>
              <w:shd w:val="clear"/>
              <w:ind w:left="63" w:leftChars="30" w:right="63" w:rightChars="30"/>
              <w:rPr>
                <w:rFonts w:hAnsi="宋体" w:cs="宋体"/>
                <w:color w:val="auto"/>
                <w:sz w:val="21"/>
                <w:lang w:val="en-US"/>
              </w:rPr>
            </w:pPr>
          </w:p>
        </w:tc>
        <w:tc>
          <w:tcPr>
            <w:tcW w:w="1022" w:type="dxa"/>
            <w:vAlign w:val="center"/>
          </w:tcPr>
          <w:p w14:paraId="0F5370A0">
            <w:pPr>
              <w:pStyle w:val="10"/>
              <w:keepNext/>
              <w:shd w:val="clear"/>
              <w:ind w:left="63" w:leftChars="30" w:right="63" w:rightChars="30"/>
              <w:rPr>
                <w:rFonts w:hAnsi="宋体" w:cs="宋体"/>
                <w:color w:val="auto"/>
                <w:sz w:val="21"/>
                <w:lang w:val="en-US"/>
              </w:rPr>
            </w:pPr>
          </w:p>
        </w:tc>
        <w:tc>
          <w:tcPr>
            <w:tcW w:w="3833" w:type="dxa"/>
            <w:vAlign w:val="center"/>
          </w:tcPr>
          <w:p w14:paraId="275FC727">
            <w:pPr>
              <w:pStyle w:val="10"/>
              <w:keepNext/>
              <w:shd w:val="clear"/>
              <w:ind w:left="63" w:right="63"/>
              <w:rPr>
                <w:rFonts w:hAnsi="宋体" w:cs="宋体"/>
                <w:color w:val="auto"/>
                <w:sz w:val="21"/>
                <w:lang w:val="en-US"/>
              </w:rPr>
            </w:pPr>
          </w:p>
        </w:tc>
      </w:tr>
      <w:tr w14:paraId="28791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065F999D">
            <w:pPr>
              <w:pStyle w:val="10"/>
              <w:keepNext/>
              <w:shd w:val="clear"/>
              <w:ind w:left="63" w:right="63"/>
              <w:rPr>
                <w:rFonts w:hAnsi="宋体" w:cs="宋体"/>
                <w:color w:val="auto"/>
                <w:sz w:val="21"/>
                <w:lang w:val="en-US"/>
              </w:rPr>
            </w:pPr>
            <w:r>
              <w:rPr>
                <w:rFonts w:hint="eastAsia" w:hAnsi="宋体" w:cs="宋体"/>
                <w:color w:val="auto"/>
                <w:sz w:val="21"/>
                <w:lang w:val="en-US"/>
              </w:rPr>
              <w:t>质量管理</w:t>
            </w:r>
          </w:p>
        </w:tc>
        <w:tc>
          <w:tcPr>
            <w:tcW w:w="1279" w:type="dxa"/>
            <w:vAlign w:val="center"/>
          </w:tcPr>
          <w:p w14:paraId="41BB2E69">
            <w:pPr>
              <w:pStyle w:val="10"/>
              <w:keepNext/>
              <w:shd w:val="clear"/>
              <w:ind w:left="63" w:leftChars="30" w:right="63" w:rightChars="30"/>
              <w:rPr>
                <w:rFonts w:hAnsi="宋体" w:cs="宋体"/>
                <w:color w:val="auto"/>
                <w:sz w:val="21"/>
                <w:lang w:val="en-US"/>
              </w:rPr>
            </w:pPr>
          </w:p>
        </w:tc>
        <w:tc>
          <w:tcPr>
            <w:tcW w:w="1022" w:type="dxa"/>
            <w:vAlign w:val="center"/>
          </w:tcPr>
          <w:p w14:paraId="21D03381">
            <w:pPr>
              <w:pStyle w:val="10"/>
              <w:keepNext/>
              <w:shd w:val="clear"/>
              <w:ind w:left="63" w:leftChars="30" w:right="63" w:rightChars="30"/>
              <w:rPr>
                <w:rFonts w:hAnsi="宋体" w:cs="宋体"/>
                <w:color w:val="auto"/>
                <w:sz w:val="21"/>
                <w:lang w:val="en-US"/>
              </w:rPr>
            </w:pPr>
          </w:p>
        </w:tc>
        <w:tc>
          <w:tcPr>
            <w:tcW w:w="1022" w:type="dxa"/>
            <w:vAlign w:val="center"/>
          </w:tcPr>
          <w:p w14:paraId="5CB5077E">
            <w:pPr>
              <w:pStyle w:val="10"/>
              <w:keepNext/>
              <w:shd w:val="clear"/>
              <w:ind w:left="63" w:leftChars="30" w:right="63" w:rightChars="30"/>
              <w:rPr>
                <w:rFonts w:hAnsi="宋体" w:cs="宋体"/>
                <w:color w:val="auto"/>
                <w:sz w:val="21"/>
                <w:lang w:val="en-US"/>
              </w:rPr>
            </w:pPr>
          </w:p>
        </w:tc>
        <w:tc>
          <w:tcPr>
            <w:tcW w:w="3833" w:type="dxa"/>
            <w:vAlign w:val="center"/>
          </w:tcPr>
          <w:p w14:paraId="3530B5EB">
            <w:pPr>
              <w:pStyle w:val="10"/>
              <w:keepNext/>
              <w:shd w:val="clear"/>
              <w:ind w:left="63" w:right="63"/>
              <w:rPr>
                <w:rFonts w:hAnsi="宋体" w:cs="宋体"/>
                <w:color w:val="auto"/>
                <w:sz w:val="21"/>
                <w:lang w:val="en-US"/>
              </w:rPr>
            </w:pPr>
          </w:p>
        </w:tc>
      </w:tr>
      <w:tr w14:paraId="00459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41EC806C">
            <w:pPr>
              <w:pStyle w:val="10"/>
              <w:keepNext/>
              <w:shd w:val="clear"/>
              <w:ind w:left="63" w:right="63"/>
              <w:rPr>
                <w:rFonts w:hAnsi="宋体" w:cs="宋体"/>
                <w:color w:val="auto"/>
                <w:sz w:val="21"/>
                <w:lang w:val="en-US"/>
              </w:rPr>
            </w:pPr>
            <w:r>
              <w:rPr>
                <w:rFonts w:hint="eastAsia" w:hAnsi="宋体" w:cs="宋体"/>
                <w:color w:val="auto"/>
                <w:sz w:val="21"/>
                <w:lang w:val="en-US"/>
              </w:rPr>
              <w:t>安全管理</w:t>
            </w:r>
          </w:p>
        </w:tc>
        <w:tc>
          <w:tcPr>
            <w:tcW w:w="1279" w:type="dxa"/>
            <w:vAlign w:val="center"/>
          </w:tcPr>
          <w:p w14:paraId="2F1BFA44">
            <w:pPr>
              <w:pStyle w:val="10"/>
              <w:keepNext/>
              <w:shd w:val="clear"/>
              <w:ind w:left="63" w:leftChars="30" w:right="63" w:rightChars="30"/>
              <w:rPr>
                <w:rFonts w:hAnsi="宋体" w:cs="宋体"/>
                <w:color w:val="auto"/>
                <w:sz w:val="21"/>
                <w:lang w:val="en-US"/>
              </w:rPr>
            </w:pPr>
          </w:p>
        </w:tc>
        <w:tc>
          <w:tcPr>
            <w:tcW w:w="1022" w:type="dxa"/>
            <w:vAlign w:val="center"/>
          </w:tcPr>
          <w:p w14:paraId="3050073D">
            <w:pPr>
              <w:pStyle w:val="10"/>
              <w:keepNext/>
              <w:shd w:val="clear"/>
              <w:ind w:left="63" w:leftChars="30" w:right="63" w:rightChars="30"/>
              <w:rPr>
                <w:rFonts w:hAnsi="宋体" w:cs="宋体"/>
                <w:color w:val="auto"/>
                <w:sz w:val="21"/>
                <w:lang w:val="en-US"/>
              </w:rPr>
            </w:pPr>
          </w:p>
        </w:tc>
        <w:tc>
          <w:tcPr>
            <w:tcW w:w="1022" w:type="dxa"/>
            <w:vAlign w:val="center"/>
          </w:tcPr>
          <w:p w14:paraId="39B23737">
            <w:pPr>
              <w:pStyle w:val="10"/>
              <w:keepNext/>
              <w:shd w:val="clear"/>
              <w:ind w:left="63" w:leftChars="30" w:right="63" w:rightChars="30"/>
              <w:rPr>
                <w:rFonts w:hAnsi="宋体" w:cs="宋体"/>
                <w:color w:val="auto"/>
                <w:sz w:val="21"/>
                <w:lang w:val="en-US"/>
              </w:rPr>
            </w:pPr>
          </w:p>
        </w:tc>
        <w:tc>
          <w:tcPr>
            <w:tcW w:w="3833" w:type="dxa"/>
            <w:vAlign w:val="center"/>
          </w:tcPr>
          <w:p w14:paraId="14080A3A">
            <w:pPr>
              <w:pStyle w:val="10"/>
              <w:keepNext/>
              <w:shd w:val="clear"/>
              <w:ind w:left="63" w:right="63"/>
              <w:rPr>
                <w:rFonts w:hAnsi="宋体" w:cs="宋体"/>
                <w:color w:val="auto"/>
                <w:sz w:val="21"/>
                <w:lang w:val="en-US"/>
              </w:rPr>
            </w:pPr>
          </w:p>
        </w:tc>
      </w:tr>
      <w:tr w14:paraId="74958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10DBD9BC">
            <w:pPr>
              <w:pStyle w:val="10"/>
              <w:keepNext/>
              <w:shd w:val="clear"/>
              <w:ind w:left="63" w:right="63"/>
              <w:rPr>
                <w:rFonts w:hAnsi="宋体" w:cs="宋体"/>
                <w:color w:val="auto"/>
                <w:sz w:val="21"/>
                <w:lang w:val="en-US"/>
              </w:rPr>
            </w:pPr>
          </w:p>
        </w:tc>
        <w:tc>
          <w:tcPr>
            <w:tcW w:w="1279" w:type="dxa"/>
            <w:vAlign w:val="center"/>
          </w:tcPr>
          <w:p w14:paraId="5A5E5130">
            <w:pPr>
              <w:pStyle w:val="10"/>
              <w:keepNext/>
              <w:shd w:val="clear"/>
              <w:ind w:left="63" w:right="63"/>
              <w:rPr>
                <w:rFonts w:hAnsi="宋体" w:cs="宋体"/>
                <w:color w:val="auto"/>
                <w:sz w:val="21"/>
                <w:lang w:val="en-US"/>
              </w:rPr>
            </w:pPr>
          </w:p>
        </w:tc>
        <w:tc>
          <w:tcPr>
            <w:tcW w:w="1022" w:type="dxa"/>
            <w:vAlign w:val="center"/>
          </w:tcPr>
          <w:p w14:paraId="65E27057">
            <w:pPr>
              <w:pStyle w:val="10"/>
              <w:keepNext/>
              <w:shd w:val="clear"/>
              <w:ind w:left="63" w:right="63"/>
              <w:rPr>
                <w:rFonts w:hAnsi="宋体" w:cs="宋体"/>
                <w:color w:val="auto"/>
                <w:sz w:val="21"/>
                <w:lang w:val="en-US"/>
              </w:rPr>
            </w:pPr>
          </w:p>
        </w:tc>
        <w:tc>
          <w:tcPr>
            <w:tcW w:w="1022" w:type="dxa"/>
            <w:vAlign w:val="center"/>
          </w:tcPr>
          <w:p w14:paraId="10054232">
            <w:pPr>
              <w:pStyle w:val="10"/>
              <w:keepNext/>
              <w:shd w:val="clear"/>
              <w:ind w:left="63" w:right="63"/>
              <w:rPr>
                <w:rFonts w:hAnsi="宋体" w:cs="宋体"/>
                <w:color w:val="auto"/>
                <w:sz w:val="21"/>
                <w:lang w:val="en-US"/>
              </w:rPr>
            </w:pPr>
          </w:p>
        </w:tc>
        <w:tc>
          <w:tcPr>
            <w:tcW w:w="3833" w:type="dxa"/>
            <w:vAlign w:val="center"/>
          </w:tcPr>
          <w:p w14:paraId="5B553939">
            <w:pPr>
              <w:pStyle w:val="10"/>
              <w:keepNext/>
              <w:shd w:val="clear"/>
              <w:ind w:left="63" w:right="63"/>
              <w:rPr>
                <w:rFonts w:hAnsi="宋体" w:cs="宋体"/>
                <w:color w:val="auto"/>
                <w:sz w:val="21"/>
                <w:lang w:val="en-US"/>
              </w:rPr>
            </w:pPr>
          </w:p>
        </w:tc>
      </w:tr>
      <w:tr w14:paraId="667B4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3241E4FD">
            <w:pPr>
              <w:pStyle w:val="10"/>
              <w:keepNext/>
              <w:shd w:val="clear"/>
              <w:ind w:left="63" w:right="63"/>
              <w:rPr>
                <w:rFonts w:hAnsi="宋体" w:cs="宋体"/>
                <w:color w:val="auto"/>
                <w:sz w:val="21"/>
                <w:lang w:val="en-US"/>
              </w:rPr>
            </w:pPr>
          </w:p>
        </w:tc>
        <w:tc>
          <w:tcPr>
            <w:tcW w:w="1279" w:type="dxa"/>
            <w:vAlign w:val="center"/>
          </w:tcPr>
          <w:p w14:paraId="365E4F6A">
            <w:pPr>
              <w:pStyle w:val="10"/>
              <w:keepNext/>
              <w:shd w:val="clear"/>
              <w:ind w:left="63" w:right="63"/>
              <w:rPr>
                <w:rFonts w:hAnsi="宋体" w:cs="宋体"/>
                <w:color w:val="auto"/>
                <w:sz w:val="21"/>
                <w:lang w:val="en-US"/>
              </w:rPr>
            </w:pPr>
          </w:p>
        </w:tc>
        <w:tc>
          <w:tcPr>
            <w:tcW w:w="1022" w:type="dxa"/>
            <w:vAlign w:val="center"/>
          </w:tcPr>
          <w:p w14:paraId="3829C191">
            <w:pPr>
              <w:pStyle w:val="10"/>
              <w:keepNext/>
              <w:shd w:val="clear"/>
              <w:ind w:left="63" w:right="63"/>
              <w:rPr>
                <w:rFonts w:hAnsi="宋体" w:cs="宋体"/>
                <w:color w:val="auto"/>
                <w:sz w:val="21"/>
                <w:lang w:val="en-US"/>
              </w:rPr>
            </w:pPr>
          </w:p>
        </w:tc>
        <w:tc>
          <w:tcPr>
            <w:tcW w:w="1022" w:type="dxa"/>
            <w:vAlign w:val="center"/>
          </w:tcPr>
          <w:p w14:paraId="75CB92CC">
            <w:pPr>
              <w:pStyle w:val="10"/>
              <w:keepNext/>
              <w:shd w:val="clear"/>
              <w:ind w:left="63" w:right="63"/>
              <w:rPr>
                <w:rFonts w:hAnsi="宋体" w:cs="宋体"/>
                <w:color w:val="auto"/>
                <w:sz w:val="21"/>
                <w:lang w:val="en-US"/>
              </w:rPr>
            </w:pPr>
          </w:p>
        </w:tc>
        <w:tc>
          <w:tcPr>
            <w:tcW w:w="3833" w:type="dxa"/>
            <w:vAlign w:val="center"/>
          </w:tcPr>
          <w:p w14:paraId="043DB18E">
            <w:pPr>
              <w:pStyle w:val="10"/>
              <w:keepNext/>
              <w:shd w:val="clear"/>
              <w:ind w:left="63" w:right="63"/>
              <w:rPr>
                <w:rFonts w:hAnsi="宋体" w:cs="宋体"/>
                <w:color w:val="auto"/>
                <w:sz w:val="21"/>
                <w:lang w:val="en-US"/>
              </w:rPr>
            </w:pPr>
          </w:p>
        </w:tc>
      </w:tr>
      <w:tr w14:paraId="363AC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2E211B7A">
            <w:pPr>
              <w:pStyle w:val="10"/>
              <w:keepNext/>
              <w:shd w:val="clear"/>
              <w:ind w:left="63" w:right="63"/>
              <w:rPr>
                <w:rFonts w:hAnsi="宋体" w:cs="宋体"/>
                <w:color w:val="auto"/>
                <w:sz w:val="21"/>
                <w:lang w:val="en-US"/>
              </w:rPr>
            </w:pPr>
          </w:p>
        </w:tc>
        <w:tc>
          <w:tcPr>
            <w:tcW w:w="1279" w:type="dxa"/>
            <w:vAlign w:val="center"/>
          </w:tcPr>
          <w:p w14:paraId="3B5B2DD5">
            <w:pPr>
              <w:pStyle w:val="10"/>
              <w:keepNext/>
              <w:shd w:val="clear"/>
              <w:ind w:left="63" w:right="63"/>
              <w:rPr>
                <w:rFonts w:hAnsi="宋体" w:cs="宋体"/>
                <w:color w:val="auto"/>
                <w:sz w:val="21"/>
                <w:lang w:val="en-US"/>
              </w:rPr>
            </w:pPr>
          </w:p>
        </w:tc>
        <w:tc>
          <w:tcPr>
            <w:tcW w:w="1022" w:type="dxa"/>
            <w:vAlign w:val="center"/>
          </w:tcPr>
          <w:p w14:paraId="5E91F769">
            <w:pPr>
              <w:pStyle w:val="10"/>
              <w:keepNext/>
              <w:shd w:val="clear"/>
              <w:ind w:left="63" w:right="63"/>
              <w:rPr>
                <w:rFonts w:hAnsi="宋体" w:cs="宋体"/>
                <w:color w:val="auto"/>
                <w:sz w:val="21"/>
                <w:lang w:val="en-US"/>
              </w:rPr>
            </w:pPr>
          </w:p>
        </w:tc>
        <w:tc>
          <w:tcPr>
            <w:tcW w:w="1022" w:type="dxa"/>
            <w:vAlign w:val="center"/>
          </w:tcPr>
          <w:p w14:paraId="1D1EBCB4">
            <w:pPr>
              <w:pStyle w:val="10"/>
              <w:keepNext/>
              <w:shd w:val="clear"/>
              <w:ind w:left="63" w:right="63"/>
              <w:rPr>
                <w:rFonts w:hAnsi="宋体" w:cs="宋体"/>
                <w:color w:val="auto"/>
                <w:sz w:val="21"/>
                <w:lang w:val="en-US"/>
              </w:rPr>
            </w:pPr>
          </w:p>
        </w:tc>
        <w:tc>
          <w:tcPr>
            <w:tcW w:w="3833" w:type="dxa"/>
            <w:vAlign w:val="center"/>
          </w:tcPr>
          <w:p w14:paraId="56B1767E">
            <w:pPr>
              <w:pStyle w:val="10"/>
              <w:keepNext/>
              <w:shd w:val="clear"/>
              <w:ind w:left="63" w:right="63"/>
              <w:rPr>
                <w:rFonts w:hAnsi="宋体" w:cs="宋体"/>
                <w:color w:val="auto"/>
                <w:sz w:val="21"/>
                <w:lang w:val="en-US"/>
              </w:rPr>
            </w:pPr>
          </w:p>
        </w:tc>
      </w:tr>
      <w:tr w14:paraId="28473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vAlign w:val="center"/>
          </w:tcPr>
          <w:p w14:paraId="409F91E5">
            <w:pPr>
              <w:pStyle w:val="10"/>
              <w:keepNext/>
              <w:shd w:val="clear"/>
              <w:ind w:left="63" w:right="63"/>
              <w:rPr>
                <w:rFonts w:hAnsi="宋体" w:cs="宋体"/>
                <w:color w:val="auto"/>
                <w:sz w:val="21"/>
                <w:lang w:val="en-US"/>
              </w:rPr>
            </w:pPr>
            <w:r>
              <w:rPr>
                <w:rFonts w:hint="eastAsia" w:hAnsi="宋体" w:cs="宋体"/>
                <w:color w:val="auto"/>
                <w:sz w:val="21"/>
                <w:lang w:val="en-US"/>
              </w:rPr>
              <w:t>其他人员</w:t>
            </w:r>
          </w:p>
        </w:tc>
        <w:tc>
          <w:tcPr>
            <w:tcW w:w="1279" w:type="dxa"/>
            <w:vAlign w:val="center"/>
          </w:tcPr>
          <w:p w14:paraId="3501A579">
            <w:pPr>
              <w:pStyle w:val="10"/>
              <w:keepNext/>
              <w:shd w:val="clear"/>
              <w:ind w:left="63" w:right="63"/>
              <w:rPr>
                <w:rFonts w:hAnsi="宋体" w:cs="宋体"/>
                <w:color w:val="auto"/>
                <w:sz w:val="21"/>
                <w:lang w:val="en-US"/>
              </w:rPr>
            </w:pPr>
          </w:p>
        </w:tc>
        <w:tc>
          <w:tcPr>
            <w:tcW w:w="1022" w:type="dxa"/>
            <w:vAlign w:val="center"/>
          </w:tcPr>
          <w:p w14:paraId="2FF55598">
            <w:pPr>
              <w:pStyle w:val="10"/>
              <w:keepNext/>
              <w:shd w:val="clear"/>
              <w:ind w:left="63" w:right="63"/>
              <w:rPr>
                <w:rFonts w:hAnsi="宋体" w:cs="宋体"/>
                <w:color w:val="auto"/>
                <w:sz w:val="21"/>
                <w:lang w:val="en-US"/>
              </w:rPr>
            </w:pPr>
          </w:p>
        </w:tc>
        <w:tc>
          <w:tcPr>
            <w:tcW w:w="1022" w:type="dxa"/>
            <w:vAlign w:val="center"/>
          </w:tcPr>
          <w:p w14:paraId="1C5EC598">
            <w:pPr>
              <w:pStyle w:val="10"/>
              <w:keepNext/>
              <w:shd w:val="clear"/>
              <w:ind w:left="63" w:right="63"/>
              <w:rPr>
                <w:rFonts w:hAnsi="宋体" w:cs="宋体"/>
                <w:color w:val="auto"/>
                <w:sz w:val="21"/>
                <w:lang w:val="en-US"/>
              </w:rPr>
            </w:pPr>
          </w:p>
        </w:tc>
        <w:tc>
          <w:tcPr>
            <w:tcW w:w="3833" w:type="dxa"/>
            <w:vAlign w:val="center"/>
          </w:tcPr>
          <w:p w14:paraId="526C3B49">
            <w:pPr>
              <w:pStyle w:val="10"/>
              <w:keepNext/>
              <w:shd w:val="clear"/>
              <w:ind w:left="63" w:right="63"/>
              <w:rPr>
                <w:rFonts w:hAnsi="宋体" w:cs="宋体"/>
                <w:color w:val="auto"/>
                <w:sz w:val="21"/>
                <w:lang w:val="en-US"/>
              </w:rPr>
            </w:pPr>
          </w:p>
        </w:tc>
      </w:tr>
      <w:tr w14:paraId="5B7F3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7E6EB8FF">
            <w:pPr>
              <w:pStyle w:val="10"/>
              <w:keepNext/>
              <w:shd w:val="clear"/>
              <w:ind w:left="63" w:right="63"/>
              <w:rPr>
                <w:rFonts w:hAnsi="宋体" w:cs="宋体"/>
                <w:color w:val="auto"/>
                <w:sz w:val="21"/>
                <w:lang w:val="en-US"/>
              </w:rPr>
            </w:pPr>
          </w:p>
        </w:tc>
        <w:tc>
          <w:tcPr>
            <w:tcW w:w="1279" w:type="dxa"/>
            <w:tcBorders>
              <w:bottom w:val="nil"/>
            </w:tcBorders>
            <w:vAlign w:val="center"/>
          </w:tcPr>
          <w:p w14:paraId="10D5A29F">
            <w:pPr>
              <w:pStyle w:val="10"/>
              <w:keepNext/>
              <w:shd w:val="clear"/>
              <w:ind w:left="63" w:right="63"/>
              <w:rPr>
                <w:rFonts w:hAnsi="宋体" w:cs="宋体"/>
                <w:color w:val="auto"/>
                <w:sz w:val="21"/>
                <w:lang w:val="en-US"/>
              </w:rPr>
            </w:pPr>
          </w:p>
        </w:tc>
        <w:tc>
          <w:tcPr>
            <w:tcW w:w="1022" w:type="dxa"/>
            <w:tcBorders>
              <w:bottom w:val="nil"/>
            </w:tcBorders>
            <w:vAlign w:val="center"/>
          </w:tcPr>
          <w:p w14:paraId="1C2AEE4D">
            <w:pPr>
              <w:pStyle w:val="10"/>
              <w:keepNext/>
              <w:shd w:val="clear"/>
              <w:ind w:left="63" w:right="63"/>
              <w:rPr>
                <w:rFonts w:hAnsi="宋体" w:cs="宋体"/>
                <w:color w:val="auto"/>
                <w:sz w:val="21"/>
                <w:lang w:val="en-US"/>
              </w:rPr>
            </w:pPr>
          </w:p>
        </w:tc>
        <w:tc>
          <w:tcPr>
            <w:tcW w:w="1022" w:type="dxa"/>
            <w:tcBorders>
              <w:bottom w:val="nil"/>
            </w:tcBorders>
            <w:vAlign w:val="center"/>
          </w:tcPr>
          <w:p w14:paraId="777945CF">
            <w:pPr>
              <w:pStyle w:val="10"/>
              <w:keepNext/>
              <w:shd w:val="clear"/>
              <w:ind w:left="63" w:right="63"/>
              <w:rPr>
                <w:rFonts w:hAnsi="宋体" w:cs="宋体"/>
                <w:color w:val="auto"/>
                <w:sz w:val="21"/>
                <w:lang w:val="en-US"/>
              </w:rPr>
            </w:pPr>
          </w:p>
        </w:tc>
        <w:tc>
          <w:tcPr>
            <w:tcW w:w="3833" w:type="dxa"/>
            <w:tcBorders>
              <w:bottom w:val="nil"/>
            </w:tcBorders>
            <w:vAlign w:val="center"/>
          </w:tcPr>
          <w:p w14:paraId="79DCAF3A">
            <w:pPr>
              <w:pStyle w:val="10"/>
              <w:keepNext/>
              <w:shd w:val="clear"/>
              <w:ind w:left="63" w:right="63"/>
              <w:rPr>
                <w:rFonts w:hAnsi="宋体" w:cs="宋体"/>
                <w:color w:val="auto"/>
                <w:sz w:val="21"/>
                <w:lang w:val="en-US"/>
              </w:rPr>
            </w:pPr>
          </w:p>
        </w:tc>
      </w:tr>
      <w:tr w14:paraId="7EA4E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5F6C9DC9">
            <w:pPr>
              <w:pStyle w:val="10"/>
              <w:keepNext/>
              <w:shd w:val="clear"/>
              <w:ind w:left="63" w:right="63"/>
              <w:rPr>
                <w:rFonts w:hAnsi="宋体" w:cs="宋体"/>
                <w:color w:val="auto"/>
                <w:sz w:val="21"/>
                <w:lang w:val="en-US"/>
              </w:rPr>
            </w:pPr>
          </w:p>
        </w:tc>
        <w:tc>
          <w:tcPr>
            <w:tcW w:w="1279" w:type="dxa"/>
            <w:vAlign w:val="center"/>
          </w:tcPr>
          <w:p w14:paraId="196A1E07">
            <w:pPr>
              <w:pStyle w:val="10"/>
              <w:keepNext/>
              <w:shd w:val="clear"/>
              <w:ind w:left="63" w:right="63"/>
              <w:rPr>
                <w:rFonts w:hAnsi="宋体" w:cs="宋体"/>
                <w:color w:val="auto"/>
                <w:sz w:val="21"/>
                <w:lang w:val="en-US"/>
              </w:rPr>
            </w:pPr>
          </w:p>
        </w:tc>
        <w:tc>
          <w:tcPr>
            <w:tcW w:w="1022" w:type="dxa"/>
            <w:vAlign w:val="center"/>
          </w:tcPr>
          <w:p w14:paraId="28F65A23">
            <w:pPr>
              <w:pStyle w:val="10"/>
              <w:keepNext/>
              <w:shd w:val="clear"/>
              <w:ind w:left="63" w:right="63"/>
              <w:rPr>
                <w:rFonts w:hAnsi="宋体" w:cs="宋体"/>
                <w:color w:val="auto"/>
                <w:sz w:val="21"/>
                <w:lang w:val="en-US"/>
              </w:rPr>
            </w:pPr>
          </w:p>
        </w:tc>
        <w:tc>
          <w:tcPr>
            <w:tcW w:w="1022" w:type="dxa"/>
            <w:vAlign w:val="center"/>
          </w:tcPr>
          <w:p w14:paraId="7821942F">
            <w:pPr>
              <w:pStyle w:val="10"/>
              <w:keepNext/>
              <w:shd w:val="clear"/>
              <w:ind w:left="63" w:right="63"/>
              <w:rPr>
                <w:rFonts w:hAnsi="宋体" w:cs="宋体"/>
                <w:color w:val="auto"/>
                <w:sz w:val="21"/>
                <w:lang w:val="en-US"/>
              </w:rPr>
            </w:pPr>
          </w:p>
        </w:tc>
        <w:tc>
          <w:tcPr>
            <w:tcW w:w="3833" w:type="dxa"/>
            <w:vAlign w:val="center"/>
          </w:tcPr>
          <w:p w14:paraId="2E344E0F">
            <w:pPr>
              <w:pStyle w:val="10"/>
              <w:keepNext/>
              <w:shd w:val="clear"/>
              <w:ind w:left="63" w:right="63"/>
              <w:rPr>
                <w:rFonts w:hAnsi="宋体" w:cs="宋体"/>
                <w:color w:val="auto"/>
                <w:sz w:val="21"/>
                <w:lang w:val="en-US"/>
              </w:rPr>
            </w:pPr>
          </w:p>
        </w:tc>
      </w:tr>
      <w:tr w14:paraId="28056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653814B0">
            <w:pPr>
              <w:pStyle w:val="10"/>
              <w:keepNext/>
              <w:shd w:val="clear"/>
              <w:ind w:left="63" w:right="63"/>
              <w:rPr>
                <w:rFonts w:hAnsi="宋体" w:cs="宋体"/>
                <w:color w:val="auto"/>
                <w:sz w:val="21"/>
                <w:lang w:val="en-US"/>
              </w:rPr>
            </w:pPr>
          </w:p>
        </w:tc>
        <w:tc>
          <w:tcPr>
            <w:tcW w:w="1279" w:type="dxa"/>
            <w:vAlign w:val="center"/>
          </w:tcPr>
          <w:p w14:paraId="5766C357">
            <w:pPr>
              <w:pStyle w:val="10"/>
              <w:keepNext/>
              <w:shd w:val="clear"/>
              <w:ind w:left="63" w:right="63"/>
              <w:rPr>
                <w:rFonts w:hAnsi="宋体" w:cs="宋体"/>
                <w:color w:val="auto"/>
                <w:sz w:val="21"/>
                <w:lang w:val="en-US"/>
              </w:rPr>
            </w:pPr>
          </w:p>
        </w:tc>
        <w:tc>
          <w:tcPr>
            <w:tcW w:w="1022" w:type="dxa"/>
            <w:vAlign w:val="center"/>
          </w:tcPr>
          <w:p w14:paraId="3573F7FA">
            <w:pPr>
              <w:pStyle w:val="10"/>
              <w:keepNext/>
              <w:shd w:val="clear"/>
              <w:ind w:left="63" w:right="63"/>
              <w:rPr>
                <w:rFonts w:hAnsi="宋体" w:cs="宋体"/>
                <w:color w:val="auto"/>
                <w:sz w:val="21"/>
                <w:lang w:val="en-US"/>
              </w:rPr>
            </w:pPr>
          </w:p>
        </w:tc>
        <w:tc>
          <w:tcPr>
            <w:tcW w:w="1022" w:type="dxa"/>
            <w:vAlign w:val="center"/>
          </w:tcPr>
          <w:p w14:paraId="75002A7A">
            <w:pPr>
              <w:pStyle w:val="10"/>
              <w:keepNext/>
              <w:shd w:val="clear"/>
              <w:ind w:left="63" w:right="63"/>
              <w:rPr>
                <w:rFonts w:hAnsi="宋体" w:cs="宋体"/>
                <w:color w:val="auto"/>
                <w:sz w:val="21"/>
                <w:lang w:val="en-US"/>
              </w:rPr>
            </w:pPr>
          </w:p>
        </w:tc>
        <w:tc>
          <w:tcPr>
            <w:tcW w:w="3833" w:type="dxa"/>
            <w:vAlign w:val="center"/>
          </w:tcPr>
          <w:p w14:paraId="4ACEA14E">
            <w:pPr>
              <w:pStyle w:val="10"/>
              <w:keepNext/>
              <w:shd w:val="clear"/>
              <w:ind w:left="63" w:right="63"/>
              <w:rPr>
                <w:rFonts w:hAnsi="宋体" w:cs="宋体"/>
                <w:color w:val="auto"/>
                <w:sz w:val="21"/>
                <w:lang w:val="en-US"/>
              </w:rPr>
            </w:pPr>
          </w:p>
        </w:tc>
      </w:tr>
      <w:tr w14:paraId="2DF01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222FC411">
            <w:pPr>
              <w:pStyle w:val="10"/>
              <w:keepNext/>
              <w:shd w:val="clear"/>
              <w:ind w:left="63" w:right="63"/>
              <w:rPr>
                <w:rFonts w:hAnsi="宋体" w:cs="宋体"/>
                <w:color w:val="auto"/>
                <w:sz w:val="21"/>
                <w:lang w:val="en-US"/>
              </w:rPr>
            </w:pPr>
          </w:p>
        </w:tc>
        <w:tc>
          <w:tcPr>
            <w:tcW w:w="1279" w:type="dxa"/>
            <w:vAlign w:val="center"/>
          </w:tcPr>
          <w:p w14:paraId="24345E5B">
            <w:pPr>
              <w:pStyle w:val="10"/>
              <w:keepNext/>
              <w:shd w:val="clear"/>
              <w:ind w:left="63" w:right="63"/>
              <w:rPr>
                <w:rFonts w:hAnsi="宋体" w:cs="宋体"/>
                <w:color w:val="auto"/>
                <w:sz w:val="21"/>
                <w:lang w:val="en-US"/>
              </w:rPr>
            </w:pPr>
          </w:p>
        </w:tc>
        <w:tc>
          <w:tcPr>
            <w:tcW w:w="1022" w:type="dxa"/>
            <w:vAlign w:val="center"/>
          </w:tcPr>
          <w:p w14:paraId="7114A59D">
            <w:pPr>
              <w:pStyle w:val="10"/>
              <w:keepNext/>
              <w:shd w:val="clear"/>
              <w:ind w:left="63" w:right="63"/>
              <w:rPr>
                <w:rFonts w:hAnsi="宋体" w:cs="宋体"/>
                <w:color w:val="auto"/>
                <w:sz w:val="21"/>
                <w:lang w:val="en-US"/>
              </w:rPr>
            </w:pPr>
          </w:p>
        </w:tc>
        <w:tc>
          <w:tcPr>
            <w:tcW w:w="1022" w:type="dxa"/>
            <w:vAlign w:val="center"/>
          </w:tcPr>
          <w:p w14:paraId="24DED88D">
            <w:pPr>
              <w:pStyle w:val="10"/>
              <w:keepNext/>
              <w:shd w:val="clear"/>
              <w:ind w:left="63" w:right="63"/>
              <w:rPr>
                <w:rFonts w:hAnsi="宋体" w:cs="宋体"/>
                <w:color w:val="auto"/>
                <w:sz w:val="21"/>
                <w:lang w:val="en-US"/>
              </w:rPr>
            </w:pPr>
          </w:p>
        </w:tc>
        <w:tc>
          <w:tcPr>
            <w:tcW w:w="3833" w:type="dxa"/>
            <w:vAlign w:val="center"/>
          </w:tcPr>
          <w:p w14:paraId="31E7366B">
            <w:pPr>
              <w:pStyle w:val="10"/>
              <w:keepNext/>
              <w:shd w:val="clear"/>
              <w:ind w:left="63" w:right="63"/>
              <w:rPr>
                <w:rFonts w:hAnsi="宋体" w:cs="宋体"/>
                <w:color w:val="auto"/>
                <w:sz w:val="21"/>
                <w:lang w:val="en-US"/>
              </w:rPr>
            </w:pPr>
          </w:p>
        </w:tc>
      </w:tr>
      <w:tr w14:paraId="1A5F9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vAlign w:val="center"/>
          </w:tcPr>
          <w:p w14:paraId="0578E3EC">
            <w:pPr>
              <w:pStyle w:val="10"/>
              <w:keepNext/>
              <w:shd w:val="clear"/>
              <w:ind w:left="63" w:right="63"/>
              <w:rPr>
                <w:rFonts w:hAnsi="宋体" w:cs="宋体"/>
                <w:color w:val="auto"/>
                <w:sz w:val="21"/>
                <w:lang w:val="en-US"/>
              </w:rPr>
            </w:pPr>
          </w:p>
        </w:tc>
        <w:tc>
          <w:tcPr>
            <w:tcW w:w="1279" w:type="dxa"/>
            <w:tcBorders>
              <w:bottom w:val="single" w:color="auto" w:sz="12" w:space="0"/>
            </w:tcBorders>
            <w:vAlign w:val="center"/>
          </w:tcPr>
          <w:p w14:paraId="660E5E68">
            <w:pPr>
              <w:pStyle w:val="10"/>
              <w:keepNext/>
              <w:shd w:val="clear"/>
              <w:ind w:left="63" w:right="63"/>
              <w:rPr>
                <w:rFonts w:hAnsi="宋体" w:cs="宋体"/>
                <w:color w:val="auto"/>
                <w:sz w:val="21"/>
                <w:lang w:val="en-US"/>
              </w:rPr>
            </w:pPr>
          </w:p>
        </w:tc>
        <w:tc>
          <w:tcPr>
            <w:tcW w:w="1022" w:type="dxa"/>
            <w:tcBorders>
              <w:bottom w:val="single" w:color="auto" w:sz="12" w:space="0"/>
            </w:tcBorders>
            <w:vAlign w:val="center"/>
          </w:tcPr>
          <w:p w14:paraId="44D00DA7">
            <w:pPr>
              <w:pStyle w:val="10"/>
              <w:keepNext/>
              <w:shd w:val="clear"/>
              <w:ind w:left="63" w:right="63"/>
              <w:rPr>
                <w:rFonts w:hAnsi="宋体" w:cs="宋体"/>
                <w:color w:val="auto"/>
                <w:sz w:val="21"/>
                <w:lang w:val="en-US"/>
              </w:rPr>
            </w:pPr>
          </w:p>
        </w:tc>
        <w:tc>
          <w:tcPr>
            <w:tcW w:w="1022" w:type="dxa"/>
            <w:tcBorders>
              <w:bottom w:val="single" w:color="auto" w:sz="12" w:space="0"/>
            </w:tcBorders>
            <w:vAlign w:val="center"/>
          </w:tcPr>
          <w:p w14:paraId="7342AD28">
            <w:pPr>
              <w:pStyle w:val="10"/>
              <w:keepNext/>
              <w:shd w:val="clear"/>
              <w:ind w:left="63" w:right="63"/>
              <w:rPr>
                <w:rFonts w:hAnsi="宋体" w:cs="宋体"/>
                <w:color w:val="auto"/>
                <w:sz w:val="21"/>
                <w:lang w:val="en-US"/>
              </w:rPr>
            </w:pPr>
          </w:p>
        </w:tc>
        <w:tc>
          <w:tcPr>
            <w:tcW w:w="3833" w:type="dxa"/>
            <w:tcBorders>
              <w:bottom w:val="single" w:color="auto" w:sz="12" w:space="0"/>
            </w:tcBorders>
            <w:vAlign w:val="center"/>
          </w:tcPr>
          <w:p w14:paraId="48A0B1FD">
            <w:pPr>
              <w:pStyle w:val="10"/>
              <w:keepNext/>
              <w:shd w:val="clear"/>
              <w:ind w:left="63" w:right="63"/>
              <w:rPr>
                <w:rFonts w:hAnsi="宋体" w:cs="宋体"/>
                <w:color w:val="auto"/>
                <w:sz w:val="21"/>
                <w:lang w:val="en-US"/>
              </w:rPr>
            </w:pPr>
          </w:p>
        </w:tc>
      </w:tr>
    </w:tbl>
    <w:p w14:paraId="779856BA">
      <w:pPr>
        <w:shd w:val="clear"/>
        <w:ind w:firstLine="482"/>
        <w:rPr>
          <w:rFonts w:asciiTheme="minorEastAsia" w:hAnsiTheme="minorEastAsia" w:eastAsiaTheme="minorEastAsia" w:cstheme="minorEastAsia"/>
          <w:b/>
          <w:color w:val="auto"/>
          <w:sz w:val="24"/>
        </w:rPr>
      </w:pPr>
    </w:p>
    <w:p w14:paraId="747F1DC3">
      <w:pPr>
        <w:shd w:val="clear"/>
        <w:spacing w:line="360" w:lineRule="auto"/>
        <w:ind w:left="720" w:firstLine="723" w:firstLineChars="200"/>
        <w:outlineLvl w:val="0"/>
        <w:rPr>
          <w:rFonts w:asciiTheme="minorEastAsia" w:hAnsiTheme="minorEastAsia" w:eastAsiaTheme="minorEastAsia" w:cstheme="minorEastAsia"/>
          <w:b/>
          <w:color w:val="auto"/>
          <w:sz w:val="36"/>
          <w:szCs w:val="20"/>
        </w:rPr>
      </w:pPr>
    </w:p>
    <w:p w14:paraId="0834304C">
      <w:pPr>
        <w:shd w:val="clear"/>
        <w:spacing w:line="360" w:lineRule="auto"/>
        <w:ind w:left="720" w:firstLine="723" w:firstLineChars="200"/>
        <w:outlineLvl w:val="0"/>
        <w:rPr>
          <w:rFonts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第六部分</w:t>
      </w:r>
      <w:bookmarkEnd w:id="393"/>
      <w:r>
        <w:rPr>
          <w:rFonts w:hint="eastAsia" w:asciiTheme="minorEastAsia" w:hAnsiTheme="minorEastAsia" w:eastAsiaTheme="minorEastAsia" w:cstheme="minorEastAsia"/>
          <w:b/>
          <w:color w:val="auto"/>
          <w:sz w:val="36"/>
          <w:szCs w:val="20"/>
        </w:rPr>
        <w:t xml:space="preserve"> </w:t>
      </w:r>
      <w:bookmarkEnd w:id="394"/>
      <w:r>
        <w:rPr>
          <w:rFonts w:hint="eastAsia" w:asciiTheme="minorEastAsia" w:hAnsiTheme="minorEastAsia" w:eastAsiaTheme="minorEastAsia" w:cstheme="minorEastAsia"/>
          <w:b/>
          <w:color w:val="auto"/>
          <w:sz w:val="36"/>
          <w:szCs w:val="20"/>
        </w:rPr>
        <w:t>应提交的有关格式范例</w:t>
      </w:r>
    </w:p>
    <w:p w14:paraId="494EE82E">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485DAFB0">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资格文件部分</w:t>
      </w:r>
    </w:p>
    <w:p w14:paraId="4279615B">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56951910">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3BB8F3EA">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有效的企业法人营业执照（或事业法人登记证）、其他组织（个体工商户）的营业执照或者民办非企业单位登记证书；</w:t>
      </w:r>
    </w:p>
    <w:p w14:paraId="231F2A4C">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符合参加采购活动应当具备的一般条件的承诺函；</w:t>
      </w:r>
    </w:p>
    <w:p w14:paraId="5FEF0451">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 本项目的特定资格要求。</w:t>
      </w:r>
    </w:p>
    <w:p w14:paraId="2FB5E841">
      <w:pPr>
        <w:pStyle w:val="34"/>
        <w:shd w:val="clear"/>
        <w:spacing w:line="360" w:lineRule="auto"/>
        <w:ind w:firstLine="480"/>
        <w:rPr>
          <w:rFonts w:asciiTheme="minorEastAsia" w:hAnsiTheme="minorEastAsia" w:eastAsiaTheme="minorEastAsia" w:cstheme="minorEastAsia"/>
          <w:color w:val="auto"/>
          <w:sz w:val="24"/>
        </w:rPr>
      </w:pPr>
    </w:p>
    <w:p w14:paraId="1CC3DB31">
      <w:pPr>
        <w:shd w:val="clear"/>
        <w:spacing w:line="360" w:lineRule="auto"/>
        <w:ind w:firstLine="643"/>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666CBB50">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一、 符合参加采购活动应当具备的一般条件的承诺函</w:t>
      </w:r>
    </w:p>
    <w:p w14:paraId="5E114881">
      <w:pPr>
        <w:shd w:val="clear"/>
        <w:snapToGrid w:val="0"/>
        <w:spacing w:line="360" w:lineRule="auto"/>
        <w:ind w:firstLine="480"/>
        <w:rPr>
          <w:rFonts w:asciiTheme="minorEastAsia" w:hAnsiTheme="minorEastAsia" w:eastAsiaTheme="minorEastAsia" w:cstheme="minorEastAsia"/>
          <w:color w:val="auto"/>
          <w:sz w:val="24"/>
          <w:u w:val="single"/>
        </w:rPr>
      </w:pPr>
    </w:p>
    <w:p w14:paraId="2763BA2C">
      <w:pPr>
        <w:shd w:val="clear"/>
        <w:snapToGrid w:val="0"/>
        <w:spacing w:line="360" w:lineRule="auto"/>
        <w:ind w:firstLine="480"/>
        <w:rPr>
          <w:rFonts w:asciiTheme="minorEastAsia" w:hAnsiTheme="minorEastAsia" w:eastAsiaTheme="minorEastAsia" w:cstheme="minorEastAsia"/>
          <w:color w:val="auto"/>
          <w:sz w:val="24"/>
          <w:u w:val="single"/>
        </w:rPr>
      </w:pPr>
    </w:p>
    <w:p w14:paraId="166805CC">
      <w:pPr>
        <w:shd w:val="clear"/>
        <w:snapToGri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sz w:val="24"/>
        </w:rPr>
        <w:t>：</w:t>
      </w:r>
    </w:p>
    <w:p w14:paraId="2AD1535A">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我方参与</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采购活动，郑重承诺：</w:t>
      </w:r>
    </w:p>
    <w:p w14:paraId="7DAF0D5F">
      <w:pPr>
        <w:shd w:val="clear"/>
        <w:snapToGrid w:val="0"/>
        <w:spacing w:line="360" w:lineRule="auto"/>
        <w:ind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（一）具备《中华人民共和国政府采购法》第二十二条第一款规定的条件：</w:t>
      </w:r>
    </w:p>
    <w:p w14:paraId="586EBE52">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1.具有独立承担民事责任的能力；</w:t>
      </w:r>
    </w:p>
    <w:p w14:paraId="205EE880">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2.具有良好的商业信誉和健全的财务会计制度； </w:t>
      </w:r>
    </w:p>
    <w:p w14:paraId="46B564DF">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3.具有履行合同所必需的设备和专业技术能力；</w:t>
      </w:r>
    </w:p>
    <w:p w14:paraId="68F37151">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4.有依法缴纳税收和社会保障资金的良好记录；</w:t>
      </w:r>
    </w:p>
    <w:p w14:paraId="16AA6803">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5.参加政府采购活动前三年内，在经营活动中没有重大违法记录；</w:t>
      </w:r>
    </w:p>
    <w:p w14:paraId="1AFC75F8">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6.具有法律、行政法规规定的其他条件。</w:t>
      </w:r>
    </w:p>
    <w:p w14:paraId="5F440EE8">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（二）未被信用中国（www.creditchina.gov.cn)、中国政府采购网（www.ccgp.gov.cn）列入失信被执行人、重大税收违法失信主体、政府采购严重违法失信行为记录名单。</w:t>
      </w:r>
    </w:p>
    <w:p w14:paraId="5901EBAF">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（三）不存在以下情况：</w:t>
      </w:r>
    </w:p>
    <w:p w14:paraId="11735045">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1.单位负责人为同一人或者存在直接控股、管理关系的不同供应商参加同一合同项下的采购活动的；</w:t>
      </w:r>
    </w:p>
    <w:p w14:paraId="0B4CAEE1">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2.为采购项目提供整体设计、规范编制或者项目管理、监理、检测等服务后再参加该采购项目的其他采购活动的。</w:t>
      </w:r>
    </w:p>
    <w:p w14:paraId="48E3BE50">
      <w:pPr>
        <w:shd w:val="clear"/>
        <w:snapToGrid w:val="0"/>
        <w:spacing w:line="360" w:lineRule="auto"/>
        <w:ind w:firstLine="5520" w:firstLineChars="2300"/>
        <w:rPr>
          <w:rFonts w:asciiTheme="minorEastAsia" w:hAnsiTheme="minorEastAsia" w:eastAsiaTheme="minorEastAsia" w:cstheme="minorEastAsia"/>
          <w:color w:val="auto"/>
          <w:kern w:val="0"/>
          <w:sz w:val="24"/>
          <w:lang w:val="zh-CN"/>
        </w:rPr>
      </w:pPr>
    </w:p>
    <w:p w14:paraId="52094B3E">
      <w:pPr>
        <w:shd w:val="clear"/>
        <w:snapToGrid w:val="0"/>
        <w:spacing w:line="360" w:lineRule="auto"/>
        <w:ind w:firstLine="5520" w:firstLineChars="2300"/>
        <w:rPr>
          <w:rFonts w:asciiTheme="minorEastAsia" w:hAnsiTheme="minorEastAsia" w:eastAsiaTheme="minorEastAsia" w:cstheme="minorEastAsia"/>
          <w:color w:val="auto"/>
          <w:kern w:val="0"/>
          <w:sz w:val="24"/>
          <w:lang w:val="zh-CN"/>
        </w:rPr>
      </w:pPr>
    </w:p>
    <w:p w14:paraId="11A21A3F">
      <w:pPr>
        <w:shd w:val="clear"/>
        <w:spacing w:line="360" w:lineRule="auto"/>
        <w:ind w:right="420" w:firstLine="5250" w:firstLineChars="25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法定代表人（签名或印章）：     </w:t>
      </w:r>
    </w:p>
    <w:p w14:paraId="071EC603">
      <w:pPr>
        <w:shd w:val="clear"/>
        <w:spacing w:line="360" w:lineRule="auto"/>
        <w:ind w:right="420" w:firstLine="5460" w:firstLineChars="26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供应商（盖章）：   </w:t>
      </w:r>
    </w:p>
    <w:p w14:paraId="5C5EAE01">
      <w:pPr>
        <w:shd w:val="clear"/>
        <w:spacing w:line="360" w:lineRule="auto"/>
        <w:ind w:right="420" w:firstLine="5355" w:firstLineChars="25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年    月    日</w:t>
      </w:r>
    </w:p>
    <w:p w14:paraId="60E7E30F">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394946E7">
      <w:pPr>
        <w:shd w:val="clear"/>
        <w:spacing w:line="360" w:lineRule="auto"/>
        <w:ind w:firstLine="643"/>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6F6ECE1F">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二、落实政府采购政策需满足的资格要求（如适用）</w:t>
      </w:r>
    </w:p>
    <w:p w14:paraId="0AD2A8FD">
      <w:pPr>
        <w:shd w:val="clear"/>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（根据竞争性磋商公告落实政府采购政策需满足的资格要求选择提供相应的材料；未要求的，无需提供）</w:t>
      </w:r>
    </w:p>
    <w:p w14:paraId="0BEB158E">
      <w:pPr>
        <w:shd w:val="clear"/>
        <w:snapToGrid w:val="0"/>
        <w:spacing w:before="50" w:after="50" w:line="360" w:lineRule="auto"/>
        <w:ind w:firstLine="472" w:firstLineChars="19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A</w:t>
      </w:r>
      <w:r>
        <w:rPr>
          <w:rFonts w:hint="eastAsia" w:asciiTheme="minorEastAsia" w:hAnsiTheme="minorEastAsia" w:eastAsiaTheme="minorEastAsia" w:cstheme="minorEastAsia"/>
          <w:color w:val="auto"/>
          <w:sz w:val="24"/>
        </w:rPr>
        <w:t xml:space="preserve">.专门面向中小企业，货物全部由符合政策要求的中小企业（或小微企业）制造或者服务全部由符合政策要求的中小企业（或小微企业）承接的，提供相应的中小企业声明函。 </w:t>
      </w:r>
    </w:p>
    <w:p w14:paraId="10C101B3">
      <w:pPr>
        <w:shd w:val="clear"/>
        <w:spacing w:line="360" w:lineRule="auto"/>
        <w:ind w:firstLine="480"/>
        <w:rPr>
          <w:rFonts w:asciiTheme="minorEastAsia" w:hAnsiTheme="minorEastAsia" w:eastAsiaTheme="minorEastAsia" w:cstheme="minorEastAsia"/>
          <w:color w:val="auto"/>
          <w:sz w:val="24"/>
        </w:rPr>
      </w:pPr>
    </w:p>
    <w:p w14:paraId="118C53BA">
      <w:pPr>
        <w:shd w:val="clear"/>
        <w:spacing w:line="360" w:lineRule="auto"/>
        <w:ind w:firstLine="472" w:firstLineChars="19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B.</w:t>
      </w:r>
      <w:r>
        <w:rPr>
          <w:rFonts w:hint="eastAsia" w:asciiTheme="minorEastAsia" w:hAnsiTheme="minorEastAsia" w:eastAsiaTheme="minorEastAsia" w:cstheme="minorEastAsia"/>
          <w:color w:val="auto"/>
          <w:sz w:val="24"/>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01867F85">
      <w:pPr>
        <w:shd w:val="clear"/>
        <w:spacing w:line="360" w:lineRule="auto"/>
        <w:ind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rPr>
        <w:t>三、本项目的特定资格要求</w:t>
      </w:r>
    </w:p>
    <w:p w14:paraId="499013F0">
      <w:pPr>
        <w:shd w:val="clear"/>
        <w:spacing w:line="360" w:lineRule="auto"/>
        <w:ind w:firstLine="48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（根据竞争性磋商公告本项目的特定资格要求提供相应的材料；未要求的，无需提供）</w:t>
      </w:r>
    </w:p>
    <w:p w14:paraId="0E864974">
      <w:pPr>
        <w:shd w:val="clear"/>
        <w:spacing w:line="360" w:lineRule="auto"/>
        <w:rPr>
          <w:rFonts w:asciiTheme="minorEastAsia" w:hAnsiTheme="minorEastAsia" w:eastAsiaTheme="minorEastAsia" w:cstheme="minorEastAsia"/>
          <w:color w:val="auto"/>
        </w:rPr>
      </w:pPr>
    </w:p>
    <w:p w14:paraId="7938E5B8">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78D9DF22">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3B7E77CD">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6129722F">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1E2EA84C">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07C8383C">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3E2DD52A">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5BCA42D6">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59E12056">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2150120B">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2CD0473E">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2899E6D8">
      <w:pPr>
        <w:shd w:val="clear"/>
        <w:spacing w:line="360" w:lineRule="auto"/>
        <w:ind w:firstLine="723"/>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br w:type="page"/>
      </w:r>
    </w:p>
    <w:p w14:paraId="18C39605">
      <w:pPr>
        <w:shd w:val="clear"/>
        <w:spacing w:line="360" w:lineRule="auto"/>
        <w:ind w:right="420" w:firstLine="723"/>
        <w:jc w:val="center"/>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商务技术文件部分</w:t>
      </w:r>
    </w:p>
    <w:p w14:paraId="1662B5CF">
      <w:pPr>
        <w:shd w:val="clear"/>
        <w:spacing w:line="360" w:lineRule="auto"/>
        <w:ind w:firstLine="482"/>
        <w:jc w:val="center"/>
        <w:outlineLvl w:val="0"/>
        <w:rPr>
          <w:rFonts w:asciiTheme="minorEastAsia" w:hAnsiTheme="minorEastAsia" w:eastAsiaTheme="minorEastAsia" w:cstheme="minorEastAsia"/>
          <w:b/>
          <w:color w:val="auto"/>
          <w:kern w:val="0"/>
          <w:sz w:val="24"/>
        </w:rPr>
      </w:pPr>
    </w:p>
    <w:p w14:paraId="7E993386">
      <w:pPr>
        <w:shd w:val="clear"/>
        <w:spacing w:line="360" w:lineRule="auto"/>
        <w:ind w:left="3990" w:leftChars="1900" w:firstLine="562"/>
        <w:outlineLvl w:val="0"/>
        <w:rPr>
          <w:rFonts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目 录</w:t>
      </w:r>
    </w:p>
    <w:p w14:paraId="2315E61C">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1评分索引表；</w:t>
      </w:r>
    </w:p>
    <w:p w14:paraId="6FA4DBF3">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符合性自查表；</w:t>
      </w:r>
    </w:p>
    <w:p w14:paraId="1ECAE3CC">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3 磋商函； </w:t>
      </w:r>
    </w:p>
    <w:p w14:paraId="68193FD1">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4授权委托书或法定代表人（单位负责人、自然人本人）身份证明；；</w:t>
      </w:r>
    </w:p>
    <w:p w14:paraId="7DDE89E5">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 供应商情况表；</w:t>
      </w:r>
    </w:p>
    <w:p w14:paraId="1E04606D">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 距采购人最近或者能为本项目提供最优服务的网点情况表；</w:t>
      </w:r>
    </w:p>
    <w:p w14:paraId="667B282A">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 评审标准相应的商务技术资料；</w:t>
      </w:r>
    </w:p>
    <w:p w14:paraId="5C5B54D8">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 商务偏离表；</w:t>
      </w:r>
    </w:p>
    <w:p w14:paraId="15EC4572">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 技术偏离表；</w:t>
      </w:r>
    </w:p>
    <w:p w14:paraId="1A58CF6F">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 同类业绩情况一览表；</w:t>
      </w:r>
    </w:p>
    <w:p w14:paraId="2CA4C3F9">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 xml:space="preserve">11 </w:t>
      </w:r>
      <w:r>
        <w:rPr>
          <w:rFonts w:hint="eastAsia" w:asciiTheme="minorEastAsia" w:hAnsiTheme="minorEastAsia" w:eastAsiaTheme="minorEastAsia" w:cstheme="minorEastAsia"/>
          <w:color w:val="auto"/>
          <w:sz w:val="28"/>
          <w:szCs w:val="28"/>
          <w:lang w:val="zh-CN"/>
        </w:rPr>
        <w:t>采购供应商廉洁自律承诺书；</w:t>
      </w:r>
    </w:p>
    <w:p w14:paraId="0B4DA00F">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 其他资料。</w:t>
      </w:r>
    </w:p>
    <w:p w14:paraId="0115EF08">
      <w:pPr>
        <w:shd w:val="clear"/>
        <w:snapToGrid w:val="0"/>
        <w:spacing w:line="360" w:lineRule="auto"/>
        <w:ind w:firstLine="480"/>
        <w:outlineLvl w:val="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color w:val="auto"/>
          <w:kern w:val="0"/>
          <w:sz w:val="24"/>
        </w:rPr>
        <w:br w:type="page"/>
      </w:r>
    </w:p>
    <w:p w14:paraId="2259AD94">
      <w:pPr>
        <w:numPr>
          <w:ilvl w:val="0"/>
          <w:numId w:val="5"/>
        </w:numPr>
        <w:shd w:val="clear"/>
        <w:snapToGrid w:val="0"/>
        <w:spacing w:line="360" w:lineRule="auto"/>
        <w:ind w:firstLine="643"/>
        <w:jc w:val="center"/>
        <w:outlineLvl w:val="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评分索引表</w:t>
      </w:r>
    </w:p>
    <w:p w14:paraId="1A9D4141">
      <w:pPr>
        <w:shd w:val="clear"/>
        <w:snapToGrid w:val="0"/>
        <w:spacing w:before="50" w:after="50"/>
        <w:ind w:firstLine="482"/>
        <w:rPr>
          <w:rFonts w:ascii="宋体" w:hAnsi="宋体"/>
          <w:b/>
          <w:color w:val="auto"/>
          <w:sz w:val="24"/>
        </w:rPr>
      </w:pPr>
    </w:p>
    <w:p w14:paraId="1F5ECE9B">
      <w:pPr>
        <w:shd w:val="clear"/>
        <w:snapToGrid w:val="0"/>
        <w:spacing w:before="50" w:after="50" w:line="360" w:lineRule="auto"/>
        <w:ind w:firstLine="482"/>
        <w:rPr>
          <w:rFonts w:ascii="宋体" w:hAnsi="宋体"/>
          <w:b/>
          <w:color w:val="auto"/>
          <w:sz w:val="24"/>
          <w:u w:val="single"/>
        </w:rPr>
      </w:pPr>
      <w:r>
        <w:rPr>
          <w:rFonts w:hint="eastAsia" w:ascii="宋体" w:hAnsi="宋体"/>
          <w:b/>
          <w:color w:val="auto"/>
          <w:sz w:val="24"/>
        </w:rPr>
        <w:t>投标单位名称：</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5E8CE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3F1A8F1">
            <w:pPr>
              <w:pStyle w:val="21"/>
              <w:shd w:val="clear"/>
              <w:spacing w:after="0"/>
              <w:ind w:left="0" w:leftChars="0" w:firstLine="482"/>
              <w:jc w:val="center"/>
              <w:rPr>
                <w:rFonts w:ascii="宋体"/>
                <w:b/>
                <w:bCs/>
                <w:color w:val="auto"/>
                <w:sz w:val="24"/>
                <w:szCs w:val="24"/>
              </w:rPr>
            </w:pPr>
            <w:r>
              <w:rPr>
                <w:rFonts w:hint="eastAsia" w:ascii="宋体"/>
                <w:b/>
                <w:bCs/>
                <w:color w:val="auto"/>
                <w:sz w:val="24"/>
                <w:szCs w:val="24"/>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4BC4D8DD">
            <w:pPr>
              <w:pStyle w:val="21"/>
              <w:shd w:val="clear"/>
              <w:spacing w:after="0"/>
              <w:ind w:left="0" w:leftChars="0" w:firstLine="482"/>
              <w:jc w:val="center"/>
              <w:rPr>
                <w:rFonts w:ascii="宋体"/>
                <w:b/>
                <w:bCs/>
                <w:color w:val="auto"/>
                <w:sz w:val="24"/>
                <w:szCs w:val="24"/>
              </w:rPr>
            </w:pPr>
            <w:r>
              <w:rPr>
                <w:rFonts w:hint="eastAsia" w:ascii="宋体"/>
                <w:b/>
                <w:bCs/>
                <w:color w:val="auto"/>
                <w:sz w:val="24"/>
                <w:szCs w:val="24"/>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3B999D47">
            <w:pPr>
              <w:pStyle w:val="21"/>
              <w:shd w:val="clear"/>
              <w:spacing w:after="0"/>
              <w:ind w:left="0" w:leftChars="0" w:firstLine="482"/>
              <w:jc w:val="center"/>
              <w:rPr>
                <w:rFonts w:ascii="宋体"/>
                <w:b/>
                <w:bCs/>
                <w:color w:val="auto"/>
                <w:sz w:val="24"/>
                <w:szCs w:val="24"/>
              </w:rPr>
            </w:pPr>
            <w:r>
              <w:rPr>
                <w:rFonts w:hint="eastAsia" w:ascii="宋体"/>
                <w:b/>
                <w:bCs/>
                <w:color w:val="auto"/>
                <w:sz w:val="24"/>
                <w:szCs w:val="24"/>
              </w:rPr>
              <w:t>页码</w:t>
            </w:r>
          </w:p>
        </w:tc>
      </w:tr>
      <w:tr w14:paraId="0F859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16849FC">
            <w:pPr>
              <w:shd w:val="clear"/>
              <w:ind w:firstLine="480"/>
              <w:jc w:val="center"/>
              <w:rPr>
                <w:rFonts w:ascii="宋体" w:hAnsi="宋体"/>
                <w:color w:val="auto"/>
                <w:sz w:val="24"/>
              </w:rPr>
            </w:pPr>
            <w:r>
              <w:rPr>
                <w:rFonts w:hint="eastAsia" w:ascii="宋体" w:hAnsi="宋体"/>
                <w:color w:val="auto"/>
                <w:sz w:val="24"/>
              </w:rPr>
              <w:t>1</w:t>
            </w:r>
          </w:p>
        </w:tc>
        <w:tc>
          <w:tcPr>
            <w:tcW w:w="5819" w:type="dxa"/>
            <w:tcBorders>
              <w:top w:val="single" w:color="auto" w:sz="4" w:space="0"/>
              <w:left w:val="single" w:color="auto" w:sz="4" w:space="0"/>
              <w:right w:val="single" w:color="auto" w:sz="4" w:space="0"/>
            </w:tcBorders>
            <w:vAlign w:val="center"/>
          </w:tcPr>
          <w:p w14:paraId="293A6971">
            <w:pPr>
              <w:shd w:val="clear"/>
              <w:ind w:firstLine="480"/>
              <w:jc w:val="center"/>
              <w:rPr>
                <w:rFonts w:ascii="宋体" w:hAnsi="宋体"/>
                <w:color w:val="auto"/>
                <w:sz w:val="24"/>
              </w:rPr>
            </w:pPr>
            <w:r>
              <w:rPr>
                <w:rFonts w:hint="eastAsia" w:ascii="宋体" w:hAnsi="宋体"/>
                <w:color w:val="auto"/>
                <w:sz w:val="24"/>
              </w:rPr>
              <w:t>（报价除外）</w:t>
            </w:r>
          </w:p>
        </w:tc>
        <w:tc>
          <w:tcPr>
            <w:tcW w:w="1627" w:type="dxa"/>
            <w:tcBorders>
              <w:top w:val="single" w:color="auto" w:sz="4" w:space="0"/>
              <w:left w:val="single" w:color="auto" w:sz="4" w:space="0"/>
              <w:right w:val="single" w:color="auto" w:sz="4" w:space="0"/>
            </w:tcBorders>
            <w:vAlign w:val="center"/>
          </w:tcPr>
          <w:p w14:paraId="3082A238">
            <w:pPr>
              <w:shd w:val="clear"/>
              <w:ind w:firstLine="480"/>
              <w:jc w:val="center"/>
              <w:rPr>
                <w:rFonts w:ascii="宋体" w:hAnsi="宋体"/>
                <w:bCs/>
                <w:color w:val="auto"/>
                <w:sz w:val="24"/>
              </w:rPr>
            </w:pPr>
          </w:p>
        </w:tc>
      </w:tr>
      <w:tr w14:paraId="1F579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4E30753">
            <w:pPr>
              <w:shd w:val="clear"/>
              <w:ind w:firstLine="480"/>
              <w:jc w:val="center"/>
              <w:rPr>
                <w:rFonts w:ascii="宋体" w:hAnsi="宋体"/>
                <w:color w:val="auto"/>
                <w:sz w:val="24"/>
              </w:rPr>
            </w:pPr>
            <w:r>
              <w:rPr>
                <w:rFonts w:hint="eastAsia" w:ascii="宋体" w:hAnsi="宋体"/>
                <w:color w:val="auto"/>
                <w:sz w:val="24"/>
              </w:rPr>
              <w:t>2</w:t>
            </w:r>
          </w:p>
        </w:tc>
        <w:tc>
          <w:tcPr>
            <w:tcW w:w="5819" w:type="dxa"/>
            <w:tcBorders>
              <w:top w:val="single" w:color="auto" w:sz="4" w:space="0"/>
              <w:left w:val="single" w:color="auto" w:sz="4" w:space="0"/>
              <w:right w:val="single" w:color="auto" w:sz="4" w:space="0"/>
            </w:tcBorders>
            <w:vAlign w:val="center"/>
          </w:tcPr>
          <w:p w14:paraId="60AAD316">
            <w:pPr>
              <w:shd w:val="clear"/>
              <w:ind w:firstLine="480"/>
              <w:jc w:val="center"/>
              <w:rPr>
                <w:rFonts w:ascii="宋体" w:hAnsi="宋体" w:cs="宋体"/>
                <w:color w:val="auto"/>
                <w:kern w:val="0"/>
                <w:sz w:val="24"/>
              </w:rPr>
            </w:pPr>
          </w:p>
        </w:tc>
        <w:tc>
          <w:tcPr>
            <w:tcW w:w="1627" w:type="dxa"/>
            <w:tcBorders>
              <w:top w:val="single" w:color="auto" w:sz="4" w:space="0"/>
              <w:left w:val="single" w:color="auto" w:sz="4" w:space="0"/>
              <w:right w:val="single" w:color="auto" w:sz="4" w:space="0"/>
            </w:tcBorders>
            <w:vAlign w:val="center"/>
          </w:tcPr>
          <w:p w14:paraId="4E730C2E">
            <w:pPr>
              <w:shd w:val="clear"/>
              <w:ind w:firstLine="480"/>
              <w:jc w:val="center"/>
              <w:rPr>
                <w:rFonts w:ascii="宋体" w:hAnsi="宋体"/>
                <w:bCs/>
                <w:color w:val="auto"/>
                <w:sz w:val="24"/>
              </w:rPr>
            </w:pPr>
          </w:p>
        </w:tc>
      </w:tr>
      <w:tr w14:paraId="78DA3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616D70F8">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DDC38DB">
            <w:pPr>
              <w:shd w:val="clear"/>
              <w:ind w:left="55" w:leftChars="26" w:firstLine="480"/>
              <w:rPr>
                <w:rFonts w:ascii="宋体" w:hAnsi="宋体" w:cs="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6EC90984">
            <w:pPr>
              <w:shd w:val="clear"/>
              <w:ind w:firstLine="480"/>
              <w:jc w:val="center"/>
              <w:rPr>
                <w:rFonts w:ascii="宋体" w:hAnsi="宋体"/>
                <w:bCs/>
                <w:color w:val="auto"/>
                <w:sz w:val="24"/>
              </w:rPr>
            </w:pPr>
          </w:p>
        </w:tc>
      </w:tr>
      <w:tr w14:paraId="4C2E4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6ED3098">
            <w:pPr>
              <w:shd w:val="clear"/>
              <w:ind w:firstLine="482"/>
              <w:rPr>
                <w:rFonts w:ascii="宋体" w:hAnsi="宋体"/>
                <w:b/>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73F8E04D">
            <w:pPr>
              <w:pStyle w:val="21"/>
              <w:shd w:val="clear"/>
              <w:ind w:firstLine="321"/>
              <w:rPr>
                <w:rFonts w:ascii="宋体"/>
                <w:b/>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2AFA9E90">
            <w:pPr>
              <w:pStyle w:val="21"/>
              <w:shd w:val="clear"/>
              <w:ind w:firstLine="321"/>
              <w:jc w:val="center"/>
              <w:rPr>
                <w:rFonts w:ascii="宋体"/>
                <w:b/>
                <w:color w:val="auto"/>
              </w:rPr>
            </w:pPr>
          </w:p>
        </w:tc>
      </w:tr>
      <w:tr w14:paraId="6901C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801617B">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7622F53A">
            <w:pPr>
              <w:shd w:val="clear"/>
              <w:spacing w:line="320" w:lineRule="exact"/>
              <w:ind w:firstLine="480"/>
              <w:rPr>
                <w:rFonts w:ascii="宋体" w:hAnsi="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33DFFA91">
            <w:pPr>
              <w:shd w:val="clear"/>
              <w:ind w:firstLine="480"/>
              <w:jc w:val="center"/>
              <w:rPr>
                <w:rFonts w:ascii="宋体" w:hAnsi="宋体"/>
                <w:bCs/>
                <w:color w:val="auto"/>
                <w:sz w:val="24"/>
              </w:rPr>
            </w:pPr>
          </w:p>
        </w:tc>
      </w:tr>
      <w:tr w14:paraId="23797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3DBF44E">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4E4B9A00">
            <w:pPr>
              <w:shd w:val="clear"/>
              <w:ind w:firstLine="480"/>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64C5619">
            <w:pPr>
              <w:pStyle w:val="21"/>
              <w:shd w:val="clear"/>
              <w:ind w:firstLine="320"/>
              <w:jc w:val="center"/>
              <w:rPr>
                <w:rFonts w:ascii="宋体"/>
                <w:color w:val="auto"/>
              </w:rPr>
            </w:pPr>
          </w:p>
        </w:tc>
      </w:tr>
      <w:tr w14:paraId="00D51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56BABFC">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7D667816">
            <w:pPr>
              <w:shd w:val="clear"/>
              <w:ind w:firstLine="480"/>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48C496CB">
            <w:pPr>
              <w:pStyle w:val="21"/>
              <w:shd w:val="clear"/>
              <w:ind w:firstLine="320"/>
              <w:jc w:val="center"/>
              <w:rPr>
                <w:rFonts w:ascii="宋体"/>
                <w:color w:val="auto"/>
              </w:rPr>
            </w:pPr>
          </w:p>
        </w:tc>
      </w:tr>
      <w:tr w14:paraId="0C0C9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16D9BBF4">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333187B8">
            <w:pPr>
              <w:pStyle w:val="21"/>
              <w:shd w:val="clear"/>
              <w:ind w:firstLine="320"/>
              <w:rPr>
                <w:rFonts w:ascii="宋体"/>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06D7BEB7">
            <w:pPr>
              <w:shd w:val="clear"/>
              <w:ind w:firstLine="482"/>
              <w:jc w:val="center"/>
              <w:rPr>
                <w:rFonts w:ascii="宋体" w:hAnsi="宋体"/>
                <w:b/>
                <w:color w:val="auto"/>
                <w:sz w:val="24"/>
              </w:rPr>
            </w:pPr>
          </w:p>
        </w:tc>
      </w:tr>
      <w:tr w14:paraId="231FB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2E545E2F">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4C889E36">
            <w:pPr>
              <w:shd w:val="clear"/>
              <w:ind w:firstLine="480"/>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11073A9B">
            <w:pPr>
              <w:shd w:val="clear"/>
              <w:ind w:firstLine="480"/>
              <w:jc w:val="center"/>
              <w:rPr>
                <w:rFonts w:ascii="宋体" w:hAnsi="宋体"/>
                <w:bCs/>
                <w:color w:val="auto"/>
                <w:sz w:val="24"/>
              </w:rPr>
            </w:pPr>
          </w:p>
        </w:tc>
      </w:tr>
      <w:tr w14:paraId="7B9C6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08ED951">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7338787F">
            <w:pPr>
              <w:shd w:val="clear"/>
              <w:ind w:firstLine="480"/>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3A1DED90">
            <w:pPr>
              <w:shd w:val="clear"/>
              <w:ind w:firstLine="480"/>
              <w:jc w:val="center"/>
              <w:rPr>
                <w:rFonts w:ascii="宋体" w:hAnsi="宋体"/>
                <w:bCs/>
                <w:color w:val="auto"/>
                <w:sz w:val="24"/>
              </w:rPr>
            </w:pPr>
          </w:p>
        </w:tc>
      </w:tr>
      <w:tr w14:paraId="18C04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C83740B">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66F608E">
            <w:pPr>
              <w:shd w:val="clear"/>
              <w:ind w:firstLine="480"/>
              <w:rPr>
                <w:rFonts w:ascii="宋体" w:hAnsi="宋体"/>
                <w:bCs/>
                <w:color w:val="auto"/>
                <w:sz w:val="24"/>
              </w:rPr>
            </w:pPr>
          </w:p>
        </w:tc>
        <w:tc>
          <w:tcPr>
            <w:tcW w:w="1627" w:type="dxa"/>
            <w:tcBorders>
              <w:top w:val="single" w:color="auto" w:sz="4" w:space="0"/>
              <w:left w:val="single" w:color="auto" w:sz="4" w:space="0"/>
              <w:right w:val="single" w:color="auto" w:sz="4" w:space="0"/>
            </w:tcBorders>
            <w:vAlign w:val="center"/>
          </w:tcPr>
          <w:p w14:paraId="08DF28A2">
            <w:pPr>
              <w:shd w:val="clear"/>
              <w:ind w:firstLine="480"/>
              <w:jc w:val="center"/>
              <w:rPr>
                <w:rFonts w:ascii="宋体" w:hAnsi="宋体"/>
                <w:bCs/>
                <w:color w:val="auto"/>
                <w:sz w:val="24"/>
              </w:rPr>
            </w:pPr>
          </w:p>
        </w:tc>
      </w:tr>
    </w:tbl>
    <w:p w14:paraId="546CB6EE">
      <w:pPr>
        <w:shd w:val="clear"/>
        <w:snapToGrid w:val="0"/>
        <w:spacing w:line="360" w:lineRule="auto"/>
        <w:ind w:firstLine="480"/>
        <w:outlineLvl w:val="0"/>
        <w:rPr>
          <w:rFonts w:cs="仿宋" w:asciiTheme="majorEastAsia" w:hAnsiTheme="majorEastAsia" w:eastAsiaTheme="majorEastAsia"/>
          <w:color w:val="auto"/>
          <w:kern w:val="0"/>
          <w:sz w:val="24"/>
        </w:rPr>
      </w:pPr>
    </w:p>
    <w:p w14:paraId="7F79CB3E">
      <w:pPr>
        <w:shd w:val="clear"/>
        <w:ind w:firstLine="643"/>
        <w:rPr>
          <w:rFonts w:asciiTheme="minorEastAsia" w:hAnsiTheme="minorEastAsia" w:eastAsiaTheme="minorEastAsia" w:cstheme="minorEastAsia"/>
          <w:b/>
          <w:color w:val="auto"/>
          <w:kern w:val="0"/>
          <w:sz w:val="32"/>
          <w:szCs w:val="32"/>
        </w:rPr>
      </w:pPr>
      <w:r>
        <w:rPr>
          <w:rFonts w:asciiTheme="minorEastAsia" w:hAnsiTheme="minorEastAsia" w:eastAsiaTheme="minorEastAsia" w:cstheme="minorEastAsia"/>
          <w:b/>
          <w:color w:val="auto"/>
          <w:kern w:val="0"/>
          <w:sz w:val="32"/>
          <w:szCs w:val="32"/>
        </w:rPr>
        <w:br w:type="page"/>
      </w:r>
    </w:p>
    <w:p w14:paraId="5791661B">
      <w:pPr>
        <w:shd w:val="clear"/>
        <w:ind w:firstLine="643"/>
        <w:rPr>
          <w:rFonts w:asciiTheme="minorEastAsia" w:hAnsiTheme="minorEastAsia" w:eastAsiaTheme="minorEastAsia" w:cstheme="minorEastAsia"/>
          <w:b/>
          <w:color w:val="auto"/>
          <w:kern w:val="0"/>
          <w:sz w:val="32"/>
          <w:szCs w:val="32"/>
        </w:rPr>
      </w:pPr>
    </w:p>
    <w:p w14:paraId="7D2036F0">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符合性自查表</w:t>
      </w:r>
    </w:p>
    <w:tbl>
      <w:tblPr>
        <w:tblStyle w:val="27"/>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0188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2890A8EE">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3544" w:type="dxa"/>
            <w:vAlign w:val="center"/>
          </w:tcPr>
          <w:p w14:paraId="7D4A18DB">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实质性要求</w:t>
            </w:r>
          </w:p>
        </w:tc>
        <w:tc>
          <w:tcPr>
            <w:tcW w:w="2693" w:type="dxa"/>
            <w:vAlign w:val="center"/>
          </w:tcPr>
          <w:p w14:paraId="2B0FDFD1">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需要提供的符合性审查资料</w:t>
            </w:r>
          </w:p>
        </w:tc>
        <w:tc>
          <w:tcPr>
            <w:tcW w:w="1276" w:type="dxa"/>
            <w:vAlign w:val="center"/>
          </w:tcPr>
          <w:p w14:paraId="3F166CC5">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自查结论</w:t>
            </w:r>
          </w:p>
        </w:tc>
        <w:tc>
          <w:tcPr>
            <w:tcW w:w="1979" w:type="dxa"/>
            <w:vAlign w:val="center"/>
          </w:tcPr>
          <w:p w14:paraId="2428927B">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响应文件中的</w:t>
            </w:r>
          </w:p>
          <w:p w14:paraId="5D50A01C">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页码位置</w:t>
            </w:r>
          </w:p>
        </w:tc>
      </w:tr>
      <w:tr w14:paraId="6918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7A400871">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3544" w:type="dxa"/>
            <w:vAlign w:val="center"/>
          </w:tcPr>
          <w:p w14:paraId="37820171">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响应文件按照采购文件要求签署、盖章。</w:t>
            </w:r>
          </w:p>
        </w:tc>
        <w:tc>
          <w:tcPr>
            <w:tcW w:w="2693" w:type="dxa"/>
            <w:vAlign w:val="center"/>
          </w:tcPr>
          <w:p w14:paraId="310523DB">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需要使用电子签名或者签字盖章的响应文件的组成部分</w:t>
            </w:r>
          </w:p>
        </w:tc>
        <w:tc>
          <w:tcPr>
            <w:tcW w:w="1276" w:type="dxa"/>
            <w:vAlign w:val="center"/>
          </w:tcPr>
          <w:p w14:paraId="2006F337">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56414254">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19DC6D6D">
            <w:pPr>
              <w:shd w:val="clear"/>
              <w:spacing w:line="360" w:lineRule="auto"/>
              <w:rPr>
                <w:rFonts w:asciiTheme="minorEastAsia" w:hAnsiTheme="minorEastAsia" w:eastAsiaTheme="minorEastAsia" w:cstheme="minorEastAsia"/>
                <w:color w:val="auto"/>
                <w:sz w:val="24"/>
              </w:rPr>
            </w:pPr>
          </w:p>
          <w:p w14:paraId="62075F5B">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w:t>
            </w:r>
          </w:p>
          <w:p w14:paraId="32FC6057">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27D9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3EA09E4E">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3544" w:type="dxa"/>
            <w:vAlign w:val="center"/>
          </w:tcPr>
          <w:p w14:paraId="43A9569F">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响应文件中承诺的响应有效期不少于采购文件中载明的响应有效期。</w:t>
            </w:r>
          </w:p>
        </w:tc>
        <w:tc>
          <w:tcPr>
            <w:tcW w:w="2693" w:type="dxa"/>
            <w:vAlign w:val="center"/>
          </w:tcPr>
          <w:p w14:paraId="6022509B">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磋商函</w:t>
            </w:r>
          </w:p>
        </w:tc>
        <w:tc>
          <w:tcPr>
            <w:tcW w:w="1276" w:type="dxa"/>
            <w:vAlign w:val="center"/>
          </w:tcPr>
          <w:p w14:paraId="753FC651">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00366BCF">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31653DAB">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6CAB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71392076">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3544" w:type="dxa"/>
            <w:vAlign w:val="center"/>
          </w:tcPr>
          <w:p w14:paraId="67065357">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响应文件满足采购文件的其它实质性要求。</w:t>
            </w:r>
          </w:p>
        </w:tc>
        <w:tc>
          <w:tcPr>
            <w:tcW w:w="2693" w:type="dxa"/>
            <w:vAlign w:val="center"/>
          </w:tcPr>
          <w:p w14:paraId="1727D526">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采购文件其它实质性要求相应的材料（“▲” 系指实质性要求条款，采购文件无其它实质性要求的，无需提供）</w:t>
            </w:r>
          </w:p>
        </w:tc>
        <w:tc>
          <w:tcPr>
            <w:tcW w:w="1276" w:type="dxa"/>
            <w:vAlign w:val="center"/>
          </w:tcPr>
          <w:p w14:paraId="1C291A99">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73073BEA">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45BC913C">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66A0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60A4FFB2">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3544" w:type="dxa"/>
            <w:vAlign w:val="center"/>
          </w:tcPr>
          <w:p w14:paraId="0BC24718">
            <w:pPr>
              <w:shd w:val="clear"/>
              <w:snapToGrid w:val="0"/>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响应文件没有采购文件中规定的其它无效响应条款的。</w:t>
            </w:r>
          </w:p>
        </w:tc>
        <w:tc>
          <w:tcPr>
            <w:tcW w:w="2693" w:type="dxa"/>
            <w:vAlign w:val="center"/>
          </w:tcPr>
          <w:p w14:paraId="38336CA8">
            <w:pPr>
              <w:shd w:val="clear"/>
              <w:spacing w:line="360" w:lineRule="auto"/>
              <w:rPr>
                <w:rFonts w:asciiTheme="minorEastAsia" w:hAnsiTheme="minorEastAsia" w:eastAsiaTheme="minorEastAsia" w:cstheme="minorEastAsia"/>
                <w:color w:val="auto"/>
                <w:kern w:val="0"/>
                <w:sz w:val="24"/>
              </w:rPr>
            </w:pPr>
          </w:p>
        </w:tc>
        <w:tc>
          <w:tcPr>
            <w:tcW w:w="1276" w:type="dxa"/>
            <w:vAlign w:val="center"/>
          </w:tcPr>
          <w:p w14:paraId="555A8EDF">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5A0E201F">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17FF7604">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3671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3EB6BC76">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3544" w:type="dxa"/>
            <w:vAlign w:val="center"/>
          </w:tcPr>
          <w:p w14:paraId="74FC7012">
            <w:pPr>
              <w:shd w:val="clear"/>
              <w:snapToGrid w:val="0"/>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按有关法律、法规、规章不属于响应无效的。</w:t>
            </w:r>
          </w:p>
        </w:tc>
        <w:tc>
          <w:tcPr>
            <w:tcW w:w="2693" w:type="dxa"/>
            <w:vAlign w:val="center"/>
          </w:tcPr>
          <w:p w14:paraId="2EDC98D2">
            <w:pPr>
              <w:shd w:val="clear"/>
              <w:spacing w:line="360" w:lineRule="auto"/>
              <w:rPr>
                <w:rFonts w:asciiTheme="minorEastAsia" w:hAnsiTheme="minorEastAsia" w:eastAsiaTheme="minorEastAsia" w:cstheme="minorEastAsia"/>
                <w:color w:val="auto"/>
                <w:kern w:val="0"/>
                <w:sz w:val="24"/>
              </w:rPr>
            </w:pPr>
          </w:p>
        </w:tc>
        <w:tc>
          <w:tcPr>
            <w:tcW w:w="1276" w:type="dxa"/>
            <w:vAlign w:val="center"/>
          </w:tcPr>
          <w:p w14:paraId="34EAE38A">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1085F1A1">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09D38CF4">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bl>
    <w:p w14:paraId="2A40CFAD">
      <w:pPr>
        <w:shd w:val="clear"/>
        <w:snapToGrid w:val="0"/>
        <w:spacing w:line="360" w:lineRule="auto"/>
        <w:ind w:firstLine="482"/>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24"/>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4A5F12DF">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kern w:val="0"/>
          <w:sz w:val="32"/>
          <w:szCs w:val="32"/>
        </w:rPr>
        <w:br w:type="page"/>
      </w:r>
      <w:r>
        <w:rPr>
          <w:rFonts w:hint="eastAsia" w:asciiTheme="minorEastAsia" w:hAnsiTheme="minorEastAsia" w:eastAsiaTheme="minorEastAsia" w:cstheme="minorEastAsia"/>
          <w:b/>
          <w:color w:val="auto"/>
          <w:kern w:val="0"/>
          <w:sz w:val="32"/>
          <w:szCs w:val="32"/>
        </w:rPr>
        <w:t>磋商</w:t>
      </w:r>
      <w:r>
        <w:rPr>
          <w:rFonts w:hint="eastAsia" w:asciiTheme="minorEastAsia" w:hAnsiTheme="minorEastAsia" w:eastAsiaTheme="minorEastAsia" w:cstheme="minorEastAsia"/>
          <w:b/>
          <w:color w:val="auto"/>
          <w:sz w:val="32"/>
          <w:szCs w:val="32"/>
        </w:rPr>
        <w:t>函</w:t>
      </w:r>
    </w:p>
    <w:p w14:paraId="57FA5CB4">
      <w:pPr>
        <w:shd w:val="clear"/>
        <w:snapToGri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sz w:val="24"/>
        </w:rPr>
        <w:t>：</w:t>
      </w:r>
    </w:p>
    <w:p w14:paraId="2196C30B">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我方参加你方组织的</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采购活动，并对此项目进行磋商响应。为此：</w:t>
      </w:r>
    </w:p>
    <w:p w14:paraId="075F99D0">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1.我方承诺响应有效期从提交响应文件的截止之日起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天（不少于90天）</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 w:val="24"/>
        </w:rPr>
        <w:t>本响应文件在响应有效期满之前均具有约束力。</w:t>
      </w:r>
    </w:p>
    <w:p w14:paraId="2E6003B9">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2.我方的响应文件包括以下内容：</w:t>
      </w:r>
    </w:p>
    <w:p w14:paraId="147955C4">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2.1资格文件：</w:t>
      </w:r>
    </w:p>
    <w:p w14:paraId="0402CEF8">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2.1.1有效的企业法人营业执照（或事业法人登记证）、其他组织（个体工商户）的营业执照或者民办非企业单位登记证书；</w:t>
      </w:r>
    </w:p>
    <w:p w14:paraId="3619BA3A">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2.1.2符合参加采购活动应当具备的一般条件的承诺函；</w:t>
      </w:r>
    </w:p>
    <w:p w14:paraId="46FA73DC">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2.1.3落实政府采购政策需满足的资格要求（如有）；</w:t>
      </w:r>
    </w:p>
    <w:p w14:paraId="3231C124">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2.1.4联合协议（如有）；</w:t>
      </w:r>
    </w:p>
    <w:p w14:paraId="35BBB11F">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2.1.5分包意向协议（如有）；</w:t>
      </w:r>
    </w:p>
    <w:p w14:paraId="4B37BD2E">
      <w:pPr>
        <w:shd w:val="clear"/>
        <w:snapToGrid w:val="0"/>
        <w:spacing w:line="360" w:lineRule="auto"/>
        <w:ind w:firstLine="960" w:firstLineChars="4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2.1.6本项目的特定资格要求（如有）。</w:t>
      </w:r>
    </w:p>
    <w:p w14:paraId="7FD98778">
      <w:pPr>
        <w:shd w:val="clear"/>
        <w:snapToGrid w:val="0"/>
        <w:spacing w:line="360" w:lineRule="auto"/>
        <w:ind w:left="210" w:leftChars="100"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 xml:space="preserve"> </w:t>
      </w:r>
      <w:r>
        <w:rPr>
          <w:rFonts w:hint="eastAsia" w:asciiTheme="minorEastAsia" w:hAnsiTheme="minorEastAsia" w:eastAsiaTheme="minorEastAsia" w:cstheme="minorEastAsia"/>
          <w:color w:val="auto"/>
          <w:sz w:val="24"/>
        </w:rPr>
        <w:t>商务技术</w:t>
      </w:r>
      <w:r>
        <w:rPr>
          <w:rFonts w:hint="eastAsia" w:asciiTheme="minorEastAsia" w:hAnsiTheme="minorEastAsia" w:eastAsiaTheme="minorEastAsia" w:cstheme="minorEastAsia"/>
          <w:color w:val="auto"/>
          <w:sz w:val="24"/>
          <w:lang w:val="zh-CN"/>
        </w:rPr>
        <w:t>文件：</w:t>
      </w:r>
    </w:p>
    <w:p w14:paraId="001050BF">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2.2.1 符合性自查表；</w:t>
      </w:r>
    </w:p>
    <w:p w14:paraId="6D72B95B">
      <w:pPr>
        <w:shd w:val="clear"/>
        <w:snapToGrid w:val="0"/>
        <w:spacing w:line="360" w:lineRule="auto"/>
        <w:ind w:left="420" w:leftChars="200" w:firstLine="480" w:firstLineChars="20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rPr>
        <w:t>2.2.2 磋商函；</w:t>
      </w:r>
      <w:r>
        <w:rPr>
          <w:rFonts w:hint="eastAsia" w:asciiTheme="minorEastAsia" w:hAnsiTheme="minorEastAsia" w:eastAsiaTheme="minorEastAsia" w:cstheme="minorEastAsia"/>
          <w:color w:val="auto"/>
          <w:sz w:val="24"/>
          <w:lang w:val="zh-CN"/>
        </w:rPr>
        <w:t xml:space="preserve"> </w:t>
      </w:r>
    </w:p>
    <w:p w14:paraId="6D48EF69">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2.2.3 授权委托书；</w:t>
      </w:r>
    </w:p>
    <w:p w14:paraId="15739385">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2.2.4 供应商情况表；</w:t>
      </w:r>
    </w:p>
    <w:p w14:paraId="71B54F25">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2.2.5 距采购人最近或者能为本项目提供最优服务的网点情况表；</w:t>
      </w:r>
    </w:p>
    <w:p w14:paraId="6F3D785B">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2.2.6 评审标准相应的商务技术资料；</w:t>
      </w:r>
    </w:p>
    <w:p w14:paraId="107C50BC">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7 商务偏离表；</w:t>
      </w:r>
    </w:p>
    <w:p w14:paraId="30728275">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8 技术偏离表；</w:t>
      </w:r>
    </w:p>
    <w:p w14:paraId="66D643A7">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9 同类业绩情况一览表；</w:t>
      </w:r>
    </w:p>
    <w:p w14:paraId="32B357D4">
      <w:pPr>
        <w:shd w:val="clear"/>
        <w:snapToGrid w:val="0"/>
        <w:spacing w:line="360" w:lineRule="auto"/>
        <w:ind w:left="420" w:leftChars="200"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 xml:space="preserve">2.2.10 </w:t>
      </w:r>
      <w:r>
        <w:rPr>
          <w:rFonts w:hint="eastAsia" w:asciiTheme="minorEastAsia" w:hAnsiTheme="minorEastAsia" w:eastAsiaTheme="minorEastAsia" w:cstheme="minorEastAsia"/>
          <w:color w:val="auto"/>
          <w:sz w:val="24"/>
          <w:lang w:val="zh-CN"/>
        </w:rPr>
        <w:t>采购供应商廉洁自律承诺书；</w:t>
      </w:r>
    </w:p>
    <w:p w14:paraId="50107DDA">
      <w:pPr>
        <w:shd w:val="clear"/>
        <w:snapToGrid w:val="0"/>
        <w:spacing w:line="360" w:lineRule="auto"/>
        <w:ind w:left="420" w:leftChars="200"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2.2.11 其他资料。</w:t>
      </w:r>
    </w:p>
    <w:p w14:paraId="4A080A81">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3报价文件</w:t>
      </w:r>
    </w:p>
    <w:p w14:paraId="6013B0ED">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2.3.1 报价一览表；</w:t>
      </w:r>
    </w:p>
    <w:p w14:paraId="4AE489E6">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2.3.2响应报价明细表；</w:t>
      </w:r>
    </w:p>
    <w:p w14:paraId="1A103582">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2.3.3 中小企业声明函（如有）；</w:t>
      </w:r>
    </w:p>
    <w:p w14:paraId="7C56AE8F">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2.3.4 残疾人福利性单位声明函（如有）；</w:t>
      </w:r>
    </w:p>
    <w:p w14:paraId="43FE3152">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2.3.5 监狱企业的证明文件（如有）；</w:t>
      </w:r>
    </w:p>
    <w:p w14:paraId="4A4B4E1F">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2.3.6 采购统计基础信息表。</w:t>
      </w:r>
    </w:p>
    <w:p w14:paraId="5FEE3771">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3.我方承诺除商务技术偏离表列出的偏离外，我方响应采购文件的全部要求。</w:t>
      </w:r>
    </w:p>
    <w:p w14:paraId="7DE19E6B">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4.如我方成交，我方承诺：</w:t>
      </w:r>
    </w:p>
    <w:p w14:paraId="6506A88B">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4.1在收到成交通知书后，在成交通知书规定的期限内与你方签订合同； </w:t>
      </w:r>
    </w:p>
    <w:p w14:paraId="38C4DF52">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4.2在签订合同时不向你方提出附加条件； </w:t>
      </w:r>
    </w:p>
    <w:p w14:paraId="437ED12B">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4.3按照采购文件要求提交履约保证金； </w:t>
      </w:r>
    </w:p>
    <w:p w14:paraId="23989137">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4.4在合同约定的期限内完成合同规定的全部义务。 </w:t>
      </w:r>
    </w:p>
    <w:p w14:paraId="51136819">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5.其他补充说明：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14:paraId="52018B80">
      <w:pPr>
        <w:shd w:val="clear"/>
        <w:spacing w:line="360" w:lineRule="auto"/>
        <w:ind w:firstLine="3600" w:firstLineChars="1500"/>
        <w:rPr>
          <w:rFonts w:asciiTheme="minorEastAsia" w:hAnsiTheme="minorEastAsia" w:eastAsiaTheme="minorEastAsia" w:cstheme="minorEastAsia"/>
          <w:color w:val="auto"/>
          <w:sz w:val="24"/>
        </w:rPr>
      </w:pPr>
    </w:p>
    <w:p w14:paraId="3C04338B">
      <w:pPr>
        <w:shd w:val="clear"/>
        <w:spacing w:line="360" w:lineRule="auto"/>
        <w:ind w:firstLine="3600" w:firstLineChars="1500"/>
        <w:rPr>
          <w:rFonts w:asciiTheme="minorEastAsia" w:hAnsiTheme="minorEastAsia" w:eastAsiaTheme="minorEastAsia" w:cstheme="minorEastAsia"/>
          <w:color w:val="auto"/>
          <w:sz w:val="24"/>
        </w:rPr>
      </w:pPr>
    </w:p>
    <w:p w14:paraId="7E5E458F">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法定代表人（签名或印章）：     </w:t>
      </w:r>
    </w:p>
    <w:p w14:paraId="3F8A33DA">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供应商（盖章）：   </w:t>
      </w:r>
    </w:p>
    <w:p w14:paraId="252C7C91">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    月    日</w:t>
      </w:r>
    </w:p>
    <w:p w14:paraId="71FAC5CF">
      <w:pPr>
        <w:shd w:val="clear"/>
        <w:spacing w:line="360" w:lineRule="auto"/>
        <w:ind w:firstLine="643"/>
        <w:jc w:val="center"/>
        <w:rPr>
          <w:rFonts w:asciiTheme="minorEastAsia" w:hAnsiTheme="minorEastAsia" w:eastAsiaTheme="minorEastAsia" w:cstheme="minorEastAsia"/>
          <w:b/>
          <w:color w:val="auto"/>
          <w:kern w:val="0"/>
          <w:sz w:val="32"/>
          <w:szCs w:val="32"/>
        </w:rPr>
      </w:pPr>
    </w:p>
    <w:p w14:paraId="544085CF">
      <w:pPr>
        <w:shd w:val="clear"/>
        <w:spacing w:line="360" w:lineRule="auto"/>
        <w:ind w:firstLine="643"/>
        <w:jc w:val="center"/>
        <w:rPr>
          <w:rFonts w:asciiTheme="minorEastAsia" w:hAnsiTheme="minorEastAsia" w:eastAsiaTheme="minorEastAsia" w:cstheme="minorEastAsia"/>
          <w:b/>
          <w:color w:val="auto"/>
          <w:kern w:val="0"/>
          <w:sz w:val="32"/>
          <w:szCs w:val="32"/>
          <w:lang w:val="zh-CN"/>
        </w:rPr>
      </w:pPr>
    </w:p>
    <w:p w14:paraId="7E126F07">
      <w:pPr>
        <w:shd w:val="clear"/>
        <w:spacing w:line="360" w:lineRule="auto"/>
        <w:ind w:firstLine="643"/>
        <w:rPr>
          <w:rFonts w:asciiTheme="minorEastAsia" w:hAnsiTheme="minorEastAsia" w:eastAsiaTheme="minorEastAsia" w:cstheme="minorEastAsia"/>
          <w:b/>
          <w:color w:val="auto"/>
          <w:sz w:val="32"/>
          <w:szCs w:val="32"/>
        </w:rPr>
      </w:pPr>
      <w:bookmarkStart w:id="459" w:name="_Toc488936100"/>
      <w:bookmarkStart w:id="460" w:name="_Toc483379796"/>
      <w:bookmarkStart w:id="461" w:name="_Toc14746861"/>
      <w:bookmarkStart w:id="462" w:name="_Toc110393361"/>
      <w:bookmarkStart w:id="463" w:name="_Toc225223761"/>
      <w:bookmarkStart w:id="464" w:name="_Toc479927873"/>
    </w:p>
    <w:p w14:paraId="48671641">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授权委托书</w:t>
      </w:r>
    </w:p>
    <w:p w14:paraId="393CD32A">
      <w:pPr>
        <w:shd w:val="clear"/>
        <w:spacing w:line="440" w:lineRule="exact"/>
        <w:ind w:firstLine="48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b/>
          <w:color w:val="auto"/>
          <w:sz w:val="32"/>
          <w:szCs w:val="32"/>
        </w:rPr>
        <w:t>法定代表人授权委托书</w:t>
      </w:r>
    </w:p>
    <w:p w14:paraId="0BABB3BB">
      <w:pPr>
        <w:shd w:val="clear"/>
        <w:spacing w:line="440" w:lineRule="exact"/>
        <w:ind w:firstLine="480"/>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Cs/>
          <w:color w:val="auto"/>
          <w:sz w:val="24"/>
        </w:rPr>
        <w:t>（法定代表人来参加磋商采购活动的，此表不用）</w:t>
      </w:r>
    </w:p>
    <w:p w14:paraId="27FEDBAD">
      <w:pPr>
        <w:shd w:val="clear"/>
        <w:snapToGrid w:val="0"/>
        <w:spacing w:line="360" w:lineRule="auto"/>
        <w:ind w:firstLine="480"/>
        <w:rPr>
          <w:rFonts w:asciiTheme="minorEastAsia" w:hAnsiTheme="minorEastAsia" w:eastAsiaTheme="minorEastAsia" w:cstheme="minorEastAsia"/>
          <w:bCs/>
          <w:color w:val="auto"/>
          <w:sz w:val="24"/>
        </w:rPr>
      </w:pPr>
    </w:p>
    <w:p w14:paraId="77E7F8AA">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（采购单位名称）</w:t>
      </w:r>
      <w:r>
        <w:rPr>
          <w:rFonts w:hint="eastAsia" w:asciiTheme="minorEastAsia" w:hAnsiTheme="minorEastAsia" w:eastAsiaTheme="minorEastAsia" w:cstheme="minorEastAsia"/>
          <w:b/>
          <w:bCs/>
          <w:color w:val="auto"/>
          <w:szCs w:val="21"/>
        </w:rPr>
        <w:t xml:space="preserve"> </w:t>
      </w:r>
      <w:r>
        <w:rPr>
          <w:rFonts w:hint="eastAsia" w:asciiTheme="minorEastAsia" w:hAnsiTheme="minorEastAsia" w:eastAsiaTheme="minorEastAsia" w:cstheme="minorEastAsia"/>
          <w:color w:val="auto"/>
          <w:szCs w:val="21"/>
        </w:rPr>
        <w:t>：</w:t>
      </w:r>
    </w:p>
    <w:p w14:paraId="328F29C9">
      <w:pPr>
        <w:shd w:val="clear"/>
        <w:snapToGrid w:val="0"/>
        <w:spacing w:line="360" w:lineRule="auto"/>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我</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（供应商名称）的法定代表人，现授权委托本单位在职职工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（姓名）以我方的名义参加</w:t>
      </w:r>
      <w:r>
        <w:rPr>
          <w:rFonts w:hint="eastAsia" w:asciiTheme="minorEastAsia" w:hAnsiTheme="minorEastAsia" w:eastAsiaTheme="minorEastAsia" w:cstheme="minorEastAsia"/>
          <w:color w:val="auto"/>
          <w:szCs w:val="21"/>
          <w:u w:val="single"/>
        </w:rPr>
        <w:t xml:space="preserve">                       采购 </w:t>
      </w:r>
      <w:r>
        <w:rPr>
          <w:rFonts w:hint="eastAsia" w:asciiTheme="minorEastAsia" w:hAnsiTheme="minorEastAsia" w:eastAsiaTheme="minorEastAsia" w:cstheme="minorEastAsia"/>
          <w:color w:val="auto"/>
          <w:szCs w:val="21"/>
        </w:rPr>
        <w:t>项目的磋商采购活动，并代表我方全权办理针对上述项目的磋商、评审、签约等具体事务和签署相关文件。</w:t>
      </w:r>
    </w:p>
    <w:p w14:paraId="1C31490B">
      <w:pPr>
        <w:shd w:val="clear"/>
        <w:snapToGrid w:val="0"/>
        <w:spacing w:line="360" w:lineRule="auto"/>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我方对被授权人的签名事项负全部责任。</w:t>
      </w:r>
    </w:p>
    <w:p w14:paraId="39EC91F1">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在撤销授权的书面通知以前，本授权书一直有效。被授权人在授权书有效期内签署的所有文件不因授权的撤销而失效。</w:t>
      </w:r>
    </w:p>
    <w:p w14:paraId="6D0D0159">
      <w:pPr>
        <w:shd w:val="clear"/>
        <w:snapToGri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被授权人无转委托权，特此委托。</w:t>
      </w:r>
    </w:p>
    <w:p w14:paraId="25C4ECF8">
      <w:pPr>
        <w:shd w:val="clear"/>
        <w:snapToGrid w:val="0"/>
        <w:spacing w:line="360" w:lineRule="auto"/>
        <w:rPr>
          <w:rFonts w:asciiTheme="minorEastAsia" w:hAnsiTheme="minorEastAsia" w:eastAsiaTheme="minorEastAsia" w:cstheme="minorEastAsia"/>
          <w:color w:val="auto"/>
          <w:szCs w:val="21"/>
        </w:rPr>
      </w:pPr>
    </w:p>
    <w:p w14:paraId="5E747402">
      <w:pPr>
        <w:shd w:val="clear"/>
        <w:snapToGrid w:val="0"/>
        <w:spacing w:line="360" w:lineRule="auto"/>
        <w:rPr>
          <w:rFonts w:asciiTheme="minorEastAsia" w:hAnsiTheme="minorEastAsia" w:eastAsiaTheme="minorEastAsia" w:cstheme="minorEastAsia"/>
          <w:color w:val="auto"/>
          <w:szCs w:val="21"/>
        </w:rPr>
      </w:pPr>
    </w:p>
    <w:p w14:paraId="18BA6A73">
      <w:pPr>
        <w:shd w:val="clear"/>
        <w:snapToGrid w:val="0"/>
        <w:spacing w:line="360" w:lineRule="auto"/>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被授权人签名或印章：</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法定代表人签名或印章：</w:t>
      </w:r>
      <w:r>
        <w:rPr>
          <w:rFonts w:hint="eastAsia" w:asciiTheme="minorEastAsia" w:hAnsiTheme="minorEastAsia" w:eastAsiaTheme="minorEastAsia" w:cstheme="minorEastAsia"/>
          <w:color w:val="auto"/>
          <w:szCs w:val="21"/>
          <w:u w:val="single"/>
        </w:rPr>
        <w:t xml:space="preserve">          </w:t>
      </w:r>
    </w:p>
    <w:p w14:paraId="660B5043">
      <w:pPr>
        <w:shd w:val="clear"/>
        <w:snapToGrid w:val="0"/>
        <w:spacing w:line="360" w:lineRule="auto"/>
        <w:ind w:firstLine="840" w:firstLineChars="4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职务：</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职务：</w:t>
      </w:r>
      <w:r>
        <w:rPr>
          <w:rFonts w:hint="eastAsia" w:asciiTheme="minorEastAsia" w:hAnsiTheme="minorEastAsia" w:eastAsiaTheme="minorEastAsia" w:cstheme="minorEastAsia"/>
          <w:color w:val="auto"/>
          <w:szCs w:val="21"/>
          <w:u w:val="single"/>
        </w:rPr>
        <w:t xml:space="preserve">           </w:t>
      </w:r>
    </w:p>
    <w:p w14:paraId="34932DC0">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被授权人身份证号码：</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14:paraId="404A9CEF">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14:paraId="0B21B8FC">
      <w:pPr>
        <w:shd w:val="clear"/>
        <w:snapToGrid w:val="0"/>
        <w:spacing w:line="360" w:lineRule="auto"/>
        <w:rPr>
          <w:rFonts w:asciiTheme="minorEastAsia" w:hAnsiTheme="minorEastAsia" w:eastAsiaTheme="minorEastAsia" w:cstheme="minorEastAsia"/>
          <w:color w:val="auto"/>
          <w:szCs w:val="21"/>
        </w:rPr>
      </w:pPr>
    </w:p>
    <w:p w14:paraId="5157F445">
      <w:pPr>
        <w:shd w:val="clear"/>
        <w:spacing w:line="360" w:lineRule="auto"/>
        <w:ind w:firstLine="4830" w:firstLineChars="2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供应商（盖章）：</w:t>
      </w:r>
    </w:p>
    <w:p w14:paraId="794EE3E9">
      <w:pPr>
        <w:shd w:val="clear"/>
        <w:spacing w:line="360" w:lineRule="auto"/>
        <w:ind w:firstLine="1260" w:firstLineChars="6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日期：</w:t>
      </w:r>
    </w:p>
    <w:p w14:paraId="093FCF2D">
      <w:pPr>
        <w:shd w:val="clear"/>
        <w:spacing w:line="360" w:lineRule="auto"/>
        <w:ind w:firstLine="422"/>
        <w:rPr>
          <w:rFonts w:asciiTheme="minorEastAsia" w:hAnsiTheme="minorEastAsia" w:eastAsiaTheme="minorEastAsia" w:cstheme="minorEastAsia"/>
          <w:b/>
          <w:color w:val="auto"/>
          <w:szCs w:val="21"/>
        </w:rPr>
      </w:pPr>
    </w:p>
    <w:p w14:paraId="6C949055">
      <w:pPr>
        <w:shd w:val="clear"/>
        <w:spacing w:line="360" w:lineRule="auto"/>
        <w:ind w:firstLine="422"/>
        <w:rPr>
          <w:rFonts w:asciiTheme="minorEastAsia" w:hAnsiTheme="minorEastAsia" w:eastAsiaTheme="minorEastAsia" w:cstheme="minorEastAsia"/>
          <w:b/>
          <w:color w:val="auto"/>
          <w:szCs w:val="21"/>
        </w:rPr>
      </w:pPr>
    </w:p>
    <w:p w14:paraId="05F81A44">
      <w:pPr>
        <w:shd w:val="clear"/>
        <w:spacing w:line="360" w:lineRule="auto"/>
        <w:ind w:firstLine="422"/>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附：法定代表人身份证复印件（正反面）、授权代表身份证复印件（正反面）：</w:t>
      </w:r>
    </w:p>
    <w:p w14:paraId="6CB7C3CA">
      <w:pPr>
        <w:shd w:val="clear"/>
        <w:snapToGrid w:val="0"/>
        <w:spacing w:line="360" w:lineRule="auto"/>
        <w:ind w:firstLine="480"/>
        <w:rPr>
          <w:rFonts w:asciiTheme="minorEastAsia" w:hAnsiTheme="minorEastAsia" w:eastAsiaTheme="minorEastAsia" w:cstheme="minorEastAsia"/>
          <w:color w:val="auto"/>
          <w:sz w:val="24"/>
        </w:rPr>
      </w:pPr>
    </w:p>
    <w:p w14:paraId="6A66BFAC">
      <w:pPr>
        <w:shd w:val="clear"/>
        <w:spacing w:line="360" w:lineRule="auto"/>
        <w:ind w:firstLine="643"/>
        <w:jc w:val="center"/>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b/>
          <w:color w:val="auto"/>
          <w:kern w:val="0"/>
          <w:sz w:val="32"/>
          <w:szCs w:val="32"/>
          <w:lang w:val="zh-CN"/>
        </w:rPr>
        <w:t xml:space="preserve">      </w:t>
      </w:r>
      <w:r>
        <w:rPr>
          <w:rFonts w:hint="eastAsia" w:asciiTheme="minorEastAsia" w:hAnsiTheme="minorEastAsia" w:eastAsiaTheme="minorEastAsia" w:cstheme="minorEastAsia"/>
          <w:b/>
          <w:color w:val="auto"/>
          <w:kern w:val="0"/>
          <w:sz w:val="32"/>
          <w:szCs w:val="32"/>
        </w:rPr>
        <w:t xml:space="preserve"> </w:t>
      </w:r>
    </w:p>
    <w:p w14:paraId="0CA97C38">
      <w:pPr>
        <w:shd w:val="clear"/>
        <w:spacing w:line="360" w:lineRule="auto"/>
        <w:ind w:firstLine="643"/>
        <w:jc w:val="center"/>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供应商基本情况</w:t>
      </w:r>
      <w:bookmarkEnd w:id="459"/>
      <w:bookmarkEnd w:id="460"/>
      <w:bookmarkEnd w:id="461"/>
      <w:bookmarkEnd w:id="462"/>
      <w:bookmarkEnd w:id="463"/>
      <w:bookmarkEnd w:id="464"/>
      <w:r>
        <w:rPr>
          <w:rFonts w:hint="eastAsia" w:asciiTheme="minorEastAsia" w:hAnsiTheme="minorEastAsia" w:eastAsiaTheme="minorEastAsia" w:cstheme="minorEastAsia"/>
          <w:b/>
          <w:color w:val="auto"/>
          <w:kern w:val="0"/>
          <w:sz w:val="32"/>
          <w:szCs w:val="32"/>
          <w:lang w:val="zh-CN"/>
        </w:rPr>
        <w:t>表</w:t>
      </w:r>
    </w:p>
    <w:tbl>
      <w:tblPr>
        <w:tblStyle w:val="27"/>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4AC8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7C1141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供应商名称</w:t>
            </w:r>
          </w:p>
        </w:tc>
        <w:tc>
          <w:tcPr>
            <w:tcW w:w="7647" w:type="dxa"/>
            <w:gridSpan w:val="5"/>
            <w:vAlign w:val="center"/>
          </w:tcPr>
          <w:p w14:paraId="5349432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084C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C7EDED5">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注册地址</w:t>
            </w:r>
          </w:p>
        </w:tc>
        <w:tc>
          <w:tcPr>
            <w:tcW w:w="2809" w:type="dxa"/>
            <w:gridSpan w:val="2"/>
            <w:vAlign w:val="center"/>
          </w:tcPr>
          <w:p w14:paraId="639BFE6C">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2B5C48C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成立时间</w:t>
            </w:r>
          </w:p>
        </w:tc>
        <w:tc>
          <w:tcPr>
            <w:tcW w:w="3052" w:type="dxa"/>
            <w:gridSpan w:val="2"/>
            <w:vAlign w:val="center"/>
          </w:tcPr>
          <w:p w14:paraId="0B2F2D0B">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41E0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1209E9F">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统一信用代码</w:t>
            </w:r>
          </w:p>
        </w:tc>
        <w:tc>
          <w:tcPr>
            <w:tcW w:w="2809" w:type="dxa"/>
            <w:gridSpan w:val="2"/>
            <w:vAlign w:val="center"/>
          </w:tcPr>
          <w:p w14:paraId="32AB38E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6E68868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注册资金</w:t>
            </w:r>
          </w:p>
        </w:tc>
        <w:tc>
          <w:tcPr>
            <w:tcW w:w="3052" w:type="dxa"/>
            <w:gridSpan w:val="2"/>
            <w:vAlign w:val="center"/>
          </w:tcPr>
          <w:p w14:paraId="7ACC154C">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1D4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AA75AE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供应商授权代表联系人姓名</w:t>
            </w:r>
          </w:p>
        </w:tc>
        <w:tc>
          <w:tcPr>
            <w:tcW w:w="1936" w:type="dxa"/>
            <w:vAlign w:val="center"/>
          </w:tcPr>
          <w:p w14:paraId="76CCAA11">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70E099A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51DABA57">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189F54F7">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手机</w:t>
            </w:r>
          </w:p>
        </w:tc>
        <w:tc>
          <w:tcPr>
            <w:tcW w:w="1852" w:type="dxa"/>
            <w:vAlign w:val="center"/>
          </w:tcPr>
          <w:p w14:paraId="79AEAE1A">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824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78D573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法定代表人姓名</w:t>
            </w:r>
          </w:p>
        </w:tc>
        <w:tc>
          <w:tcPr>
            <w:tcW w:w="1936" w:type="dxa"/>
            <w:vAlign w:val="center"/>
          </w:tcPr>
          <w:p w14:paraId="33D4500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74185CE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11EE80B7">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5460E29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手机</w:t>
            </w:r>
          </w:p>
        </w:tc>
        <w:tc>
          <w:tcPr>
            <w:tcW w:w="1852" w:type="dxa"/>
            <w:vAlign w:val="center"/>
          </w:tcPr>
          <w:p w14:paraId="3D6AFE2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8A5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030911C">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项目负责人姓名</w:t>
            </w:r>
          </w:p>
        </w:tc>
        <w:tc>
          <w:tcPr>
            <w:tcW w:w="1936" w:type="dxa"/>
            <w:vAlign w:val="center"/>
          </w:tcPr>
          <w:p w14:paraId="35E02167">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65F2D2B5">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0D5C391A">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4A53915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技术职称</w:t>
            </w:r>
          </w:p>
        </w:tc>
        <w:tc>
          <w:tcPr>
            <w:tcW w:w="1852" w:type="dxa"/>
            <w:vAlign w:val="center"/>
          </w:tcPr>
          <w:p w14:paraId="57B21261">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4E9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377ACCE7">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员工总人数：</w:t>
            </w:r>
          </w:p>
        </w:tc>
        <w:tc>
          <w:tcPr>
            <w:tcW w:w="1936" w:type="dxa"/>
            <w:vMerge w:val="restart"/>
            <w:vAlign w:val="center"/>
          </w:tcPr>
          <w:p w14:paraId="5E22844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restart"/>
            <w:vAlign w:val="center"/>
          </w:tcPr>
          <w:p w14:paraId="7F9B6CE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w:t>
            </w:r>
          </w:p>
        </w:tc>
        <w:tc>
          <w:tcPr>
            <w:tcW w:w="1786" w:type="dxa"/>
            <w:vAlign w:val="center"/>
          </w:tcPr>
          <w:p w14:paraId="4D81C3D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高级职称</w:t>
            </w:r>
          </w:p>
        </w:tc>
        <w:tc>
          <w:tcPr>
            <w:tcW w:w="3052" w:type="dxa"/>
            <w:gridSpan w:val="2"/>
            <w:vAlign w:val="center"/>
          </w:tcPr>
          <w:p w14:paraId="184F6503">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312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37DA5DD7">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936" w:type="dxa"/>
            <w:vMerge w:val="continue"/>
            <w:vAlign w:val="center"/>
          </w:tcPr>
          <w:p w14:paraId="15DD1D38">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continue"/>
            <w:vAlign w:val="center"/>
          </w:tcPr>
          <w:p w14:paraId="18509CF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7DE6303D">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中级职称</w:t>
            </w:r>
          </w:p>
        </w:tc>
        <w:tc>
          <w:tcPr>
            <w:tcW w:w="3052" w:type="dxa"/>
            <w:gridSpan w:val="2"/>
            <w:vAlign w:val="center"/>
          </w:tcPr>
          <w:p w14:paraId="7E4FDFA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913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66630D31">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936" w:type="dxa"/>
            <w:vMerge w:val="continue"/>
            <w:vAlign w:val="center"/>
          </w:tcPr>
          <w:p w14:paraId="550409A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continue"/>
            <w:vAlign w:val="center"/>
          </w:tcPr>
          <w:p w14:paraId="7D888848">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258E948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各类注册人员</w:t>
            </w:r>
          </w:p>
        </w:tc>
        <w:tc>
          <w:tcPr>
            <w:tcW w:w="3052" w:type="dxa"/>
            <w:gridSpan w:val="2"/>
            <w:vAlign w:val="center"/>
          </w:tcPr>
          <w:p w14:paraId="667AB56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739B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15FFEA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基本账户开户银行</w:t>
            </w:r>
          </w:p>
        </w:tc>
        <w:tc>
          <w:tcPr>
            <w:tcW w:w="7647" w:type="dxa"/>
            <w:gridSpan w:val="5"/>
            <w:vAlign w:val="center"/>
          </w:tcPr>
          <w:p w14:paraId="255595C1">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A84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347BCF4">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基本账户账号</w:t>
            </w:r>
          </w:p>
        </w:tc>
        <w:tc>
          <w:tcPr>
            <w:tcW w:w="7647" w:type="dxa"/>
            <w:gridSpan w:val="5"/>
            <w:vAlign w:val="center"/>
          </w:tcPr>
          <w:p w14:paraId="74C4FD8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913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26943DB5">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经营范围</w:t>
            </w:r>
          </w:p>
        </w:tc>
        <w:tc>
          <w:tcPr>
            <w:tcW w:w="7647" w:type="dxa"/>
            <w:gridSpan w:val="5"/>
            <w:vAlign w:val="center"/>
          </w:tcPr>
          <w:p w14:paraId="1D598F2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20EC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2F4C4D02">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备注</w:t>
            </w:r>
          </w:p>
        </w:tc>
        <w:tc>
          <w:tcPr>
            <w:tcW w:w="7647" w:type="dxa"/>
            <w:gridSpan w:val="5"/>
            <w:vAlign w:val="center"/>
          </w:tcPr>
          <w:p w14:paraId="401249A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bl>
    <w:p w14:paraId="01E455D3">
      <w:pPr>
        <w:shd w:val="clear"/>
        <w:adjustRightInd w:val="0"/>
        <w:snapToGrid w:val="0"/>
        <w:spacing w:line="360" w:lineRule="auto"/>
        <w:ind w:firstLine="482" w:firstLineChars="200"/>
        <w:rPr>
          <w:rFonts w:asciiTheme="minorEastAsia" w:hAnsiTheme="minorEastAsia" w:eastAsiaTheme="minorEastAsia" w:cstheme="minorEastAsia"/>
          <w:b/>
          <w:bCs/>
          <w:color w:val="auto"/>
          <w:kern w:val="0"/>
          <w:sz w:val="24"/>
          <w:lang w:val="zh-CN"/>
        </w:rPr>
      </w:pPr>
      <w:r>
        <w:rPr>
          <w:rFonts w:hint="eastAsia" w:asciiTheme="minorEastAsia" w:hAnsiTheme="minorEastAsia" w:eastAsiaTheme="minorEastAsia" w:cstheme="minorEastAsia"/>
          <w:b/>
          <w:bCs/>
          <w:color w:val="auto"/>
          <w:kern w:val="0"/>
          <w:sz w:val="24"/>
          <w:lang w:val="zh-CN"/>
        </w:rPr>
        <w:t>兹证明上述声明是真实、正确的，并提供了全部能提供的资料和数据，我们同意遵照贵方要求出示有关证明文件。</w:t>
      </w:r>
    </w:p>
    <w:p w14:paraId="08497AFF">
      <w:pPr>
        <w:shd w:val="clear"/>
        <w:adjustRightInd w:val="0"/>
        <w:snapToGrid w:val="0"/>
        <w:spacing w:line="360" w:lineRule="auto"/>
        <w:ind w:firstLine="480"/>
        <w:rPr>
          <w:rFonts w:asciiTheme="minorEastAsia" w:hAnsiTheme="minorEastAsia" w:eastAsiaTheme="minorEastAsia" w:cstheme="minorEastAsia"/>
          <w:color w:val="auto"/>
          <w:kern w:val="0"/>
          <w:sz w:val="24"/>
          <w:lang w:val="zh-CN"/>
        </w:rPr>
      </w:pPr>
    </w:p>
    <w:p w14:paraId="4E117C31">
      <w:pPr>
        <w:pStyle w:val="34"/>
        <w:shd w:val="clear"/>
        <w:spacing w:line="360" w:lineRule="auto"/>
        <w:ind w:firstLine="560"/>
        <w:rPr>
          <w:rFonts w:asciiTheme="minorEastAsia" w:hAnsiTheme="minorEastAsia" w:eastAsiaTheme="minorEastAsia" w:cstheme="minorEastAsia"/>
          <w:color w:val="auto"/>
          <w:lang w:val="zh-CN"/>
        </w:rPr>
      </w:pPr>
    </w:p>
    <w:p w14:paraId="574A9889">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4072689C">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72698F76">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2B58057A">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距采购人最近或者能为本项目提供最优服务的网点情况表</w:t>
      </w:r>
    </w:p>
    <w:p w14:paraId="390CFBB7">
      <w:pPr>
        <w:shd w:val="clear"/>
        <w:spacing w:line="360" w:lineRule="auto"/>
        <w:rPr>
          <w:rFonts w:asciiTheme="minorEastAsia" w:hAnsiTheme="minorEastAsia" w:eastAsiaTheme="minorEastAsia" w:cstheme="minorEastAsia"/>
          <w:color w:val="auto"/>
        </w:rPr>
      </w:pPr>
    </w:p>
    <w:tbl>
      <w:tblPr>
        <w:tblStyle w:val="27"/>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5175A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C18406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17BFFD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477FA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058450D">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788CF6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B08E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EA21D29">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637CCD6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7429E3C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6A1C6DB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464B7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812187D">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39ED91F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5090EC35">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03BBB5EC">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3919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753F8D1">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073815A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4F48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8625D2D">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6C8DFDFC">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5AA4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82CA66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2D69F05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7C815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3709BF4">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3C331DE3">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2CF64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C8A17D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02462F3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E1A1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363DEFA">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7A32CC8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1BF05CFA">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5020EA1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BD13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AA64E8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3F27219B">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08A7307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6B9F9A4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bl>
    <w:p w14:paraId="4C7BFCA3">
      <w:pPr>
        <w:shd w:val="clear"/>
        <w:spacing w:line="360" w:lineRule="auto"/>
        <w:rPr>
          <w:rFonts w:asciiTheme="minorEastAsia" w:hAnsiTheme="minorEastAsia" w:eastAsiaTheme="minorEastAsia" w:cstheme="minorEastAsia"/>
          <w:color w:val="auto"/>
        </w:rPr>
      </w:pPr>
    </w:p>
    <w:p w14:paraId="7C755760">
      <w:pPr>
        <w:shd w:val="clear"/>
        <w:spacing w:line="360" w:lineRule="auto"/>
        <w:rPr>
          <w:rFonts w:asciiTheme="minorEastAsia" w:hAnsiTheme="minorEastAsia" w:eastAsiaTheme="minorEastAsia" w:cstheme="minorEastAsia"/>
          <w:color w:val="auto"/>
        </w:rPr>
      </w:pPr>
    </w:p>
    <w:p w14:paraId="1E9BA9E9">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rPr>
        <w:t xml:space="preserve">       </w:t>
      </w:r>
    </w:p>
    <w:p w14:paraId="68F9793C">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190C0CF1">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37B53B96">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033212DF">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评审标准相应的商务技术资料</w:t>
      </w:r>
    </w:p>
    <w:p w14:paraId="14252D40">
      <w:pPr>
        <w:shd w:val="clear"/>
        <w:snapToGrid w:val="0"/>
        <w:spacing w:line="360" w:lineRule="auto"/>
        <w:ind w:firstLine="482"/>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（按采购文件第四部分评审办法前附表中“响应文件中评审标准相应的商务技术资料目录”提供资料）</w:t>
      </w:r>
    </w:p>
    <w:p w14:paraId="7F630EFF">
      <w:pPr>
        <w:pStyle w:val="2"/>
        <w:shd w:val="clear"/>
        <w:rPr>
          <w:color w:val="auto"/>
        </w:rPr>
      </w:pPr>
    </w:p>
    <w:p w14:paraId="530C646C">
      <w:pPr>
        <w:pStyle w:val="2"/>
        <w:shd w:val="clear"/>
        <w:rPr>
          <w:color w:val="auto"/>
        </w:rPr>
      </w:pPr>
    </w:p>
    <w:p w14:paraId="3F1C4252">
      <w:pPr>
        <w:pStyle w:val="2"/>
        <w:shd w:val="clear"/>
        <w:rPr>
          <w:color w:val="auto"/>
        </w:rPr>
      </w:pPr>
    </w:p>
    <w:p w14:paraId="32CC2FDB">
      <w:pPr>
        <w:pStyle w:val="2"/>
        <w:shd w:val="clear"/>
        <w:rPr>
          <w:color w:val="auto"/>
        </w:rPr>
      </w:pPr>
    </w:p>
    <w:p w14:paraId="4D43CD55">
      <w:pPr>
        <w:pStyle w:val="2"/>
        <w:shd w:val="clear"/>
        <w:rPr>
          <w:color w:val="auto"/>
        </w:rPr>
      </w:pPr>
    </w:p>
    <w:p w14:paraId="2A5536BD">
      <w:pPr>
        <w:pStyle w:val="2"/>
        <w:shd w:val="clear"/>
        <w:rPr>
          <w:color w:val="auto"/>
        </w:rPr>
      </w:pPr>
    </w:p>
    <w:p w14:paraId="685FD0AF">
      <w:pPr>
        <w:pStyle w:val="2"/>
        <w:shd w:val="clear"/>
        <w:rPr>
          <w:color w:val="auto"/>
        </w:rPr>
      </w:pPr>
    </w:p>
    <w:p w14:paraId="59FC3A58">
      <w:pPr>
        <w:pStyle w:val="2"/>
        <w:shd w:val="clear"/>
        <w:rPr>
          <w:color w:val="auto"/>
        </w:rPr>
      </w:pPr>
    </w:p>
    <w:p w14:paraId="10C98889">
      <w:pPr>
        <w:pStyle w:val="2"/>
        <w:shd w:val="clear"/>
        <w:rPr>
          <w:color w:val="auto"/>
        </w:rPr>
      </w:pPr>
    </w:p>
    <w:p w14:paraId="13E51A70">
      <w:pPr>
        <w:pStyle w:val="2"/>
        <w:shd w:val="clear"/>
        <w:rPr>
          <w:color w:val="auto"/>
        </w:rPr>
      </w:pPr>
    </w:p>
    <w:p w14:paraId="71CF683C">
      <w:pPr>
        <w:pStyle w:val="2"/>
        <w:shd w:val="clear"/>
        <w:rPr>
          <w:color w:val="auto"/>
        </w:rPr>
      </w:pPr>
    </w:p>
    <w:p w14:paraId="66BF8AD1">
      <w:pPr>
        <w:pStyle w:val="2"/>
        <w:shd w:val="clear"/>
        <w:rPr>
          <w:color w:val="auto"/>
        </w:rPr>
      </w:pPr>
    </w:p>
    <w:p w14:paraId="338A5EDE">
      <w:pPr>
        <w:pStyle w:val="2"/>
        <w:shd w:val="clear"/>
        <w:rPr>
          <w:color w:val="auto"/>
        </w:rPr>
      </w:pPr>
    </w:p>
    <w:p w14:paraId="4F1285CD">
      <w:pPr>
        <w:pStyle w:val="2"/>
        <w:shd w:val="clear"/>
        <w:rPr>
          <w:color w:val="auto"/>
        </w:rPr>
      </w:pPr>
    </w:p>
    <w:p w14:paraId="60DD6DB7">
      <w:pPr>
        <w:pStyle w:val="2"/>
        <w:shd w:val="clear"/>
        <w:rPr>
          <w:color w:val="auto"/>
        </w:rPr>
      </w:pPr>
    </w:p>
    <w:p w14:paraId="4D484673">
      <w:pPr>
        <w:pStyle w:val="2"/>
        <w:shd w:val="clear"/>
        <w:rPr>
          <w:color w:val="auto"/>
        </w:rPr>
      </w:pPr>
    </w:p>
    <w:p w14:paraId="710C4C2B">
      <w:pPr>
        <w:pStyle w:val="2"/>
        <w:shd w:val="clear"/>
        <w:rPr>
          <w:color w:val="auto"/>
        </w:rPr>
      </w:pPr>
    </w:p>
    <w:p w14:paraId="17CB8829">
      <w:pPr>
        <w:pStyle w:val="2"/>
        <w:shd w:val="clear"/>
        <w:rPr>
          <w:color w:val="auto"/>
        </w:rPr>
      </w:pPr>
    </w:p>
    <w:p w14:paraId="00CF6E47">
      <w:pPr>
        <w:pStyle w:val="2"/>
        <w:shd w:val="clear"/>
        <w:rPr>
          <w:color w:val="auto"/>
        </w:rPr>
      </w:pPr>
    </w:p>
    <w:p w14:paraId="1E51CBC4">
      <w:pPr>
        <w:pStyle w:val="2"/>
        <w:shd w:val="clear"/>
        <w:rPr>
          <w:color w:val="auto"/>
        </w:rPr>
      </w:pPr>
    </w:p>
    <w:p w14:paraId="0AF203F0">
      <w:pPr>
        <w:pStyle w:val="2"/>
        <w:shd w:val="clear"/>
        <w:rPr>
          <w:color w:val="auto"/>
        </w:rPr>
      </w:pPr>
    </w:p>
    <w:p w14:paraId="1A87DCFD">
      <w:pPr>
        <w:pStyle w:val="2"/>
        <w:shd w:val="clear"/>
        <w:rPr>
          <w:color w:val="auto"/>
        </w:rPr>
      </w:pPr>
    </w:p>
    <w:p w14:paraId="238DA8F2">
      <w:pPr>
        <w:pStyle w:val="2"/>
        <w:shd w:val="clear"/>
        <w:rPr>
          <w:color w:val="auto"/>
        </w:rPr>
      </w:pPr>
    </w:p>
    <w:p w14:paraId="7CEA7CC0">
      <w:pPr>
        <w:pStyle w:val="2"/>
        <w:shd w:val="clear"/>
        <w:rPr>
          <w:color w:val="auto"/>
        </w:rPr>
      </w:pPr>
    </w:p>
    <w:p w14:paraId="3E47E243">
      <w:pPr>
        <w:pStyle w:val="2"/>
        <w:shd w:val="clear"/>
        <w:rPr>
          <w:color w:val="auto"/>
        </w:rPr>
      </w:pPr>
    </w:p>
    <w:p w14:paraId="5C2EE94A">
      <w:pPr>
        <w:pStyle w:val="2"/>
        <w:shd w:val="clear"/>
        <w:rPr>
          <w:color w:val="auto"/>
        </w:rPr>
      </w:pPr>
    </w:p>
    <w:p w14:paraId="71F422C0">
      <w:pPr>
        <w:pStyle w:val="2"/>
        <w:shd w:val="clear"/>
        <w:rPr>
          <w:color w:val="auto"/>
        </w:rPr>
      </w:pPr>
    </w:p>
    <w:p w14:paraId="0E991012">
      <w:pPr>
        <w:pStyle w:val="2"/>
        <w:shd w:val="clear"/>
        <w:rPr>
          <w:color w:val="auto"/>
        </w:rPr>
      </w:pPr>
    </w:p>
    <w:p w14:paraId="19E4E09E">
      <w:pPr>
        <w:pStyle w:val="2"/>
        <w:shd w:val="clear"/>
        <w:rPr>
          <w:color w:val="auto"/>
        </w:rPr>
      </w:pPr>
    </w:p>
    <w:p w14:paraId="56AA0CE7">
      <w:pPr>
        <w:pStyle w:val="2"/>
        <w:shd w:val="clear"/>
        <w:rPr>
          <w:color w:val="auto"/>
        </w:rPr>
      </w:pPr>
    </w:p>
    <w:p w14:paraId="4D578187">
      <w:pPr>
        <w:pStyle w:val="2"/>
        <w:shd w:val="clear"/>
        <w:rPr>
          <w:color w:val="auto"/>
        </w:rPr>
      </w:pPr>
    </w:p>
    <w:p w14:paraId="5C5AF229">
      <w:pPr>
        <w:pStyle w:val="2"/>
        <w:shd w:val="clear"/>
        <w:rPr>
          <w:color w:val="auto"/>
        </w:rPr>
      </w:pPr>
    </w:p>
    <w:p w14:paraId="1BE1DD29">
      <w:pPr>
        <w:pStyle w:val="2"/>
        <w:shd w:val="clear"/>
        <w:rPr>
          <w:color w:val="auto"/>
        </w:rPr>
      </w:pPr>
    </w:p>
    <w:p w14:paraId="4BFC97C6">
      <w:pPr>
        <w:pStyle w:val="2"/>
        <w:shd w:val="clear"/>
        <w:rPr>
          <w:color w:val="auto"/>
        </w:rPr>
      </w:pPr>
    </w:p>
    <w:p w14:paraId="0B45B737">
      <w:pPr>
        <w:pStyle w:val="2"/>
        <w:shd w:val="clear"/>
        <w:rPr>
          <w:color w:val="auto"/>
        </w:rPr>
      </w:pPr>
    </w:p>
    <w:p w14:paraId="540CE78E">
      <w:pPr>
        <w:pStyle w:val="2"/>
        <w:shd w:val="clear"/>
        <w:rPr>
          <w:color w:val="auto"/>
        </w:rPr>
      </w:pPr>
    </w:p>
    <w:p w14:paraId="6D113B10">
      <w:pPr>
        <w:pStyle w:val="2"/>
        <w:shd w:val="clear"/>
        <w:rPr>
          <w:color w:val="auto"/>
        </w:rPr>
      </w:pPr>
    </w:p>
    <w:p w14:paraId="5E5C72B3">
      <w:pPr>
        <w:pStyle w:val="2"/>
        <w:shd w:val="clear"/>
        <w:rPr>
          <w:color w:val="auto"/>
        </w:rPr>
      </w:pPr>
    </w:p>
    <w:p w14:paraId="1EFEEE40">
      <w:pPr>
        <w:pStyle w:val="2"/>
        <w:shd w:val="clear"/>
        <w:rPr>
          <w:color w:val="auto"/>
        </w:rPr>
      </w:pPr>
    </w:p>
    <w:p w14:paraId="6A7DDA0D">
      <w:pPr>
        <w:pStyle w:val="2"/>
        <w:shd w:val="clear"/>
        <w:rPr>
          <w:color w:val="auto"/>
        </w:rPr>
      </w:pPr>
    </w:p>
    <w:p w14:paraId="4812BA9B">
      <w:pPr>
        <w:pStyle w:val="2"/>
        <w:shd w:val="clear"/>
        <w:rPr>
          <w:color w:val="auto"/>
        </w:rPr>
      </w:pPr>
    </w:p>
    <w:p w14:paraId="1FA3D2DB">
      <w:pPr>
        <w:pStyle w:val="2"/>
        <w:shd w:val="clear"/>
        <w:rPr>
          <w:color w:val="auto"/>
        </w:rPr>
      </w:pPr>
    </w:p>
    <w:p w14:paraId="5787F9C8">
      <w:pPr>
        <w:pStyle w:val="2"/>
        <w:shd w:val="clear"/>
        <w:rPr>
          <w:color w:val="auto"/>
        </w:rPr>
      </w:pPr>
    </w:p>
    <w:p w14:paraId="6084D1A4">
      <w:pPr>
        <w:pStyle w:val="2"/>
        <w:shd w:val="clear"/>
        <w:rPr>
          <w:color w:val="auto"/>
        </w:rPr>
      </w:pPr>
    </w:p>
    <w:p w14:paraId="101A0AB1">
      <w:pPr>
        <w:pStyle w:val="2"/>
        <w:shd w:val="clear"/>
        <w:rPr>
          <w:color w:val="auto"/>
        </w:rPr>
      </w:pPr>
    </w:p>
    <w:p w14:paraId="2C1D42FB">
      <w:pPr>
        <w:pStyle w:val="2"/>
        <w:shd w:val="clear"/>
        <w:rPr>
          <w:color w:val="auto"/>
        </w:rPr>
      </w:pPr>
    </w:p>
    <w:p w14:paraId="12C39DDD">
      <w:pPr>
        <w:pStyle w:val="34"/>
        <w:shd w:val="clear"/>
        <w:ind w:firstLine="560"/>
        <w:rPr>
          <w:rFonts w:asciiTheme="minorEastAsia" w:hAnsiTheme="minorEastAsia" w:eastAsiaTheme="minorEastAsia" w:cstheme="minorEastAsia"/>
          <w:color w:val="auto"/>
          <w:lang w:val="zh-CN"/>
        </w:rPr>
      </w:pPr>
    </w:p>
    <w:p w14:paraId="270A6C44">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t>商务</w:t>
      </w:r>
      <w:r>
        <w:rPr>
          <w:rFonts w:hint="eastAsia" w:asciiTheme="minorEastAsia" w:hAnsiTheme="minorEastAsia" w:eastAsiaTheme="minorEastAsia" w:cstheme="minorEastAsia"/>
          <w:b/>
          <w:color w:val="auto"/>
          <w:kern w:val="0"/>
          <w:sz w:val="32"/>
          <w:szCs w:val="32"/>
        </w:rPr>
        <w:t>响应</w:t>
      </w:r>
      <w:r>
        <w:rPr>
          <w:rFonts w:hint="eastAsia" w:asciiTheme="minorEastAsia" w:hAnsiTheme="minorEastAsia" w:eastAsiaTheme="minorEastAsia" w:cstheme="minorEastAsia"/>
          <w:b/>
          <w:color w:val="auto"/>
          <w:kern w:val="0"/>
          <w:sz w:val="32"/>
          <w:szCs w:val="32"/>
          <w:lang w:val="zh-CN"/>
        </w:rPr>
        <w:t>表</w:t>
      </w:r>
    </w:p>
    <w:tbl>
      <w:tblPr>
        <w:tblStyle w:val="27"/>
        <w:tblW w:w="53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337"/>
        <w:gridCol w:w="849"/>
        <w:gridCol w:w="1278"/>
      </w:tblGrid>
      <w:tr w14:paraId="7D7A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3B388C60">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序号</w:t>
            </w:r>
          </w:p>
        </w:tc>
        <w:tc>
          <w:tcPr>
            <w:tcW w:w="3709" w:type="pct"/>
            <w:vAlign w:val="center"/>
          </w:tcPr>
          <w:p w14:paraId="746B5E2B">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商务条款要求</w:t>
            </w:r>
          </w:p>
        </w:tc>
        <w:tc>
          <w:tcPr>
            <w:tcW w:w="429" w:type="pct"/>
            <w:vAlign w:val="center"/>
          </w:tcPr>
          <w:p w14:paraId="71B0B003">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是否响应</w:t>
            </w:r>
          </w:p>
        </w:tc>
        <w:tc>
          <w:tcPr>
            <w:tcW w:w="646" w:type="pct"/>
            <w:vAlign w:val="center"/>
          </w:tcPr>
          <w:p w14:paraId="09D48E43">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优于情况说明（如有）</w:t>
            </w:r>
          </w:p>
        </w:tc>
      </w:tr>
      <w:tr w14:paraId="72F3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215" w:type="pct"/>
            <w:vAlign w:val="center"/>
          </w:tcPr>
          <w:p w14:paraId="1A8EFE4C">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1</w:t>
            </w:r>
          </w:p>
        </w:tc>
        <w:tc>
          <w:tcPr>
            <w:tcW w:w="3709" w:type="pct"/>
            <w:vAlign w:val="center"/>
          </w:tcPr>
          <w:p w14:paraId="1B61C377">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履约保证金：签约合同金额的2%，电汇、银行支票、银行保函、保险公司担保等形式。于签订合同的同时缴纳给采购人，项目竣工验收后退回。</w:t>
            </w:r>
          </w:p>
        </w:tc>
        <w:tc>
          <w:tcPr>
            <w:tcW w:w="429" w:type="pct"/>
          </w:tcPr>
          <w:p w14:paraId="21727612">
            <w:pPr>
              <w:shd w:val="clear"/>
              <w:spacing w:before="120" w:beforeLines="50" w:line="360" w:lineRule="auto"/>
              <w:rPr>
                <w:rFonts w:ascii="宋体" w:hAnsi="宋体" w:cs="宋体"/>
                <w:bCs/>
                <w:color w:val="auto"/>
                <w:szCs w:val="21"/>
              </w:rPr>
            </w:pPr>
          </w:p>
        </w:tc>
        <w:tc>
          <w:tcPr>
            <w:tcW w:w="646" w:type="pct"/>
          </w:tcPr>
          <w:p w14:paraId="589052D7">
            <w:pPr>
              <w:shd w:val="clear"/>
              <w:spacing w:before="120" w:beforeLines="50" w:line="360" w:lineRule="auto"/>
              <w:rPr>
                <w:rFonts w:ascii="宋体" w:hAnsi="宋体" w:cs="宋体"/>
                <w:bCs/>
                <w:color w:val="auto"/>
                <w:szCs w:val="21"/>
              </w:rPr>
            </w:pPr>
          </w:p>
        </w:tc>
      </w:tr>
      <w:tr w14:paraId="37C9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15" w:type="pct"/>
            <w:vAlign w:val="center"/>
          </w:tcPr>
          <w:p w14:paraId="07D0B932">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2</w:t>
            </w:r>
          </w:p>
        </w:tc>
        <w:tc>
          <w:tcPr>
            <w:tcW w:w="3709" w:type="pct"/>
            <w:vAlign w:val="center"/>
          </w:tcPr>
          <w:p w14:paraId="44A578F9">
            <w:pPr>
              <w:shd w:val="clear"/>
              <w:spacing w:before="120" w:beforeLines="50" w:line="360" w:lineRule="auto"/>
              <w:rPr>
                <w:rFonts w:ascii="宋体" w:hAnsi="宋体" w:cs="宋体"/>
                <w:bCs/>
                <w:color w:val="auto"/>
                <w:szCs w:val="21"/>
              </w:rPr>
            </w:pPr>
            <w:r>
              <w:rPr>
                <w:rFonts w:hint="eastAsia" w:ascii="宋体" w:hAnsi="宋体" w:cs="宋体"/>
                <w:bCs/>
                <w:color w:val="auto"/>
                <w:szCs w:val="21"/>
              </w:rPr>
              <w:t>质量等级要求：达到国家和行业施工验收规范一次性验收合格</w:t>
            </w:r>
          </w:p>
          <w:p w14:paraId="4F4E7CCB">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安全等级要求：合格</w:t>
            </w:r>
          </w:p>
        </w:tc>
        <w:tc>
          <w:tcPr>
            <w:tcW w:w="429" w:type="pct"/>
          </w:tcPr>
          <w:p w14:paraId="6F4A1645">
            <w:pPr>
              <w:shd w:val="clear"/>
              <w:spacing w:before="120" w:beforeLines="50" w:line="360" w:lineRule="auto"/>
              <w:rPr>
                <w:rFonts w:ascii="宋体" w:hAnsi="宋体" w:cs="宋体"/>
                <w:bCs/>
                <w:color w:val="auto"/>
                <w:szCs w:val="21"/>
              </w:rPr>
            </w:pPr>
          </w:p>
        </w:tc>
        <w:tc>
          <w:tcPr>
            <w:tcW w:w="646" w:type="pct"/>
          </w:tcPr>
          <w:p w14:paraId="7F8E3A7F">
            <w:pPr>
              <w:shd w:val="clear"/>
              <w:spacing w:before="120" w:beforeLines="50" w:line="360" w:lineRule="auto"/>
              <w:rPr>
                <w:rFonts w:ascii="宋体" w:hAnsi="宋体" w:cs="宋体"/>
                <w:bCs/>
                <w:color w:val="auto"/>
                <w:szCs w:val="21"/>
              </w:rPr>
            </w:pPr>
          </w:p>
        </w:tc>
      </w:tr>
      <w:tr w14:paraId="4CE4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5" w:type="pct"/>
            <w:vAlign w:val="center"/>
          </w:tcPr>
          <w:p w14:paraId="30324E94">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3</w:t>
            </w:r>
          </w:p>
        </w:tc>
        <w:tc>
          <w:tcPr>
            <w:tcW w:w="3709" w:type="pct"/>
            <w:vAlign w:val="center"/>
          </w:tcPr>
          <w:p w14:paraId="6D92F17C">
            <w:pPr>
              <w:shd w:val="clear"/>
              <w:spacing w:before="120" w:beforeLines="50" w:line="360" w:lineRule="auto"/>
              <w:rPr>
                <w:rFonts w:ascii="宋体" w:hAnsi="宋体" w:cs="宋体"/>
                <w:bCs/>
                <w:color w:val="auto"/>
                <w:szCs w:val="21"/>
              </w:rPr>
            </w:pPr>
            <w:r>
              <w:rPr>
                <w:rFonts w:hint="eastAsia" w:ascii="宋体" w:hAnsi="宋体" w:cs="宋体"/>
                <w:bCs/>
                <w:color w:val="auto"/>
                <w:szCs w:val="21"/>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c>
          <w:tcPr>
            <w:tcW w:w="429" w:type="pct"/>
          </w:tcPr>
          <w:p w14:paraId="652E9982">
            <w:pPr>
              <w:shd w:val="clear"/>
              <w:spacing w:before="120" w:beforeLines="50" w:line="360" w:lineRule="auto"/>
              <w:rPr>
                <w:rFonts w:ascii="宋体" w:hAnsi="宋体" w:cs="宋体"/>
                <w:bCs/>
                <w:color w:val="auto"/>
                <w:szCs w:val="21"/>
              </w:rPr>
            </w:pPr>
          </w:p>
        </w:tc>
        <w:tc>
          <w:tcPr>
            <w:tcW w:w="646" w:type="pct"/>
          </w:tcPr>
          <w:p w14:paraId="54F60FA2">
            <w:pPr>
              <w:shd w:val="clear"/>
              <w:spacing w:before="120" w:beforeLines="50" w:line="360" w:lineRule="auto"/>
              <w:rPr>
                <w:rFonts w:ascii="宋体" w:hAnsi="宋体" w:cs="宋体"/>
                <w:bCs/>
                <w:color w:val="auto"/>
                <w:szCs w:val="21"/>
              </w:rPr>
            </w:pPr>
          </w:p>
        </w:tc>
      </w:tr>
      <w:tr w14:paraId="45D3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15" w:type="pct"/>
            <w:vAlign w:val="center"/>
          </w:tcPr>
          <w:p w14:paraId="4AEF58DC">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4</w:t>
            </w:r>
          </w:p>
        </w:tc>
        <w:tc>
          <w:tcPr>
            <w:tcW w:w="3709" w:type="pct"/>
            <w:vAlign w:val="center"/>
          </w:tcPr>
          <w:p w14:paraId="77CE0401">
            <w:pPr>
              <w:shd w:val="clear"/>
              <w:spacing w:before="120" w:beforeLines="50" w:line="360" w:lineRule="auto"/>
              <w:rPr>
                <w:rFonts w:ascii="宋体" w:hAnsi="宋体" w:cs="宋体"/>
                <w:bCs/>
                <w:color w:val="auto"/>
                <w:szCs w:val="21"/>
              </w:rPr>
            </w:pPr>
            <w:r>
              <w:rPr>
                <w:rFonts w:hint="eastAsia" w:ascii="宋体" w:hAnsi="宋体" w:cs="宋体"/>
                <w:bCs/>
                <w:color w:val="auto"/>
                <w:szCs w:val="21"/>
              </w:rPr>
              <w:t>付款方式：在合同签订生效后一周内，支付合同价款的20%；（预付款扣回的方式：在前2次工程进度款支付时各扣回预付款的50%)在工程施工进度至50%时支付合同价款的30%；工程施工进度至80%时支付合同价款的30%；待工程竣工验收合格后支付至合同价款的80%；待竣工结算经审计部门审定后支付至审定价格的98.5%，余款在质量保证期过后付清。</w:t>
            </w:r>
          </w:p>
        </w:tc>
        <w:tc>
          <w:tcPr>
            <w:tcW w:w="429" w:type="pct"/>
          </w:tcPr>
          <w:p w14:paraId="5BD437E2">
            <w:pPr>
              <w:shd w:val="clear"/>
              <w:spacing w:before="120" w:beforeLines="50" w:line="360" w:lineRule="auto"/>
              <w:rPr>
                <w:rFonts w:ascii="宋体" w:hAnsi="宋体" w:cs="宋体"/>
                <w:bCs/>
                <w:color w:val="auto"/>
                <w:szCs w:val="21"/>
              </w:rPr>
            </w:pPr>
          </w:p>
        </w:tc>
        <w:tc>
          <w:tcPr>
            <w:tcW w:w="646" w:type="pct"/>
          </w:tcPr>
          <w:p w14:paraId="5D7C931C">
            <w:pPr>
              <w:shd w:val="clear"/>
              <w:spacing w:before="120" w:beforeLines="50" w:line="360" w:lineRule="auto"/>
              <w:rPr>
                <w:rFonts w:ascii="宋体" w:hAnsi="宋体" w:cs="宋体"/>
                <w:bCs/>
                <w:color w:val="auto"/>
                <w:szCs w:val="21"/>
              </w:rPr>
            </w:pPr>
          </w:p>
        </w:tc>
      </w:tr>
      <w:tr w14:paraId="4332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215" w:type="pct"/>
            <w:vAlign w:val="center"/>
          </w:tcPr>
          <w:p w14:paraId="6EE5FD9D">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5</w:t>
            </w:r>
          </w:p>
        </w:tc>
        <w:tc>
          <w:tcPr>
            <w:tcW w:w="3709" w:type="pct"/>
            <w:vAlign w:val="center"/>
          </w:tcPr>
          <w:p w14:paraId="77B21C2F">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施工工期：合同签订后100日历天内完工；</w:t>
            </w:r>
          </w:p>
          <w:p w14:paraId="6C047878">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施工地点：业主指定地点。</w:t>
            </w:r>
          </w:p>
        </w:tc>
        <w:tc>
          <w:tcPr>
            <w:tcW w:w="429" w:type="pct"/>
          </w:tcPr>
          <w:p w14:paraId="54FBB311">
            <w:pPr>
              <w:shd w:val="clear"/>
              <w:spacing w:before="120" w:beforeLines="50" w:line="360" w:lineRule="auto"/>
              <w:rPr>
                <w:rFonts w:ascii="宋体" w:hAnsi="宋体" w:cs="宋体"/>
                <w:bCs/>
                <w:color w:val="auto"/>
                <w:szCs w:val="21"/>
              </w:rPr>
            </w:pPr>
          </w:p>
        </w:tc>
        <w:tc>
          <w:tcPr>
            <w:tcW w:w="646" w:type="pct"/>
          </w:tcPr>
          <w:p w14:paraId="70BC2C29">
            <w:pPr>
              <w:shd w:val="clear"/>
              <w:spacing w:before="120" w:beforeLines="50" w:line="360" w:lineRule="auto"/>
              <w:rPr>
                <w:rFonts w:ascii="宋体" w:hAnsi="宋体" w:cs="宋体"/>
                <w:bCs/>
                <w:color w:val="auto"/>
                <w:szCs w:val="21"/>
              </w:rPr>
            </w:pPr>
          </w:p>
        </w:tc>
      </w:tr>
      <w:tr w14:paraId="253C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779BFEE6">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6</w:t>
            </w:r>
          </w:p>
        </w:tc>
        <w:tc>
          <w:tcPr>
            <w:tcW w:w="3709" w:type="pct"/>
            <w:vAlign w:val="center"/>
          </w:tcPr>
          <w:p w14:paraId="41D5ABAE">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报价方式：采用综合折扣率方式进行报价，同时折扣率不得高于94%。</w:t>
            </w:r>
          </w:p>
          <w:p w14:paraId="2BF7FD21">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本项目为单价合同，工程量按实结算。</w:t>
            </w:r>
          </w:p>
        </w:tc>
        <w:tc>
          <w:tcPr>
            <w:tcW w:w="429" w:type="pct"/>
          </w:tcPr>
          <w:p w14:paraId="1616EAD4">
            <w:pPr>
              <w:shd w:val="clear"/>
              <w:spacing w:before="120" w:beforeLines="50" w:line="360" w:lineRule="auto"/>
              <w:rPr>
                <w:rFonts w:ascii="宋体" w:hAnsi="宋体" w:cs="宋体"/>
                <w:bCs/>
                <w:color w:val="auto"/>
                <w:szCs w:val="21"/>
              </w:rPr>
            </w:pPr>
          </w:p>
        </w:tc>
        <w:tc>
          <w:tcPr>
            <w:tcW w:w="646" w:type="pct"/>
          </w:tcPr>
          <w:p w14:paraId="69067A60">
            <w:pPr>
              <w:shd w:val="clear"/>
              <w:spacing w:before="120" w:beforeLines="50" w:line="360" w:lineRule="auto"/>
              <w:rPr>
                <w:rFonts w:ascii="宋体" w:hAnsi="宋体" w:cs="宋体"/>
                <w:bCs/>
                <w:color w:val="auto"/>
                <w:szCs w:val="21"/>
              </w:rPr>
            </w:pPr>
          </w:p>
        </w:tc>
      </w:tr>
      <w:tr w14:paraId="747C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09D82D6B">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7</w:t>
            </w:r>
          </w:p>
        </w:tc>
        <w:tc>
          <w:tcPr>
            <w:tcW w:w="3709" w:type="pct"/>
            <w:vAlign w:val="center"/>
          </w:tcPr>
          <w:p w14:paraId="3288230A">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本项目签约合同价计算公式：（预算金额-暂定价）*成交综合折扣率+暂定价。</w:t>
            </w:r>
          </w:p>
        </w:tc>
        <w:tc>
          <w:tcPr>
            <w:tcW w:w="429" w:type="pct"/>
          </w:tcPr>
          <w:p w14:paraId="641B6D90">
            <w:pPr>
              <w:shd w:val="clear"/>
              <w:spacing w:before="120" w:beforeLines="50" w:line="360" w:lineRule="auto"/>
              <w:rPr>
                <w:rFonts w:ascii="宋体" w:hAnsi="宋体" w:cs="宋体"/>
                <w:bCs/>
                <w:color w:val="auto"/>
                <w:szCs w:val="21"/>
              </w:rPr>
            </w:pPr>
          </w:p>
        </w:tc>
        <w:tc>
          <w:tcPr>
            <w:tcW w:w="646" w:type="pct"/>
          </w:tcPr>
          <w:p w14:paraId="430B3714">
            <w:pPr>
              <w:shd w:val="clear"/>
              <w:spacing w:before="120" w:beforeLines="50" w:line="360" w:lineRule="auto"/>
              <w:rPr>
                <w:rFonts w:ascii="宋体" w:hAnsi="宋体" w:cs="宋体"/>
                <w:bCs/>
                <w:color w:val="auto"/>
                <w:szCs w:val="21"/>
              </w:rPr>
            </w:pPr>
          </w:p>
        </w:tc>
      </w:tr>
    </w:tbl>
    <w:p w14:paraId="2E65CE42">
      <w:pPr>
        <w:shd w:val="clear"/>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保证：除商务偏离表列出的偏离外，供应商响应采购文件的全部商务要求。供应商需完全响应以上商务条款要求并在“是否响应”一栏里明确，未明确响应的作无效标处理。如有优于的，可以在“优于情况说明”一栏里详细说明。</w:t>
      </w:r>
    </w:p>
    <w:p w14:paraId="75B453C3">
      <w:pPr>
        <w:shd w:val="clear"/>
        <w:adjustRightInd w:val="0"/>
        <w:snapToGrid w:val="0"/>
        <w:spacing w:line="360" w:lineRule="auto"/>
        <w:ind w:firstLine="480"/>
        <w:jc w:val="right"/>
        <w:rPr>
          <w:rFonts w:asciiTheme="minorEastAsia" w:hAnsiTheme="minorEastAsia" w:eastAsiaTheme="minorEastAsia" w:cstheme="minorEastAsia"/>
          <w:color w:val="auto"/>
          <w:kern w:val="0"/>
          <w:sz w:val="24"/>
          <w:lang w:val="zh-CN"/>
        </w:rPr>
      </w:pPr>
    </w:p>
    <w:p w14:paraId="168A3C76">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5B7E785A">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1856C8D6">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69A17A0D">
      <w:pPr>
        <w:shd w:val="clear"/>
        <w:ind w:firstLine="560"/>
        <w:rPr>
          <w:rFonts w:asciiTheme="minorEastAsia" w:hAnsiTheme="minorEastAsia" w:eastAsiaTheme="minorEastAsia" w:cstheme="minorEastAsia"/>
          <w:color w:val="auto"/>
          <w:sz w:val="28"/>
          <w:lang w:val="zh-CN"/>
        </w:rPr>
      </w:pPr>
    </w:p>
    <w:p w14:paraId="07981A0C">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t>技术</w:t>
      </w:r>
      <w:r>
        <w:rPr>
          <w:rFonts w:hint="eastAsia" w:asciiTheme="minorEastAsia" w:hAnsiTheme="minorEastAsia" w:eastAsiaTheme="minorEastAsia" w:cstheme="minorEastAsia"/>
          <w:b/>
          <w:color w:val="auto"/>
          <w:kern w:val="0"/>
          <w:sz w:val="32"/>
          <w:szCs w:val="32"/>
        </w:rPr>
        <w:t>响应</w:t>
      </w:r>
      <w:r>
        <w:rPr>
          <w:rFonts w:hint="eastAsia" w:asciiTheme="minorEastAsia" w:hAnsiTheme="minorEastAsia" w:eastAsiaTheme="minorEastAsia" w:cstheme="minorEastAsia"/>
          <w:b/>
          <w:color w:val="auto"/>
          <w:kern w:val="0"/>
          <w:sz w:val="32"/>
          <w:szCs w:val="32"/>
          <w:lang w:val="zh-CN"/>
        </w:rPr>
        <w:t>表</w:t>
      </w:r>
    </w:p>
    <w:p w14:paraId="523DD4ED">
      <w:pPr>
        <w:pStyle w:val="2"/>
        <w:shd w:val="clear"/>
        <w:rPr>
          <w:color w:val="auto"/>
          <w:lang w:val="zh-CN"/>
        </w:rPr>
      </w:pPr>
      <w:r>
        <w:rPr>
          <w:rFonts w:hint="eastAsia"/>
          <w:color w:val="auto"/>
          <w:lang w:val="zh-CN"/>
        </w:rPr>
        <w:t>1、技术响应表</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528"/>
        <w:gridCol w:w="2693"/>
      </w:tblGrid>
      <w:tr w14:paraId="5692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59" w:type="dxa"/>
            <w:vAlign w:val="center"/>
          </w:tcPr>
          <w:p w14:paraId="4C0A6D0F">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5528" w:type="dxa"/>
            <w:vAlign w:val="center"/>
          </w:tcPr>
          <w:p w14:paraId="27042532">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技术要求</w:t>
            </w:r>
          </w:p>
        </w:tc>
        <w:tc>
          <w:tcPr>
            <w:tcW w:w="2693" w:type="dxa"/>
            <w:vAlign w:val="center"/>
          </w:tcPr>
          <w:p w14:paraId="548B9701">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响应或偏离说明</w:t>
            </w:r>
          </w:p>
        </w:tc>
      </w:tr>
      <w:tr w14:paraId="7829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121EF02">
            <w:pPr>
              <w:widowControl w:val="0"/>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5528" w:type="dxa"/>
            <w:vAlign w:val="center"/>
          </w:tcPr>
          <w:p w14:paraId="6D32888E">
            <w:pPr>
              <w:widowControl w:val="0"/>
              <w:shd w:val="clear"/>
              <w:spacing w:before="120" w:beforeLines="50" w:line="360" w:lineRule="auto"/>
              <w:jc w:val="both"/>
              <w:rPr>
                <w:rFonts w:ascii="宋体" w:hAnsi="宋体" w:cs="宋体"/>
                <w:b/>
                <w:color w:val="auto"/>
                <w:szCs w:val="21"/>
              </w:rPr>
            </w:pPr>
            <w:r>
              <w:rPr>
                <w:rFonts w:hint="eastAsia" w:ascii="宋体" w:hAnsi="宋体" w:cs="宋体"/>
                <w:b/>
                <w:color w:val="auto"/>
                <w:szCs w:val="21"/>
              </w:rPr>
              <w:t>（一）采购范围</w:t>
            </w:r>
          </w:p>
          <w:p w14:paraId="795C3221">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施工图范围内的电力排管、电缆井、路面破修等。</w:t>
            </w:r>
          </w:p>
          <w:p w14:paraId="31611D9F">
            <w:pPr>
              <w:widowControl w:val="0"/>
              <w:shd w:val="clear"/>
              <w:spacing w:before="120" w:beforeLines="50" w:line="360" w:lineRule="auto"/>
              <w:jc w:val="both"/>
              <w:rPr>
                <w:rFonts w:ascii="宋体" w:hAnsi="宋体" w:cs="宋体"/>
                <w:b/>
                <w:color w:val="auto"/>
                <w:szCs w:val="21"/>
              </w:rPr>
            </w:pPr>
            <w:r>
              <w:rPr>
                <w:rFonts w:hint="eastAsia" w:ascii="宋体" w:hAnsi="宋体" w:cs="宋体"/>
                <w:b/>
                <w:color w:val="auto"/>
                <w:szCs w:val="21"/>
              </w:rPr>
              <w:t>（二）施工图设计内容：</w:t>
            </w:r>
          </w:p>
          <w:p w14:paraId="47CB0E89">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施工图设计情况:</w:t>
            </w:r>
            <w:r>
              <w:rPr>
                <w:rFonts w:hint="eastAsia"/>
                <w:color w:val="auto"/>
              </w:rPr>
              <w:t xml:space="preserve"> </w:t>
            </w:r>
            <w:r>
              <w:rPr>
                <w:rFonts w:hint="eastAsia" w:ascii="宋体" w:hAnsi="宋体" w:cs="宋体"/>
                <w:bCs/>
                <w:color w:val="auto"/>
                <w:szCs w:val="21"/>
              </w:rPr>
              <w:t>详见图纸。</w:t>
            </w:r>
          </w:p>
          <w:p w14:paraId="2BA049A8">
            <w:pPr>
              <w:widowControl w:val="0"/>
              <w:shd w:val="clear"/>
              <w:spacing w:before="120" w:beforeLines="50" w:line="360" w:lineRule="auto"/>
              <w:jc w:val="both"/>
              <w:rPr>
                <w:rFonts w:ascii="宋体" w:hAnsi="宋体" w:cs="宋体"/>
                <w:b/>
                <w:color w:val="auto"/>
                <w:szCs w:val="21"/>
              </w:rPr>
            </w:pPr>
            <w:r>
              <w:rPr>
                <w:rFonts w:hint="eastAsia" w:ascii="宋体" w:hAnsi="宋体" w:cs="宋体"/>
                <w:b/>
                <w:color w:val="auto"/>
                <w:szCs w:val="21"/>
              </w:rPr>
              <w:t>（三）工程量清单说明</w:t>
            </w:r>
          </w:p>
          <w:p w14:paraId="3E5792FC">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1）本工程量清单应与采购文件中的竞争性磋商须知、合同条款、技术标准和要求及图纸（如有）等一起阅读和理解。</w:t>
            </w:r>
          </w:p>
          <w:p w14:paraId="12FC6765">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44DCC0D2">
            <w:pPr>
              <w:widowControl w:val="0"/>
              <w:shd w:val="clear"/>
              <w:spacing w:before="120" w:beforeLines="50" w:line="360" w:lineRule="auto"/>
              <w:jc w:val="both"/>
              <w:rPr>
                <w:rFonts w:asciiTheme="minorEastAsia" w:hAnsiTheme="minorEastAsia" w:eastAsiaTheme="minorEastAsia" w:cstheme="minorEastAsia"/>
                <w:b/>
                <w:color w:val="auto"/>
                <w:kern w:val="0"/>
                <w:sz w:val="32"/>
                <w:szCs w:val="32"/>
              </w:rPr>
            </w:pPr>
            <w:r>
              <w:rPr>
                <w:rFonts w:hint="eastAsia" w:ascii="宋体" w:hAnsi="宋体" w:cs="宋体"/>
                <w:bCs/>
                <w:color w:val="auto"/>
                <w:szCs w:val="21"/>
              </w:rPr>
              <w:t>3）供应商不得擅自改动采购人提供的工程量清单内容（计量单位、工程数量等），磋商综合折扣率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tc>
        <w:tc>
          <w:tcPr>
            <w:tcW w:w="2693" w:type="dxa"/>
            <w:vAlign w:val="center"/>
          </w:tcPr>
          <w:p w14:paraId="663E197F">
            <w:pPr>
              <w:widowControl w:val="0"/>
              <w:shd w:val="clear"/>
              <w:spacing w:line="360" w:lineRule="auto"/>
              <w:jc w:val="center"/>
              <w:rPr>
                <w:rFonts w:asciiTheme="minorEastAsia" w:hAnsiTheme="minorEastAsia" w:eastAsiaTheme="minorEastAsia" w:cstheme="minorEastAsia"/>
                <w:b/>
                <w:color w:val="auto"/>
                <w:kern w:val="0"/>
                <w:sz w:val="32"/>
                <w:szCs w:val="32"/>
              </w:rPr>
            </w:pPr>
          </w:p>
        </w:tc>
      </w:tr>
      <w:tr w14:paraId="318A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24C567A">
            <w:pPr>
              <w:widowControl w:val="0"/>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5528" w:type="dxa"/>
            <w:vAlign w:val="center"/>
          </w:tcPr>
          <w:p w14:paraId="6FF956FD">
            <w:pPr>
              <w:widowControl w:val="0"/>
              <w:shd w:val="clear"/>
              <w:tabs>
                <w:tab w:val="left" w:pos="4915"/>
              </w:tabs>
              <w:spacing w:line="360" w:lineRule="auto"/>
              <w:jc w:val="both"/>
              <w:rPr>
                <w:rFonts w:cs="宋体"/>
                <w:color w:val="auto"/>
                <w:szCs w:val="21"/>
              </w:rPr>
            </w:pPr>
            <w:r>
              <w:rPr>
                <w:rFonts w:hint="eastAsia" w:ascii="宋体" w:hAnsi="宋体" w:cs="宋体"/>
                <w:b/>
                <w:color w:val="auto"/>
                <w:szCs w:val="21"/>
              </w:rPr>
              <w:t>▲</w:t>
            </w:r>
            <w:r>
              <w:rPr>
                <w:rFonts w:hint="eastAsia" w:cs="宋体"/>
                <w:color w:val="auto"/>
                <w:szCs w:val="21"/>
              </w:rPr>
              <w:t>1、项目负责人：具</w:t>
            </w:r>
            <w:r>
              <w:rPr>
                <w:rFonts w:hint="eastAsia" w:ascii="Times New Roman" w:hAnsi="Times New Roman" w:cs="宋体"/>
                <w:color w:val="auto"/>
                <w:szCs w:val="21"/>
              </w:rPr>
              <w:t>有市政公用工程专业注册建造师贰级及以上证书，并具有有效的</w:t>
            </w:r>
            <w:r>
              <w:rPr>
                <w:rFonts w:hint="eastAsia" w:cs="宋体"/>
                <w:color w:val="auto"/>
                <w:szCs w:val="21"/>
              </w:rPr>
              <w:t>《安全生产考核合格证书》</w:t>
            </w:r>
            <w:r>
              <w:rPr>
                <w:rFonts w:hint="eastAsia" w:ascii="Times New Roman" w:hAnsi="Times New Roman" w:cs="宋体"/>
                <w:color w:val="auto"/>
                <w:szCs w:val="21"/>
              </w:rPr>
              <w:t>（B证）；（投标文件中提供相关证书证明材料）</w:t>
            </w:r>
          </w:p>
          <w:p w14:paraId="136D61BE">
            <w:pPr>
              <w:widowControl w:val="0"/>
              <w:shd w:val="clear"/>
              <w:spacing w:before="120" w:beforeLines="50" w:line="360" w:lineRule="auto"/>
              <w:jc w:val="both"/>
              <w:rPr>
                <w:rFonts w:ascii="宋体" w:hAnsi="宋体" w:cs="宋体"/>
                <w:bCs/>
                <w:color w:val="auto"/>
                <w:szCs w:val="21"/>
              </w:rPr>
            </w:pPr>
            <w:r>
              <w:rPr>
                <w:rFonts w:hint="eastAsia" w:ascii="宋体" w:hAnsi="宋体" w:cs="宋体"/>
                <w:b/>
                <w:color w:val="auto"/>
                <w:szCs w:val="21"/>
              </w:rPr>
              <w:t>▲</w:t>
            </w:r>
            <w:r>
              <w:rPr>
                <w:rFonts w:hint="eastAsia" w:cs="宋体"/>
                <w:color w:val="auto"/>
                <w:szCs w:val="21"/>
              </w:rPr>
              <w:t>2</w:t>
            </w:r>
            <w:r>
              <w:rPr>
                <w:rFonts w:cs="宋体"/>
                <w:color w:val="auto"/>
                <w:szCs w:val="21"/>
              </w:rPr>
              <w:t>、</w:t>
            </w:r>
            <w:r>
              <w:rPr>
                <w:rFonts w:hint="eastAsia" w:cs="宋体"/>
                <w:color w:val="auto"/>
                <w:szCs w:val="21"/>
              </w:rPr>
              <w:t>项目专职安全员1名：具备有效的《安全生产考核合格证书》（C证）</w:t>
            </w:r>
            <w:r>
              <w:rPr>
                <w:rFonts w:hint="eastAsia" w:ascii="宋体" w:hAnsi="宋体" w:cs="宋体"/>
                <w:bCs/>
                <w:color w:val="auto"/>
                <w:szCs w:val="21"/>
              </w:rPr>
              <w:t>。</w:t>
            </w:r>
            <w:r>
              <w:rPr>
                <w:rFonts w:hint="eastAsia" w:ascii="Times New Roman" w:hAnsi="Times New Roman" w:cs="宋体"/>
                <w:color w:val="auto"/>
                <w:szCs w:val="21"/>
              </w:rPr>
              <w:t>（投标文件中提供相关证书证明材料）</w:t>
            </w:r>
          </w:p>
        </w:tc>
        <w:tc>
          <w:tcPr>
            <w:tcW w:w="2693" w:type="dxa"/>
            <w:vAlign w:val="center"/>
          </w:tcPr>
          <w:p w14:paraId="4C6D1745">
            <w:pPr>
              <w:widowControl w:val="0"/>
              <w:shd w:val="clear"/>
              <w:spacing w:line="360" w:lineRule="auto"/>
              <w:jc w:val="center"/>
              <w:rPr>
                <w:rFonts w:asciiTheme="minorEastAsia" w:hAnsiTheme="minorEastAsia" w:eastAsiaTheme="minorEastAsia" w:cstheme="minorEastAsia"/>
                <w:b/>
                <w:color w:val="auto"/>
                <w:kern w:val="0"/>
                <w:sz w:val="32"/>
                <w:szCs w:val="32"/>
              </w:rPr>
            </w:pPr>
          </w:p>
        </w:tc>
      </w:tr>
    </w:tbl>
    <w:p w14:paraId="3554AA92">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（三）项目部分要求前附表响应表</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2ECA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8B81CE7">
            <w:pPr>
              <w:widowControl w:val="0"/>
              <w:shd w:val="clear"/>
              <w:spacing w:line="360" w:lineRule="auto"/>
              <w:jc w:val="center"/>
              <w:rPr>
                <w:rFonts w:ascii="宋体" w:hAnsi="宋体" w:cs="宋体"/>
                <w:color w:val="auto"/>
                <w:szCs w:val="21"/>
              </w:rPr>
            </w:pPr>
            <w:r>
              <w:rPr>
                <w:color w:val="auto"/>
                <w:szCs w:val="21"/>
              </w:rPr>
              <w:t>序号</w:t>
            </w:r>
          </w:p>
        </w:tc>
        <w:tc>
          <w:tcPr>
            <w:tcW w:w="3669" w:type="dxa"/>
            <w:vAlign w:val="center"/>
          </w:tcPr>
          <w:p w14:paraId="7D24BCC1">
            <w:pPr>
              <w:widowControl w:val="0"/>
              <w:shd w:val="clear"/>
              <w:spacing w:line="360" w:lineRule="auto"/>
              <w:jc w:val="center"/>
              <w:rPr>
                <w:rFonts w:ascii="宋体" w:hAnsi="宋体" w:cs="宋体"/>
                <w:color w:val="auto"/>
                <w:szCs w:val="21"/>
              </w:rPr>
            </w:pPr>
            <w:r>
              <w:rPr>
                <w:color w:val="auto"/>
                <w:szCs w:val="21"/>
              </w:rPr>
              <w:t>项目内容</w:t>
            </w:r>
          </w:p>
        </w:tc>
        <w:tc>
          <w:tcPr>
            <w:tcW w:w="3103" w:type="dxa"/>
            <w:vAlign w:val="center"/>
          </w:tcPr>
          <w:p w14:paraId="6D17248D">
            <w:pPr>
              <w:widowControl w:val="0"/>
              <w:shd w:val="clear"/>
              <w:spacing w:line="360" w:lineRule="auto"/>
              <w:jc w:val="center"/>
              <w:rPr>
                <w:rFonts w:ascii="宋体" w:hAnsi="宋体" w:cs="宋体"/>
                <w:color w:val="auto"/>
                <w:szCs w:val="21"/>
              </w:rPr>
            </w:pPr>
            <w:r>
              <w:rPr>
                <w:color w:val="auto"/>
                <w:szCs w:val="21"/>
              </w:rPr>
              <w:t>说明与要求</w:t>
            </w:r>
          </w:p>
        </w:tc>
        <w:tc>
          <w:tcPr>
            <w:tcW w:w="1541" w:type="dxa"/>
            <w:vAlign w:val="center"/>
          </w:tcPr>
          <w:p w14:paraId="3E0962D5">
            <w:pPr>
              <w:widowControl w:val="0"/>
              <w:shd w:val="clear"/>
              <w:spacing w:line="360" w:lineRule="auto"/>
              <w:jc w:val="center"/>
              <w:rPr>
                <w:rFonts w:ascii="宋体" w:hAnsi="宋体" w:cs="宋体"/>
                <w:color w:val="auto"/>
                <w:szCs w:val="21"/>
              </w:rPr>
            </w:pPr>
            <w:r>
              <w:rPr>
                <w:rFonts w:hint="eastAsia"/>
                <w:color w:val="auto"/>
                <w:szCs w:val="21"/>
              </w:rPr>
              <w:t>供应商响应</w:t>
            </w:r>
          </w:p>
        </w:tc>
      </w:tr>
      <w:tr w14:paraId="40CA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033F973">
            <w:pPr>
              <w:widowControl w:val="0"/>
              <w:shd w:val="clear"/>
              <w:spacing w:line="360" w:lineRule="auto"/>
              <w:jc w:val="center"/>
              <w:rPr>
                <w:rFonts w:ascii="宋体" w:hAnsi="宋体" w:cs="宋体"/>
                <w:color w:val="auto"/>
                <w:szCs w:val="21"/>
              </w:rPr>
            </w:pPr>
            <w:r>
              <w:rPr>
                <w:rFonts w:ascii="Times New Roman" w:hAnsi="Times New Roman"/>
                <w:color w:val="auto"/>
                <w:szCs w:val="21"/>
              </w:rPr>
              <w:t>1</w:t>
            </w:r>
          </w:p>
        </w:tc>
        <w:tc>
          <w:tcPr>
            <w:tcW w:w="3669" w:type="dxa"/>
            <w:vAlign w:val="center"/>
          </w:tcPr>
          <w:p w14:paraId="2975B61F">
            <w:pPr>
              <w:widowControl w:val="0"/>
              <w:shd w:val="clear"/>
              <w:spacing w:line="360" w:lineRule="auto"/>
              <w:jc w:val="center"/>
              <w:rPr>
                <w:rFonts w:ascii="宋体" w:hAnsi="宋体" w:cs="宋体"/>
                <w:color w:val="auto"/>
                <w:szCs w:val="21"/>
              </w:rPr>
            </w:pPr>
            <w:r>
              <w:rPr>
                <w:color w:val="auto"/>
                <w:szCs w:val="21"/>
              </w:rPr>
              <w:t>施工准备时间</w:t>
            </w:r>
          </w:p>
        </w:tc>
        <w:tc>
          <w:tcPr>
            <w:tcW w:w="3103" w:type="dxa"/>
            <w:vAlign w:val="center"/>
          </w:tcPr>
          <w:p w14:paraId="73F10A29">
            <w:pPr>
              <w:widowControl w:val="0"/>
              <w:shd w:val="clear"/>
              <w:spacing w:line="360" w:lineRule="auto"/>
              <w:jc w:val="center"/>
              <w:rPr>
                <w:rFonts w:ascii="宋体" w:hAnsi="宋体" w:cs="宋体"/>
                <w:color w:val="auto"/>
                <w:szCs w:val="21"/>
              </w:rPr>
            </w:pPr>
            <w:r>
              <w:rPr>
                <w:rFonts w:hint="eastAsia" w:ascii="宋体"/>
                <w:color w:val="auto"/>
                <w:szCs w:val="21"/>
              </w:rPr>
              <w:t>签订合同后 7 天</w:t>
            </w:r>
          </w:p>
        </w:tc>
        <w:tc>
          <w:tcPr>
            <w:tcW w:w="1541" w:type="dxa"/>
            <w:vAlign w:val="center"/>
          </w:tcPr>
          <w:p w14:paraId="6F984D96">
            <w:pPr>
              <w:widowControl w:val="0"/>
              <w:shd w:val="clear"/>
              <w:spacing w:line="360" w:lineRule="auto"/>
              <w:jc w:val="center"/>
              <w:rPr>
                <w:rFonts w:ascii="宋体" w:hAnsi="宋体" w:cs="宋体"/>
                <w:color w:val="auto"/>
                <w:szCs w:val="21"/>
              </w:rPr>
            </w:pPr>
          </w:p>
        </w:tc>
      </w:tr>
      <w:tr w14:paraId="5760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 w:type="dxa"/>
            <w:vAlign w:val="center"/>
          </w:tcPr>
          <w:p w14:paraId="0110EBFD">
            <w:pPr>
              <w:widowControl w:val="0"/>
              <w:shd w:val="clear"/>
              <w:spacing w:line="360" w:lineRule="auto"/>
              <w:jc w:val="center"/>
              <w:rPr>
                <w:rFonts w:ascii="宋体" w:hAnsi="宋体" w:cs="宋体"/>
                <w:color w:val="auto"/>
                <w:szCs w:val="21"/>
              </w:rPr>
            </w:pPr>
            <w:r>
              <w:rPr>
                <w:rFonts w:ascii="Times New Roman" w:hAnsi="Times New Roman"/>
                <w:color w:val="auto"/>
                <w:szCs w:val="21"/>
              </w:rPr>
              <w:t>2</w:t>
            </w:r>
          </w:p>
        </w:tc>
        <w:tc>
          <w:tcPr>
            <w:tcW w:w="3669" w:type="dxa"/>
            <w:vAlign w:val="center"/>
          </w:tcPr>
          <w:p w14:paraId="12FE7559">
            <w:pPr>
              <w:widowControl w:val="0"/>
              <w:shd w:val="clear"/>
              <w:snapToGrid w:val="0"/>
              <w:spacing w:line="360" w:lineRule="auto"/>
              <w:jc w:val="center"/>
              <w:rPr>
                <w:rFonts w:ascii="宋体" w:hAnsi="宋体" w:cs="宋体"/>
                <w:color w:val="auto"/>
                <w:szCs w:val="21"/>
              </w:rPr>
            </w:pPr>
            <w:r>
              <w:rPr>
                <w:color w:val="auto"/>
                <w:szCs w:val="21"/>
              </w:rPr>
              <w:t>延误合同工期赔偿标准</w:t>
            </w:r>
          </w:p>
        </w:tc>
        <w:tc>
          <w:tcPr>
            <w:tcW w:w="3103" w:type="dxa"/>
            <w:vAlign w:val="center"/>
          </w:tcPr>
          <w:p w14:paraId="0AD2888C">
            <w:pPr>
              <w:widowControl w:val="0"/>
              <w:shd w:val="clear"/>
              <w:snapToGrid w:val="0"/>
              <w:spacing w:line="360" w:lineRule="auto"/>
              <w:jc w:val="center"/>
              <w:rPr>
                <w:rFonts w:ascii="宋体" w:hAnsi="宋体" w:cs="宋体"/>
                <w:color w:val="auto"/>
                <w:szCs w:val="21"/>
              </w:rPr>
            </w:pPr>
            <w:r>
              <w:rPr>
                <w:rFonts w:hint="eastAsia" w:ascii="宋体"/>
                <w:color w:val="auto"/>
                <w:szCs w:val="21"/>
              </w:rPr>
              <w:t>1000 元/天</w:t>
            </w:r>
          </w:p>
        </w:tc>
        <w:tc>
          <w:tcPr>
            <w:tcW w:w="1541" w:type="dxa"/>
            <w:vAlign w:val="center"/>
          </w:tcPr>
          <w:p w14:paraId="1C49F3C6">
            <w:pPr>
              <w:widowControl w:val="0"/>
              <w:shd w:val="clear"/>
              <w:spacing w:line="360" w:lineRule="auto"/>
              <w:jc w:val="center"/>
              <w:rPr>
                <w:rFonts w:ascii="宋体" w:hAnsi="宋体" w:cs="宋体"/>
                <w:color w:val="auto"/>
                <w:szCs w:val="21"/>
              </w:rPr>
            </w:pPr>
          </w:p>
        </w:tc>
      </w:tr>
      <w:tr w14:paraId="333A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F6D2B41">
            <w:pPr>
              <w:widowControl w:val="0"/>
              <w:shd w:val="clear"/>
              <w:spacing w:line="360" w:lineRule="auto"/>
              <w:jc w:val="center"/>
              <w:rPr>
                <w:rFonts w:ascii="宋体" w:hAnsi="宋体" w:cs="宋体"/>
                <w:color w:val="auto"/>
                <w:szCs w:val="21"/>
              </w:rPr>
            </w:pPr>
            <w:r>
              <w:rPr>
                <w:rFonts w:ascii="Times New Roman" w:hAnsi="Times New Roman"/>
                <w:color w:val="auto"/>
                <w:szCs w:val="21"/>
              </w:rPr>
              <w:t>3</w:t>
            </w:r>
          </w:p>
        </w:tc>
        <w:tc>
          <w:tcPr>
            <w:tcW w:w="3669" w:type="dxa"/>
            <w:vAlign w:val="center"/>
          </w:tcPr>
          <w:p w14:paraId="2E471A8B">
            <w:pPr>
              <w:widowControl w:val="0"/>
              <w:shd w:val="clear"/>
              <w:snapToGrid w:val="0"/>
              <w:spacing w:line="360" w:lineRule="auto"/>
              <w:jc w:val="center"/>
              <w:rPr>
                <w:rFonts w:ascii="宋体" w:hAnsi="宋体" w:cs="宋体"/>
                <w:color w:val="auto"/>
                <w:szCs w:val="21"/>
              </w:rPr>
            </w:pPr>
            <w:r>
              <w:rPr>
                <w:rFonts w:hint="eastAsia" w:ascii="宋体"/>
                <w:color w:val="auto"/>
                <w:szCs w:val="21"/>
              </w:rPr>
              <w:t>未达到工程工期违约金限额</w:t>
            </w:r>
          </w:p>
        </w:tc>
        <w:tc>
          <w:tcPr>
            <w:tcW w:w="3103" w:type="dxa"/>
            <w:vAlign w:val="center"/>
          </w:tcPr>
          <w:p w14:paraId="6AE324A1">
            <w:pPr>
              <w:widowControl w:val="0"/>
              <w:shd w:val="clear"/>
              <w:snapToGrid w:val="0"/>
              <w:spacing w:line="360" w:lineRule="auto"/>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2 </w:t>
            </w:r>
            <w:r>
              <w:rPr>
                <w:rFonts w:hint="eastAsia" w:ascii="宋体"/>
                <w:color w:val="auto"/>
                <w:szCs w:val="21"/>
              </w:rPr>
              <w:t>%</w:t>
            </w:r>
          </w:p>
        </w:tc>
        <w:tc>
          <w:tcPr>
            <w:tcW w:w="1541" w:type="dxa"/>
            <w:vAlign w:val="center"/>
          </w:tcPr>
          <w:p w14:paraId="4CBB8F38">
            <w:pPr>
              <w:widowControl w:val="0"/>
              <w:shd w:val="clear"/>
              <w:spacing w:line="360" w:lineRule="auto"/>
              <w:jc w:val="center"/>
              <w:rPr>
                <w:rFonts w:ascii="宋体" w:hAnsi="宋体" w:cs="宋体"/>
                <w:color w:val="auto"/>
                <w:szCs w:val="21"/>
              </w:rPr>
            </w:pPr>
          </w:p>
        </w:tc>
      </w:tr>
      <w:tr w14:paraId="43BB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B58824B">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4</w:t>
            </w:r>
          </w:p>
        </w:tc>
        <w:tc>
          <w:tcPr>
            <w:tcW w:w="3669" w:type="dxa"/>
            <w:vAlign w:val="center"/>
          </w:tcPr>
          <w:p w14:paraId="1B691885">
            <w:pPr>
              <w:widowControl w:val="0"/>
              <w:shd w:val="clear"/>
              <w:spacing w:line="350" w:lineRule="exact"/>
              <w:jc w:val="center"/>
              <w:rPr>
                <w:rFonts w:ascii="宋体"/>
                <w:color w:val="auto"/>
                <w:szCs w:val="21"/>
              </w:rPr>
            </w:pPr>
            <w:r>
              <w:rPr>
                <w:rFonts w:hint="eastAsia" w:ascii="宋体"/>
                <w:color w:val="auto"/>
                <w:szCs w:val="21"/>
              </w:rPr>
              <w:t>未达到工程质量验收标准违约金限额</w:t>
            </w:r>
          </w:p>
        </w:tc>
        <w:tc>
          <w:tcPr>
            <w:tcW w:w="3103" w:type="dxa"/>
            <w:vAlign w:val="center"/>
          </w:tcPr>
          <w:p w14:paraId="68A41329">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73097097">
            <w:pPr>
              <w:widowControl w:val="0"/>
              <w:shd w:val="clear"/>
              <w:spacing w:line="360" w:lineRule="auto"/>
              <w:jc w:val="center"/>
              <w:rPr>
                <w:rFonts w:ascii="宋体" w:hAnsi="宋体" w:cs="宋体"/>
                <w:color w:val="auto"/>
                <w:szCs w:val="21"/>
              </w:rPr>
            </w:pPr>
          </w:p>
        </w:tc>
      </w:tr>
      <w:tr w14:paraId="2B74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D2BD394">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5</w:t>
            </w:r>
          </w:p>
        </w:tc>
        <w:tc>
          <w:tcPr>
            <w:tcW w:w="3669" w:type="dxa"/>
            <w:vAlign w:val="center"/>
          </w:tcPr>
          <w:p w14:paraId="7FF3DE17">
            <w:pPr>
              <w:widowControl w:val="0"/>
              <w:shd w:val="clear"/>
              <w:spacing w:line="350" w:lineRule="exact"/>
              <w:jc w:val="center"/>
              <w:rPr>
                <w:rFonts w:ascii="宋体"/>
                <w:color w:val="auto"/>
                <w:szCs w:val="21"/>
              </w:rPr>
            </w:pPr>
            <w:r>
              <w:rPr>
                <w:rFonts w:hint="eastAsia" w:ascii="宋体"/>
                <w:color w:val="auto"/>
                <w:szCs w:val="21"/>
              </w:rPr>
              <w:t>未履行安全文明施工承诺违约金限额</w:t>
            </w:r>
          </w:p>
        </w:tc>
        <w:tc>
          <w:tcPr>
            <w:tcW w:w="3103" w:type="dxa"/>
            <w:vAlign w:val="center"/>
          </w:tcPr>
          <w:p w14:paraId="611A5E93">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32CF6C7E">
            <w:pPr>
              <w:widowControl w:val="0"/>
              <w:shd w:val="clear"/>
              <w:spacing w:line="360" w:lineRule="auto"/>
              <w:jc w:val="center"/>
              <w:rPr>
                <w:rFonts w:ascii="宋体" w:hAnsi="宋体" w:cs="宋体"/>
                <w:color w:val="auto"/>
                <w:szCs w:val="21"/>
              </w:rPr>
            </w:pPr>
          </w:p>
        </w:tc>
      </w:tr>
      <w:tr w14:paraId="5A08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40A33E6">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6</w:t>
            </w:r>
          </w:p>
        </w:tc>
        <w:tc>
          <w:tcPr>
            <w:tcW w:w="3669" w:type="dxa"/>
            <w:vAlign w:val="center"/>
          </w:tcPr>
          <w:p w14:paraId="64C197BA">
            <w:pPr>
              <w:widowControl w:val="0"/>
              <w:shd w:val="clear"/>
              <w:spacing w:line="350" w:lineRule="exact"/>
              <w:jc w:val="center"/>
              <w:rPr>
                <w:rFonts w:ascii="宋体" w:hAnsi="宋体" w:cs="宋体"/>
                <w:color w:val="auto"/>
                <w:szCs w:val="21"/>
              </w:rPr>
            </w:pPr>
            <w:r>
              <w:rPr>
                <w:rFonts w:hint="eastAsia" w:ascii="宋体"/>
                <w:color w:val="auto"/>
                <w:szCs w:val="21"/>
              </w:rPr>
              <w:t>未履行项目经理及主要施工管理人员到场承诺违约金限额（项目经理到场率80%以上）</w:t>
            </w:r>
          </w:p>
        </w:tc>
        <w:tc>
          <w:tcPr>
            <w:tcW w:w="3103" w:type="dxa"/>
            <w:vAlign w:val="center"/>
          </w:tcPr>
          <w:p w14:paraId="448521FF">
            <w:pPr>
              <w:widowControl w:val="0"/>
              <w:shd w:val="clear"/>
              <w:spacing w:line="350" w:lineRule="exact"/>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2CBF16B4">
            <w:pPr>
              <w:widowControl w:val="0"/>
              <w:shd w:val="clear"/>
              <w:spacing w:line="360" w:lineRule="auto"/>
              <w:jc w:val="center"/>
              <w:rPr>
                <w:rFonts w:ascii="宋体" w:hAnsi="宋体" w:cs="宋体"/>
                <w:color w:val="auto"/>
                <w:szCs w:val="21"/>
              </w:rPr>
            </w:pPr>
          </w:p>
        </w:tc>
      </w:tr>
      <w:tr w14:paraId="3B2F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8BD27B8">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7</w:t>
            </w:r>
          </w:p>
        </w:tc>
        <w:tc>
          <w:tcPr>
            <w:tcW w:w="3669" w:type="dxa"/>
            <w:vAlign w:val="center"/>
          </w:tcPr>
          <w:p w14:paraId="2BF54A2B">
            <w:pPr>
              <w:widowControl w:val="0"/>
              <w:shd w:val="clear"/>
              <w:spacing w:line="350" w:lineRule="exact"/>
              <w:jc w:val="center"/>
              <w:rPr>
                <w:rFonts w:ascii="宋体" w:hAnsi="宋体" w:cs="宋体"/>
                <w:color w:val="auto"/>
                <w:szCs w:val="21"/>
              </w:rPr>
            </w:pPr>
            <w:r>
              <w:rPr>
                <w:rFonts w:hint="eastAsia" w:ascii="宋体"/>
                <w:color w:val="auto"/>
                <w:szCs w:val="21"/>
              </w:rPr>
              <w:t>安全文明费、提前竣工增加费、其它施工组织措施费</w:t>
            </w:r>
          </w:p>
        </w:tc>
        <w:tc>
          <w:tcPr>
            <w:tcW w:w="3103" w:type="dxa"/>
            <w:vAlign w:val="center"/>
          </w:tcPr>
          <w:p w14:paraId="6DC82A16">
            <w:pPr>
              <w:widowControl w:val="0"/>
              <w:shd w:val="clear"/>
              <w:spacing w:line="350" w:lineRule="exact"/>
              <w:jc w:val="center"/>
              <w:rPr>
                <w:rFonts w:ascii="宋体" w:hAnsi="宋体" w:cs="宋体"/>
                <w:color w:val="auto"/>
                <w:szCs w:val="21"/>
              </w:rPr>
            </w:pPr>
            <w:r>
              <w:rPr>
                <w:rFonts w:hint="eastAsia" w:ascii="宋体"/>
                <w:color w:val="auto"/>
                <w:szCs w:val="21"/>
              </w:rPr>
              <w:t>安全文明施工费按市区一般工程考虑，标化工地增加费、提前竣工增加费、二次搬运费、行车、行人干扰增加费及其他项目费不计取</w:t>
            </w:r>
          </w:p>
        </w:tc>
        <w:tc>
          <w:tcPr>
            <w:tcW w:w="1541" w:type="dxa"/>
            <w:vAlign w:val="center"/>
          </w:tcPr>
          <w:p w14:paraId="55B412CD">
            <w:pPr>
              <w:widowControl w:val="0"/>
              <w:shd w:val="clear"/>
              <w:spacing w:line="360" w:lineRule="auto"/>
              <w:jc w:val="center"/>
              <w:rPr>
                <w:rFonts w:ascii="宋体" w:hAnsi="宋体" w:cs="宋体"/>
                <w:color w:val="auto"/>
                <w:szCs w:val="21"/>
              </w:rPr>
            </w:pPr>
          </w:p>
        </w:tc>
      </w:tr>
      <w:tr w14:paraId="4B94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20C38F33">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8</w:t>
            </w:r>
          </w:p>
        </w:tc>
        <w:tc>
          <w:tcPr>
            <w:tcW w:w="3669" w:type="dxa"/>
          </w:tcPr>
          <w:p w14:paraId="43C48734">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w:t>
            </w:r>
            <w:r>
              <w:rPr>
                <w:rFonts w:hint="eastAsia" w:ascii="Times New Roman"/>
                <w:color w:val="auto"/>
                <w:szCs w:val="21"/>
              </w:rPr>
              <w:t>采购文件</w:t>
            </w:r>
            <w:r>
              <w:rPr>
                <w:rFonts w:ascii="Times New Roman"/>
                <w:color w:val="auto"/>
                <w:szCs w:val="21"/>
              </w:rPr>
              <w:t>其它内容</w:t>
            </w:r>
          </w:p>
        </w:tc>
        <w:tc>
          <w:tcPr>
            <w:tcW w:w="3103" w:type="dxa"/>
          </w:tcPr>
          <w:p w14:paraId="23613209">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64C0AFB1">
            <w:pPr>
              <w:widowControl w:val="0"/>
              <w:shd w:val="clear"/>
              <w:spacing w:before="120" w:beforeLines="50" w:line="360" w:lineRule="auto"/>
              <w:jc w:val="center"/>
              <w:rPr>
                <w:rFonts w:ascii="宋体" w:hAnsi="宋体" w:cs="宋体"/>
                <w:color w:val="auto"/>
                <w:szCs w:val="21"/>
              </w:rPr>
            </w:pPr>
          </w:p>
        </w:tc>
      </w:tr>
      <w:tr w14:paraId="6748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B7E9E32">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9</w:t>
            </w:r>
          </w:p>
        </w:tc>
        <w:tc>
          <w:tcPr>
            <w:tcW w:w="3669" w:type="dxa"/>
          </w:tcPr>
          <w:p w14:paraId="5A72A95E">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是否同意合同条款及合同附件格式</w:t>
            </w:r>
          </w:p>
        </w:tc>
        <w:tc>
          <w:tcPr>
            <w:tcW w:w="3103" w:type="dxa"/>
          </w:tcPr>
          <w:p w14:paraId="6CDA6CEA">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54F0D51F">
            <w:pPr>
              <w:widowControl w:val="0"/>
              <w:shd w:val="clear"/>
              <w:spacing w:before="120" w:beforeLines="50" w:line="360" w:lineRule="auto"/>
              <w:jc w:val="center"/>
              <w:rPr>
                <w:rFonts w:ascii="宋体" w:hAnsi="宋体" w:cs="宋体"/>
                <w:color w:val="auto"/>
                <w:szCs w:val="21"/>
              </w:rPr>
            </w:pPr>
          </w:p>
        </w:tc>
      </w:tr>
    </w:tbl>
    <w:p w14:paraId="6D52976B">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▲注：“供应商响应”一栏中必须填写“同意”，否则其响应文件将被否决。</w:t>
      </w:r>
    </w:p>
    <w:p w14:paraId="434AB4B6">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78E73B54">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02EEE9E4">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7923EEF7">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rPr>
        <w:br w:type="page"/>
      </w:r>
      <w:r>
        <w:rPr>
          <w:rFonts w:hint="eastAsia" w:asciiTheme="minorEastAsia" w:hAnsiTheme="minorEastAsia" w:eastAsiaTheme="minorEastAsia" w:cstheme="minorEastAsia"/>
          <w:b/>
          <w:color w:val="auto"/>
          <w:kern w:val="0"/>
          <w:sz w:val="32"/>
          <w:szCs w:val="32"/>
        </w:rPr>
        <w:t>同类业绩情况一览表</w:t>
      </w:r>
    </w:p>
    <w:p w14:paraId="6E9EECF9">
      <w:pPr>
        <w:shd w:val="clear"/>
        <w:spacing w:line="360" w:lineRule="auto"/>
        <w:jc w:val="center"/>
        <w:rPr>
          <w:rFonts w:asciiTheme="minorEastAsia" w:hAnsiTheme="minorEastAsia" w:eastAsiaTheme="minorEastAsia" w:cstheme="minorEastAsia"/>
          <w:color w:val="auto"/>
        </w:rPr>
      </w:pPr>
    </w:p>
    <w:tbl>
      <w:tblPr>
        <w:tblStyle w:val="27"/>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53FFE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72014CD6">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7A89016F">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采购单位名称</w:t>
            </w:r>
          </w:p>
        </w:tc>
        <w:tc>
          <w:tcPr>
            <w:tcW w:w="1701" w:type="dxa"/>
            <w:tcBorders>
              <w:top w:val="single" w:color="auto" w:sz="4" w:space="0"/>
              <w:left w:val="single" w:color="auto" w:sz="4" w:space="0"/>
              <w:right w:val="single" w:color="auto" w:sz="4" w:space="0"/>
            </w:tcBorders>
            <w:vAlign w:val="center"/>
          </w:tcPr>
          <w:p w14:paraId="63B361C4">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4A15065D">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合同金额</w:t>
            </w:r>
          </w:p>
          <w:p w14:paraId="2FE4BAFD">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313FFF46">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2F117607">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合同签订时间</w:t>
            </w:r>
          </w:p>
        </w:tc>
      </w:tr>
      <w:tr w14:paraId="7B2D1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251065A">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1829" w:type="dxa"/>
            <w:tcBorders>
              <w:top w:val="single" w:color="auto" w:sz="4" w:space="0"/>
              <w:left w:val="single" w:color="auto" w:sz="4" w:space="0"/>
              <w:bottom w:val="single" w:color="auto" w:sz="4" w:space="0"/>
              <w:right w:val="single" w:color="auto" w:sz="4" w:space="0"/>
            </w:tcBorders>
            <w:vAlign w:val="center"/>
          </w:tcPr>
          <w:p w14:paraId="1074EDAE">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58DD30B">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5EE252B2">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412684E">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4582C0DF">
            <w:pPr>
              <w:shd w:val="clear"/>
              <w:spacing w:line="360" w:lineRule="auto"/>
              <w:rPr>
                <w:rFonts w:asciiTheme="minorEastAsia" w:hAnsiTheme="minorEastAsia" w:eastAsiaTheme="minorEastAsia" w:cstheme="minorEastAsia"/>
                <w:color w:val="auto"/>
                <w:kern w:val="0"/>
                <w:sz w:val="24"/>
              </w:rPr>
            </w:pPr>
          </w:p>
        </w:tc>
      </w:tr>
      <w:tr w14:paraId="1769C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A47EE49">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1829" w:type="dxa"/>
            <w:tcBorders>
              <w:top w:val="single" w:color="auto" w:sz="4" w:space="0"/>
              <w:left w:val="single" w:color="auto" w:sz="4" w:space="0"/>
              <w:bottom w:val="single" w:color="auto" w:sz="4" w:space="0"/>
              <w:right w:val="single" w:color="auto" w:sz="4" w:space="0"/>
            </w:tcBorders>
            <w:vAlign w:val="center"/>
          </w:tcPr>
          <w:p w14:paraId="20CEA262">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41337F7">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3533C19D">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D39AEEC">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45152F5">
            <w:pPr>
              <w:shd w:val="clear"/>
              <w:spacing w:line="360" w:lineRule="auto"/>
              <w:rPr>
                <w:rFonts w:asciiTheme="minorEastAsia" w:hAnsiTheme="minorEastAsia" w:eastAsiaTheme="minorEastAsia" w:cstheme="minorEastAsia"/>
                <w:color w:val="auto"/>
                <w:kern w:val="0"/>
                <w:sz w:val="24"/>
              </w:rPr>
            </w:pPr>
          </w:p>
        </w:tc>
      </w:tr>
      <w:tr w14:paraId="6F580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259F5441">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w:t>
            </w:r>
          </w:p>
        </w:tc>
        <w:tc>
          <w:tcPr>
            <w:tcW w:w="1829" w:type="dxa"/>
            <w:tcBorders>
              <w:top w:val="single" w:color="auto" w:sz="4" w:space="0"/>
              <w:left w:val="single" w:color="auto" w:sz="4" w:space="0"/>
              <w:bottom w:val="single" w:color="auto" w:sz="4" w:space="0"/>
              <w:right w:val="single" w:color="auto" w:sz="4" w:space="0"/>
            </w:tcBorders>
            <w:vAlign w:val="center"/>
          </w:tcPr>
          <w:p w14:paraId="0647036E">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9FE3B8C">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35C6B21B">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E211B71">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17906E7D">
            <w:pPr>
              <w:shd w:val="clear"/>
              <w:spacing w:line="360" w:lineRule="auto"/>
              <w:rPr>
                <w:rFonts w:asciiTheme="minorEastAsia" w:hAnsiTheme="minorEastAsia" w:eastAsiaTheme="minorEastAsia" w:cstheme="minorEastAsia"/>
                <w:color w:val="auto"/>
                <w:kern w:val="0"/>
                <w:sz w:val="24"/>
              </w:rPr>
            </w:pPr>
          </w:p>
        </w:tc>
      </w:tr>
      <w:tr w14:paraId="0A09D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65982E98">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w:t>
            </w:r>
          </w:p>
        </w:tc>
        <w:tc>
          <w:tcPr>
            <w:tcW w:w="1829" w:type="dxa"/>
            <w:tcBorders>
              <w:top w:val="single" w:color="auto" w:sz="4" w:space="0"/>
              <w:left w:val="single" w:color="auto" w:sz="4" w:space="0"/>
              <w:bottom w:val="single" w:color="auto" w:sz="4" w:space="0"/>
              <w:right w:val="single" w:color="auto" w:sz="4" w:space="0"/>
            </w:tcBorders>
            <w:vAlign w:val="center"/>
          </w:tcPr>
          <w:p w14:paraId="123892A9">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D669B94">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64813CE5">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2567E77">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70309B5">
            <w:pPr>
              <w:shd w:val="clear"/>
              <w:spacing w:line="360" w:lineRule="auto"/>
              <w:rPr>
                <w:rFonts w:asciiTheme="minorEastAsia" w:hAnsiTheme="minorEastAsia" w:eastAsiaTheme="minorEastAsia" w:cstheme="minorEastAsia"/>
                <w:color w:val="auto"/>
                <w:kern w:val="0"/>
                <w:sz w:val="24"/>
              </w:rPr>
            </w:pPr>
          </w:p>
        </w:tc>
      </w:tr>
      <w:tr w14:paraId="71A92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595D6894">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w:t>
            </w:r>
          </w:p>
        </w:tc>
        <w:tc>
          <w:tcPr>
            <w:tcW w:w="1829" w:type="dxa"/>
            <w:tcBorders>
              <w:top w:val="single" w:color="auto" w:sz="4" w:space="0"/>
              <w:left w:val="single" w:color="auto" w:sz="4" w:space="0"/>
              <w:bottom w:val="single" w:color="auto" w:sz="4" w:space="0"/>
              <w:right w:val="single" w:color="auto" w:sz="4" w:space="0"/>
            </w:tcBorders>
            <w:vAlign w:val="center"/>
          </w:tcPr>
          <w:p w14:paraId="5CE1919F">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DD4EBF3">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4B5840BC">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C297DEA">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14E5AD8A">
            <w:pPr>
              <w:shd w:val="clear"/>
              <w:spacing w:line="360" w:lineRule="auto"/>
              <w:rPr>
                <w:rFonts w:asciiTheme="minorEastAsia" w:hAnsiTheme="minorEastAsia" w:eastAsiaTheme="minorEastAsia" w:cstheme="minorEastAsia"/>
                <w:color w:val="auto"/>
                <w:kern w:val="0"/>
                <w:sz w:val="24"/>
              </w:rPr>
            </w:pPr>
          </w:p>
        </w:tc>
      </w:tr>
    </w:tbl>
    <w:p w14:paraId="06F20FCE">
      <w:pPr>
        <w:shd w:val="clear"/>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附：评分标准要求的证明材料</w:t>
      </w:r>
    </w:p>
    <w:p w14:paraId="14079A84">
      <w:pPr>
        <w:shd w:val="clear"/>
        <w:spacing w:line="360" w:lineRule="auto"/>
        <w:ind w:firstLine="480"/>
        <w:rPr>
          <w:rFonts w:asciiTheme="minorEastAsia" w:hAnsiTheme="minorEastAsia" w:eastAsiaTheme="minorEastAsia" w:cstheme="minorEastAsia"/>
          <w:color w:val="auto"/>
          <w:kern w:val="0"/>
          <w:sz w:val="24"/>
        </w:rPr>
      </w:pPr>
    </w:p>
    <w:p w14:paraId="5B9C6054">
      <w:pPr>
        <w:shd w:val="clear"/>
        <w:spacing w:line="360" w:lineRule="auto"/>
        <w:ind w:firstLine="480"/>
        <w:rPr>
          <w:rFonts w:asciiTheme="minorEastAsia" w:hAnsiTheme="minorEastAsia" w:eastAsiaTheme="minorEastAsia" w:cstheme="minorEastAsia"/>
          <w:color w:val="auto"/>
          <w:kern w:val="0"/>
          <w:sz w:val="24"/>
        </w:rPr>
      </w:pPr>
    </w:p>
    <w:p w14:paraId="5123D1D5">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02C9E0A6">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5729323B">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14A3A48F">
      <w:pPr>
        <w:shd w:val="clear"/>
        <w:spacing w:line="360" w:lineRule="auto"/>
        <w:ind w:left="4620" w:leftChars="2200" w:firstLine="643"/>
        <w:rPr>
          <w:rFonts w:asciiTheme="minorEastAsia" w:hAnsiTheme="minorEastAsia" w:eastAsiaTheme="minorEastAsia" w:cstheme="minorEastAsia"/>
          <w:b/>
          <w:color w:val="auto"/>
          <w:kern w:val="0"/>
          <w:sz w:val="32"/>
          <w:szCs w:val="32"/>
          <w:lang w:val="zh-CN"/>
        </w:rPr>
      </w:pPr>
    </w:p>
    <w:p w14:paraId="6D3F8D70">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采购供应商廉洁自律承诺书</w:t>
      </w:r>
    </w:p>
    <w:p w14:paraId="35319575">
      <w:pPr>
        <w:shd w:val="clear"/>
        <w:snapToGrid w:val="0"/>
        <w:spacing w:line="360" w:lineRule="auto"/>
        <w:ind w:firstLine="480"/>
        <w:rPr>
          <w:rFonts w:asciiTheme="minorEastAsia" w:hAnsiTheme="minorEastAsia" w:eastAsiaTheme="minorEastAsia" w:cstheme="minorEastAsia"/>
          <w:color w:val="auto"/>
          <w:sz w:val="24"/>
        </w:rPr>
      </w:pPr>
    </w:p>
    <w:p w14:paraId="1CFEC1C9">
      <w:pPr>
        <w:shd w:val="clear"/>
        <w:snapToGrid w:val="0"/>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kern w:val="0"/>
          <w:sz w:val="24"/>
          <w:lang w:val="zh-CN"/>
        </w:rPr>
        <w:t>：</w:t>
      </w:r>
    </w:p>
    <w:p w14:paraId="5F6D0C9B">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我单位响应你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项目磋商要求参加磋商采购活动。在这次采购过程中和成交后，我们将严格遵守国家法律法规要求，并郑重承诺：</w:t>
      </w:r>
    </w:p>
    <w:p w14:paraId="57F1463F">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一、不向项目有关人员及部门赠送礼金礼物、有价证券、回扣以及中介费、介绍费、咨询费等好处费； </w:t>
      </w:r>
    </w:p>
    <w:p w14:paraId="614B6D89">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二、不为项目有关人员及部门报销应由你方单位或个人支付的费用； </w:t>
      </w:r>
    </w:p>
    <w:p w14:paraId="7722E9F4">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三、不向项目有关人员及部门提供有可能影响公正的宴请和健身娱乐等活动； </w:t>
      </w:r>
    </w:p>
    <w:p w14:paraId="5100A3A7">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四、不为项目有关人员及部门出国（境）、旅游等提供方便；</w:t>
      </w:r>
    </w:p>
    <w:p w14:paraId="04AEE7C5">
      <w:pPr>
        <w:shd w:val="clear"/>
        <w:autoSpaceDE w:val="0"/>
        <w:autoSpaceDN w:val="0"/>
        <w:spacing w:line="360" w:lineRule="auto"/>
        <w:ind w:left="481" w:leftChars="229"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五、不为项目有关人员个人装修住房、婚丧嫁娶、配偶子女工作安排等提供</w:t>
      </w:r>
    </w:p>
    <w:p w14:paraId="6F4D2546">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好处；</w:t>
      </w:r>
    </w:p>
    <w:p w14:paraId="1008D9BA">
      <w:pPr>
        <w:shd w:val="clear"/>
        <w:autoSpaceDE w:val="0"/>
        <w:autoSpaceDN w:val="0"/>
        <w:spacing w:line="360" w:lineRule="auto"/>
        <w:ind w:left="481" w:leftChars="229"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六、严格遵守《</w:t>
      </w:r>
      <w:r>
        <w:rPr>
          <w:rFonts w:hint="eastAsia" w:asciiTheme="minorEastAsia" w:hAnsiTheme="minorEastAsia" w:eastAsiaTheme="minorEastAsia" w:cstheme="minorEastAsia"/>
          <w:color w:val="auto"/>
          <w:sz w:val="24"/>
          <w:lang w:val="zh-CN"/>
        </w:rPr>
        <w:t>中华人民共和国</w:t>
      </w:r>
      <w:r>
        <w:rPr>
          <w:rFonts w:hint="eastAsia" w:asciiTheme="minorEastAsia" w:hAnsiTheme="minorEastAsia" w:eastAsiaTheme="minorEastAsia" w:cstheme="minorEastAsia"/>
          <w:color w:val="auto"/>
          <w:kern w:val="0"/>
          <w:sz w:val="24"/>
          <w:lang w:val="zh-CN"/>
        </w:rPr>
        <w:t>政府采购法》</w:t>
      </w:r>
      <w:r>
        <w:rPr>
          <w:rFonts w:hint="eastAsia" w:asciiTheme="minorEastAsia" w:hAnsiTheme="minorEastAsia" w:eastAsiaTheme="minorEastAsia" w:cstheme="minorEastAsia"/>
          <w:color w:val="auto"/>
          <w:sz w:val="24"/>
          <w:lang w:val="zh-CN"/>
        </w:rPr>
        <w:t>《中华人民共和国民法典》</w:t>
      </w:r>
      <w:r>
        <w:rPr>
          <w:rFonts w:hint="eastAsia" w:asciiTheme="minorEastAsia" w:hAnsiTheme="minorEastAsia" w:eastAsiaTheme="minorEastAsia" w:cstheme="minorEastAsia"/>
          <w:color w:val="auto"/>
          <w:kern w:val="0"/>
          <w:sz w:val="24"/>
          <w:lang w:val="zh-CN"/>
        </w:rPr>
        <w:t xml:space="preserve">等法律法规，诚实守信，合法经营，坚决抵制各种违法违纪行为。 </w:t>
      </w:r>
    </w:p>
    <w:p w14:paraId="4559339F">
      <w:pPr>
        <w:shd w:val="clear"/>
        <w:autoSpaceDE w:val="0"/>
        <w:autoSpaceDN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如违反上述承诺，你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进行项目建设或其他经营活动，并通报市财政局。由此引起的相应损失均由我单位承担。</w:t>
      </w:r>
    </w:p>
    <w:p w14:paraId="6507307F">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p>
    <w:p w14:paraId="778F74F2">
      <w:pPr>
        <w:shd w:val="clear"/>
        <w:autoSpaceDE w:val="0"/>
        <w:autoSpaceDN w:val="0"/>
        <w:spacing w:line="360" w:lineRule="auto"/>
        <w:ind w:left="2" w:firstLine="480"/>
        <w:rPr>
          <w:rFonts w:asciiTheme="minorEastAsia" w:hAnsiTheme="minorEastAsia" w:eastAsiaTheme="minorEastAsia" w:cstheme="minorEastAsia"/>
          <w:color w:val="auto"/>
          <w:kern w:val="0"/>
          <w:sz w:val="24"/>
          <w:lang w:val="zh-CN"/>
        </w:rPr>
      </w:pPr>
    </w:p>
    <w:p w14:paraId="114F74DE">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4A5B891D">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2DE49414">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5CA804B3">
      <w:pPr>
        <w:shd w:val="clear"/>
        <w:spacing w:line="360" w:lineRule="auto"/>
        <w:ind w:left="4620" w:leftChars="2200" w:firstLine="480"/>
        <w:rPr>
          <w:rFonts w:asciiTheme="minorEastAsia" w:hAnsiTheme="minorEastAsia" w:eastAsiaTheme="minorEastAsia" w:cstheme="minorEastAsia"/>
          <w:color w:val="auto"/>
          <w:sz w:val="24"/>
        </w:rPr>
      </w:pPr>
    </w:p>
    <w:p w14:paraId="319828CB">
      <w:pPr>
        <w:shd w:val="clear"/>
        <w:spacing w:line="360" w:lineRule="auto"/>
        <w:ind w:firstLine="482"/>
        <w:jc w:val="center"/>
        <w:rPr>
          <w:rFonts w:asciiTheme="minorEastAsia" w:hAnsiTheme="minorEastAsia" w:eastAsiaTheme="minorEastAsia" w:cstheme="minorEastAsia"/>
          <w:b/>
          <w:bCs/>
          <w:color w:val="auto"/>
          <w:sz w:val="24"/>
        </w:rPr>
      </w:pPr>
    </w:p>
    <w:p w14:paraId="2C7F8E08">
      <w:pPr>
        <w:shd w:val="clear"/>
        <w:spacing w:line="360" w:lineRule="auto"/>
        <w:ind w:firstLine="482"/>
        <w:jc w:val="center"/>
        <w:rPr>
          <w:rFonts w:asciiTheme="minorEastAsia" w:hAnsiTheme="minorEastAsia" w:eastAsiaTheme="minorEastAsia" w:cstheme="minorEastAsia"/>
          <w:b/>
          <w:bCs/>
          <w:color w:val="auto"/>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1336B419">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3C24FF5B">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报价文件部分</w:t>
      </w:r>
    </w:p>
    <w:p w14:paraId="4C63FEA7">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38B3A2B8">
      <w:pPr>
        <w:shd w:val="clear"/>
        <w:snapToGrid w:val="0"/>
        <w:spacing w:line="360" w:lineRule="auto"/>
        <w:ind w:firstLine="480" w:firstLineChars="200"/>
        <w:rPr>
          <w:rFonts w:asciiTheme="minorEastAsia" w:hAnsiTheme="minorEastAsia" w:eastAsiaTheme="minorEastAsia" w:cstheme="minorEastAsia"/>
          <w:color w:val="auto"/>
          <w:sz w:val="24"/>
          <w:u w:val="single"/>
          <w:lang w:val="zh-CN"/>
        </w:rPr>
      </w:pPr>
      <w:r>
        <w:rPr>
          <w:rFonts w:hint="eastAsia" w:asciiTheme="minorEastAsia" w:hAnsiTheme="minorEastAsia" w:eastAsiaTheme="minorEastAsia" w:cstheme="minorEastAsia"/>
          <w:color w:val="auto"/>
          <w:sz w:val="24"/>
        </w:rPr>
        <w:t xml:space="preserve"> </w:t>
      </w:r>
    </w:p>
    <w:p w14:paraId="06735FC8">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报价一览表；</w:t>
      </w:r>
    </w:p>
    <w:p w14:paraId="763B093B">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响应报价明细表；</w:t>
      </w:r>
    </w:p>
    <w:p w14:paraId="05684488">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 中小企业声明函（如有）；</w:t>
      </w:r>
    </w:p>
    <w:p w14:paraId="66B93C63">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 残疾人福利性单位声明函（如有）；</w:t>
      </w:r>
    </w:p>
    <w:p w14:paraId="718C0EDC">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 监狱企业的证明文件（如有）；</w:t>
      </w:r>
    </w:p>
    <w:p w14:paraId="0200B854">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6采购统计基础信息表；</w:t>
      </w:r>
    </w:p>
    <w:p w14:paraId="38760854">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 其他资料（如有）。</w:t>
      </w:r>
    </w:p>
    <w:p w14:paraId="04FA1410">
      <w:pPr>
        <w:shd w:val="clear"/>
        <w:snapToGrid w:val="0"/>
        <w:spacing w:line="360" w:lineRule="auto"/>
        <w:ind w:right="480" w:firstLine="643"/>
        <w:rPr>
          <w:rFonts w:asciiTheme="minorEastAsia" w:hAnsiTheme="minorEastAsia" w:eastAsiaTheme="minorEastAsia" w:cstheme="minorEastAsia"/>
          <w:b/>
          <w:color w:val="auto"/>
          <w:kern w:val="0"/>
          <w:sz w:val="32"/>
          <w:szCs w:val="32"/>
        </w:rPr>
      </w:pPr>
    </w:p>
    <w:p w14:paraId="4BEF0F7F">
      <w:pPr>
        <w:pStyle w:val="44"/>
        <w:keepNext w:val="0"/>
        <w:pageBreakBefore w:val="0"/>
        <w:shd w:val="clear"/>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24C9E936">
      <w:pPr>
        <w:pStyle w:val="44"/>
        <w:keepNext w:val="0"/>
        <w:pageBreakBefore w:val="0"/>
        <w:shd w:val="clear"/>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一、报价一览表（初次报价表）</w:t>
      </w:r>
    </w:p>
    <w:p w14:paraId="49B74ADD">
      <w:pPr>
        <w:shd w:val="clear"/>
        <w:snapToGrid w:val="0"/>
        <w:spacing w:line="360" w:lineRule="auto"/>
        <w:ind w:firstLine="480"/>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sz w:val="24"/>
        </w:rPr>
        <w:t>（采购人）、（采购代理机构）</w:t>
      </w:r>
      <w:r>
        <w:rPr>
          <w:rFonts w:hint="eastAsia" w:asciiTheme="minorEastAsia" w:hAnsiTheme="minorEastAsia" w:eastAsiaTheme="minorEastAsia" w:cstheme="minorEastAsia"/>
          <w:color w:val="auto"/>
          <w:kern w:val="0"/>
          <w:sz w:val="24"/>
          <w:lang w:val="zh-CN"/>
        </w:rPr>
        <w:t>：</w:t>
      </w:r>
      <w:r>
        <w:rPr>
          <w:rFonts w:hint="eastAsia" w:asciiTheme="minorEastAsia" w:hAnsiTheme="minorEastAsia" w:eastAsiaTheme="minorEastAsia" w:cstheme="minorEastAsia"/>
          <w:color w:val="auto"/>
          <w:kern w:val="0"/>
          <w:sz w:val="24"/>
          <w:u w:val="single"/>
        </w:rPr>
        <w:t xml:space="preserve">                                     </w:t>
      </w:r>
    </w:p>
    <w:p w14:paraId="40A2A996">
      <w:pPr>
        <w:shd w:val="clear"/>
        <w:snapToGrid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rPr>
        <w:t>本项目的实施</w:t>
      </w:r>
      <w:r>
        <w:rPr>
          <w:rFonts w:hint="eastAsia" w:asciiTheme="minorEastAsia" w:hAnsiTheme="minorEastAsia" w:eastAsiaTheme="minorEastAsia" w:cstheme="minorEastAsia"/>
          <w:color w:val="auto"/>
          <w:kern w:val="0"/>
          <w:sz w:val="24"/>
          <w:lang w:val="zh-CN"/>
        </w:rPr>
        <w:t>。</w:t>
      </w:r>
    </w:p>
    <w:tbl>
      <w:tblPr>
        <w:tblStyle w:val="27"/>
        <w:tblpPr w:leftFromText="180" w:rightFromText="180" w:vertAnchor="text" w:horzAnchor="page" w:tblpXSpec="center" w:tblpY="36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2125"/>
        <w:gridCol w:w="2603"/>
      </w:tblGrid>
      <w:tr w14:paraId="5EE7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14:paraId="115EF853">
            <w:pPr>
              <w:shd w:val="clear"/>
              <w:spacing w:line="360" w:lineRule="auto"/>
              <w:ind w:firstLine="482"/>
              <w:jc w:val="center"/>
              <w:rPr>
                <w:rFonts w:ascii="宋体" w:hAnsi="宋体"/>
                <w:b/>
                <w:color w:val="auto"/>
                <w:sz w:val="24"/>
              </w:rPr>
            </w:pPr>
            <w:r>
              <w:rPr>
                <w:rFonts w:ascii="宋体" w:hAnsi="宋体"/>
                <w:b/>
                <w:color w:val="auto"/>
                <w:sz w:val="24"/>
              </w:rPr>
              <w:t>项目名称</w:t>
            </w:r>
          </w:p>
        </w:tc>
        <w:tc>
          <w:tcPr>
            <w:tcW w:w="1247" w:type="pct"/>
          </w:tcPr>
          <w:p w14:paraId="5748F545">
            <w:pPr>
              <w:shd w:val="clear"/>
              <w:spacing w:line="360" w:lineRule="auto"/>
              <w:ind w:firstLine="482"/>
              <w:jc w:val="center"/>
              <w:rPr>
                <w:rFonts w:ascii="宋体" w:hAnsi="宋体"/>
                <w:b/>
                <w:color w:val="auto"/>
                <w:sz w:val="24"/>
              </w:rPr>
            </w:pPr>
            <w:r>
              <w:rPr>
                <w:rFonts w:hint="eastAsia" w:ascii="宋体" w:hAnsi="宋体"/>
                <w:b/>
                <w:color w:val="auto"/>
                <w:sz w:val="24"/>
              </w:rPr>
              <w:t>项目内容</w:t>
            </w:r>
          </w:p>
        </w:tc>
        <w:tc>
          <w:tcPr>
            <w:tcW w:w="1527" w:type="pct"/>
          </w:tcPr>
          <w:p w14:paraId="5A2887E3">
            <w:pPr>
              <w:shd w:val="clear"/>
              <w:spacing w:line="360" w:lineRule="auto"/>
              <w:ind w:firstLine="482"/>
              <w:jc w:val="center"/>
              <w:rPr>
                <w:rFonts w:ascii="宋体" w:hAnsi="宋体"/>
                <w:b/>
                <w:color w:val="auto"/>
                <w:sz w:val="24"/>
              </w:rPr>
            </w:pPr>
            <w:r>
              <w:rPr>
                <w:rFonts w:ascii="宋体" w:hAnsi="宋体"/>
                <w:b/>
                <w:color w:val="auto"/>
                <w:sz w:val="24"/>
              </w:rPr>
              <w:t>磋商报</w:t>
            </w:r>
            <w:r>
              <w:rPr>
                <w:rFonts w:hint="eastAsia" w:ascii="宋体" w:hAnsi="宋体"/>
                <w:b/>
                <w:color w:val="auto"/>
                <w:sz w:val="24"/>
              </w:rPr>
              <w:t>价</w:t>
            </w:r>
          </w:p>
        </w:tc>
      </w:tr>
      <w:tr w14:paraId="2E5D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2226" w:type="pct"/>
            <w:vAlign w:val="center"/>
          </w:tcPr>
          <w:p w14:paraId="0B112FEB">
            <w:pPr>
              <w:shd w:val="clear"/>
              <w:spacing w:line="360" w:lineRule="auto"/>
              <w:rPr>
                <w:rFonts w:ascii="宋体" w:hAnsi="宋体" w:cs="宋体"/>
                <w:color w:val="auto"/>
                <w:kern w:val="1"/>
              </w:rPr>
            </w:pPr>
            <w:r>
              <w:rPr>
                <w:rFonts w:hint="eastAsia" w:ascii="宋体" w:hAnsi="宋体" w:cs="宋体"/>
                <w:bCs/>
                <w:color w:val="auto"/>
                <w:szCs w:val="21"/>
              </w:rPr>
              <w:t>弥勒文化博物馆项目-电力迁改工程（土建部分）</w:t>
            </w:r>
          </w:p>
        </w:tc>
        <w:tc>
          <w:tcPr>
            <w:tcW w:w="1247" w:type="pct"/>
            <w:vAlign w:val="center"/>
          </w:tcPr>
          <w:p w14:paraId="74786435">
            <w:pPr>
              <w:shd w:val="clear"/>
              <w:spacing w:line="360" w:lineRule="auto"/>
              <w:jc w:val="center"/>
              <w:rPr>
                <w:rFonts w:ascii="宋体" w:hAnsi="宋体" w:cs="宋体"/>
                <w:color w:val="auto"/>
                <w:kern w:val="1"/>
              </w:rPr>
            </w:pPr>
            <w:r>
              <w:rPr>
                <w:rFonts w:hint="eastAsia" w:ascii="宋体" w:hAnsi="宋体" w:cs="宋体"/>
                <w:bCs/>
                <w:color w:val="auto"/>
                <w:szCs w:val="21"/>
              </w:rPr>
              <w:t>电力迁改工程（土建部分）</w:t>
            </w:r>
          </w:p>
        </w:tc>
        <w:tc>
          <w:tcPr>
            <w:tcW w:w="1527" w:type="pct"/>
            <w:vAlign w:val="center"/>
          </w:tcPr>
          <w:p w14:paraId="7B5D9220">
            <w:pPr>
              <w:shd w:val="clear"/>
              <w:spacing w:line="360" w:lineRule="auto"/>
              <w:rPr>
                <w:rFonts w:ascii="宋体" w:hAnsi="宋体"/>
                <w:color w:val="auto"/>
                <w:sz w:val="24"/>
              </w:rPr>
            </w:pPr>
            <w:r>
              <w:rPr>
                <w:rFonts w:hint="eastAsia" w:ascii="宋体" w:hAnsi="宋体"/>
                <w:b/>
                <w:color w:val="auto"/>
                <w:sz w:val="24"/>
              </w:rPr>
              <w:t>综合折扣率</w:t>
            </w:r>
            <w:r>
              <w:rPr>
                <w:rFonts w:hint="eastAsia" w:ascii="宋体" w:hAnsi="宋体"/>
                <w:b/>
                <w:color w:val="auto"/>
                <w:sz w:val="24"/>
                <w:u w:val="single"/>
              </w:rPr>
              <w:t xml:space="preserve">     </w:t>
            </w:r>
            <w:r>
              <w:rPr>
                <w:rFonts w:hint="eastAsia" w:ascii="宋体" w:hAnsi="宋体"/>
                <w:b/>
                <w:color w:val="auto"/>
                <w:sz w:val="24"/>
              </w:rPr>
              <w:t>%</w:t>
            </w:r>
          </w:p>
        </w:tc>
      </w:tr>
    </w:tbl>
    <w:p w14:paraId="7D4B3406">
      <w:pPr>
        <w:shd w:val="clear"/>
        <w:spacing w:line="360" w:lineRule="auto"/>
        <w:ind w:firstLine="482"/>
        <w:rPr>
          <w:rFonts w:ascii="宋体" w:hAnsi="宋体"/>
          <w:b/>
          <w:color w:val="auto"/>
          <w:sz w:val="24"/>
        </w:rPr>
      </w:pPr>
      <w:r>
        <w:rPr>
          <w:rFonts w:hint="eastAsia" w:ascii="宋体" w:hAnsi="宋体" w:cs="仿宋"/>
          <w:b/>
          <w:color w:val="auto"/>
          <w:kern w:val="0"/>
          <w:sz w:val="24"/>
          <w:lang w:val="zh-CN"/>
        </w:rPr>
        <w:t>注：</w:t>
      </w:r>
      <w:r>
        <w:rPr>
          <w:rFonts w:hint="eastAsia" w:ascii="宋体" w:hAnsi="宋体"/>
          <w:b/>
          <w:color w:val="auto"/>
          <w:sz w:val="24"/>
        </w:rPr>
        <w:t>1、</w:t>
      </w:r>
      <w:r>
        <w:rPr>
          <w:rFonts w:hint="eastAsia" w:ascii="宋体" w:hAnsi="宋体"/>
          <w:b/>
          <w:color w:val="auto"/>
          <w:sz w:val="24"/>
          <w:u w:val="single"/>
        </w:rPr>
        <w:t>磋商报价折</w:t>
      </w:r>
      <w:r>
        <w:rPr>
          <w:rFonts w:ascii="宋体" w:hAnsi="宋体"/>
          <w:b/>
          <w:color w:val="auto"/>
          <w:sz w:val="24"/>
          <w:u w:val="single"/>
        </w:rPr>
        <w:t>扣</w:t>
      </w:r>
      <w:r>
        <w:rPr>
          <w:rFonts w:hint="eastAsia" w:ascii="宋体" w:hAnsi="宋体"/>
          <w:b/>
          <w:color w:val="auto"/>
          <w:sz w:val="24"/>
          <w:u w:val="single"/>
        </w:rPr>
        <w:t>率以“%”的形式填写。</w:t>
      </w:r>
      <w:r>
        <w:rPr>
          <w:rFonts w:hint="eastAsia"/>
          <w:b/>
          <w:color w:val="auto"/>
          <w:sz w:val="24"/>
          <w:u w:val="single"/>
        </w:rPr>
        <w:t>本次项目设有最高折扣率（94%），未按折扣率进行报价或超过最高综合折扣率进行报价的磋商响应文件作无效处理。</w:t>
      </w:r>
    </w:p>
    <w:p w14:paraId="7BA46904">
      <w:pPr>
        <w:shd w:val="clear"/>
        <w:snapToGrid w:val="0"/>
        <w:spacing w:line="360" w:lineRule="auto"/>
        <w:ind w:left="480" w:firstLine="480"/>
        <w:rPr>
          <w:rFonts w:ascii="宋体" w:hAnsi="宋体" w:cs="仿宋"/>
          <w:b/>
          <w:color w:val="auto"/>
          <w:kern w:val="0"/>
          <w:sz w:val="24"/>
          <w:lang w:val="zh-CN"/>
        </w:rPr>
      </w:pPr>
      <w:r>
        <w:rPr>
          <w:rFonts w:hint="eastAsia" w:ascii="宋体" w:hAnsi="宋体"/>
          <w:color w:val="auto"/>
          <w:sz w:val="24"/>
        </w:rPr>
        <w:t>2</w:t>
      </w:r>
      <w:r>
        <w:rPr>
          <w:rFonts w:ascii="宋体" w:hAnsi="宋体"/>
          <w:color w:val="auto"/>
          <w:sz w:val="24"/>
        </w:rPr>
        <w:t>、报价一经涂改，应在涂改处加盖单位公章或者由法定代表人或授权委托人签名或盖章，否则其投标作无效标处理。</w:t>
      </w:r>
    </w:p>
    <w:p w14:paraId="2612A26D">
      <w:pPr>
        <w:shd w:val="clear"/>
        <w:spacing w:line="360" w:lineRule="auto"/>
        <w:ind w:left="-2" w:leftChars="-1" w:firstLine="480" w:firstLineChars="200"/>
        <w:rPr>
          <w:rFonts w:ascii="宋体" w:hAnsi="宋体" w:cs="仿宋"/>
          <w:color w:val="auto"/>
          <w:kern w:val="0"/>
          <w:sz w:val="24"/>
          <w:lang w:val="zh-CN"/>
        </w:rPr>
      </w:pPr>
      <w:r>
        <w:rPr>
          <w:rFonts w:hint="eastAsia" w:ascii="宋体" w:hAnsi="宋体" w:cs="仿宋"/>
          <w:color w:val="auto"/>
          <w:kern w:val="0"/>
          <w:sz w:val="24"/>
          <w:lang w:val="zh-CN"/>
        </w:rPr>
        <w:t>1、投标人需按本表格式填写，不得自行更改。</w:t>
      </w:r>
    </w:p>
    <w:p w14:paraId="4C743825">
      <w:pPr>
        <w:shd w:val="clear"/>
        <w:snapToGrid w:val="0"/>
        <w:spacing w:line="360" w:lineRule="auto"/>
        <w:ind w:firstLine="480" w:firstLineChars="200"/>
        <w:rPr>
          <w:rFonts w:asciiTheme="minorEastAsia" w:hAnsiTheme="minorEastAsia" w:eastAsiaTheme="minorEastAsia" w:cstheme="minorEastAsia"/>
          <w:color w:val="auto"/>
          <w:sz w:val="32"/>
          <w:szCs w:val="32"/>
        </w:rPr>
      </w:pPr>
      <w:r>
        <w:rPr>
          <w:rFonts w:hint="eastAsia" w:ascii="宋体" w:hAnsi="宋体" w:cs="仿宋"/>
          <w:color w:val="auto"/>
          <w:kern w:val="0"/>
          <w:sz w:val="24"/>
          <w:lang w:val="zh-CN"/>
        </w:rPr>
        <w:t>2、有关本项目实施所涉及的一切费用均计入报价。</w:t>
      </w:r>
      <w:r>
        <w:rPr>
          <w:rFonts w:hint="eastAsia" w:ascii="宋体" w:hAnsi="宋体" w:cs="仿宋"/>
          <w:b/>
          <w:color w:val="auto"/>
          <w:kern w:val="0"/>
          <w:sz w:val="24"/>
          <w:lang w:val="zh-CN"/>
        </w:rPr>
        <w:t>采购人将以合同形式有偿取得货物或服务，不接受投标人给予的赠品、回扣或者与采购无关的其他商品、服务</w:t>
      </w:r>
      <w:r>
        <w:rPr>
          <w:rFonts w:hint="eastAsia" w:ascii="宋体" w:hAnsi="宋体" w:cs="仿宋"/>
          <w:color w:val="auto"/>
          <w:kern w:val="0"/>
          <w:sz w:val="24"/>
          <w:lang w:val="zh-CN"/>
        </w:rPr>
        <w:t>，</w:t>
      </w:r>
      <w:r>
        <w:rPr>
          <w:rFonts w:hint="eastAsia" w:ascii="宋体" w:hAnsi="宋体" w:cs="仿宋"/>
          <w:b/>
          <w:color w:val="auto"/>
          <w:kern w:val="0"/>
          <w:sz w:val="24"/>
          <w:lang w:val="zh-CN"/>
        </w:rPr>
        <w:t>不得出现“0元”“免费赠送”等形式的无偿报价，</w:t>
      </w:r>
      <w:r>
        <w:rPr>
          <w:rFonts w:hint="eastAsia" w:ascii="宋体" w:hAnsi="宋体" w:cs="仿宋"/>
          <w:b/>
          <w:color w:val="auto"/>
          <w:kern w:val="0"/>
          <w:sz w:val="24"/>
        </w:rPr>
        <w:t>否则视为</w:t>
      </w:r>
      <w:r>
        <w:rPr>
          <w:rFonts w:hint="eastAsia" w:ascii="宋体" w:hAnsi="宋体" w:cs="仿宋"/>
          <w:b/>
          <w:color w:val="auto"/>
          <w:sz w:val="24"/>
        </w:rPr>
        <w:t>投标文件含有采购人不能接受的附加条件的，投标无效</w:t>
      </w:r>
      <w:r>
        <w:rPr>
          <w:rFonts w:hint="eastAsia" w:ascii="宋体" w:hAnsi="宋体" w:cs="仿宋"/>
          <w:b/>
          <w:color w:val="auto"/>
          <w:kern w:val="0"/>
          <w:sz w:val="24"/>
          <w:lang w:val="zh-CN"/>
        </w:rPr>
        <w:t>。</w:t>
      </w:r>
    </w:p>
    <w:p w14:paraId="5F8DC8FC">
      <w:pPr>
        <w:shd w:val="clear"/>
        <w:spacing w:line="360" w:lineRule="auto"/>
        <w:ind w:firstLine="480"/>
        <w:rPr>
          <w:rFonts w:asciiTheme="minorEastAsia" w:hAnsiTheme="minorEastAsia" w:eastAsiaTheme="minorEastAsia" w:cstheme="minorEastAsia"/>
          <w:color w:val="auto"/>
          <w:sz w:val="24"/>
        </w:rPr>
      </w:pPr>
    </w:p>
    <w:p w14:paraId="4090D29C">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法定代表人或其授权委托人（签名或印章）：  </w:t>
      </w:r>
    </w:p>
    <w:p w14:paraId="45BA8FE4">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供应商（盖章）：         </w:t>
      </w:r>
    </w:p>
    <w:p w14:paraId="4803B34B">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  期：</w:t>
      </w:r>
    </w:p>
    <w:p w14:paraId="581F6D29">
      <w:pPr>
        <w:shd w:val="clear"/>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48427EC5">
      <w:pPr>
        <w:shd w:val="clear"/>
        <w:spacing w:line="360" w:lineRule="auto"/>
        <w:ind w:firstLine="640"/>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二、中小企业声明函</w:t>
      </w:r>
    </w:p>
    <w:p w14:paraId="6E8A3288">
      <w:pPr>
        <w:shd w:val="clear"/>
        <w:spacing w:line="360" w:lineRule="auto"/>
        <w:ind w:firstLine="120" w:firstLineChars="5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47C2519F">
      <w:pPr>
        <w:shd w:val="clear"/>
        <w:spacing w:line="360" w:lineRule="auto"/>
        <w:ind w:firstLine="643"/>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中小企业声明函</w:t>
      </w:r>
    </w:p>
    <w:p w14:paraId="221E414A">
      <w:pPr>
        <w:shd w:val="clear"/>
        <w:spacing w:line="360" w:lineRule="auto"/>
        <w:rPr>
          <w:rFonts w:asciiTheme="minorEastAsia" w:hAnsiTheme="minorEastAsia" w:eastAsiaTheme="minorEastAsia" w:cstheme="minorEastAsia"/>
          <w:color w:val="auto"/>
        </w:rPr>
      </w:pPr>
    </w:p>
    <w:p w14:paraId="31F86143">
      <w:pPr>
        <w:shd w:val="clear"/>
        <w:spacing w:line="360" w:lineRule="auto"/>
        <w:ind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本公司郑重声明，根据《政府采购促进中小企业发展管理办法》（财库﹝2020﹞46 号）的规定，本公司参加的</w:t>
      </w:r>
      <w:r>
        <w:rPr>
          <w:rFonts w:hint="eastAsia" w:asciiTheme="minorEastAsia" w:hAnsiTheme="minorEastAsia" w:eastAsiaTheme="minorEastAsia" w:cstheme="minorEastAsia"/>
          <w:color w:val="auto"/>
          <w:sz w:val="24"/>
          <w:u w:val="single"/>
        </w:rPr>
        <w:t xml:space="preserve"> 弥勒文化博物馆项目-电力迁改工程（土建部分） </w:t>
      </w:r>
      <w:r>
        <w:rPr>
          <w:rFonts w:hint="eastAsia" w:asciiTheme="minorEastAsia" w:hAnsiTheme="minorEastAsia" w:eastAsiaTheme="minorEastAsia" w:cstheme="minorEastAsia"/>
          <w:color w:val="auto"/>
          <w:sz w:val="24"/>
        </w:rPr>
        <w:t>采购活动，工程全部由符合政策要求的中小企业承建。相关企业的具体情况如下：</w:t>
      </w:r>
    </w:p>
    <w:p w14:paraId="08507E14">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弥勒文化博物馆项目-电力迁改工程（土建部分） </w:t>
      </w:r>
      <w:r>
        <w:rPr>
          <w:rFonts w:hint="eastAsia" w:asciiTheme="minorEastAsia" w:hAnsiTheme="minorEastAsia" w:eastAsiaTheme="minorEastAsia" w:cstheme="minorEastAsia"/>
          <w:color w:val="auto"/>
          <w:sz w:val="24"/>
        </w:rPr>
        <w:t xml:space="preserve">，属于 </w:t>
      </w:r>
      <w:r>
        <w:rPr>
          <w:rFonts w:hint="eastAsia" w:asciiTheme="minorEastAsia" w:hAnsiTheme="minorEastAsia" w:eastAsiaTheme="minorEastAsia" w:cstheme="minorEastAsia"/>
          <w:color w:val="auto"/>
          <w:sz w:val="24"/>
          <w:u w:val="single"/>
        </w:rPr>
        <w:t>建筑业</w:t>
      </w:r>
      <w:r>
        <w:rPr>
          <w:rFonts w:hint="eastAsia" w:asciiTheme="minorEastAsia" w:hAnsiTheme="minorEastAsia" w:eastAsiaTheme="minorEastAsia" w:cstheme="minorEastAsia"/>
          <w:color w:val="auto"/>
          <w:sz w:val="24"/>
        </w:rPr>
        <w:t xml:space="preserve"> ；承建（承接）企业为 </w:t>
      </w:r>
      <w:r>
        <w:rPr>
          <w:rFonts w:hint="eastAsia" w:asciiTheme="minorEastAsia" w:hAnsiTheme="minorEastAsia" w:eastAsiaTheme="minorEastAsia" w:cstheme="minorEastAsia"/>
          <w:color w:val="auto"/>
          <w:sz w:val="24"/>
          <w:u w:val="single"/>
        </w:rPr>
        <w:t>（企业名称）</w:t>
      </w:r>
      <w:r>
        <w:rPr>
          <w:rFonts w:hint="eastAsia" w:asciiTheme="minorEastAsia" w:hAnsiTheme="minorEastAsia" w:eastAsiaTheme="minorEastAsia" w:cstheme="minorEastAsia"/>
          <w:color w:val="auto"/>
          <w:sz w:val="24"/>
        </w:rPr>
        <w:t xml:space="preserve"> ，从业人员</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人，营业收入为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万元，资产总额为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万元属于</w:t>
      </w:r>
      <w:r>
        <w:rPr>
          <w:rFonts w:hint="eastAsia" w:asciiTheme="minorEastAsia" w:hAnsiTheme="minorEastAsia" w:eastAsiaTheme="minorEastAsia" w:cstheme="minorEastAsia"/>
          <w:color w:val="auto"/>
          <w:sz w:val="24"/>
          <w:u w:val="single"/>
        </w:rPr>
        <w:t xml:space="preserve"> （中型企业、小型企业、微型企业） </w:t>
      </w:r>
      <w:r>
        <w:rPr>
          <w:rFonts w:hint="eastAsia" w:asciiTheme="minorEastAsia" w:hAnsiTheme="minorEastAsia" w:eastAsiaTheme="minorEastAsia" w:cstheme="minorEastAsia"/>
          <w:color w:val="auto"/>
          <w:sz w:val="24"/>
        </w:rPr>
        <w:t>；</w:t>
      </w:r>
    </w:p>
    <w:p w14:paraId="6B2E1192">
      <w:pPr>
        <w:shd w:val="clear"/>
        <w:spacing w:line="360" w:lineRule="auto"/>
        <w:ind w:firstLine="480"/>
        <w:rPr>
          <w:rFonts w:asciiTheme="minorEastAsia" w:hAnsiTheme="minorEastAsia" w:eastAsiaTheme="minorEastAsia" w:cstheme="minorEastAsia"/>
          <w:color w:val="auto"/>
          <w:sz w:val="24"/>
        </w:rPr>
      </w:pPr>
    </w:p>
    <w:p w14:paraId="181D7CE0">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以上企业，不属于大企业的分支机构，不存在控股股东为大企业的情形，也不存在与大企业的负责人为同一人的情形。</w:t>
      </w:r>
    </w:p>
    <w:p w14:paraId="15983DA5">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本企业对上述声明内容的真实性负责。如有虚假，将依法承担相应责任。</w:t>
      </w:r>
    </w:p>
    <w:p w14:paraId="6E7FE548">
      <w:pPr>
        <w:shd w:val="clear"/>
        <w:spacing w:line="360" w:lineRule="auto"/>
        <w:ind w:right="1760" w:firstLine="480"/>
        <w:jc w:val="right"/>
        <w:rPr>
          <w:rFonts w:asciiTheme="minorEastAsia" w:hAnsiTheme="minorEastAsia" w:eastAsiaTheme="minorEastAsia" w:cstheme="minorEastAsia"/>
          <w:color w:val="auto"/>
          <w:sz w:val="24"/>
        </w:rPr>
      </w:pPr>
    </w:p>
    <w:p w14:paraId="2721ACF1">
      <w:pPr>
        <w:shd w:val="clear"/>
        <w:spacing w:line="360" w:lineRule="auto"/>
        <w:ind w:right="1760" w:firstLine="480"/>
        <w:jc w:val="righ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供应商名称（电子签名）：</w:t>
      </w:r>
    </w:p>
    <w:p w14:paraId="3AF7D4F6">
      <w:pPr>
        <w:shd w:val="clear"/>
        <w:spacing w:line="360" w:lineRule="auto"/>
        <w:ind w:right="1120" w:firstLine="4680" w:firstLineChars="19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 期：</w:t>
      </w:r>
    </w:p>
    <w:p w14:paraId="5A4A726A">
      <w:pPr>
        <w:shd w:val="clear"/>
        <w:spacing w:line="360" w:lineRule="auto"/>
        <w:ind w:firstLine="310" w:firstLineChars="147"/>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Cs w:val="21"/>
        </w:rPr>
        <w:t>从业人员、营业收入、资产总额填报上一年度数据，无上一年度数据的新成立企业可不填报。</w:t>
      </w:r>
    </w:p>
    <w:p w14:paraId="6F22AEEB">
      <w:pPr>
        <w:shd w:val="clear"/>
        <w:spacing w:line="360" w:lineRule="auto"/>
        <w:ind w:right="-283" w:firstLine="480"/>
        <w:rPr>
          <w:rFonts w:asciiTheme="minorEastAsia" w:hAnsiTheme="minorEastAsia" w:eastAsiaTheme="minorEastAsia" w:cstheme="minorEastAsia"/>
          <w:color w:val="auto"/>
          <w:sz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tbl>
      <w:tblPr>
        <w:tblStyle w:val="27"/>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06313C73">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49668325">
            <w:pPr>
              <w:shd w:val="clear"/>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中小微行业划型标准规定（根据工信部联企业〔2011〕300号制定）</w:t>
            </w:r>
          </w:p>
        </w:tc>
      </w:tr>
      <w:tr w14:paraId="1C2E1A84">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045FAAB6">
            <w:pPr>
              <w:shd w:val="clear"/>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66E9D988">
            <w:pPr>
              <w:shd w:val="clear"/>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2A64C0A6">
            <w:pPr>
              <w:shd w:val="clear"/>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6F7FBDEF">
            <w:pPr>
              <w:shd w:val="clear"/>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5B04DF29">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5866920B">
            <w:pPr>
              <w:shd w:val="clear"/>
              <w:rPr>
                <w:rFonts w:ascii="宋体" w:hAnsi="宋体" w:cs="宋体"/>
                <w:b/>
                <w:bCs/>
                <w:color w:val="auto"/>
                <w:kern w:val="0"/>
                <w:sz w:val="24"/>
              </w:rPr>
            </w:pPr>
          </w:p>
        </w:tc>
        <w:tc>
          <w:tcPr>
            <w:tcW w:w="1498" w:type="dxa"/>
            <w:tcBorders>
              <w:top w:val="nil"/>
              <w:left w:val="nil"/>
              <w:bottom w:val="single" w:color="auto" w:sz="4" w:space="0"/>
              <w:right w:val="single" w:color="auto" w:sz="4" w:space="0"/>
            </w:tcBorders>
            <w:vAlign w:val="bottom"/>
          </w:tcPr>
          <w:p w14:paraId="6F07796D">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763" w:type="dxa"/>
            <w:tcBorders>
              <w:top w:val="nil"/>
              <w:left w:val="nil"/>
              <w:bottom w:val="single" w:color="auto" w:sz="4" w:space="0"/>
              <w:right w:val="single" w:color="auto" w:sz="4" w:space="0"/>
            </w:tcBorders>
            <w:vAlign w:val="bottom"/>
          </w:tcPr>
          <w:p w14:paraId="4FEFD6AA">
            <w:pPr>
              <w:shd w:val="clear"/>
              <w:jc w:val="center"/>
              <w:rPr>
                <w:rFonts w:ascii="宋体" w:hAnsi="宋体" w:cs="宋体"/>
                <w:color w:val="auto"/>
                <w:kern w:val="0"/>
                <w:sz w:val="20"/>
              </w:rPr>
            </w:pPr>
            <w:r>
              <w:rPr>
                <w:rFonts w:hint="eastAsia" w:ascii="宋体" w:hAnsi="宋体" w:cs="宋体"/>
                <w:color w:val="auto"/>
                <w:kern w:val="0"/>
                <w:sz w:val="20"/>
              </w:rPr>
              <w:t>营业收入Y</w:t>
            </w:r>
          </w:p>
          <w:p w14:paraId="1C3CE066">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660" w:type="dxa"/>
            <w:tcBorders>
              <w:top w:val="nil"/>
              <w:left w:val="nil"/>
              <w:bottom w:val="single" w:color="auto" w:sz="4" w:space="0"/>
              <w:right w:val="single" w:color="auto" w:sz="8" w:space="0"/>
            </w:tcBorders>
            <w:vAlign w:val="bottom"/>
          </w:tcPr>
          <w:p w14:paraId="1324D266">
            <w:pPr>
              <w:shd w:val="clear"/>
              <w:jc w:val="center"/>
              <w:rPr>
                <w:rFonts w:ascii="宋体" w:hAnsi="宋体" w:cs="宋体"/>
                <w:color w:val="auto"/>
                <w:kern w:val="0"/>
                <w:sz w:val="20"/>
              </w:rPr>
            </w:pPr>
            <w:r>
              <w:rPr>
                <w:rFonts w:hint="eastAsia" w:ascii="宋体" w:hAnsi="宋体" w:cs="宋体"/>
                <w:color w:val="auto"/>
                <w:kern w:val="0"/>
                <w:sz w:val="20"/>
              </w:rPr>
              <w:t>资产总额Z</w:t>
            </w:r>
          </w:p>
          <w:p w14:paraId="1E95048E">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240" w:type="dxa"/>
            <w:tcBorders>
              <w:top w:val="nil"/>
              <w:left w:val="nil"/>
              <w:bottom w:val="single" w:color="auto" w:sz="4" w:space="0"/>
              <w:right w:val="single" w:color="auto" w:sz="4" w:space="0"/>
            </w:tcBorders>
            <w:vAlign w:val="bottom"/>
          </w:tcPr>
          <w:p w14:paraId="5152FE24">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636" w:type="dxa"/>
            <w:tcBorders>
              <w:top w:val="nil"/>
              <w:left w:val="nil"/>
              <w:bottom w:val="single" w:color="auto" w:sz="4" w:space="0"/>
              <w:right w:val="single" w:color="auto" w:sz="4" w:space="0"/>
            </w:tcBorders>
            <w:vAlign w:val="bottom"/>
          </w:tcPr>
          <w:p w14:paraId="36EF679C">
            <w:pPr>
              <w:shd w:val="clear"/>
              <w:jc w:val="center"/>
              <w:rPr>
                <w:rFonts w:ascii="宋体" w:hAnsi="宋体" w:cs="宋体"/>
                <w:color w:val="auto"/>
                <w:kern w:val="0"/>
                <w:sz w:val="20"/>
              </w:rPr>
            </w:pPr>
            <w:r>
              <w:rPr>
                <w:rFonts w:hint="eastAsia" w:ascii="宋体" w:hAnsi="宋体" w:cs="宋体"/>
                <w:color w:val="auto"/>
                <w:kern w:val="0"/>
                <w:sz w:val="20"/>
              </w:rPr>
              <w:t>营业收入Y</w:t>
            </w:r>
          </w:p>
          <w:p w14:paraId="22169F9D">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520" w:type="dxa"/>
            <w:tcBorders>
              <w:top w:val="nil"/>
              <w:left w:val="nil"/>
              <w:bottom w:val="single" w:color="auto" w:sz="4" w:space="0"/>
              <w:right w:val="single" w:color="auto" w:sz="8" w:space="0"/>
            </w:tcBorders>
            <w:vAlign w:val="bottom"/>
          </w:tcPr>
          <w:p w14:paraId="09DEF289">
            <w:pPr>
              <w:shd w:val="clear"/>
              <w:jc w:val="center"/>
              <w:rPr>
                <w:rFonts w:ascii="宋体" w:hAnsi="宋体" w:cs="宋体"/>
                <w:color w:val="auto"/>
                <w:kern w:val="0"/>
                <w:sz w:val="20"/>
              </w:rPr>
            </w:pPr>
            <w:r>
              <w:rPr>
                <w:rFonts w:hint="eastAsia" w:ascii="宋体" w:hAnsi="宋体" w:cs="宋体"/>
                <w:color w:val="auto"/>
                <w:kern w:val="0"/>
                <w:sz w:val="20"/>
              </w:rPr>
              <w:t>资产总额Z</w:t>
            </w:r>
          </w:p>
          <w:p w14:paraId="0C32C7C4">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285" w:type="dxa"/>
            <w:tcBorders>
              <w:top w:val="nil"/>
              <w:left w:val="nil"/>
              <w:bottom w:val="single" w:color="auto" w:sz="4" w:space="0"/>
              <w:right w:val="single" w:color="auto" w:sz="4" w:space="0"/>
            </w:tcBorders>
            <w:vAlign w:val="bottom"/>
          </w:tcPr>
          <w:p w14:paraId="5776A60E">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275" w:type="dxa"/>
            <w:tcBorders>
              <w:top w:val="nil"/>
              <w:left w:val="nil"/>
              <w:bottom w:val="single" w:color="auto" w:sz="4" w:space="0"/>
              <w:right w:val="single" w:color="auto" w:sz="4" w:space="0"/>
            </w:tcBorders>
            <w:vAlign w:val="bottom"/>
          </w:tcPr>
          <w:p w14:paraId="6004C9D7">
            <w:pPr>
              <w:shd w:val="clear"/>
              <w:jc w:val="center"/>
              <w:rPr>
                <w:rFonts w:ascii="宋体" w:hAnsi="宋体" w:cs="宋体"/>
                <w:color w:val="auto"/>
                <w:kern w:val="0"/>
                <w:sz w:val="20"/>
              </w:rPr>
            </w:pPr>
            <w:r>
              <w:rPr>
                <w:rFonts w:hint="eastAsia" w:ascii="宋体" w:hAnsi="宋体" w:cs="宋体"/>
                <w:color w:val="auto"/>
                <w:kern w:val="0"/>
                <w:sz w:val="20"/>
              </w:rPr>
              <w:t>营业收入Y（万元）</w:t>
            </w:r>
          </w:p>
        </w:tc>
        <w:tc>
          <w:tcPr>
            <w:tcW w:w="1221" w:type="dxa"/>
            <w:tcBorders>
              <w:top w:val="nil"/>
              <w:left w:val="nil"/>
              <w:bottom w:val="single" w:color="auto" w:sz="4" w:space="0"/>
              <w:right w:val="single" w:color="auto" w:sz="8" w:space="0"/>
            </w:tcBorders>
            <w:vAlign w:val="bottom"/>
          </w:tcPr>
          <w:p w14:paraId="4EDEF750">
            <w:pPr>
              <w:shd w:val="clear"/>
              <w:jc w:val="center"/>
              <w:rPr>
                <w:rFonts w:ascii="宋体" w:hAnsi="宋体" w:cs="宋体"/>
                <w:color w:val="auto"/>
                <w:kern w:val="0"/>
                <w:sz w:val="20"/>
              </w:rPr>
            </w:pPr>
            <w:r>
              <w:rPr>
                <w:rFonts w:hint="eastAsia" w:ascii="宋体" w:hAnsi="宋体" w:cs="宋体"/>
                <w:color w:val="auto"/>
                <w:kern w:val="0"/>
                <w:sz w:val="20"/>
              </w:rPr>
              <w:t>资产总额Z（万元）</w:t>
            </w:r>
          </w:p>
        </w:tc>
      </w:tr>
      <w:tr w14:paraId="65029B3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8B40E5D">
            <w:pPr>
              <w:shd w:val="clear"/>
              <w:rPr>
                <w:rFonts w:ascii="宋体" w:hAnsi="宋体" w:cs="宋体"/>
                <w:color w:val="auto"/>
                <w:kern w:val="0"/>
                <w:sz w:val="20"/>
              </w:rPr>
            </w:pPr>
            <w:r>
              <w:rPr>
                <w:rFonts w:hint="eastAsia" w:ascii="宋体" w:hAnsi="宋体" w:cs="宋体"/>
                <w:color w:val="auto"/>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7050F236">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31EAEC5F">
            <w:pPr>
              <w:shd w:val="clear"/>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097936F5">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29D79675">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04DB5B95">
            <w:pPr>
              <w:shd w:val="clear"/>
              <w:rPr>
                <w:rFonts w:ascii="宋体" w:hAnsi="宋体" w:cs="宋体"/>
                <w:color w:val="auto"/>
                <w:kern w:val="0"/>
                <w:sz w:val="20"/>
              </w:rPr>
            </w:pPr>
            <w:r>
              <w:rPr>
                <w:rFonts w:hint="eastAsia" w:ascii="宋体" w:hAnsi="宋体" w:cs="宋体"/>
                <w:color w:val="auto"/>
                <w:kern w:val="0"/>
                <w:sz w:val="20"/>
              </w:rPr>
              <w:t xml:space="preserve"> 50≤Y＜500</w:t>
            </w:r>
          </w:p>
        </w:tc>
        <w:tc>
          <w:tcPr>
            <w:tcW w:w="1520" w:type="dxa"/>
            <w:tcBorders>
              <w:top w:val="nil"/>
              <w:left w:val="nil"/>
              <w:bottom w:val="single" w:color="auto" w:sz="4" w:space="0"/>
              <w:right w:val="single" w:color="auto" w:sz="8" w:space="0"/>
            </w:tcBorders>
            <w:vAlign w:val="bottom"/>
          </w:tcPr>
          <w:p w14:paraId="4E362A1F">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3C44AC8F">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4F124085">
            <w:pPr>
              <w:shd w:val="clear"/>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599A3502">
            <w:pPr>
              <w:shd w:val="clear"/>
              <w:rPr>
                <w:rFonts w:ascii="宋体" w:hAnsi="宋体" w:cs="宋体"/>
                <w:color w:val="auto"/>
                <w:kern w:val="0"/>
                <w:sz w:val="20"/>
              </w:rPr>
            </w:pPr>
            <w:r>
              <w:rPr>
                <w:rFonts w:hint="eastAsia" w:ascii="宋体" w:hAnsi="宋体" w:cs="宋体"/>
                <w:color w:val="auto"/>
                <w:kern w:val="0"/>
                <w:sz w:val="20"/>
              </w:rPr>
              <w:t>　</w:t>
            </w:r>
          </w:p>
        </w:tc>
      </w:tr>
      <w:tr w14:paraId="331CCC5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A213531">
            <w:pPr>
              <w:shd w:val="clear"/>
              <w:rPr>
                <w:rFonts w:ascii="宋体" w:hAnsi="宋体" w:cs="宋体"/>
                <w:color w:val="auto"/>
                <w:kern w:val="0"/>
                <w:sz w:val="20"/>
              </w:rPr>
            </w:pPr>
            <w:r>
              <w:rPr>
                <w:rFonts w:hint="eastAsia" w:ascii="宋体" w:hAnsi="宋体" w:cs="宋体"/>
                <w:color w:val="auto"/>
                <w:kern w:val="0"/>
                <w:sz w:val="20"/>
              </w:rPr>
              <w:t xml:space="preserve"> 2、工业</w:t>
            </w:r>
          </w:p>
        </w:tc>
        <w:tc>
          <w:tcPr>
            <w:tcW w:w="1498" w:type="dxa"/>
            <w:tcBorders>
              <w:top w:val="nil"/>
              <w:left w:val="nil"/>
              <w:bottom w:val="single" w:color="auto" w:sz="4" w:space="0"/>
              <w:right w:val="single" w:color="auto" w:sz="4" w:space="0"/>
            </w:tcBorders>
            <w:vAlign w:val="bottom"/>
          </w:tcPr>
          <w:p w14:paraId="13F14D86">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1D24CCAB">
            <w:pPr>
              <w:shd w:val="clear"/>
              <w:rPr>
                <w:rFonts w:ascii="宋体" w:hAnsi="宋体" w:cs="宋体"/>
                <w:color w:val="auto"/>
                <w:kern w:val="0"/>
                <w:sz w:val="20"/>
              </w:rPr>
            </w:pPr>
            <w:r>
              <w:rPr>
                <w:rFonts w:hint="eastAsia" w:ascii="宋体" w:hAnsi="宋体" w:cs="宋体"/>
                <w:color w:val="auto"/>
                <w:kern w:val="0"/>
                <w:sz w:val="20"/>
              </w:rPr>
              <w:t>2000≤Y＜40000</w:t>
            </w:r>
          </w:p>
        </w:tc>
        <w:tc>
          <w:tcPr>
            <w:tcW w:w="1660" w:type="dxa"/>
            <w:tcBorders>
              <w:top w:val="nil"/>
              <w:left w:val="nil"/>
              <w:bottom w:val="single" w:color="auto" w:sz="4" w:space="0"/>
              <w:right w:val="single" w:color="auto" w:sz="8" w:space="0"/>
            </w:tcBorders>
            <w:vAlign w:val="bottom"/>
          </w:tcPr>
          <w:p w14:paraId="43A921BD">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04113BA">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5F11E536">
            <w:pPr>
              <w:shd w:val="clear"/>
              <w:rPr>
                <w:rFonts w:ascii="宋体" w:hAnsi="宋体" w:cs="宋体"/>
                <w:color w:val="auto"/>
                <w:kern w:val="0"/>
                <w:sz w:val="20"/>
              </w:rPr>
            </w:pPr>
            <w:r>
              <w:rPr>
                <w:rFonts w:hint="eastAsia" w:ascii="宋体" w:hAnsi="宋体" w:cs="宋体"/>
                <w:color w:val="auto"/>
                <w:kern w:val="0"/>
                <w:sz w:val="20"/>
              </w:rPr>
              <w:t>300≤Y＜2000</w:t>
            </w:r>
          </w:p>
        </w:tc>
        <w:tc>
          <w:tcPr>
            <w:tcW w:w="1520" w:type="dxa"/>
            <w:tcBorders>
              <w:top w:val="nil"/>
              <w:left w:val="nil"/>
              <w:bottom w:val="single" w:color="auto" w:sz="4" w:space="0"/>
              <w:right w:val="single" w:color="auto" w:sz="8" w:space="0"/>
            </w:tcBorders>
            <w:vAlign w:val="bottom"/>
          </w:tcPr>
          <w:p w14:paraId="1199882A">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576ED303">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5F3031D0">
            <w:pPr>
              <w:shd w:val="clear"/>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14:paraId="17AE1814">
            <w:pPr>
              <w:shd w:val="clear"/>
              <w:rPr>
                <w:rFonts w:ascii="宋体" w:hAnsi="宋体" w:cs="宋体"/>
                <w:color w:val="auto"/>
                <w:kern w:val="0"/>
                <w:sz w:val="20"/>
              </w:rPr>
            </w:pPr>
            <w:r>
              <w:rPr>
                <w:rFonts w:hint="eastAsia" w:ascii="宋体" w:hAnsi="宋体" w:cs="宋体"/>
                <w:color w:val="auto"/>
                <w:kern w:val="0"/>
                <w:sz w:val="20"/>
              </w:rPr>
              <w:t>　</w:t>
            </w:r>
          </w:p>
        </w:tc>
      </w:tr>
      <w:tr w14:paraId="037FC5D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30F1CAC">
            <w:pPr>
              <w:shd w:val="clear"/>
              <w:rPr>
                <w:rFonts w:ascii="宋体" w:hAnsi="宋体" w:cs="宋体"/>
                <w:color w:val="auto"/>
                <w:kern w:val="0"/>
                <w:sz w:val="20"/>
              </w:rPr>
            </w:pPr>
            <w:r>
              <w:rPr>
                <w:rFonts w:hint="eastAsia" w:ascii="宋体" w:hAnsi="宋体" w:cs="宋体"/>
                <w:color w:val="auto"/>
                <w:kern w:val="0"/>
                <w:sz w:val="20"/>
              </w:rPr>
              <w:t xml:space="preserve"> 3、建筑业</w:t>
            </w:r>
          </w:p>
        </w:tc>
        <w:tc>
          <w:tcPr>
            <w:tcW w:w="1498" w:type="dxa"/>
            <w:tcBorders>
              <w:top w:val="nil"/>
              <w:left w:val="nil"/>
              <w:bottom w:val="single" w:color="auto" w:sz="4" w:space="0"/>
              <w:right w:val="single" w:color="auto" w:sz="4" w:space="0"/>
            </w:tcBorders>
            <w:vAlign w:val="bottom"/>
          </w:tcPr>
          <w:p w14:paraId="692DB0CF">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4AB799B2">
            <w:pPr>
              <w:shd w:val="clear"/>
              <w:rPr>
                <w:rFonts w:ascii="宋体" w:hAnsi="宋体" w:cs="宋体"/>
                <w:color w:val="auto"/>
                <w:kern w:val="0"/>
                <w:sz w:val="20"/>
              </w:rPr>
            </w:pPr>
            <w:r>
              <w:rPr>
                <w:rFonts w:hint="eastAsia" w:ascii="宋体" w:hAnsi="宋体" w:cs="宋体"/>
                <w:color w:val="auto"/>
                <w:kern w:val="0"/>
                <w:sz w:val="20"/>
              </w:rPr>
              <w:t>6000≤Y＜80000</w:t>
            </w:r>
          </w:p>
        </w:tc>
        <w:tc>
          <w:tcPr>
            <w:tcW w:w="1660" w:type="dxa"/>
            <w:tcBorders>
              <w:top w:val="nil"/>
              <w:left w:val="nil"/>
              <w:bottom w:val="single" w:color="auto" w:sz="4" w:space="0"/>
              <w:right w:val="single" w:color="auto" w:sz="8" w:space="0"/>
            </w:tcBorders>
            <w:vAlign w:val="bottom"/>
          </w:tcPr>
          <w:p w14:paraId="3C111E4C">
            <w:pPr>
              <w:shd w:val="clear"/>
              <w:rPr>
                <w:rFonts w:ascii="宋体" w:hAnsi="宋体" w:cs="宋体"/>
                <w:color w:val="auto"/>
                <w:kern w:val="0"/>
                <w:sz w:val="20"/>
              </w:rPr>
            </w:pPr>
            <w:r>
              <w:rPr>
                <w:rFonts w:hint="eastAsia" w:ascii="宋体" w:hAnsi="宋体" w:cs="宋体"/>
                <w:color w:val="auto"/>
                <w:kern w:val="0"/>
                <w:sz w:val="20"/>
              </w:rPr>
              <w:t>5000≤Z＜80000</w:t>
            </w:r>
          </w:p>
        </w:tc>
        <w:tc>
          <w:tcPr>
            <w:tcW w:w="1240" w:type="dxa"/>
            <w:tcBorders>
              <w:top w:val="nil"/>
              <w:left w:val="nil"/>
              <w:bottom w:val="single" w:color="auto" w:sz="4" w:space="0"/>
              <w:right w:val="single" w:color="auto" w:sz="4" w:space="0"/>
            </w:tcBorders>
            <w:vAlign w:val="bottom"/>
          </w:tcPr>
          <w:p w14:paraId="185F9111">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617D7A2C">
            <w:pPr>
              <w:shd w:val="clear"/>
              <w:rPr>
                <w:rFonts w:ascii="宋体" w:hAnsi="宋体" w:cs="宋体"/>
                <w:color w:val="auto"/>
                <w:kern w:val="0"/>
                <w:sz w:val="20"/>
              </w:rPr>
            </w:pPr>
            <w:r>
              <w:rPr>
                <w:rFonts w:hint="eastAsia" w:ascii="宋体" w:hAnsi="宋体" w:cs="宋体"/>
                <w:color w:val="auto"/>
                <w:kern w:val="0"/>
                <w:sz w:val="20"/>
              </w:rPr>
              <w:t>300≤Y＜6000</w:t>
            </w:r>
          </w:p>
        </w:tc>
        <w:tc>
          <w:tcPr>
            <w:tcW w:w="1520" w:type="dxa"/>
            <w:tcBorders>
              <w:top w:val="nil"/>
              <w:left w:val="nil"/>
              <w:bottom w:val="single" w:color="auto" w:sz="4" w:space="0"/>
              <w:right w:val="single" w:color="auto" w:sz="8" w:space="0"/>
            </w:tcBorders>
            <w:vAlign w:val="bottom"/>
          </w:tcPr>
          <w:p w14:paraId="6CEEC219">
            <w:pPr>
              <w:shd w:val="clear"/>
              <w:rPr>
                <w:rFonts w:ascii="宋体" w:hAnsi="宋体" w:cs="宋体"/>
                <w:color w:val="auto"/>
                <w:kern w:val="0"/>
                <w:sz w:val="20"/>
              </w:rPr>
            </w:pPr>
            <w:r>
              <w:rPr>
                <w:rFonts w:hint="eastAsia" w:ascii="宋体" w:hAnsi="宋体" w:cs="宋体"/>
                <w:color w:val="auto"/>
                <w:kern w:val="0"/>
                <w:sz w:val="20"/>
              </w:rPr>
              <w:t xml:space="preserve"> 300≤Z＜5000</w:t>
            </w:r>
          </w:p>
        </w:tc>
        <w:tc>
          <w:tcPr>
            <w:tcW w:w="1285" w:type="dxa"/>
            <w:tcBorders>
              <w:top w:val="nil"/>
              <w:left w:val="nil"/>
              <w:bottom w:val="single" w:color="auto" w:sz="4" w:space="0"/>
              <w:right w:val="single" w:color="auto" w:sz="4" w:space="0"/>
            </w:tcBorders>
            <w:vAlign w:val="bottom"/>
          </w:tcPr>
          <w:p w14:paraId="0B8F385D">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03921A48">
            <w:pPr>
              <w:shd w:val="clear"/>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14:paraId="17F95E6C">
            <w:pPr>
              <w:shd w:val="clear"/>
              <w:rPr>
                <w:rFonts w:ascii="宋体" w:hAnsi="宋体" w:cs="宋体"/>
                <w:color w:val="auto"/>
                <w:kern w:val="0"/>
                <w:sz w:val="20"/>
              </w:rPr>
            </w:pPr>
            <w:r>
              <w:rPr>
                <w:rFonts w:hint="eastAsia" w:ascii="宋体" w:hAnsi="宋体" w:cs="宋体"/>
                <w:color w:val="auto"/>
                <w:kern w:val="0"/>
                <w:sz w:val="20"/>
              </w:rPr>
              <w:t>Z＜300</w:t>
            </w:r>
          </w:p>
        </w:tc>
      </w:tr>
      <w:tr w14:paraId="2AA1273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1FF518F">
            <w:pPr>
              <w:shd w:val="clear"/>
              <w:rPr>
                <w:rFonts w:ascii="宋体" w:hAnsi="宋体" w:cs="宋体"/>
                <w:color w:val="auto"/>
                <w:kern w:val="0"/>
                <w:sz w:val="20"/>
              </w:rPr>
            </w:pPr>
            <w:r>
              <w:rPr>
                <w:rFonts w:hint="eastAsia" w:ascii="宋体" w:hAnsi="宋体" w:cs="宋体"/>
                <w:color w:val="auto"/>
                <w:kern w:val="0"/>
                <w:sz w:val="20"/>
              </w:rPr>
              <w:t xml:space="preserve"> 4、批发业</w:t>
            </w:r>
          </w:p>
        </w:tc>
        <w:tc>
          <w:tcPr>
            <w:tcW w:w="1498" w:type="dxa"/>
            <w:tcBorders>
              <w:top w:val="nil"/>
              <w:left w:val="nil"/>
              <w:bottom w:val="single" w:color="auto" w:sz="4" w:space="0"/>
              <w:right w:val="single" w:color="auto" w:sz="4" w:space="0"/>
            </w:tcBorders>
            <w:vAlign w:val="bottom"/>
          </w:tcPr>
          <w:p w14:paraId="47CF04D5">
            <w:pPr>
              <w:shd w:val="clear"/>
              <w:rPr>
                <w:rFonts w:ascii="宋体" w:hAnsi="宋体" w:cs="宋体"/>
                <w:color w:val="auto"/>
                <w:kern w:val="0"/>
                <w:sz w:val="20"/>
              </w:rPr>
            </w:pPr>
            <w:r>
              <w:rPr>
                <w:rFonts w:hint="eastAsia" w:ascii="宋体" w:hAnsi="宋体" w:cs="宋体"/>
                <w:color w:val="auto"/>
                <w:kern w:val="0"/>
                <w:sz w:val="20"/>
              </w:rPr>
              <w:t xml:space="preserve"> 20≤X＜200</w:t>
            </w:r>
          </w:p>
        </w:tc>
        <w:tc>
          <w:tcPr>
            <w:tcW w:w="1763" w:type="dxa"/>
            <w:tcBorders>
              <w:top w:val="nil"/>
              <w:left w:val="nil"/>
              <w:bottom w:val="single" w:color="auto" w:sz="4" w:space="0"/>
              <w:right w:val="single" w:color="auto" w:sz="4" w:space="0"/>
            </w:tcBorders>
            <w:vAlign w:val="bottom"/>
          </w:tcPr>
          <w:p w14:paraId="37A2BC17">
            <w:pPr>
              <w:shd w:val="clear"/>
              <w:rPr>
                <w:rFonts w:ascii="宋体" w:hAnsi="宋体" w:cs="宋体"/>
                <w:color w:val="auto"/>
                <w:kern w:val="0"/>
                <w:sz w:val="20"/>
              </w:rPr>
            </w:pPr>
            <w:r>
              <w:rPr>
                <w:rFonts w:hint="eastAsia" w:ascii="宋体" w:hAnsi="宋体" w:cs="宋体"/>
                <w:color w:val="auto"/>
                <w:kern w:val="0"/>
                <w:sz w:val="20"/>
              </w:rPr>
              <w:t>5000≤Y＜40000</w:t>
            </w:r>
          </w:p>
        </w:tc>
        <w:tc>
          <w:tcPr>
            <w:tcW w:w="1660" w:type="dxa"/>
            <w:tcBorders>
              <w:top w:val="nil"/>
              <w:left w:val="nil"/>
              <w:bottom w:val="single" w:color="auto" w:sz="4" w:space="0"/>
              <w:right w:val="single" w:color="auto" w:sz="8" w:space="0"/>
            </w:tcBorders>
            <w:vAlign w:val="bottom"/>
          </w:tcPr>
          <w:p w14:paraId="4DF0B6CD">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779FDBB9">
            <w:pPr>
              <w:shd w:val="clear"/>
              <w:rPr>
                <w:rFonts w:ascii="宋体" w:hAnsi="宋体" w:cs="宋体"/>
                <w:color w:val="auto"/>
                <w:kern w:val="0"/>
                <w:sz w:val="20"/>
              </w:rPr>
            </w:pPr>
            <w:r>
              <w:rPr>
                <w:rFonts w:hint="eastAsia" w:ascii="宋体" w:hAnsi="宋体" w:cs="宋体"/>
                <w:color w:val="auto"/>
                <w:kern w:val="0"/>
                <w:sz w:val="20"/>
              </w:rPr>
              <w:t xml:space="preserve"> 5≤X＜20</w:t>
            </w:r>
          </w:p>
        </w:tc>
        <w:tc>
          <w:tcPr>
            <w:tcW w:w="1636" w:type="dxa"/>
            <w:tcBorders>
              <w:top w:val="nil"/>
              <w:left w:val="nil"/>
              <w:bottom w:val="single" w:color="auto" w:sz="4" w:space="0"/>
              <w:right w:val="single" w:color="auto" w:sz="4" w:space="0"/>
            </w:tcBorders>
            <w:vAlign w:val="bottom"/>
          </w:tcPr>
          <w:p w14:paraId="628BB356">
            <w:pPr>
              <w:shd w:val="clear"/>
              <w:rPr>
                <w:rFonts w:ascii="宋体" w:hAnsi="宋体" w:cs="宋体"/>
                <w:color w:val="auto"/>
                <w:kern w:val="0"/>
                <w:sz w:val="20"/>
              </w:rPr>
            </w:pPr>
            <w:r>
              <w:rPr>
                <w:rFonts w:hint="eastAsia" w:ascii="宋体" w:hAnsi="宋体" w:cs="宋体"/>
                <w:color w:val="auto"/>
                <w:kern w:val="0"/>
                <w:sz w:val="20"/>
              </w:rPr>
              <w:t>1000≤Y＜5000</w:t>
            </w:r>
          </w:p>
        </w:tc>
        <w:tc>
          <w:tcPr>
            <w:tcW w:w="1520" w:type="dxa"/>
            <w:tcBorders>
              <w:top w:val="nil"/>
              <w:left w:val="nil"/>
              <w:bottom w:val="single" w:color="auto" w:sz="4" w:space="0"/>
              <w:right w:val="single" w:color="auto" w:sz="8" w:space="0"/>
            </w:tcBorders>
            <w:vAlign w:val="bottom"/>
          </w:tcPr>
          <w:p w14:paraId="1EB0FA70">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19E310BF">
            <w:pPr>
              <w:shd w:val="clear"/>
              <w:rPr>
                <w:rFonts w:ascii="宋体" w:hAnsi="宋体" w:cs="宋体"/>
                <w:color w:val="auto"/>
                <w:kern w:val="0"/>
                <w:sz w:val="20"/>
              </w:rPr>
            </w:pPr>
            <w:r>
              <w:rPr>
                <w:rFonts w:hint="eastAsia" w:ascii="宋体" w:hAnsi="宋体" w:cs="宋体"/>
                <w:color w:val="auto"/>
                <w:kern w:val="0"/>
                <w:sz w:val="20"/>
              </w:rPr>
              <w:t>X＜5</w:t>
            </w:r>
          </w:p>
        </w:tc>
        <w:tc>
          <w:tcPr>
            <w:tcW w:w="1275" w:type="dxa"/>
            <w:tcBorders>
              <w:top w:val="nil"/>
              <w:left w:val="nil"/>
              <w:bottom w:val="single" w:color="auto" w:sz="4" w:space="0"/>
              <w:right w:val="single" w:color="auto" w:sz="4" w:space="0"/>
            </w:tcBorders>
            <w:vAlign w:val="bottom"/>
          </w:tcPr>
          <w:p w14:paraId="6FE5807C">
            <w:pPr>
              <w:shd w:val="clear"/>
              <w:rPr>
                <w:rFonts w:ascii="宋体" w:hAnsi="宋体" w:cs="宋体"/>
                <w:color w:val="auto"/>
                <w:kern w:val="0"/>
                <w:sz w:val="20"/>
              </w:rPr>
            </w:pPr>
            <w:r>
              <w:rPr>
                <w:rFonts w:hint="eastAsia" w:ascii="宋体" w:hAnsi="宋体" w:cs="宋体"/>
                <w:color w:val="auto"/>
                <w:kern w:val="0"/>
                <w:sz w:val="20"/>
              </w:rPr>
              <w:t>Y＜1000</w:t>
            </w:r>
          </w:p>
        </w:tc>
        <w:tc>
          <w:tcPr>
            <w:tcW w:w="1221" w:type="dxa"/>
            <w:tcBorders>
              <w:top w:val="nil"/>
              <w:left w:val="nil"/>
              <w:bottom w:val="single" w:color="auto" w:sz="4" w:space="0"/>
              <w:right w:val="single" w:color="auto" w:sz="8" w:space="0"/>
            </w:tcBorders>
            <w:vAlign w:val="bottom"/>
          </w:tcPr>
          <w:p w14:paraId="6B0F6571">
            <w:pPr>
              <w:shd w:val="clear"/>
              <w:rPr>
                <w:rFonts w:ascii="宋体" w:hAnsi="宋体" w:cs="宋体"/>
                <w:color w:val="auto"/>
                <w:kern w:val="0"/>
                <w:sz w:val="20"/>
              </w:rPr>
            </w:pPr>
            <w:r>
              <w:rPr>
                <w:rFonts w:hint="eastAsia" w:ascii="宋体" w:hAnsi="宋体" w:cs="宋体"/>
                <w:color w:val="auto"/>
                <w:kern w:val="0"/>
                <w:sz w:val="20"/>
              </w:rPr>
              <w:t>　</w:t>
            </w:r>
          </w:p>
        </w:tc>
      </w:tr>
      <w:tr w14:paraId="41B7D9F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A18AD2D">
            <w:pPr>
              <w:shd w:val="clear"/>
              <w:rPr>
                <w:rFonts w:ascii="宋体" w:hAnsi="宋体" w:cs="宋体"/>
                <w:color w:val="auto"/>
                <w:kern w:val="0"/>
                <w:sz w:val="20"/>
              </w:rPr>
            </w:pPr>
            <w:r>
              <w:rPr>
                <w:rFonts w:hint="eastAsia" w:ascii="宋体" w:hAnsi="宋体" w:cs="宋体"/>
                <w:color w:val="auto"/>
                <w:kern w:val="0"/>
                <w:sz w:val="20"/>
              </w:rPr>
              <w:t xml:space="preserve"> 5、零售业</w:t>
            </w:r>
          </w:p>
        </w:tc>
        <w:tc>
          <w:tcPr>
            <w:tcW w:w="1498" w:type="dxa"/>
            <w:tcBorders>
              <w:top w:val="nil"/>
              <w:left w:val="nil"/>
              <w:bottom w:val="single" w:color="auto" w:sz="4" w:space="0"/>
              <w:right w:val="single" w:color="auto" w:sz="4" w:space="0"/>
            </w:tcBorders>
            <w:vAlign w:val="bottom"/>
          </w:tcPr>
          <w:p w14:paraId="1E9C3FBC">
            <w:pPr>
              <w:shd w:val="clear"/>
              <w:rPr>
                <w:rFonts w:ascii="宋体" w:hAnsi="宋体" w:cs="宋体"/>
                <w:color w:val="auto"/>
                <w:kern w:val="0"/>
                <w:sz w:val="20"/>
              </w:rPr>
            </w:pPr>
            <w:r>
              <w:rPr>
                <w:rFonts w:hint="eastAsia" w:ascii="宋体" w:hAnsi="宋体" w:cs="宋体"/>
                <w:color w:val="auto"/>
                <w:kern w:val="0"/>
                <w:sz w:val="20"/>
              </w:rPr>
              <w:t xml:space="preserve"> 50≤X＜300</w:t>
            </w:r>
          </w:p>
        </w:tc>
        <w:tc>
          <w:tcPr>
            <w:tcW w:w="1763" w:type="dxa"/>
            <w:tcBorders>
              <w:top w:val="nil"/>
              <w:left w:val="nil"/>
              <w:bottom w:val="single" w:color="auto" w:sz="4" w:space="0"/>
              <w:right w:val="single" w:color="auto" w:sz="4" w:space="0"/>
            </w:tcBorders>
            <w:vAlign w:val="bottom"/>
          </w:tcPr>
          <w:p w14:paraId="36142660">
            <w:pPr>
              <w:shd w:val="clear"/>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1A77AD89">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70CAB5F">
            <w:pPr>
              <w:shd w:val="clear"/>
              <w:rPr>
                <w:rFonts w:ascii="宋体" w:hAnsi="宋体" w:cs="宋体"/>
                <w:color w:val="auto"/>
                <w:kern w:val="0"/>
                <w:sz w:val="20"/>
              </w:rPr>
            </w:pPr>
            <w:r>
              <w:rPr>
                <w:rFonts w:hint="eastAsia" w:ascii="宋体" w:hAnsi="宋体" w:cs="宋体"/>
                <w:color w:val="auto"/>
                <w:kern w:val="0"/>
                <w:sz w:val="20"/>
              </w:rPr>
              <w:t>10≤X＜50</w:t>
            </w:r>
          </w:p>
        </w:tc>
        <w:tc>
          <w:tcPr>
            <w:tcW w:w="1636" w:type="dxa"/>
            <w:tcBorders>
              <w:top w:val="nil"/>
              <w:left w:val="nil"/>
              <w:bottom w:val="single" w:color="auto" w:sz="4" w:space="0"/>
              <w:right w:val="single" w:color="auto" w:sz="4" w:space="0"/>
            </w:tcBorders>
            <w:vAlign w:val="bottom"/>
          </w:tcPr>
          <w:p w14:paraId="36FC9B82">
            <w:pPr>
              <w:shd w:val="clear"/>
              <w:rPr>
                <w:rFonts w:ascii="宋体" w:hAnsi="宋体" w:cs="宋体"/>
                <w:color w:val="auto"/>
                <w:kern w:val="0"/>
                <w:sz w:val="20"/>
              </w:rPr>
            </w:pPr>
            <w:r>
              <w:rPr>
                <w:rFonts w:hint="eastAsia" w:ascii="宋体" w:hAnsi="宋体" w:cs="宋体"/>
                <w:color w:val="auto"/>
                <w:kern w:val="0"/>
                <w:sz w:val="20"/>
              </w:rPr>
              <w:t>100≤Y＜500</w:t>
            </w:r>
          </w:p>
        </w:tc>
        <w:tc>
          <w:tcPr>
            <w:tcW w:w="1520" w:type="dxa"/>
            <w:tcBorders>
              <w:top w:val="nil"/>
              <w:left w:val="nil"/>
              <w:bottom w:val="single" w:color="auto" w:sz="4" w:space="0"/>
              <w:right w:val="single" w:color="auto" w:sz="8" w:space="0"/>
            </w:tcBorders>
            <w:vAlign w:val="bottom"/>
          </w:tcPr>
          <w:p w14:paraId="1BEE9B74">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3C597704">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4583AA1B">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00DAAF55">
            <w:pPr>
              <w:shd w:val="clear"/>
              <w:rPr>
                <w:rFonts w:ascii="宋体" w:hAnsi="宋体" w:cs="宋体"/>
                <w:color w:val="auto"/>
                <w:kern w:val="0"/>
                <w:sz w:val="20"/>
              </w:rPr>
            </w:pPr>
            <w:r>
              <w:rPr>
                <w:rFonts w:hint="eastAsia" w:ascii="宋体" w:hAnsi="宋体" w:cs="宋体"/>
                <w:color w:val="auto"/>
                <w:kern w:val="0"/>
                <w:sz w:val="20"/>
              </w:rPr>
              <w:t>　</w:t>
            </w:r>
          </w:p>
        </w:tc>
      </w:tr>
      <w:tr w14:paraId="1E78156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E6BFA7C">
            <w:pPr>
              <w:shd w:val="clear"/>
              <w:rPr>
                <w:rFonts w:ascii="宋体" w:hAnsi="宋体" w:cs="宋体"/>
                <w:color w:val="auto"/>
                <w:kern w:val="0"/>
                <w:sz w:val="20"/>
              </w:rPr>
            </w:pPr>
            <w:r>
              <w:rPr>
                <w:rFonts w:hint="eastAsia" w:ascii="宋体" w:hAnsi="宋体" w:cs="宋体"/>
                <w:color w:val="auto"/>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21CBE887">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7C442EC3">
            <w:pPr>
              <w:shd w:val="clear"/>
              <w:rPr>
                <w:rFonts w:ascii="宋体" w:hAnsi="宋体" w:cs="宋体"/>
                <w:color w:val="auto"/>
                <w:kern w:val="0"/>
                <w:sz w:val="20"/>
              </w:rPr>
            </w:pPr>
            <w:r>
              <w:rPr>
                <w:rFonts w:hint="eastAsia" w:ascii="宋体" w:hAnsi="宋体" w:cs="宋体"/>
                <w:color w:val="auto"/>
                <w:kern w:val="0"/>
                <w:sz w:val="20"/>
              </w:rPr>
              <w:t>3000≤Y＜30000</w:t>
            </w:r>
          </w:p>
        </w:tc>
        <w:tc>
          <w:tcPr>
            <w:tcW w:w="1660" w:type="dxa"/>
            <w:tcBorders>
              <w:top w:val="nil"/>
              <w:left w:val="nil"/>
              <w:bottom w:val="single" w:color="auto" w:sz="4" w:space="0"/>
              <w:right w:val="single" w:color="auto" w:sz="8" w:space="0"/>
            </w:tcBorders>
            <w:vAlign w:val="bottom"/>
          </w:tcPr>
          <w:p w14:paraId="15F397D9">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6D9953F">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2EC1C87D">
            <w:pPr>
              <w:shd w:val="clear"/>
              <w:rPr>
                <w:rFonts w:ascii="宋体" w:hAnsi="宋体" w:cs="宋体"/>
                <w:color w:val="auto"/>
                <w:kern w:val="0"/>
                <w:sz w:val="20"/>
              </w:rPr>
            </w:pPr>
            <w:r>
              <w:rPr>
                <w:rFonts w:hint="eastAsia" w:ascii="宋体" w:hAnsi="宋体" w:cs="宋体"/>
                <w:color w:val="auto"/>
                <w:kern w:val="0"/>
                <w:sz w:val="20"/>
              </w:rPr>
              <w:t>200≤Y＜3000</w:t>
            </w:r>
          </w:p>
        </w:tc>
        <w:tc>
          <w:tcPr>
            <w:tcW w:w="1520" w:type="dxa"/>
            <w:tcBorders>
              <w:top w:val="nil"/>
              <w:left w:val="nil"/>
              <w:bottom w:val="single" w:color="auto" w:sz="4" w:space="0"/>
              <w:right w:val="single" w:color="auto" w:sz="8" w:space="0"/>
            </w:tcBorders>
            <w:vAlign w:val="bottom"/>
          </w:tcPr>
          <w:p w14:paraId="34D3C0B8">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0C6A1217">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70346ECC">
            <w:pPr>
              <w:shd w:val="clear"/>
              <w:rPr>
                <w:rFonts w:ascii="宋体" w:hAnsi="宋体" w:cs="宋体"/>
                <w:color w:val="auto"/>
                <w:kern w:val="0"/>
                <w:sz w:val="20"/>
              </w:rPr>
            </w:pPr>
            <w:r>
              <w:rPr>
                <w:rFonts w:hint="eastAsia" w:ascii="宋体" w:hAnsi="宋体" w:cs="宋体"/>
                <w:color w:val="auto"/>
                <w:kern w:val="0"/>
                <w:sz w:val="20"/>
              </w:rPr>
              <w:t>V＜200</w:t>
            </w:r>
          </w:p>
        </w:tc>
        <w:tc>
          <w:tcPr>
            <w:tcW w:w="1221" w:type="dxa"/>
            <w:tcBorders>
              <w:top w:val="nil"/>
              <w:left w:val="nil"/>
              <w:bottom w:val="single" w:color="auto" w:sz="4" w:space="0"/>
              <w:right w:val="single" w:color="auto" w:sz="8" w:space="0"/>
            </w:tcBorders>
            <w:vAlign w:val="bottom"/>
          </w:tcPr>
          <w:p w14:paraId="23555D70">
            <w:pPr>
              <w:shd w:val="clear"/>
              <w:rPr>
                <w:rFonts w:ascii="宋体" w:hAnsi="宋体" w:cs="宋体"/>
                <w:color w:val="auto"/>
                <w:kern w:val="0"/>
                <w:sz w:val="20"/>
              </w:rPr>
            </w:pPr>
            <w:r>
              <w:rPr>
                <w:rFonts w:hint="eastAsia" w:ascii="宋体" w:hAnsi="宋体" w:cs="宋体"/>
                <w:color w:val="auto"/>
                <w:kern w:val="0"/>
                <w:sz w:val="20"/>
              </w:rPr>
              <w:t>　</w:t>
            </w:r>
          </w:p>
        </w:tc>
      </w:tr>
      <w:tr w14:paraId="4FDB48E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749EE09">
            <w:pPr>
              <w:shd w:val="clear"/>
              <w:rPr>
                <w:rFonts w:ascii="宋体" w:hAnsi="宋体" w:cs="宋体"/>
                <w:color w:val="auto"/>
                <w:kern w:val="0"/>
                <w:sz w:val="20"/>
              </w:rPr>
            </w:pPr>
            <w:r>
              <w:rPr>
                <w:rFonts w:hint="eastAsia" w:ascii="宋体" w:hAnsi="宋体" w:cs="宋体"/>
                <w:color w:val="auto"/>
                <w:kern w:val="0"/>
                <w:sz w:val="20"/>
              </w:rPr>
              <w:t xml:space="preserve"> 7、仓储业</w:t>
            </w:r>
          </w:p>
        </w:tc>
        <w:tc>
          <w:tcPr>
            <w:tcW w:w="1498" w:type="dxa"/>
            <w:tcBorders>
              <w:top w:val="nil"/>
              <w:left w:val="nil"/>
              <w:bottom w:val="single" w:color="auto" w:sz="4" w:space="0"/>
              <w:right w:val="single" w:color="auto" w:sz="4" w:space="0"/>
            </w:tcBorders>
            <w:vAlign w:val="bottom"/>
          </w:tcPr>
          <w:p w14:paraId="3CA46076">
            <w:pPr>
              <w:shd w:val="clear"/>
              <w:rPr>
                <w:rFonts w:ascii="宋体" w:hAnsi="宋体" w:cs="宋体"/>
                <w:color w:val="auto"/>
                <w:kern w:val="0"/>
                <w:sz w:val="20"/>
              </w:rPr>
            </w:pPr>
            <w:r>
              <w:rPr>
                <w:rFonts w:hint="eastAsia" w:ascii="宋体" w:hAnsi="宋体" w:cs="宋体"/>
                <w:color w:val="auto"/>
                <w:kern w:val="0"/>
                <w:sz w:val="20"/>
              </w:rPr>
              <w:t>100≤X＜200</w:t>
            </w:r>
          </w:p>
        </w:tc>
        <w:tc>
          <w:tcPr>
            <w:tcW w:w="1763" w:type="dxa"/>
            <w:tcBorders>
              <w:top w:val="nil"/>
              <w:left w:val="nil"/>
              <w:bottom w:val="single" w:color="auto" w:sz="4" w:space="0"/>
              <w:right w:val="single" w:color="auto" w:sz="4" w:space="0"/>
            </w:tcBorders>
            <w:vAlign w:val="bottom"/>
          </w:tcPr>
          <w:p w14:paraId="4E8C0EDC">
            <w:pPr>
              <w:shd w:val="clear"/>
              <w:rPr>
                <w:rFonts w:ascii="宋体" w:hAnsi="宋体" w:cs="宋体"/>
                <w:color w:val="auto"/>
                <w:kern w:val="0"/>
                <w:sz w:val="20"/>
              </w:rPr>
            </w:pPr>
            <w:r>
              <w:rPr>
                <w:rFonts w:hint="eastAsia" w:ascii="宋体" w:hAnsi="宋体" w:cs="宋体"/>
                <w:color w:val="auto"/>
                <w:kern w:val="0"/>
                <w:sz w:val="20"/>
              </w:rPr>
              <w:t>1000≤Y＜30000</w:t>
            </w:r>
          </w:p>
        </w:tc>
        <w:tc>
          <w:tcPr>
            <w:tcW w:w="1660" w:type="dxa"/>
            <w:tcBorders>
              <w:top w:val="nil"/>
              <w:left w:val="nil"/>
              <w:bottom w:val="single" w:color="auto" w:sz="4" w:space="0"/>
              <w:right w:val="single" w:color="auto" w:sz="8" w:space="0"/>
            </w:tcBorders>
            <w:vAlign w:val="bottom"/>
          </w:tcPr>
          <w:p w14:paraId="6493AEF5">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350E4171">
            <w:pPr>
              <w:shd w:val="clear"/>
              <w:rPr>
                <w:rFonts w:ascii="宋体" w:hAnsi="宋体" w:cs="宋体"/>
                <w:color w:val="auto"/>
                <w:kern w:val="0"/>
                <w:sz w:val="20"/>
              </w:rPr>
            </w:pPr>
            <w:r>
              <w:rPr>
                <w:rFonts w:hint="eastAsia" w:ascii="宋体" w:hAnsi="宋体" w:cs="宋体"/>
                <w:color w:val="auto"/>
                <w:kern w:val="0"/>
                <w:sz w:val="20"/>
              </w:rPr>
              <w:t>20≤X＜100</w:t>
            </w:r>
          </w:p>
        </w:tc>
        <w:tc>
          <w:tcPr>
            <w:tcW w:w="1636" w:type="dxa"/>
            <w:tcBorders>
              <w:top w:val="nil"/>
              <w:left w:val="nil"/>
              <w:bottom w:val="single" w:color="auto" w:sz="4" w:space="0"/>
              <w:right w:val="single" w:color="auto" w:sz="4" w:space="0"/>
            </w:tcBorders>
            <w:vAlign w:val="bottom"/>
          </w:tcPr>
          <w:p w14:paraId="00C09CF6">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5242A2E3">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5A5D1E03">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765A0DF6">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189D6398">
            <w:pPr>
              <w:shd w:val="clear"/>
              <w:rPr>
                <w:rFonts w:ascii="宋体" w:hAnsi="宋体" w:cs="宋体"/>
                <w:color w:val="auto"/>
                <w:kern w:val="0"/>
                <w:sz w:val="20"/>
              </w:rPr>
            </w:pPr>
            <w:r>
              <w:rPr>
                <w:rFonts w:hint="eastAsia" w:ascii="宋体" w:hAnsi="宋体" w:cs="宋体"/>
                <w:color w:val="auto"/>
                <w:kern w:val="0"/>
                <w:sz w:val="20"/>
              </w:rPr>
              <w:t>　</w:t>
            </w:r>
          </w:p>
        </w:tc>
      </w:tr>
      <w:tr w14:paraId="73A15FE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04D79C8">
            <w:pPr>
              <w:shd w:val="clear"/>
              <w:rPr>
                <w:rFonts w:ascii="宋体" w:hAnsi="宋体" w:cs="宋体"/>
                <w:color w:val="auto"/>
                <w:kern w:val="0"/>
                <w:sz w:val="20"/>
              </w:rPr>
            </w:pPr>
            <w:r>
              <w:rPr>
                <w:rFonts w:hint="eastAsia" w:ascii="宋体" w:hAnsi="宋体" w:cs="宋体"/>
                <w:color w:val="auto"/>
                <w:kern w:val="0"/>
                <w:sz w:val="20"/>
              </w:rPr>
              <w:t xml:space="preserve"> 8、邮政业</w:t>
            </w:r>
          </w:p>
        </w:tc>
        <w:tc>
          <w:tcPr>
            <w:tcW w:w="1498" w:type="dxa"/>
            <w:tcBorders>
              <w:top w:val="nil"/>
              <w:left w:val="nil"/>
              <w:bottom w:val="single" w:color="auto" w:sz="4" w:space="0"/>
              <w:right w:val="single" w:color="auto" w:sz="4" w:space="0"/>
            </w:tcBorders>
            <w:vAlign w:val="bottom"/>
          </w:tcPr>
          <w:p w14:paraId="2CF718C0">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67C11E16">
            <w:pPr>
              <w:shd w:val="clear"/>
              <w:rPr>
                <w:rFonts w:ascii="宋体" w:hAnsi="宋体" w:cs="宋体"/>
                <w:color w:val="auto"/>
                <w:kern w:val="0"/>
                <w:sz w:val="20"/>
              </w:rPr>
            </w:pPr>
            <w:r>
              <w:rPr>
                <w:rFonts w:hint="eastAsia" w:ascii="宋体" w:hAnsi="宋体" w:cs="宋体"/>
                <w:color w:val="auto"/>
                <w:kern w:val="0"/>
                <w:sz w:val="20"/>
              </w:rPr>
              <w:t>2000≤Y＜30000</w:t>
            </w:r>
          </w:p>
        </w:tc>
        <w:tc>
          <w:tcPr>
            <w:tcW w:w="1660" w:type="dxa"/>
            <w:tcBorders>
              <w:top w:val="nil"/>
              <w:left w:val="nil"/>
              <w:bottom w:val="single" w:color="auto" w:sz="4" w:space="0"/>
              <w:right w:val="single" w:color="auto" w:sz="8" w:space="0"/>
            </w:tcBorders>
            <w:vAlign w:val="bottom"/>
          </w:tcPr>
          <w:p w14:paraId="7602AF21">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2E157B42">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17780C88">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6E7CC705">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2597376D">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2A8A6CC1">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74B43A16">
            <w:pPr>
              <w:shd w:val="clear"/>
              <w:rPr>
                <w:rFonts w:ascii="宋体" w:hAnsi="宋体" w:cs="宋体"/>
                <w:color w:val="auto"/>
                <w:kern w:val="0"/>
                <w:sz w:val="20"/>
              </w:rPr>
            </w:pPr>
            <w:r>
              <w:rPr>
                <w:rFonts w:hint="eastAsia" w:ascii="宋体" w:hAnsi="宋体" w:cs="宋体"/>
                <w:color w:val="auto"/>
                <w:kern w:val="0"/>
                <w:sz w:val="20"/>
              </w:rPr>
              <w:t>　</w:t>
            </w:r>
          </w:p>
        </w:tc>
      </w:tr>
      <w:tr w14:paraId="33CAB81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2C2B032">
            <w:pPr>
              <w:shd w:val="clear"/>
              <w:rPr>
                <w:rFonts w:ascii="宋体" w:hAnsi="宋体" w:cs="宋体"/>
                <w:color w:val="auto"/>
                <w:kern w:val="0"/>
                <w:sz w:val="20"/>
              </w:rPr>
            </w:pPr>
            <w:r>
              <w:rPr>
                <w:rFonts w:hint="eastAsia" w:ascii="宋体" w:hAnsi="宋体" w:cs="宋体"/>
                <w:color w:val="auto"/>
                <w:kern w:val="0"/>
                <w:sz w:val="20"/>
              </w:rPr>
              <w:t xml:space="preserve"> 9、住宿业</w:t>
            </w:r>
          </w:p>
        </w:tc>
        <w:tc>
          <w:tcPr>
            <w:tcW w:w="1498" w:type="dxa"/>
            <w:tcBorders>
              <w:top w:val="nil"/>
              <w:left w:val="nil"/>
              <w:bottom w:val="single" w:color="auto" w:sz="4" w:space="0"/>
              <w:right w:val="single" w:color="auto" w:sz="4" w:space="0"/>
            </w:tcBorders>
            <w:vAlign w:val="bottom"/>
          </w:tcPr>
          <w:p w14:paraId="5B786842">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4767BB9E">
            <w:pPr>
              <w:shd w:val="clear"/>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1EB2EE15">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736560D6">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7B6D3BD9">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358C91F8">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12344D0D">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6656D49C">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7E4903DF">
            <w:pPr>
              <w:shd w:val="clear"/>
              <w:rPr>
                <w:rFonts w:ascii="宋体" w:hAnsi="宋体" w:cs="宋体"/>
                <w:color w:val="auto"/>
                <w:kern w:val="0"/>
                <w:sz w:val="20"/>
              </w:rPr>
            </w:pPr>
            <w:r>
              <w:rPr>
                <w:rFonts w:hint="eastAsia" w:ascii="宋体" w:hAnsi="宋体" w:cs="宋体"/>
                <w:color w:val="auto"/>
                <w:kern w:val="0"/>
                <w:sz w:val="20"/>
              </w:rPr>
              <w:t>　</w:t>
            </w:r>
          </w:p>
        </w:tc>
      </w:tr>
      <w:tr w14:paraId="1586EEF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E539AC5">
            <w:pPr>
              <w:shd w:val="clear"/>
              <w:rPr>
                <w:rFonts w:ascii="宋体" w:hAnsi="宋体" w:cs="宋体"/>
                <w:color w:val="auto"/>
                <w:kern w:val="0"/>
                <w:sz w:val="20"/>
              </w:rPr>
            </w:pPr>
            <w:r>
              <w:rPr>
                <w:rFonts w:hint="eastAsia" w:ascii="宋体" w:hAnsi="宋体" w:cs="宋体"/>
                <w:color w:val="auto"/>
                <w:kern w:val="0"/>
                <w:sz w:val="20"/>
              </w:rPr>
              <w:t>10、餐饮业</w:t>
            </w:r>
          </w:p>
        </w:tc>
        <w:tc>
          <w:tcPr>
            <w:tcW w:w="1498" w:type="dxa"/>
            <w:tcBorders>
              <w:top w:val="nil"/>
              <w:left w:val="nil"/>
              <w:bottom w:val="single" w:color="auto" w:sz="4" w:space="0"/>
              <w:right w:val="single" w:color="auto" w:sz="4" w:space="0"/>
            </w:tcBorders>
            <w:vAlign w:val="bottom"/>
          </w:tcPr>
          <w:p w14:paraId="100A5372">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1A863CCA">
            <w:pPr>
              <w:shd w:val="clear"/>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4BA19054">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1B3D1545">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1D4C87B5">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30C847B4">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3D61E0E2">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198C9FFD">
            <w:pPr>
              <w:shd w:val="clear"/>
              <w:rPr>
                <w:rFonts w:ascii="宋体" w:hAnsi="宋体" w:cs="宋体"/>
                <w:color w:val="auto"/>
                <w:kern w:val="0"/>
                <w:sz w:val="20"/>
              </w:rPr>
            </w:pPr>
            <w:r>
              <w:rPr>
                <w:rFonts w:hint="eastAsia" w:ascii="宋体" w:hAnsi="宋体" w:cs="宋体"/>
                <w:color w:val="auto"/>
                <w:kern w:val="0"/>
                <w:sz w:val="20"/>
              </w:rPr>
              <w:t>V＜100</w:t>
            </w:r>
          </w:p>
        </w:tc>
        <w:tc>
          <w:tcPr>
            <w:tcW w:w="1221" w:type="dxa"/>
            <w:tcBorders>
              <w:top w:val="nil"/>
              <w:left w:val="nil"/>
              <w:bottom w:val="single" w:color="auto" w:sz="4" w:space="0"/>
              <w:right w:val="single" w:color="auto" w:sz="8" w:space="0"/>
            </w:tcBorders>
            <w:vAlign w:val="bottom"/>
          </w:tcPr>
          <w:p w14:paraId="1EDB4D24">
            <w:pPr>
              <w:shd w:val="clear"/>
              <w:rPr>
                <w:rFonts w:ascii="宋体" w:hAnsi="宋体" w:cs="宋体"/>
                <w:color w:val="auto"/>
                <w:kern w:val="0"/>
                <w:sz w:val="20"/>
              </w:rPr>
            </w:pPr>
            <w:r>
              <w:rPr>
                <w:rFonts w:hint="eastAsia" w:ascii="宋体" w:hAnsi="宋体" w:cs="宋体"/>
                <w:color w:val="auto"/>
                <w:kern w:val="0"/>
                <w:sz w:val="20"/>
              </w:rPr>
              <w:t>　</w:t>
            </w:r>
          </w:p>
        </w:tc>
      </w:tr>
      <w:tr w14:paraId="246A5FC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679020A">
            <w:pPr>
              <w:shd w:val="clear"/>
              <w:rPr>
                <w:rFonts w:ascii="宋体" w:hAnsi="宋体" w:cs="宋体"/>
                <w:color w:val="auto"/>
                <w:kern w:val="0"/>
                <w:sz w:val="20"/>
              </w:rPr>
            </w:pPr>
            <w:r>
              <w:rPr>
                <w:rFonts w:hint="eastAsia" w:ascii="宋体" w:hAnsi="宋体" w:cs="宋体"/>
                <w:color w:val="auto"/>
                <w:kern w:val="0"/>
                <w:sz w:val="20"/>
              </w:rPr>
              <w:t>11、信息传输业</w:t>
            </w:r>
          </w:p>
        </w:tc>
        <w:tc>
          <w:tcPr>
            <w:tcW w:w="1498" w:type="dxa"/>
            <w:tcBorders>
              <w:top w:val="nil"/>
              <w:left w:val="nil"/>
              <w:bottom w:val="single" w:color="auto" w:sz="4" w:space="0"/>
              <w:right w:val="single" w:color="auto" w:sz="4" w:space="0"/>
            </w:tcBorders>
            <w:vAlign w:val="bottom"/>
          </w:tcPr>
          <w:p w14:paraId="3BA507EC">
            <w:pPr>
              <w:shd w:val="clear"/>
              <w:rPr>
                <w:rFonts w:ascii="宋体" w:hAnsi="宋体" w:cs="宋体"/>
                <w:color w:val="auto"/>
                <w:kern w:val="0"/>
                <w:sz w:val="20"/>
              </w:rPr>
            </w:pPr>
            <w:r>
              <w:rPr>
                <w:rFonts w:hint="eastAsia" w:ascii="宋体" w:hAnsi="宋体" w:cs="宋体"/>
                <w:color w:val="auto"/>
                <w:kern w:val="0"/>
                <w:sz w:val="20"/>
              </w:rPr>
              <w:t>100≤X＜2000</w:t>
            </w:r>
          </w:p>
        </w:tc>
        <w:tc>
          <w:tcPr>
            <w:tcW w:w="1763" w:type="dxa"/>
            <w:tcBorders>
              <w:top w:val="nil"/>
              <w:left w:val="nil"/>
              <w:bottom w:val="single" w:color="auto" w:sz="4" w:space="0"/>
              <w:right w:val="single" w:color="auto" w:sz="4" w:space="0"/>
            </w:tcBorders>
            <w:vAlign w:val="bottom"/>
          </w:tcPr>
          <w:p w14:paraId="39E0D409">
            <w:pPr>
              <w:shd w:val="clear"/>
              <w:rPr>
                <w:rFonts w:ascii="宋体" w:hAnsi="宋体" w:cs="宋体"/>
                <w:color w:val="auto"/>
                <w:kern w:val="0"/>
                <w:sz w:val="20"/>
              </w:rPr>
            </w:pPr>
            <w:r>
              <w:rPr>
                <w:rFonts w:hint="eastAsia" w:ascii="宋体" w:hAnsi="宋体" w:cs="宋体"/>
                <w:color w:val="auto"/>
                <w:kern w:val="0"/>
                <w:sz w:val="20"/>
              </w:rPr>
              <w:t>1000≤Y＜100000</w:t>
            </w:r>
          </w:p>
        </w:tc>
        <w:tc>
          <w:tcPr>
            <w:tcW w:w="1660" w:type="dxa"/>
            <w:tcBorders>
              <w:top w:val="nil"/>
              <w:left w:val="nil"/>
              <w:bottom w:val="single" w:color="auto" w:sz="4" w:space="0"/>
              <w:right w:val="single" w:color="auto" w:sz="8" w:space="0"/>
            </w:tcBorders>
            <w:vAlign w:val="bottom"/>
          </w:tcPr>
          <w:p w14:paraId="01235D07">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5BD8D672">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220C8D3B">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3FBB79BF">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5B9DF47B">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74F4452B">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38AFA3F3">
            <w:pPr>
              <w:shd w:val="clear"/>
              <w:rPr>
                <w:rFonts w:ascii="宋体" w:hAnsi="宋体" w:cs="宋体"/>
                <w:color w:val="auto"/>
                <w:kern w:val="0"/>
                <w:sz w:val="20"/>
              </w:rPr>
            </w:pPr>
            <w:r>
              <w:rPr>
                <w:rFonts w:hint="eastAsia" w:ascii="宋体" w:hAnsi="宋体" w:cs="宋体"/>
                <w:color w:val="auto"/>
                <w:kern w:val="0"/>
                <w:sz w:val="20"/>
              </w:rPr>
              <w:t>　</w:t>
            </w:r>
          </w:p>
        </w:tc>
      </w:tr>
      <w:tr w14:paraId="3828791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C68FD64">
            <w:pPr>
              <w:shd w:val="clear"/>
              <w:rPr>
                <w:rFonts w:ascii="宋体" w:hAnsi="宋体" w:cs="宋体"/>
                <w:color w:val="auto"/>
                <w:kern w:val="0"/>
                <w:sz w:val="20"/>
              </w:rPr>
            </w:pPr>
            <w:r>
              <w:rPr>
                <w:rFonts w:hint="eastAsia" w:ascii="宋体" w:hAnsi="宋体" w:cs="宋体"/>
                <w:color w:val="auto"/>
                <w:kern w:val="0"/>
                <w:sz w:val="15"/>
              </w:rPr>
              <w:t>12、软件和信息技术服务业</w:t>
            </w:r>
          </w:p>
        </w:tc>
        <w:tc>
          <w:tcPr>
            <w:tcW w:w="1498" w:type="dxa"/>
            <w:tcBorders>
              <w:top w:val="nil"/>
              <w:left w:val="nil"/>
              <w:bottom w:val="single" w:color="auto" w:sz="4" w:space="0"/>
              <w:right w:val="single" w:color="auto" w:sz="4" w:space="0"/>
            </w:tcBorders>
            <w:vAlign w:val="bottom"/>
          </w:tcPr>
          <w:p w14:paraId="5135005B">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264C564D">
            <w:pPr>
              <w:shd w:val="clear"/>
              <w:rPr>
                <w:rFonts w:ascii="宋体" w:hAnsi="宋体" w:cs="宋体"/>
                <w:color w:val="auto"/>
                <w:kern w:val="0"/>
                <w:sz w:val="20"/>
              </w:rPr>
            </w:pPr>
            <w:r>
              <w:rPr>
                <w:rFonts w:hint="eastAsia" w:ascii="宋体" w:hAnsi="宋体" w:cs="宋体"/>
                <w:color w:val="auto"/>
                <w:kern w:val="0"/>
                <w:sz w:val="20"/>
              </w:rPr>
              <w:t>1000≤Y＜10000</w:t>
            </w:r>
          </w:p>
        </w:tc>
        <w:tc>
          <w:tcPr>
            <w:tcW w:w="1660" w:type="dxa"/>
            <w:tcBorders>
              <w:top w:val="nil"/>
              <w:left w:val="nil"/>
              <w:bottom w:val="single" w:color="auto" w:sz="4" w:space="0"/>
              <w:right w:val="single" w:color="auto" w:sz="8" w:space="0"/>
            </w:tcBorders>
            <w:vAlign w:val="bottom"/>
          </w:tcPr>
          <w:p w14:paraId="5C93BF3B">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6AF6940F">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788304ED">
            <w:pPr>
              <w:shd w:val="clear"/>
              <w:rPr>
                <w:rFonts w:ascii="宋体" w:hAnsi="宋体" w:cs="宋体"/>
                <w:color w:val="auto"/>
                <w:kern w:val="0"/>
                <w:sz w:val="20"/>
              </w:rPr>
            </w:pPr>
            <w:r>
              <w:rPr>
                <w:rFonts w:hint="eastAsia" w:ascii="宋体" w:hAnsi="宋体" w:cs="宋体"/>
                <w:color w:val="auto"/>
                <w:kern w:val="0"/>
                <w:sz w:val="20"/>
              </w:rPr>
              <w:t xml:space="preserve"> 50≤Y＜1000</w:t>
            </w:r>
          </w:p>
        </w:tc>
        <w:tc>
          <w:tcPr>
            <w:tcW w:w="1520" w:type="dxa"/>
            <w:tcBorders>
              <w:top w:val="nil"/>
              <w:left w:val="nil"/>
              <w:bottom w:val="single" w:color="auto" w:sz="4" w:space="0"/>
              <w:right w:val="single" w:color="auto" w:sz="8" w:space="0"/>
            </w:tcBorders>
            <w:vAlign w:val="bottom"/>
          </w:tcPr>
          <w:p w14:paraId="61139846">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44E30DC3">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5D994BE3">
            <w:pPr>
              <w:shd w:val="clear"/>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2F80901B">
            <w:pPr>
              <w:shd w:val="clear"/>
              <w:rPr>
                <w:rFonts w:ascii="宋体" w:hAnsi="宋体" w:cs="宋体"/>
                <w:color w:val="auto"/>
                <w:kern w:val="0"/>
                <w:sz w:val="20"/>
              </w:rPr>
            </w:pPr>
            <w:r>
              <w:rPr>
                <w:rFonts w:hint="eastAsia" w:ascii="宋体" w:hAnsi="宋体" w:cs="宋体"/>
                <w:color w:val="auto"/>
                <w:kern w:val="0"/>
                <w:sz w:val="20"/>
              </w:rPr>
              <w:t>　</w:t>
            </w:r>
          </w:p>
        </w:tc>
      </w:tr>
      <w:tr w14:paraId="277F6B9C">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64B4BD41">
            <w:pPr>
              <w:shd w:val="clear"/>
              <w:rPr>
                <w:rFonts w:ascii="宋体" w:hAnsi="宋体" w:cs="宋体"/>
                <w:color w:val="auto"/>
                <w:kern w:val="0"/>
                <w:sz w:val="20"/>
              </w:rPr>
            </w:pPr>
            <w:r>
              <w:rPr>
                <w:rFonts w:hint="eastAsia" w:ascii="宋体" w:hAnsi="宋体" w:cs="宋体"/>
                <w:color w:val="auto"/>
                <w:kern w:val="0"/>
                <w:sz w:val="20"/>
              </w:rPr>
              <w:t>13、房地产开发经营</w:t>
            </w:r>
          </w:p>
        </w:tc>
        <w:tc>
          <w:tcPr>
            <w:tcW w:w="1498" w:type="dxa"/>
            <w:tcBorders>
              <w:top w:val="nil"/>
              <w:left w:val="nil"/>
              <w:bottom w:val="single" w:color="auto" w:sz="4" w:space="0"/>
              <w:right w:val="single" w:color="auto" w:sz="4" w:space="0"/>
            </w:tcBorders>
            <w:vAlign w:val="bottom"/>
          </w:tcPr>
          <w:p w14:paraId="7110FA77">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1D644F4E">
            <w:pPr>
              <w:shd w:val="clear"/>
              <w:rPr>
                <w:rFonts w:ascii="宋体" w:hAnsi="宋体" w:cs="宋体"/>
                <w:color w:val="auto"/>
                <w:kern w:val="0"/>
                <w:sz w:val="20"/>
              </w:rPr>
            </w:pPr>
            <w:r>
              <w:rPr>
                <w:rFonts w:hint="eastAsia" w:ascii="宋体" w:hAnsi="宋体" w:cs="宋体"/>
                <w:color w:val="auto"/>
                <w:kern w:val="0"/>
                <w:sz w:val="20"/>
              </w:rPr>
              <w:t>1000≤Y＜200000</w:t>
            </w:r>
          </w:p>
        </w:tc>
        <w:tc>
          <w:tcPr>
            <w:tcW w:w="1660" w:type="dxa"/>
            <w:tcBorders>
              <w:top w:val="nil"/>
              <w:left w:val="nil"/>
              <w:bottom w:val="single" w:color="auto" w:sz="4" w:space="0"/>
              <w:right w:val="single" w:color="auto" w:sz="8" w:space="0"/>
            </w:tcBorders>
            <w:vAlign w:val="bottom"/>
          </w:tcPr>
          <w:p w14:paraId="6BEE5FA3">
            <w:pPr>
              <w:shd w:val="clear"/>
              <w:rPr>
                <w:rFonts w:ascii="宋体" w:hAnsi="宋体" w:cs="宋体"/>
                <w:color w:val="auto"/>
                <w:kern w:val="0"/>
                <w:sz w:val="20"/>
              </w:rPr>
            </w:pPr>
            <w:r>
              <w:rPr>
                <w:rFonts w:hint="eastAsia" w:ascii="宋体" w:hAnsi="宋体" w:cs="宋体"/>
                <w:color w:val="auto"/>
                <w:kern w:val="0"/>
                <w:sz w:val="20"/>
              </w:rPr>
              <w:t>5000≤Z＜10000</w:t>
            </w:r>
          </w:p>
        </w:tc>
        <w:tc>
          <w:tcPr>
            <w:tcW w:w="1240" w:type="dxa"/>
            <w:tcBorders>
              <w:top w:val="nil"/>
              <w:left w:val="nil"/>
              <w:bottom w:val="single" w:color="auto" w:sz="4" w:space="0"/>
              <w:right w:val="single" w:color="auto" w:sz="4" w:space="0"/>
            </w:tcBorders>
            <w:vAlign w:val="bottom"/>
          </w:tcPr>
          <w:p w14:paraId="5F1258D6">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66A74D18">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5B6AB70A">
            <w:pPr>
              <w:shd w:val="clear"/>
              <w:rPr>
                <w:rFonts w:ascii="宋体" w:hAnsi="宋体" w:cs="宋体"/>
                <w:color w:val="auto"/>
                <w:kern w:val="0"/>
                <w:sz w:val="20"/>
              </w:rPr>
            </w:pPr>
            <w:r>
              <w:rPr>
                <w:rFonts w:hint="eastAsia" w:ascii="宋体" w:hAnsi="宋体" w:cs="宋体"/>
                <w:color w:val="auto"/>
                <w:kern w:val="0"/>
                <w:sz w:val="20"/>
              </w:rPr>
              <w:t>2000≤Z＜5000</w:t>
            </w:r>
          </w:p>
        </w:tc>
        <w:tc>
          <w:tcPr>
            <w:tcW w:w="1285" w:type="dxa"/>
            <w:tcBorders>
              <w:top w:val="nil"/>
              <w:left w:val="nil"/>
              <w:bottom w:val="single" w:color="auto" w:sz="4" w:space="0"/>
              <w:right w:val="single" w:color="auto" w:sz="4" w:space="0"/>
            </w:tcBorders>
            <w:vAlign w:val="bottom"/>
          </w:tcPr>
          <w:p w14:paraId="30149409">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1A234550">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486C6D06">
            <w:pPr>
              <w:shd w:val="clear"/>
              <w:rPr>
                <w:rFonts w:ascii="宋体" w:hAnsi="宋体" w:cs="宋体"/>
                <w:color w:val="auto"/>
                <w:kern w:val="0"/>
                <w:sz w:val="20"/>
              </w:rPr>
            </w:pPr>
            <w:r>
              <w:rPr>
                <w:rFonts w:hint="eastAsia" w:ascii="宋体" w:hAnsi="宋体" w:cs="宋体"/>
                <w:color w:val="auto"/>
                <w:kern w:val="0"/>
                <w:sz w:val="20"/>
              </w:rPr>
              <w:t>Z＜2000</w:t>
            </w:r>
          </w:p>
        </w:tc>
      </w:tr>
      <w:tr w14:paraId="177A78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45C31759">
            <w:pPr>
              <w:shd w:val="clear"/>
              <w:rPr>
                <w:rFonts w:ascii="宋体" w:hAnsi="宋体" w:cs="宋体"/>
                <w:color w:val="auto"/>
                <w:kern w:val="0"/>
                <w:sz w:val="20"/>
              </w:rPr>
            </w:pPr>
            <w:r>
              <w:rPr>
                <w:rFonts w:hint="eastAsia" w:ascii="宋体" w:hAnsi="宋体" w:cs="宋体"/>
                <w:color w:val="auto"/>
                <w:kern w:val="0"/>
                <w:sz w:val="20"/>
              </w:rPr>
              <w:t>14、物业管理</w:t>
            </w:r>
          </w:p>
        </w:tc>
        <w:tc>
          <w:tcPr>
            <w:tcW w:w="1498" w:type="dxa"/>
            <w:tcBorders>
              <w:top w:val="nil"/>
              <w:left w:val="nil"/>
              <w:bottom w:val="single" w:color="auto" w:sz="4" w:space="0"/>
              <w:right w:val="single" w:color="auto" w:sz="4" w:space="0"/>
            </w:tcBorders>
            <w:vAlign w:val="bottom"/>
          </w:tcPr>
          <w:p w14:paraId="18C55852">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42C5C05D">
            <w:pPr>
              <w:shd w:val="clear"/>
              <w:rPr>
                <w:rFonts w:ascii="宋体" w:hAnsi="宋体" w:cs="宋体"/>
                <w:color w:val="auto"/>
                <w:kern w:val="0"/>
                <w:sz w:val="20"/>
              </w:rPr>
            </w:pPr>
            <w:r>
              <w:rPr>
                <w:rFonts w:hint="eastAsia" w:ascii="宋体" w:hAnsi="宋体" w:cs="宋体"/>
                <w:color w:val="auto"/>
                <w:kern w:val="0"/>
                <w:sz w:val="20"/>
              </w:rPr>
              <w:t>1000≤Y＜5000</w:t>
            </w:r>
          </w:p>
        </w:tc>
        <w:tc>
          <w:tcPr>
            <w:tcW w:w="1660" w:type="dxa"/>
            <w:tcBorders>
              <w:top w:val="nil"/>
              <w:left w:val="nil"/>
              <w:bottom w:val="single" w:color="auto" w:sz="4" w:space="0"/>
              <w:right w:val="single" w:color="auto" w:sz="8" w:space="0"/>
            </w:tcBorders>
            <w:vAlign w:val="bottom"/>
          </w:tcPr>
          <w:p w14:paraId="37443B26">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51F623A">
            <w:pPr>
              <w:shd w:val="clear"/>
              <w:rPr>
                <w:rFonts w:ascii="宋体" w:hAnsi="宋体" w:cs="宋体"/>
                <w:color w:val="auto"/>
                <w:kern w:val="0"/>
                <w:sz w:val="20"/>
              </w:rPr>
            </w:pPr>
            <w:r>
              <w:rPr>
                <w:rFonts w:hint="eastAsia" w:ascii="宋体" w:hAnsi="宋体" w:cs="宋体"/>
                <w:color w:val="auto"/>
                <w:kern w:val="0"/>
                <w:sz w:val="20"/>
              </w:rPr>
              <w:t>100≤X＜300</w:t>
            </w:r>
          </w:p>
        </w:tc>
        <w:tc>
          <w:tcPr>
            <w:tcW w:w="1636" w:type="dxa"/>
            <w:tcBorders>
              <w:top w:val="nil"/>
              <w:left w:val="nil"/>
              <w:bottom w:val="single" w:color="auto" w:sz="4" w:space="0"/>
              <w:right w:val="single" w:color="auto" w:sz="4" w:space="0"/>
            </w:tcBorders>
            <w:vAlign w:val="bottom"/>
          </w:tcPr>
          <w:p w14:paraId="3008D2BF">
            <w:pPr>
              <w:shd w:val="clear"/>
              <w:rPr>
                <w:rFonts w:ascii="宋体" w:hAnsi="宋体" w:cs="宋体"/>
                <w:color w:val="auto"/>
                <w:kern w:val="0"/>
                <w:sz w:val="20"/>
              </w:rPr>
            </w:pPr>
            <w:r>
              <w:rPr>
                <w:rFonts w:hint="eastAsia" w:ascii="宋体" w:hAnsi="宋体" w:cs="宋体"/>
                <w:color w:val="auto"/>
                <w:kern w:val="0"/>
                <w:sz w:val="20"/>
              </w:rPr>
              <w:t>500≤Y＜1000</w:t>
            </w:r>
          </w:p>
        </w:tc>
        <w:tc>
          <w:tcPr>
            <w:tcW w:w="1520" w:type="dxa"/>
            <w:tcBorders>
              <w:top w:val="nil"/>
              <w:left w:val="nil"/>
              <w:bottom w:val="single" w:color="auto" w:sz="4" w:space="0"/>
              <w:right w:val="single" w:color="auto" w:sz="8" w:space="0"/>
            </w:tcBorders>
            <w:vAlign w:val="bottom"/>
          </w:tcPr>
          <w:p w14:paraId="0C9FA130">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0F198F0B">
            <w:pPr>
              <w:shd w:val="clear"/>
              <w:rPr>
                <w:rFonts w:ascii="宋体" w:hAnsi="宋体" w:cs="宋体"/>
                <w:color w:val="auto"/>
                <w:kern w:val="0"/>
                <w:sz w:val="20"/>
              </w:rPr>
            </w:pPr>
            <w:r>
              <w:rPr>
                <w:rFonts w:hint="eastAsia" w:ascii="宋体" w:hAnsi="宋体" w:cs="宋体"/>
                <w:color w:val="auto"/>
                <w:kern w:val="0"/>
                <w:sz w:val="20"/>
              </w:rPr>
              <w:t>X＜100</w:t>
            </w:r>
          </w:p>
        </w:tc>
        <w:tc>
          <w:tcPr>
            <w:tcW w:w="1275" w:type="dxa"/>
            <w:tcBorders>
              <w:top w:val="nil"/>
              <w:left w:val="nil"/>
              <w:bottom w:val="single" w:color="auto" w:sz="4" w:space="0"/>
              <w:right w:val="single" w:color="auto" w:sz="4" w:space="0"/>
            </w:tcBorders>
            <w:vAlign w:val="bottom"/>
          </w:tcPr>
          <w:p w14:paraId="0C401B49">
            <w:pPr>
              <w:shd w:val="clear"/>
              <w:rPr>
                <w:rFonts w:ascii="宋体" w:hAnsi="宋体" w:cs="宋体"/>
                <w:color w:val="auto"/>
                <w:kern w:val="0"/>
                <w:sz w:val="20"/>
              </w:rPr>
            </w:pPr>
            <w:r>
              <w:rPr>
                <w:rFonts w:hint="eastAsia" w:ascii="宋体" w:hAnsi="宋体" w:cs="宋体"/>
                <w:color w:val="auto"/>
                <w:kern w:val="0"/>
                <w:sz w:val="20"/>
              </w:rPr>
              <w:t>Y＜500</w:t>
            </w:r>
          </w:p>
        </w:tc>
        <w:tc>
          <w:tcPr>
            <w:tcW w:w="1221" w:type="dxa"/>
            <w:tcBorders>
              <w:top w:val="nil"/>
              <w:left w:val="nil"/>
              <w:bottom w:val="single" w:color="auto" w:sz="4" w:space="0"/>
              <w:right w:val="single" w:color="auto" w:sz="8" w:space="0"/>
            </w:tcBorders>
            <w:vAlign w:val="bottom"/>
          </w:tcPr>
          <w:p w14:paraId="0B1D710E">
            <w:pPr>
              <w:shd w:val="clear"/>
              <w:rPr>
                <w:rFonts w:ascii="宋体" w:hAnsi="宋体" w:cs="宋体"/>
                <w:color w:val="auto"/>
                <w:kern w:val="0"/>
                <w:sz w:val="20"/>
              </w:rPr>
            </w:pPr>
            <w:r>
              <w:rPr>
                <w:rFonts w:hint="eastAsia" w:ascii="宋体" w:hAnsi="宋体" w:cs="宋体"/>
                <w:color w:val="auto"/>
                <w:kern w:val="0"/>
                <w:sz w:val="20"/>
              </w:rPr>
              <w:t>　</w:t>
            </w:r>
          </w:p>
        </w:tc>
      </w:tr>
      <w:tr w14:paraId="05BFD30B">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4B0E8D36">
            <w:pPr>
              <w:shd w:val="clear"/>
              <w:rPr>
                <w:rFonts w:ascii="宋体" w:hAnsi="宋体" w:cs="宋体"/>
                <w:color w:val="auto"/>
                <w:kern w:val="0"/>
                <w:sz w:val="20"/>
              </w:rPr>
            </w:pPr>
            <w:r>
              <w:rPr>
                <w:rFonts w:hint="eastAsia" w:ascii="宋体" w:hAnsi="宋体" w:cs="宋体"/>
                <w:color w:val="auto"/>
                <w:kern w:val="0"/>
                <w:sz w:val="18"/>
              </w:rPr>
              <w:t>15、租赁和商务服务业</w:t>
            </w:r>
          </w:p>
        </w:tc>
        <w:tc>
          <w:tcPr>
            <w:tcW w:w="1498" w:type="dxa"/>
            <w:tcBorders>
              <w:top w:val="nil"/>
              <w:left w:val="nil"/>
              <w:bottom w:val="single" w:color="auto" w:sz="4" w:space="0"/>
              <w:right w:val="single" w:color="auto" w:sz="4" w:space="0"/>
            </w:tcBorders>
            <w:vAlign w:val="bottom"/>
          </w:tcPr>
          <w:p w14:paraId="25FAAB84">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43251D67">
            <w:pPr>
              <w:shd w:val="clear"/>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4" w:space="0"/>
              <w:right w:val="single" w:color="auto" w:sz="8" w:space="0"/>
            </w:tcBorders>
            <w:vAlign w:val="bottom"/>
          </w:tcPr>
          <w:p w14:paraId="796764EE">
            <w:pPr>
              <w:shd w:val="clear"/>
              <w:rPr>
                <w:rFonts w:ascii="宋体" w:hAnsi="宋体" w:cs="宋体"/>
                <w:color w:val="auto"/>
                <w:kern w:val="0"/>
                <w:sz w:val="20"/>
              </w:rPr>
            </w:pPr>
            <w:r>
              <w:rPr>
                <w:rFonts w:hint="eastAsia" w:ascii="宋体" w:hAnsi="宋体" w:cs="宋体"/>
                <w:color w:val="auto"/>
                <w:kern w:val="0"/>
                <w:sz w:val="18"/>
              </w:rPr>
              <w:t>8000≤Z＜120000</w:t>
            </w:r>
          </w:p>
        </w:tc>
        <w:tc>
          <w:tcPr>
            <w:tcW w:w="1240" w:type="dxa"/>
            <w:tcBorders>
              <w:top w:val="nil"/>
              <w:left w:val="nil"/>
              <w:bottom w:val="single" w:color="auto" w:sz="4" w:space="0"/>
              <w:right w:val="single" w:color="auto" w:sz="4" w:space="0"/>
            </w:tcBorders>
            <w:vAlign w:val="bottom"/>
          </w:tcPr>
          <w:p w14:paraId="4CD80A4C">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755A670A">
            <w:pPr>
              <w:shd w:val="clear"/>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4" w:space="0"/>
              <w:right w:val="single" w:color="auto" w:sz="8" w:space="0"/>
            </w:tcBorders>
            <w:vAlign w:val="bottom"/>
          </w:tcPr>
          <w:p w14:paraId="40EF7C57">
            <w:pPr>
              <w:shd w:val="clear"/>
              <w:rPr>
                <w:rFonts w:ascii="宋体" w:hAnsi="宋体" w:cs="宋体"/>
                <w:color w:val="auto"/>
                <w:kern w:val="0"/>
                <w:sz w:val="20"/>
              </w:rPr>
            </w:pPr>
            <w:r>
              <w:rPr>
                <w:rFonts w:hint="eastAsia" w:ascii="宋体" w:hAnsi="宋体" w:cs="宋体"/>
                <w:color w:val="auto"/>
                <w:kern w:val="0"/>
                <w:sz w:val="20"/>
              </w:rPr>
              <w:t xml:space="preserve"> 100≤Z＜8000</w:t>
            </w:r>
          </w:p>
        </w:tc>
        <w:tc>
          <w:tcPr>
            <w:tcW w:w="1285" w:type="dxa"/>
            <w:tcBorders>
              <w:top w:val="nil"/>
              <w:left w:val="nil"/>
              <w:bottom w:val="single" w:color="auto" w:sz="4" w:space="0"/>
              <w:right w:val="single" w:color="auto" w:sz="4" w:space="0"/>
            </w:tcBorders>
            <w:vAlign w:val="bottom"/>
          </w:tcPr>
          <w:p w14:paraId="71282B21">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5E0136BE">
            <w:pPr>
              <w:shd w:val="clear"/>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4" w:space="0"/>
              <w:right w:val="single" w:color="auto" w:sz="8" w:space="0"/>
            </w:tcBorders>
            <w:vAlign w:val="bottom"/>
          </w:tcPr>
          <w:p w14:paraId="0F9B67B7">
            <w:pPr>
              <w:shd w:val="clear"/>
              <w:rPr>
                <w:rFonts w:ascii="宋体" w:hAnsi="宋体" w:cs="宋体"/>
                <w:color w:val="auto"/>
                <w:kern w:val="0"/>
                <w:sz w:val="20"/>
              </w:rPr>
            </w:pPr>
            <w:r>
              <w:rPr>
                <w:rFonts w:hint="eastAsia" w:ascii="宋体" w:hAnsi="宋体" w:cs="宋体"/>
                <w:color w:val="auto"/>
                <w:kern w:val="0"/>
                <w:sz w:val="20"/>
              </w:rPr>
              <w:t>Z＜100</w:t>
            </w:r>
          </w:p>
        </w:tc>
      </w:tr>
      <w:tr w14:paraId="5AD01987">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14:paraId="30D3A8CE">
            <w:pPr>
              <w:shd w:val="clear"/>
              <w:rPr>
                <w:rFonts w:ascii="宋体" w:hAnsi="宋体" w:cs="宋体"/>
                <w:color w:val="auto"/>
                <w:kern w:val="0"/>
                <w:sz w:val="20"/>
              </w:rPr>
            </w:pPr>
            <w:r>
              <w:rPr>
                <w:rFonts w:hint="eastAsia" w:ascii="宋体" w:hAnsi="宋体" w:cs="宋体"/>
                <w:color w:val="auto"/>
                <w:kern w:val="0"/>
                <w:sz w:val="20"/>
              </w:rPr>
              <w:t>16、其他未列明行业</w:t>
            </w:r>
          </w:p>
        </w:tc>
        <w:tc>
          <w:tcPr>
            <w:tcW w:w="1498" w:type="dxa"/>
            <w:tcBorders>
              <w:top w:val="nil"/>
              <w:left w:val="nil"/>
              <w:bottom w:val="single" w:color="auto" w:sz="8" w:space="0"/>
              <w:right w:val="single" w:color="auto" w:sz="4" w:space="0"/>
            </w:tcBorders>
            <w:vAlign w:val="bottom"/>
          </w:tcPr>
          <w:p w14:paraId="6133C7C1">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8" w:space="0"/>
              <w:right w:val="single" w:color="auto" w:sz="4" w:space="0"/>
            </w:tcBorders>
            <w:vAlign w:val="bottom"/>
          </w:tcPr>
          <w:p w14:paraId="588022A9">
            <w:pPr>
              <w:shd w:val="clear"/>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8" w:space="0"/>
              <w:right w:val="single" w:color="auto" w:sz="8" w:space="0"/>
            </w:tcBorders>
            <w:vAlign w:val="bottom"/>
          </w:tcPr>
          <w:p w14:paraId="230939F9">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8" w:space="0"/>
              <w:right w:val="single" w:color="auto" w:sz="4" w:space="0"/>
            </w:tcBorders>
            <w:vAlign w:val="bottom"/>
          </w:tcPr>
          <w:p w14:paraId="12AF3117">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8" w:space="0"/>
              <w:right w:val="single" w:color="auto" w:sz="4" w:space="0"/>
            </w:tcBorders>
            <w:vAlign w:val="bottom"/>
          </w:tcPr>
          <w:p w14:paraId="0E2485CE">
            <w:pPr>
              <w:shd w:val="clear"/>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8" w:space="0"/>
              <w:right w:val="single" w:color="auto" w:sz="8" w:space="0"/>
            </w:tcBorders>
            <w:vAlign w:val="bottom"/>
          </w:tcPr>
          <w:p w14:paraId="6DC0B3DB">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8" w:space="0"/>
              <w:right w:val="single" w:color="auto" w:sz="4" w:space="0"/>
            </w:tcBorders>
            <w:vAlign w:val="bottom"/>
          </w:tcPr>
          <w:p w14:paraId="1563C882">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8" w:space="0"/>
              <w:right w:val="single" w:color="auto" w:sz="4" w:space="0"/>
            </w:tcBorders>
            <w:vAlign w:val="bottom"/>
          </w:tcPr>
          <w:p w14:paraId="742C032D">
            <w:pPr>
              <w:shd w:val="clear"/>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8" w:space="0"/>
              <w:right w:val="single" w:color="auto" w:sz="8" w:space="0"/>
            </w:tcBorders>
            <w:vAlign w:val="bottom"/>
          </w:tcPr>
          <w:p w14:paraId="0A4C940C">
            <w:pPr>
              <w:shd w:val="clear"/>
              <w:rPr>
                <w:rFonts w:ascii="宋体" w:hAnsi="宋体" w:cs="宋体"/>
                <w:color w:val="auto"/>
                <w:kern w:val="0"/>
                <w:sz w:val="20"/>
              </w:rPr>
            </w:pPr>
            <w:r>
              <w:rPr>
                <w:rFonts w:hint="eastAsia" w:ascii="宋体" w:hAnsi="宋体" w:cs="宋体"/>
                <w:color w:val="auto"/>
                <w:kern w:val="0"/>
                <w:sz w:val="20"/>
              </w:rPr>
              <w:t>　</w:t>
            </w:r>
          </w:p>
        </w:tc>
      </w:tr>
    </w:tbl>
    <w:p w14:paraId="3C050A91">
      <w:pPr>
        <w:shd w:val="clear"/>
        <w:spacing w:line="360" w:lineRule="auto"/>
        <w:ind w:right="-283" w:firstLine="480"/>
        <w:rPr>
          <w:rFonts w:asciiTheme="minorEastAsia" w:hAnsiTheme="minorEastAsia" w:eastAsiaTheme="minorEastAsia" w:cstheme="minorEastAsia"/>
          <w:color w:val="auto"/>
          <w:sz w:val="24"/>
        </w:rPr>
        <w:sectPr>
          <w:pgSz w:w="16838" w:h="11906" w:orient="landscape"/>
          <w:pgMar w:top="1800" w:right="1440" w:bottom="1800" w:left="1440" w:header="851" w:footer="992" w:gutter="0"/>
          <w:cols w:space="425" w:num="1"/>
          <w:docGrid w:type="lines" w:linePitch="312" w:charSpace="0"/>
        </w:sectPr>
      </w:pPr>
    </w:p>
    <w:p w14:paraId="1D848813">
      <w:pPr>
        <w:shd w:val="clear"/>
        <w:spacing w:line="360" w:lineRule="auto"/>
        <w:ind w:right="-283" w:firstLine="480"/>
        <w:rPr>
          <w:rFonts w:asciiTheme="minorEastAsia" w:hAnsiTheme="minorEastAsia" w:eastAsiaTheme="minorEastAsia" w:cstheme="minorEastAsia"/>
          <w:color w:val="auto"/>
          <w:sz w:val="24"/>
        </w:rPr>
      </w:pPr>
    </w:p>
    <w:p w14:paraId="6CB29E58">
      <w:pPr>
        <w:shd w:val="clear"/>
        <w:spacing w:line="360" w:lineRule="auto"/>
        <w:ind w:firstLine="643"/>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bCs/>
          <w:color w:val="auto"/>
          <w:sz w:val="32"/>
          <w:szCs w:val="32"/>
        </w:rPr>
        <w:t>四、残疾人福利性单位声明函</w:t>
      </w:r>
    </w:p>
    <w:p w14:paraId="5704B5DA">
      <w:pPr>
        <w:shd w:val="clear"/>
        <w:spacing w:line="360" w:lineRule="auto"/>
        <w:ind w:firstLine="626"/>
        <w:rPr>
          <w:rFonts w:asciiTheme="minorEastAsia" w:hAnsiTheme="minorEastAsia" w:eastAsiaTheme="minorEastAsia" w:cstheme="minorEastAsia"/>
          <w:b/>
          <w:color w:val="auto"/>
          <w:spacing w:val="6"/>
          <w:sz w:val="30"/>
          <w:szCs w:val="30"/>
        </w:rPr>
      </w:pPr>
    </w:p>
    <w:p w14:paraId="16920040">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881F3D">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14:paraId="0091EE6E">
      <w:pPr>
        <w:shd w:val="clear"/>
        <w:spacing w:line="360" w:lineRule="auto"/>
        <w:ind w:firstLine="480" w:firstLineChars="200"/>
        <w:rPr>
          <w:rFonts w:asciiTheme="minorEastAsia" w:hAnsiTheme="minorEastAsia" w:eastAsiaTheme="minorEastAsia" w:cstheme="minorEastAsia"/>
          <w:color w:val="auto"/>
          <w:sz w:val="24"/>
        </w:rPr>
      </w:pPr>
    </w:p>
    <w:p w14:paraId="0DF57345">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p>
    <w:p w14:paraId="582FE838">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4075C122">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5FE9C338">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47E2D107">
      <w:pPr>
        <w:shd w:val="clear"/>
        <w:spacing w:line="360" w:lineRule="auto"/>
        <w:ind w:firstLine="643" w:firstLineChars="200"/>
        <w:rPr>
          <w:rFonts w:asciiTheme="minorEastAsia" w:hAnsiTheme="minorEastAsia" w:eastAsiaTheme="minorEastAsia" w:cstheme="minorEastAsia"/>
          <w:b/>
          <w:color w:val="auto"/>
          <w:sz w:val="32"/>
          <w:szCs w:val="32"/>
        </w:rPr>
      </w:pPr>
    </w:p>
    <w:p w14:paraId="6618DD7E">
      <w:pPr>
        <w:shd w:val="clear"/>
        <w:spacing w:line="360" w:lineRule="auto"/>
        <w:ind w:firstLine="643"/>
        <w:rPr>
          <w:rFonts w:asciiTheme="minorEastAsia" w:hAnsiTheme="minorEastAsia" w:eastAsiaTheme="minorEastAsia" w:cstheme="minorEastAsia"/>
          <w:b/>
          <w:color w:val="auto"/>
          <w:sz w:val="32"/>
          <w:szCs w:val="32"/>
        </w:rPr>
      </w:pPr>
    </w:p>
    <w:p w14:paraId="614689E5">
      <w:pPr>
        <w:numPr>
          <w:ilvl w:val="0"/>
          <w:numId w:val="6"/>
        </w:numPr>
        <w:shd w:val="clear"/>
        <w:spacing w:line="360" w:lineRule="auto"/>
        <w:ind w:firstLine="667"/>
        <w:jc w:val="center"/>
        <w:rPr>
          <w:rFonts w:asciiTheme="minorEastAsia" w:hAnsiTheme="minorEastAsia" w:eastAsiaTheme="minorEastAsia" w:cstheme="minorEastAsia"/>
          <w:b/>
          <w:color w:val="auto"/>
          <w:spacing w:val="6"/>
          <w:sz w:val="32"/>
          <w:szCs w:val="32"/>
        </w:rPr>
      </w:pPr>
      <w:r>
        <w:rPr>
          <w:rFonts w:hint="eastAsia" w:asciiTheme="minorEastAsia" w:hAnsiTheme="minorEastAsia" w:eastAsiaTheme="minorEastAsia" w:cstheme="minorEastAsia"/>
          <w:b/>
          <w:color w:val="auto"/>
          <w:spacing w:val="6"/>
          <w:sz w:val="32"/>
          <w:szCs w:val="32"/>
        </w:rPr>
        <w:br w:type="page"/>
      </w:r>
      <w:r>
        <w:rPr>
          <w:rFonts w:hint="eastAsia" w:asciiTheme="minorEastAsia" w:hAnsiTheme="minorEastAsia" w:eastAsiaTheme="minorEastAsia" w:cstheme="minorEastAsia"/>
          <w:b/>
          <w:color w:val="auto"/>
          <w:spacing w:val="6"/>
          <w:sz w:val="32"/>
          <w:szCs w:val="32"/>
        </w:rPr>
        <w:t>采购统计基础信息表</w:t>
      </w:r>
    </w:p>
    <w:p w14:paraId="3DF024FA">
      <w:pPr>
        <w:pStyle w:val="34"/>
        <w:shd w:val="clear"/>
        <w:spacing w:line="360" w:lineRule="auto"/>
        <w:ind w:firstLine="0" w:firstLineChars="0"/>
        <w:rPr>
          <w:rFonts w:asciiTheme="minorEastAsia" w:hAnsiTheme="minorEastAsia" w:eastAsiaTheme="minorEastAsia" w:cstheme="minorEastAsia"/>
          <w:color w:val="auto"/>
        </w:rPr>
      </w:pPr>
    </w:p>
    <w:tbl>
      <w:tblPr>
        <w:tblStyle w:val="27"/>
        <w:tblW w:w="8537" w:type="dxa"/>
        <w:jc w:val="center"/>
        <w:tblLayout w:type="fixed"/>
        <w:tblCellMar>
          <w:top w:w="0" w:type="dxa"/>
          <w:left w:w="108" w:type="dxa"/>
          <w:bottom w:w="0" w:type="dxa"/>
          <w:right w:w="108" w:type="dxa"/>
        </w:tblCellMar>
      </w:tblPr>
      <w:tblGrid>
        <w:gridCol w:w="4998"/>
        <w:gridCol w:w="3539"/>
      </w:tblGrid>
      <w:tr w14:paraId="4B6CB55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85824BC">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采购人及采购项目名称</w:t>
            </w:r>
          </w:p>
        </w:tc>
        <w:tc>
          <w:tcPr>
            <w:tcW w:w="3539" w:type="dxa"/>
            <w:tcBorders>
              <w:top w:val="single" w:color="000000" w:sz="4" w:space="0"/>
              <w:left w:val="nil"/>
              <w:bottom w:val="single" w:color="000000" w:sz="4" w:space="0"/>
              <w:right w:val="single" w:color="000000" w:sz="4" w:space="0"/>
            </w:tcBorders>
          </w:tcPr>
          <w:p w14:paraId="3356EAEF">
            <w:pPr>
              <w:shd w:val="clear"/>
              <w:spacing w:line="360" w:lineRule="auto"/>
              <w:rPr>
                <w:rFonts w:asciiTheme="minorEastAsia" w:hAnsiTheme="minorEastAsia" w:eastAsiaTheme="minorEastAsia" w:cstheme="minorEastAsia"/>
                <w:color w:val="auto"/>
              </w:rPr>
            </w:pPr>
          </w:p>
        </w:tc>
      </w:tr>
      <w:tr w14:paraId="742BB92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D4EECEF">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w:t>
            </w:r>
          </w:p>
        </w:tc>
        <w:tc>
          <w:tcPr>
            <w:tcW w:w="3539" w:type="dxa"/>
            <w:tcBorders>
              <w:top w:val="single" w:color="000000" w:sz="4" w:space="0"/>
              <w:left w:val="nil"/>
              <w:bottom w:val="single" w:color="000000" w:sz="4" w:space="0"/>
              <w:right w:val="single" w:color="000000" w:sz="4" w:space="0"/>
            </w:tcBorders>
          </w:tcPr>
          <w:p w14:paraId="33119A2B">
            <w:pPr>
              <w:shd w:val="clear"/>
              <w:spacing w:line="360" w:lineRule="auto"/>
              <w:rPr>
                <w:rFonts w:asciiTheme="minorEastAsia" w:hAnsiTheme="minorEastAsia" w:eastAsiaTheme="minorEastAsia" w:cstheme="minorEastAsia"/>
                <w:color w:val="auto"/>
              </w:rPr>
            </w:pPr>
          </w:p>
        </w:tc>
      </w:tr>
      <w:tr w14:paraId="5974B7F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298A233">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供应商是否为外商投资企业</w:t>
            </w:r>
          </w:p>
        </w:tc>
        <w:tc>
          <w:tcPr>
            <w:tcW w:w="3539" w:type="dxa"/>
            <w:tcBorders>
              <w:top w:val="single" w:color="000000" w:sz="4" w:space="0"/>
              <w:left w:val="nil"/>
              <w:bottom w:val="single" w:color="000000" w:sz="4" w:space="0"/>
              <w:right w:val="single" w:color="000000" w:sz="4" w:space="0"/>
            </w:tcBorders>
          </w:tcPr>
          <w:p w14:paraId="609075AA">
            <w:pPr>
              <w:shd w:val="clear"/>
              <w:spacing w:line="360" w:lineRule="auto"/>
              <w:rPr>
                <w:rFonts w:asciiTheme="minorEastAsia" w:hAnsiTheme="minorEastAsia" w:eastAsiaTheme="minorEastAsia" w:cstheme="minorEastAsia"/>
                <w:color w:val="auto"/>
              </w:rPr>
            </w:pPr>
          </w:p>
        </w:tc>
      </w:tr>
      <w:tr w14:paraId="0AE3294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3CEE7EE">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供应商是否为宁波企业</w:t>
            </w:r>
          </w:p>
        </w:tc>
        <w:tc>
          <w:tcPr>
            <w:tcW w:w="3539" w:type="dxa"/>
            <w:tcBorders>
              <w:top w:val="single" w:color="000000" w:sz="4" w:space="0"/>
              <w:left w:val="nil"/>
              <w:bottom w:val="single" w:color="000000" w:sz="4" w:space="0"/>
              <w:right w:val="single" w:color="000000" w:sz="4" w:space="0"/>
            </w:tcBorders>
          </w:tcPr>
          <w:p w14:paraId="4BF101D4">
            <w:pPr>
              <w:shd w:val="clear"/>
              <w:spacing w:line="360" w:lineRule="auto"/>
              <w:rPr>
                <w:rFonts w:asciiTheme="minorEastAsia" w:hAnsiTheme="minorEastAsia" w:eastAsiaTheme="minorEastAsia" w:cstheme="minorEastAsia"/>
                <w:color w:val="auto"/>
              </w:rPr>
            </w:pPr>
          </w:p>
        </w:tc>
      </w:tr>
      <w:tr w14:paraId="3F29CF1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210788F">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4C04B0B2">
            <w:pPr>
              <w:shd w:val="clear"/>
              <w:spacing w:line="360" w:lineRule="auto"/>
              <w:rPr>
                <w:rFonts w:asciiTheme="minorEastAsia" w:hAnsiTheme="minorEastAsia" w:eastAsiaTheme="minorEastAsia" w:cstheme="minorEastAsia"/>
                <w:color w:val="auto"/>
              </w:rPr>
            </w:pPr>
          </w:p>
        </w:tc>
      </w:tr>
      <w:tr w14:paraId="2BF0CB1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2FE60B4">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0B6A1953">
            <w:pPr>
              <w:shd w:val="clear"/>
              <w:spacing w:line="360" w:lineRule="auto"/>
              <w:rPr>
                <w:rFonts w:asciiTheme="minorEastAsia" w:hAnsiTheme="minorEastAsia" w:eastAsiaTheme="minorEastAsia" w:cstheme="minorEastAsia"/>
                <w:color w:val="auto"/>
              </w:rPr>
            </w:pPr>
          </w:p>
        </w:tc>
      </w:tr>
      <w:tr w14:paraId="3856EAB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D9FDE8B">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货物原产地国别</w:t>
            </w:r>
          </w:p>
        </w:tc>
        <w:tc>
          <w:tcPr>
            <w:tcW w:w="3539" w:type="dxa"/>
            <w:tcBorders>
              <w:top w:val="single" w:color="000000" w:sz="4" w:space="0"/>
              <w:left w:val="nil"/>
              <w:bottom w:val="single" w:color="000000" w:sz="4" w:space="0"/>
              <w:right w:val="single" w:color="000000" w:sz="4" w:space="0"/>
            </w:tcBorders>
          </w:tcPr>
          <w:p w14:paraId="1E52DB7A">
            <w:pPr>
              <w:shd w:val="clear"/>
              <w:spacing w:line="360" w:lineRule="auto"/>
              <w:rPr>
                <w:rFonts w:asciiTheme="minorEastAsia" w:hAnsiTheme="minorEastAsia" w:eastAsiaTheme="minorEastAsia" w:cstheme="minorEastAsia"/>
                <w:color w:val="auto"/>
              </w:rPr>
            </w:pPr>
          </w:p>
        </w:tc>
      </w:tr>
      <w:tr w14:paraId="2A1BF3F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1912A95">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0297584E">
            <w:pPr>
              <w:shd w:val="clear"/>
              <w:spacing w:line="360" w:lineRule="auto"/>
              <w:rPr>
                <w:rFonts w:asciiTheme="minorEastAsia" w:hAnsiTheme="minorEastAsia" w:eastAsiaTheme="minorEastAsia" w:cstheme="minorEastAsia"/>
                <w:color w:val="auto"/>
              </w:rPr>
            </w:pPr>
          </w:p>
        </w:tc>
      </w:tr>
      <w:tr w14:paraId="6F21B05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2B5564A">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01A4A9FF">
            <w:pPr>
              <w:shd w:val="clear"/>
              <w:spacing w:line="360" w:lineRule="auto"/>
              <w:rPr>
                <w:rFonts w:asciiTheme="minorEastAsia" w:hAnsiTheme="minorEastAsia" w:eastAsiaTheme="minorEastAsia" w:cstheme="minorEastAsia"/>
                <w:color w:val="auto"/>
              </w:rPr>
            </w:pPr>
          </w:p>
        </w:tc>
      </w:tr>
      <w:tr w14:paraId="3AA59C8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0E1F22E">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246E9E81">
            <w:pPr>
              <w:shd w:val="clear"/>
              <w:spacing w:line="360" w:lineRule="auto"/>
              <w:rPr>
                <w:rFonts w:asciiTheme="minorEastAsia" w:hAnsiTheme="minorEastAsia" w:eastAsiaTheme="minorEastAsia" w:cstheme="minorEastAsia"/>
                <w:color w:val="auto"/>
              </w:rPr>
            </w:pPr>
          </w:p>
        </w:tc>
      </w:tr>
    </w:tbl>
    <w:p w14:paraId="715A1B8F">
      <w:pPr>
        <w:shd w:val="clear"/>
        <w:adjustRightInd w:val="0"/>
        <w:spacing w:line="360" w:lineRule="auto"/>
        <w:ind w:firstLine="480"/>
        <w:rPr>
          <w:rFonts w:asciiTheme="minorEastAsia" w:hAnsiTheme="minorEastAsia" w:eastAsiaTheme="minorEastAsia" w:cstheme="minorEastAsia"/>
          <w:color w:val="auto"/>
          <w:sz w:val="24"/>
        </w:rPr>
      </w:pPr>
    </w:p>
    <w:p w14:paraId="556D1FCE">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备注：请各供应商务必填写此表作为响应文件的组成部分。</w:t>
      </w:r>
    </w:p>
    <w:p w14:paraId="69D65549">
      <w:pPr>
        <w:shd w:val="clear"/>
        <w:adjustRightInd w:val="0"/>
        <w:spacing w:line="360" w:lineRule="auto"/>
        <w:ind w:firstLine="480"/>
        <w:rPr>
          <w:rFonts w:asciiTheme="minorEastAsia" w:hAnsiTheme="minorEastAsia" w:eastAsiaTheme="minorEastAsia" w:cstheme="minorEastAsia"/>
          <w:color w:val="auto"/>
          <w:sz w:val="24"/>
        </w:rPr>
      </w:pPr>
    </w:p>
    <w:p w14:paraId="4A0D9623">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p>
    <w:p w14:paraId="797B60ED">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13CECA25">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5C2C3E04">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E600D">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40ACE61C">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2F916">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FF7EC5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67458">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26C2D82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14E7B">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1628AEE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DA0DD">
    <w:pPr>
      <w:pStyle w:val="19"/>
      <w:pBdr>
        <w:bottom w:val="none" w:color="auto" w:sz="0" w:space="0"/>
      </w:pBdr>
      <w:jc w:val="right"/>
      <w:rPr>
        <w:rFonts w:ascii="仿宋_GB2312" w:eastAsia="仿宋_GB2312"/>
        <w:b/>
        <w:i/>
        <w:u w:val="single"/>
      </w:rPr>
    </w:pPr>
    <w:r>
      <w:t></w:t>
    </w:r>
    <w:r>
      <w:rPr>
        <w:rFonts w:hint="eastAsia"/>
      </w:rPr>
      <w:t xml:space="preserve">                                               </w:t>
    </w:r>
  </w:p>
  <w:p w14:paraId="472983F5">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6E2D3">
    <w:pPr>
      <w:pStyle w:val="19"/>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ABB0A">
    <w:pPr>
      <w:pStyle w:val="19"/>
      <w:pBdr>
        <w:bottom w:val="none" w:color="auto" w:sz="0" w:space="1"/>
      </w:pBdr>
      <w:jc w:val="right"/>
      <w:rPr>
        <w:rFonts w:ascii="仿宋_GB2312" w:eastAsia="仿宋_GB2312"/>
        <w:b/>
        <w:i/>
        <w:u w:val="single"/>
      </w:rPr>
    </w:pPr>
    <w:r>
      <w:rPr>
        <w:rFonts w:hint="eastAsia"/>
      </w:rPr>
      <w:t xml:space="preserve">                                 </w:t>
    </w:r>
  </w:p>
  <w:p w14:paraId="138C137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690F5">
    <w:pPr>
      <w:pStyle w:val="19"/>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9F158476"/>
    <w:multiLevelType w:val="singleLevel"/>
    <w:tmpl w:val="9F158476"/>
    <w:lvl w:ilvl="0" w:tentative="0">
      <w:start w:val="2"/>
      <w:numFmt w:val="decimal"/>
      <w:suff w:val="nothing"/>
      <w:lvlText w:val="%1、"/>
      <w:lvlJc w:val="left"/>
    </w:lvl>
  </w:abstractNum>
  <w:abstractNum w:abstractNumId="2">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3">
    <w:nsid w:val="2DC53F9C"/>
    <w:multiLevelType w:val="singleLevel"/>
    <w:tmpl w:val="2DC53F9C"/>
    <w:lvl w:ilvl="0" w:tentative="0">
      <w:start w:val="5"/>
      <w:numFmt w:val="chineseCounting"/>
      <w:suff w:val="space"/>
      <w:lvlText w:val="第%1部分"/>
      <w:lvlJc w:val="left"/>
      <w:rPr>
        <w:rFonts w:hint="eastAsia"/>
      </w:rPr>
    </w:lvl>
  </w:abstractNum>
  <w:abstractNum w:abstractNumId="4">
    <w:nsid w:val="495C2BCE"/>
    <w:multiLevelType w:val="singleLevel"/>
    <w:tmpl w:val="495C2BCE"/>
    <w:lvl w:ilvl="0" w:tentative="0">
      <w:start w:val="1"/>
      <w:numFmt w:val="chineseCounting"/>
      <w:suff w:val="nothing"/>
      <w:lvlText w:val="%1、"/>
      <w:lvlJc w:val="left"/>
      <w:rPr>
        <w:rFonts w:hint="eastAsia"/>
      </w:rPr>
    </w:lvl>
  </w:abstractNum>
  <w:abstractNum w:abstractNumId="5">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U3MzY4Zjc0ZWNjYmRkYWJhODU4Mzc2MjQ4ZWQ4ZmQifQ=="/>
  </w:docVars>
  <w:rsids>
    <w:rsidRoot w:val="004E6532"/>
    <w:rsid w:val="00004645"/>
    <w:rsid w:val="00023D48"/>
    <w:rsid w:val="0002482C"/>
    <w:rsid w:val="00034901"/>
    <w:rsid w:val="00036406"/>
    <w:rsid w:val="00052644"/>
    <w:rsid w:val="000633A9"/>
    <w:rsid w:val="000A380F"/>
    <w:rsid w:val="000A42DD"/>
    <w:rsid w:val="000D43B5"/>
    <w:rsid w:val="000E4D6E"/>
    <w:rsid w:val="000F071B"/>
    <w:rsid w:val="000F49C7"/>
    <w:rsid w:val="00107D61"/>
    <w:rsid w:val="00127A19"/>
    <w:rsid w:val="00141566"/>
    <w:rsid w:val="0014331C"/>
    <w:rsid w:val="001433F4"/>
    <w:rsid w:val="00145660"/>
    <w:rsid w:val="00147A9F"/>
    <w:rsid w:val="00152211"/>
    <w:rsid w:val="00153DD5"/>
    <w:rsid w:val="0016702E"/>
    <w:rsid w:val="0016738B"/>
    <w:rsid w:val="00183EE1"/>
    <w:rsid w:val="00184605"/>
    <w:rsid w:val="00187ED9"/>
    <w:rsid w:val="00192CA3"/>
    <w:rsid w:val="00195087"/>
    <w:rsid w:val="001969B6"/>
    <w:rsid w:val="001A0E98"/>
    <w:rsid w:val="001A419E"/>
    <w:rsid w:val="001B7196"/>
    <w:rsid w:val="001C4668"/>
    <w:rsid w:val="001D05FA"/>
    <w:rsid w:val="001D5B9E"/>
    <w:rsid w:val="001E2A93"/>
    <w:rsid w:val="001E3291"/>
    <w:rsid w:val="001F29BC"/>
    <w:rsid w:val="0020318E"/>
    <w:rsid w:val="00224FF7"/>
    <w:rsid w:val="00235AD9"/>
    <w:rsid w:val="002622EF"/>
    <w:rsid w:val="002628D6"/>
    <w:rsid w:val="00266319"/>
    <w:rsid w:val="00267D9E"/>
    <w:rsid w:val="002725E3"/>
    <w:rsid w:val="00287020"/>
    <w:rsid w:val="002A0BE4"/>
    <w:rsid w:val="002A2159"/>
    <w:rsid w:val="002A7689"/>
    <w:rsid w:val="002C62DE"/>
    <w:rsid w:val="002E1797"/>
    <w:rsid w:val="00301440"/>
    <w:rsid w:val="00301967"/>
    <w:rsid w:val="00306111"/>
    <w:rsid w:val="003212F0"/>
    <w:rsid w:val="003320D1"/>
    <w:rsid w:val="00382391"/>
    <w:rsid w:val="00391D38"/>
    <w:rsid w:val="003923E5"/>
    <w:rsid w:val="00396CA2"/>
    <w:rsid w:val="003B0110"/>
    <w:rsid w:val="003C300A"/>
    <w:rsid w:val="003F6AE7"/>
    <w:rsid w:val="00402E3B"/>
    <w:rsid w:val="00405449"/>
    <w:rsid w:val="004131AB"/>
    <w:rsid w:val="0041759B"/>
    <w:rsid w:val="00427CDE"/>
    <w:rsid w:val="004369B5"/>
    <w:rsid w:val="004427C5"/>
    <w:rsid w:val="004503D5"/>
    <w:rsid w:val="00453F9B"/>
    <w:rsid w:val="00464B36"/>
    <w:rsid w:val="004A3F9D"/>
    <w:rsid w:val="004D1150"/>
    <w:rsid w:val="004D2F26"/>
    <w:rsid w:val="004D35F7"/>
    <w:rsid w:val="004E6532"/>
    <w:rsid w:val="004E6FDF"/>
    <w:rsid w:val="005009A4"/>
    <w:rsid w:val="005104A4"/>
    <w:rsid w:val="00521C83"/>
    <w:rsid w:val="00523E94"/>
    <w:rsid w:val="00535688"/>
    <w:rsid w:val="0054723B"/>
    <w:rsid w:val="00554F92"/>
    <w:rsid w:val="0056214E"/>
    <w:rsid w:val="005737B6"/>
    <w:rsid w:val="005768FE"/>
    <w:rsid w:val="00580799"/>
    <w:rsid w:val="005935A5"/>
    <w:rsid w:val="005A0EE6"/>
    <w:rsid w:val="005A4DEB"/>
    <w:rsid w:val="005C3A2F"/>
    <w:rsid w:val="005C62F2"/>
    <w:rsid w:val="005D5B94"/>
    <w:rsid w:val="005E7505"/>
    <w:rsid w:val="006025D5"/>
    <w:rsid w:val="006132B3"/>
    <w:rsid w:val="00616EEA"/>
    <w:rsid w:val="00621873"/>
    <w:rsid w:val="00627B17"/>
    <w:rsid w:val="00664BC8"/>
    <w:rsid w:val="006721D3"/>
    <w:rsid w:val="0068074A"/>
    <w:rsid w:val="006924F5"/>
    <w:rsid w:val="006925CB"/>
    <w:rsid w:val="00695C83"/>
    <w:rsid w:val="006D6A57"/>
    <w:rsid w:val="006E3C66"/>
    <w:rsid w:val="006F3767"/>
    <w:rsid w:val="00700B46"/>
    <w:rsid w:val="00720146"/>
    <w:rsid w:val="0072267F"/>
    <w:rsid w:val="00724ED7"/>
    <w:rsid w:val="007403D0"/>
    <w:rsid w:val="0074580E"/>
    <w:rsid w:val="00771BC5"/>
    <w:rsid w:val="00777D7E"/>
    <w:rsid w:val="007800AF"/>
    <w:rsid w:val="007B204D"/>
    <w:rsid w:val="007D62EE"/>
    <w:rsid w:val="00801E40"/>
    <w:rsid w:val="00803953"/>
    <w:rsid w:val="008140B4"/>
    <w:rsid w:val="008176C9"/>
    <w:rsid w:val="008178BC"/>
    <w:rsid w:val="008277C4"/>
    <w:rsid w:val="0085433C"/>
    <w:rsid w:val="00877893"/>
    <w:rsid w:val="008859D0"/>
    <w:rsid w:val="0089085D"/>
    <w:rsid w:val="008A29D8"/>
    <w:rsid w:val="008A62ED"/>
    <w:rsid w:val="008A6371"/>
    <w:rsid w:val="008A65B4"/>
    <w:rsid w:val="008C52DE"/>
    <w:rsid w:val="008C54CC"/>
    <w:rsid w:val="008C70DC"/>
    <w:rsid w:val="008E3867"/>
    <w:rsid w:val="008F08A4"/>
    <w:rsid w:val="008F4A24"/>
    <w:rsid w:val="008F6DD3"/>
    <w:rsid w:val="00911A8C"/>
    <w:rsid w:val="00926E98"/>
    <w:rsid w:val="0093798A"/>
    <w:rsid w:val="00942DD2"/>
    <w:rsid w:val="00975609"/>
    <w:rsid w:val="00975E2D"/>
    <w:rsid w:val="00977913"/>
    <w:rsid w:val="009821A7"/>
    <w:rsid w:val="00990306"/>
    <w:rsid w:val="009B3568"/>
    <w:rsid w:val="009D1BF4"/>
    <w:rsid w:val="009D7CB5"/>
    <w:rsid w:val="009F03FB"/>
    <w:rsid w:val="009F1169"/>
    <w:rsid w:val="009F62BE"/>
    <w:rsid w:val="00A05BD4"/>
    <w:rsid w:val="00A21E24"/>
    <w:rsid w:val="00A22DD3"/>
    <w:rsid w:val="00A46132"/>
    <w:rsid w:val="00A54768"/>
    <w:rsid w:val="00A56428"/>
    <w:rsid w:val="00A57E19"/>
    <w:rsid w:val="00A64BCF"/>
    <w:rsid w:val="00A71625"/>
    <w:rsid w:val="00A76595"/>
    <w:rsid w:val="00AA4613"/>
    <w:rsid w:val="00AC321F"/>
    <w:rsid w:val="00AF09DF"/>
    <w:rsid w:val="00B02217"/>
    <w:rsid w:val="00B12066"/>
    <w:rsid w:val="00B230F3"/>
    <w:rsid w:val="00B258CD"/>
    <w:rsid w:val="00B344D3"/>
    <w:rsid w:val="00B45DE7"/>
    <w:rsid w:val="00B67374"/>
    <w:rsid w:val="00B85239"/>
    <w:rsid w:val="00B869FB"/>
    <w:rsid w:val="00BB56F4"/>
    <w:rsid w:val="00BB78CF"/>
    <w:rsid w:val="00BC3481"/>
    <w:rsid w:val="00BE700F"/>
    <w:rsid w:val="00C009F8"/>
    <w:rsid w:val="00C15B95"/>
    <w:rsid w:val="00C34140"/>
    <w:rsid w:val="00C47867"/>
    <w:rsid w:val="00C73030"/>
    <w:rsid w:val="00C73F83"/>
    <w:rsid w:val="00C74190"/>
    <w:rsid w:val="00CA2F82"/>
    <w:rsid w:val="00CA5B51"/>
    <w:rsid w:val="00CA758F"/>
    <w:rsid w:val="00CB0E79"/>
    <w:rsid w:val="00CC2C70"/>
    <w:rsid w:val="00CD3472"/>
    <w:rsid w:val="00CE0209"/>
    <w:rsid w:val="00CE0F0C"/>
    <w:rsid w:val="00D10611"/>
    <w:rsid w:val="00D10684"/>
    <w:rsid w:val="00D20E3E"/>
    <w:rsid w:val="00D33EBA"/>
    <w:rsid w:val="00D437BE"/>
    <w:rsid w:val="00D43C04"/>
    <w:rsid w:val="00D46994"/>
    <w:rsid w:val="00D63DA1"/>
    <w:rsid w:val="00D85589"/>
    <w:rsid w:val="00D973B3"/>
    <w:rsid w:val="00DC2C40"/>
    <w:rsid w:val="00DD4294"/>
    <w:rsid w:val="00DD4C6D"/>
    <w:rsid w:val="00DF6AFA"/>
    <w:rsid w:val="00E10E23"/>
    <w:rsid w:val="00E148E4"/>
    <w:rsid w:val="00E2034C"/>
    <w:rsid w:val="00E51ED8"/>
    <w:rsid w:val="00E57D56"/>
    <w:rsid w:val="00E65A54"/>
    <w:rsid w:val="00E7608A"/>
    <w:rsid w:val="00E77EED"/>
    <w:rsid w:val="00E852B1"/>
    <w:rsid w:val="00EC3F89"/>
    <w:rsid w:val="00ED5412"/>
    <w:rsid w:val="00F00981"/>
    <w:rsid w:val="00F01506"/>
    <w:rsid w:val="00F05B21"/>
    <w:rsid w:val="00F20EE6"/>
    <w:rsid w:val="00F330A6"/>
    <w:rsid w:val="00F41703"/>
    <w:rsid w:val="00F451EA"/>
    <w:rsid w:val="00F710EB"/>
    <w:rsid w:val="00F75C3C"/>
    <w:rsid w:val="00F91CD1"/>
    <w:rsid w:val="00F97CCC"/>
    <w:rsid w:val="00FB3DEC"/>
    <w:rsid w:val="00FC251C"/>
    <w:rsid w:val="00FC4926"/>
    <w:rsid w:val="00FE4389"/>
    <w:rsid w:val="017E3702"/>
    <w:rsid w:val="022507A0"/>
    <w:rsid w:val="029C46B6"/>
    <w:rsid w:val="02FF0DA1"/>
    <w:rsid w:val="04133956"/>
    <w:rsid w:val="04330EDE"/>
    <w:rsid w:val="043F7883"/>
    <w:rsid w:val="04694D1C"/>
    <w:rsid w:val="04756284"/>
    <w:rsid w:val="0507351D"/>
    <w:rsid w:val="05C46291"/>
    <w:rsid w:val="064C314F"/>
    <w:rsid w:val="06FC438C"/>
    <w:rsid w:val="08153A45"/>
    <w:rsid w:val="08C43072"/>
    <w:rsid w:val="08D31906"/>
    <w:rsid w:val="08EC5795"/>
    <w:rsid w:val="08F04266"/>
    <w:rsid w:val="08FC70AE"/>
    <w:rsid w:val="0A042457"/>
    <w:rsid w:val="0AEF28D2"/>
    <w:rsid w:val="0B095AB3"/>
    <w:rsid w:val="0C436DA2"/>
    <w:rsid w:val="0CCA783C"/>
    <w:rsid w:val="0D014A54"/>
    <w:rsid w:val="0D0504FC"/>
    <w:rsid w:val="0D3869DE"/>
    <w:rsid w:val="0DCE6B40"/>
    <w:rsid w:val="0E9318F3"/>
    <w:rsid w:val="0E9E4764"/>
    <w:rsid w:val="0ECE36AE"/>
    <w:rsid w:val="0F3D21CF"/>
    <w:rsid w:val="101C0036"/>
    <w:rsid w:val="10826462"/>
    <w:rsid w:val="10831E66"/>
    <w:rsid w:val="11B06C88"/>
    <w:rsid w:val="12B36308"/>
    <w:rsid w:val="137C74D8"/>
    <w:rsid w:val="13CD7831"/>
    <w:rsid w:val="13E72483"/>
    <w:rsid w:val="142B4CEC"/>
    <w:rsid w:val="14635EBD"/>
    <w:rsid w:val="149071FA"/>
    <w:rsid w:val="150C577F"/>
    <w:rsid w:val="155E07DE"/>
    <w:rsid w:val="165E2A90"/>
    <w:rsid w:val="167977CF"/>
    <w:rsid w:val="167A1613"/>
    <w:rsid w:val="172F62D6"/>
    <w:rsid w:val="17552F75"/>
    <w:rsid w:val="17AC492E"/>
    <w:rsid w:val="17EC672F"/>
    <w:rsid w:val="181222ED"/>
    <w:rsid w:val="183463C4"/>
    <w:rsid w:val="18CF43F8"/>
    <w:rsid w:val="18DB244F"/>
    <w:rsid w:val="19B968F6"/>
    <w:rsid w:val="1A1A55E6"/>
    <w:rsid w:val="1A1F1050"/>
    <w:rsid w:val="1ABD5311"/>
    <w:rsid w:val="1AFD5CB9"/>
    <w:rsid w:val="1B2D0950"/>
    <w:rsid w:val="1B7E7809"/>
    <w:rsid w:val="1BD47C9F"/>
    <w:rsid w:val="1CEA33EA"/>
    <w:rsid w:val="1D780306"/>
    <w:rsid w:val="1DA358F3"/>
    <w:rsid w:val="1DB47B11"/>
    <w:rsid w:val="1DD87CBB"/>
    <w:rsid w:val="1DDC5928"/>
    <w:rsid w:val="1DE35D79"/>
    <w:rsid w:val="1E522E75"/>
    <w:rsid w:val="1E8219AC"/>
    <w:rsid w:val="209669C5"/>
    <w:rsid w:val="22C73E32"/>
    <w:rsid w:val="235651B5"/>
    <w:rsid w:val="23A710EC"/>
    <w:rsid w:val="23F0560A"/>
    <w:rsid w:val="240E7E40"/>
    <w:rsid w:val="24681644"/>
    <w:rsid w:val="2538304D"/>
    <w:rsid w:val="253E0A44"/>
    <w:rsid w:val="25B763DF"/>
    <w:rsid w:val="25CF1F63"/>
    <w:rsid w:val="25F37999"/>
    <w:rsid w:val="27002F0E"/>
    <w:rsid w:val="272A6E20"/>
    <w:rsid w:val="27545EB0"/>
    <w:rsid w:val="282C43E5"/>
    <w:rsid w:val="297E7214"/>
    <w:rsid w:val="2A0B7EDE"/>
    <w:rsid w:val="2A4C32D1"/>
    <w:rsid w:val="2B1B1001"/>
    <w:rsid w:val="2BFC0FF0"/>
    <w:rsid w:val="2C091017"/>
    <w:rsid w:val="2C26606D"/>
    <w:rsid w:val="2C413D86"/>
    <w:rsid w:val="2CAB0320"/>
    <w:rsid w:val="2E7C0E64"/>
    <w:rsid w:val="2FFB1093"/>
    <w:rsid w:val="307849BD"/>
    <w:rsid w:val="30C70AAC"/>
    <w:rsid w:val="315622A6"/>
    <w:rsid w:val="316A07AA"/>
    <w:rsid w:val="31D42AD9"/>
    <w:rsid w:val="34F25146"/>
    <w:rsid w:val="355B0F59"/>
    <w:rsid w:val="359853D9"/>
    <w:rsid w:val="35C80418"/>
    <w:rsid w:val="35FC7E3E"/>
    <w:rsid w:val="360C1DD5"/>
    <w:rsid w:val="36D45640"/>
    <w:rsid w:val="370A0339"/>
    <w:rsid w:val="38121F62"/>
    <w:rsid w:val="385D6A11"/>
    <w:rsid w:val="39737207"/>
    <w:rsid w:val="3AF47A17"/>
    <w:rsid w:val="3B0500A6"/>
    <w:rsid w:val="3BC136BC"/>
    <w:rsid w:val="3C3025F0"/>
    <w:rsid w:val="3C3976F6"/>
    <w:rsid w:val="3C5928B0"/>
    <w:rsid w:val="3C8660E7"/>
    <w:rsid w:val="3CC01E92"/>
    <w:rsid w:val="3D034FD9"/>
    <w:rsid w:val="3D2708D9"/>
    <w:rsid w:val="3D964084"/>
    <w:rsid w:val="3E682515"/>
    <w:rsid w:val="3F2226C4"/>
    <w:rsid w:val="3FF12C21"/>
    <w:rsid w:val="3FFC1167"/>
    <w:rsid w:val="401D732F"/>
    <w:rsid w:val="4043280B"/>
    <w:rsid w:val="404716EC"/>
    <w:rsid w:val="40565930"/>
    <w:rsid w:val="40593D4A"/>
    <w:rsid w:val="41AE11A5"/>
    <w:rsid w:val="41C317D4"/>
    <w:rsid w:val="41D13F2D"/>
    <w:rsid w:val="420E7D4A"/>
    <w:rsid w:val="431421AB"/>
    <w:rsid w:val="446B4F27"/>
    <w:rsid w:val="44A92F3F"/>
    <w:rsid w:val="4533775E"/>
    <w:rsid w:val="45840DA9"/>
    <w:rsid w:val="45A656D1"/>
    <w:rsid w:val="45F823D0"/>
    <w:rsid w:val="46502789"/>
    <w:rsid w:val="47087801"/>
    <w:rsid w:val="470A75E8"/>
    <w:rsid w:val="47484C91"/>
    <w:rsid w:val="47AE7265"/>
    <w:rsid w:val="48236574"/>
    <w:rsid w:val="48BA396D"/>
    <w:rsid w:val="491D1CBF"/>
    <w:rsid w:val="491E17A4"/>
    <w:rsid w:val="4A084FAB"/>
    <w:rsid w:val="4A356245"/>
    <w:rsid w:val="4A940235"/>
    <w:rsid w:val="4BAF77E3"/>
    <w:rsid w:val="4BF13DF4"/>
    <w:rsid w:val="4C871DB8"/>
    <w:rsid w:val="4C8F29A0"/>
    <w:rsid w:val="4C9B6AAD"/>
    <w:rsid w:val="4CE849E2"/>
    <w:rsid w:val="4D403C36"/>
    <w:rsid w:val="4DA32011"/>
    <w:rsid w:val="4DCF4114"/>
    <w:rsid w:val="4DE566F3"/>
    <w:rsid w:val="4EE51018"/>
    <w:rsid w:val="4FEE4E74"/>
    <w:rsid w:val="50083210"/>
    <w:rsid w:val="502A762A"/>
    <w:rsid w:val="50414974"/>
    <w:rsid w:val="50C65D39"/>
    <w:rsid w:val="522D3402"/>
    <w:rsid w:val="52875411"/>
    <w:rsid w:val="52C27015"/>
    <w:rsid w:val="53926AE9"/>
    <w:rsid w:val="53CC27A6"/>
    <w:rsid w:val="54081F7F"/>
    <w:rsid w:val="54212AF2"/>
    <w:rsid w:val="56920EB1"/>
    <w:rsid w:val="57162CDC"/>
    <w:rsid w:val="586A1CF4"/>
    <w:rsid w:val="59573918"/>
    <w:rsid w:val="5977723A"/>
    <w:rsid w:val="59D94D98"/>
    <w:rsid w:val="59F36282"/>
    <w:rsid w:val="5AEB2E9C"/>
    <w:rsid w:val="5B8B1199"/>
    <w:rsid w:val="5B9F3F13"/>
    <w:rsid w:val="5BAE0A62"/>
    <w:rsid w:val="5BCD355F"/>
    <w:rsid w:val="5C152FAD"/>
    <w:rsid w:val="5D027239"/>
    <w:rsid w:val="5D5849F8"/>
    <w:rsid w:val="5DE27796"/>
    <w:rsid w:val="5E1B6804"/>
    <w:rsid w:val="5F265461"/>
    <w:rsid w:val="606C4BDB"/>
    <w:rsid w:val="624272DA"/>
    <w:rsid w:val="62456545"/>
    <w:rsid w:val="634A36E8"/>
    <w:rsid w:val="638E5CCA"/>
    <w:rsid w:val="63AE1B87"/>
    <w:rsid w:val="63C90AB0"/>
    <w:rsid w:val="63CF7A2D"/>
    <w:rsid w:val="63DD0CDE"/>
    <w:rsid w:val="64005F33"/>
    <w:rsid w:val="64106A0E"/>
    <w:rsid w:val="64CF3B8C"/>
    <w:rsid w:val="64E5191A"/>
    <w:rsid w:val="653B59DE"/>
    <w:rsid w:val="65D07CD0"/>
    <w:rsid w:val="67A06958"/>
    <w:rsid w:val="68790F37"/>
    <w:rsid w:val="68C34233"/>
    <w:rsid w:val="694A1AEF"/>
    <w:rsid w:val="69761612"/>
    <w:rsid w:val="69A80F39"/>
    <w:rsid w:val="69DD66F3"/>
    <w:rsid w:val="6A0D369A"/>
    <w:rsid w:val="6C1049E0"/>
    <w:rsid w:val="6D064B23"/>
    <w:rsid w:val="6EC46A44"/>
    <w:rsid w:val="6ED24445"/>
    <w:rsid w:val="6FDD4CA3"/>
    <w:rsid w:val="7146712D"/>
    <w:rsid w:val="71704C61"/>
    <w:rsid w:val="71DD3F80"/>
    <w:rsid w:val="74D95234"/>
    <w:rsid w:val="7654281B"/>
    <w:rsid w:val="772A140E"/>
    <w:rsid w:val="77756B2D"/>
    <w:rsid w:val="77A64F39"/>
    <w:rsid w:val="77B5517C"/>
    <w:rsid w:val="78E8332F"/>
    <w:rsid w:val="792A3C52"/>
    <w:rsid w:val="795F1843"/>
    <w:rsid w:val="7A0F2BA3"/>
    <w:rsid w:val="7A1E16FE"/>
    <w:rsid w:val="7A5C507C"/>
    <w:rsid w:val="7A996102"/>
    <w:rsid w:val="7AB210C4"/>
    <w:rsid w:val="7ABB6F4D"/>
    <w:rsid w:val="7CB00608"/>
    <w:rsid w:val="7CD6006E"/>
    <w:rsid w:val="7CE338D3"/>
    <w:rsid w:val="7D893EF3"/>
    <w:rsid w:val="7DB87774"/>
    <w:rsid w:val="7E8A55B4"/>
    <w:rsid w:val="7E996565"/>
    <w:rsid w:val="7EC02D84"/>
    <w:rsid w:val="7EF67AE6"/>
    <w:rsid w:val="7F533BF8"/>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ind w:firstLine="425"/>
      <w:outlineLvl w:val="0"/>
    </w:pPr>
    <w:rPr>
      <w:b/>
      <w:bCs/>
      <w:i/>
      <w:iCs/>
      <w:sz w:val="52"/>
      <w:szCs w:val="20"/>
    </w:rPr>
  </w:style>
  <w:style w:type="paragraph" w:styleId="4">
    <w:name w:val="heading 2"/>
    <w:basedOn w:val="1"/>
    <w:next w:val="1"/>
    <w:link w:val="38"/>
    <w:autoRedefine/>
    <w:qFormat/>
    <w:uiPriority w:val="0"/>
    <w:pPr>
      <w:keepNext/>
      <w:keepLines/>
      <w:tabs>
        <w:tab w:val="left" w:pos="432"/>
      </w:tabs>
      <w:spacing w:line="360" w:lineRule="auto"/>
      <w:ind w:left="432" w:hanging="432"/>
      <w:outlineLvl w:val="1"/>
    </w:pPr>
    <w:rPr>
      <w:rFonts w:ascii="仿宋_GB2312" w:hAnsi="仿宋" w:eastAsia="仿宋_GB2312"/>
      <w:b/>
      <w:bCs/>
      <w:sz w:val="32"/>
      <w:szCs w:val="32"/>
      <w:lang w:val="zh-CN"/>
    </w:rPr>
  </w:style>
  <w:style w:type="paragraph" w:styleId="5">
    <w:name w:val="heading 3"/>
    <w:basedOn w:val="1"/>
    <w:next w:val="1"/>
    <w:link w:val="52"/>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Cambria" w:hAnsi="Cambria"/>
      <w:b/>
      <w:bCs/>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0"/>
    <w:pPr>
      <w:ind w:firstLine="420" w:firstLineChars="200"/>
    </w:pPr>
    <w:rPr>
      <w:szCs w:val="22"/>
    </w:rPr>
  </w:style>
  <w:style w:type="paragraph" w:styleId="8">
    <w:name w:val="Normal Indent"/>
    <w:basedOn w:val="1"/>
    <w:next w:val="1"/>
    <w:autoRedefine/>
    <w:qFormat/>
    <w:uiPriority w:val="0"/>
    <w:pPr>
      <w:snapToGrid w:val="0"/>
      <w:spacing w:line="480" w:lineRule="exact"/>
      <w:ind w:firstLine="567"/>
    </w:pPr>
    <w:rPr>
      <w:rFonts w:ascii="宋体"/>
      <w:snapToGrid w:val="0"/>
      <w:color w:val="000000"/>
      <w:kern w:val="28"/>
      <w:sz w:val="28"/>
      <w:szCs w:val="20"/>
    </w:rPr>
  </w:style>
  <w:style w:type="paragraph" w:styleId="9">
    <w:name w:val="annotation text"/>
    <w:basedOn w:val="1"/>
    <w:link w:val="60"/>
    <w:autoRedefine/>
    <w:unhideWhenUsed/>
    <w:qFormat/>
    <w:uiPriority w:val="99"/>
  </w:style>
  <w:style w:type="paragraph" w:styleId="10">
    <w:name w:val="Body Text"/>
    <w:basedOn w:val="1"/>
    <w:next w:val="11"/>
    <w:link w:val="42"/>
    <w:autoRedefine/>
    <w:qFormat/>
    <w:uiPriority w:val="0"/>
    <w:pPr>
      <w:autoSpaceDE w:val="0"/>
      <w:autoSpaceDN w:val="0"/>
      <w:spacing w:line="360" w:lineRule="auto"/>
    </w:pPr>
    <w:rPr>
      <w:rFonts w:ascii="宋体" w:hAnsi="Arial" w:cs="Arial"/>
      <w:snapToGrid w:val="0"/>
      <w:sz w:val="24"/>
      <w:szCs w:val="21"/>
      <w:lang w:val="zh-CN"/>
    </w:rPr>
  </w:style>
  <w:style w:type="paragraph" w:styleId="11">
    <w:name w:val="Body Text First Indent"/>
    <w:basedOn w:val="10"/>
    <w:next w:val="12"/>
    <w:autoRedefine/>
    <w:qFormat/>
    <w:uiPriority w:val="0"/>
    <w:pPr>
      <w:adjustRightInd w:val="0"/>
    </w:pPr>
    <w:rPr>
      <w:rFonts w:ascii="Times New Roman" w:hAnsi="Times New Roman" w:cs="Times New Roman"/>
      <w:sz w:val="28"/>
      <w:lang w:val="en-US"/>
    </w:rPr>
  </w:style>
  <w:style w:type="paragraph" w:styleId="12">
    <w:name w:val="toc 6"/>
    <w:basedOn w:val="1"/>
    <w:next w:val="1"/>
    <w:autoRedefine/>
    <w:qFormat/>
    <w:uiPriority w:val="39"/>
    <w:pPr>
      <w:ind w:left="1000" w:leftChars="1000"/>
    </w:pPr>
  </w:style>
  <w:style w:type="paragraph" w:styleId="13">
    <w:name w:val="Body Text Indent"/>
    <w:basedOn w:val="1"/>
    <w:next w:val="1"/>
    <w:link w:val="39"/>
    <w:autoRedefine/>
    <w:qFormat/>
    <w:uiPriority w:val="0"/>
    <w:pPr>
      <w:spacing w:line="480" w:lineRule="exact"/>
      <w:ind w:firstLine="480" w:firstLineChars="200"/>
    </w:pPr>
    <w:rPr>
      <w:rFonts w:ascii="宋体" w:hAnsi="宋体"/>
      <w:sz w:val="24"/>
    </w:rPr>
  </w:style>
  <w:style w:type="paragraph" w:styleId="14">
    <w:name w:val="toc 3"/>
    <w:basedOn w:val="1"/>
    <w:next w:val="1"/>
    <w:autoRedefine/>
    <w:qFormat/>
    <w:uiPriority w:val="0"/>
    <w:pPr>
      <w:ind w:left="840" w:leftChars="400"/>
    </w:pPr>
    <w:rPr>
      <w:rFonts w:ascii="Times New Roman" w:hAnsi="Times New Roman"/>
    </w:rPr>
  </w:style>
  <w:style w:type="paragraph" w:styleId="15">
    <w:name w:val="Plain Text"/>
    <w:basedOn w:val="1"/>
    <w:next w:val="1"/>
    <w:link w:val="41"/>
    <w:autoRedefine/>
    <w:qFormat/>
    <w:uiPriority w:val="0"/>
    <w:pPr>
      <w:spacing w:line="450" w:lineRule="exact"/>
      <w:ind w:firstLine="422" w:firstLineChars="200"/>
    </w:pPr>
    <w:rPr>
      <w:rFonts w:ascii="宋体" w:hAnsi="Courier New" w:cs="Arial"/>
      <w:b/>
      <w:snapToGrid w:val="0"/>
      <w:szCs w:val="21"/>
    </w:rPr>
  </w:style>
  <w:style w:type="paragraph" w:styleId="16">
    <w:name w:val="Date"/>
    <w:basedOn w:val="1"/>
    <w:next w:val="1"/>
    <w:link w:val="40"/>
    <w:autoRedefine/>
    <w:qFormat/>
    <w:uiPriority w:val="0"/>
    <w:pPr>
      <w:ind w:left="100" w:leftChars="2500"/>
    </w:pPr>
    <w:rPr>
      <w:rFonts w:ascii="宋体"/>
      <w:sz w:val="24"/>
      <w:szCs w:val="21"/>
      <w:lang w:val="zh-CN"/>
    </w:rPr>
  </w:style>
  <w:style w:type="paragraph" w:styleId="17">
    <w:name w:val="Balloon Text"/>
    <w:basedOn w:val="1"/>
    <w:link w:val="55"/>
    <w:autoRedefine/>
    <w:unhideWhenUsed/>
    <w:qFormat/>
    <w:uiPriority w:val="99"/>
    <w:rPr>
      <w:sz w:val="18"/>
      <w:szCs w:val="18"/>
    </w:rPr>
  </w:style>
  <w:style w:type="paragraph" w:styleId="18">
    <w:name w:val="footer"/>
    <w:basedOn w:val="1"/>
    <w:link w:val="37"/>
    <w:autoRedefine/>
    <w:unhideWhenUsed/>
    <w:qFormat/>
    <w:uiPriority w:val="99"/>
    <w:pPr>
      <w:tabs>
        <w:tab w:val="center" w:pos="4153"/>
        <w:tab w:val="right" w:pos="8306"/>
      </w:tabs>
      <w:snapToGrid w:val="0"/>
    </w:pPr>
    <w:rPr>
      <w:sz w:val="18"/>
      <w:szCs w:val="18"/>
    </w:rPr>
  </w:style>
  <w:style w:type="paragraph" w:styleId="19">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link w:val="71"/>
    <w:autoRedefine/>
    <w:qFormat/>
    <w:uiPriority w:val="0"/>
    <w:pPr>
      <w:spacing w:after="120"/>
      <w:ind w:left="420" w:leftChars="200"/>
    </w:pPr>
    <w:rPr>
      <w:rFonts w:ascii="Times New Roman" w:hAnsi="Times New Roman"/>
      <w:sz w:val="16"/>
      <w:szCs w:val="16"/>
    </w:rPr>
  </w:style>
  <w:style w:type="paragraph" w:styleId="22">
    <w:name w:val="HTML Preformatted"/>
    <w:basedOn w:val="1"/>
    <w:autoRedefine/>
    <w:qFormat/>
    <w:uiPriority w:val="0"/>
    <w:rPr>
      <w:rFonts w:ascii="Courier New" w:hAnsi="Courier New" w:eastAsia="仿宋_GB2312"/>
      <w:b/>
      <w:sz w:val="32"/>
      <w:szCs w:val="32"/>
      <w:lang w:val="en-GB"/>
    </w:rPr>
  </w:style>
  <w:style w:type="paragraph" w:styleId="23">
    <w:name w:val="Normal (Web)"/>
    <w:basedOn w:val="1"/>
    <w:autoRedefine/>
    <w:qFormat/>
    <w:uiPriority w:val="99"/>
    <w:pPr>
      <w:spacing w:before="100" w:beforeAutospacing="1" w:after="100" w:afterAutospacing="1"/>
    </w:pPr>
    <w:rPr>
      <w:kern w:val="0"/>
      <w:sz w:val="24"/>
    </w:rPr>
  </w:style>
  <w:style w:type="paragraph" w:styleId="24">
    <w:name w:val="annotation subject"/>
    <w:basedOn w:val="9"/>
    <w:next w:val="9"/>
    <w:link w:val="61"/>
    <w:autoRedefine/>
    <w:unhideWhenUsed/>
    <w:qFormat/>
    <w:uiPriority w:val="99"/>
    <w:rPr>
      <w:b/>
      <w:bCs/>
    </w:rPr>
  </w:style>
  <w:style w:type="paragraph" w:styleId="25">
    <w:name w:val="Body Text First Indent 2"/>
    <w:basedOn w:val="13"/>
    <w:next w:val="26"/>
    <w:autoRedefine/>
    <w:unhideWhenUsed/>
    <w:qFormat/>
    <w:uiPriority w:val="99"/>
    <w:pPr>
      <w:ind w:firstLine="420"/>
    </w:pPr>
  </w:style>
  <w:style w:type="paragraph" w:customStyle="1" w:styleId="2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table" w:styleId="28">
    <w:name w:val="Table Grid"/>
    <w:basedOn w:val="2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autoRedefine/>
    <w:qFormat/>
    <w:uiPriority w:val="0"/>
    <w:rPr>
      <w:rFonts w:ascii="Arial" w:hAnsi="Arial" w:eastAsia="黑体" w:cs="Arial"/>
      <w:snapToGrid w:val="0"/>
      <w:kern w:val="0"/>
      <w:szCs w:val="21"/>
    </w:rPr>
  </w:style>
  <w:style w:type="character" w:styleId="31">
    <w:name w:val="FollowedHyperlink"/>
    <w:basedOn w:val="29"/>
    <w:autoRedefine/>
    <w:semiHidden/>
    <w:unhideWhenUsed/>
    <w:qFormat/>
    <w:uiPriority w:val="99"/>
    <w:rPr>
      <w:color w:val="800080"/>
      <w:u w:val="none"/>
    </w:rPr>
  </w:style>
  <w:style w:type="character" w:styleId="32">
    <w:name w:val="Hyperlink"/>
    <w:autoRedefine/>
    <w:qFormat/>
    <w:uiPriority w:val="99"/>
    <w:rPr>
      <w:rFonts w:ascii="Arial" w:hAnsi="Arial" w:eastAsia="黑体" w:cs="Arial"/>
      <w:snapToGrid w:val="0"/>
      <w:color w:val="000000"/>
      <w:kern w:val="0"/>
      <w:sz w:val="18"/>
      <w:szCs w:val="18"/>
      <w:u w:val="none"/>
    </w:rPr>
  </w:style>
  <w:style w:type="character" w:styleId="33">
    <w:name w:val="annotation reference"/>
    <w:basedOn w:val="29"/>
    <w:autoRedefine/>
    <w:unhideWhenUsed/>
    <w:qFormat/>
    <w:uiPriority w:val="99"/>
    <w:rPr>
      <w:sz w:val="21"/>
      <w:szCs w:val="21"/>
    </w:rPr>
  </w:style>
  <w:style w:type="paragraph" w:customStyle="1" w:styleId="34">
    <w:name w:val="_Style 3"/>
    <w:basedOn w:val="1"/>
    <w:autoRedefine/>
    <w:qFormat/>
    <w:uiPriority w:val="0"/>
    <w:pPr>
      <w:ind w:firstLine="420" w:firstLineChars="200"/>
    </w:pPr>
    <w:rPr>
      <w:rFonts w:eastAsia="仿宋_GB2312"/>
      <w:sz w:val="28"/>
    </w:rPr>
  </w:style>
  <w:style w:type="paragraph" w:customStyle="1" w:styleId="3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页眉 Char"/>
    <w:basedOn w:val="29"/>
    <w:link w:val="19"/>
    <w:autoRedefine/>
    <w:qFormat/>
    <w:uiPriority w:val="99"/>
    <w:rPr>
      <w:sz w:val="18"/>
      <w:szCs w:val="18"/>
    </w:rPr>
  </w:style>
  <w:style w:type="character" w:customStyle="1" w:styleId="37">
    <w:name w:val="页脚 Char"/>
    <w:basedOn w:val="29"/>
    <w:link w:val="18"/>
    <w:autoRedefine/>
    <w:qFormat/>
    <w:uiPriority w:val="99"/>
    <w:rPr>
      <w:sz w:val="18"/>
      <w:szCs w:val="18"/>
    </w:rPr>
  </w:style>
  <w:style w:type="character" w:customStyle="1" w:styleId="38">
    <w:name w:val="标题 2 Char"/>
    <w:basedOn w:val="29"/>
    <w:link w:val="4"/>
    <w:autoRedefine/>
    <w:qFormat/>
    <w:uiPriority w:val="0"/>
    <w:rPr>
      <w:rFonts w:ascii="仿宋_GB2312" w:hAnsi="仿宋" w:eastAsia="仿宋_GB2312" w:cs="Times New Roman"/>
      <w:b/>
      <w:bCs/>
      <w:sz w:val="32"/>
      <w:szCs w:val="32"/>
      <w:lang w:val="zh-CN"/>
    </w:rPr>
  </w:style>
  <w:style w:type="character" w:customStyle="1" w:styleId="39">
    <w:name w:val="正文文本缩进 Char"/>
    <w:basedOn w:val="29"/>
    <w:link w:val="13"/>
    <w:autoRedefine/>
    <w:qFormat/>
    <w:uiPriority w:val="0"/>
    <w:rPr>
      <w:rFonts w:ascii="宋体" w:hAnsi="宋体" w:eastAsia="宋体" w:cs="Times New Roman"/>
      <w:sz w:val="24"/>
      <w:szCs w:val="24"/>
    </w:rPr>
  </w:style>
  <w:style w:type="character" w:customStyle="1" w:styleId="40">
    <w:name w:val="日期 Char"/>
    <w:basedOn w:val="29"/>
    <w:link w:val="16"/>
    <w:autoRedefine/>
    <w:qFormat/>
    <w:uiPriority w:val="0"/>
    <w:rPr>
      <w:rFonts w:ascii="宋体" w:hAnsi="Calibri" w:eastAsia="宋体" w:cs="Times New Roman"/>
      <w:sz w:val="24"/>
      <w:szCs w:val="21"/>
      <w:lang w:val="zh-CN"/>
    </w:rPr>
  </w:style>
  <w:style w:type="character" w:customStyle="1" w:styleId="41">
    <w:name w:val="纯文本 Char"/>
    <w:basedOn w:val="29"/>
    <w:link w:val="15"/>
    <w:autoRedefine/>
    <w:qFormat/>
    <w:uiPriority w:val="0"/>
    <w:rPr>
      <w:rFonts w:ascii="宋体" w:hAnsi="Courier New" w:cs="Arial"/>
      <w:b/>
      <w:snapToGrid w:val="0"/>
      <w:kern w:val="2"/>
      <w:sz w:val="21"/>
      <w:szCs w:val="21"/>
    </w:rPr>
  </w:style>
  <w:style w:type="character" w:customStyle="1" w:styleId="42">
    <w:name w:val="正文文本 Char"/>
    <w:basedOn w:val="29"/>
    <w:link w:val="10"/>
    <w:autoRedefine/>
    <w:qFormat/>
    <w:uiPriority w:val="0"/>
    <w:rPr>
      <w:rFonts w:ascii="宋体" w:hAnsi="Arial" w:eastAsia="宋体" w:cs="Arial"/>
      <w:snapToGrid w:val="0"/>
      <w:sz w:val="24"/>
      <w:szCs w:val="21"/>
      <w:lang w:val="zh-CN"/>
    </w:rPr>
  </w:style>
  <w:style w:type="paragraph" w:customStyle="1" w:styleId="43">
    <w:name w:val="索引 11"/>
    <w:basedOn w:val="1"/>
    <w:next w:val="1"/>
    <w:autoRedefine/>
    <w:qFormat/>
    <w:uiPriority w:val="99"/>
    <w:pPr>
      <w:spacing w:line="360" w:lineRule="auto"/>
    </w:pPr>
    <w:rPr>
      <w:rFonts w:ascii="仿宋_GB2312" w:eastAsia="仿宋_GB2312"/>
      <w:sz w:val="24"/>
      <w:szCs w:val="20"/>
    </w:rPr>
  </w:style>
  <w:style w:type="paragraph" w:customStyle="1" w:styleId="4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6">
    <w:name w:val="text-tag"/>
    <w:basedOn w:val="1"/>
    <w:autoRedefine/>
    <w:semiHidden/>
    <w:qFormat/>
    <w:uiPriority w:val="99"/>
    <w:pPr>
      <w:spacing w:before="100" w:beforeAutospacing="1" w:after="100" w:afterAutospacing="1"/>
    </w:pPr>
    <w:rPr>
      <w:rFonts w:ascii="宋体" w:hAnsi="宋体" w:cs="宋体"/>
      <w:kern w:val="0"/>
      <w:sz w:val="24"/>
    </w:rPr>
  </w:style>
  <w:style w:type="paragraph" w:customStyle="1" w:styleId="47">
    <w:name w:val="纯文本1"/>
    <w:basedOn w:val="1"/>
    <w:autoRedefine/>
    <w:qFormat/>
    <w:uiPriority w:val="0"/>
    <w:rPr>
      <w:rFonts w:ascii="宋体" w:hAnsi="Courier New"/>
      <w:kern w:val="0"/>
      <w:sz w:val="20"/>
      <w:szCs w:val="20"/>
    </w:rPr>
  </w:style>
  <w:style w:type="paragraph" w:customStyle="1" w:styleId="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0_0"/>
    <w:basedOn w:val="48"/>
    <w:autoRedefine/>
    <w:qFormat/>
    <w:uiPriority w:val="0"/>
    <w:rPr>
      <w:rFonts w:ascii="宋体" w:hAnsi="Courier New"/>
      <w:szCs w:val="21"/>
    </w:rPr>
  </w:style>
  <w:style w:type="paragraph" w:customStyle="1" w:styleId="50">
    <w:name w:val="正文2"/>
    <w:basedOn w:val="1"/>
    <w:autoRedefine/>
    <w:qFormat/>
    <w:uiPriority w:val="0"/>
    <w:pPr>
      <w:spacing w:before="156" w:line="360" w:lineRule="auto"/>
      <w:ind w:firstLine="510" w:firstLineChars="200"/>
    </w:pPr>
    <w:rPr>
      <w:sz w:val="24"/>
      <w:szCs w:val="20"/>
    </w:rPr>
  </w:style>
  <w:style w:type="paragraph" w:customStyle="1" w:styleId="51">
    <w:name w:val="正文缩进1"/>
    <w:basedOn w:val="1"/>
    <w:next w:val="13"/>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2">
    <w:name w:val="标题 3 Char"/>
    <w:basedOn w:val="29"/>
    <w:link w:val="5"/>
    <w:autoRedefine/>
    <w:semiHidden/>
    <w:qFormat/>
    <w:uiPriority w:val="9"/>
    <w:rPr>
      <w:rFonts w:ascii="Calibri" w:hAnsi="Calibri" w:eastAsia="宋体" w:cs="Times New Roman"/>
      <w:b/>
      <w:bCs/>
      <w:sz w:val="32"/>
      <w:szCs w:val="32"/>
    </w:rPr>
  </w:style>
  <w:style w:type="character" w:customStyle="1" w:styleId="53">
    <w:name w:val="标题 4 Char"/>
    <w:basedOn w:val="29"/>
    <w:link w:val="6"/>
    <w:autoRedefine/>
    <w:semiHidden/>
    <w:qFormat/>
    <w:uiPriority w:val="9"/>
    <w:rPr>
      <w:rFonts w:asciiTheme="majorHAnsi" w:hAnsiTheme="majorHAnsi" w:eastAsiaTheme="majorEastAsia" w:cstheme="majorBidi"/>
      <w:b/>
      <w:bCs/>
      <w:sz w:val="28"/>
      <w:szCs w:val="28"/>
    </w:rPr>
  </w:style>
  <w:style w:type="paragraph" w:customStyle="1" w:styleId="54">
    <w:name w:val="标题4"/>
    <w:basedOn w:val="1"/>
    <w:autoRedefine/>
    <w:qFormat/>
    <w:uiPriority w:val="0"/>
    <w:rPr>
      <w:rFonts w:ascii="Times New Roman" w:hAnsi="Times New Roman" w:eastAsia="仿宋_GB2312"/>
      <w:sz w:val="32"/>
      <w:szCs w:val="20"/>
    </w:rPr>
  </w:style>
  <w:style w:type="character" w:customStyle="1" w:styleId="55">
    <w:name w:val="批注框文本 Char"/>
    <w:basedOn w:val="29"/>
    <w:link w:val="17"/>
    <w:autoRedefine/>
    <w:semiHidden/>
    <w:qFormat/>
    <w:uiPriority w:val="99"/>
    <w:rPr>
      <w:rFonts w:ascii="Calibri" w:hAnsi="Calibri" w:eastAsia="宋体" w:cs="Times New Roman"/>
      <w:sz w:val="18"/>
      <w:szCs w:val="18"/>
    </w:rPr>
  </w:style>
  <w:style w:type="character" w:customStyle="1" w:styleId="56">
    <w:name w:val="List Paragraph Char"/>
    <w:link w:val="57"/>
    <w:autoRedefine/>
    <w:qFormat/>
    <w:locked/>
    <w:uiPriority w:val="0"/>
    <w:rPr>
      <w:rFonts w:ascii="Times New Roman" w:hAnsi="Times New Roman"/>
      <w:szCs w:val="24"/>
    </w:rPr>
  </w:style>
  <w:style w:type="paragraph" w:customStyle="1" w:styleId="57">
    <w:name w:val="列出段落11"/>
    <w:basedOn w:val="1"/>
    <w:link w:val="56"/>
    <w:autoRedefine/>
    <w:qFormat/>
    <w:uiPriority w:val="0"/>
    <w:pPr>
      <w:ind w:firstLine="420" w:firstLineChars="200"/>
    </w:pPr>
    <w:rPr>
      <w:rFonts w:ascii="Times New Roman" w:hAnsi="Times New Roman" w:eastAsiaTheme="minorEastAsia" w:cstheme="minorBidi"/>
    </w:rPr>
  </w:style>
  <w:style w:type="paragraph" w:customStyle="1" w:styleId="58">
    <w:name w:val="列表段落1"/>
    <w:basedOn w:val="1"/>
    <w:autoRedefine/>
    <w:qFormat/>
    <w:uiPriority w:val="99"/>
    <w:pPr>
      <w:ind w:firstLine="420" w:firstLineChars="200"/>
    </w:pPr>
  </w:style>
  <w:style w:type="paragraph" w:customStyle="1" w:styleId="5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60">
    <w:name w:val="批注文字 Char"/>
    <w:basedOn w:val="29"/>
    <w:link w:val="9"/>
    <w:autoRedefine/>
    <w:semiHidden/>
    <w:qFormat/>
    <w:uiPriority w:val="99"/>
    <w:rPr>
      <w:rFonts w:ascii="Calibri" w:hAnsi="Calibri"/>
      <w:kern w:val="2"/>
      <w:sz w:val="21"/>
      <w:szCs w:val="24"/>
    </w:rPr>
  </w:style>
  <w:style w:type="character" w:customStyle="1" w:styleId="61">
    <w:name w:val="批注主题 Char"/>
    <w:basedOn w:val="60"/>
    <w:link w:val="24"/>
    <w:autoRedefine/>
    <w:semiHidden/>
    <w:qFormat/>
    <w:uiPriority w:val="99"/>
    <w:rPr>
      <w:rFonts w:ascii="Calibri" w:hAnsi="Calibri"/>
      <w:b/>
      <w:bCs/>
      <w:kern w:val="2"/>
      <w:sz w:val="21"/>
      <w:szCs w:val="24"/>
    </w:rPr>
  </w:style>
  <w:style w:type="paragraph" w:customStyle="1" w:styleId="62">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63">
    <w:name w:val="修订3"/>
    <w:autoRedefine/>
    <w:hidden/>
    <w:semiHidden/>
    <w:qFormat/>
    <w:uiPriority w:val="99"/>
    <w:rPr>
      <w:rFonts w:ascii="Calibri" w:hAnsi="Calibri" w:eastAsia="宋体" w:cs="Times New Roman"/>
      <w:kern w:val="2"/>
      <w:sz w:val="21"/>
      <w:szCs w:val="24"/>
      <w:lang w:val="en-US" w:eastAsia="zh-CN" w:bidi="ar-SA"/>
    </w:rPr>
  </w:style>
  <w:style w:type="character" w:customStyle="1" w:styleId="64">
    <w:name w:val="textcolor1"/>
    <w:basedOn w:val="29"/>
    <w:autoRedefine/>
    <w:qFormat/>
    <w:uiPriority w:val="0"/>
    <w:rPr>
      <w:color w:val="FF6600"/>
    </w:rPr>
  </w:style>
  <w:style w:type="table" w:customStyle="1" w:styleId="65">
    <w:name w:val="Table Normal"/>
    <w:autoRedefine/>
    <w:semiHidden/>
    <w:unhideWhenUsed/>
    <w:qFormat/>
    <w:uiPriority w:val="0"/>
    <w:tblPr>
      <w:tblCellMar>
        <w:top w:w="0" w:type="dxa"/>
        <w:left w:w="0" w:type="dxa"/>
        <w:bottom w:w="0" w:type="dxa"/>
        <w:right w:w="0" w:type="dxa"/>
      </w:tblCellMar>
    </w:tblPr>
  </w:style>
  <w:style w:type="paragraph" w:customStyle="1" w:styleId="66">
    <w:name w:val="公告正文"/>
    <w:basedOn w:val="1"/>
    <w:autoRedefine/>
    <w:qFormat/>
    <w:uiPriority w:val="0"/>
    <w:pPr>
      <w:spacing w:line="400" w:lineRule="atLeast"/>
      <w:ind w:firstLine="437"/>
    </w:pPr>
    <w:rPr>
      <w:rFonts w:ascii="宋体" w:hAnsi="宋体"/>
      <w:kern w:val="0"/>
      <w:sz w:val="24"/>
    </w:rPr>
  </w:style>
  <w:style w:type="paragraph" w:customStyle="1" w:styleId="67">
    <w:name w:val="须知二级小标题"/>
    <w:basedOn w:val="1"/>
    <w:autoRedefine/>
    <w:qFormat/>
    <w:uiPriority w:val="0"/>
    <w:pPr>
      <w:spacing w:line="500" w:lineRule="exact"/>
    </w:pPr>
    <w:rPr>
      <w:rFonts w:ascii="宋体"/>
      <w:b/>
      <w:sz w:val="24"/>
    </w:rPr>
  </w:style>
  <w:style w:type="paragraph" w:customStyle="1" w:styleId="68">
    <w:name w:val="纯文本2"/>
    <w:basedOn w:val="1"/>
    <w:autoRedefine/>
    <w:qFormat/>
    <w:uiPriority w:val="0"/>
    <w:rPr>
      <w:rFonts w:ascii="宋体" w:hAnsi="Courier New" w:eastAsia="Times New Roman"/>
      <w:kern w:val="0"/>
      <w:sz w:val="20"/>
      <w:szCs w:val="20"/>
    </w:rPr>
  </w:style>
  <w:style w:type="paragraph" w:customStyle="1" w:styleId="69">
    <w:name w:val="[Normal]"/>
    <w:autoRedefine/>
    <w:qFormat/>
    <w:uiPriority w:val="0"/>
    <w:rPr>
      <w:rFonts w:ascii="宋体" w:hAnsi="宋体" w:eastAsia="宋体" w:cs="Times New Roman"/>
      <w:sz w:val="24"/>
      <w:szCs w:val="22"/>
      <w:lang w:val="zh-CN" w:eastAsia="zh-CN" w:bidi="ar-SA"/>
    </w:rPr>
  </w:style>
  <w:style w:type="paragraph" w:customStyle="1" w:styleId="70">
    <w:name w:val="正文空格"/>
    <w:basedOn w:val="1"/>
    <w:next w:val="1"/>
    <w:autoRedefine/>
    <w:qFormat/>
    <w:uiPriority w:val="0"/>
    <w:pPr>
      <w:spacing w:line="400" w:lineRule="exact"/>
      <w:ind w:firstLine="200" w:firstLineChars="200"/>
    </w:pPr>
    <w:rPr>
      <w:sz w:val="24"/>
      <w:szCs w:val="22"/>
    </w:rPr>
  </w:style>
  <w:style w:type="character" w:customStyle="1" w:styleId="71">
    <w:name w:val="正文文本缩进 3 Char"/>
    <w:basedOn w:val="29"/>
    <w:link w:val="21"/>
    <w:autoRedefine/>
    <w:qFormat/>
    <w:uiPriority w:val="0"/>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77</Pages>
  <Words>40444</Words>
  <Characters>43316</Characters>
  <Lines>344</Lines>
  <Paragraphs>96</Paragraphs>
  <TotalTime>50</TotalTime>
  <ScaleCrop>false</ScaleCrop>
  <LinksUpToDate>false</LinksUpToDate>
  <CharactersWithSpaces>46058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丁 小 跳   ■</cp:lastModifiedBy>
  <cp:lastPrinted>2023-12-14T03:27:00Z</cp:lastPrinted>
  <dcterms:modified xsi:type="dcterms:W3CDTF">2024-09-23T08:38:18Z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8B5B27000FE445D087EE802C81AAB260_13</vt:lpwstr>
  </property>
</Properties>
</file>