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9D2487">
      <w:pPr>
        <w:adjustRightInd/>
        <w:spacing w:before="240" w:beforeLines="100" w:line="360" w:lineRule="auto"/>
        <w:jc w:val="center"/>
        <w:rPr>
          <w:rFonts w:hint="eastAsia" w:ascii="宋体" w:hAnsi="宋体" w:cs="宋体"/>
          <w:b/>
          <w:bCs/>
          <w:color w:val="auto"/>
          <w:kern w:val="0"/>
          <w:sz w:val="40"/>
          <w:szCs w:val="40"/>
          <w:highlight w:val="none"/>
          <w:lang w:eastAsia="zh-CN"/>
        </w:rPr>
      </w:pPr>
    </w:p>
    <w:p w14:paraId="5D8C6670">
      <w:pPr>
        <w:pStyle w:val="24"/>
        <w:tabs>
          <w:tab w:val="left" w:pos="5834"/>
        </w:tabs>
        <w:kinsoku w:val="0"/>
        <w:overflowPunct w:val="0"/>
        <w:spacing w:before="14"/>
        <w:ind w:right="175"/>
        <w:jc w:val="center"/>
        <w:rPr>
          <w:rFonts w:hint="default" w:ascii="宋体" w:hAnsi="宋体" w:eastAsia="宋体" w:cs="宋体"/>
          <w:b/>
          <w:bCs/>
          <w:color w:val="auto"/>
          <w:sz w:val="52"/>
          <w:szCs w:val="52"/>
          <w:highlight w:val="none"/>
          <w:lang w:val="en-US" w:eastAsia="zh-CN"/>
        </w:rPr>
      </w:pPr>
      <w:r>
        <w:rPr>
          <w:rFonts w:hint="eastAsia" w:hAnsi="宋体" w:cs="宋体"/>
          <w:b/>
          <w:bCs/>
          <w:color w:val="auto"/>
          <w:sz w:val="52"/>
          <w:szCs w:val="52"/>
          <w:highlight w:val="none"/>
          <w:lang w:val="en-US" w:eastAsia="zh-CN"/>
        </w:rPr>
        <w:t>彩虹快速路通风隔声窗安装项目</w:t>
      </w:r>
    </w:p>
    <w:p w14:paraId="302FA458">
      <w:pPr>
        <w:adjustRightInd/>
        <w:spacing w:before="240" w:beforeLines="100" w:line="360" w:lineRule="auto"/>
        <w:jc w:val="center"/>
        <w:rPr>
          <w:rFonts w:hint="eastAsia" w:eastAsia="宋体"/>
          <w:b/>
          <w:bCs/>
          <w:color w:val="auto"/>
          <w:kern w:val="0"/>
          <w:sz w:val="44"/>
          <w:szCs w:val="44"/>
          <w:highlight w:val="none"/>
          <w:lang w:eastAsia="zh-CN"/>
        </w:rPr>
      </w:pPr>
    </w:p>
    <w:p w14:paraId="018558C7">
      <w:pPr>
        <w:adjustRightInd/>
        <w:spacing w:line="360" w:lineRule="auto"/>
        <w:jc w:val="center"/>
        <w:rPr>
          <w:rFonts w:ascii="宋体" w:hAnsi="宋体" w:cs="宋体"/>
          <w:b/>
          <w:bCs/>
          <w:color w:val="auto"/>
          <w:kern w:val="0"/>
          <w:sz w:val="48"/>
          <w:szCs w:val="48"/>
          <w:highlight w:val="none"/>
        </w:rPr>
      </w:pPr>
      <w:r>
        <w:rPr>
          <w:rFonts w:hint="eastAsia" w:ascii="宋体" w:hAnsi="宋体" w:cs="宋体"/>
          <w:b/>
          <w:bCs/>
          <w:color w:val="auto"/>
          <w:kern w:val="0"/>
          <w:sz w:val="48"/>
          <w:szCs w:val="48"/>
          <w:highlight w:val="none"/>
        </w:rPr>
        <w:t>交易文件</w:t>
      </w:r>
    </w:p>
    <w:p w14:paraId="57D06B68">
      <w:pPr>
        <w:adjustRightInd/>
        <w:spacing w:line="360" w:lineRule="auto"/>
        <w:jc w:val="center"/>
        <w:rPr>
          <w:rFonts w:ascii="宋体" w:hAnsi="宋体" w:cs="宋体"/>
          <w:b/>
          <w:bCs/>
          <w:color w:val="auto"/>
          <w:kern w:val="0"/>
          <w:sz w:val="44"/>
          <w:szCs w:val="44"/>
          <w:highlight w:val="none"/>
        </w:rPr>
      </w:pPr>
      <w:r>
        <w:rPr>
          <w:rFonts w:hint="eastAsia" w:ascii="宋体" w:hAnsi="宋体" w:cs="宋体"/>
          <w:b/>
          <w:bCs/>
          <w:color w:val="auto"/>
          <w:kern w:val="0"/>
          <w:sz w:val="44"/>
          <w:szCs w:val="44"/>
          <w:highlight w:val="none"/>
        </w:rPr>
        <w:t xml:space="preserve"> （电子交易标）</w:t>
      </w:r>
    </w:p>
    <w:p w14:paraId="2289443E">
      <w:pPr>
        <w:snapToGrid w:val="0"/>
        <w:spacing w:line="360" w:lineRule="auto"/>
        <w:jc w:val="center"/>
        <w:rPr>
          <w:rFonts w:hint="default" w:ascii="宋体" w:hAnsi="宋体" w:eastAsia="宋体" w:cs="宋体"/>
          <w:b/>
          <w:bCs/>
          <w:color w:val="auto"/>
          <w:kern w:val="0"/>
          <w:sz w:val="30"/>
          <w:szCs w:val="30"/>
          <w:highlight w:val="none"/>
          <w:lang w:val="en-US" w:eastAsia="zh-CN"/>
        </w:rPr>
      </w:pPr>
      <w:r>
        <w:rPr>
          <w:rFonts w:hint="eastAsia" w:ascii="宋体" w:hAnsi="宋体" w:cs="宋体"/>
          <w:b/>
          <w:bCs/>
          <w:color w:val="auto"/>
          <w:kern w:val="0"/>
          <w:sz w:val="30"/>
          <w:szCs w:val="30"/>
          <w:highlight w:val="none"/>
        </w:rPr>
        <w:t xml:space="preserve">交易编号:SGCCGDL-2025-021 </w:t>
      </w:r>
      <w:r>
        <w:rPr>
          <w:rFonts w:hint="eastAsia" w:ascii="宋体" w:hAnsi="宋体" w:cs="宋体"/>
          <w:b/>
          <w:bCs/>
          <w:color w:val="auto"/>
          <w:kern w:val="0"/>
          <w:sz w:val="30"/>
          <w:szCs w:val="30"/>
          <w:highlight w:val="none"/>
          <w:lang w:val="en-US" w:eastAsia="zh-CN"/>
        </w:rPr>
        <w:t xml:space="preserve">   </w:t>
      </w:r>
    </w:p>
    <w:p w14:paraId="4A721E41">
      <w:pPr>
        <w:pStyle w:val="3"/>
        <w:rPr>
          <w:b/>
          <w:bCs/>
          <w:color w:val="auto"/>
          <w:kern w:val="0"/>
          <w:highlight w:val="none"/>
        </w:rPr>
      </w:pPr>
    </w:p>
    <w:p w14:paraId="6F7145B3">
      <w:pPr>
        <w:spacing w:line="360" w:lineRule="auto"/>
        <w:jc w:val="center"/>
        <w:rPr>
          <w:rFonts w:ascii="宋体" w:hAnsi="宋体" w:cs="宋体"/>
          <w:b/>
          <w:bCs/>
          <w:color w:val="auto"/>
          <w:kern w:val="0"/>
          <w:sz w:val="24"/>
          <w:highlight w:val="none"/>
        </w:rPr>
      </w:pPr>
    </w:p>
    <w:p w14:paraId="47AD4FF6">
      <w:pPr>
        <w:spacing w:line="360" w:lineRule="auto"/>
        <w:rPr>
          <w:rFonts w:ascii="宋体" w:hAnsi="宋体" w:cs="宋体"/>
          <w:b/>
          <w:bCs/>
          <w:color w:val="auto"/>
          <w:kern w:val="0"/>
          <w:sz w:val="32"/>
          <w:szCs w:val="32"/>
          <w:highlight w:val="none"/>
        </w:rPr>
      </w:pPr>
    </w:p>
    <w:p w14:paraId="68D46522">
      <w:pPr>
        <w:pStyle w:val="62"/>
        <w:rPr>
          <w:rFonts w:ascii="宋体" w:hAnsi="宋体" w:cs="宋体"/>
          <w:b/>
          <w:bCs/>
          <w:color w:val="auto"/>
          <w:kern w:val="0"/>
          <w:sz w:val="32"/>
          <w:szCs w:val="32"/>
          <w:highlight w:val="none"/>
        </w:rPr>
      </w:pPr>
    </w:p>
    <w:p w14:paraId="5637D8AC">
      <w:pPr>
        <w:pStyle w:val="62"/>
        <w:rPr>
          <w:rFonts w:ascii="宋体" w:hAnsi="宋体" w:cs="宋体"/>
          <w:b/>
          <w:bCs/>
          <w:color w:val="auto"/>
          <w:kern w:val="0"/>
          <w:sz w:val="32"/>
          <w:szCs w:val="32"/>
          <w:highlight w:val="none"/>
        </w:rPr>
      </w:pPr>
    </w:p>
    <w:p w14:paraId="189E60F1">
      <w:pPr>
        <w:pStyle w:val="62"/>
        <w:rPr>
          <w:rFonts w:ascii="宋体" w:hAnsi="宋体" w:cs="宋体"/>
          <w:b/>
          <w:bCs/>
          <w:color w:val="auto"/>
          <w:kern w:val="0"/>
          <w:sz w:val="32"/>
          <w:szCs w:val="32"/>
          <w:highlight w:val="none"/>
        </w:rPr>
      </w:pPr>
      <w:bookmarkStart w:id="389" w:name="_GoBack"/>
      <w:bookmarkEnd w:id="389"/>
    </w:p>
    <w:p w14:paraId="756C2744">
      <w:pPr>
        <w:pStyle w:val="62"/>
        <w:rPr>
          <w:rFonts w:ascii="宋体" w:hAnsi="宋体" w:cs="宋体"/>
          <w:b/>
          <w:bCs/>
          <w:color w:val="auto"/>
          <w:kern w:val="0"/>
          <w:sz w:val="32"/>
          <w:szCs w:val="32"/>
          <w:highlight w:val="none"/>
        </w:rPr>
      </w:pPr>
    </w:p>
    <w:p w14:paraId="4D1A1B1F">
      <w:pPr>
        <w:pStyle w:val="62"/>
        <w:rPr>
          <w:rFonts w:ascii="宋体" w:hAnsi="宋体" w:cs="宋体"/>
          <w:b/>
          <w:bCs/>
          <w:color w:val="auto"/>
          <w:kern w:val="0"/>
          <w:sz w:val="32"/>
          <w:szCs w:val="32"/>
          <w:highlight w:val="none"/>
        </w:rPr>
      </w:pPr>
    </w:p>
    <w:p w14:paraId="3E8CC6A3">
      <w:pPr>
        <w:pStyle w:val="62"/>
        <w:rPr>
          <w:rFonts w:ascii="宋体" w:hAnsi="宋体" w:cs="宋体"/>
          <w:b/>
          <w:bCs/>
          <w:color w:val="auto"/>
          <w:kern w:val="0"/>
          <w:sz w:val="32"/>
          <w:szCs w:val="32"/>
          <w:highlight w:val="none"/>
        </w:rPr>
      </w:pPr>
    </w:p>
    <w:p w14:paraId="60D2D099">
      <w:pPr>
        <w:snapToGrid w:val="0"/>
        <w:spacing w:line="360" w:lineRule="auto"/>
        <w:jc w:val="center"/>
        <w:rPr>
          <w:rFonts w:hint="eastAsia" w:ascii="宋体" w:hAnsi="宋体" w:eastAsia="宋体" w:cs="宋体"/>
          <w:b/>
          <w:bCs/>
          <w:color w:val="auto"/>
          <w:sz w:val="32"/>
          <w:szCs w:val="32"/>
          <w:highlight w:val="none"/>
          <w:u w:val="none"/>
          <w:lang w:eastAsia="zh-CN"/>
        </w:rPr>
      </w:pPr>
      <w:r>
        <w:rPr>
          <w:rFonts w:hint="eastAsia" w:ascii="宋体" w:hAnsi="宋体" w:eastAsia="宋体" w:cs="宋体"/>
          <w:b/>
          <w:bCs/>
          <w:color w:val="auto"/>
          <w:sz w:val="32"/>
          <w:szCs w:val="32"/>
          <w:highlight w:val="none"/>
          <w:u w:val="none"/>
          <w:lang w:eastAsia="zh-CN"/>
        </w:rPr>
        <w:t>杭州萧山城市基础设施建设有限公司</w:t>
      </w:r>
    </w:p>
    <w:p w14:paraId="4E848634">
      <w:pPr>
        <w:snapToGrid w:val="0"/>
        <w:spacing w:line="360" w:lineRule="auto"/>
        <w:jc w:val="center"/>
        <w:rPr>
          <w:rFonts w:hint="eastAsia" w:ascii="宋体" w:hAnsi="宋体" w:eastAsia="宋体" w:cs="宋体"/>
          <w:b/>
          <w:bCs/>
          <w:color w:val="auto"/>
          <w:sz w:val="32"/>
          <w:szCs w:val="32"/>
          <w:highlight w:val="none"/>
          <w:u w:val="none"/>
          <w:lang w:eastAsia="zh-CN"/>
        </w:rPr>
      </w:pPr>
    </w:p>
    <w:p w14:paraId="31CD6AD7">
      <w:pPr>
        <w:snapToGrid w:val="0"/>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浙江省工程咨询有限公司</w:t>
      </w:r>
    </w:p>
    <w:p w14:paraId="409DAD4B">
      <w:pPr>
        <w:snapToGrid w:val="0"/>
        <w:spacing w:line="360" w:lineRule="auto"/>
        <w:jc w:val="center"/>
        <w:rPr>
          <w:rFonts w:hint="eastAsia" w:ascii="宋体" w:hAnsi="宋体" w:eastAsia="宋体" w:cs="宋体"/>
          <w:b/>
          <w:bCs/>
          <w:color w:val="auto"/>
          <w:sz w:val="32"/>
          <w:szCs w:val="32"/>
          <w:highlight w:val="none"/>
          <w:u w:val="none"/>
        </w:rPr>
      </w:pPr>
    </w:p>
    <w:p w14:paraId="58DFEDFD">
      <w:pPr>
        <w:snapToGrid w:val="0"/>
        <w:spacing w:line="360" w:lineRule="auto"/>
        <w:jc w:val="center"/>
        <w:rPr>
          <w:rFonts w:hint="default" w:ascii="宋体" w:hAnsi="宋体" w:eastAsia="宋体" w:cs="宋体"/>
          <w:b/>
          <w:bCs/>
          <w:color w:val="auto"/>
          <w:kern w:val="0"/>
          <w:sz w:val="32"/>
          <w:szCs w:val="32"/>
          <w:highlight w:val="none"/>
          <w:lang w:val="en-US" w:eastAsia="zh-CN"/>
        </w:rPr>
      </w:pPr>
      <w:r>
        <w:rPr>
          <w:rFonts w:hint="eastAsia" w:ascii="宋体" w:hAnsi="宋体" w:cs="宋体"/>
          <w:b/>
          <w:bCs/>
          <w:color w:val="auto"/>
          <w:kern w:val="0"/>
          <w:sz w:val="32"/>
          <w:szCs w:val="32"/>
          <w:highlight w:val="none"/>
        </w:rPr>
        <w:t>202</w:t>
      </w:r>
      <w:r>
        <w:rPr>
          <w:rFonts w:hint="eastAsia" w:ascii="宋体" w:hAnsi="宋体" w:cs="宋体"/>
          <w:b/>
          <w:bCs/>
          <w:color w:val="auto"/>
          <w:kern w:val="0"/>
          <w:sz w:val="32"/>
          <w:szCs w:val="32"/>
          <w:highlight w:val="none"/>
          <w:lang w:val="en-US" w:eastAsia="zh-CN"/>
        </w:rPr>
        <w:t>5</w:t>
      </w:r>
      <w:r>
        <w:rPr>
          <w:rFonts w:hint="eastAsia" w:ascii="宋体" w:hAnsi="宋体" w:cs="宋体"/>
          <w:b/>
          <w:bCs/>
          <w:color w:val="auto"/>
          <w:kern w:val="0"/>
          <w:sz w:val="32"/>
          <w:szCs w:val="32"/>
          <w:highlight w:val="none"/>
        </w:rPr>
        <w:t>年</w:t>
      </w:r>
      <w:r>
        <w:rPr>
          <w:rFonts w:hint="eastAsia" w:ascii="宋体" w:hAnsi="宋体" w:cs="宋体"/>
          <w:b/>
          <w:bCs/>
          <w:color w:val="auto"/>
          <w:kern w:val="0"/>
          <w:sz w:val="32"/>
          <w:szCs w:val="32"/>
          <w:highlight w:val="none"/>
          <w:lang w:val="en-US" w:eastAsia="zh-CN"/>
        </w:rPr>
        <w:t>4</w:t>
      </w:r>
      <w:r>
        <w:rPr>
          <w:rFonts w:hint="eastAsia" w:ascii="宋体" w:hAnsi="宋体" w:cs="宋体"/>
          <w:b/>
          <w:bCs/>
          <w:color w:val="auto"/>
          <w:kern w:val="0"/>
          <w:sz w:val="32"/>
          <w:szCs w:val="32"/>
          <w:highlight w:val="none"/>
        </w:rPr>
        <w:t>月</w:t>
      </w:r>
      <w:r>
        <w:rPr>
          <w:rFonts w:hint="eastAsia" w:ascii="宋体" w:hAnsi="宋体" w:cs="宋体"/>
          <w:b/>
          <w:bCs/>
          <w:color w:val="auto"/>
          <w:kern w:val="0"/>
          <w:sz w:val="32"/>
          <w:szCs w:val="32"/>
          <w:highlight w:val="none"/>
          <w:lang w:val="en-US" w:eastAsia="zh-CN"/>
        </w:rPr>
        <w:t>21日</w:t>
      </w:r>
    </w:p>
    <w:p w14:paraId="7630D1F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br w:type="page"/>
      </w:r>
      <w:bookmarkStart w:id="0" w:name="_Hlt67893495"/>
      <w:bookmarkEnd w:id="0"/>
    </w:p>
    <w:p w14:paraId="532C5440">
      <w:pPr>
        <w:spacing w:line="360" w:lineRule="auto"/>
        <w:jc w:val="center"/>
        <w:rPr>
          <w:rFonts w:ascii="宋体" w:hAnsi="宋体" w:cs="宋体"/>
          <w:color w:val="auto"/>
          <w:kern w:val="0"/>
          <w:sz w:val="24"/>
          <w:highlight w:val="none"/>
        </w:rPr>
      </w:pPr>
    </w:p>
    <w:p w14:paraId="4027FF47">
      <w:pPr>
        <w:spacing w:line="360" w:lineRule="auto"/>
        <w:jc w:val="center"/>
        <w:rPr>
          <w:rFonts w:ascii="宋体" w:hAnsi="宋体" w:cs="宋体"/>
          <w:b/>
          <w:color w:val="auto"/>
          <w:kern w:val="0"/>
          <w:sz w:val="48"/>
          <w:szCs w:val="48"/>
          <w:highlight w:val="none"/>
        </w:rPr>
      </w:pPr>
      <w:r>
        <w:rPr>
          <w:rFonts w:hint="eastAsia" w:ascii="宋体" w:hAnsi="宋体" w:cs="宋体"/>
          <w:b/>
          <w:color w:val="auto"/>
          <w:kern w:val="0"/>
          <w:sz w:val="48"/>
          <w:szCs w:val="48"/>
          <w:highlight w:val="none"/>
        </w:rPr>
        <w:t>目  录</w:t>
      </w:r>
    </w:p>
    <w:p w14:paraId="3987897A">
      <w:pPr>
        <w:spacing w:line="360" w:lineRule="auto"/>
        <w:rPr>
          <w:rFonts w:ascii="宋体" w:hAnsi="宋体" w:cs="宋体"/>
          <w:color w:val="auto"/>
          <w:kern w:val="0"/>
          <w:sz w:val="32"/>
          <w:szCs w:val="32"/>
          <w:highlight w:val="none"/>
        </w:rPr>
      </w:pPr>
    </w:p>
    <w:p w14:paraId="6CFEBC9D">
      <w:pPr>
        <w:spacing w:line="360" w:lineRule="auto"/>
        <w:rPr>
          <w:rFonts w:ascii="宋体" w:hAnsi="宋体" w:cs="宋体"/>
          <w:color w:val="auto"/>
          <w:kern w:val="0"/>
          <w:sz w:val="32"/>
          <w:szCs w:val="32"/>
          <w:highlight w:val="none"/>
        </w:rPr>
      </w:pPr>
    </w:p>
    <w:p w14:paraId="779A4C67">
      <w:pPr>
        <w:spacing w:line="360" w:lineRule="auto"/>
        <w:ind w:firstLine="1280" w:firstLineChars="400"/>
        <w:rPr>
          <w:rFonts w:ascii="宋体" w:hAnsi="宋体" w:cs="宋体"/>
          <w:color w:val="auto"/>
          <w:kern w:val="0"/>
          <w:sz w:val="32"/>
          <w:szCs w:val="32"/>
          <w:highlight w:val="none"/>
        </w:rPr>
      </w:pPr>
      <w:r>
        <w:rPr>
          <w:rFonts w:hint="eastAsia" w:ascii="宋体" w:hAnsi="宋体" w:cs="宋体"/>
          <w:color w:val="auto"/>
          <w:kern w:val="0"/>
          <w:sz w:val="32"/>
          <w:szCs w:val="32"/>
          <w:highlight w:val="none"/>
        </w:rPr>
        <w:t>第一部分      交易公告</w:t>
      </w:r>
    </w:p>
    <w:p w14:paraId="0B329A15">
      <w:pPr>
        <w:spacing w:line="360" w:lineRule="auto"/>
        <w:ind w:firstLine="1280" w:firstLineChars="400"/>
        <w:rPr>
          <w:rFonts w:ascii="宋体" w:hAnsi="宋体" w:cs="宋体"/>
          <w:color w:val="auto"/>
          <w:kern w:val="0"/>
          <w:sz w:val="32"/>
          <w:szCs w:val="32"/>
          <w:highlight w:val="none"/>
        </w:rPr>
      </w:pPr>
      <w:r>
        <w:rPr>
          <w:rFonts w:hint="eastAsia" w:ascii="宋体" w:hAnsi="宋体" w:cs="宋体"/>
          <w:color w:val="auto"/>
          <w:kern w:val="0"/>
          <w:sz w:val="32"/>
          <w:szCs w:val="32"/>
          <w:highlight w:val="none"/>
        </w:rPr>
        <w:t>第二部分      供应商须知</w:t>
      </w:r>
    </w:p>
    <w:p w14:paraId="41452FCA">
      <w:pPr>
        <w:spacing w:line="360" w:lineRule="auto"/>
        <w:ind w:firstLine="1280" w:firstLineChars="400"/>
        <w:rPr>
          <w:rFonts w:ascii="宋体" w:hAnsi="宋体" w:cs="宋体"/>
          <w:color w:val="auto"/>
          <w:kern w:val="0"/>
          <w:sz w:val="32"/>
          <w:szCs w:val="32"/>
          <w:highlight w:val="none"/>
        </w:rPr>
      </w:pPr>
      <w:r>
        <w:rPr>
          <w:rFonts w:hint="eastAsia" w:ascii="宋体" w:hAnsi="宋体" w:cs="宋体"/>
          <w:color w:val="auto"/>
          <w:kern w:val="0"/>
          <w:sz w:val="32"/>
          <w:szCs w:val="32"/>
          <w:highlight w:val="none"/>
        </w:rPr>
        <w:t>第三部分      采购需求</w:t>
      </w:r>
    </w:p>
    <w:p w14:paraId="475A7156">
      <w:pPr>
        <w:spacing w:line="360" w:lineRule="auto"/>
        <w:ind w:firstLine="1280" w:firstLineChars="400"/>
        <w:rPr>
          <w:rFonts w:ascii="宋体" w:hAnsi="宋体" w:cs="宋体"/>
          <w:color w:val="auto"/>
          <w:kern w:val="0"/>
          <w:sz w:val="32"/>
          <w:szCs w:val="32"/>
          <w:highlight w:val="none"/>
        </w:rPr>
      </w:pPr>
      <w:r>
        <w:rPr>
          <w:rFonts w:hint="eastAsia" w:ascii="宋体" w:hAnsi="宋体" w:cs="宋体"/>
          <w:color w:val="auto"/>
          <w:kern w:val="0"/>
          <w:sz w:val="32"/>
          <w:szCs w:val="32"/>
          <w:highlight w:val="none"/>
        </w:rPr>
        <w:t>第四部分      评审办法</w:t>
      </w:r>
    </w:p>
    <w:p w14:paraId="3253F53A">
      <w:pPr>
        <w:spacing w:line="360" w:lineRule="auto"/>
        <w:ind w:firstLine="1280" w:firstLineChars="400"/>
        <w:rPr>
          <w:rFonts w:ascii="宋体" w:hAnsi="宋体" w:cs="宋体"/>
          <w:color w:val="auto"/>
          <w:kern w:val="0"/>
          <w:sz w:val="32"/>
          <w:szCs w:val="32"/>
          <w:highlight w:val="none"/>
        </w:rPr>
      </w:pPr>
      <w:r>
        <w:rPr>
          <w:rFonts w:hint="eastAsia" w:ascii="宋体" w:hAnsi="宋体" w:cs="宋体"/>
          <w:color w:val="auto"/>
          <w:kern w:val="0"/>
          <w:sz w:val="32"/>
          <w:szCs w:val="32"/>
          <w:highlight w:val="none"/>
        </w:rPr>
        <w:t>第五部分      应提交的有关格式范例</w:t>
      </w:r>
    </w:p>
    <w:p w14:paraId="65C0EE4F">
      <w:pPr>
        <w:spacing w:line="360" w:lineRule="auto"/>
        <w:ind w:firstLine="549" w:firstLineChars="229"/>
        <w:rPr>
          <w:rFonts w:ascii="宋体" w:hAnsi="宋体" w:cs="宋体"/>
          <w:color w:val="auto"/>
          <w:kern w:val="0"/>
          <w:sz w:val="24"/>
          <w:highlight w:val="none"/>
        </w:rPr>
      </w:pPr>
      <w:bookmarkStart w:id="1" w:name="_Hlt91233176"/>
      <w:bookmarkEnd w:id="1"/>
      <w:bookmarkStart w:id="2" w:name="_Toc91899869"/>
    </w:p>
    <w:p w14:paraId="4BD4B955">
      <w:pPr>
        <w:spacing w:line="360" w:lineRule="auto"/>
        <w:ind w:firstLine="549" w:firstLineChars="229"/>
        <w:rPr>
          <w:rFonts w:ascii="宋体" w:hAnsi="宋体" w:cs="宋体"/>
          <w:color w:val="auto"/>
          <w:kern w:val="0"/>
          <w:sz w:val="24"/>
          <w:highlight w:val="none"/>
        </w:rPr>
      </w:pPr>
    </w:p>
    <w:p w14:paraId="0DD563CC">
      <w:pPr>
        <w:spacing w:line="360" w:lineRule="auto"/>
        <w:ind w:firstLine="549" w:firstLineChars="229"/>
        <w:rPr>
          <w:rFonts w:ascii="宋体" w:hAnsi="宋体" w:cs="宋体"/>
          <w:color w:val="auto"/>
          <w:kern w:val="0"/>
          <w:sz w:val="24"/>
          <w:highlight w:val="none"/>
        </w:rPr>
      </w:pPr>
    </w:p>
    <w:p w14:paraId="2D4C72A8">
      <w:pPr>
        <w:spacing w:line="360" w:lineRule="auto"/>
        <w:ind w:firstLine="549" w:firstLineChars="229"/>
        <w:rPr>
          <w:rFonts w:ascii="宋体" w:hAnsi="宋体" w:cs="宋体"/>
          <w:color w:val="auto"/>
          <w:kern w:val="0"/>
          <w:sz w:val="24"/>
          <w:highlight w:val="none"/>
        </w:rPr>
      </w:pPr>
    </w:p>
    <w:p w14:paraId="6B7780C1">
      <w:pPr>
        <w:spacing w:line="360" w:lineRule="auto"/>
        <w:ind w:firstLine="549" w:firstLineChars="229"/>
        <w:rPr>
          <w:rFonts w:ascii="宋体" w:hAnsi="宋体" w:cs="宋体"/>
          <w:color w:val="auto"/>
          <w:kern w:val="0"/>
          <w:sz w:val="24"/>
          <w:highlight w:val="none"/>
        </w:rPr>
      </w:pPr>
    </w:p>
    <w:p w14:paraId="1E3E8A03">
      <w:pPr>
        <w:spacing w:line="360" w:lineRule="auto"/>
        <w:ind w:firstLine="549" w:firstLineChars="229"/>
        <w:rPr>
          <w:rFonts w:ascii="宋体" w:hAnsi="宋体" w:cs="宋体"/>
          <w:color w:val="auto"/>
          <w:kern w:val="0"/>
          <w:sz w:val="24"/>
          <w:highlight w:val="none"/>
        </w:rPr>
      </w:pPr>
    </w:p>
    <w:p w14:paraId="33FD637F">
      <w:pPr>
        <w:spacing w:line="360" w:lineRule="auto"/>
        <w:ind w:firstLine="549" w:firstLineChars="229"/>
        <w:rPr>
          <w:rFonts w:ascii="宋体" w:hAnsi="宋体" w:cs="宋体"/>
          <w:color w:val="auto"/>
          <w:kern w:val="0"/>
          <w:sz w:val="24"/>
          <w:highlight w:val="none"/>
        </w:rPr>
      </w:pPr>
    </w:p>
    <w:p w14:paraId="55753FE1">
      <w:pPr>
        <w:spacing w:line="360" w:lineRule="auto"/>
        <w:ind w:firstLine="549" w:firstLineChars="229"/>
        <w:rPr>
          <w:rFonts w:ascii="宋体" w:hAnsi="宋体" w:cs="宋体"/>
          <w:color w:val="auto"/>
          <w:kern w:val="0"/>
          <w:sz w:val="24"/>
          <w:highlight w:val="none"/>
        </w:rPr>
      </w:pPr>
    </w:p>
    <w:p w14:paraId="27A96028">
      <w:pPr>
        <w:spacing w:line="360" w:lineRule="auto"/>
        <w:ind w:firstLine="549" w:firstLineChars="229"/>
        <w:rPr>
          <w:rFonts w:ascii="宋体" w:hAnsi="宋体" w:cs="宋体"/>
          <w:color w:val="auto"/>
          <w:kern w:val="0"/>
          <w:sz w:val="24"/>
          <w:highlight w:val="none"/>
        </w:rPr>
      </w:pPr>
    </w:p>
    <w:p w14:paraId="0BE1029D">
      <w:pPr>
        <w:spacing w:line="360" w:lineRule="auto"/>
        <w:ind w:firstLine="549" w:firstLineChars="229"/>
        <w:rPr>
          <w:rFonts w:ascii="宋体" w:hAnsi="宋体" w:cs="宋体"/>
          <w:color w:val="auto"/>
          <w:kern w:val="0"/>
          <w:sz w:val="24"/>
          <w:highlight w:val="none"/>
        </w:rPr>
      </w:pPr>
    </w:p>
    <w:p w14:paraId="47275D43">
      <w:pPr>
        <w:spacing w:line="360" w:lineRule="auto"/>
        <w:ind w:firstLine="549" w:firstLineChars="229"/>
        <w:rPr>
          <w:rFonts w:ascii="宋体" w:hAnsi="宋体" w:cs="宋体"/>
          <w:color w:val="auto"/>
          <w:kern w:val="0"/>
          <w:sz w:val="24"/>
          <w:highlight w:val="none"/>
        </w:rPr>
      </w:pPr>
    </w:p>
    <w:p w14:paraId="475D6916">
      <w:pPr>
        <w:spacing w:line="360" w:lineRule="auto"/>
        <w:ind w:firstLine="549" w:firstLineChars="229"/>
        <w:rPr>
          <w:rFonts w:ascii="宋体" w:hAnsi="宋体" w:cs="宋体"/>
          <w:color w:val="auto"/>
          <w:kern w:val="0"/>
          <w:sz w:val="24"/>
          <w:highlight w:val="none"/>
        </w:rPr>
      </w:pPr>
    </w:p>
    <w:p w14:paraId="468C3C23">
      <w:pPr>
        <w:spacing w:line="360" w:lineRule="auto"/>
        <w:ind w:firstLine="549" w:firstLineChars="229"/>
        <w:rPr>
          <w:rFonts w:ascii="宋体" w:hAnsi="宋体" w:cs="宋体"/>
          <w:color w:val="auto"/>
          <w:kern w:val="0"/>
          <w:sz w:val="24"/>
          <w:highlight w:val="none"/>
        </w:rPr>
      </w:pPr>
    </w:p>
    <w:p w14:paraId="5282F331">
      <w:pPr>
        <w:spacing w:line="360" w:lineRule="auto"/>
        <w:rPr>
          <w:rFonts w:ascii="宋体" w:hAnsi="宋体" w:cs="宋体"/>
          <w:color w:val="auto"/>
          <w:kern w:val="0"/>
          <w:sz w:val="24"/>
          <w:highlight w:val="none"/>
        </w:rPr>
      </w:pPr>
    </w:p>
    <w:p w14:paraId="604B597A">
      <w:pPr>
        <w:adjustRightInd/>
        <w:spacing w:line="360" w:lineRule="auto"/>
        <w:jc w:val="center"/>
        <w:outlineLvl w:val="0"/>
        <w:rPr>
          <w:rFonts w:ascii="宋体" w:hAnsi="宋体" w:cs="宋体"/>
          <w:b/>
          <w:color w:val="auto"/>
          <w:kern w:val="0"/>
          <w:sz w:val="36"/>
          <w:szCs w:val="20"/>
          <w:highlight w:val="none"/>
        </w:rPr>
      </w:pPr>
      <w:bookmarkStart w:id="3" w:name="第一部分"/>
      <w:r>
        <w:rPr>
          <w:rFonts w:hint="eastAsia" w:ascii="宋体" w:hAnsi="宋体" w:cs="宋体"/>
          <w:b/>
          <w:color w:val="auto"/>
          <w:kern w:val="0"/>
          <w:sz w:val="36"/>
          <w:szCs w:val="36"/>
          <w:highlight w:val="none"/>
        </w:rPr>
        <w:br w:type="page"/>
      </w:r>
      <w:bookmarkEnd w:id="2"/>
      <w:bookmarkEnd w:id="3"/>
      <w:bookmarkStart w:id="4" w:name="_Hlt74728647"/>
      <w:bookmarkEnd w:id="4"/>
      <w:bookmarkStart w:id="5" w:name="_Hlt74729822"/>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宋体" w:hAnsi="宋体" w:cs="宋体"/>
          <w:b/>
          <w:color w:val="auto"/>
          <w:kern w:val="0"/>
          <w:sz w:val="36"/>
          <w:szCs w:val="20"/>
          <w:highlight w:val="none"/>
        </w:rPr>
        <w:t>第一部分 交易公告</w:t>
      </w:r>
    </w:p>
    <w:p w14:paraId="7EC35D9D">
      <w:pPr>
        <w:pBdr>
          <w:top w:val="single" w:color="auto" w:sz="4" w:space="1"/>
          <w:left w:val="single" w:color="auto" w:sz="4" w:space="4"/>
          <w:bottom w:val="single" w:color="auto" w:sz="4" w:space="1"/>
          <w:right w:val="single" w:color="auto" w:sz="4" w:space="4"/>
        </w:pBdr>
        <w:spacing w:line="24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项目概况</w:t>
      </w:r>
    </w:p>
    <w:p w14:paraId="18BBFA16">
      <w:pPr>
        <w:pBdr>
          <w:top w:val="single" w:color="auto" w:sz="4" w:space="1"/>
          <w:left w:val="single" w:color="auto" w:sz="4" w:space="4"/>
          <w:bottom w:val="single" w:color="auto" w:sz="4" w:space="1"/>
          <w:right w:val="single" w:color="auto" w:sz="4" w:space="4"/>
        </w:pBdr>
        <w:spacing w:line="240" w:lineRule="auto"/>
        <w:ind w:firstLine="480" w:firstLineChars="200"/>
        <w:rPr>
          <w:rFonts w:ascii="宋体" w:hAnsi="宋体" w:cs="宋体"/>
          <w:color w:val="auto"/>
          <w:kern w:val="0"/>
          <w:sz w:val="24"/>
          <w:highlight w:val="none"/>
          <w:u w:val="single"/>
        </w:rPr>
      </w:pPr>
      <w:r>
        <w:rPr>
          <w:rFonts w:hint="eastAsia" w:ascii="宋体" w:hAnsi="宋体" w:cs="宋体"/>
          <w:color w:val="auto"/>
          <w:kern w:val="0"/>
          <w:sz w:val="24"/>
          <w:highlight w:val="none"/>
          <w:u w:val="single"/>
          <w:lang w:val="en-US" w:eastAsia="zh-CN"/>
        </w:rPr>
        <w:t>彩虹快速路通风隔声窗安装项目</w:t>
      </w:r>
      <w:r>
        <w:rPr>
          <w:rFonts w:hint="eastAsia" w:ascii="宋体" w:hAnsi="宋体" w:cs="宋体"/>
          <w:color w:val="auto"/>
          <w:kern w:val="0"/>
          <w:sz w:val="24"/>
          <w:highlight w:val="none"/>
        </w:rPr>
        <w:t>的潜在供应商应在</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Fonts w:hint="eastAsia" w:ascii="宋体" w:hAnsi="宋体" w:cs="宋体"/>
          <w:color w:val="auto"/>
          <w:kern w:val="0"/>
          <w:sz w:val="24"/>
          <w:highlight w:val="none"/>
          <w:lang w:eastAsia="zh-CN"/>
        </w:rPr>
        <w:t>乐采云平台（www.lecaiyun.com ）</w:t>
      </w:r>
      <w:r>
        <w:rPr>
          <w:rFonts w:hint="eastAsia" w:ascii="宋体" w:hAnsi="宋体" w:cs="宋体"/>
          <w:color w:val="auto"/>
          <w:kern w:val="0"/>
          <w:sz w:val="24"/>
          <w:highlight w:val="none"/>
        </w:rPr>
        <w:t>获取（下载）交易文件，并于</w:t>
      </w:r>
      <w:r>
        <w:rPr>
          <w:rFonts w:hint="eastAsia" w:ascii="宋体" w:hAnsi="宋体" w:cs="宋体"/>
          <w:color w:val="auto"/>
          <w:kern w:val="0"/>
          <w:sz w:val="24"/>
          <w:highlight w:val="none"/>
          <w:u w:val="single"/>
        </w:rPr>
        <w:t>202</w:t>
      </w:r>
      <w:r>
        <w:rPr>
          <w:rFonts w:hint="eastAsia" w:ascii="宋体" w:hAnsi="宋体" w:cs="宋体"/>
          <w:color w:val="auto"/>
          <w:kern w:val="0"/>
          <w:sz w:val="24"/>
          <w:highlight w:val="none"/>
          <w:u w:val="single"/>
          <w:lang w:val="en-US" w:eastAsia="zh-CN"/>
        </w:rPr>
        <w:t>5</w:t>
      </w:r>
      <w:r>
        <w:rPr>
          <w:rFonts w:hint="eastAsia" w:ascii="宋体" w:hAnsi="宋体" w:cs="宋体"/>
          <w:color w:val="auto"/>
          <w:kern w:val="0"/>
          <w:sz w:val="24"/>
          <w:highlight w:val="none"/>
          <w:u w:val="single"/>
        </w:rPr>
        <w:t>年</w:t>
      </w:r>
      <w:r>
        <w:rPr>
          <w:rFonts w:hint="eastAsia" w:ascii="宋体" w:hAnsi="宋体" w:cs="宋体"/>
          <w:color w:val="auto"/>
          <w:kern w:val="0"/>
          <w:sz w:val="24"/>
          <w:highlight w:val="none"/>
          <w:u w:val="single"/>
          <w:lang w:val="en-US" w:eastAsia="zh-CN"/>
        </w:rPr>
        <w:t>5</w:t>
      </w:r>
      <w:r>
        <w:rPr>
          <w:rFonts w:hint="eastAsia" w:ascii="宋体" w:hAnsi="宋体" w:cs="宋体"/>
          <w:color w:val="auto"/>
          <w:kern w:val="0"/>
          <w:sz w:val="24"/>
          <w:highlight w:val="none"/>
          <w:u w:val="single"/>
        </w:rPr>
        <w:t>月</w:t>
      </w:r>
      <w:r>
        <w:rPr>
          <w:rFonts w:hint="eastAsia" w:ascii="宋体" w:hAnsi="宋体" w:cs="宋体"/>
          <w:color w:val="auto"/>
          <w:kern w:val="0"/>
          <w:sz w:val="24"/>
          <w:highlight w:val="none"/>
          <w:u w:val="single"/>
          <w:lang w:val="en-US" w:eastAsia="zh-CN"/>
        </w:rPr>
        <w:t>12</w:t>
      </w:r>
      <w:r>
        <w:rPr>
          <w:rFonts w:hint="eastAsia" w:ascii="宋体" w:hAnsi="宋体" w:cs="宋体"/>
          <w:color w:val="auto"/>
          <w:kern w:val="0"/>
          <w:sz w:val="24"/>
          <w:highlight w:val="none"/>
          <w:u w:val="single"/>
        </w:rPr>
        <w:t>日</w:t>
      </w:r>
      <w:r>
        <w:rPr>
          <w:rFonts w:hint="eastAsia" w:ascii="宋体" w:hAnsi="宋体" w:cs="宋体"/>
          <w:color w:val="auto"/>
          <w:kern w:val="0"/>
          <w:sz w:val="24"/>
          <w:highlight w:val="none"/>
          <w:u w:val="single"/>
          <w:lang w:val="en-US" w:eastAsia="zh-CN"/>
        </w:rPr>
        <w:t>14</w:t>
      </w:r>
      <w:r>
        <w:rPr>
          <w:rFonts w:hint="eastAsia" w:ascii="宋体" w:hAnsi="宋体" w:cs="宋体"/>
          <w:color w:val="auto"/>
          <w:kern w:val="0"/>
          <w:sz w:val="24"/>
          <w:highlight w:val="none"/>
          <w:u w:val="single"/>
        </w:rPr>
        <w:t>点</w:t>
      </w:r>
      <w:r>
        <w:rPr>
          <w:rFonts w:hint="eastAsia" w:ascii="宋体" w:hAnsi="宋体" w:cs="宋体"/>
          <w:color w:val="auto"/>
          <w:kern w:val="0"/>
          <w:sz w:val="24"/>
          <w:highlight w:val="none"/>
          <w:u w:val="single"/>
          <w:lang w:val="en-US" w:eastAsia="zh-CN"/>
        </w:rPr>
        <w:t>00</w:t>
      </w:r>
      <w:r>
        <w:rPr>
          <w:rFonts w:hint="eastAsia" w:ascii="宋体" w:hAnsi="宋体" w:cs="宋体"/>
          <w:color w:val="auto"/>
          <w:kern w:val="0"/>
          <w:sz w:val="24"/>
          <w:highlight w:val="none"/>
          <w:u w:val="single"/>
        </w:rPr>
        <w:t>分</w:t>
      </w:r>
      <w:r>
        <w:rPr>
          <w:rFonts w:hint="eastAsia" w:ascii="宋体" w:hAnsi="宋体" w:cs="宋体"/>
          <w:color w:val="auto"/>
          <w:kern w:val="0"/>
          <w:sz w:val="24"/>
          <w:highlight w:val="none"/>
          <w:u w:val="single"/>
          <w:lang w:val="en-US" w:eastAsia="zh-CN"/>
        </w:rPr>
        <w:t>00</w:t>
      </w:r>
      <w:r>
        <w:rPr>
          <w:rFonts w:hint="eastAsia" w:ascii="宋体" w:hAnsi="宋体" w:cs="宋体"/>
          <w:color w:val="auto"/>
          <w:kern w:val="0"/>
          <w:sz w:val="24"/>
          <w:highlight w:val="none"/>
          <w:u w:val="single"/>
        </w:rPr>
        <w:t>秒</w:t>
      </w:r>
      <w:r>
        <w:rPr>
          <w:rFonts w:hint="eastAsia" w:ascii="宋体" w:hAnsi="宋体" w:cs="宋体"/>
          <w:color w:val="auto"/>
          <w:kern w:val="0"/>
          <w:sz w:val="24"/>
          <w:highlight w:val="none"/>
        </w:rPr>
        <w:fldChar w:fldCharType="end"/>
      </w:r>
      <w:r>
        <w:rPr>
          <w:rFonts w:hint="eastAsia" w:ascii="宋体" w:hAnsi="宋体" w:cs="宋体"/>
          <w:color w:val="auto"/>
          <w:kern w:val="0"/>
          <w:sz w:val="24"/>
          <w:highlight w:val="none"/>
        </w:rPr>
        <w:t>（</w:t>
      </w:r>
      <w:r>
        <w:rPr>
          <w:rFonts w:hint="eastAsia" w:ascii="宋体" w:hAnsi="宋体" w:cs="宋体"/>
          <w:bCs/>
          <w:color w:val="auto"/>
          <w:kern w:val="0"/>
          <w:sz w:val="24"/>
          <w:highlight w:val="none"/>
        </w:rPr>
        <w:t>北京时间）前</w:t>
      </w:r>
      <w:r>
        <w:rPr>
          <w:rFonts w:hint="eastAsia" w:ascii="宋体" w:hAnsi="宋体" w:cs="宋体"/>
          <w:color w:val="auto"/>
          <w:kern w:val="0"/>
          <w:sz w:val="24"/>
          <w:highlight w:val="none"/>
        </w:rPr>
        <w:t>递交（上传）响应文件。</w:t>
      </w:r>
    </w:p>
    <w:p w14:paraId="185CBFB6">
      <w:pPr>
        <w:topLinePunct/>
        <w:snapToGrid w:val="0"/>
        <w:spacing w:line="360" w:lineRule="auto"/>
        <w:rPr>
          <w:rFonts w:ascii="宋体" w:hAnsi="宋体" w:cs="宋体"/>
          <w:b/>
          <w:color w:val="auto"/>
          <w:kern w:val="0"/>
          <w:sz w:val="24"/>
          <w:highlight w:val="none"/>
        </w:rPr>
      </w:pPr>
      <w:r>
        <w:rPr>
          <w:rFonts w:hint="eastAsia" w:ascii="宋体" w:hAnsi="宋体" w:cs="宋体"/>
          <w:b/>
          <w:color w:val="auto"/>
          <w:kern w:val="0"/>
          <w:sz w:val="24"/>
          <w:highlight w:val="none"/>
        </w:rPr>
        <w:t xml:space="preserve">一、项目基本情况                                            </w:t>
      </w:r>
    </w:p>
    <w:p w14:paraId="2E9E7E5B">
      <w:pPr>
        <w:topLinePunct/>
        <w:snapToGrid w:val="0"/>
        <w:spacing w:line="360" w:lineRule="auto"/>
        <w:ind w:firstLine="480" w:firstLineChars="200"/>
        <w:rPr>
          <w:rFonts w:hint="eastAsia" w:ascii="宋体" w:hAnsi="宋体" w:eastAsia="宋体" w:cs="宋体"/>
          <w:b w:val="0"/>
          <w:bCs/>
          <w:color w:val="auto"/>
          <w:kern w:val="0"/>
          <w:sz w:val="24"/>
          <w:highlight w:val="none"/>
          <w:lang w:eastAsia="zh-CN"/>
        </w:rPr>
      </w:pPr>
      <w:r>
        <w:rPr>
          <w:rFonts w:hint="eastAsia" w:ascii="宋体" w:hAnsi="宋体" w:cs="宋体"/>
          <w:b w:val="0"/>
          <w:bCs/>
          <w:color w:val="auto"/>
          <w:kern w:val="0"/>
          <w:sz w:val="24"/>
          <w:highlight w:val="none"/>
        </w:rPr>
        <w:t>交易编号：SGCCGDL-2025-021</w:t>
      </w:r>
      <w:r>
        <w:rPr>
          <w:rFonts w:hint="eastAsia" w:ascii="宋体" w:hAnsi="宋体" w:cs="宋体"/>
          <w:b w:val="0"/>
          <w:bCs/>
          <w:color w:val="auto"/>
          <w:kern w:val="0"/>
          <w:sz w:val="24"/>
          <w:highlight w:val="none"/>
          <w:lang w:val="en-US" w:eastAsia="zh-CN"/>
        </w:rPr>
        <w:t xml:space="preserve"> </w:t>
      </w:r>
    </w:p>
    <w:p w14:paraId="76CB5A81">
      <w:pPr>
        <w:topLinePunct/>
        <w:snapToGrid w:val="0"/>
        <w:spacing w:line="360" w:lineRule="auto"/>
        <w:ind w:firstLine="480" w:firstLineChars="200"/>
        <w:rPr>
          <w:rFonts w:hint="eastAsia" w:ascii="宋体" w:hAnsi="宋体" w:eastAsia="宋体" w:cs="宋体"/>
          <w:b w:val="0"/>
          <w:bCs/>
          <w:color w:val="auto"/>
          <w:kern w:val="0"/>
          <w:sz w:val="24"/>
          <w:highlight w:val="none"/>
          <w:lang w:val="en-US" w:eastAsia="zh-CN"/>
        </w:rPr>
      </w:pPr>
      <w:r>
        <w:rPr>
          <w:rFonts w:hint="eastAsia" w:ascii="宋体" w:hAnsi="宋体" w:cs="宋体"/>
          <w:b w:val="0"/>
          <w:bCs/>
          <w:color w:val="auto"/>
          <w:kern w:val="0"/>
          <w:sz w:val="24"/>
          <w:highlight w:val="none"/>
        </w:rPr>
        <w:t>项目名称：</w:t>
      </w:r>
      <w:r>
        <w:rPr>
          <w:rFonts w:hint="eastAsia" w:ascii="宋体" w:hAnsi="宋体" w:eastAsia="宋体" w:cs="宋体"/>
          <w:b w:val="0"/>
          <w:bCs/>
          <w:color w:val="auto"/>
          <w:kern w:val="0"/>
          <w:sz w:val="24"/>
          <w:highlight w:val="none"/>
          <w:lang w:val="en-US" w:eastAsia="zh-CN"/>
        </w:rPr>
        <w:t>彩虹快速路通风隔声窗安装项目</w:t>
      </w:r>
    </w:p>
    <w:p w14:paraId="50831875">
      <w:pPr>
        <w:topLinePunct/>
        <w:snapToGrid w:val="0"/>
        <w:spacing w:line="360" w:lineRule="auto"/>
        <w:ind w:firstLine="480" w:firstLineChars="200"/>
        <w:rPr>
          <w:rFonts w:hint="eastAsia" w:ascii="宋体" w:hAnsi="宋体" w:eastAsia="宋体" w:cs="宋体"/>
          <w:b w:val="0"/>
          <w:bCs/>
          <w:color w:val="auto"/>
          <w:kern w:val="0"/>
          <w:sz w:val="24"/>
          <w:highlight w:val="none"/>
          <w:lang w:eastAsia="zh-CN"/>
        </w:rPr>
      </w:pPr>
      <w:r>
        <w:rPr>
          <w:rFonts w:hint="eastAsia" w:ascii="宋体" w:hAnsi="宋体" w:cs="宋体"/>
          <w:b w:val="0"/>
          <w:bCs/>
          <w:color w:val="auto"/>
          <w:kern w:val="0"/>
          <w:sz w:val="24"/>
          <w:highlight w:val="none"/>
        </w:rPr>
        <w:t>最高限价（元）：</w:t>
      </w:r>
      <w:r>
        <w:rPr>
          <w:rFonts w:hint="eastAsia" w:ascii="仿宋" w:hAnsi="仿宋" w:eastAsia="仿宋" w:cs="仿宋"/>
          <w:b w:val="0"/>
          <w:bCs/>
          <w:color w:val="auto"/>
          <w:sz w:val="24"/>
          <w:szCs w:val="24"/>
          <w:highlight w:val="none"/>
          <w:lang w:val="en-US" w:eastAsia="zh-CN"/>
        </w:rPr>
        <w:t>7200000</w:t>
      </w:r>
      <w:r>
        <w:rPr>
          <w:rFonts w:hint="eastAsia" w:ascii="宋体" w:hAnsi="宋体" w:cs="宋体"/>
          <w:b w:val="0"/>
          <w:bCs/>
          <w:color w:val="auto"/>
          <w:kern w:val="0"/>
          <w:sz w:val="24"/>
          <w:highlight w:val="none"/>
        </w:rPr>
        <w:t>元</w:t>
      </w:r>
      <w:r>
        <w:rPr>
          <w:rFonts w:hint="eastAsia" w:ascii="宋体" w:hAnsi="宋体" w:cs="宋体"/>
          <w:b w:val="0"/>
          <w:bCs/>
          <w:color w:val="auto"/>
          <w:kern w:val="0"/>
          <w:sz w:val="24"/>
          <w:highlight w:val="none"/>
          <w:lang w:eastAsia="zh-CN"/>
        </w:rPr>
        <w:t>（</w:t>
      </w:r>
      <w:r>
        <w:rPr>
          <w:rFonts w:hint="eastAsia" w:ascii="宋体" w:hAnsi="宋体" w:cs="宋体"/>
          <w:b w:val="0"/>
          <w:bCs/>
          <w:color w:val="auto"/>
          <w:kern w:val="0"/>
          <w:sz w:val="24"/>
          <w:highlight w:val="none"/>
          <w:lang w:val="en-US" w:eastAsia="zh-CN"/>
        </w:rPr>
        <w:t>最高限价单价：2400元/平方米</w:t>
      </w:r>
      <w:r>
        <w:rPr>
          <w:rFonts w:hint="eastAsia" w:ascii="宋体" w:hAnsi="宋体" w:cs="宋体"/>
          <w:b w:val="0"/>
          <w:bCs/>
          <w:color w:val="auto"/>
          <w:kern w:val="0"/>
          <w:sz w:val="24"/>
          <w:highlight w:val="none"/>
          <w:lang w:eastAsia="zh-CN"/>
        </w:rPr>
        <w:t>）</w:t>
      </w:r>
    </w:p>
    <w:p w14:paraId="279452C1">
      <w:pPr>
        <w:topLinePunct/>
        <w:snapToGrid w:val="0"/>
        <w:spacing w:line="360" w:lineRule="auto"/>
        <w:ind w:firstLine="480" w:firstLineChars="200"/>
        <w:rPr>
          <w:rFonts w:ascii="宋体" w:hAnsi="宋体" w:cs="宋体"/>
          <w:color w:val="auto"/>
          <w:kern w:val="0"/>
          <w:sz w:val="24"/>
          <w:szCs w:val="28"/>
          <w:highlight w:val="none"/>
        </w:rPr>
      </w:pPr>
      <w:r>
        <w:rPr>
          <w:rFonts w:hint="eastAsia" w:ascii="宋体" w:hAnsi="宋体" w:cs="宋体"/>
          <w:color w:val="auto"/>
          <w:kern w:val="0"/>
          <w:sz w:val="24"/>
          <w:highlight w:val="none"/>
        </w:rPr>
        <w:t>简要规格描述或项目基本概况介绍、用途：</w:t>
      </w:r>
      <w:r>
        <w:rPr>
          <w:rFonts w:hint="eastAsia" w:ascii="宋体" w:hAnsi="宋体" w:cs="宋体"/>
          <w:color w:val="auto"/>
          <w:kern w:val="0"/>
          <w:sz w:val="24"/>
          <w:szCs w:val="28"/>
          <w:highlight w:val="none"/>
        </w:rPr>
        <w:t>详见采购需求</w:t>
      </w:r>
    </w:p>
    <w:p w14:paraId="43DA4FDC">
      <w:pPr>
        <w:topLinePunct/>
        <w:snapToGrid w:val="0"/>
        <w:spacing w:line="360" w:lineRule="auto"/>
        <w:ind w:firstLine="480" w:firstLineChars="200"/>
        <w:rPr>
          <w:rFonts w:hAnsi="宋体" w:cs="宋体"/>
          <w:color w:val="auto"/>
          <w:kern w:val="0"/>
          <w:sz w:val="24"/>
          <w:highlight w:val="none"/>
        </w:rPr>
      </w:pPr>
      <w:r>
        <w:rPr>
          <w:rFonts w:hint="eastAsia" w:hAnsi="宋体" w:cs="宋体"/>
          <w:color w:val="auto"/>
          <w:kern w:val="0"/>
          <w:sz w:val="24"/>
          <w:highlight w:val="none"/>
        </w:rPr>
        <w:t xml:space="preserve">备注： </w:t>
      </w:r>
    </w:p>
    <w:p w14:paraId="323FB117">
      <w:pPr>
        <w:topLinePunct/>
        <w:snapToGrid w:val="0"/>
        <w:spacing w:line="360" w:lineRule="auto"/>
        <w:ind w:firstLine="482" w:firstLineChars="200"/>
        <w:rPr>
          <w:rFonts w:ascii="宋体" w:hAnsi="宋体" w:cs="宋体"/>
          <w:color w:val="auto"/>
          <w:kern w:val="0"/>
          <w:sz w:val="24"/>
          <w:szCs w:val="28"/>
          <w:highlight w:val="none"/>
        </w:rPr>
      </w:pPr>
      <w:r>
        <w:rPr>
          <w:rFonts w:hint="eastAsia" w:ascii="宋体" w:hAnsi="宋体" w:cs="宋体"/>
          <w:b/>
          <w:color w:val="auto"/>
          <w:kern w:val="0"/>
          <w:sz w:val="24"/>
          <w:highlight w:val="none"/>
        </w:rPr>
        <w:t>合同履约期限：</w:t>
      </w:r>
      <w:r>
        <w:rPr>
          <w:rFonts w:hint="eastAsia" w:ascii="宋体" w:hAnsi="宋体" w:cs="宋体"/>
          <w:color w:val="auto"/>
          <w:kern w:val="0"/>
          <w:sz w:val="24"/>
          <w:szCs w:val="28"/>
          <w:highlight w:val="none"/>
        </w:rPr>
        <w:t>详见采购需求</w:t>
      </w:r>
    </w:p>
    <w:p w14:paraId="7220A980">
      <w:pPr>
        <w:topLinePunct/>
        <w:snapToGrid w:val="0"/>
        <w:spacing w:line="360"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本项目接受联合体响应：否</w:t>
      </w:r>
    </w:p>
    <w:p w14:paraId="22FCEA7C">
      <w:pPr>
        <w:topLinePunct/>
        <w:snapToGrid w:val="0"/>
        <w:spacing w:line="360" w:lineRule="auto"/>
        <w:rPr>
          <w:rFonts w:ascii="宋体" w:hAnsi="宋体" w:cs="宋体"/>
          <w:b/>
          <w:color w:val="auto"/>
          <w:kern w:val="0"/>
          <w:sz w:val="24"/>
          <w:highlight w:val="none"/>
        </w:rPr>
      </w:pPr>
      <w:r>
        <w:rPr>
          <w:rFonts w:hint="eastAsia" w:ascii="宋体" w:hAnsi="宋体" w:cs="宋体"/>
          <w:b/>
          <w:color w:val="auto"/>
          <w:kern w:val="0"/>
          <w:sz w:val="24"/>
          <w:highlight w:val="none"/>
        </w:rPr>
        <w:t>二、申请人的资格要求：</w:t>
      </w:r>
    </w:p>
    <w:p w14:paraId="363BD520">
      <w:pPr>
        <w:topLinePunct/>
        <w:snapToGrid w:val="0"/>
        <w:spacing w:line="360" w:lineRule="auto"/>
        <w:ind w:firstLine="480" w:firstLineChars="200"/>
        <w:jc w:val="left"/>
        <w:rPr>
          <w:rFonts w:ascii="宋体" w:hAnsi="宋体" w:cs="宋体"/>
          <w:color w:val="auto"/>
          <w:kern w:val="0"/>
          <w:sz w:val="24"/>
          <w:szCs w:val="28"/>
          <w:highlight w:val="none"/>
        </w:rPr>
      </w:pPr>
      <w:r>
        <w:rPr>
          <w:rFonts w:hint="eastAsia" w:ascii="宋体" w:hAnsi="宋体" w:cs="宋体"/>
          <w:color w:val="auto"/>
          <w:kern w:val="0"/>
          <w:sz w:val="24"/>
          <w:szCs w:val="28"/>
          <w:highlight w:val="none"/>
        </w:rPr>
        <w:t>1、具有独立承担民事责任的能力；</w:t>
      </w:r>
    </w:p>
    <w:p w14:paraId="0BE0DA6F">
      <w:pPr>
        <w:topLinePunct/>
        <w:snapToGrid w:val="0"/>
        <w:spacing w:line="360" w:lineRule="auto"/>
        <w:ind w:firstLine="480" w:firstLineChars="200"/>
        <w:jc w:val="left"/>
        <w:rPr>
          <w:rFonts w:ascii="宋体" w:hAnsi="宋体" w:cs="宋体"/>
          <w:color w:val="auto"/>
          <w:kern w:val="0"/>
          <w:sz w:val="24"/>
          <w:szCs w:val="28"/>
          <w:highlight w:val="none"/>
        </w:rPr>
      </w:pPr>
      <w:r>
        <w:rPr>
          <w:rFonts w:hint="eastAsia" w:ascii="宋体" w:hAnsi="宋体" w:cs="宋体"/>
          <w:color w:val="auto"/>
          <w:kern w:val="0"/>
          <w:sz w:val="24"/>
          <w:szCs w:val="28"/>
          <w:highlight w:val="none"/>
        </w:rPr>
        <w:t>2、具有良好的商业信誉和健全的财务会计制度；</w:t>
      </w:r>
    </w:p>
    <w:p w14:paraId="36AB8D65">
      <w:pPr>
        <w:topLinePunct/>
        <w:snapToGrid w:val="0"/>
        <w:spacing w:line="360" w:lineRule="auto"/>
        <w:ind w:firstLine="480" w:firstLineChars="200"/>
        <w:jc w:val="left"/>
        <w:rPr>
          <w:rFonts w:ascii="宋体" w:hAnsi="宋体" w:cs="宋体"/>
          <w:color w:val="auto"/>
          <w:kern w:val="0"/>
          <w:sz w:val="24"/>
          <w:szCs w:val="28"/>
          <w:highlight w:val="none"/>
        </w:rPr>
      </w:pPr>
      <w:r>
        <w:rPr>
          <w:rFonts w:hint="eastAsia" w:ascii="宋体" w:hAnsi="宋体" w:cs="宋体"/>
          <w:color w:val="auto"/>
          <w:kern w:val="0"/>
          <w:sz w:val="24"/>
          <w:szCs w:val="28"/>
          <w:highlight w:val="none"/>
        </w:rPr>
        <w:t>3、具有履行合同所必需的设备和专业技术能力；</w:t>
      </w:r>
    </w:p>
    <w:p w14:paraId="0F1840A8">
      <w:pPr>
        <w:topLinePunct/>
        <w:snapToGrid w:val="0"/>
        <w:spacing w:line="360" w:lineRule="auto"/>
        <w:ind w:firstLine="480" w:firstLineChars="200"/>
        <w:jc w:val="left"/>
        <w:rPr>
          <w:rFonts w:ascii="宋体" w:hAnsi="宋体" w:cs="宋体"/>
          <w:color w:val="auto"/>
          <w:kern w:val="0"/>
          <w:sz w:val="24"/>
          <w:szCs w:val="28"/>
          <w:highlight w:val="none"/>
        </w:rPr>
      </w:pPr>
      <w:r>
        <w:rPr>
          <w:rFonts w:hint="eastAsia" w:ascii="宋体" w:hAnsi="宋体" w:cs="宋体"/>
          <w:color w:val="auto"/>
          <w:kern w:val="0"/>
          <w:sz w:val="24"/>
          <w:szCs w:val="28"/>
          <w:highlight w:val="none"/>
        </w:rPr>
        <w:t>4、有依法缴纳税收和社会保障资金的良好记录；</w:t>
      </w:r>
    </w:p>
    <w:p w14:paraId="0BA1D1CD">
      <w:pPr>
        <w:topLinePunct/>
        <w:snapToGrid w:val="0"/>
        <w:spacing w:line="360" w:lineRule="auto"/>
        <w:ind w:firstLine="480" w:firstLineChars="200"/>
        <w:jc w:val="left"/>
        <w:rPr>
          <w:rFonts w:ascii="宋体" w:hAnsi="宋体" w:cs="宋体"/>
          <w:color w:val="auto"/>
          <w:kern w:val="0"/>
          <w:sz w:val="24"/>
          <w:szCs w:val="28"/>
          <w:highlight w:val="none"/>
        </w:rPr>
      </w:pPr>
      <w:r>
        <w:rPr>
          <w:rFonts w:hint="eastAsia" w:ascii="宋体" w:hAnsi="宋体" w:cs="宋体"/>
          <w:color w:val="auto"/>
          <w:kern w:val="0"/>
          <w:sz w:val="24"/>
          <w:szCs w:val="28"/>
          <w:highlight w:val="none"/>
        </w:rPr>
        <w:t>5、参加交易活动前三年内，在经营活动中没有重大违法记录；</w:t>
      </w:r>
    </w:p>
    <w:p w14:paraId="242F24AA">
      <w:pPr>
        <w:topLinePunct/>
        <w:snapToGrid w:val="0"/>
        <w:spacing w:line="360" w:lineRule="auto"/>
        <w:ind w:firstLine="480" w:firstLineChars="200"/>
        <w:jc w:val="left"/>
        <w:rPr>
          <w:rFonts w:ascii="宋体" w:hAnsi="宋体" w:cs="宋体"/>
          <w:color w:val="auto"/>
          <w:kern w:val="0"/>
          <w:sz w:val="24"/>
          <w:szCs w:val="28"/>
          <w:highlight w:val="none"/>
        </w:rPr>
      </w:pPr>
      <w:r>
        <w:rPr>
          <w:rFonts w:hint="eastAsia" w:ascii="宋体" w:hAnsi="宋体" w:cs="宋体"/>
          <w:color w:val="auto"/>
          <w:kern w:val="0"/>
          <w:sz w:val="24"/>
          <w:szCs w:val="28"/>
          <w:highlight w:val="none"/>
        </w:rPr>
        <w:t>6、法律、行政法规规定的其他条件；</w:t>
      </w:r>
    </w:p>
    <w:p w14:paraId="67DFC47A">
      <w:pPr>
        <w:topLinePunct/>
        <w:snapToGrid w:val="0"/>
        <w:spacing w:line="360" w:lineRule="auto"/>
        <w:ind w:firstLine="480" w:firstLineChars="200"/>
        <w:jc w:val="left"/>
        <w:rPr>
          <w:rFonts w:ascii="宋体" w:hAnsi="宋体" w:cs="宋体"/>
          <w:color w:val="auto"/>
          <w:kern w:val="0"/>
          <w:sz w:val="24"/>
          <w:szCs w:val="28"/>
          <w:highlight w:val="none"/>
        </w:rPr>
      </w:pPr>
      <w:r>
        <w:rPr>
          <w:rFonts w:hint="eastAsia" w:ascii="宋体" w:hAnsi="宋体" w:cs="宋体"/>
          <w:color w:val="auto"/>
          <w:kern w:val="0"/>
          <w:sz w:val="24"/>
          <w:szCs w:val="28"/>
          <w:highlight w:val="none"/>
        </w:rPr>
        <w:t>7、未被“信用中国”（www.creditchina.gov.cn）、中国政府采购网（www.ccgp.gov.cn）列入失信被执行人、重大税收违法案件当事人名单、政府采</w:t>
      </w:r>
      <w:r>
        <w:rPr>
          <w:rFonts w:hint="eastAsia" w:ascii="宋体" w:hAnsi="宋体" w:cs="宋体"/>
          <w:color w:val="auto"/>
          <w:kern w:val="0"/>
          <w:sz w:val="24"/>
          <w:szCs w:val="28"/>
          <w:highlight w:val="none"/>
        </w:rPr>
        <w:t>购严重违法失信行为记录名单。</w:t>
      </w:r>
    </w:p>
    <w:p w14:paraId="37C8816B">
      <w:pPr>
        <w:topLinePunct/>
        <w:snapToGrid w:val="0"/>
        <w:spacing w:line="360" w:lineRule="auto"/>
        <w:ind w:firstLine="480" w:firstLineChars="200"/>
        <w:jc w:val="left"/>
        <w:rPr>
          <w:rFonts w:hint="default" w:ascii="宋体" w:hAnsi="宋体" w:eastAsia="宋体" w:cs="宋体"/>
          <w:color w:val="auto"/>
          <w:kern w:val="0"/>
          <w:sz w:val="24"/>
          <w:szCs w:val="28"/>
          <w:highlight w:val="none"/>
          <w:lang w:val="en-US" w:eastAsia="zh-CN"/>
        </w:rPr>
      </w:pPr>
      <w:r>
        <w:rPr>
          <w:rFonts w:hint="eastAsia" w:ascii="宋体" w:hAnsi="宋体" w:cs="宋体"/>
          <w:color w:val="auto"/>
          <w:kern w:val="0"/>
          <w:sz w:val="24"/>
          <w:szCs w:val="28"/>
          <w:highlight w:val="none"/>
        </w:rPr>
        <w:t>8、本项目的特定资格要求：</w:t>
      </w:r>
      <w:r>
        <w:rPr>
          <w:rFonts w:hint="eastAsia" w:ascii="宋体" w:hAnsi="宋体" w:cs="宋体"/>
          <w:color w:val="auto"/>
          <w:kern w:val="0"/>
          <w:sz w:val="24"/>
          <w:szCs w:val="28"/>
          <w:highlight w:val="none"/>
          <w:u w:val="single"/>
          <w:lang w:val="en-US" w:eastAsia="zh-CN"/>
        </w:rPr>
        <w:t xml:space="preserve"> 具有房屋建筑工程施工总承包三级及以上资质  </w:t>
      </w:r>
    </w:p>
    <w:p w14:paraId="34A7AA36">
      <w:pPr>
        <w:topLinePunct/>
        <w:snapToGrid w:val="0"/>
        <w:spacing w:line="360" w:lineRule="auto"/>
        <w:rPr>
          <w:rFonts w:ascii="宋体" w:hAnsi="宋体" w:cs="宋体"/>
          <w:b/>
          <w:color w:val="auto"/>
          <w:kern w:val="0"/>
          <w:sz w:val="24"/>
          <w:highlight w:val="none"/>
        </w:rPr>
      </w:pPr>
      <w:r>
        <w:rPr>
          <w:rFonts w:hint="eastAsia" w:ascii="宋体" w:hAnsi="宋体" w:cs="宋体"/>
          <w:b/>
          <w:color w:val="auto"/>
          <w:kern w:val="0"/>
          <w:sz w:val="24"/>
          <w:highlight w:val="none"/>
        </w:rPr>
        <w:t xml:space="preserve">三、获取交易文件 </w:t>
      </w:r>
    </w:p>
    <w:p w14:paraId="68B5E178">
      <w:pPr>
        <w:topLinePunct/>
        <w:snapToGri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时间：</w:t>
      </w:r>
      <w:r>
        <w:rPr>
          <w:rFonts w:hint="eastAsia" w:ascii="宋体" w:hAnsi="宋体" w:cs="宋体"/>
          <w:b w:val="0"/>
          <w:bCs/>
          <w:color w:val="auto"/>
          <w:kern w:val="0"/>
          <w:sz w:val="24"/>
          <w:highlight w:val="none"/>
          <w:lang w:val="en-US" w:eastAsia="zh-CN"/>
        </w:rPr>
        <w:t>公告发布之日</w:t>
      </w:r>
      <w:r>
        <w:rPr>
          <w:rFonts w:hint="eastAsia" w:ascii="宋体" w:hAnsi="宋体" w:cs="宋体"/>
          <w:color w:val="auto"/>
          <w:kern w:val="0"/>
          <w:sz w:val="24"/>
          <w:highlight w:val="none"/>
        </w:rPr>
        <w:t>至 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12</w:t>
      </w:r>
      <w:r>
        <w:rPr>
          <w:rFonts w:hint="eastAsia" w:ascii="宋体" w:hAnsi="宋体" w:cs="宋体"/>
          <w:color w:val="auto"/>
          <w:kern w:val="0"/>
          <w:sz w:val="24"/>
          <w:highlight w:val="none"/>
        </w:rPr>
        <w:t>日，每天上午00:00至12:00，下午12:00至23:59（北京时间，线上获取法定节假日均可，线下获取文件法定节假日除外）</w:t>
      </w:r>
    </w:p>
    <w:p w14:paraId="27D7EC58">
      <w:pPr>
        <w:topLinePunct/>
        <w:snapToGrid w:val="0"/>
        <w:spacing w:line="360" w:lineRule="auto"/>
        <w:ind w:firstLine="482" w:firstLineChars="200"/>
        <w:rPr>
          <w:rFonts w:hint="eastAsia" w:ascii="宋体" w:hAnsi="宋体" w:eastAsia="宋体" w:cs="宋体"/>
          <w:color w:val="auto"/>
          <w:kern w:val="0"/>
          <w:sz w:val="24"/>
          <w:highlight w:val="none"/>
          <w:lang w:eastAsia="zh-CN"/>
        </w:rPr>
      </w:pPr>
      <w:r>
        <w:rPr>
          <w:rFonts w:hint="eastAsia" w:ascii="宋体" w:hAnsi="宋体" w:cs="宋体"/>
          <w:b/>
          <w:color w:val="auto"/>
          <w:kern w:val="0"/>
          <w:sz w:val="24"/>
          <w:highlight w:val="none"/>
        </w:rPr>
        <w:t>地点（网址）：</w:t>
      </w:r>
      <w:r>
        <w:rPr>
          <w:rFonts w:hint="eastAsia" w:ascii="宋体" w:hAnsi="宋体" w:cs="宋体"/>
          <w:color w:val="auto"/>
          <w:kern w:val="0"/>
          <w:sz w:val="24"/>
          <w:highlight w:val="none"/>
          <w:lang w:eastAsia="zh-CN"/>
        </w:rPr>
        <w:t>乐采云平台（www.lecaiyun.com ）</w:t>
      </w:r>
    </w:p>
    <w:p w14:paraId="0883D1C0">
      <w:pPr>
        <w:topLinePunct/>
        <w:snapToGri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方式：</w:t>
      </w:r>
      <w:r>
        <w:rPr>
          <w:rFonts w:hint="eastAsia" w:ascii="宋体" w:hAnsi="宋体" w:cs="宋体"/>
          <w:color w:val="auto"/>
          <w:kern w:val="0"/>
          <w:sz w:val="24"/>
          <w:highlight w:val="none"/>
        </w:rPr>
        <w:t>供应商登录</w:t>
      </w:r>
      <w:r>
        <w:rPr>
          <w:rFonts w:hint="eastAsia" w:ascii="宋体" w:hAnsi="宋体" w:cs="宋体"/>
          <w:color w:val="auto"/>
          <w:kern w:val="0"/>
          <w:sz w:val="24"/>
          <w:highlight w:val="none"/>
          <w:lang w:eastAsia="zh-CN"/>
        </w:rPr>
        <w:t>乐采云平台（www.lecaiyun.com ）</w:t>
      </w:r>
      <w:r>
        <w:rPr>
          <w:rFonts w:hint="eastAsia" w:ascii="宋体" w:hAnsi="宋体" w:cs="宋体"/>
          <w:color w:val="auto"/>
          <w:kern w:val="0"/>
          <w:sz w:val="24"/>
          <w:highlight w:val="none"/>
        </w:rPr>
        <w:t xml:space="preserve">在线申请获取采购文件（进入“项目采购”应用，在获取采购文件菜单中选择项目，申请获取采购文件）。 </w:t>
      </w:r>
    </w:p>
    <w:p w14:paraId="246274C1">
      <w:pPr>
        <w:topLinePunct/>
        <w:snapToGri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售价（元）：</w:t>
      </w:r>
      <w:r>
        <w:rPr>
          <w:rFonts w:hint="eastAsia" w:ascii="宋体" w:hAnsi="宋体" w:cs="宋体"/>
          <w:color w:val="auto"/>
          <w:kern w:val="0"/>
          <w:sz w:val="24"/>
          <w:highlight w:val="none"/>
        </w:rPr>
        <w:t xml:space="preserve">0 </w:t>
      </w:r>
      <w:r>
        <w:rPr>
          <w:rFonts w:hint="eastAsia" w:ascii="宋体" w:hAnsi="宋体" w:cs="宋体"/>
          <w:color w:val="auto"/>
          <w:kern w:val="0"/>
          <w:sz w:val="24"/>
          <w:highlight w:val="none"/>
        </w:rPr>
        <w:tab/>
      </w:r>
    </w:p>
    <w:p w14:paraId="73E952CB">
      <w:pPr>
        <w:topLinePunct/>
        <w:snapToGrid w:val="0"/>
        <w:spacing w:line="360" w:lineRule="auto"/>
        <w:rPr>
          <w:rFonts w:ascii="宋体" w:hAnsi="宋体" w:cs="宋体"/>
          <w:b/>
          <w:color w:val="auto"/>
          <w:kern w:val="0"/>
          <w:sz w:val="24"/>
          <w:highlight w:val="none"/>
        </w:rPr>
      </w:pPr>
      <w:r>
        <w:rPr>
          <w:rFonts w:hint="eastAsia" w:ascii="宋体" w:hAnsi="宋体" w:cs="宋体"/>
          <w:b/>
          <w:color w:val="auto"/>
          <w:kern w:val="0"/>
          <w:sz w:val="24"/>
          <w:highlight w:val="none"/>
        </w:rPr>
        <w:t>四、提交响应文件截止时间、交易时间和地点</w:t>
      </w:r>
    </w:p>
    <w:p w14:paraId="35CC1A1D">
      <w:pPr>
        <w:topLinePunct/>
        <w:snapToGri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提交响应文件截止时间：</w:t>
      </w:r>
      <w:r>
        <w:rPr>
          <w:rFonts w:hint="eastAsia"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12</w:t>
      </w:r>
      <w:r>
        <w:rPr>
          <w:rFonts w:hint="eastAsia" w:ascii="宋体" w:hAnsi="宋体" w:cs="宋体"/>
          <w:color w:val="auto"/>
          <w:kern w:val="0"/>
          <w:sz w:val="24"/>
          <w:highlight w:val="none"/>
        </w:rPr>
        <w:t>日</w:t>
      </w:r>
      <w:r>
        <w:rPr>
          <w:rFonts w:hint="eastAsia" w:ascii="宋体" w:hAnsi="宋体" w:cs="宋体"/>
          <w:color w:val="auto"/>
          <w:kern w:val="0"/>
          <w:sz w:val="24"/>
          <w:highlight w:val="none"/>
          <w:lang w:val="en-US" w:eastAsia="zh-CN"/>
        </w:rPr>
        <w:t>14</w:t>
      </w:r>
      <w:r>
        <w:rPr>
          <w:rFonts w:hint="eastAsia" w:ascii="宋体" w:hAnsi="宋体" w:cs="宋体"/>
          <w:color w:val="auto"/>
          <w:kern w:val="0"/>
          <w:sz w:val="24"/>
          <w:highlight w:val="none"/>
        </w:rPr>
        <w:t>点</w:t>
      </w:r>
      <w:r>
        <w:rPr>
          <w:rFonts w:hint="eastAsia" w:ascii="宋体" w:hAnsi="宋体" w:cs="宋体"/>
          <w:color w:val="auto"/>
          <w:kern w:val="0"/>
          <w:sz w:val="24"/>
          <w:highlight w:val="none"/>
          <w:lang w:val="en-US" w:eastAsia="zh-CN"/>
        </w:rPr>
        <w:t>00</w:t>
      </w:r>
      <w:r>
        <w:rPr>
          <w:rFonts w:hint="eastAsia" w:ascii="宋体" w:hAnsi="宋体" w:cs="宋体"/>
          <w:color w:val="auto"/>
          <w:kern w:val="0"/>
          <w:sz w:val="24"/>
          <w:highlight w:val="none"/>
        </w:rPr>
        <w:t>分（北京时间）</w:t>
      </w:r>
    </w:p>
    <w:p w14:paraId="4A6E0896">
      <w:pPr>
        <w:topLinePunct/>
        <w:snapToGrid w:val="0"/>
        <w:spacing w:line="360" w:lineRule="auto"/>
        <w:ind w:firstLine="482" w:firstLineChars="200"/>
        <w:rPr>
          <w:rFonts w:hint="eastAsia" w:ascii="宋体" w:hAnsi="宋体" w:eastAsia="宋体" w:cs="宋体"/>
          <w:b/>
          <w:color w:val="auto"/>
          <w:kern w:val="0"/>
          <w:sz w:val="24"/>
          <w:highlight w:val="none"/>
          <w:lang w:eastAsia="zh-CN"/>
        </w:rPr>
      </w:pPr>
      <w:r>
        <w:rPr>
          <w:rFonts w:hint="eastAsia" w:ascii="宋体" w:hAnsi="宋体" w:cs="宋体"/>
          <w:b/>
          <w:color w:val="auto"/>
          <w:kern w:val="0"/>
          <w:sz w:val="24"/>
          <w:highlight w:val="none"/>
        </w:rPr>
        <w:t>交易地点（网址）：</w:t>
      </w:r>
      <w:r>
        <w:rPr>
          <w:rFonts w:hint="eastAsia" w:ascii="宋体" w:hAnsi="宋体" w:cs="宋体"/>
          <w:color w:val="auto"/>
          <w:kern w:val="0"/>
          <w:sz w:val="24"/>
          <w:highlight w:val="none"/>
          <w:lang w:eastAsia="zh-CN"/>
        </w:rPr>
        <w:t>乐采云平台（www.lecaiyun.com ）</w:t>
      </w:r>
    </w:p>
    <w:p w14:paraId="7CD0FBC1">
      <w:pPr>
        <w:topLinePunct/>
        <w:snapToGri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交易时间：</w:t>
      </w:r>
      <w:r>
        <w:rPr>
          <w:rFonts w:hint="eastAsia"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12</w:t>
      </w:r>
      <w:r>
        <w:rPr>
          <w:rFonts w:hint="eastAsia" w:ascii="宋体" w:hAnsi="宋体" w:cs="宋体"/>
          <w:color w:val="auto"/>
          <w:kern w:val="0"/>
          <w:sz w:val="24"/>
          <w:highlight w:val="none"/>
        </w:rPr>
        <w:t>日</w:t>
      </w:r>
      <w:r>
        <w:rPr>
          <w:rFonts w:hint="eastAsia" w:ascii="宋体" w:hAnsi="宋体" w:cs="宋体"/>
          <w:color w:val="auto"/>
          <w:kern w:val="0"/>
          <w:sz w:val="24"/>
          <w:highlight w:val="none"/>
          <w:lang w:val="en-US" w:eastAsia="zh-CN"/>
        </w:rPr>
        <w:t>14</w:t>
      </w:r>
      <w:r>
        <w:rPr>
          <w:rFonts w:hint="eastAsia" w:ascii="宋体" w:hAnsi="宋体" w:cs="宋体"/>
          <w:color w:val="auto"/>
          <w:kern w:val="0"/>
          <w:sz w:val="24"/>
          <w:highlight w:val="none"/>
        </w:rPr>
        <w:t>点</w:t>
      </w:r>
      <w:r>
        <w:rPr>
          <w:rFonts w:hint="eastAsia" w:ascii="宋体" w:hAnsi="宋体" w:cs="宋体"/>
          <w:color w:val="auto"/>
          <w:kern w:val="0"/>
          <w:sz w:val="24"/>
          <w:highlight w:val="none"/>
          <w:lang w:val="en-US" w:eastAsia="zh-CN"/>
        </w:rPr>
        <w:t>00</w:t>
      </w:r>
      <w:r>
        <w:rPr>
          <w:rFonts w:hint="eastAsia" w:ascii="宋体" w:hAnsi="宋体" w:cs="宋体"/>
          <w:color w:val="auto"/>
          <w:kern w:val="0"/>
          <w:sz w:val="24"/>
          <w:highlight w:val="none"/>
        </w:rPr>
        <w:t>分（北京时间）</w:t>
      </w:r>
    </w:p>
    <w:p w14:paraId="0760E2B6">
      <w:pPr>
        <w:topLinePunct/>
        <w:snapToGrid w:val="0"/>
        <w:spacing w:line="360" w:lineRule="auto"/>
        <w:ind w:firstLine="482" w:firstLineChars="200"/>
        <w:rPr>
          <w:rFonts w:hint="eastAsia" w:ascii="宋体" w:hAnsi="宋体" w:eastAsia="宋体" w:cs="宋体"/>
          <w:color w:val="auto"/>
          <w:kern w:val="0"/>
          <w:sz w:val="24"/>
          <w:highlight w:val="none"/>
          <w:lang w:eastAsia="zh-CN"/>
        </w:rPr>
      </w:pPr>
      <w:r>
        <w:rPr>
          <w:rFonts w:hint="eastAsia" w:ascii="宋体" w:hAnsi="宋体" w:cs="宋体"/>
          <w:b/>
          <w:color w:val="auto"/>
          <w:kern w:val="0"/>
          <w:sz w:val="24"/>
          <w:highlight w:val="none"/>
        </w:rPr>
        <w:t>交易地点（网址）：</w:t>
      </w:r>
      <w:r>
        <w:rPr>
          <w:rFonts w:hint="eastAsia" w:ascii="宋体" w:hAnsi="宋体" w:cs="宋体"/>
          <w:color w:val="auto"/>
          <w:kern w:val="0"/>
          <w:sz w:val="24"/>
          <w:highlight w:val="none"/>
          <w:lang w:eastAsia="zh-CN"/>
        </w:rPr>
        <w:t>乐采云平台（www.lecaiyun.com ）</w:t>
      </w:r>
    </w:p>
    <w:p w14:paraId="17E21FEE">
      <w:pPr>
        <w:topLinePunct/>
        <w:snapToGrid w:val="0"/>
        <w:spacing w:line="360" w:lineRule="auto"/>
        <w:rPr>
          <w:rFonts w:ascii="宋体" w:hAnsi="宋体" w:cs="宋体"/>
          <w:color w:val="auto"/>
          <w:kern w:val="0"/>
          <w:sz w:val="24"/>
          <w:highlight w:val="none"/>
        </w:rPr>
      </w:pPr>
      <w:r>
        <w:rPr>
          <w:rFonts w:hint="eastAsia" w:ascii="宋体" w:hAnsi="宋体" w:cs="宋体"/>
          <w:b/>
          <w:color w:val="auto"/>
          <w:kern w:val="0"/>
          <w:sz w:val="24"/>
          <w:highlight w:val="none"/>
        </w:rPr>
        <w:t xml:space="preserve">五、公告期限 </w:t>
      </w:r>
    </w:p>
    <w:p w14:paraId="06C97336">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自本公告发布之日起3日。</w:t>
      </w:r>
    </w:p>
    <w:p w14:paraId="547E272C">
      <w:pPr>
        <w:topLinePunct/>
        <w:snapToGrid w:val="0"/>
        <w:spacing w:line="360" w:lineRule="auto"/>
        <w:rPr>
          <w:rFonts w:ascii="宋体" w:hAnsi="宋体" w:cs="宋体"/>
          <w:b/>
          <w:color w:val="auto"/>
          <w:kern w:val="0"/>
          <w:sz w:val="24"/>
          <w:highlight w:val="none"/>
        </w:rPr>
      </w:pPr>
      <w:r>
        <w:rPr>
          <w:rFonts w:hint="eastAsia" w:ascii="宋体" w:hAnsi="宋体" w:cs="宋体"/>
          <w:b/>
          <w:color w:val="auto"/>
          <w:kern w:val="0"/>
          <w:sz w:val="24"/>
          <w:highlight w:val="none"/>
        </w:rPr>
        <w:t>六、其他补充事宜</w:t>
      </w:r>
    </w:p>
    <w:p w14:paraId="3236F141">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供应商认为交易标文件使自己的权益受到损害的，可以自获取交易文件之日或者交易文件公告期限届满之日（公告期限届满后获取交易文件的，以公告期限届满之日为准）起3日内，以书面形式向采购人和采购代理机构提出质疑。</w:t>
      </w:r>
    </w:p>
    <w:p w14:paraId="7BAAAF3B">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其他事项：电子交易（招投标）的说明：①电子交易：本项目以数据电文形式，依托“政府采购云平台（www.zcygov.cn）”进行交易活动，不接受纸质响应文件；②交易准备：注册账号--点击“商家入驻”，进行政府采购供应商资料填写；申领CA数字证书---申领流程详见“浙江政府采购网-下载专区-电子交易客户端-CA驱动和申领流程”；安装“</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电子交易客户端”----前往“浙江政府采购网-下载专区-电子交易客户端”进行下载并安装；③交易（采购）文件的获取：使用账号登录或者使用CA登录</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平台；进入“项目采购”应用，在获取采购文件菜单中选择项目，获取交易文件；④响应文件的制作：在“</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电子交易客户端”中完成“填写基本信息”、“导入响应文件”、“标书关联”、“标书检查”、“电子签名”、“生成电子标书”等操作；⑤采购人、采购机构将依托</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平台完成本项目的电子交易活动，平台不接受未按上述方式获取交易文件的供应商进行交易活动； ⑥对未按上述方式获取交易文件的供应商对该文件提出的质疑，采购人或采购代理机构将不予处理；⑦不提供交易文件纸质版；⑧响应文件的传输递交：供应商在交易截止时间前将加密的响应文件上传至政府采购云平台，还可以在交易截止时间前直接提交或者以邮政快递方式递交备份响应文件1份。备份响应文件的制作、存储、密封详见交易文件第二部分第15点—“备份响应文件”；⑨响应文件的解密：供应商按照平台提示和交易文件的规定在半小时内完成在线解密。通过“政府采购云平台”上传递交的响应文件无法按时解密，交易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交易无效；⑩具体操作指南：详见</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平台“服务中心-帮助文档-项目采购-操作流程-电子招投标-政府采购项目电子交易管理操作指南-供应商”。</w:t>
      </w:r>
    </w:p>
    <w:p w14:paraId="63F6BF04">
      <w:pPr>
        <w:topLinePunct/>
        <w:snapToGrid w:val="0"/>
        <w:spacing w:line="360" w:lineRule="auto"/>
        <w:rPr>
          <w:rFonts w:ascii="宋体" w:hAnsi="宋体" w:cs="宋体"/>
          <w:b/>
          <w:color w:val="auto"/>
          <w:kern w:val="0"/>
          <w:sz w:val="24"/>
          <w:highlight w:val="none"/>
        </w:rPr>
      </w:pPr>
      <w:r>
        <w:rPr>
          <w:rFonts w:hint="eastAsia" w:ascii="宋体" w:hAnsi="宋体" w:cs="宋体"/>
          <w:b/>
          <w:color w:val="auto"/>
          <w:kern w:val="0"/>
          <w:sz w:val="24"/>
          <w:highlight w:val="none"/>
        </w:rPr>
        <w:t>七、对本次采购提出询问、质疑，请按以下方式联系</w:t>
      </w:r>
    </w:p>
    <w:p w14:paraId="0BB371B8">
      <w:pPr>
        <w:widowControl/>
        <w:topLinePunct/>
        <w:snapToGrid w:val="0"/>
        <w:spacing w:line="360" w:lineRule="auto"/>
        <w:ind w:firstLine="480" w:firstLineChars="200"/>
        <w:jc w:val="left"/>
        <w:rPr>
          <w:rFonts w:ascii="宋体" w:hAnsi="宋体" w:cs="宋体"/>
          <w:color w:val="auto"/>
          <w:kern w:val="0"/>
          <w:sz w:val="24"/>
          <w:szCs w:val="28"/>
          <w:highlight w:val="none"/>
        </w:rPr>
      </w:pPr>
      <w:r>
        <w:rPr>
          <w:rFonts w:hint="eastAsia" w:ascii="宋体" w:hAnsi="宋体" w:cs="宋体"/>
          <w:color w:val="auto"/>
          <w:kern w:val="0"/>
          <w:sz w:val="24"/>
          <w:szCs w:val="28"/>
          <w:highlight w:val="none"/>
        </w:rPr>
        <w:t>1.采购人信息</w:t>
      </w:r>
    </w:p>
    <w:p w14:paraId="3C9B5920">
      <w:pPr>
        <w:keepNext w:val="0"/>
        <w:keepLines w:val="0"/>
        <w:pageBreakBefore w:val="0"/>
        <w:kinsoku/>
        <w:wordWrap/>
        <w:overflowPunct/>
        <w:topLinePunct w:val="0"/>
        <w:autoSpaceDE/>
        <w:autoSpaceDN/>
        <w:bidi w:val="0"/>
        <w:adjustRightInd w:val="0"/>
        <w:snapToGrid/>
        <w:spacing w:line="440" w:lineRule="exact"/>
        <w:ind w:firstLine="480" w:firstLineChars="200"/>
        <w:jc w:val="left"/>
        <w:textAlignment w:val="auto"/>
        <w:rPr>
          <w:rFonts w:hint="eastAsia" w:ascii="宋体" w:hAnsi="宋体" w:eastAsia="宋体" w:cs="宋体"/>
          <w:color w:val="auto"/>
          <w:sz w:val="24"/>
          <w:szCs w:val="24"/>
          <w:highlight w:val="none"/>
          <w:u w:val="none"/>
          <w:lang w:eastAsia="zh-CN"/>
        </w:rPr>
      </w:pPr>
      <w:bookmarkStart w:id="11" w:name="_Toc28359086"/>
      <w:bookmarkStart w:id="12" w:name="_Toc28359009"/>
      <w:r>
        <w:rPr>
          <w:rFonts w:hint="eastAsia" w:ascii="宋体" w:hAnsi="宋体" w:eastAsia="宋体" w:cs="宋体"/>
          <w:color w:val="auto"/>
          <w:sz w:val="24"/>
          <w:szCs w:val="24"/>
          <w:highlight w:val="none"/>
          <w:u w:val="none"/>
        </w:rPr>
        <w:t>名称：</w:t>
      </w:r>
      <w:r>
        <w:rPr>
          <w:rFonts w:hint="eastAsia" w:ascii="宋体" w:hAnsi="宋体" w:eastAsia="宋体" w:cs="宋体"/>
          <w:color w:val="auto"/>
          <w:sz w:val="24"/>
          <w:szCs w:val="24"/>
          <w:highlight w:val="none"/>
          <w:u w:val="none"/>
          <w:lang w:bidi="ar"/>
        </w:rPr>
        <w:t>杭州萧山城市基础设施建设有限公司</w:t>
      </w:r>
    </w:p>
    <w:p w14:paraId="4A3CE724">
      <w:pPr>
        <w:keepNext w:val="0"/>
        <w:keepLines w:val="0"/>
        <w:pageBreakBefore w:val="0"/>
        <w:kinsoku/>
        <w:wordWrap/>
        <w:overflowPunct/>
        <w:topLinePunct w:val="0"/>
        <w:autoSpaceDE/>
        <w:autoSpaceDN/>
        <w:bidi w:val="0"/>
        <w:adjustRightInd w:val="0"/>
        <w:snapToGrid/>
        <w:spacing w:line="440" w:lineRule="exact"/>
        <w:ind w:firstLine="480" w:firstLineChars="200"/>
        <w:jc w:val="left"/>
        <w:textAlignment w:val="auto"/>
        <w:rPr>
          <w:rFonts w:hint="eastAsia" w:ascii="宋体" w:hAnsi="宋体" w:eastAsia="宋体" w:cs="宋体"/>
          <w:color w:val="auto"/>
          <w:sz w:val="24"/>
          <w:szCs w:val="24"/>
          <w:highlight w:val="none"/>
          <w:u w:val="none"/>
          <w:lang w:eastAsia="zh-CN"/>
        </w:rPr>
      </w:pPr>
      <w:r>
        <w:rPr>
          <w:rFonts w:hint="eastAsia" w:ascii="宋体" w:hAnsi="宋体" w:eastAsia="宋体" w:cs="宋体"/>
          <w:color w:val="auto"/>
          <w:sz w:val="24"/>
          <w:szCs w:val="24"/>
          <w:highlight w:val="none"/>
          <w:u w:val="none"/>
        </w:rPr>
        <w:t>地址：</w:t>
      </w:r>
      <w:r>
        <w:rPr>
          <w:rFonts w:hint="eastAsia" w:ascii="宋体" w:hAnsi="宋体" w:cs="宋体"/>
          <w:color w:val="auto"/>
          <w:sz w:val="24"/>
          <w:szCs w:val="24"/>
          <w:highlight w:val="none"/>
          <w:u w:val="none"/>
          <w:lang w:val="en-US" w:eastAsia="zh-CN"/>
        </w:rPr>
        <w:t>萧山区金城路39号紫橙国际4号楼13楼</w:t>
      </w:r>
      <w:r>
        <w:rPr>
          <w:rFonts w:hint="eastAsia" w:ascii="宋体" w:hAnsi="宋体" w:cs="宋体"/>
          <w:color w:val="auto"/>
          <w:sz w:val="24"/>
          <w:szCs w:val="24"/>
          <w:highlight w:val="none"/>
          <w:u w:val="none"/>
          <w:lang w:val="en-US" w:eastAsia="zh-CN" w:bidi="ar"/>
        </w:rPr>
        <w:t xml:space="preserve"> </w:t>
      </w:r>
    </w:p>
    <w:p w14:paraId="59E34F5A">
      <w:pPr>
        <w:keepNext w:val="0"/>
        <w:keepLines w:val="0"/>
        <w:pageBreakBefore w:val="0"/>
        <w:kinsoku/>
        <w:wordWrap/>
        <w:overflowPunct/>
        <w:topLinePunct w:val="0"/>
        <w:autoSpaceDE/>
        <w:autoSpaceDN/>
        <w:bidi w:val="0"/>
        <w:adjustRightInd w:val="0"/>
        <w:snapToGrid/>
        <w:spacing w:line="440" w:lineRule="exact"/>
        <w:ind w:firstLine="480" w:firstLineChars="200"/>
        <w:jc w:val="left"/>
        <w:textAlignment w:val="auto"/>
        <w:rPr>
          <w:rFonts w:hint="default" w:eastAsia="宋体" w:cs="宋体"/>
          <w:color w:val="auto"/>
          <w:sz w:val="24"/>
          <w:szCs w:val="24"/>
          <w:highlight w:val="none"/>
          <w:u w:val="none"/>
          <w:lang w:val="en-US" w:eastAsia="zh-CN" w:bidi="ar"/>
        </w:rPr>
      </w:pPr>
      <w:r>
        <w:rPr>
          <w:rFonts w:hint="eastAsia" w:ascii="宋体" w:hAnsi="宋体" w:eastAsia="宋体" w:cs="宋体"/>
          <w:color w:val="auto"/>
          <w:sz w:val="24"/>
          <w:szCs w:val="24"/>
          <w:highlight w:val="none"/>
          <w:u w:val="none"/>
          <w:lang w:eastAsia="zh-CN"/>
        </w:rPr>
        <w:t>项目联系人（询问）：</w:t>
      </w:r>
      <w:r>
        <w:rPr>
          <w:rFonts w:hint="eastAsia" w:eastAsia="宋体" w:cs="宋体"/>
          <w:color w:val="auto"/>
          <w:sz w:val="24"/>
          <w:szCs w:val="24"/>
          <w:highlight w:val="none"/>
          <w:u w:val="none"/>
          <w:lang w:val="en-US" w:eastAsia="zh-CN" w:bidi="ar"/>
        </w:rPr>
        <w:t xml:space="preserve"> </w:t>
      </w:r>
      <w:r>
        <w:rPr>
          <w:rFonts w:hint="eastAsia" w:cs="宋体"/>
          <w:color w:val="auto"/>
          <w:sz w:val="24"/>
          <w:szCs w:val="24"/>
          <w:highlight w:val="none"/>
          <w:u w:val="none"/>
          <w:lang w:val="en-US" w:eastAsia="zh-CN" w:bidi="ar"/>
        </w:rPr>
        <w:t>柴晓波</w:t>
      </w:r>
    </w:p>
    <w:p w14:paraId="7980BF88">
      <w:pPr>
        <w:keepNext w:val="0"/>
        <w:keepLines w:val="0"/>
        <w:pageBreakBefore w:val="0"/>
        <w:kinsoku/>
        <w:wordWrap/>
        <w:overflowPunct/>
        <w:topLinePunct w:val="0"/>
        <w:autoSpaceDE/>
        <w:autoSpaceDN/>
        <w:bidi w:val="0"/>
        <w:adjustRightInd w:val="0"/>
        <w:snapToGrid/>
        <w:spacing w:line="440" w:lineRule="exact"/>
        <w:ind w:firstLine="480" w:firstLineChars="200"/>
        <w:jc w:val="left"/>
        <w:textAlignment w:val="auto"/>
        <w:rPr>
          <w:rFonts w:hint="default" w:eastAsia="宋体" w:cs="宋体"/>
          <w:color w:val="auto"/>
          <w:sz w:val="24"/>
          <w:szCs w:val="24"/>
          <w:highlight w:val="none"/>
          <w:u w:val="none"/>
          <w:lang w:val="en-US" w:eastAsia="zh-CN" w:bidi="ar"/>
        </w:rPr>
      </w:pPr>
      <w:r>
        <w:rPr>
          <w:rFonts w:hint="eastAsia" w:ascii="宋体" w:hAnsi="宋体" w:eastAsia="宋体" w:cs="宋体"/>
          <w:color w:val="auto"/>
          <w:sz w:val="24"/>
          <w:szCs w:val="24"/>
          <w:highlight w:val="none"/>
          <w:u w:val="none"/>
          <w:lang w:eastAsia="zh-CN"/>
        </w:rPr>
        <w:t>项目联系方式（询问）：</w:t>
      </w:r>
      <w:r>
        <w:rPr>
          <w:rFonts w:hint="eastAsia" w:eastAsia="宋体" w:cs="宋体"/>
          <w:color w:val="auto"/>
          <w:sz w:val="24"/>
          <w:szCs w:val="24"/>
          <w:highlight w:val="none"/>
          <w:u w:val="none"/>
          <w:lang w:val="en-US" w:eastAsia="zh-CN" w:bidi="ar"/>
        </w:rPr>
        <w:t xml:space="preserve"> </w:t>
      </w:r>
      <w:r>
        <w:rPr>
          <w:rFonts w:hint="eastAsia" w:cs="宋体"/>
          <w:color w:val="auto"/>
          <w:sz w:val="24"/>
          <w:szCs w:val="24"/>
          <w:highlight w:val="none"/>
          <w:u w:val="none"/>
          <w:lang w:val="en-US" w:eastAsia="zh-CN" w:bidi="ar"/>
        </w:rPr>
        <w:t>13516820662</w:t>
      </w:r>
    </w:p>
    <w:p w14:paraId="32D01DF4">
      <w:pPr>
        <w:pStyle w:val="44"/>
        <w:rPr>
          <w:rFonts w:hint="eastAsia"/>
          <w:color w:val="auto"/>
          <w:highlight w:val="none"/>
          <w:lang w:val="en-US" w:eastAsia="zh-CN"/>
        </w:rPr>
      </w:pPr>
    </w:p>
    <w:p w14:paraId="78DCC36B">
      <w:pPr>
        <w:topLinePunct/>
        <w:snapToGrid w:val="0"/>
        <w:spacing w:line="360" w:lineRule="auto"/>
        <w:ind w:firstLine="480" w:firstLineChars="200"/>
        <w:jc w:val="left"/>
        <w:rPr>
          <w:rFonts w:ascii="宋体" w:hAnsi="宋体" w:cs="宋体"/>
          <w:color w:val="auto"/>
          <w:kern w:val="0"/>
          <w:sz w:val="24"/>
          <w:szCs w:val="28"/>
          <w:highlight w:val="none"/>
        </w:rPr>
      </w:pPr>
      <w:r>
        <w:rPr>
          <w:rFonts w:hint="eastAsia" w:ascii="宋体" w:hAnsi="宋体" w:cs="宋体"/>
          <w:color w:val="auto"/>
          <w:kern w:val="0"/>
          <w:sz w:val="24"/>
          <w:szCs w:val="28"/>
          <w:highlight w:val="none"/>
        </w:rPr>
        <w:t>2.采购代理机构信息</w:t>
      </w:r>
      <w:bookmarkEnd w:id="11"/>
      <w:bookmarkEnd w:id="12"/>
    </w:p>
    <w:p w14:paraId="0EFDA325">
      <w:pPr>
        <w:topLinePunct/>
        <w:snapToGrid w:val="0"/>
        <w:spacing w:line="360" w:lineRule="auto"/>
        <w:ind w:firstLine="480" w:firstLineChars="200"/>
        <w:jc w:val="left"/>
        <w:rPr>
          <w:rFonts w:hint="eastAsia" w:ascii="宋体" w:hAnsi="宋体" w:cs="宋体"/>
          <w:color w:val="auto"/>
          <w:kern w:val="0"/>
          <w:sz w:val="24"/>
          <w:szCs w:val="28"/>
          <w:highlight w:val="none"/>
        </w:rPr>
      </w:pPr>
      <w:r>
        <w:rPr>
          <w:rFonts w:hint="eastAsia" w:ascii="宋体" w:hAnsi="宋体" w:cs="宋体"/>
          <w:color w:val="auto"/>
          <w:kern w:val="0"/>
          <w:sz w:val="24"/>
          <w:szCs w:val="28"/>
          <w:highlight w:val="none"/>
        </w:rPr>
        <w:t>名 称：浙江</w:t>
      </w:r>
      <w:r>
        <w:rPr>
          <w:rFonts w:hint="eastAsia" w:ascii="宋体" w:hAnsi="宋体" w:cs="宋体"/>
          <w:color w:val="auto"/>
          <w:kern w:val="0"/>
          <w:sz w:val="24"/>
          <w:szCs w:val="28"/>
          <w:highlight w:val="none"/>
          <w:lang w:val="en-US" w:eastAsia="zh-CN"/>
        </w:rPr>
        <w:t>省工程咨询</w:t>
      </w:r>
      <w:r>
        <w:rPr>
          <w:rFonts w:hint="eastAsia" w:ascii="宋体" w:hAnsi="宋体" w:cs="宋体"/>
          <w:color w:val="auto"/>
          <w:kern w:val="0"/>
          <w:sz w:val="24"/>
          <w:szCs w:val="28"/>
          <w:highlight w:val="none"/>
        </w:rPr>
        <w:t>有限公司</w:t>
      </w:r>
    </w:p>
    <w:p w14:paraId="5353CB0F">
      <w:pPr>
        <w:topLinePunct/>
        <w:snapToGrid w:val="0"/>
        <w:spacing w:line="360" w:lineRule="auto"/>
        <w:ind w:firstLine="480" w:firstLineChars="200"/>
        <w:jc w:val="left"/>
        <w:rPr>
          <w:rFonts w:hint="eastAsia" w:ascii="宋体" w:hAnsi="宋体" w:cs="宋体"/>
          <w:color w:val="auto"/>
          <w:kern w:val="0"/>
          <w:sz w:val="24"/>
          <w:szCs w:val="28"/>
          <w:highlight w:val="none"/>
        </w:rPr>
      </w:pPr>
      <w:r>
        <w:rPr>
          <w:rFonts w:hint="eastAsia" w:ascii="宋体" w:hAnsi="宋体" w:cs="宋体"/>
          <w:color w:val="auto"/>
          <w:kern w:val="0"/>
          <w:sz w:val="24"/>
          <w:szCs w:val="28"/>
          <w:highlight w:val="none"/>
        </w:rPr>
        <w:t>地址：</w:t>
      </w:r>
      <w:r>
        <w:rPr>
          <w:rFonts w:hint="eastAsia" w:ascii="宋体" w:hAnsi="宋体" w:eastAsia="宋体" w:cs="宋体"/>
          <w:color w:val="auto"/>
          <w:kern w:val="0"/>
          <w:sz w:val="24"/>
          <w:szCs w:val="28"/>
          <w:highlight w:val="none"/>
          <w:lang w:val="en-US" w:eastAsia="zh-CN"/>
        </w:rPr>
        <w:t>杭州市萧山区金惠路358号汇通大厦4幢15楼</w:t>
      </w:r>
    </w:p>
    <w:p w14:paraId="725DFB3F">
      <w:pPr>
        <w:topLinePunct/>
        <w:snapToGrid w:val="0"/>
        <w:spacing w:line="360" w:lineRule="auto"/>
        <w:ind w:firstLine="480" w:firstLineChars="200"/>
        <w:jc w:val="left"/>
        <w:rPr>
          <w:rFonts w:hint="eastAsia" w:ascii="宋体" w:hAnsi="宋体" w:cs="宋体"/>
          <w:color w:val="auto"/>
          <w:kern w:val="0"/>
          <w:sz w:val="24"/>
          <w:szCs w:val="28"/>
          <w:highlight w:val="none"/>
        </w:rPr>
      </w:pPr>
      <w:r>
        <w:rPr>
          <w:rFonts w:hint="eastAsia" w:ascii="宋体" w:hAnsi="宋体" w:cs="宋体"/>
          <w:color w:val="auto"/>
          <w:kern w:val="0"/>
          <w:sz w:val="24"/>
          <w:szCs w:val="28"/>
          <w:highlight w:val="none"/>
        </w:rPr>
        <w:t>项目联系人（询问）：</w:t>
      </w:r>
      <w:r>
        <w:rPr>
          <w:rFonts w:hint="eastAsia" w:ascii="宋体" w:hAnsi="宋体" w:cs="宋体"/>
          <w:color w:val="auto"/>
          <w:kern w:val="0"/>
          <w:sz w:val="24"/>
          <w:szCs w:val="28"/>
          <w:highlight w:val="none"/>
          <w:lang w:val="en-US" w:eastAsia="zh-CN"/>
        </w:rPr>
        <w:t>瞿丽春</w:t>
      </w:r>
      <w:r>
        <w:rPr>
          <w:rFonts w:hint="eastAsia" w:ascii="宋体" w:hAnsi="宋体" w:cs="宋体"/>
          <w:color w:val="auto"/>
          <w:kern w:val="0"/>
          <w:sz w:val="24"/>
          <w:szCs w:val="28"/>
          <w:highlight w:val="none"/>
        </w:rPr>
        <w:t xml:space="preserve"> </w:t>
      </w:r>
    </w:p>
    <w:p w14:paraId="450AB699">
      <w:pPr>
        <w:topLinePunct/>
        <w:snapToGrid w:val="0"/>
        <w:spacing w:line="360" w:lineRule="auto"/>
        <w:ind w:firstLine="480" w:firstLineChars="200"/>
        <w:jc w:val="left"/>
        <w:rPr>
          <w:rFonts w:ascii="宋体" w:hAnsi="宋体" w:cs="宋体"/>
          <w:color w:val="auto"/>
          <w:kern w:val="0"/>
          <w:sz w:val="24"/>
          <w:szCs w:val="28"/>
          <w:highlight w:val="none"/>
        </w:rPr>
      </w:pPr>
      <w:r>
        <w:rPr>
          <w:rFonts w:hint="eastAsia" w:ascii="宋体" w:hAnsi="宋体" w:cs="宋体"/>
          <w:color w:val="auto"/>
          <w:kern w:val="0"/>
          <w:sz w:val="24"/>
          <w:szCs w:val="28"/>
          <w:highlight w:val="none"/>
        </w:rPr>
        <w:t>项目联系方式（询问）：</w:t>
      </w:r>
      <w:r>
        <w:rPr>
          <w:rFonts w:hint="eastAsia" w:ascii="宋体" w:hAnsi="宋体" w:cs="宋体"/>
          <w:color w:val="auto"/>
          <w:kern w:val="0"/>
          <w:sz w:val="24"/>
          <w:szCs w:val="28"/>
          <w:highlight w:val="none"/>
          <w:lang w:val="en-US" w:eastAsia="zh-CN"/>
        </w:rPr>
        <w:t>15906629847</w:t>
      </w:r>
      <w:r>
        <w:rPr>
          <w:rFonts w:hint="eastAsia" w:ascii="宋体" w:hAnsi="宋体" w:cs="宋体"/>
          <w:color w:val="auto"/>
          <w:kern w:val="0"/>
          <w:sz w:val="24"/>
          <w:szCs w:val="28"/>
          <w:highlight w:val="none"/>
        </w:rPr>
        <w:t xml:space="preserve">  </w:t>
      </w:r>
    </w:p>
    <w:p w14:paraId="15F3A229">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若对项目采购电子交易系统操作有疑问，可登录</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w:t>
      </w:r>
      <w:r>
        <w:rPr>
          <w:rFonts w:hint="eastAsia" w:ascii="宋体" w:hAnsi="宋体" w:cs="宋体"/>
          <w:color w:val="auto"/>
          <w:kern w:val="0"/>
          <w:sz w:val="24"/>
          <w:highlight w:val="none"/>
          <w:lang w:eastAsia="zh-CN"/>
        </w:rPr>
        <w:t>www.lecaiyun.com</w:t>
      </w:r>
      <w:r>
        <w:rPr>
          <w:rFonts w:hint="eastAsia" w:ascii="宋体" w:hAnsi="宋体" w:cs="宋体"/>
          <w:color w:val="auto"/>
          <w:kern w:val="0"/>
          <w:sz w:val="24"/>
          <w:highlight w:val="none"/>
        </w:rPr>
        <w:t>），点击右侧咨询小采，获取采小蜜智能服务管家帮助，或拨打</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服务热线95763获取热线服务帮助。</w:t>
      </w:r>
    </w:p>
    <w:p w14:paraId="4A1D8930">
      <w:pPr>
        <w:topLinePunct/>
        <w:snapToGrid w:val="0"/>
        <w:spacing w:line="360" w:lineRule="auto"/>
        <w:ind w:firstLine="480" w:firstLineChars="200"/>
        <w:rPr>
          <w:rFonts w:hAnsi="宋体" w:cs="宋体"/>
          <w:color w:val="auto"/>
          <w:kern w:val="0"/>
          <w:sz w:val="24"/>
          <w:szCs w:val="24"/>
          <w:highlight w:val="none"/>
        </w:rPr>
      </w:pPr>
      <w:r>
        <w:rPr>
          <w:rFonts w:hint="eastAsia" w:ascii="宋体" w:hAnsi="宋体" w:cs="宋体"/>
          <w:color w:val="auto"/>
          <w:kern w:val="0"/>
          <w:sz w:val="24"/>
          <w:highlight w:val="none"/>
        </w:rPr>
        <w:t>CA问题联系电话（人工）：汇信CA 400-888-4636；天谷CA 400-087-8198。</w:t>
      </w:r>
    </w:p>
    <w:p w14:paraId="45DEC78B">
      <w:pPr>
        <w:adjustRightInd/>
        <w:spacing w:line="440" w:lineRule="exact"/>
        <w:jc w:val="center"/>
        <w:outlineLvl w:val="0"/>
        <w:rPr>
          <w:rFonts w:ascii="宋体" w:hAnsi="宋体" w:cs="宋体"/>
          <w:b/>
          <w:color w:val="auto"/>
          <w:kern w:val="0"/>
          <w:sz w:val="36"/>
          <w:szCs w:val="20"/>
          <w:highlight w:val="none"/>
        </w:rPr>
      </w:pPr>
      <w:r>
        <w:rPr>
          <w:rFonts w:hint="eastAsia" w:ascii="宋体" w:hAnsi="宋体" w:cs="宋体"/>
          <w:b/>
          <w:color w:val="auto"/>
          <w:kern w:val="0"/>
          <w:sz w:val="36"/>
          <w:szCs w:val="20"/>
          <w:highlight w:val="none"/>
        </w:rPr>
        <w:br w:type="page"/>
      </w:r>
      <w:r>
        <w:rPr>
          <w:rFonts w:hint="eastAsia" w:ascii="宋体" w:hAnsi="宋体" w:cs="宋体"/>
          <w:b/>
          <w:color w:val="auto"/>
          <w:kern w:val="0"/>
          <w:sz w:val="36"/>
          <w:szCs w:val="20"/>
          <w:highlight w:val="none"/>
        </w:rPr>
        <w:t>第二部分</w:t>
      </w:r>
      <w:bookmarkEnd w:id="8"/>
      <w:r>
        <w:rPr>
          <w:rFonts w:hint="eastAsia" w:ascii="宋体" w:hAnsi="宋体" w:cs="宋体"/>
          <w:b/>
          <w:color w:val="auto"/>
          <w:kern w:val="0"/>
          <w:sz w:val="36"/>
          <w:szCs w:val="20"/>
          <w:highlight w:val="none"/>
        </w:rPr>
        <w:t xml:space="preserve"> 供应商须知</w:t>
      </w:r>
      <w:bookmarkEnd w:id="9"/>
    </w:p>
    <w:p w14:paraId="69A14BCE">
      <w:pPr>
        <w:snapToGrid w:val="0"/>
        <w:spacing w:line="440" w:lineRule="exact"/>
        <w:jc w:val="center"/>
        <w:rPr>
          <w:rFonts w:ascii="宋体" w:hAnsi="宋体" w:cs="宋体"/>
          <w:b/>
          <w:color w:val="auto"/>
          <w:kern w:val="0"/>
          <w:sz w:val="32"/>
          <w:szCs w:val="20"/>
          <w:highlight w:val="none"/>
        </w:rPr>
      </w:pPr>
      <w:r>
        <w:rPr>
          <w:rFonts w:hint="eastAsia" w:ascii="宋体" w:hAnsi="宋体" w:cs="宋体"/>
          <w:b/>
          <w:color w:val="auto"/>
          <w:kern w:val="0"/>
          <w:sz w:val="32"/>
          <w:szCs w:val="20"/>
          <w:highlight w:val="none"/>
        </w:rPr>
        <w:t>前附表</w:t>
      </w:r>
    </w:p>
    <w:tbl>
      <w:tblPr>
        <w:tblStyle w:val="63"/>
        <w:tblW w:w="900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30"/>
        <w:gridCol w:w="6544"/>
      </w:tblGrid>
      <w:tr w14:paraId="051504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93B3FA9">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序号</w:t>
            </w:r>
          </w:p>
        </w:tc>
        <w:tc>
          <w:tcPr>
            <w:tcW w:w="1830" w:type="dxa"/>
            <w:tcBorders>
              <w:top w:val="single" w:color="000000" w:sz="8" w:space="0"/>
              <w:left w:val="single" w:color="auto" w:sz="4" w:space="0"/>
              <w:bottom w:val="single" w:color="000000" w:sz="8" w:space="0"/>
              <w:right w:val="single" w:color="000000" w:sz="8" w:space="0"/>
            </w:tcBorders>
            <w:vAlign w:val="center"/>
          </w:tcPr>
          <w:p w14:paraId="0388A977">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事项</w:t>
            </w:r>
          </w:p>
        </w:tc>
        <w:tc>
          <w:tcPr>
            <w:tcW w:w="6544" w:type="dxa"/>
            <w:tcBorders>
              <w:top w:val="single" w:color="000000" w:sz="8" w:space="0"/>
              <w:left w:val="single" w:color="000000" w:sz="2" w:space="0"/>
              <w:bottom w:val="single" w:color="000000" w:sz="8" w:space="0"/>
              <w:right w:val="single" w:color="000000" w:sz="8" w:space="0"/>
            </w:tcBorders>
            <w:vAlign w:val="center"/>
          </w:tcPr>
          <w:p w14:paraId="241DDC3C">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本项目的特别规定</w:t>
            </w:r>
          </w:p>
        </w:tc>
      </w:tr>
      <w:tr w14:paraId="5A7BFD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698D1B8">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1830" w:type="dxa"/>
            <w:tcBorders>
              <w:top w:val="single" w:color="000000" w:sz="8" w:space="0"/>
              <w:left w:val="single" w:color="auto" w:sz="4" w:space="0"/>
              <w:bottom w:val="single" w:color="000000" w:sz="8" w:space="0"/>
              <w:right w:val="single" w:color="000000" w:sz="8" w:space="0"/>
            </w:tcBorders>
            <w:vAlign w:val="center"/>
          </w:tcPr>
          <w:p w14:paraId="0C4FBEB2">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项目属性</w:t>
            </w:r>
          </w:p>
          <w:p w14:paraId="5AE9028C">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与核心产品</w:t>
            </w:r>
          </w:p>
        </w:tc>
        <w:tc>
          <w:tcPr>
            <w:tcW w:w="6544" w:type="dxa"/>
            <w:tcBorders>
              <w:top w:val="single" w:color="000000" w:sz="8" w:space="0"/>
              <w:left w:val="single" w:color="000000" w:sz="2" w:space="0"/>
              <w:bottom w:val="single" w:color="000000" w:sz="8" w:space="0"/>
              <w:right w:val="single" w:color="000000" w:sz="8" w:space="0"/>
            </w:tcBorders>
            <w:vAlign w:val="center"/>
          </w:tcPr>
          <w:p w14:paraId="39354E81">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color w:val="auto"/>
                <w:kern w:val="0"/>
                <w:sz w:val="24"/>
                <w:highlight w:val="none"/>
              </w:rPr>
            </w:pPr>
            <w:r>
              <w:rPr>
                <w:rFonts w:hint="eastAsia" w:ascii="宋体" w:hAnsi="宋体" w:cs="宋体"/>
                <w:b/>
                <w:color w:val="auto"/>
                <w:kern w:val="0"/>
                <w:sz w:val="24"/>
                <w:highlight w:val="none"/>
              </w:rPr>
              <w:t>（√）</w:t>
            </w:r>
            <w:r>
              <w:rPr>
                <w:rFonts w:hint="eastAsia" w:ascii="宋体" w:hAnsi="宋体" w:cs="宋体"/>
                <w:color w:val="auto"/>
                <w:kern w:val="0"/>
                <w:sz w:val="24"/>
                <w:highlight w:val="none"/>
                <w:lang w:val="en-US" w:eastAsia="zh-CN"/>
              </w:rPr>
              <w:t>A货物</w:t>
            </w:r>
            <w:r>
              <w:rPr>
                <w:rFonts w:hint="eastAsia" w:ascii="宋体" w:hAnsi="宋体" w:cs="宋体"/>
                <w:color w:val="auto"/>
                <w:kern w:val="0"/>
                <w:sz w:val="24"/>
                <w:highlight w:val="none"/>
              </w:rPr>
              <w:t>类。</w:t>
            </w:r>
          </w:p>
        </w:tc>
      </w:tr>
      <w:tr w14:paraId="06BA29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A6BB901">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2</w:t>
            </w:r>
          </w:p>
        </w:tc>
        <w:tc>
          <w:tcPr>
            <w:tcW w:w="1830" w:type="dxa"/>
            <w:tcBorders>
              <w:top w:val="single" w:color="000000" w:sz="8" w:space="0"/>
              <w:left w:val="single" w:color="auto" w:sz="4" w:space="0"/>
              <w:bottom w:val="single" w:color="000000" w:sz="8" w:space="0"/>
              <w:right w:val="single" w:color="000000" w:sz="8" w:space="0"/>
            </w:tcBorders>
            <w:vAlign w:val="center"/>
          </w:tcPr>
          <w:p w14:paraId="0C75164D">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是否允许采购进口产品</w:t>
            </w:r>
          </w:p>
        </w:tc>
        <w:tc>
          <w:tcPr>
            <w:tcW w:w="6544" w:type="dxa"/>
            <w:tcBorders>
              <w:top w:val="single" w:color="000000" w:sz="8" w:space="0"/>
              <w:left w:val="single" w:color="000000" w:sz="2" w:space="0"/>
              <w:bottom w:val="single" w:color="000000" w:sz="8" w:space="0"/>
              <w:right w:val="single" w:color="000000" w:sz="8" w:space="0"/>
            </w:tcBorders>
            <w:vAlign w:val="center"/>
          </w:tcPr>
          <w:p w14:paraId="270F3954">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color w:val="auto"/>
                <w:kern w:val="0"/>
                <w:highlight w:val="none"/>
              </w:rPr>
            </w:pPr>
            <w:r>
              <w:rPr>
                <w:rFonts w:hint="eastAsia" w:ascii="宋体" w:hAnsi="宋体" w:cs="宋体"/>
                <w:b/>
                <w:color w:val="auto"/>
                <w:kern w:val="0"/>
                <w:sz w:val="24"/>
                <w:highlight w:val="none"/>
              </w:rPr>
              <w:t>（√）</w:t>
            </w:r>
            <w:r>
              <w:rPr>
                <w:rFonts w:hint="eastAsia" w:ascii="宋体" w:hAnsi="宋体" w:cs="宋体"/>
                <w:color w:val="auto"/>
                <w:kern w:val="0"/>
                <w:sz w:val="24"/>
                <w:szCs w:val="32"/>
                <w:highlight w:val="none"/>
              </w:rPr>
              <w:t>本项目不允许采购进口产品。</w:t>
            </w:r>
          </w:p>
        </w:tc>
      </w:tr>
      <w:tr w14:paraId="1158F1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6E058A71">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3</w:t>
            </w:r>
          </w:p>
        </w:tc>
        <w:tc>
          <w:tcPr>
            <w:tcW w:w="1830" w:type="dxa"/>
            <w:tcBorders>
              <w:top w:val="single" w:color="000000" w:sz="8" w:space="0"/>
              <w:left w:val="single" w:color="auto" w:sz="4" w:space="0"/>
              <w:bottom w:val="single" w:color="000000" w:sz="8" w:space="0"/>
              <w:right w:val="single" w:color="000000" w:sz="8" w:space="0"/>
            </w:tcBorders>
            <w:vAlign w:val="center"/>
          </w:tcPr>
          <w:p w14:paraId="2A693836">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分包</w:t>
            </w:r>
          </w:p>
        </w:tc>
        <w:tc>
          <w:tcPr>
            <w:tcW w:w="6544" w:type="dxa"/>
            <w:tcBorders>
              <w:top w:val="single" w:color="000000" w:sz="8" w:space="0"/>
              <w:left w:val="single" w:color="000000" w:sz="2" w:space="0"/>
              <w:bottom w:val="single" w:color="000000" w:sz="8" w:space="0"/>
              <w:right w:val="single" w:color="000000" w:sz="8" w:space="0"/>
            </w:tcBorders>
            <w:vAlign w:val="center"/>
          </w:tcPr>
          <w:p w14:paraId="4B5539B9">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color w:val="auto"/>
                <w:kern w:val="0"/>
                <w:sz w:val="24"/>
                <w:highlight w:val="none"/>
              </w:rPr>
            </w:pPr>
            <w:r>
              <w:rPr>
                <w:rFonts w:hint="eastAsia" w:ascii="宋体" w:hAnsi="宋体" w:cs="宋体"/>
                <w:b/>
                <w:color w:val="auto"/>
                <w:kern w:val="0"/>
                <w:sz w:val="24"/>
                <w:highlight w:val="none"/>
              </w:rPr>
              <w:t>（√）</w:t>
            </w:r>
            <w:r>
              <w:rPr>
                <w:rFonts w:hint="eastAsia" w:ascii="宋体" w:hAnsi="宋体" w:cs="宋体"/>
                <w:color w:val="auto"/>
                <w:kern w:val="0"/>
                <w:sz w:val="24"/>
                <w:highlight w:val="none"/>
              </w:rPr>
              <w:t>B不同意分包。</w:t>
            </w:r>
          </w:p>
        </w:tc>
      </w:tr>
      <w:tr w14:paraId="6E6470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2D70884">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4</w:t>
            </w:r>
          </w:p>
        </w:tc>
        <w:tc>
          <w:tcPr>
            <w:tcW w:w="1830" w:type="dxa"/>
            <w:tcBorders>
              <w:top w:val="single" w:color="000000" w:sz="8" w:space="0"/>
              <w:left w:val="single" w:color="auto" w:sz="4" w:space="0"/>
              <w:bottom w:val="single" w:color="000000" w:sz="8" w:space="0"/>
              <w:right w:val="single" w:color="000000" w:sz="8" w:space="0"/>
            </w:tcBorders>
            <w:vAlign w:val="center"/>
          </w:tcPr>
          <w:p w14:paraId="4ED1EF4D">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交易前答疑会或现场考察</w:t>
            </w:r>
          </w:p>
        </w:tc>
        <w:tc>
          <w:tcPr>
            <w:tcW w:w="6544" w:type="dxa"/>
            <w:tcBorders>
              <w:top w:val="single" w:color="000000" w:sz="8" w:space="0"/>
              <w:left w:val="single" w:color="000000" w:sz="2" w:space="0"/>
              <w:bottom w:val="single" w:color="000000" w:sz="8" w:space="0"/>
              <w:right w:val="single" w:color="000000" w:sz="8" w:space="0"/>
            </w:tcBorders>
            <w:vAlign w:val="center"/>
          </w:tcPr>
          <w:p w14:paraId="679A828E">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color w:val="auto"/>
                <w:kern w:val="0"/>
                <w:sz w:val="24"/>
                <w:szCs w:val="20"/>
                <w:highlight w:val="none"/>
              </w:rPr>
            </w:pPr>
            <w:r>
              <w:rPr>
                <w:rFonts w:hint="eastAsia" w:ascii="宋体" w:hAnsi="宋体" w:cs="宋体"/>
                <w:b/>
                <w:color w:val="auto"/>
                <w:kern w:val="0"/>
                <w:sz w:val="24"/>
                <w:highlight w:val="none"/>
              </w:rPr>
              <w:t>（√）</w:t>
            </w:r>
            <w:r>
              <w:rPr>
                <w:rFonts w:hint="eastAsia" w:ascii="宋体" w:hAnsi="宋体" w:cs="宋体"/>
                <w:color w:val="auto"/>
                <w:kern w:val="0"/>
                <w:sz w:val="24"/>
                <w:highlight w:val="none"/>
              </w:rPr>
              <w:t>A不组织。</w:t>
            </w:r>
          </w:p>
        </w:tc>
      </w:tr>
      <w:tr w14:paraId="31D23F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624406C">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5</w:t>
            </w:r>
          </w:p>
        </w:tc>
        <w:tc>
          <w:tcPr>
            <w:tcW w:w="1830" w:type="dxa"/>
            <w:tcBorders>
              <w:top w:val="single" w:color="000000" w:sz="8" w:space="0"/>
              <w:left w:val="single" w:color="auto" w:sz="4" w:space="0"/>
              <w:bottom w:val="single" w:color="000000" w:sz="8" w:space="0"/>
              <w:right w:val="single" w:color="000000" w:sz="8" w:space="0"/>
            </w:tcBorders>
            <w:vAlign w:val="center"/>
          </w:tcPr>
          <w:p w14:paraId="7AA291ED">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样品提供</w:t>
            </w:r>
          </w:p>
        </w:tc>
        <w:tc>
          <w:tcPr>
            <w:tcW w:w="6544" w:type="dxa"/>
            <w:tcBorders>
              <w:top w:val="single" w:color="000000" w:sz="8" w:space="0"/>
              <w:left w:val="single" w:color="000000" w:sz="2" w:space="0"/>
              <w:bottom w:val="single" w:color="000000" w:sz="8" w:space="0"/>
              <w:right w:val="single" w:color="000000" w:sz="8" w:space="0"/>
            </w:tcBorders>
            <w:vAlign w:val="center"/>
          </w:tcPr>
          <w:p w14:paraId="4D74D5A9">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b/>
                <w:color w:val="auto"/>
                <w:kern w:val="0"/>
                <w:sz w:val="24"/>
                <w:highlight w:val="none"/>
              </w:rPr>
            </w:pPr>
            <w:r>
              <w:rPr>
                <w:rFonts w:hint="eastAsia" w:ascii="宋体" w:hAnsi="宋体" w:cs="宋体"/>
                <w:b/>
                <w:bCs/>
                <w:color w:val="auto"/>
                <w:kern w:val="0"/>
                <w:sz w:val="24"/>
                <w:highlight w:val="none"/>
              </w:rPr>
              <w:t>（√）</w:t>
            </w:r>
            <w:r>
              <w:rPr>
                <w:rFonts w:hint="eastAsia" w:ascii="宋体" w:hAnsi="宋体" w:cs="宋体"/>
                <w:color w:val="auto"/>
                <w:kern w:val="0"/>
                <w:sz w:val="24"/>
                <w:highlight w:val="none"/>
              </w:rPr>
              <w:t>A不要求提供。</w:t>
            </w:r>
          </w:p>
        </w:tc>
      </w:tr>
      <w:tr w14:paraId="5ACDB3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15AF0D9">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6</w:t>
            </w:r>
          </w:p>
        </w:tc>
        <w:tc>
          <w:tcPr>
            <w:tcW w:w="1830" w:type="dxa"/>
            <w:tcBorders>
              <w:top w:val="single" w:color="000000" w:sz="8" w:space="0"/>
              <w:left w:val="single" w:color="auto" w:sz="4" w:space="0"/>
              <w:bottom w:val="single" w:color="000000" w:sz="8" w:space="0"/>
              <w:right w:val="single" w:color="000000" w:sz="8" w:space="0"/>
            </w:tcBorders>
            <w:vAlign w:val="center"/>
          </w:tcPr>
          <w:p w14:paraId="7539EB14">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Cs/>
                <w:color w:val="auto"/>
                <w:kern w:val="0"/>
                <w:sz w:val="24"/>
                <w:highlight w:val="none"/>
              </w:rPr>
            </w:pPr>
            <w:r>
              <w:rPr>
                <w:rFonts w:hint="eastAsia" w:ascii="宋体" w:hAnsi="宋体" w:cs="宋体"/>
                <w:b/>
                <w:color w:val="auto"/>
                <w:kern w:val="0"/>
                <w:sz w:val="24"/>
                <w:highlight w:val="none"/>
              </w:rPr>
              <w:t>方案讲解演示</w:t>
            </w:r>
          </w:p>
        </w:tc>
        <w:tc>
          <w:tcPr>
            <w:tcW w:w="6544" w:type="dxa"/>
            <w:tcBorders>
              <w:top w:val="single" w:color="000000" w:sz="8" w:space="0"/>
              <w:left w:val="single" w:color="000000" w:sz="2" w:space="0"/>
              <w:bottom w:val="single" w:color="000000" w:sz="8" w:space="0"/>
              <w:right w:val="single" w:color="000000" w:sz="8" w:space="0"/>
            </w:tcBorders>
            <w:vAlign w:val="center"/>
          </w:tcPr>
          <w:p w14:paraId="3AEB7E83">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rPr>
              <w:t>（√）</w:t>
            </w:r>
            <w:r>
              <w:rPr>
                <w:rFonts w:hint="eastAsia" w:ascii="宋体" w:hAnsi="宋体" w:cs="宋体"/>
                <w:color w:val="auto"/>
                <w:kern w:val="0"/>
                <w:sz w:val="24"/>
                <w:highlight w:val="none"/>
              </w:rPr>
              <w:t>A不组织。</w:t>
            </w:r>
          </w:p>
        </w:tc>
      </w:tr>
      <w:tr w14:paraId="5590D7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vMerge w:val="restart"/>
            <w:tcBorders>
              <w:top w:val="single" w:color="auto" w:sz="4" w:space="0"/>
              <w:left w:val="single" w:color="auto" w:sz="4" w:space="0"/>
              <w:right w:val="single" w:color="auto" w:sz="4" w:space="0"/>
            </w:tcBorders>
            <w:vAlign w:val="center"/>
          </w:tcPr>
          <w:p w14:paraId="667A0AA0">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7</w:t>
            </w:r>
          </w:p>
        </w:tc>
        <w:tc>
          <w:tcPr>
            <w:tcW w:w="1830" w:type="dxa"/>
            <w:vMerge w:val="restart"/>
            <w:tcBorders>
              <w:top w:val="single" w:color="000000" w:sz="8" w:space="0"/>
              <w:left w:val="single" w:color="auto" w:sz="4" w:space="0"/>
              <w:right w:val="single" w:color="000000" w:sz="8" w:space="0"/>
            </w:tcBorders>
            <w:vAlign w:val="center"/>
          </w:tcPr>
          <w:p w14:paraId="6616C67B">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供应商应当提供的资格、资信证明文件</w:t>
            </w:r>
          </w:p>
        </w:tc>
        <w:tc>
          <w:tcPr>
            <w:tcW w:w="6544" w:type="dxa"/>
            <w:tcBorders>
              <w:top w:val="single" w:color="000000" w:sz="8" w:space="0"/>
              <w:left w:val="single" w:color="000000" w:sz="2" w:space="0"/>
              <w:bottom w:val="single" w:color="auto" w:sz="4" w:space="0"/>
              <w:right w:val="single" w:color="000000" w:sz="8" w:space="0"/>
            </w:tcBorders>
            <w:vAlign w:val="center"/>
          </w:tcPr>
          <w:p w14:paraId="46F234B3">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color w:val="auto"/>
                <w:kern w:val="0"/>
                <w:sz w:val="24"/>
                <w:highlight w:val="none"/>
              </w:rPr>
            </w:pPr>
            <w:r>
              <w:rPr>
                <w:rFonts w:hint="eastAsia" w:ascii="宋体" w:hAnsi="宋体" w:cs="宋体"/>
                <w:color w:val="auto"/>
                <w:kern w:val="0"/>
                <w:sz w:val="24"/>
                <w:highlight w:val="none"/>
              </w:rPr>
              <w:t>（1）资格证明文件：见交易文件第二部分1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.1。</w:t>
            </w:r>
          </w:p>
          <w:p w14:paraId="3DA1FA56">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供应商未提供有效的资格证明文件的，视为供应商不具备交易文件中规定的资格要求，响应无效。</w:t>
            </w:r>
          </w:p>
        </w:tc>
      </w:tr>
      <w:tr w14:paraId="622040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vMerge w:val="continue"/>
            <w:tcBorders>
              <w:left w:val="single" w:color="auto" w:sz="4" w:space="0"/>
              <w:bottom w:val="single" w:color="auto" w:sz="4" w:space="0"/>
              <w:right w:val="single" w:color="auto" w:sz="4" w:space="0"/>
            </w:tcBorders>
            <w:vAlign w:val="center"/>
          </w:tcPr>
          <w:p w14:paraId="40C59DF1">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color w:val="auto"/>
                <w:kern w:val="0"/>
                <w:sz w:val="24"/>
                <w:highlight w:val="none"/>
              </w:rPr>
            </w:pPr>
          </w:p>
        </w:tc>
        <w:tc>
          <w:tcPr>
            <w:tcW w:w="1830" w:type="dxa"/>
            <w:vMerge w:val="continue"/>
            <w:tcBorders>
              <w:left w:val="single" w:color="auto" w:sz="4" w:space="0"/>
              <w:bottom w:val="single" w:color="000000" w:sz="8" w:space="0"/>
              <w:right w:val="single" w:color="000000" w:sz="8" w:space="0"/>
            </w:tcBorders>
            <w:vAlign w:val="center"/>
          </w:tcPr>
          <w:p w14:paraId="462740C0">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p>
        </w:tc>
        <w:tc>
          <w:tcPr>
            <w:tcW w:w="6544" w:type="dxa"/>
            <w:tcBorders>
              <w:top w:val="single" w:color="auto" w:sz="4" w:space="0"/>
              <w:left w:val="single" w:color="000000" w:sz="2" w:space="0"/>
              <w:bottom w:val="single" w:color="000000" w:sz="8" w:space="0"/>
              <w:right w:val="single" w:color="000000" w:sz="8" w:space="0"/>
            </w:tcBorders>
            <w:vAlign w:val="center"/>
          </w:tcPr>
          <w:p w14:paraId="68377A08">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color w:val="auto"/>
                <w:kern w:val="0"/>
                <w:sz w:val="24"/>
                <w:highlight w:val="none"/>
              </w:rPr>
            </w:pPr>
            <w:r>
              <w:rPr>
                <w:rFonts w:hint="eastAsia" w:ascii="宋体" w:hAnsi="宋体" w:cs="宋体"/>
                <w:color w:val="auto"/>
                <w:kern w:val="0"/>
                <w:sz w:val="24"/>
                <w:highlight w:val="none"/>
              </w:rPr>
              <w:t>（2）资信证明文件：根据交易文件第四部分评审标准提供。</w:t>
            </w:r>
          </w:p>
        </w:tc>
      </w:tr>
      <w:tr w14:paraId="072CC1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6D7BB00">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8</w:t>
            </w:r>
          </w:p>
        </w:tc>
        <w:tc>
          <w:tcPr>
            <w:tcW w:w="1830" w:type="dxa"/>
            <w:tcBorders>
              <w:top w:val="single" w:color="000000" w:sz="8" w:space="0"/>
              <w:left w:val="single" w:color="000000" w:sz="2" w:space="0"/>
              <w:bottom w:val="single" w:color="000000" w:sz="8" w:space="0"/>
              <w:right w:val="single" w:color="000000" w:sz="8" w:space="0"/>
            </w:tcBorders>
            <w:vAlign w:val="center"/>
          </w:tcPr>
          <w:p w14:paraId="2FCCD886">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Cs/>
                <w:color w:val="auto"/>
                <w:kern w:val="0"/>
                <w:sz w:val="24"/>
                <w:highlight w:val="none"/>
              </w:rPr>
            </w:pPr>
            <w:r>
              <w:rPr>
                <w:rFonts w:hint="eastAsia" w:ascii="宋体" w:hAnsi="宋体" w:cs="宋体"/>
                <w:b/>
                <w:color w:val="auto"/>
                <w:kern w:val="0"/>
                <w:sz w:val="24"/>
                <w:highlight w:val="none"/>
              </w:rPr>
              <w:t>报价要求</w:t>
            </w:r>
          </w:p>
        </w:tc>
        <w:tc>
          <w:tcPr>
            <w:tcW w:w="6544" w:type="dxa"/>
            <w:tcBorders>
              <w:top w:val="single" w:color="000000" w:sz="8" w:space="0"/>
              <w:left w:val="single" w:color="000000" w:sz="2" w:space="0"/>
              <w:bottom w:val="single" w:color="000000" w:sz="8" w:space="0"/>
              <w:right w:val="single" w:color="000000" w:sz="8" w:space="0"/>
            </w:tcBorders>
            <w:vAlign w:val="center"/>
          </w:tcPr>
          <w:p w14:paraId="71BC5FA9">
            <w:pPr>
              <w:keepNext w:val="0"/>
              <w:keepLines w:val="0"/>
              <w:pageBreakBefore w:val="0"/>
              <w:kinsoku/>
              <w:wordWrap/>
              <w:overflowPunct/>
              <w:topLinePunct/>
              <w:autoSpaceDE/>
              <w:autoSpaceDN/>
              <w:bidi w:val="0"/>
              <w:adjustRightInd w:val="0"/>
              <w:snapToGrid w:val="0"/>
              <w:spacing w:line="360" w:lineRule="auto"/>
              <w:ind w:left="21" w:leftChars="10" w:right="21" w:rightChars="10"/>
              <w:jc w:val="left"/>
              <w:textAlignment w:val="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有关本项目实施所需的所有费用（含税费）均计入报价。</w:t>
            </w:r>
            <w:r>
              <w:rPr>
                <w:rFonts w:hint="eastAsia" w:ascii="宋体" w:hAnsi="宋体" w:cs="宋体"/>
                <w:bCs/>
                <w:color w:val="auto"/>
                <w:kern w:val="0"/>
                <w:sz w:val="24"/>
                <w:highlight w:val="none"/>
              </w:rPr>
              <w:t>交易一览表（报价表）是报价的唯一载体</w:t>
            </w:r>
            <w:r>
              <w:rPr>
                <w:rFonts w:hint="eastAsia" w:ascii="宋体" w:hAnsi="宋体" w:cs="宋体"/>
                <w:bCs/>
                <w:color w:val="auto"/>
                <w:kern w:val="0"/>
                <w:sz w:val="24"/>
                <w:highlight w:val="none"/>
                <w:lang w:val="zh-CN"/>
              </w:rPr>
              <w:t>。响应文件中价格全部采用人民币报价。交易文件未列明，而供应商认为必需的费用也需列入报价。</w:t>
            </w:r>
          </w:p>
          <w:p w14:paraId="0D31EBD2">
            <w:pPr>
              <w:keepNext w:val="0"/>
              <w:keepLines w:val="0"/>
              <w:pageBreakBefore w:val="0"/>
              <w:kinsoku/>
              <w:wordWrap/>
              <w:overflowPunct/>
              <w:topLinePunct/>
              <w:autoSpaceDE/>
              <w:autoSpaceDN/>
              <w:bidi w:val="0"/>
              <w:adjustRightInd w:val="0"/>
              <w:snapToGrid w:val="0"/>
              <w:spacing w:line="360" w:lineRule="auto"/>
              <w:ind w:left="21" w:leftChars="10" w:right="21" w:rightChars="10"/>
              <w:jc w:val="left"/>
              <w:textAlignment w:val="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响应报价出现下列情形的，响应无效：</w:t>
            </w:r>
          </w:p>
          <w:p w14:paraId="16F70359">
            <w:pPr>
              <w:keepNext w:val="0"/>
              <w:keepLines w:val="0"/>
              <w:pageBreakBefore w:val="0"/>
              <w:kinsoku/>
              <w:wordWrap/>
              <w:overflowPunct/>
              <w:topLinePunct/>
              <w:autoSpaceDE/>
              <w:autoSpaceDN/>
              <w:bidi w:val="0"/>
              <w:adjustRightInd w:val="0"/>
              <w:snapToGrid w:val="0"/>
              <w:spacing w:line="360" w:lineRule="auto"/>
              <w:ind w:left="21" w:leftChars="10" w:right="21" w:rightChars="10"/>
              <w:jc w:val="left"/>
              <w:textAlignment w:val="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响应文件出现不是唯一的、有选择性响应报价的；</w:t>
            </w:r>
          </w:p>
          <w:p w14:paraId="6755BE77">
            <w:pPr>
              <w:keepNext w:val="0"/>
              <w:keepLines w:val="0"/>
              <w:pageBreakBefore w:val="0"/>
              <w:kinsoku/>
              <w:wordWrap/>
              <w:overflowPunct/>
              <w:topLinePunct/>
              <w:autoSpaceDE/>
              <w:autoSpaceDN/>
              <w:bidi w:val="0"/>
              <w:adjustRightInd w:val="0"/>
              <w:snapToGrid w:val="0"/>
              <w:spacing w:line="360" w:lineRule="auto"/>
              <w:ind w:left="21" w:leftChars="10" w:right="21" w:rightChars="10"/>
              <w:jc w:val="left"/>
              <w:textAlignment w:val="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响应报价超过交易文件中规定的预算金额或者最高限价的；</w:t>
            </w:r>
          </w:p>
          <w:p w14:paraId="59E382D8">
            <w:pPr>
              <w:keepNext w:val="0"/>
              <w:keepLines w:val="0"/>
              <w:pageBreakBefore w:val="0"/>
              <w:kinsoku/>
              <w:wordWrap/>
              <w:overflowPunct/>
              <w:topLinePunct/>
              <w:autoSpaceDE/>
              <w:autoSpaceDN/>
              <w:bidi w:val="0"/>
              <w:adjustRightInd w:val="0"/>
              <w:snapToGrid w:val="0"/>
              <w:spacing w:line="360" w:lineRule="auto"/>
              <w:ind w:left="21" w:leftChars="10" w:right="21" w:rightChars="10"/>
              <w:jc w:val="left"/>
              <w:textAlignment w:val="auto"/>
              <w:rPr>
                <w:rFonts w:ascii="宋体" w:hAnsi="宋体" w:cs="宋体"/>
                <w:bCs/>
                <w:color w:val="auto"/>
                <w:kern w:val="0"/>
                <w:sz w:val="24"/>
                <w:highlight w:val="none"/>
              </w:rPr>
            </w:pPr>
            <w:r>
              <w:rPr>
                <w:rFonts w:hint="eastAsia" w:ascii="宋体" w:hAnsi="宋体" w:cs="宋体"/>
                <w:bCs/>
                <w:color w:val="auto"/>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Cs/>
                <w:color w:val="auto"/>
                <w:kern w:val="0"/>
                <w:sz w:val="24"/>
                <w:highlight w:val="none"/>
                <w:lang w:val="zh-CN"/>
              </w:rPr>
              <w:t>；</w:t>
            </w:r>
          </w:p>
          <w:p w14:paraId="06492631">
            <w:pPr>
              <w:keepNext w:val="0"/>
              <w:keepLines w:val="0"/>
              <w:pageBreakBefore w:val="0"/>
              <w:kinsoku/>
              <w:wordWrap/>
              <w:overflowPunct/>
              <w:topLinePunct/>
              <w:autoSpaceDE/>
              <w:autoSpaceDN/>
              <w:bidi w:val="0"/>
              <w:adjustRightInd w:val="0"/>
              <w:snapToGrid w:val="0"/>
              <w:spacing w:line="360" w:lineRule="auto"/>
              <w:ind w:left="21" w:leftChars="10" w:right="21" w:rightChars="10"/>
              <w:jc w:val="left"/>
              <w:textAlignment w:val="auto"/>
              <w:rPr>
                <w:rFonts w:ascii="宋体" w:hAnsi="宋体" w:cs="宋体"/>
                <w:bCs/>
                <w:color w:val="auto"/>
                <w:kern w:val="0"/>
                <w:sz w:val="24"/>
                <w:highlight w:val="none"/>
              </w:rPr>
            </w:pPr>
            <w:r>
              <w:rPr>
                <w:rFonts w:hint="eastAsia" w:ascii="宋体" w:hAnsi="宋体" w:cs="宋体"/>
                <w:bCs/>
                <w:color w:val="auto"/>
                <w:kern w:val="0"/>
                <w:sz w:val="24"/>
                <w:highlight w:val="none"/>
              </w:rPr>
              <w:t>供应商对根据修正原则修正后的报价不确认的。</w:t>
            </w:r>
          </w:p>
          <w:p w14:paraId="7E00A175">
            <w:pPr>
              <w:keepNext w:val="0"/>
              <w:keepLines w:val="0"/>
              <w:pageBreakBefore w:val="0"/>
              <w:kinsoku/>
              <w:wordWrap/>
              <w:overflowPunct/>
              <w:topLinePunct/>
              <w:autoSpaceDE/>
              <w:autoSpaceDN/>
              <w:bidi w:val="0"/>
              <w:adjustRightInd w:val="0"/>
              <w:snapToGrid w:val="0"/>
              <w:spacing w:line="360" w:lineRule="auto"/>
              <w:ind w:left="21" w:leftChars="10" w:right="21" w:rightChars="10"/>
              <w:jc w:val="left"/>
              <w:textAlignment w:val="auto"/>
              <w:rPr>
                <w:rFonts w:ascii="宋体" w:hAnsi="宋体" w:cs="宋体"/>
                <w:bCs/>
                <w:color w:val="auto"/>
                <w:kern w:val="0"/>
                <w:highlight w:val="none"/>
              </w:rPr>
            </w:pPr>
            <w:r>
              <w:rPr>
                <w:rFonts w:hint="eastAsia" w:ascii="宋体" w:hAnsi="宋体" w:cs="宋体"/>
                <w:bCs/>
                <w:color w:val="auto"/>
                <w:kern w:val="0"/>
                <w:sz w:val="24"/>
                <w:highlight w:val="none"/>
              </w:rPr>
              <w:t>资格文件、商务技术文件与报价文件未分开制作。</w:t>
            </w:r>
          </w:p>
        </w:tc>
      </w:tr>
      <w:tr w14:paraId="2E3AAE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7AB52AE">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9</w:t>
            </w:r>
          </w:p>
        </w:tc>
        <w:tc>
          <w:tcPr>
            <w:tcW w:w="1830" w:type="dxa"/>
            <w:tcBorders>
              <w:top w:val="single" w:color="000000" w:sz="8" w:space="0"/>
              <w:left w:val="single" w:color="000000" w:sz="2" w:space="0"/>
              <w:bottom w:val="single" w:color="000000" w:sz="8" w:space="0"/>
              <w:right w:val="single" w:color="000000" w:sz="8" w:space="0"/>
            </w:tcBorders>
            <w:vAlign w:val="center"/>
          </w:tcPr>
          <w:p w14:paraId="334C87CD">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备份响应文件</w:t>
            </w:r>
          </w:p>
        </w:tc>
        <w:tc>
          <w:tcPr>
            <w:tcW w:w="6544" w:type="dxa"/>
            <w:tcBorders>
              <w:top w:val="single" w:color="000000" w:sz="8" w:space="0"/>
              <w:left w:val="single" w:color="000000" w:sz="2" w:space="0"/>
              <w:bottom w:val="single" w:color="000000" w:sz="8" w:space="0"/>
              <w:right w:val="single" w:color="000000" w:sz="8" w:space="0"/>
            </w:tcBorders>
            <w:vAlign w:val="center"/>
          </w:tcPr>
          <w:p w14:paraId="616E3959">
            <w:pPr>
              <w:pStyle w:val="34"/>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hAnsi="宋体" w:cs="宋体"/>
                <w:color w:val="auto"/>
                <w:kern w:val="0"/>
                <w:sz w:val="24"/>
                <w:highlight w:val="none"/>
              </w:rPr>
            </w:pPr>
            <w:r>
              <w:rPr>
                <w:rFonts w:hint="eastAsia" w:hAnsi="宋体" w:cs="宋体"/>
                <w:color w:val="auto"/>
                <w:kern w:val="0"/>
                <w:sz w:val="24"/>
                <w:szCs w:val="24"/>
                <w:highlight w:val="none"/>
              </w:rPr>
              <w:t>备份文件是否收取：不收取。</w:t>
            </w:r>
          </w:p>
        </w:tc>
      </w:tr>
      <w:tr w14:paraId="7CFAA5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79E7554">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0</w:t>
            </w:r>
          </w:p>
        </w:tc>
        <w:tc>
          <w:tcPr>
            <w:tcW w:w="1830" w:type="dxa"/>
            <w:tcBorders>
              <w:top w:val="single" w:color="000000" w:sz="8" w:space="0"/>
              <w:left w:val="single" w:color="000000" w:sz="2" w:space="0"/>
              <w:bottom w:val="single" w:color="000000" w:sz="8" w:space="0"/>
              <w:right w:val="single" w:color="000000" w:sz="8" w:space="0"/>
            </w:tcBorders>
            <w:vAlign w:val="center"/>
          </w:tcPr>
          <w:p w14:paraId="479D90E1">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采购机构</w:t>
            </w:r>
          </w:p>
          <w:p w14:paraId="4D37D0EF">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代理费用</w:t>
            </w:r>
          </w:p>
        </w:tc>
        <w:tc>
          <w:tcPr>
            <w:tcW w:w="6544" w:type="dxa"/>
            <w:tcBorders>
              <w:top w:val="single" w:color="000000" w:sz="8" w:space="0"/>
              <w:left w:val="single" w:color="000000" w:sz="2" w:space="0"/>
              <w:bottom w:val="single" w:color="000000" w:sz="8" w:space="0"/>
              <w:right w:val="single" w:color="000000" w:sz="8" w:space="0"/>
            </w:tcBorders>
            <w:vAlign w:val="center"/>
          </w:tcPr>
          <w:p w14:paraId="5F011AE3">
            <w:pPr>
              <w:keepNext w:val="0"/>
              <w:keepLines w:val="0"/>
              <w:pageBreakBefore w:val="0"/>
              <w:widowControl/>
              <w:kinsoku/>
              <w:wordWrap/>
              <w:overflowPunct/>
              <w:topLinePunct/>
              <w:autoSpaceDE/>
              <w:autoSpaceDN/>
              <w:bidi w:val="0"/>
              <w:adjustRightInd w:val="0"/>
              <w:snapToGrid w:val="0"/>
              <w:spacing w:line="360" w:lineRule="auto"/>
              <w:ind w:left="21" w:leftChars="10" w:right="21" w:rightChars="10"/>
              <w:jc w:val="left"/>
              <w:textAlignment w:val="auto"/>
              <w:rPr>
                <w:rFonts w:ascii="宋体" w:hAnsi="宋体" w:cs="宋体"/>
                <w:b/>
                <w:color w:val="auto"/>
                <w:kern w:val="0"/>
                <w:sz w:val="24"/>
                <w:highlight w:val="none"/>
              </w:rPr>
            </w:pPr>
            <w:r>
              <w:rPr>
                <w:rFonts w:hint="eastAsia" w:ascii="宋体" w:hAnsi="宋体" w:cs="Arial"/>
                <w:bCs/>
                <w:color w:val="auto"/>
                <w:kern w:val="0"/>
                <w:sz w:val="24"/>
                <w:highlight w:val="none"/>
              </w:rPr>
              <w:t>本次代理费由采购人支付。</w:t>
            </w:r>
          </w:p>
        </w:tc>
      </w:tr>
      <w:tr w14:paraId="37784B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B0DDDA9">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b/>
                <w:color w:val="auto"/>
                <w:kern w:val="0"/>
                <w:sz w:val="24"/>
                <w:highlight w:val="none"/>
                <w:lang w:eastAsia="zh-CN"/>
              </w:rPr>
            </w:pPr>
            <w:r>
              <w:rPr>
                <w:rFonts w:hint="eastAsia" w:ascii="宋体" w:hAnsi="宋体" w:cs="宋体"/>
                <w:bCs/>
                <w:color w:val="auto"/>
                <w:kern w:val="0"/>
                <w:sz w:val="24"/>
                <w:highlight w:val="none"/>
              </w:rPr>
              <w:t>1</w:t>
            </w:r>
            <w:r>
              <w:rPr>
                <w:rFonts w:hint="eastAsia" w:ascii="宋体" w:hAnsi="宋体" w:cs="宋体"/>
                <w:bCs/>
                <w:color w:val="auto"/>
                <w:kern w:val="0"/>
                <w:sz w:val="24"/>
                <w:highlight w:val="none"/>
                <w:lang w:val="en-US" w:eastAsia="zh-CN"/>
              </w:rPr>
              <w:t>1</w:t>
            </w:r>
          </w:p>
        </w:tc>
        <w:tc>
          <w:tcPr>
            <w:tcW w:w="1830" w:type="dxa"/>
            <w:tcBorders>
              <w:top w:val="single" w:color="000000" w:sz="8" w:space="0"/>
              <w:left w:val="single" w:color="000000" w:sz="2" w:space="0"/>
              <w:bottom w:val="single" w:color="000000" w:sz="8" w:space="0"/>
              <w:right w:val="single" w:color="000000" w:sz="8" w:space="0"/>
            </w:tcBorders>
            <w:vAlign w:val="center"/>
          </w:tcPr>
          <w:p w14:paraId="5BA311A5">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履约保证金</w:t>
            </w:r>
          </w:p>
        </w:tc>
        <w:tc>
          <w:tcPr>
            <w:tcW w:w="6544" w:type="dxa"/>
            <w:tcBorders>
              <w:top w:val="single" w:color="000000" w:sz="8" w:space="0"/>
              <w:left w:val="single" w:color="000000" w:sz="2" w:space="0"/>
              <w:bottom w:val="single" w:color="000000" w:sz="8" w:space="0"/>
              <w:right w:val="single" w:color="000000" w:sz="8" w:space="0"/>
            </w:tcBorders>
            <w:vAlign w:val="center"/>
          </w:tcPr>
          <w:p w14:paraId="01521EE2">
            <w:pPr>
              <w:pStyle w:val="34"/>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hAnsi="宋体" w:cs="宋体"/>
                <w:color w:val="auto"/>
                <w:kern w:val="0"/>
                <w:sz w:val="24"/>
                <w:highlight w:val="none"/>
              </w:rPr>
            </w:pPr>
            <w:r>
              <w:rPr>
                <w:rFonts w:hint="eastAsia" w:hAnsi="宋体" w:cs="宋体"/>
                <w:color w:val="auto"/>
                <w:kern w:val="0"/>
                <w:sz w:val="24"/>
                <w:highlight w:val="none"/>
              </w:rPr>
              <w:t>履约保证金：收取合同价的</w:t>
            </w:r>
            <w:r>
              <w:rPr>
                <w:rFonts w:hint="eastAsia" w:hAnsi="宋体" w:cs="宋体"/>
                <w:color w:val="auto"/>
                <w:kern w:val="0"/>
                <w:sz w:val="24"/>
                <w:highlight w:val="none"/>
                <w:lang w:val="en-US" w:eastAsia="zh-CN"/>
              </w:rPr>
              <w:t>2</w:t>
            </w:r>
            <w:r>
              <w:rPr>
                <w:rFonts w:hint="eastAsia" w:hAnsi="宋体" w:cs="宋体"/>
                <w:color w:val="auto"/>
                <w:kern w:val="0"/>
                <w:sz w:val="24"/>
                <w:highlight w:val="none"/>
              </w:rPr>
              <w:t>%，合同签订</w:t>
            </w:r>
            <w:r>
              <w:rPr>
                <w:rFonts w:hint="eastAsia" w:hAnsi="宋体" w:cs="宋体"/>
                <w:color w:val="auto"/>
                <w:kern w:val="0"/>
                <w:sz w:val="24"/>
                <w:highlight w:val="none"/>
                <w:lang w:eastAsia="zh-CN"/>
              </w:rPr>
              <w:t>前</w:t>
            </w:r>
            <w:r>
              <w:rPr>
                <w:rFonts w:hint="eastAsia" w:hAnsi="宋体" w:cs="宋体"/>
                <w:color w:val="auto"/>
                <w:kern w:val="0"/>
                <w:sz w:val="24"/>
                <w:highlight w:val="none"/>
              </w:rPr>
              <w:t>支付，履约完成后无息退还。</w:t>
            </w:r>
          </w:p>
          <w:p w14:paraId="43AB4BEC">
            <w:pPr>
              <w:pStyle w:val="15"/>
              <w:keepNext w:val="0"/>
              <w:keepLines w:val="0"/>
              <w:pageBreakBefore w:val="0"/>
              <w:kinsoku/>
              <w:wordWrap/>
              <w:overflowPunct/>
              <w:topLinePunct/>
              <w:autoSpaceDE/>
              <w:autoSpaceDN/>
              <w:bidi w:val="0"/>
              <w:adjustRightInd w:val="0"/>
              <w:snapToGrid w:val="0"/>
              <w:spacing w:line="360" w:lineRule="auto"/>
              <w:ind w:left="21" w:leftChars="10" w:right="21" w:rightChars="10" w:firstLine="0"/>
              <w:textAlignment w:val="auto"/>
              <w:rPr>
                <w:rFonts w:hAnsi="宋体" w:cs="宋体"/>
                <w:color w:val="auto"/>
                <w:kern w:val="0"/>
                <w:sz w:val="24"/>
                <w:highlight w:val="none"/>
              </w:rPr>
            </w:pPr>
            <w:r>
              <w:rPr>
                <w:rFonts w:hint="eastAsia" w:hAnsi="宋体" w:cs="宋体"/>
                <w:color w:val="auto"/>
                <w:kern w:val="0"/>
                <w:sz w:val="24"/>
                <w:highlight w:val="none"/>
              </w:rPr>
              <w:t>供应商应当以支票、汇票、本票或者金融机构、担保机构出具的保函等非现金形式提交。</w:t>
            </w:r>
          </w:p>
        </w:tc>
      </w:tr>
      <w:tr w14:paraId="2B63EC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10C998C">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rPr>
              <w:t>1</w:t>
            </w:r>
            <w:r>
              <w:rPr>
                <w:rFonts w:hint="eastAsia" w:ascii="宋体" w:hAnsi="宋体" w:cs="宋体"/>
                <w:bCs/>
                <w:color w:val="auto"/>
                <w:kern w:val="0"/>
                <w:sz w:val="24"/>
                <w:highlight w:val="none"/>
                <w:lang w:val="en-US" w:eastAsia="zh-CN"/>
              </w:rPr>
              <w:t>2</w:t>
            </w:r>
          </w:p>
        </w:tc>
        <w:tc>
          <w:tcPr>
            <w:tcW w:w="1830" w:type="dxa"/>
            <w:tcBorders>
              <w:top w:val="single" w:color="000000" w:sz="8" w:space="0"/>
              <w:left w:val="single" w:color="000000" w:sz="2" w:space="0"/>
              <w:bottom w:val="single" w:color="000000" w:sz="8" w:space="0"/>
              <w:right w:val="single" w:color="000000" w:sz="8" w:space="0"/>
            </w:tcBorders>
            <w:vAlign w:val="center"/>
          </w:tcPr>
          <w:p w14:paraId="09035093">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资格审查和信用信息审查</w:t>
            </w:r>
          </w:p>
        </w:tc>
        <w:tc>
          <w:tcPr>
            <w:tcW w:w="6544" w:type="dxa"/>
            <w:tcBorders>
              <w:top w:val="single" w:color="000000" w:sz="8" w:space="0"/>
              <w:left w:val="single" w:color="000000" w:sz="2" w:space="0"/>
              <w:bottom w:val="single" w:color="000000" w:sz="8" w:space="0"/>
              <w:right w:val="single" w:color="000000" w:sz="8" w:space="0"/>
            </w:tcBorders>
            <w:vAlign w:val="center"/>
          </w:tcPr>
          <w:p w14:paraId="153AF0D7">
            <w:pPr>
              <w:pStyle w:val="34"/>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hAnsi="宋体" w:cs="宋体"/>
                <w:color w:val="auto"/>
                <w:kern w:val="0"/>
                <w:sz w:val="24"/>
                <w:highlight w:val="none"/>
              </w:rPr>
            </w:pPr>
            <w:r>
              <w:rPr>
                <w:rFonts w:hint="eastAsia" w:hAnsi="宋体" w:cs="宋体"/>
                <w:color w:val="auto"/>
                <w:kern w:val="0"/>
                <w:sz w:val="24"/>
                <w:highlight w:val="none"/>
              </w:rPr>
              <w:t>本项目由采购人进行资格文件及信用信息查询。</w:t>
            </w:r>
          </w:p>
        </w:tc>
      </w:tr>
      <w:tr w14:paraId="4DD386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AD9A155">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rPr>
              <w:t>1</w:t>
            </w:r>
            <w:r>
              <w:rPr>
                <w:rFonts w:hint="eastAsia" w:ascii="宋体" w:hAnsi="宋体" w:cs="宋体"/>
                <w:bCs/>
                <w:color w:val="auto"/>
                <w:kern w:val="0"/>
                <w:sz w:val="24"/>
                <w:highlight w:val="none"/>
                <w:lang w:val="en-US" w:eastAsia="zh-CN"/>
              </w:rPr>
              <w:t>3</w:t>
            </w:r>
          </w:p>
        </w:tc>
        <w:tc>
          <w:tcPr>
            <w:tcW w:w="1830" w:type="dxa"/>
            <w:tcBorders>
              <w:top w:val="single" w:color="000000" w:sz="8" w:space="0"/>
              <w:left w:val="single" w:color="000000" w:sz="2" w:space="0"/>
              <w:bottom w:val="single" w:color="000000" w:sz="8" w:space="0"/>
              <w:right w:val="single" w:color="000000" w:sz="8" w:space="0"/>
            </w:tcBorders>
            <w:vAlign w:val="center"/>
          </w:tcPr>
          <w:p w14:paraId="258121A4">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cs="宋体"/>
                <w:b/>
                <w:color w:val="auto"/>
                <w:kern w:val="0"/>
                <w:sz w:val="24"/>
                <w:highlight w:val="none"/>
              </w:rPr>
            </w:pPr>
            <w:r>
              <w:rPr>
                <w:rFonts w:hint="eastAsia" w:ascii="宋体" w:hAnsi="宋体" w:cs="宋体"/>
                <w:b/>
                <w:color w:val="auto"/>
                <w:kern w:val="0"/>
                <w:sz w:val="24"/>
                <w:highlight w:val="none"/>
              </w:rPr>
              <w:t>质疑接收人及</w:t>
            </w:r>
          </w:p>
          <w:p w14:paraId="678526A2">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答复</w:t>
            </w:r>
          </w:p>
        </w:tc>
        <w:tc>
          <w:tcPr>
            <w:tcW w:w="6544" w:type="dxa"/>
            <w:tcBorders>
              <w:top w:val="single" w:color="000000" w:sz="8" w:space="0"/>
              <w:left w:val="single" w:color="000000" w:sz="2" w:space="0"/>
              <w:bottom w:val="single" w:color="000000" w:sz="8" w:space="0"/>
              <w:right w:val="single" w:color="000000" w:sz="8" w:space="0"/>
            </w:tcBorders>
            <w:vAlign w:val="center"/>
          </w:tcPr>
          <w:p w14:paraId="73771B65">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rPr>
              <w:t>采购人质疑接收人：</w:t>
            </w:r>
            <w:r>
              <w:rPr>
                <w:rFonts w:hint="eastAsia" w:ascii="宋体" w:hAnsi="宋体" w:cs="宋体"/>
                <w:color w:val="auto"/>
                <w:kern w:val="0"/>
                <w:sz w:val="24"/>
                <w:highlight w:val="none"/>
                <w:lang w:val="en-US" w:eastAsia="zh-CN"/>
              </w:rPr>
              <w:t xml:space="preserve">柴晓波    </w:t>
            </w:r>
            <w:r>
              <w:rPr>
                <w:rFonts w:hint="eastAsia" w:ascii="宋体" w:hAnsi="宋体" w:cs="宋体"/>
                <w:color w:val="auto"/>
                <w:kern w:val="0"/>
                <w:sz w:val="24"/>
                <w:highlight w:val="none"/>
              </w:rPr>
              <w:t>联系方式：</w:t>
            </w:r>
            <w:r>
              <w:rPr>
                <w:rFonts w:hint="eastAsia" w:ascii="宋体" w:hAnsi="宋体" w:cs="宋体"/>
                <w:color w:val="auto"/>
                <w:kern w:val="0"/>
                <w:sz w:val="24"/>
                <w:highlight w:val="none"/>
                <w:lang w:val="en-US" w:eastAsia="zh-CN"/>
              </w:rPr>
              <w:t xml:space="preserve"> 13516820662</w:t>
            </w:r>
          </w:p>
          <w:p w14:paraId="3C08FA09">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地址：</w:t>
            </w:r>
            <w:r>
              <w:rPr>
                <w:rFonts w:hint="eastAsia" w:ascii="宋体" w:hAnsi="宋体" w:cs="宋体"/>
                <w:color w:val="auto"/>
                <w:kern w:val="0"/>
                <w:sz w:val="24"/>
                <w:highlight w:val="none"/>
                <w:lang w:val="en-US" w:eastAsia="zh-CN"/>
              </w:rPr>
              <w:t>萧山区金城路39号紫橙国际4号楼13楼</w:t>
            </w:r>
            <w:r>
              <w:rPr>
                <w:rFonts w:hint="eastAsia" w:ascii="宋体" w:hAnsi="宋体" w:cs="宋体"/>
                <w:color w:val="auto"/>
                <w:kern w:val="0"/>
                <w:sz w:val="24"/>
                <w:highlight w:val="none"/>
              </w:rPr>
              <w:t xml:space="preserve"> </w:t>
            </w:r>
          </w:p>
          <w:p w14:paraId="6E05C50E">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hint="default" w:ascii="宋体" w:hAnsi="宋体" w:eastAsia="宋体" w:cs="宋体"/>
                <w:color w:val="auto"/>
                <w:kern w:val="0"/>
                <w:sz w:val="24"/>
                <w:highlight w:val="none"/>
                <w:u w:val="single"/>
                <w:lang w:val="en-US" w:eastAsia="zh-CN"/>
              </w:rPr>
            </w:pPr>
            <w:r>
              <w:rPr>
                <w:rFonts w:hint="eastAsia" w:ascii="宋体" w:hAnsi="宋体" w:cs="宋体"/>
                <w:color w:val="auto"/>
                <w:kern w:val="0"/>
                <w:sz w:val="24"/>
                <w:highlight w:val="none"/>
              </w:rPr>
              <w:t>采购机构质疑接收人：</w:t>
            </w:r>
            <w:r>
              <w:rPr>
                <w:rFonts w:hint="eastAsia" w:ascii="宋体" w:hAnsi="宋体" w:cs="宋体"/>
                <w:color w:val="auto"/>
                <w:sz w:val="24"/>
                <w:highlight w:val="none"/>
                <w:u w:val="single"/>
                <w:lang w:val="en-US" w:eastAsia="zh-CN"/>
              </w:rPr>
              <w:t xml:space="preserve">汤利红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联系方式：</w:t>
            </w:r>
            <w:r>
              <w:rPr>
                <w:rFonts w:ascii="宋体" w:hAnsi="宋体" w:cs="宋体"/>
                <w:color w:val="auto"/>
                <w:sz w:val="24"/>
                <w:highlight w:val="none"/>
                <w:u w:val="single"/>
              </w:rPr>
              <w:t>0571-</w:t>
            </w:r>
            <w:r>
              <w:rPr>
                <w:rFonts w:hint="eastAsia" w:ascii="宋体" w:hAnsi="宋体" w:cs="宋体"/>
                <w:color w:val="auto"/>
                <w:sz w:val="24"/>
                <w:highlight w:val="none"/>
                <w:u w:val="single"/>
                <w:lang w:val="en-US" w:eastAsia="zh-CN"/>
              </w:rPr>
              <w:t>82824360</w:t>
            </w:r>
          </w:p>
          <w:p w14:paraId="63F66081">
            <w:pPr>
              <w:keepNext w:val="0"/>
              <w:keepLines w:val="0"/>
              <w:pageBreakBefore w:val="0"/>
              <w:kinsoku/>
              <w:wordWrap/>
              <w:overflowPunct/>
              <w:topLinePunct/>
              <w:autoSpaceDE/>
              <w:autoSpaceDN/>
              <w:bidi w:val="0"/>
              <w:adjustRightInd w:val="0"/>
              <w:snapToGrid w:val="0"/>
              <w:spacing w:line="360" w:lineRule="auto"/>
              <w:jc w:val="left"/>
              <w:textAlignment w:val="auto"/>
              <w:rPr>
                <w:rFonts w:hint="eastAsia" w:ascii="宋体" w:hAnsi="宋体" w:cs="宋体"/>
                <w:color w:val="auto"/>
                <w:kern w:val="0"/>
                <w:sz w:val="24"/>
                <w:szCs w:val="28"/>
                <w:highlight w:val="none"/>
              </w:rPr>
            </w:pPr>
            <w:r>
              <w:rPr>
                <w:rFonts w:hint="eastAsia" w:ascii="宋体" w:hAnsi="宋体" w:cs="宋体"/>
                <w:color w:val="auto"/>
                <w:kern w:val="0"/>
                <w:sz w:val="24"/>
                <w:highlight w:val="none"/>
              </w:rPr>
              <w:t>地址：</w:t>
            </w:r>
            <w:r>
              <w:rPr>
                <w:rFonts w:hint="eastAsia" w:ascii="宋体" w:hAnsi="宋体" w:eastAsia="宋体" w:cs="宋体"/>
                <w:color w:val="auto"/>
                <w:kern w:val="0"/>
                <w:sz w:val="24"/>
                <w:szCs w:val="28"/>
                <w:highlight w:val="none"/>
                <w:lang w:val="en-US" w:eastAsia="zh-CN"/>
              </w:rPr>
              <w:t>杭州市萧山区金惠路358号汇通大厦4幢15楼</w:t>
            </w:r>
          </w:p>
          <w:p w14:paraId="0C09CDA8">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color w:val="auto"/>
                <w:kern w:val="0"/>
                <w:sz w:val="24"/>
                <w:highlight w:val="none"/>
                <w:u w:val="single"/>
              </w:rPr>
            </w:pPr>
            <w:r>
              <w:rPr>
                <w:rFonts w:hint="eastAsia" w:ascii="宋体" w:hAnsi="宋体" w:cs="宋体"/>
                <w:color w:val="auto"/>
                <w:kern w:val="0"/>
                <w:sz w:val="24"/>
                <w:highlight w:val="none"/>
              </w:rPr>
              <w:t>邮箱：</w:t>
            </w:r>
            <w:r>
              <w:rPr>
                <w:rFonts w:hint="eastAsia" w:ascii="宋体" w:hAnsi="宋体" w:cs="宋体"/>
                <w:color w:val="auto"/>
                <w:sz w:val="24"/>
                <w:highlight w:val="none"/>
                <w:u w:val="single"/>
                <w:lang w:val="en-US" w:eastAsia="zh-CN"/>
              </w:rPr>
              <w:t>42182379</w:t>
            </w:r>
            <w:r>
              <w:rPr>
                <w:rFonts w:hint="eastAsia" w:ascii="宋体" w:hAnsi="宋体" w:cs="宋体"/>
                <w:color w:val="auto"/>
                <w:sz w:val="24"/>
                <w:highlight w:val="none"/>
                <w:u w:val="single"/>
              </w:rPr>
              <w:t xml:space="preserve">@qq.com </w:t>
            </w:r>
          </w:p>
          <w:p w14:paraId="1849300A">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如通过邮箱方式发送质疑，须提交符合法规及交易文件要求的质疑文件（参考附件1），盖章扫描后发送，质疑的受理按答复主体划分以采购人或采购机构邮箱回复确认受理为准。</w:t>
            </w:r>
          </w:p>
          <w:p w14:paraId="2E52B07A">
            <w:pPr>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ascii="宋体" w:hAnsi="宋体" w:cs="宋体"/>
                <w:color w:val="auto"/>
                <w:kern w:val="0"/>
                <w:sz w:val="24"/>
                <w:highlight w:val="none"/>
              </w:rPr>
            </w:pPr>
            <w:r>
              <w:rPr>
                <w:rFonts w:hint="eastAsia" w:ascii="宋体" w:hAnsi="宋体" w:cs="宋体"/>
                <w:color w:val="auto"/>
                <w:kern w:val="0"/>
                <w:sz w:val="24"/>
                <w:highlight w:val="none"/>
              </w:rPr>
              <w:t>本项目涉及资格条件、采购需求、评分办法及采购过程中有关现场考察或交易前答疑会事项由采购人进行答复。</w:t>
            </w:r>
          </w:p>
          <w:p w14:paraId="16F99388">
            <w:pPr>
              <w:pStyle w:val="34"/>
              <w:keepNext w:val="0"/>
              <w:keepLines w:val="0"/>
              <w:pageBreakBefore w:val="0"/>
              <w:kinsoku/>
              <w:wordWrap/>
              <w:overflowPunct/>
              <w:topLinePunct/>
              <w:autoSpaceDE/>
              <w:autoSpaceDN/>
              <w:bidi w:val="0"/>
              <w:adjustRightInd w:val="0"/>
              <w:snapToGrid w:val="0"/>
              <w:spacing w:line="360" w:lineRule="auto"/>
              <w:ind w:left="21" w:leftChars="10" w:right="21" w:rightChars="10"/>
              <w:textAlignment w:val="auto"/>
              <w:rPr>
                <w:rFonts w:hAnsi="宋体" w:cs="宋体"/>
                <w:color w:val="auto"/>
                <w:kern w:val="0"/>
                <w:sz w:val="24"/>
                <w:highlight w:val="none"/>
              </w:rPr>
            </w:pPr>
            <w:r>
              <w:rPr>
                <w:rFonts w:hint="eastAsia" w:hAnsi="宋体" w:cs="宋体"/>
                <w:color w:val="auto"/>
                <w:kern w:val="0"/>
                <w:sz w:val="24"/>
                <w:highlight w:val="none"/>
              </w:rPr>
              <w:t>涉及流程组织等相关事项，由采购机构进行答复。</w:t>
            </w:r>
          </w:p>
        </w:tc>
      </w:tr>
      <w:tr w14:paraId="7350A6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55"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154BF26">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4</w:t>
            </w:r>
          </w:p>
        </w:tc>
        <w:tc>
          <w:tcPr>
            <w:tcW w:w="1830" w:type="dxa"/>
            <w:tcBorders>
              <w:top w:val="single" w:color="000000" w:sz="8" w:space="0"/>
              <w:left w:val="single" w:color="000000" w:sz="2" w:space="0"/>
              <w:bottom w:val="single" w:color="000000" w:sz="8" w:space="0"/>
              <w:right w:val="single" w:color="000000" w:sz="8" w:space="0"/>
            </w:tcBorders>
            <w:vAlign w:val="center"/>
          </w:tcPr>
          <w:p w14:paraId="1B25DD32">
            <w:pPr>
              <w:keepNext w:val="0"/>
              <w:keepLines w:val="0"/>
              <w:pageBreakBefore w:val="0"/>
              <w:kinsoku/>
              <w:wordWrap/>
              <w:overflowPunct/>
              <w:topLinePunct/>
              <w:autoSpaceDE/>
              <w:autoSpaceDN/>
              <w:bidi w:val="0"/>
              <w:adjustRightInd w:val="0"/>
              <w:snapToGrid w:val="0"/>
              <w:spacing w:line="360" w:lineRule="auto"/>
              <w:ind w:left="21" w:leftChars="10" w:right="21" w:rightChars="10"/>
              <w:jc w:val="center"/>
              <w:textAlignment w:val="auto"/>
              <w:rPr>
                <w:rFonts w:ascii="宋体" w:hAnsi="宋体" w:cs="宋体"/>
                <w:b/>
                <w:color w:val="auto"/>
                <w:kern w:val="0"/>
                <w:sz w:val="24"/>
                <w:highlight w:val="none"/>
              </w:rPr>
            </w:pPr>
            <w:r>
              <w:rPr>
                <w:rFonts w:hint="eastAsia" w:ascii="宋体" w:hAnsi="宋体" w:cs="宋体"/>
                <w:color w:val="auto"/>
                <w:kern w:val="0"/>
                <w:sz w:val="24"/>
                <w:highlight w:val="none"/>
              </w:rPr>
              <w:t>▲</w:t>
            </w:r>
            <w:r>
              <w:rPr>
                <w:rFonts w:hint="eastAsia" w:ascii="宋体" w:hAnsi="宋体" w:cs="宋体"/>
                <w:b/>
                <w:color w:val="auto"/>
                <w:kern w:val="0"/>
                <w:sz w:val="24"/>
                <w:highlight w:val="none"/>
              </w:rPr>
              <w:t>特别说明</w:t>
            </w:r>
          </w:p>
        </w:tc>
        <w:tc>
          <w:tcPr>
            <w:tcW w:w="6544" w:type="dxa"/>
            <w:tcBorders>
              <w:top w:val="single" w:color="000000" w:sz="8" w:space="0"/>
              <w:left w:val="single" w:color="000000" w:sz="2" w:space="0"/>
              <w:bottom w:val="single" w:color="000000" w:sz="8" w:space="0"/>
              <w:right w:val="single" w:color="000000" w:sz="8" w:space="0"/>
            </w:tcBorders>
            <w:vAlign w:val="center"/>
          </w:tcPr>
          <w:p w14:paraId="0FC954C9">
            <w:pPr>
              <w:keepNext w:val="0"/>
              <w:keepLines w:val="0"/>
              <w:pageBreakBefore w:val="0"/>
              <w:numPr>
                <w:ilvl w:val="0"/>
                <w:numId w:val="1"/>
              </w:numPr>
              <w:kinsoku/>
              <w:wordWrap/>
              <w:overflowPunct/>
              <w:topLinePunct/>
              <w:autoSpaceDE/>
              <w:autoSpaceDN/>
              <w:bidi w:val="0"/>
              <w:adjustRightInd w:val="0"/>
              <w:snapToGrid w:val="0"/>
              <w:spacing w:line="360" w:lineRule="auto"/>
              <w:ind w:left="21" w:leftChars="10" w:right="21" w:rightChars="10"/>
              <w:textAlignment w:val="auto"/>
              <w:rPr>
                <w:rFonts w:hint="eastAsia" w:ascii="宋体" w:hAnsi="宋体" w:cs="宋体"/>
                <w:b/>
                <w:color w:val="auto"/>
                <w:kern w:val="0"/>
                <w:sz w:val="24"/>
                <w:highlight w:val="none"/>
                <w:lang w:eastAsia="zh-CN"/>
              </w:rPr>
            </w:pPr>
            <w:r>
              <w:rPr>
                <w:rFonts w:hint="eastAsia" w:ascii="宋体" w:hAnsi="宋体" w:cs="宋体"/>
                <w:b/>
                <w:color w:val="auto"/>
                <w:kern w:val="0"/>
                <w:sz w:val="24"/>
                <w:highlight w:val="none"/>
              </w:rPr>
              <w:t>本项目通用总则条款与前附表等专用特别规定有冲突之处，以专用条款（特别规定）为准</w:t>
            </w:r>
            <w:r>
              <w:rPr>
                <w:rFonts w:hint="eastAsia" w:ascii="宋体" w:hAnsi="宋体" w:cs="宋体"/>
                <w:b/>
                <w:color w:val="auto"/>
                <w:kern w:val="0"/>
                <w:sz w:val="24"/>
                <w:highlight w:val="none"/>
                <w:lang w:eastAsia="zh-CN"/>
              </w:rPr>
              <w:t>。</w:t>
            </w:r>
          </w:p>
          <w:p w14:paraId="4EDBDF05">
            <w:pPr>
              <w:rPr>
                <w:rFonts w:hint="default"/>
                <w:color w:val="auto"/>
                <w:highlight w:val="none"/>
                <w:lang w:val="en-US" w:eastAsia="zh-CN"/>
              </w:rPr>
            </w:pPr>
            <w:r>
              <w:rPr>
                <w:rFonts w:hint="eastAsia"/>
                <w:b/>
                <w:bCs/>
                <w:color w:val="auto"/>
                <w:sz w:val="24"/>
                <w:szCs w:val="24"/>
                <w:highlight w:val="none"/>
                <w:lang w:val="en-US" w:eastAsia="zh-CN"/>
              </w:rPr>
              <w:t>2、</w:t>
            </w:r>
            <w:r>
              <w:rPr>
                <w:rFonts w:hint="eastAsia" w:ascii="宋体" w:hAnsi="宋体" w:cs="宋体"/>
                <w:b/>
                <w:color w:val="auto"/>
                <w:kern w:val="0"/>
                <w:sz w:val="24"/>
                <w:highlight w:val="none"/>
                <w:lang w:val="en-US" w:eastAsia="zh-CN"/>
              </w:rPr>
              <w:t>本项目最终按实际完成工程量*成交单价进行结算。</w:t>
            </w:r>
          </w:p>
        </w:tc>
      </w:tr>
    </w:tbl>
    <w:p w14:paraId="00698B42">
      <w:pPr>
        <w:snapToGrid w:val="0"/>
        <w:spacing w:line="360" w:lineRule="auto"/>
        <w:jc w:val="center"/>
        <w:rPr>
          <w:rFonts w:ascii="宋体" w:hAnsi="宋体" w:cs="宋体"/>
          <w:b/>
          <w:color w:val="auto"/>
          <w:kern w:val="0"/>
          <w:sz w:val="32"/>
          <w:szCs w:val="20"/>
          <w:highlight w:val="none"/>
        </w:rPr>
      </w:pPr>
    </w:p>
    <w:bookmarkEnd w:id="10"/>
    <w:p w14:paraId="44EA7880">
      <w:pPr>
        <w:rPr>
          <w:rFonts w:ascii="宋体" w:hAnsi="宋体" w:cs="宋体"/>
          <w:b/>
          <w:color w:val="auto"/>
          <w:kern w:val="0"/>
          <w:sz w:val="32"/>
          <w:szCs w:val="20"/>
          <w:highlight w:val="none"/>
        </w:rPr>
      </w:pPr>
      <w:bookmarkStart w:id="13" w:name="第三部分"/>
      <w:bookmarkStart w:id="14" w:name="_Toc164416483"/>
      <w:r>
        <w:rPr>
          <w:rFonts w:hint="eastAsia" w:ascii="宋体" w:hAnsi="宋体" w:cs="宋体"/>
          <w:b/>
          <w:color w:val="auto"/>
          <w:kern w:val="0"/>
          <w:sz w:val="32"/>
          <w:szCs w:val="20"/>
          <w:highlight w:val="none"/>
        </w:rPr>
        <w:br w:type="page"/>
      </w:r>
    </w:p>
    <w:p w14:paraId="3DBDAAF8">
      <w:pPr>
        <w:snapToGrid w:val="0"/>
        <w:spacing w:line="360" w:lineRule="auto"/>
        <w:jc w:val="center"/>
        <w:outlineLvl w:val="0"/>
        <w:rPr>
          <w:rFonts w:ascii="宋体" w:hAnsi="宋体" w:cs="宋体"/>
          <w:b/>
          <w:color w:val="auto"/>
          <w:kern w:val="0"/>
          <w:sz w:val="32"/>
          <w:szCs w:val="20"/>
          <w:highlight w:val="none"/>
        </w:rPr>
      </w:pPr>
      <w:r>
        <w:rPr>
          <w:rFonts w:hint="eastAsia" w:ascii="宋体" w:hAnsi="宋体" w:cs="宋体"/>
          <w:b/>
          <w:color w:val="auto"/>
          <w:kern w:val="0"/>
          <w:sz w:val="32"/>
          <w:szCs w:val="20"/>
          <w:highlight w:val="none"/>
        </w:rPr>
        <w:t>一、总则</w:t>
      </w:r>
    </w:p>
    <w:p w14:paraId="65518454">
      <w:pPr>
        <w:snapToGrid w:val="0"/>
        <w:spacing w:line="360" w:lineRule="auto"/>
        <w:jc w:val="left"/>
        <w:outlineLvl w:val="1"/>
        <w:rPr>
          <w:rFonts w:ascii="宋体" w:hAnsi="宋体" w:cs="宋体"/>
          <w:b/>
          <w:color w:val="auto"/>
          <w:kern w:val="0"/>
          <w:sz w:val="24"/>
          <w:highlight w:val="none"/>
        </w:rPr>
      </w:pPr>
      <w:r>
        <w:rPr>
          <w:rFonts w:hint="eastAsia" w:ascii="宋体" w:hAnsi="宋体" w:cs="宋体"/>
          <w:b/>
          <w:color w:val="auto"/>
          <w:kern w:val="0"/>
          <w:sz w:val="24"/>
          <w:highlight w:val="none"/>
        </w:rPr>
        <w:t>1. 适用范围</w:t>
      </w:r>
    </w:p>
    <w:p w14:paraId="7D01DA7E">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本交易文件适用于该项目的交易、资格审查及信用信息查询、评审、定标、合同、验收等行为（法律、法规另有规定的，从其规定）。</w:t>
      </w:r>
    </w:p>
    <w:p w14:paraId="6AE9A20D">
      <w:pPr>
        <w:numPr>
          <w:ilvl w:val="0"/>
          <w:numId w:val="2"/>
        </w:numPr>
        <w:snapToGrid w:val="0"/>
        <w:spacing w:line="360" w:lineRule="auto"/>
        <w:outlineLvl w:val="0"/>
        <w:rPr>
          <w:rFonts w:ascii="宋体" w:hAnsi="宋体" w:cs="宋体"/>
          <w:b/>
          <w:color w:val="auto"/>
          <w:kern w:val="0"/>
          <w:sz w:val="24"/>
          <w:highlight w:val="none"/>
        </w:rPr>
      </w:pPr>
      <w:r>
        <w:rPr>
          <w:rFonts w:hint="eastAsia" w:ascii="宋体" w:hAnsi="宋体" w:cs="宋体"/>
          <w:b/>
          <w:color w:val="auto"/>
          <w:kern w:val="0"/>
          <w:sz w:val="24"/>
          <w:highlight w:val="none"/>
        </w:rPr>
        <w:t>定义</w:t>
      </w:r>
    </w:p>
    <w:p w14:paraId="1918C168">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2.1 “采购人”系指交易公告中载明的本项目的采购人。</w:t>
      </w:r>
    </w:p>
    <w:p w14:paraId="3217BAE9">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2.2 “采购机构”系指交易公告中载明的本项目的采购机构。</w:t>
      </w:r>
    </w:p>
    <w:p w14:paraId="2E8BCDF6">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2.3 “供应商”系指是指响应交易、参加交易竞争的法人、其他组织或者自然人。</w:t>
      </w:r>
    </w:p>
    <w:p w14:paraId="5EB540C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2.4 “负责人”系指法人企业的法定负责人，或其他组织为法律、行政法规规定代表单位行使职权的主要负责人，或自然人本人。</w:t>
      </w:r>
    </w:p>
    <w:p w14:paraId="3E2664BF">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2.5“电子签名”系指数据电文中以电子形式所含、所附用于识别签名人身份并表明签名人认可其中内容的数据，供应商电子签名指供应商电子公章；“公章”系指单位法定名称章。因特殊原因需要使用冠以法定名称的业务专用章的，交易时须提供《业务专用章使用说明函》（附件2）。</w:t>
      </w:r>
    </w:p>
    <w:p w14:paraId="65659E65">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2.6“电子交易平台”是指本项目采购活动所依托的政府采购云平台（https://www.zcygov.cn/）。</w:t>
      </w:r>
    </w:p>
    <w:p w14:paraId="2669D14E">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2.7 “▲” 系指实质性要求条款，“（√）” 系指适用本项目的要求，“（  ）”系指不适用本项目的要求。</w:t>
      </w:r>
    </w:p>
    <w:p w14:paraId="31C8E4E5">
      <w:pPr>
        <w:spacing w:line="360" w:lineRule="auto"/>
        <w:rPr>
          <w:rFonts w:ascii="宋体" w:hAnsi="宋体" w:cs="宋体"/>
          <w:b/>
          <w:color w:val="auto"/>
          <w:kern w:val="0"/>
          <w:sz w:val="24"/>
          <w:highlight w:val="none"/>
        </w:rPr>
      </w:pPr>
      <w:r>
        <w:rPr>
          <w:rFonts w:hint="eastAsia" w:ascii="宋体" w:hAnsi="宋体" w:cs="宋体"/>
          <w:b/>
          <w:color w:val="auto"/>
          <w:kern w:val="0"/>
          <w:sz w:val="24"/>
          <w:highlight w:val="none"/>
        </w:rPr>
        <w:t>3. 询问、质疑</w:t>
      </w:r>
    </w:p>
    <w:p w14:paraId="7BE1E668">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.1供应商询问</w:t>
      </w:r>
    </w:p>
    <w:p w14:paraId="47F758FC">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4BB4E0E">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.2供应商质疑</w:t>
      </w:r>
    </w:p>
    <w:p w14:paraId="3C200DC7">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.2</w:t>
      </w:r>
      <w:r>
        <w:rPr>
          <w:rFonts w:hint="eastAsia" w:ascii="宋体" w:hAnsi="宋体" w:cs="宋体"/>
          <w:color w:val="auto"/>
          <w:kern w:val="0"/>
          <w:sz w:val="24"/>
          <w:highlight w:val="none"/>
        </w:rPr>
        <w:t>.1提出质疑的供应商应当是参与所质疑项目采购活动的供应商。潜在供应商已依法获取其可质疑的交易文件的，可以对该文件提出质疑。</w:t>
      </w:r>
    </w:p>
    <w:p w14:paraId="4F7869E4">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.2</w:t>
      </w:r>
      <w:r>
        <w:rPr>
          <w:rFonts w:hint="eastAsia" w:ascii="宋体" w:hAnsi="宋体" w:cs="宋体"/>
          <w:color w:val="auto"/>
          <w:kern w:val="0"/>
          <w:sz w:val="24"/>
          <w:highlight w:val="none"/>
        </w:rPr>
        <w:t>.2供应商认为交易文件、采购过程和成交结果使自己的权益受到损害的，可以在知道或者应知其权益受到损害之日起3日内，以书面形式向采购人或者采购机构提出质疑，否则，采购人或者采购机构不予受理：</w:t>
      </w:r>
    </w:p>
    <w:p w14:paraId="0EF817F7">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3.2.2.1对交易文件提出质疑的，质疑期限为供应商获得交易文件之日或者交易文件公告期限届满之日起计算。</w:t>
      </w:r>
    </w:p>
    <w:p w14:paraId="5E341975">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3.2.2.2对采购过程提出质疑的，质疑期限为各采购程序环节结束之日起计算。对同一采购程序环节的质疑，供应商须一次性提出。</w:t>
      </w:r>
    </w:p>
    <w:p w14:paraId="30902DD6">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3.2.2.3对采购结果提出质疑的，质疑期限自采购结果公告期限届满之日起计算。</w:t>
      </w:r>
    </w:p>
    <w:p w14:paraId="25D4DC1B">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3.2.3</w:t>
      </w:r>
      <w:r>
        <w:rPr>
          <w:rFonts w:hint="eastAsia" w:ascii="宋体" w:hAnsi="宋体" w:cs="宋体"/>
          <w:color w:val="auto"/>
          <w:kern w:val="0"/>
          <w:sz w:val="24"/>
          <w:highlight w:val="none"/>
        </w:rPr>
        <w:t>供应商提出质疑应当提交质疑函和必要的证明材料。质疑函应当包括下列内容：</w:t>
      </w:r>
    </w:p>
    <w:p w14:paraId="686CCFFA">
      <w:pPr>
        <w:pStyle w:val="34"/>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3.2.3.1供应商的姓名或者名称、地址、邮编、联系人及联系电话；</w:t>
      </w:r>
    </w:p>
    <w:p w14:paraId="02DED57C">
      <w:pPr>
        <w:pStyle w:val="34"/>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3.2.3.2质疑项目的名称、编号；</w:t>
      </w:r>
    </w:p>
    <w:p w14:paraId="61114EC7">
      <w:pPr>
        <w:pStyle w:val="34"/>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3.2.3.3具体、明确的质疑事项和与质疑事项相关的请求；</w:t>
      </w:r>
    </w:p>
    <w:p w14:paraId="19389479">
      <w:pPr>
        <w:pStyle w:val="34"/>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3.2.3.4事实依据；</w:t>
      </w:r>
    </w:p>
    <w:p w14:paraId="59BFACDD">
      <w:pPr>
        <w:pStyle w:val="34"/>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3.2.3.5必要的法律依据；</w:t>
      </w:r>
    </w:p>
    <w:p w14:paraId="2B9C556E">
      <w:pPr>
        <w:pStyle w:val="34"/>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3.2.3.6提出质疑的日期。</w:t>
      </w:r>
    </w:p>
    <w:p w14:paraId="335A52D9">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供应商提交的质疑函需一式三份。供应商为自然人的，应当由本人签字；供应商为法人或者其他组织的，应当由法定代表人、主要负责人，或者其授权代表签字或者盖章，并加盖公章。</w:t>
      </w:r>
    </w:p>
    <w:p w14:paraId="7818032D">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质疑函范本及制作说明详见附件1。</w:t>
      </w:r>
    </w:p>
    <w:p w14:paraId="6E11C213">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3.2.4采购人或者采购机构应当在收到供应商的书面质疑后3个工作日内作出答复，并以书面形式通知质疑供应商和其他与质疑处理结果有利害关系的采购当事人，但答复的内容不得涉及商业秘密。</w:t>
      </w:r>
    </w:p>
    <w:p w14:paraId="4905EAF9">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3.2.5询问或者质疑事项可能影响采购结果的，采购人应当暂停签订合同，已经签订合同的，应当中止履行合同。</w:t>
      </w:r>
    </w:p>
    <w:p w14:paraId="1E7242DC">
      <w:pPr>
        <w:snapToGrid w:val="0"/>
        <w:spacing w:line="360" w:lineRule="auto"/>
        <w:jc w:val="center"/>
        <w:outlineLvl w:val="0"/>
        <w:rPr>
          <w:rFonts w:ascii="宋体" w:hAnsi="宋体" w:cs="宋体"/>
          <w:b/>
          <w:color w:val="auto"/>
          <w:kern w:val="0"/>
          <w:sz w:val="32"/>
          <w:szCs w:val="20"/>
          <w:highlight w:val="none"/>
        </w:rPr>
      </w:pPr>
      <w:r>
        <w:rPr>
          <w:rFonts w:hint="eastAsia" w:ascii="宋体" w:hAnsi="宋体" w:cs="宋体"/>
          <w:b/>
          <w:color w:val="auto"/>
          <w:kern w:val="0"/>
          <w:sz w:val="32"/>
          <w:szCs w:val="20"/>
          <w:highlight w:val="none"/>
        </w:rPr>
        <w:t>二、交易文件的构成、澄清、修改</w:t>
      </w:r>
    </w:p>
    <w:p w14:paraId="1BA504B6">
      <w:pPr>
        <w:pStyle w:val="34"/>
        <w:spacing w:line="360" w:lineRule="auto"/>
        <w:rPr>
          <w:rFonts w:hAnsi="宋体" w:cs="宋体"/>
          <w:b/>
          <w:color w:val="auto"/>
          <w:kern w:val="0"/>
          <w:sz w:val="24"/>
          <w:szCs w:val="24"/>
          <w:highlight w:val="none"/>
        </w:rPr>
      </w:pPr>
      <w:r>
        <w:rPr>
          <w:rFonts w:hint="eastAsia" w:hAnsi="宋体" w:cs="宋体"/>
          <w:b/>
          <w:color w:val="auto"/>
          <w:kern w:val="0"/>
          <w:sz w:val="24"/>
          <w:szCs w:val="24"/>
          <w:highlight w:val="none"/>
        </w:rPr>
        <w:t>4．交易文件的构成</w:t>
      </w:r>
    </w:p>
    <w:p w14:paraId="242E095F">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 交易文件包括下列文件及附件：</w:t>
      </w:r>
    </w:p>
    <w:p w14:paraId="27D7B6A5">
      <w:pPr>
        <w:pStyle w:val="34"/>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4.1.1交易公告；</w:t>
      </w:r>
    </w:p>
    <w:p w14:paraId="223A6470">
      <w:pPr>
        <w:pStyle w:val="34"/>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4.1.2供应商须知；</w:t>
      </w:r>
    </w:p>
    <w:p w14:paraId="1396A8FE">
      <w:pPr>
        <w:pStyle w:val="34"/>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4.1.3采购需求；</w:t>
      </w:r>
    </w:p>
    <w:p w14:paraId="571FB12D">
      <w:pPr>
        <w:pStyle w:val="34"/>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4.1.4评审办法；</w:t>
      </w:r>
    </w:p>
    <w:p w14:paraId="4BF7101B">
      <w:pPr>
        <w:pStyle w:val="34"/>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4.1.5应提交的有关格式范例。</w:t>
      </w:r>
    </w:p>
    <w:p w14:paraId="3C2C0951">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4.2与本项目有关的澄清或者修改的内容为交易文件的组成部分。</w:t>
      </w:r>
    </w:p>
    <w:p w14:paraId="20A29970">
      <w:pPr>
        <w:pStyle w:val="34"/>
        <w:spacing w:line="360" w:lineRule="auto"/>
        <w:rPr>
          <w:rFonts w:hAnsi="宋体" w:cs="宋体"/>
          <w:b/>
          <w:color w:val="auto"/>
          <w:kern w:val="0"/>
          <w:sz w:val="24"/>
          <w:szCs w:val="24"/>
          <w:highlight w:val="none"/>
        </w:rPr>
      </w:pPr>
      <w:r>
        <w:rPr>
          <w:rFonts w:hint="eastAsia" w:hAnsi="宋体" w:cs="宋体"/>
          <w:b/>
          <w:color w:val="auto"/>
          <w:kern w:val="0"/>
          <w:sz w:val="24"/>
          <w:szCs w:val="24"/>
          <w:highlight w:val="none"/>
        </w:rPr>
        <w:t>5. 交易文件的澄清、修改</w:t>
      </w:r>
    </w:p>
    <w:p w14:paraId="0C75F153">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5.1已获取交易文件的潜在供应商，若有问题需要澄清，应于交易截止时间前，以书面形式向采购机构提出。</w:t>
      </w:r>
    </w:p>
    <w:p w14:paraId="52A2B20F">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lang w:val="zh-CN"/>
        </w:rPr>
        <w:t>5.2 采购机构对交易文件进行澄清或修改的，将同时通过电子交易平台通知已获取交易文件的潜在供应商。依法应当公告的，将按规定公告，同时视情况延长交易截止时间和交易时间。该澄清或者修改的内容为交易文件的组成部分。</w:t>
      </w:r>
    </w:p>
    <w:p w14:paraId="69EBC26F">
      <w:pPr>
        <w:snapToGrid w:val="0"/>
        <w:spacing w:line="360" w:lineRule="auto"/>
        <w:jc w:val="center"/>
        <w:outlineLvl w:val="0"/>
        <w:rPr>
          <w:rFonts w:ascii="宋体" w:hAnsi="宋体" w:cs="宋体"/>
          <w:b/>
          <w:color w:val="auto"/>
          <w:kern w:val="0"/>
          <w:sz w:val="32"/>
          <w:szCs w:val="20"/>
          <w:highlight w:val="none"/>
        </w:rPr>
      </w:pPr>
      <w:r>
        <w:rPr>
          <w:rFonts w:hint="eastAsia" w:ascii="宋体" w:hAnsi="宋体" w:cs="宋体"/>
          <w:b/>
          <w:color w:val="auto"/>
          <w:kern w:val="0"/>
          <w:sz w:val="32"/>
          <w:szCs w:val="20"/>
          <w:highlight w:val="none"/>
        </w:rPr>
        <w:t>三、交易</w:t>
      </w:r>
    </w:p>
    <w:p w14:paraId="2F7B0CCC">
      <w:pPr>
        <w:pStyle w:val="34"/>
        <w:spacing w:line="360" w:lineRule="auto"/>
        <w:rPr>
          <w:rFonts w:hAnsi="宋体" w:cs="宋体"/>
          <w:b/>
          <w:color w:val="auto"/>
          <w:kern w:val="0"/>
          <w:sz w:val="24"/>
          <w:szCs w:val="24"/>
          <w:highlight w:val="none"/>
        </w:rPr>
      </w:pPr>
      <w:r>
        <w:rPr>
          <w:rFonts w:hint="eastAsia" w:hAnsi="宋体" w:cs="宋体"/>
          <w:b/>
          <w:color w:val="auto"/>
          <w:kern w:val="0"/>
          <w:sz w:val="24"/>
          <w:szCs w:val="24"/>
          <w:highlight w:val="none"/>
        </w:rPr>
        <w:t>6. 交易文件的获取</w:t>
      </w:r>
    </w:p>
    <w:p w14:paraId="0BAE38D6">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详见交易公告中获取交易文件的时间期限、地点、方式及交易文件售价。</w:t>
      </w:r>
    </w:p>
    <w:p w14:paraId="5B667815">
      <w:pPr>
        <w:pStyle w:val="34"/>
        <w:numPr>
          <w:ilvl w:val="0"/>
          <w:numId w:val="3"/>
        </w:numPr>
        <w:spacing w:line="360" w:lineRule="auto"/>
        <w:rPr>
          <w:rFonts w:hAnsi="宋体" w:cs="宋体"/>
          <w:b/>
          <w:color w:val="auto"/>
          <w:kern w:val="0"/>
          <w:sz w:val="24"/>
          <w:szCs w:val="24"/>
          <w:highlight w:val="none"/>
        </w:rPr>
      </w:pPr>
      <w:r>
        <w:rPr>
          <w:rFonts w:hint="eastAsia" w:hAnsi="宋体" w:cs="宋体"/>
          <w:b/>
          <w:color w:val="auto"/>
          <w:kern w:val="0"/>
          <w:sz w:val="24"/>
          <w:szCs w:val="24"/>
          <w:highlight w:val="none"/>
        </w:rPr>
        <w:t>交易前答疑会或现场考察</w:t>
      </w:r>
    </w:p>
    <w:p w14:paraId="2BC4DE97">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采购人组织潜在供应商现场考察或者召开交易前答疑会的，潜在供应商按第二部分供应商须知前附表的规定参加现场考察或者交易前答疑会。</w:t>
      </w:r>
    </w:p>
    <w:p w14:paraId="30BFA3F4">
      <w:pPr>
        <w:pStyle w:val="34"/>
        <w:spacing w:line="360" w:lineRule="auto"/>
        <w:rPr>
          <w:rFonts w:hAnsi="宋体" w:cs="宋体"/>
          <w:b/>
          <w:color w:val="auto"/>
          <w:kern w:val="0"/>
          <w:szCs w:val="24"/>
          <w:highlight w:val="none"/>
        </w:rPr>
      </w:pPr>
      <w:r>
        <w:rPr>
          <w:rFonts w:hint="eastAsia" w:hAnsi="宋体" w:cs="宋体"/>
          <w:color w:val="auto"/>
          <w:kern w:val="0"/>
          <w:sz w:val="24"/>
          <w:highlight w:val="none"/>
        </w:rPr>
        <w:t>▲</w:t>
      </w:r>
      <w:r>
        <w:rPr>
          <w:rFonts w:hint="eastAsia" w:hAnsi="宋体" w:cs="宋体"/>
          <w:b/>
          <w:color w:val="auto"/>
          <w:kern w:val="0"/>
          <w:sz w:val="24"/>
          <w:szCs w:val="24"/>
          <w:highlight w:val="none"/>
        </w:rPr>
        <w:t>8.交易保证金</w:t>
      </w:r>
    </w:p>
    <w:p w14:paraId="4322446C">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本项目不需缴纳交易保证金。</w:t>
      </w:r>
    </w:p>
    <w:p w14:paraId="79FA58AE">
      <w:pPr>
        <w:pStyle w:val="34"/>
        <w:spacing w:line="360" w:lineRule="auto"/>
        <w:rPr>
          <w:rFonts w:hAnsi="宋体" w:cs="宋体"/>
          <w:b/>
          <w:color w:val="auto"/>
          <w:kern w:val="0"/>
          <w:sz w:val="24"/>
          <w:szCs w:val="24"/>
          <w:highlight w:val="none"/>
        </w:rPr>
      </w:pPr>
      <w:r>
        <w:rPr>
          <w:rFonts w:hint="eastAsia" w:hAnsi="宋体" w:cs="宋体"/>
          <w:b/>
          <w:color w:val="auto"/>
          <w:kern w:val="0"/>
          <w:sz w:val="24"/>
          <w:szCs w:val="24"/>
          <w:highlight w:val="none"/>
        </w:rPr>
        <w:t>9. 响应文件的语言</w:t>
      </w:r>
    </w:p>
    <w:p w14:paraId="2F1417FA">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响应文件及供应商与采购有关的来往通知、函件和文件均应使用中文。</w:t>
      </w:r>
    </w:p>
    <w:p w14:paraId="2D8D8B84">
      <w:pPr>
        <w:pStyle w:val="34"/>
        <w:spacing w:line="360" w:lineRule="auto"/>
        <w:rPr>
          <w:rFonts w:hAnsi="宋体" w:cs="宋体"/>
          <w:b/>
          <w:color w:val="auto"/>
          <w:kern w:val="0"/>
          <w:sz w:val="24"/>
          <w:szCs w:val="24"/>
          <w:highlight w:val="none"/>
        </w:rPr>
      </w:pPr>
      <w:r>
        <w:rPr>
          <w:rFonts w:hint="eastAsia" w:hAnsi="宋体" w:cs="宋体"/>
          <w:b/>
          <w:color w:val="auto"/>
          <w:kern w:val="0"/>
          <w:sz w:val="24"/>
          <w:szCs w:val="24"/>
          <w:highlight w:val="none"/>
        </w:rPr>
        <w:t>10. 响应文件的组成</w:t>
      </w:r>
    </w:p>
    <w:p w14:paraId="626D91F7">
      <w:pPr>
        <w:snapToGrid w:val="0"/>
        <w:spacing w:line="360" w:lineRule="auto"/>
        <w:ind w:firstLine="482" w:firstLineChars="200"/>
        <w:rPr>
          <w:rFonts w:ascii="宋体" w:hAnsi="宋体" w:cs="宋体"/>
          <w:b/>
          <w:bCs/>
          <w:color w:val="auto"/>
          <w:kern w:val="0"/>
          <w:sz w:val="24"/>
          <w:highlight w:val="none"/>
        </w:rPr>
      </w:pPr>
      <w:r>
        <w:rPr>
          <w:rFonts w:hint="eastAsia" w:ascii="宋体" w:hAnsi="宋体" w:cs="宋体"/>
          <w:b/>
          <w:bCs/>
          <w:color w:val="auto"/>
          <w:kern w:val="0"/>
          <w:sz w:val="24"/>
          <w:highlight w:val="none"/>
        </w:rPr>
        <w:t>10.1资格文件：</w:t>
      </w:r>
    </w:p>
    <w:p w14:paraId="465B2EF0">
      <w:pPr>
        <w:snapToGrid w:val="0"/>
        <w:spacing w:line="360" w:lineRule="auto"/>
        <w:ind w:firstLine="720" w:firstLineChars="300"/>
        <w:rPr>
          <w:rFonts w:ascii="宋体" w:hAnsi="宋体" w:cs="宋体"/>
          <w:color w:val="auto"/>
          <w:kern w:val="0"/>
          <w:sz w:val="24"/>
          <w:highlight w:val="none"/>
        </w:rPr>
      </w:pPr>
      <w:r>
        <w:rPr>
          <w:rFonts w:hint="eastAsia" w:ascii="宋体" w:hAnsi="宋体" w:cs="宋体"/>
          <w:color w:val="auto"/>
          <w:kern w:val="0"/>
          <w:sz w:val="24"/>
          <w:highlight w:val="none"/>
        </w:rPr>
        <w:t>10.1.1符合参加采购活动应当具备的一般条件的承诺函；</w:t>
      </w:r>
    </w:p>
    <w:p w14:paraId="113A030A">
      <w:pPr>
        <w:snapToGrid w:val="0"/>
        <w:spacing w:line="360" w:lineRule="auto"/>
        <w:ind w:firstLine="720" w:firstLineChars="300"/>
        <w:rPr>
          <w:rFonts w:ascii="宋体" w:hAnsi="宋体" w:cs="宋体"/>
          <w:color w:val="auto"/>
          <w:kern w:val="0"/>
          <w:sz w:val="24"/>
          <w:highlight w:val="none"/>
        </w:rPr>
      </w:pPr>
      <w:r>
        <w:rPr>
          <w:rFonts w:hint="eastAsia" w:ascii="宋体" w:hAnsi="宋体" w:cs="宋体"/>
          <w:color w:val="auto"/>
          <w:kern w:val="0"/>
          <w:sz w:val="24"/>
          <w:highlight w:val="none"/>
        </w:rPr>
        <w:t>10.1.2本项目的特定资格要求。</w:t>
      </w:r>
    </w:p>
    <w:p w14:paraId="28E5AA0F">
      <w:pPr>
        <w:snapToGrid w:val="0"/>
        <w:spacing w:line="360" w:lineRule="auto"/>
        <w:ind w:firstLine="482" w:firstLineChars="20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1</w:t>
      </w:r>
      <w:r>
        <w:rPr>
          <w:rFonts w:hint="eastAsia" w:ascii="宋体" w:hAnsi="宋体" w:cs="宋体"/>
          <w:b/>
          <w:bCs/>
          <w:color w:val="auto"/>
          <w:kern w:val="0"/>
          <w:sz w:val="24"/>
          <w:highlight w:val="none"/>
        </w:rPr>
        <w:t>0</w:t>
      </w:r>
      <w:r>
        <w:rPr>
          <w:rFonts w:hint="eastAsia" w:ascii="宋体" w:hAnsi="宋体" w:cs="宋体"/>
          <w:b/>
          <w:bCs/>
          <w:color w:val="auto"/>
          <w:kern w:val="0"/>
          <w:sz w:val="24"/>
          <w:highlight w:val="none"/>
          <w:lang w:val="zh-CN"/>
        </w:rPr>
        <w:t>.</w:t>
      </w:r>
      <w:r>
        <w:rPr>
          <w:rFonts w:hint="eastAsia" w:ascii="宋体" w:hAnsi="宋体" w:cs="宋体"/>
          <w:b/>
          <w:bCs/>
          <w:color w:val="auto"/>
          <w:kern w:val="0"/>
          <w:sz w:val="24"/>
          <w:highlight w:val="none"/>
        </w:rPr>
        <w:t>2商务技术</w:t>
      </w:r>
      <w:r>
        <w:rPr>
          <w:rFonts w:hint="eastAsia" w:ascii="宋体" w:hAnsi="宋体" w:cs="宋体"/>
          <w:b/>
          <w:bCs/>
          <w:color w:val="auto"/>
          <w:kern w:val="0"/>
          <w:sz w:val="24"/>
          <w:highlight w:val="none"/>
          <w:lang w:val="zh-CN"/>
        </w:rPr>
        <w:t>文件：</w:t>
      </w:r>
    </w:p>
    <w:p w14:paraId="1DAC32DA">
      <w:pPr>
        <w:snapToGrid w:val="0"/>
        <w:spacing w:line="360" w:lineRule="auto"/>
        <w:ind w:firstLine="720" w:firstLineChars="300"/>
        <w:rPr>
          <w:rFonts w:ascii="宋体" w:hAnsi="宋体" w:cs="宋体"/>
          <w:color w:val="auto"/>
          <w:kern w:val="0"/>
          <w:sz w:val="24"/>
          <w:highlight w:val="none"/>
        </w:rPr>
      </w:pPr>
      <w:r>
        <w:rPr>
          <w:rFonts w:hint="eastAsia" w:ascii="宋体" w:hAnsi="宋体" w:cs="宋体"/>
          <w:color w:val="auto"/>
          <w:kern w:val="0"/>
          <w:sz w:val="24"/>
          <w:highlight w:val="none"/>
        </w:rPr>
        <w:t>10.2.1响应函；</w:t>
      </w:r>
    </w:p>
    <w:p w14:paraId="42E0A9AE">
      <w:pPr>
        <w:snapToGrid w:val="0"/>
        <w:spacing w:line="360" w:lineRule="auto"/>
        <w:ind w:firstLine="720" w:firstLineChars="300"/>
        <w:rPr>
          <w:rFonts w:ascii="宋体" w:hAnsi="宋体" w:cs="宋体"/>
          <w:color w:val="auto"/>
          <w:kern w:val="0"/>
          <w:sz w:val="24"/>
          <w:highlight w:val="none"/>
        </w:rPr>
      </w:pPr>
      <w:r>
        <w:rPr>
          <w:rFonts w:hint="eastAsia" w:ascii="宋体" w:hAnsi="宋体" w:cs="宋体"/>
          <w:color w:val="auto"/>
          <w:kern w:val="0"/>
          <w:sz w:val="24"/>
          <w:highlight w:val="none"/>
        </w:rPr>
        <w:t>10.2.2授权委托书或法定代表人（单位负责人、自然人本人）身份证明；</w:t>
      </w:r>
    </w:p>
    <w:p w14:paraId="2AFABECD">
      <w:pPr>
        <w:snapToGrid w:val="0"/>
        <w:spacing w:line="360" w:lineRule="auto"/>
        <w:ind w:firstLine="720" w:firstLineChars="300"/>
        <w:rPr>
          <w:rFonts w:ascii="宋体" w:hAnsi="宋体" w:cs="宋体"/>
          <w:color w:val="auto"/>
          <w:kern w:val="0"/>
          <w:sz w:val="24"/>
          <w:highlight w:val="none"/>
        </w:rPr>
      </w:pPr>
      <w:r>
        <w:rPr>
          <w:rFonts w:hint="eastAsia" w:ascii="宋体" w:hAnsi="宋体" w:cs="宋体"/>
          <w:color w:val="auto"/>
          <w:kern w:val="0"/>
          <w:sz w:val="24"/>
          <w:highlight w:val="none"/>
        </w:rPr>
        <w:t>10.2.3符合性审查资料；</w:t>
      </w:r>
    </w:p>
    <w:p w14:paraId="1CC03315">
      <w:pPr>
        <w:snapToGrid w:val="0"/>
        <w:spacing w:line="360" w:lineRule="auto"/>
        <w:ind w:firstLine="720" w:firstLineChars="300"/>
        <w:rPr>
          <w:rFonts w:ascii="宋体" w:hAnsi="宋体" w:cs="宋体"/>
          <w:color w:val="auto"/>
          <w:kern w:val="0"/>
          <w:sz w:val="24"/>
          <w:highlight w:val="none"/>
        </w:rPr>
      </w:pPr>
      <w:r>
        <w:rPr>
          <w:rFonts w:hint="eastAsia" w:ascii="宋体" w:hAnsi="宋体" w:cs="宋体"/>
          <w:color w:val="auto"/>
          <w:kern w:val="0"/>
          <w:sz w:val="24"/>
          <w:highlight w:val="none"/>
        </w:rPr>
        <w:t>10.2.</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评审标准相应的商务技术资料；</w:t>
      </w:r>
    </w:p>
    <w:p w14:paraId="6B23CEB0">
      <w:pPr>
        <w:snapToGrid w:val="0"/>
        <w:spacing w:line="360" w:lineRule="auto"/>
        <w:ind w:firstLine="720" w:firstLineChars="300"/>
        <w:rPr>
          <w:rFonts w:ascii="宋体" w:hAnsi="宋体" w:cs="宋体"/>
          <w:color w:val="auto"/>
          <w:kern w:val="0"/>
          <w:sz w:val="24"/>
          <w:highlight w:val="none"/>
        </w:rPr>
      </w:pPr>
      <w:r>
        <w:rPr>
          <w:rFonts w:hint="eastAsia" w:ascii="宋体" w:hAnsi="宋体" w:cs="宋体"/>
          <w:color w:val="auto"/>
          <w:kern w:val="0"/>
          <w:sz w:val="24"/>
          <w:highlight w:val="none"/>
        </w:rPr>
        <w:t>10.2.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交易标的清单；</w:t>
      </w:r>
    </w:p>
    <w:p w14:paraId="5BACD695">
      <w:pPr>
        <w:snapToGrid w:val="0"/>
        <w:spacing w:line="360" w:lineRule="auto"/>
        <w:ind w:firstLine="720" w:firstLineChars="300"/>
        <w:rPr>
          <w:rFonts w:ascii="宋体" w:hAnsi="宋体" w:cs="宋体"/>
          <w:color w:val="auto"/>
          <w:kern w:val="0"/>
          <w:sz w:val="24"/>
          <w:highlight w:val="none"/>
        </w:rPr>
      </w:pPr>
      <w:r>
        <w:rPr>
          <w:rFonts w:hint="eastAsia" w:ascii="宋体" w:hAnsi="宋体" w:cs="宋体"/>
          <w:color w:val="auto"/>
          <w:kern w:val="0"/>
          <w:sz w:val="24"/>
          <w:highlight w:val="none"/>
        </w:rPr>
        <w:t>10.2.</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商务技术偏离表</w:t>
      </w:r>
    </w:p>
    <w:p w14:paraId="5803214C">
      <w:pPr>
        <w:snapToGrid w:val="0"/>
        <w:spacing w:line="360" w:lineRule="auto"/>
        <w:ind w:firstLine="720" w:firstLineChars="300"/>
        <w:rPr>
          <w:rFonts w:ascii="宋体" w:hAnsi="宋体" w:cs="宋体"/>
          <w:color w:val="auto"/>
          <w:kern w:val="0"/>
          <w:sz w:val="24"/>
          <w:highlight w:val="none"/>
        </w:rPr>
      </w:pPr>
      <w:r>
        <w:rPr>
          <w:rFonts w:hint="eastAsia" w:ascii="宋体" w:hAnsi="宋体" w:cs="宋体"/>
          <w:color w:val="auto"/>
          <w:kern w:val="0"/>
          <w:sz w:val="24"/>
          <w:highlight w:val="none"/>
        </w:rPr>
        <w:t>10.2.</w:t>
      </w:r>
      <w:r>
        <w:rPr>
          <w:rFonts w:hint="eastAsia" w:ascii="宋体" w:hAnsi="宋体" w:cs="宋体"/>
          <w:color w:val="auto"/>
          <w:kern w:val="0"/>
          <w:sz w:val="24"/>
          <w:highlight w:val="none"/>
          <w:lang w:val="en-US" w:eastAsia="zh-CN"/>
        </w:rPr>
        <w:t>7</w:t>
      </w:r>
      <w:r>
        <w:rPr>
          <w:rFonts w:hint="eastAsia" w:ascii="宋体" w:hAnsi="宋体" w:cs="宋体"/>
          <w:color w:val="auto"/>
          <w:kern w:val="0"/>
          <w:sz w:val="24"/>
          <w:highlight w:val="none"/>
          <w:lang w:val="zh-CN"/>
        </w:rPr>
        <w:t>采购供应商廉洁自律承诺书</w:t>
      </w:r>
      <w:r>
        <w:rPr>
          <w:rFonts w:hint="eastAsia" w:ascii="宋体" w:hAnsi="宋体" w:cs="宋体"/>
          <w:color w:val="auto"/>
          <w:kern w:val="0"/>
          <w:sz w:val="24"/>
          <w:highlight w:val="none"/>
        </w:rPr>
        <w:t>。</w:t>
      </w:r>
    </w:p>
    <w:p w14:paraId="0B8825E7">
      <w:pPr>
        <w:snapToGrid w:val="0"/>
        <w:spacing w:line="360" w:lineRule="auto"/>
        <w:ind w:firstLine="482" w:firstLineChars="20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1</w:t>
      </w:r>
      <w:r>
        <w:rPr>
          <w:rFonts w:hint="eastAsia" w:ascii="宋体" w:hAnsi="宋体" w:cs="宋体"/>
          <w:b/>
          <w:bCs/>
          <w:color w:val="auto"/>
          <w:kern w:val="0"/>
          <w:sz w:val="24"/>
          <w:highlight w:val="none"/>
        </w:rPr>
        <w:t>0</w:t>
      </w:r>
      <w:r>
        <w:rPr>
          <w:rFonts w:hint="eastAsia" w:ascii="宋体" w:hAnsi="宋体" w:cs="宋体"/>
          <w:b/>
          <w:bCs/>
          <w:color w:val="auto"/>
          <w:kern w:val="0"/>
          <w:sz w:val="24"/>
          <w:highlight w:val="none"/>
          <w:lang w:val="zh-CN"/>
        </w:rPr>
        <w:t>.</w:t>
      </w:r>
      <w:r>
        <w:rPr>
          <w:rFonts w:hint="eastAsia" w:ascii="宋体" w:hAnsi="宋体" w:cs="宋体"/>
          <w:b/>
          <w:bCs/>
          <w:color w:val="auto"/>
          <w:kern w:val="0"/>
          <w:sz w:val="24"/>
          <w:highlight w:val="none"/>
        </w:rPr>
        <w:t>3报价文件：</w:t>
      </w:r>
    </w:p>
    <w:p w14:paraId="7E728218">
      <w:pPr>
        <w:snapToGrid w:val="0"/>
        <w:spacing w:line="360" w:lineRule="auto"/>
        <w:ind w:firstLine="720" w:firstLineChars="30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10.3.1交易一览表（报价表）</w:t>
      </w:r>
      <w:r>
        <w:rPr>
          <w:rFonts w:hint="eastAsia" w:ascii="宋体" w:hAnsi="宋体" w:cs="宋体"/>
          <w:color w:val="auto"/>
          <w:kern w:val="0"/>
          <w:sz w:val="24"/>
          <w:highlight w:val="none"/>
        </w:rPr>
        <w:t>。</w:t>
      </w:r>
    </w:p>
    <w:p w14:paraId="66B2F13B">
      <w:pPr>
        <w:pStyle w:val="966"/>
        <w:adjustRightInd w:val="0"/>
        <w:spacing w:line="360" w:lineRule="auto"/>
        <w:ind w:firstLine="720" w:firstLineChars="300"/>
        <w:rPr>
          <w:color w:val="auto"/>
          <w:highlight w:val="none"/>
        </w:rPr>
      </w:pPr>
      <w:r>
        <w:rPr>
          <w:rFonts w:hint="eastAsia" w:ascii="宋体" w:hAnsi="宋体" w:eastAsia="宋体" w:cs="宋体"/>
          <w:b w:val="0"/>
          <w:bCs w:val="0"/>
          <w:color w:val="auto"/>
          <w:sz w:val="24"/>
          <w:szCs w:val="24"/>
          <w:highlight w:val="none"/>
          <w:lang w:val="en-US"/>
        </w:rPr>
        <w:t>1</w:t>
      </w:r>
      <w:r>
        <w:rPr>
          <w:rFonts w:hint="eastAsia" w:ascii="宋体" w:hAnsi="宋体" w:eastAsia="宋体" w:cs="宋体"/>
          <w:b w:val="0"/>
          <w:bCs w:val="0"/>
          <w:color w:val="auto"/>
          <w:sz w:val="24"/>
          <w:szCs w:val="24"/>
          <w:highlight w:val="none"/>
          <w:lang w:val="en-US" w:eastAsia="zh-CN"/>
        </w:rPr>
        <w:t>0</w:t>
      </w:r>
      <w:r>
        <w:rPr>
          <w:rFonts w:hint="eastAsia" w:ascii="宋体" w:hAnsi="宋体" w:eastAsia="宋体" w:cs="宋体"/>
          <w:b w:val="0"/>
          <w:bCs w:val="0"/>
          <w:color w:val="auto"/>
          <w:sz w:val="24"/>
          <w:szCs w:val="24"/>
          <w:highlight w:val="none"/>
          <w:lang w:val="en-US"/>
        </w:rPr>
        <w:t>.3.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14:paraId="6474B7E5">
      <w:pPr>
        <w:spacing w:line="360"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响应文件含有采购人不能接受的附加条件的，交易无效；</w:t>
      </w:r>
    </w:p>
    <w:p w14:paraId="1243A611">
      <w:pPr>
        <w:spacing w:line="360" w:lineRule="auto"/>
        <w:ind w:firstLine="482" w:firstLineChars="200"/>
        <w:rPr>
          <w:rFonts w:ascii="宋体" w:hAnsi="宋体" w:cs="宋体"/>
          <w:b/>
          <w:color w:val="auto"/>
          <w:kern w:val="0"/>
          <w:sz w:val="24"/>
          <w:szCs w:val="21"/>
          <w:highlight w:val="none"/>
        </w:rPr>
      </w:pPr>
      <w:r>
        <w:rPr>
          <w:rFonts w:hint="eastAsia" w:ascii="宋体" w:hAnsi="宋体" w:cs="宋体"/>
          <w:b/>
          <w:color w:val="auto"/>
          <w:kern w:val="0"/>
          <w:sz w:val="24"/>
          <w:highlight w:val="none"/>
        </w:rPr>
        <w:t>供应商提供虚假材料交易的，交易无效。</w:t>
      </w:r>
    </w:p>
    <w:p w14:paraId="1401BDF8">
      <w:pPr>
        <w:pStyle w:val="130"/>
        <w:snapToGrid w:val="0"/>
        <w:spacing w:before="0"/>
        <w:ind w:firstLine="0" w:firstLineChars="0"/>
        <w:outlineLvl w:val="0"/>
        <w:rPr>
          <w:rFonts w:ascii="宋体" w:hAnsi="宋体" w:cs="宋体"/>
          <w:b/>
          <w:color w:val="auto"/>
          <w:kern w:val="0"/>
          <w:szCs w:val="24"/>
          <w:highlight w:val="none"/>
        </w:rPr>
      </w:pPr>
      <w:r>
        <w:rPr>
          <w:rFonts w:hint="eastAsia" w:ascii="宋体" w:hAnsi="宋体" w:cs="宋体"/>
          <w:b/>
          <w:color w:val="auto"/>
          <w:kern w:val="0"/>
          <w:szCs w:val="24"/>
          <w:highlight w:val="none"/>
        </w:rPr>
        <w:t>11</w:t>
      </w:r>
      <w:r>
        <w:rPr>
          <w:rFonts w:hint="eastAsia" w:ascii="宋体" w:hAnsi="宋体" w:cs="宋体"/>
          <w:b/>
          <w:color w:val="auto"/>
          <w:kern w:val="0"/>
          <w:szCs w:val="24"/>
          <w:highlight w:val="none"/>
          <w:lang w:val="zh-CN"/>
        </w:rPr>
        <w:t xml:space="preserve">. </w:t>
      </w:r>
      <w:r>
        <w:rPr>
          <w:rFonts w:hint="eastAsia" w:ascii="宋体" w:hAnsi="宋体" w:cs="宋体"/>
          <w:b/>
          <w:color w:val="auto"/>
          <w:kern w:val="0"/>
          <w:szCs w:val="24"/>
          <w:highlight w:val="none"/>
        </w:rPr>
        <w:t>响应文件的编制</w:t>
      </w:r>
    </w:p>
    <w:p w14:paraId="323019EC">
      <w:pPr>
        <w:snapToGrid w:val="0"/>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1响应文件分为资格文件、商务技术文件、报价文件三部分。各供应商在编制响应文件时请按照交易文件第五部分规定的格式进行，混乱的编排导致响应文件被误读或评标委员会查找不到有效文件是供应商的风险。</w:t>
      </w:r>
    </w:p>
    <w:p w14:paraId="1E2BE9FB">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.2供应商进行电子交易（投标）应安装客户端软件—“乐采云电子交易客户端”，并按照交易文件和电子交易平台的要求编制并加密响应文件。供应商未按规定加密的响应文件，电子交易平台将拒收并提示。</w:t>
      </w:r>
    </w:p>
    <w:p w14:paraId="6C8D2022">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.3使用“乐采云电子交易客户端”需要提前申领CA数字证书，申领流程请自行前往“浙江政府采购网-下载专区-电子交易客户端-CA驱动和申领流程”进行查阅。</w:t>
      </w:r>
    </w:p>
    <w:p w14:paraId="639E7A95">
      <w:pPr>
        <w:snapToGrid w:val="0"/>
        <w:spacing w:line="360" w:lineRule="auto"/>
        <w:rPr>
          <w:rFonts w:ascii="宋体" w:hAnsi="宋体" w:cs="宋体"/>
          <w:b/>
          <w:color w:val="auto"/>
          <w:kern w:val="0"/>
          <w:sz w:val="24"/>
          <w:highlight w:val="none"/>
        </w:rPr>
      </w:pPr>
      <w:r>
        <w:rPr>
          <w:rFonts w:hint="eastAsia" w:ascii="宋体" w:hAnsi="宋体" w:cs="宋体"/>
          <w:b/>
          <w:color w:val="auto"/>
          <w:kern w:val="0"/>
          <w:sz w:val="24"/>
          <w:highlight w:val="none"/>
        </w:rPr>
        <w:t>12. 响应文件的签署、盖章</w:t>
      </w:r>
    </w:p>
    <w:p w14:paraId="7411A985">
      <w:pPr>
        <w:pStyle w:val="130"/>
        <w:topLinePunct/>
        <w:snapToGrid w:val="0"/>
        <w:spacing w:before="0"/>
        <w:ind w:firstLine="480"/>
        <w:rPr>
          <w:rFonts w:ascii="宋体" w:hAnsi="宋体" w:cs="宋体"/>
          <w:b/>
          <w:color w:val="auto"/>
          <w:kern w:val="0"/>
          <w:highlight w:val="none"/>
        </w:rPr>
      </w:pPr>
      <w:r>
        <w:rPr>
          <w:rFonts w:hint="eastAsia" w:ascii="宋体" w:hAnsi="宋体" w:cs="宋体"/>
          <w:color w:val="auto"/>
          <w:kern w:val="0"/>
          <w:szCs w:val="24"/>
          <w:highlight w:val="none"/>
        </w:rPr>
        <w:t>12.1响应文件按照交易文件第五部分格式要</w:t>
      </w:r>
      <w:r>
        <w:rPr>
          <w:rFonts w:hint="eastAsia" w:ascii="宋体" w:hAnsi="宋体" w:cs="宋体"/>
          <w:color w:val="auto"/>
          <w:kern w:val="0"/>
          <w:highlight w:val="none"/>
        </w:rPr>
        <w:t>求进行签署、盖章。</w:t>
      </w:r>
      <w:r>
        <w:rPr>
          <w:rFonts w:hint="eastAsia" w:ascii="宋体" w:hAnsi="宋体" w:cs="宋体"/>
          <w:b/>
          <w:color w:val="auto"/>
          <w:kern w:val="0"/>
          <w:highlight w:val="none"/>
        </w:rPr>
        <w:t>▲供应商的响应文件未按照交易文件要求签署、盖章的，其交易无效</w:t>
      </w:r>
      <w:r>
        <w:rPr>
          <w:rFonts w:hint="eastAsia" w:ascii="宋体" w:hAnsi="宋体" w:cs="宋体"/>
          <w:color w:val="auto"/>
          <w:kern w:val="0"/>
          <w:szCs w:val="24"/>
          <w:highlight w:val="none"/>
        </w:rPr>
        <w:t>。</w:t>
      </w:r>
    </w:p>
    <w:p w14:paraId="5B0D0022">
      <w:pPr>
        <w:pStyle w:val="130"/>
        <w:topLinePunct/>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12.2为确保网上操作合法、有效和安全，供应商应当在交易截止时间前完成在“政府采购云平台”的身份认证，确保在电子交易（投标）过程中能够对相关数据电文进行加密和使用电子签名。</w:t>
      </w:r>
    </w:p>
    <w:p w14:paraId="3E7040B3">
      <w:pPr>
        <w:pStyle w:val="130"/>
        <w:topLinePunct/>
        <w:snapToGrid w:val="0"/>
        <w:spacing w:before="0"/>
        <w:ind w:firstLine="480"/>
        <w:rPr>
          <w:rFonts w:ascii="宋体" w:hAnsi="宋体" w:cs="宋体"/>
          <w:color w:val="auto"/>
          <w:kern w:val="0"/>
          <w:szCs w:val="24"/>
          <w:highlight w:val="none"/>
        </w:rPr>
      </w:pPr>
      <w:r>
        <w:rPr>
          <w:rFonts w:hint="eastAsia" w:ascii="宋体" w:hAnsi="宋体" w:cs="宋体"/>
          <w:color w:val="auto"/>
          <w:kern w:val="0"/>
          <w:highlight w:val="none"/>
        </w:rPr>
        <w:t>12.3交易文件对响应文件签署、盖章的要求适用于电子签名。</w:t>
      </w:r>
    </w:p>
    <w:p w14:paraId="15613941">
      <w:pPr>
        <w:pStyle w:val="130"/>
        <w:spacing w:before="0"/>
        <w:ind w:firstLine="0" w:firstLineChars="0"/>
        <w:rPr>
          <w:rFonts w:ascii="宋体" w:hAnsi="宋体" w:cs="宋体"/>
          <w:b/>
          <w:color w:val="auto"/>
          <w:kern w:val="0"/>
          <w:szCs w:val="24"/>
          <w:highlight w:val="none"/>
        </w:rPr>
      </w:pPr>
      <w:r>
        <w:rPr>
          <w:rFonts w:hint="eastAsia" w:ascii="宋体" w:hAnsi="宋体" w:cs="宋体"/>
          <w:b/>
          <w:color w:val="auto"/>
          <w:kern w:val="0"/>
          <w:szCs w:val="24"/>
          <w:highlight w:val="none"/>
        </w:rPr>
        <w:t>13. 响应文件的提交、补充、修改、撤回</w:t>
      </w:r>
    </w:p>
    <w:p w14:paraId="4FAEF2E0">
      <w:pPr>
        <w:pStyle w:val="130"/>
        <w:topLinePunct/>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13.1 供应商应当在交易截止时间前完成响应文件的传输递交，并可以补充、修改或者撤回响应文件。补充或者修改响应文件的，应当先行撤回原文件，补充、修改后重新传输递交。交易截止时间前未完成传输的，视为撤回响应文件。交易截止时间后递交的响应文件，电子交易平台将拒收。</w:t>
      </w:r>
    </w:p>
    <w:p w14:paraId="79BA788D">
      <w:pPr>
        <w:pStyle w:val="130"/>
        <w:topLinePunct/>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13.2电子交易平台收到响应文件，将妥善保存并即时向供应商发出确认回执通知。在交易截止时间前，除供应商补充、修改或者撤回响应文件外，任何单位和个人不得解密或提取响应文件。</w:t>
      </w:r>
    </w:p>
    <w:p w14:paraId="59486A70">
      <w:pPr>
        <w:pStyle w:val="130"/>
        <w:topLinePunct/>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13.3采购人、采购机构可以视情况延长响应文件提交的截止时间。在上述情况下，采购机构与供应商以前在交易截止期方面的全部权利、责任和义务，将适用于延长至新的交易截止期。</w:t>
      </w:r>
    </w:p>
    <w:p w14:paraId="170BBD80">
      <w:pPr>
        <w:pStyle w:val="130"/>
        <w:spacing w:before="0"/>
        <w:ind w:firstLine="0" w:firstLineChars="0"/>
        <w:rPr>
          <w:rFonts w:ascii="宋体" w:hAnsi="宋体" w:cs="宋体"/>
          <w:b/>
          <w:color w:val="auto"/>
          <w:kern w:val="0"/>
          <w:szCs w:val="24"/>
          <w:highlight w:val="none"/>
        </w:rPr>
      </w:pPr>
      <w:r>
        <w:rPr>
          <w:rFonts w:hint="eastAsia" w:ascii="宋体" w:hAnsi="宋体" w:cs="宋体"/>
          <w:b/>
          <w:color w:val="auto"/>
          <w:kern w:val="0"/>
          <w:szCs w:val="24"/>
          <w:highlight w:val="none"/>
        </w:rPr>
        <w:t>14. 备份响应文件</w:t>
      </w:r>
    </w:p>
    <w:p w14:paraId="2B70156C">
      <w:pPr>
        <w:pStyle w:val="130"/>
        <w:topLinePunct/>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本项目不收取备份响应文件</w:t>
      </w:r>
      <w:r>
        <w:rPr>
          <w:rFonts w:hint="eastAsia" w:ascii="宋体" w:hAnsi="宋体" w:cs="宋体"/>
          <w:color w:val="auto"/>
          <w:kern w:val="0"/>
          <w:sz w:val="24"/>
          <w:highlight w:val="none"/>
        </w:rPr>
        <w:t>。</w:t>
      </w:r>
    </w:p>
    <w:p w14:paraId="30EC8A43">
      <w:pPr>
        <w:pStyle w:val="130"/>
        <w:spacing w:before="0"/>
        <w:ind w:firstLine="0" w:firstLineChars="0"/>
        <w:rPr>
          <w:rFonts w:ascii="宋体" w:hAnsi="宋体" w:cs="宋体"/>
          <w:b/>
          <w:color w:val="auto"/>
          <w:kern w:val="0"/>
          <w:szCs w:val="24"/>
          <w:highlight w:val="none"/>
        </w:rPr>
      </w:pPr>
      <w:r>
        <w:rPr>
          <w:rFonts w:hint="eastAsia" w:ascii="宋体" w:hAnsi="宋体" w:cs="宋体"/>
          <w:b/>
          <w:color w:val="auto"/>
          <w:kern w:val="0"/>
          <w:szCs w:val="24"/>
          <w:highlight w:val="none"/>
        </w:rPr>
        <w:t>15. 响应文件的无效处理</w:t>
      </w:r>
    </w:p>
    <w:p w14:paraId="2E70311D">
      <w:pPr>
        <w:pStyle w:val="130"/>
        <w:topLinePunct/>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有交易文件第四部分4.2规定的情形之一的，交易无效</w:t>
      </w:r>
      <w:r>
        <w:rPr>
          <w:rFonts w:hint="eastAsia" w:ascii="宋体" w:hAnsi="宋体" w:cs="宋体"/>
          <w:color w:val="auto"/>
          <w:kern w:val="0"/>
          <w:sz w:val="24"/>
          <w:highlight w:val="none"/>
        </w:rPr>
        <w:t>。</w:t>
      </w:r>
    </w:p>
    <w:p w14:paraId="4C5442EF">
      <w:pPr>
        <w:pStyle w:val="130"/>
        <w:spacing w:before="0"/>
        <w:ind w:firstLine="0" w:firstLineChars="0"/>
        <w:rPr>
          <w:rFonts w:ascii="宋体" w:hAnsi="宋体" w:cs="宋体"/>
          <w:b/>
          <w:color w:val="auto"/>
          <w:kern w:val="0"/>
          <w:szCs w:val="24"/>
          <w:highlight w:val="none"/>
        </w:rPr>
      </w:pPr>
      <w:r>
        <w:rPr>
          <w:rFonts w:hint="eastAsia" w:ascii="宋体" w:hAnsi="宋体" w:cs="宋体"/>
          <w:b/>
          <w:color w:val="auto"/>
          <w:kern w:val="0"/>
          <w:szCs w:val="24"/>
          <w:highlight w:val="none"/>
        </w:rPr>
        <w:t>16. 交易有效期</w:t>
      </w:r>
    </w:p>
    <w:p w14:paraId="031A3999">
      <w:pPr>
        <w:spacing w:line="360" w:lineRule="auto"/>
        <w:ind w:firstLine="480" w:firstLineChars="200"/>
        <w:rPr>
          <w:rFonts w:ascii="宋体" w:hAnsi="宋体" w:cs="宋体"/>
          <w:b/>
          <w:color w:val="auto"/>
          <w:kern w:val="0"/>
          <w:sz w:val="24"/>
          <w:szCs w:val="21"/>
          <w:highlight w:val="none"/>
        </w:rPr>
      </w:pPr>
      <w:r>
        <w:rPr>
          <w:rFonts w:hint="eastAsia" w:ascii="宋体" w:hAnsi="宋体" w:cs="宋体"/>
          <w:color w:val="auto"/>
          <w:kern w:val="0"/>
          <w:sz w:val="24"/>
          <w:szCs w:val="20"/>
          <w:highlight w:val="none"/>
        </w:rPr>
        <w:t>16.1交易有效期为从提交响应文件的截止之日起90天。▲</w:t>
      </w:r>
      <w:r>
        <w:rPr>
          <w:rFonts w:hint="eastAsia" w:ascii="宋体" w:hAnsi="宋体" w:cs="宋体"/>
          <w:b/>
          <w:color w:val="auto"/>
          <w:kern w:val="0"/>
          <w:sz w:val="24"/>
          <w:szCs w:val="20"/>
          <w:highlight w:val="none"/>
        </w:rPr>
        <w:t>供应商的响应文件中承</w:t>
      </w:r>
      <w:r>
        <w:rPr>
          <w:rFonts w:hint="eastAsia" w:ascii="宋体" w:hAnsi="宋体" w:cs="宋体"/>
          <w:b/>
          <w:color w:val="auto"/>
          <w:kern w:val="0"/>
          <w:sz w:val="24"/>
          <w:szCs w:val="21"/>
          <w:highlight w:val="none"/>
        </w:rPr>
        <w:t>诺的交易有效期少于交易文件中载明的交易有效期的，交易无效。</w:t>
      </w:r>
    </w:p>
    <w:p w14:paraId="7433560B">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16.2响应文件合格投递后，自交易截止日期起，在交易有效期内有效。</w:t>
      </w:r>
    </w:p>
    <w:p w14:paraId="4CEFD011">
      <w:pPr>
        <w:spacing w:line="360" w:lineRule="auto"/>
        <w:ind w:firstLine="480" w:firstLineChars="200"/>
        <w:rPr>
          <w:rFonts w:ascii="宋体" w:hAnsi="宋体" w:cs="宋体"/>
          <w:b/>
          <w:color w:val="auto"/>
          <w:kern w:val="0"/>
          <w:sz w:val="32"/>
          <w:highlight w:val="none"/>
        </w:rPr>
      </w:pPr>
      <w:r>
        <w:rPr>
          <w:rFonts w:hint="eastAsia" w:ascii="宋体" w:hAnsi="宋体" w:cs="宋体"/>
          <w:color w:val="auto"/>
          <w:kern w:val="0"/>
          <w:sz w:val="24"/>
          <w:szCs w:val="20"/>
          <w:highlight w:val="none"/>
        </w:rPr>
        <w:t>16.3在原定交易有效期满之前，如果出现特殊情况，采购机构可以以书面形式通知供应商延长交易有效期。供应商同意延长的，不得要求或被允许修改其响应文件，供应商拒绝延长的，其交易无效。</w:t>
      </w:r>
    </w:p>
    <w:p w14:paraId="2D00AE5C">
      <w:pPr>
        <w:pStyle w:val="130"/>
        <w:spacing w:before="0"/>
        <w:ind w:firstLine="0" w:firstLineChars="0"/>
        <w:jc w:val="center"/>
        <w:rPr>
          <w:rFonts w:ascii="宋体" w:hAnsi="宋体" w:cs="宋体"/>
          <w:b/>
          <w:color w:val="auto"/>
          <w:kern w:val="0"/>
          <w:sz w:val="32"/>
          <w:highlight w:val="none"/>
        </w:rPr>
      </w:pPr>
      <w:r>
        <w:rPr>
          <w:rFonts w:hint="eastAsia" w:ascii="宋体" w:hAnsi="宋体" w:cs="宋体"/>
          <w:b/>
          <w:color w:val="auto"/>
          <w:kern w:val="0"/>
          <w:sz w:val="32"/>
          <w:highlight w:val="none"/>
        </w:rPr>
        <w:t>四、交易、资格审查</w:t>
      </w:r>
    </w:p>
    <w:p w14:paraId="0F2AE267">
      <w:pPr>
        <w:pStyle w:val="130"/>
        <w:spacing w:before="0"/>
        <w:ind w:firstLine="0" w:firstLineChars="0"/>
        <w:rPr>
          <w:rFonts w:ascii="宋体" w:hAnsi="宋体" w:cs="宋体"/>
          <w:b/>
          <w:color w:val="auto"/>
          <w:kern w:val="0"/>
          <w:szCs w:val="24"/>
          <w:highlight w:val="none"/>
        </w:rPr>
      </w:pPr>
      <w:r>
        <w:rPr>
          <w:rFonts w:hint="eastAsia" w:ascii="宋体" w:hAnsi="宋体" w:cs="宋体"/>
          <w:b/>
          <w:color w:val="auto"/>
          <w:kern w:val="0"/>
          <w:szCs w:val="24"/>
          <w:highlight w:val="none"/>
        </w:rPr>
        <w:t>17. 交易</w:t>
      </w:r>
    </w:p>
    <w:p w14:paraId="049EA206">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17.1采购机构按照交易文件规定的时间通过电子交易平台组织开标，所有供应商均应当准时在线参加。供应商不足3家的，不得交易。</w:t>
      </w:r>
    </w:p>
    <w:p w14:paraId="5EC5C678">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17.2交易时，电子交易平台按交易时间自动提取所有响应文件。采购机构依托电子交易平台发起开始解密指令，供应商按照平台提示和交易文件的规定在半小时内完成在线解密。</w:t>
      </w:r>
    </w:p>
    <w:p w14:paraId="54F85645">
      <w:pPr>
        <w:pStyle w:val="555"/>
        <w:topLinePunct/>
        <w:spacing w:before="0" w:line="360" w:lineRule="auto"/>
        <w:ind w:left="0" w:firstLine="480" w:firstLineChars="200"/>
        <w:contextualSpacing/>
        <w:rPr>
          <w:rFonts w:ascii="宋体" w:hAnsi="宋体" w:cs="宋体"/>
          <w:b w:val="0"/>
          <w:bCs w:val="0"/>
          <w:color w:val="auto"/>
          <w:sz w:val="24"/>
          <w:highlight w:val="none"/>
        </w:rPr>
      </w:pPr>
      <w:r>
        <w:rPr>
          <w:rFonts w:hint="eastAsia" w:ascii="宋体" w:hAnsi="宋体" w:cs="宋体"/>
          <w:b w:val="0"/>
          <w:bCs w:val="0"/>
          <w:color w:val="auto"/>
          <w:sz w:val="24"/>
          <w:highlight w:val="none"/>
        </w:rPr>
        <w:t>17.3响应文件未按时解密，供应商提供了备份响应文件的，以备份响应文件作为依据，否则视为响应文件撤回。响应文件已按时解密的，备份响应文件自动失效。</w:t>
      </w:r>
    </w:p>
    <w:p w14:paraId="7A3543D7">
      <w:pPr>
        <w:pStyle w:val="555"/>
        <w:topLinePunct/>
        <w:spacing w:before="0" w:line="360" w:lineRule="auto"/>
        <w:ind w:left="0" w:firstLine="0"/>
        <w:contextualSpacing/>
        <w:rPr>
          <w:rFonts w:ascii="宋体" w:hAnsi="宋体" w:cs="宋体"/>
          <w:b/>
          <w:color w:val="auto"/>
          <w:sz w:val="24"/>
          <w:highlight w:val="none"/>
        </w:rPr>
      </w:pPr>
      <w:r>
        <w:rPr>
          <w:rFonts w:hint="eastAsia" w:ascii="宋体" w:hAnsi="宋体" w:cs="宋体"/>
          <w:b/>
          <w:color w:val="auto"/>
          <w:sz w:val="24"/>
          <w:highlight w:val="none"/>
        </w:rPr>
        <w:t>18. 资格审查</w:t>
      </w:r>
    </w:p>
    <w:p w14:paraId="48D13A5A">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18.1交易后，采购人或采购机构将依法对供应商的资格进行审查。</w:t>
      </w:r>
    </w:p>
    <w:p w14:paraId="03674571">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18.2采购人或采购机构依据法律法规和交易文件的规定，对供应商的基本资格条件、特定资格条件进行审查。</w:t>
      </w:r>
    </w:p>
    <w:p w14:paraId="552D33C0">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18.3供应商未按照交易文件要求提供与基本资格条件、特定资格条件相应的有效资格证明材料的，视为供应商不具备交易文件中规定的资格要求，其响应无效。</w:t>
      </w:r>
    </w:p>
    <w:p w14:paraId="2F539F9F">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18.4对未通过资格审查的供应商，采购人或采购机构告知其未通过的原因。</w:t>
      </w:r>
    </w:p>
    <w:p w14:paraId="3F3CACF1">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18.5合格供应商不足3家的，不再评标。</w:t>
      </w:r>
    </w:p>
    <w:p w14:paraId="0B73329B">
      <w:pPr>
        <w:pStyle w:val="130"/>
        <w:spacing w:before="0"/>
        <w:ind w:firstLine="0" w:firstLineChars="0"/>
        <w:rPr>
          <w:rFonts w:ascii="宋体" w:hAnsi="宋体" w:cs="宋体"/>
          <w:b/>
          <w:color w:val="auto"/>
          <w:kern w:val="0"/>
          <w:szCs w:val="24"/>
          <w:highlight w:val="none"/>
        </w:rPr>
      </w:pPr>
      <w:r>
        <w:rPr>
          <w:rFonts w:hint="eastAsia" w:ascii="宋体" w:hAnsi="宋体" w:cs="宋体"/>
          <w:b/>
          <w:color w:val="auto"/>
          <w:kern w:val="0"/>
          <w:szCs w:val="24"/>
          <w:highlight w:val="none"/>
        </w:rPr>
        <w:t>19. 信用信息查询</w:t>
      </w:r>
    </w:p>
    <w:p w14:paraId="45AA7398">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19.1信用信息查询渠道及截止时间：采购机构将通过“信用中国”网站(www.creditchina.gov.cn)、中国政府采购网(www.ccgp.gov.cn)渠道查询供应商交易截止时间当天的信用记录。</w:t>
      </w:r>
    </w:p>
    <w:p w14:paraId="634205C7">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19.2信用信息查询记录和证据留存的具体方式：现场查询的供应商的信用记录、查询结果经确认后将与交易文件一起存档。</w:t>
      </w:r>
    </w:p>
    <w:p w14:paraId="012498EB">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19.3信用信息的使用规则：经查询列入失信被执行人名单、重大税收违法案件当事人名单、政府采购严重违法失信行为记录名单的供应商将被拒绝参与采购活动。</w:t>
      </w:r>
    </w:p>
    <w:p w14:paraId="7BE9D5DF">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19.4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p>
    <w:p w14:paraId="7F6BCAB2">
      <w:pPr>
        <w:snapToGrid w:val="0"/>
        <w:spacing w:line="360" w:lineRule="auto"/>
        <w:jc w:val="center"/>
        <w:rPr>
          <w:rFonts w:ascii="宋体" w:hAnsi="宋体" w:cs="宋体"/>
          <w:b/>
          <w:color w:val="auto"/>
          <w:kern w:val="0"/>
          <w:sz w:val="32"/>
          <w:szCs w:val="20"/>
          <w:highlight w:val="none"/>
        </w:rPr>
      </w:pPr>
      <w:r>
        <w:rPr>
          <w:rFonts w:hint="eastAsia" w:ascii="宋体" w:hAnsi="宋体" w:cs="宋体"/>
          <w:b/>
          <w:color w:val="auto"/>
          <w:kern w:val="0"/>
          <w:sz w:val="32"/>
          <w:szCs w:val="20"/>
          <w:highlight w:val="none"/>
        </w:rPr>
        <w:t>五、评标</w:t>
      </w:r>
    </w:p>
    <w:p w14:paraId="3573C88A">
      <w:pPr>
        <w:snapToGrid w:val="0"/>
        <w:spacing w:line="360" w:lineRule="auto"/>
        <w:rPr>
          <w:rFonts w:ascii="宋体" w:hAnsi="宋体" w:cs="宋体"/>
          <w:b/>
          <w:color w:val="auto"/>
          <w:kern w:val="0"/>
          <w:sz w:val="24"/>
          <w:highlight w:val="none"/>
        </w:rPr>
      </w:pPr>
      <w:bookmarkStart w:id="15" w:name="_Toc91899903"/>
      <w:r>
        <w:rPr>
          <w:rFonts w:hint="eastAsia" w:ascii="宋体" w:hAnsi="宋体" w:cs="宋体"/>
          <w:b/>
          <w:color w:val="auto"/>
          <w:kern w:val="0"/>
          <w:sz w:val="24"/>
          <w:highlight w:val="none"/>
        </w:rPr>
        <w:t>20.</w:t>
      </w:r>
      <w:r>
        <w:rPr>
          <w:rFonts w:hint="eastAsia" w:ascii="宋体" w:hAnsi="宋体" w:cs="宋体"/>
          <w:color w:val="auto"/>
          <w:kern w:val="0"/>
          <w:sz w:val="24"/>
          <w:highlight w:val="none"/>
        </w:rPr>
        <w:t>评标委员会将根据交易文件和有关规定，履行评标工作职责，并按照评审方法及评分标准，全面衡量各供应商对交易文件的响应情况。对实质上响应交易文件的供应商，按照评审因素的量化指标排出推荐成交的供应商的先后顺序，并按顺序提出授标建议。</w:t>
      </w:r>
      <w:r>
        <w:rPr>
          <w:rFonts w:hint="eastAsia" w:ascii="宋体" w:hAnsi="宋体" w:cs="宋体"/>
          <w:b/>
          <w:color w:val="auto"/>
          <w:kern w:val="0"/>
          <w:sz w:val="24"/>
          <w:highlight w:val="none"/>
        </w:rPr>
        <w:t>详见交易文件第四部分评标办法。</w:t>
      </w:r>
    </w:p>
    <w:p w14:paraId="048B470E">
      <w:pPr>
        <w:snapToGrid w:val="0"/>
        <w:spacing w:line="360" w:lineRule="auto"/>
        <w:jc w:val="center"/>
        <w:rPr>
          <w:rFonts w:ascii="宋体" w:hAnsi="宋体" w:cs="宋体"/>
          <w:b/>
          <w:color w:val="auto"/>
          <w:kern w:val="0"/>
          <w:sz w:val="32"/>
          <w:szCs w:val="20"/>
          <w:highlight w:val="none"/>
        </w:rPr>
      </w:pPr>
      <w:r>
        <w:rPr>
          <w:rFonts w:hint="eastAsia" w:ascii="宋体" w:hAnsi="宋体" w:cs="宋体"/>
          <w:b/>
          <w:color w:val="auto"/>
          <w:kern w:val="0"/>
          <w:sz w:val="32"/>
          <w:szCs w:val="20"/>
          <w:highlight w:val="none"/>
        </w:rPr>
        <w:t>六、定 标</w:t>
      </w:r>
    </w:p>
    <w:p w14:paraId="0D132D37">
      <w:pPr>
        <w:pStyle w:val="16"/>
        <w:spacing w:line="360" w:lineRule="auto"/>
        <w:ind w:left="479" w:hanging="479" w:hangingChars="199"/>
        <w:rPr>
          <w:rFonts w:cs="宋体"/>
          <w:b/>
          <w:color w:val="auto"/>
          <w:kern w:val="0"/>
          <w:highlight w:val="none"/>
        </w:rPr>
      </w:pPr>
      <w:r>
        <w:rPr>
          <w:rFonts w:hint="eastAsia" w:cs="宋体"/>
          <w:b/>
          <w:color w:val="auto"/>
          <w:kern w:val="0"/>
          <w:highlight w:val="none"/>
        </w:rPr>
        <w:t>21. 确定成交供应商</w:t>
      </w:r>
    </w:p>
    <w:p w14:paraId="67178C17">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采购人将自收到评审报告之日起5个工作日内通过电子交易平台在评审报告推荐的成交候选人中按顺序确定成交供应商。</w:t>
      </w:r>
    </w:p>
    <w:p w14:paraId="204B066E">
      <w:pPr>
        <w:pStyle w:val="130"/>
        <w:snapToGrid w:val="0"/>
        <w:spacing w:before="0"/>
        <w:ind w:firstLine="0" w:firstLineChars="0"/>
        <w:rPr>
          <w:rFonts w:ascii="宋体" w:hAnsi="宋体" w:cs="宋体"/>
          <w:b/>
          <w:color w:val="auto"/>
          <w:kern w:val="0"/>
          <w:szCs w:val="24"/>
          <w:highlight w:val="none"/>
        </w:rPr>
      </w:pPr>
      <w:r>
        <w:rPr>
          <w:rFonts w:hint="eastAsia" w:ascii="宋体" w:hAnsi="宋体" w:cs="宋体"/>
          <w:b/>
          <w:color w:val="auto"/>
          <w:kern w:val="0"/>
          <w:szCs w:val="24"/>
          <w:highlight w:val="none"/>
        </w:rPr>
        <w:t>22. 成交通知与成交结果公告</w:t>
      </w:r>
    </w:p>
    <w:p w14:paraId="3532F4EB">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22.1自成交人确定之日起2个工作日内，采购机构通过电子交易平台向成交人发出成交通知书，同时编制发布采购结果公告。采购机构或采购人也可以以纸质形式进行成交通知。</w:t>
      </w:r>
    </w:p>
    <w:p w14:paraId="1A0E70FF">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22.2成交结果公告内容包括采购人及其委托的采购机构的名称、地址、联系方式，项目名称和项目编号，成交人名称、地址和成交金额。</w:t>
      </w:r>
    </w:p>
    <w:p w14:paraId="5DC8FADC">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22.3公告期限为1个工作日。</w:t>
      </w:r>
    </w:p>
    <w:p w14:paraId="1E704C90">
      <w:pPr>
        <w:snapToGrid w:val="0"/>
        <w:spacing w:line="360" w:lineRule="auto"/>
        <w:jc w:val="center"/>
        <w:rPr>
          <w:rFonts w:ascii="宋体" w:hAnsi="宋体" w:cs="宋体"/>
          <w:b/>
          <w:color w:val="auto"/>
          <w:kern w:val="0"/>
          <w:sz w:val="32"/>
          <w:szCs w:val="20"/>
          <w:highlight w:val="none"/>
        </w:rPr>
      </w:pPr>
      <w:r>
        <w:rPr>
          <w:rFonts w:hint="eastAsia" w:ascii="宋体" w:hAnsi="宋体" w:cs="宋体"/>
          <w:b/>
          <w:color w:val="auto"/>
          <w:kern w:val="0"/>
          <w:sz w:val="32"/>
          <w:szCs w:val="20"/>
          <w:highlight w:val="none"/>
        </w:rPr>
        <w:t>七、合同授予</w:t>
      </w:r>
    </w:p>
    <w:p w14:paraId="1D0FDCD1">
      <w:pPr>
        <w:pStyle w:val="16"/>
        <w:spacing w:line="360" w:lineRule="auto"/>
        <w:ind w:left="479" w:hanging="479" w:hangingChars="199"/>
        <w:rPr>
          <w:rFonts w:cs="宋体"/>
          <w:b/>
          <w:color w:val="auto"/>
          <w:kern w:val="0"/>
          <w:highlight w:val="none"/>
        </w:rPr>
      </w:pPr>
      <w:r>
        <w:rPr>
          <w:rFonts w:hint="eastAsia" w:cs="宋体"/>
          <w:b/>
          <w:color w:val="auto"/>
          <w:kern w:val="0"/>
          <w:highlight w:val="none"/>
        </w:rPr>
        <w:t>23. 合同的签订</w:t>
      </w:r>
    </w:p>
    <w:p w14:paraId="04E7E501">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23.1采购人与成交人应当通过电子交易平台在成交通知书发出之日起三十日内，按照交易文件确定的事项签订采购合同。</w:t>
      </w:r>
    </w:p>
    <w:p w14:paraId="2032F0AF">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lang w:val="zh-CN"/>
        </w:rPr>
        <w:t>2</w:t>
      </w:r>
      <w:r>
        <w:rPr>
          <w:rFonts w:hint="eastAsia" w:ascii="宋体" w:hAnsi="宋体" w:cs="宋体"/>
          <w:color w:val="auto"/>
          <w:kern w:val="0"/>
          <w:sz w:val="24"/>
          <w:szCs w:val="20"/>
          <w:highlight w:val="none"/>
        </w:rPr>
        <w:t>3</w:t>
      </w:r>
      <w:r>
        <w:rPr>
          <w:rFonts w:hint="eastAsia" w:ascii="宋体" w:hAnsi="宋体" w:cs="宋体"/>
          <w:color w:val="auto"/>
          <w:kern w:val="0"/>
          <w:sz w:val="24"/>
          <w:szCs w:val="20"/>
          <w:highlight w:val="none"/>
          <w:lang w:val="zh-CN"/>
        </w:rPr>
        <w:t>.2成交人按规定的日期、时间、地点，由法定代表人或其授权代表与采购人代表签订合同。如成交人为联合体的，由联合体成员各方法定代表人或其授权代表与采购人代表签订合同。</w:t>
      </w:r>
    </w:p>
    <w:p w14:paraId="0FF78EE2">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23.3如签订合同并生效后，供应商无故拒绝或延期，除按照合同条款处理外，列入不良行为记录一次，并给予通报。</w:t>
      </w:r>
    </w:p>
    <w:p w14:paraId="7C72782B">
      <w:pPr>
        <w:spacing w:line="360" w:lineRule="auto"/>
        <w:ind w:firstLine="480" w:firstLineChars="200"/>
        <w:rPr>
          <w:rFonts w:ascii="宋体" w:hAnsi="宋体" w:cs="宋体"/>
          <w:color w:val="auto"/>
          <w:kern w:val="0"/>
          <w:sz w:val="24"/>
          <w:szCs w:val="20"/>
          <w:highlight w:val="none"/>
        </w:rPr>
      </w:pPr>
      <w:r>
        <w:rPr>
          <w:rFonts w:hint="eastAsia" w:ascii="宋体" w:hAnsi="宋体" w:cs="宋体"/>
          <w:color w:val="auto"/>
          <w:kern w:val="0"/>
          <w:sz w:val="24"/>
          <w:szCs w:val="20"/>
          <w:highlight w:val="none"/>
        </w:rPr>
        <w:t>23.4成交供应商拒绝与采购人签订合同的，采购人可以按照评审报告推荐的成交或者成交候选人名单排序，确定下一候选人为成交供应商，也可以重新开展采购活动。</w:t>
      </w:r>
    </w:p>
    <w:p w14:paraId="2E266250">
      <w:pPr>
        <w:pStyle w:val="16"/>
        <w:spacing w:line="360" w:lineRule="auto"/>
        <w:ind w:left="479" w:hanging="479" w:hangingChars="199"/>
        <w:rPr>
          <w:rFonts w:cs="宋体"/>
          <w:b/>
          <w:color w:val="auto"/>
          <w:kern w:val="0"/>
          <w:highlight w:val="none"/>
        </w:rPr>
      </w:pPr>
      <w:r>
        <w:rPr>
          <w:rFonts w:hint="eastAsia" w:cs="宋体"/>
          <w:b/>
          <w:color w:val="auto"/>
          <w:kern w:val="0"/>
          <w:highlight w:val="none"/>
        </w:rPr>
        <w:t>24. 履约保证金</w:t>
      </w:r>
    </w:p>
    <w:p w14:paraId="543F76CC">
      <w:pPr>
        <w:tabs>
          <w:tab w:val="left" w:pos="0"/>
        </w:tabs>
        <w:snapToGrid w:val="0"/>
        <w:spacing w:line="360" w:lineRule="auto"/>
        <w:ind w:firstLine="482"/>
        <w:rPr>
          <w:rFonts w:ascii="宋体" w:hAnsi="宋体" w:cs="宋体"/>
          <w:b/>
          <w:color w:val="auto"/>
          <w:kern w:val="0"/>
          <w:sz w:val="24"/>
          <w:highlight w:val="none"/>
        </w:rPr>
      </w:pPr>
      <w:r>
        <w:rPr>
          <w:rFonts w:hint="eastAsia" w:ascii="宋体" w:hAnsi="宋体" w:cs="宋体"/>
          <w:color w:val="auto"/>
          <w:kern w:val="0"/>
          <w:sz w:val="24"/>
          <w:szCs w:val="20"/>
          <w:highlight w:val="none"/>
        </w:rPr>
        <w:t>拟签订的合同文本要求成交供应商提交履约保证金的，供应商应当以支票、汇票、本票或者金融机构、担保机构出具的保函等非现金形式提交。履约保证金的数额不得超过采购合同金额的</w:t>
      </w:r>
      <w:r>
        <w:rPr>
          <w:rFonts w:hint="eastAsia" w:ascii="宋体" w:hAnsi="宋体" w:cs="宋体"/>
          <w:color w:val="auto"/>
          <w:kern w:val="0"/>
          <w:sz w:val="24"/>
          <w:szCs w:val="20"/>
          <w:highlight w:val="none"/>
          <w:lang w:val="en-US" w:eastAsia="zh-CN"/>
        </w:rPr>
        <w:t>2</w:t>
      </w:r>
      <w:r>
        <w:rPr>
          <w:rFonts w:hint="eastAsia" w:ascii="宋体" w:hAnsi="宋体" w:cs="宋体"/>
          <w:color w:val="auto"/>
          <w:kern w:val="0"/>
          <w:sz w:val="24"/>
          <w:szCs w:val="20"/>
          <w:highlight w:val="none"/>
        </w:rPr>
        <w:t>%。鼓励和支持供应商以银行、保险公司出具的保函形式提供履约保证金。</w:t>
      </w:r>
      <w:r>
        <w:rPr>
          <w:rFonts w:hint="eastAsia" w:ascii="宋体" w:hAnsi="宋体" w:cs="宋体"/>
          <w:b/>
          <w:color w:val="auto"/>
          <w:kern w:val="0"/>
          <w:sz w:val="24"/>
          <w:highlight w:val="none"/>
        </w:rPr>
        <w:t>采购人不得拒收履约保函，项目验收结束后应及时退还。</w:t>
      </w:r>
    </w:p>
    <w:p w14:paraId="4C98AC7E">
      <w:pPr>
        <w:snapToGrid w:val="0"/>
        <w:spacing w:line="360" w:lineRule="auto"/>
        <w:jc w:val="center"/>
        <w:rPr>
          <w:rFonts w:ascii="宋体" w:hAnsi="宋体" w:cs="宋体"/>
          <w:b/>
          <w:color w:val="auto"/>
          <w:kern w:val="0"/>
          <w:sz w:val="32"/>
          <w:szCs w:val="20"/>
          <w:highlight w:val="none"/>
        </w:rPr>
      </w:pPr>
      <w:r>
        <w:rPr>
          <w:rFonts w:hint="eastAsia" w:ascii="宋体" w:hAnsi="宋体" w:cs="宋体"/>
          <w:b/>
          <w:color w:val="auto"/>
          <w:kern w:val="0"/>
          <w:sz w:val="32"/>
          <w:szCs w:val="20"/>
          <w:highlight w:val="none"/>
        </w:rPr>
        <w:t>八、电子交易活动的中止</w:t>
      </w:r>
    </w:p>
    <w:p w14:paraId="69D5D112">
      <w:pPr>
        <w:pStyle w:val="130"/>
        <w:snapToGrid w:val="0"/>
        <w:spacing w:before="0"/>
        <w:ind w:firstLine="0" w:firstLineChars="0"/>
        <w:rPr>
          <w:rFonts w:ascii="宋体" w:hAnsi="宋体" w:cs="宋体"/>
          <w:color w:val="auto"/>
          <w:kern w:val="0"/>
          <w:highlight w:val="none"/>
        </w:rPr>
      </w:pPr>
      <w:r>
        <w:rPr>
          <w:rFonts w:hint="eastAsia" w:ascii="宋体" w:hAnsi="宋体" w:cs="宋体"/>
          <w:color w:val="auto"/>
          <w:kern w:val="0"/>
          <w:highlight w:val="none"/>
        </w:rPr>
        <w:t>2</w:t>
      </w:r>
      <w:r>
        <w:rPr>
          <w:rFonts w:hint="eastAsia" w:ascii="宋体" w:hAnsi="宋体" w:cs="宋体"/>
          <w:bCs/>
          <w:color w:val="auto"/>
          <w:kern w:val="0"/>
          <w:szCs w:val="24"/>
          <w:highlight w:val="none"/>
        </w:rPr>
        <w:t>5.</w:t>
      </w:r>
      <w:r>
        <w:rPr>
          <w:rFonts w:hint="eastAsia" w:ascii="宋体" w:hAnsi="宋体" w:cs="宋体"/>
          <w:b/>
          <w:color w:val="auto"/>
          <w:kern w:val="0"/>
          <w:szCs w:val="24"/>
          <w:highlight w:val="none"/>
        </w:rPr>
        <w:t>电子交易活动的中止。</w:t>
      </w:r>
      <w:r>
        <w:rPr>
          <w:rFonts w:hint="eastAsia" w:ascii="宋体" w:hAnsi="宋体" w:cs="宋体"/>
          <w:color w:val="auto"/>
          <w:kern w:val="0"/>
          <w:highlight w:val="none"/>
        </w:rPr>
        <w:t>采购过程中出现以下情形，导致电子交易平台无法正常运行，或者无法保证电子交易的公平、公正和安全时，采购机构可中止电子交易活动：</w:t>
      </w:r>
    </w:p>
    <w:p w14:paraId="24B2BC9D">
      <w:pPr>
        <w:pStyle w:val="130"/>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 xml:space="preserve">25.1电子交易平台发生故障而无法登录访问的； </w:t>
      </w:r>
    </w:p>
    <w:p w14:paraId="533E61EC">
      <w:pPr>
        <w:pStyle w:val="130"/>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25.2电子交易平台应用或数据库出现错误，不能进行正常操作的；</w:t>
      </w:r>
    </w:p>
    <w:p w14:paraId="1F98B123">
      <w:pPr>
        <w:pStyle w:val="130"/>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25.3电子交易平台发现严重安全漏洞，有潜在泄密危险的；</w:t>
      </w:r>
    </w:p>
    <w:p w14:paraId="0B5C3AD7">
      <w:pPr>
        <w:pStyle w:val="130"/>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 xml:space="preserve">25.4病毒发作导致不能进行正常操作的； </w:t>
      </w:r>
    </w:p>
    <w:p w14:paraId="11C0CBBB">
      <w:pPr>
        <w:pStyle w:val="130"/>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25.5其他无法保证电子交易的公平、公正和安全的情况。</w:t>
      </w:r>
    </w:p>
    <w:p w14:paraId="686D2353">
      <w:pPr>
        <w:pStyle w:val="130"/>
        <w:numPr>
          <w:ilvl w:val="0"/>
          <w:numId w:val="4"/>
        </w:numPr>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735732B4">
      <w:pPr>
        <w:snapToGrid w:val="0"/>
        <w:spacing w:line="360" w:lineRule="auto"/>
        <w:jc w:val="center"/>
        <w:rPr>
          <w:rFonts w:ascii="宋体" w:hAnsi="宋体" w:cs="宋体"/>
          <w:b/>
          <w:color w:val="auto"/>
          <w:kern w:val="0"/>
          <w:sz w:val="32"/>
          <w:szCs w:val="20"/>
          <w:highlight w:val="none"/>
        </w:rPr>
      </w:pPr>
      <w:r>
        <w:rPr>
          <w:rFonts w:hint="eastAsia" w:ascii="宋体" w:hAnsi="宋体" w:cs="宋体"/>
          <w:b/>
          <w:color w:val="auto"/>
          <w:kern w:val="0"/>
          <w:sz w:val="32"/>
          <w:szCs w:val="20"/>
          <w:highlight w:val="none"/>
        </w:rPr>
        <w:t>九、验收</w:t>
      </w:r>
    </w:p>
    <w:p w14:paraId="638702D1">
      <w:pPr>
        <w:pStyle w:val="16"/>
        <w:spacing w:line="360" w:lineRule="auto"/>
        <w:ind w:firstLine="0" w:firstLineChars="0"/>
        <w:rPr>
          <w:rFonts w:cs="宋体"/>
          <w:b/>
          <w:color w:val="auto"/>
          <w:kern w:val="0"/>
          <w:highlight w:val="none"/>
        </w:rPr>
      </w:pPr>
      <w:r>
        <w:rPr>
          <w:rFonts w:hint="eastAsia" w:cs="宋体"/>
          <w:b/>
          <w:color w:val="auto"/>
          <w:kern w:val="0"/>
          <w:highlight w:val="none"/>
        </w:rPr>
        <w:t>27.验收</w:t>
      </w:r>
    </w:p>
    <w:p w14:paraId="765C628E">
      <w:pPr>
        <w:rPr>
          <w:rFonts w:ascii="宋体" w:hAnsi="宋体" w:cs="宋体"/>
          <w:b/>
          <w:color w:val="auto"/>
          <w:kern w:val="0"/>
          <w:sz w:val="36"/>
          <w:szCs w:val="36"/>
          <w:highlight w:val="none"/>
        </w:rPr>
      </w:pPr>
      <w:r>
        <w:rPr>
          <w:rFonts w:hint="eastAsia" w:ascii="宋体" w:hAnsi="宋体" w:cs="宋体"/>
          <w:color w:val="auto"/>
          <w:kern w:val="0"/>
          <w:sz w:val="24"/>
          <w:highlight w:val="none"/>
        </w:rPr>
        <w:t>27.1采购人应当组织对供应商履约的验收。</w:t>
      </w:r>
      <w:bookmarkEnd w:id="13"/>
      <w:bookmarkEnd w:id="14"/>
      <w:bookmarkEnd w:id="15"/>
      <w:bookmarkStart w:id="16" w:name="第四部分"/>
      <w:r>
        <w:rPr>
          <w:rFonts w:hint="eastAsia" w:ascii="宋体" w:hAnsi="宋体" w:cs="宋体"/>
          <w:b/>
          <w:color w:val="auto"/>
          <w:kern w:val="0"/>
          <w:sz w:val="36"/>
          <w:szCs w:val="36"/>
          <w:highlight w:val="none"/>
        </w:rPr>
        <w:br w:type="page"/>
      </w:r>
    </w:p>
    <w:p w14:paraId="792210AC">
      <w:pPr>
        <w:tabs>
          <w:tab w:val="left" w:pos="0"/>
        </w:tabs>
        <w:spacing w:line="360" w:lineRule="auto"/>
        <w:ind w:firstLine="480"/>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第三部分 采购需求</w:t>
      </w:r>
    </w:p>
    <w:p w14:paraId="2D2257BA">
      <w:pPr>
        <w:spacing w:line="360" w:lineRule="auto"/>
        <w:jc w:val="center"/>
        <w:rPr>
          <w:rFonts w:ascii="宋体" w:hAnsi="宋体"/>
          <w:b/>
          <w:color w:val="auto"/>
          <w:kern w:val="0"/>
          <w:sz w:val="24"/>
          <w:highlight w:val="none"/>
        </w:rPr>
      </w:pPr>
    </w:p>
    <w:p w14:paraId="00295579">
      <w:pPr>
        <w:spacing w:line="360" w:lineRule="auto"/>
        <w:jc w:val="center"/>
        <w:rPr>
          <w:rFonts w:ascii="宋体"/>
          <w:b/>
          <w:color w:val="auto"/>
          <w:kern w:val="0"/>
          <w:sz w:val="32"/>
          <w:szCs w:val="32"/>
          <w:highlight w:val="none"/>
        </w:rPr>
      </w:pPr>
      <w:r>
        <w:rPr>
          <w:rFonts w:hint="eastAsia" w:ascii="宋体" w:hAnsi="宋体"/>
          <w:b/>
          <w:color w:val="auto"/>
          <w:kern w:val="0"/>
          <w:sz w:val="32"/>
          <w:szCs w:val="32"/>
          <w:highlight w:val="none"/>
        </w:rPr>
        <w:t>一、交易一览表</w:t>
      </w:r>
    </w:p>
    <w:p w14:paraId="1A72A11A">
      <w:pPr>
        <w:ind w:firstLine="590" w:firstLineChars="245"/>
        <w:rPr>
          <w:rFonts w:ascii="宋体" w:hAnsi="宋体"/>
          <w:b/>
          <w:color w:val="auto"/>
          <w:kern w:val="0"/>
          <w:sz w:val="24"/>
          <w:highlight w:val="none"/>
        </w:rPr>
      </w:pPr>
      <w:r>
        <w:rPr>
          <w:rFonts w:hint="eastAsia" w:ascii="宋体" w:hAnsi="宋体"/>
          <w:b/>
          <w:color w:val="auto"/>
          <w:kern w:val="0"/>
          <w:sz w:val="24"/>
          <w:highlight w:val="none"/>
        </w:rPr>
        <w:t>标项：1</w:t>
      </w:r>
    </w:p>
    <w:tbl>
      <w:tblPr>
        <w:tblStyle w:val="63"/>
        <w:tblW w:w="8814" w:type="dxa"/>
        <w:jc w:val="center"/>
        <w:tblLayout w:type="fixed"/>
        <w:tblCellMar>
          <w:top w:w="0" w:type="dxa"/>
          <w:left w:w="0" w:type="dxa"/>
          <w:bottom w:w="0" w:type="dxa"/>
          <w:right w:w="0" w:type="dxa"/>
        </w:tblCellMar>
      </w:tblPr>
      <w:tblGrid>
        <w:gridCol w:w="705"/>
        <w:gridCol w:w="4127"/>
        <w:gridCol w:w="1800"/>
        <w:gridCol w:w="727"/>
        <w:gridCol w:w="727"/>
        <w:gridCol w:w="728"/>
      </w:tblGrid>
      <w:tr w14:paraId="5AA7F5B5">
        <w:tblPrEx>
          <w:tblCellMar>
            <w:top w:w="0" w:type="dxa"/>
            <w:left w:w="0" w:type="dxa"/>
            <w:bottom w:w="0" w:type="dxa"/>
            <w:right w:w="0" w:type="dxa"/>
          </w:tblCellMar>
        </w:tblPrEx>
        <w:trPr>
          <w:cantSplit/>
          <w:trHeight w:val="663" w:hRule="atLeast"/>
          <w:jc w:val="center"/>
        </w:trPr>
        <w:tc>
          <w:tcPr>
            <w:tcW w:w="705"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2C5AF240">
            <w:pPr>
              <w:topLinePunct/>
              <w:snapToGrid w:val="0"/>
              <w:jc w:val="center"/>
              <w:rPr>
                <w:rFonts w:ascii="宋体" w:hAnsi="宋体"/>
                <w:bCs/>
                <w:color w:val="auto"/>
                <w:kern w:val="0"/>
                <w:sz w:val="24"/>
                <w:szCs w:val="24"/>
                <w:highlight w:val="none"/>
              </w:rPr>
            </w:pPr>
            <w:r>
              <w:rPr>
                <w:rFonts w:hint="eastAsia" w:ascii="宋体" w:hAnsi="宋体"/>
                <w:bCs/>
                <w:color w:val="auto"/>
                <w:kern w:val="0"/>
                <w:sz w:val="24"/>
                <w:szCs w:val="24"/>
                <w:highlight w:val="none"/>
              </w:rPr>
              <w:t>序号</w:t>
            </w:r>
          </w:p>
        </w:tc>
        <w:tc>
          <w:tcPr>
            <w:tcW w:w="4127"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4133009A">
            <w:pPr>
              <w:topLinePunct/>
              <w:snapToGrid w:val="0"/>
              <w:jc w:val="center"/>
              <w:rPr>
                <w:rFonts w:ascii="宋体" w:hAnsi="宋体"/>
                <w:bCs/>
                <w:color w:val="auto"/>
                <w:kern w:val="0"/>
                <w:sz w:val="24"/>
                <w:szCs w:val="24"/>
                <w:highlight w:val="none"/>
              </w:rPr>
            </w:pPr>
            <w:r>
              <w:rPr>
                <w:rFonts w:hint="eastAsia" w:ascii="宋体" w:hAnsi="宋体"/>
                <w:bCs/>
                <w:color w:val="auto"/>
                <w:kern w:val="0"/>
                <w:sz w:val="24"/>
                <w:szCs w:val="24"/>
                <w:highlight w:val="none"/>
              </w:rPr>
              <w:t>名称</w:t>
            </w:r>
          </w:p>
        </w:tc>
        <w:tc>
          <w:tcPr>
            <w:tcW w:w="180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6015AA22">
            <w:pPr>
              <w:topLinePunct/>
              <w:snapToGrid w:val="0"/>
              <w:jc w:val="center"/>
              <w:rPr>
                <w:rFonts w:ascii="宋体" w:hAnsi="宋体"/>
                <w:bCs/>
                <w:color w:val="auto"/>
                <w:kern w:val="0"/>
                <w:sz w:val="24"/>
                <w:szCs w:val="24"/>
                <w:highlight w:val="none"/>
              </w:rPr>
            </w:pPr>
            <w:r>
              <w:rPr>
                <w:rFonts w:hint="eastAsia" w:ascii="宋体" w:hAnsi="宋体"/>
                <w:bCs/>
                <w:color w:val="auto"/>
                <w:kern w:val="0"/>
                <w:sz w:val="24"/>
                <w:szCs w:val="24"/>
                <w:highlight w:val="none"/>
              </w:rPr>
              <w:t>规格型号与参数</w:t>
            </w:r>
          </w:p>
        </w:tc>
        <w:tc>
          <w:tcPr>
            <w:tcW w:w="727"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45762FD7">
            <w:pPr>
              <w:topLinePunct/>
              <w:snapToGrid w:val="0"/>
              <w:jc w:val="center"/>
              <w:rPr>
                <w:rFonts w:ascii="宋体" w:hAnsi="宋体"/>
                <w:bCs/>
                <w:color w:val="auto"/>
                <w:kern w:val="0"/>
                <w:sz w:val="24"/>
                <w:szCs w:val="24"/>
                <w:highlight w:val="none"/>
              </w:rPr>
            </w:pPr>
            <w:r>
              <w:rPr>
                <w:rFonts w:hint="eastAsia" w:ascii="宋体" w:hAnsi="宋体"/>
                <w:bCs/>
                <w:color w:val="auto"/>
                <w:kern w:val="0"/>
                <w:sz w:val="24"/>
                <w:szCs w:val="24"/>
                <w:highlight w:val="none"/>
              </w:rPr>
              <w:t>单位</w:t>
            </w:r>
          </w:p>
        </w:tc>
        <w:tc>
          <w:tcPr>
            <w:tcW w:w="727"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423AE04F">
            <w:pPr>
              <w:topLinePunct/>
              <w:snapToGrid w:val="0"/>
              <w:jc w:val="center"/>
              <w:rPr>
                <w:rFonts w:ascii="宋体" w:hAnsi="宋体"/>
                <w:bCs/>
                <w:color w:val="auto"/>
                <w:kern w:val="0"/>
                <w:sz w:val="24"/>
                <w:szCs w:val="24"/>
                <w:highlight w:val="none"/>
              </w:rPr>
            </w:pPr>
            <w:r>
              <w:rPr>
                <w:rFonts w:hint="eastAsia" w:ascii="宋体" w:hAnsi="宋体"/>
                <w:bCs/>
                <w:color w:val="auto"/>
                <w:kern w:val="0"/>
                <w:sz w:val="24"/>
                <w:szCs w:val="24"/>
                <w:highlight w:val="none"/>
              </w:rPr>
              <w:t>数量</w:t>
            </w:r>
          </w:p>
        </w:tc>
        <w:tc>
          <w:tcPr>
            <w:tcW w:w="728" w:type="dxa"/>
            <w:tcBorders>
              <w:top w:val="single" w:color="auto" w:sz="4" w:space="0"/>
              <w:left w:val="nil"/>
              <w:bottom w:val="single" w:color="auto" w:sz="4" w:space="0"/>
              <w:right w:val="single" w:color="auto" w:sz="4" w:space="0"/>
            </w:tcBorders>
            <w:noWrap/>
            <w:vAlign w:val="center"/>
          </w:tcPr>
          <w:p w14:paraId="70F08A6B">
            <w:pPr>
              <w:topLinePunct/>
              <w:snapToGrid w:val="0"/>
              <w:jc w:val="center"/>
              <w:rPr>
                <w:rFonts w:ascii="宋体" w:hAnsi="宋体"/>
                <w:bCs/>
                <w:color w:val="auto"/>
                <w:kern w:val="0"/>
                <w:sz w:val="24"/>
                <w:szCs w:val="24"/>
                <w:highlight w:val="none"/>
              </w:rPr>
            </w:pPr>
            <w:r>
              <w:rPr>
                <w:rFonts w:hint="eastAsia" w:ascii="宋体" w:hAnsi="宋体"/>
                <w:bCs/>
                <w:color w:val="auto"/>
                <w:kern w:val="0"/>
                <w:sz w:val="24"/>
                <w:szCs w:val="24"/>
                <w:highlight w:val="none"/>
              </w:rPr>
              <w:t>备注</w:t>
            </w:r>
          </w:p>
        </w:tc>
      </w:tr>
      <w:tr w14:paraId="00B6EA41">
        <w:tblPrEx>
          <w:tblCellMar>
            <w:top w:w="0" w:type="dxa"/>
            <w:left w:w="0" w:type="dxa"/>
            <w:bottom w:w="0" w:type="dxa"/>
            <w:right w:w="0" w:type="dxa"/>
          </w:tblCellMar>
        </w:tblPrEx>
        <w:trPr>
          <w:cantSplit/>
          <w:trHeight w:val="927" w:hRule="atLeast"/>
          <w:jc w:val="center"/>
        </w:trPr>
        <w:tc>
          <w:tcPr>
            <w:tcW w:w="705"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69DBF1D7">
            <w:pPr>
              <w:topLinePunct/>
              <w:snapToGrid w:val="0"/>
              <w:jc w:val="center"/>
              <w:rPr>
                <w:rFonts w:ascii="宋体" w:hAnsi="宋体"/>
                <w:color w:val="auto"/>
                <w:kern w:val="0"/>
                <w:sz w:val="24"/>
                <w:szCs w:val="24"/>
                <w:highlight w:val="none"/>
              </w:rPr>
            </w:pPr>
            <w:r>
              <w:rPr>
                <w:rFonts w:hint="eastAsia" w:ascii="宋体" w:hAnsi="宋体"/>
                <w:color w:val="auto"/>
                <w:kern w:val="0"/>
                <w:sz w:val="24"/>
                <w:szCs w:val="24"/>
                <w:highlight w:val="none"/>
              </w:rPr>
              <w:t>1</w:t>
            </w:r>
          </w:p>
        </w:tc>
        <w:tc>
          <w:tcPr>
            <w:tcW w:w="4127"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0577748A">
            <w:pPr>
              <w:topLinePunct/>
              <w:snapToGrid w:val="0"/>
              <w:jc w:val="center"/>
              <w:rPr>
                <w:rFonts w:hint="default" w:eastAsia="宋体"/>
                <w:color w:val="auto"/>
                <w:kern w:val="0"/>
                <w:sz w:val="24"/>
                <w:szCs w:val="24"/>
                <w:highlight w:val="none"/>
                <w:lang w:val="en-US" w:eastAsia="zh-CN"/>
              </w:rPr>
            </w:pPr>
            <w:r>
              <w:rPr>
                <w:rFonts w:hint="eastAsia" w:ascii="宋体" w:hAnsi="宋体"/>
                <w:color w:val="auto"/>
                <w:kern w:val="0"/>
                <w:sz w:val="24"/>
                <w:szCs w:val="24"/>
                <w:highlight w:val="none"/>
                <w:lang w:val="en-US" w:eastAsia="zh-CN"/>
              </w:rPr>
              <w:t>彩虹快速路通风隔声窗安装项目</w:t>
            </w:r>
          </w:p>
        </w:tc>
        <w:tc>
          <w:tcPr>
            <w:tcW w:w="180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5A970D22">
            <w:pPr>
              <w:topLinePunct/>
              <w:snapToGrid w:val="0"/>
              <w:jc w:val="center"/>
              <w:rPr>
                <w:rFonts w:ascii="宋体" w:hAnsi="宋体"/>
                <w:color w:val="auto"/>
                <w:kern w:val="0"/>
                <w:sz w:val="24"/>
                <w:szCs w:val="24"/>
                <w:highlight w:val="none"/>
              </w:rPr>
            </w:pPr>
            <w:r>
              <w:rPr>
                <w:rFonts w:hint="eastAsia" w:ascii="宋体" w:hAnsi="宋体"/>
                <w:color w:val="auto"/>
                <w:kern w:val="0"/>
                <w:sz w:val="24"/>
                <w:szCs w:val="24"/>
                <w:highlight w:val="none"/>
              </w:rPr>
              <w:t>详见交易需求</w:t>
            </w:r>
          </w:p>
        </w:tc>
        <w:tc>
          <w:tcPr>
            <w:tcW w:w="727"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11FF6E88">
            <w:pPr>
              <w:topLinePunct/>
              <w:snapToGrid w:val="0"/>
              <w:jc w:val="center"/>
              <w:rPr>
                <w:rFonts w:ascii="宋体" w:hAnsi="宋体"/>
                <w:color w:val="auto"/>
                <w:kern w:val="0"/>
                <w:sz w:val="24"/>
                <w:szCs w:val="24"/>
                <w:highlight w:val="none"/>
              </w:rPr>
            </w:pPr>
            <w:r>
              <w:rPr>
                <w:rFonts w:hint="eastAsia" w:ascii="宋体" w:hAnsi="宋体"/>
                <w:color w:val="auto"/>
                <w:kern w:val="0"/>
                <w:sz w:val="24"/>
                <w:szCs w:val="24"/>
                <w:highlight w:val="none"/>
              </w:rPr>
              <w:t>项</w:t>
            </w:r>
          </w:p>
        </w:tc>
        <w:tc>
          <w:tcPr>
            <w:tcW w:w="727"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6D9E983B">
            <w:pPr>
              <w:topLinePunct/>
              <w:snapToGrid w:val="0"/>
              <w:jc w:val="center"/>
              <w:rPr>
                <w:rFonts w:ascii="宋体" w:hAnsi="宋体"/>
                <w:color w:val="auto"/>
                <w:kern w:val="0"/>
                <w:sz w:val="24"/>
                <w:szCs w:val="24"/>
                <w:highlight w:val="none"/>
              </w:rPr>
            </w:pPr>
            <w:r>
              <w:rPr>
                <w:rFonts w:hint="eastAsia" w:ascii="宋体" w:hAnsi="宋体"/>
                <w:color w:val="auto"/>
                <w:kern w:val="0"/>
                <w:sz w:val="24"/>
                <w:szCs w:val="24"/>
                <w:highlight w:val="none"/>
              </w:rPr>
              <w:t>1</w:t>
            </w:r>
          </w:p>
        </w:tc>
        <w:tc>
          <w:tcPr>
            <w:tcW w:w="728" w:type="dxa"/>
            <w:tcBorders>
              <w:top w:val="single" w:color="auto" w:sz="4" w:space="0"/>
              <w:left w:val="nil"/>
              <w:bottom w:val="single" w:color="auto" w:sz="4" w:space="0"/>
              <w:right w:val="single" w:color="auto" w:sz="4" w:space="0"/>
            </w:tcBorders>
            <w:noWrap/>
            <w:vAlign w:val="center"/>
          </w:tcPr>
          <w:p w14:paraId="5C7ECF4F">
            <w:pPr>
              <w:topLinePunct/>
              <w:snapToGrid w:val="0"/>
              <w:jc w:val="center"/>
              <w:rPr>
                <w:rFonts w:ascii="宋体" w:hAnsi="宋体"/>
                <w:color w:val="auto"/>
                <w:kern w:val="0"/>
                <w:sz w:val="24"/>
                <w:szCs w:val="24"/>
                <w:highlight w:val="none"/>
              </w:rPr>
            </w:pPr>
          </w:p>
        </w:tc>
      </w:tr>
    </w:tbl>
    <w:p w14:paraId="4FC6BA59">
      <w:pPr>
        <w:autoSpaceDE w:val="0"/>
        <w:autoSpaceDN w:val="0"/>
        <w:spacing w:line="300" w:lineRule="exact"/>
        <w:jc w:val="center"/>
        <w:rPr>
          <w:rFonts w:ascii="宋体" w:hAnsi="宋体"/>
          <w:b/>
          <w:color w:val="auto"/>
          <w:kern w:val="0"/>
          <w:sz w:val="18"/>
          <w:szCs w:val="18"/>
          <w:highlight w:val="none"/>
        </w:rPr>
      </w:pPr>
    </w:p>
    <w:p w14:paraId="20DAAB86">
      <w:pPr>
        <w:spacing w:line="360" w:lineRule="auto"/>
        <w:jc w:val="center"/>
        <w:rPr>
          <w:rFonts w:ascii="宋体" w:hAnsi="宋体"/>
          <w:b/>
          <w:color w:val="auto"/>
          <w:kern w:val="0"/>
          <w:sz w:val="32"/>
          <w:szCs w:val="32"/>
          <w:highlight w:val="none"/>
        </w:rPr>
      </w:pPr>
      <w:r>
        <w:rPr>
          <w:rFonts w:hint="eastAsia" w:ascii="宋体" w:hAnsi="宋体"/>
          <w:b/>
          <w:color w:val="auto"/>
          <w:kern w:val="0"/>
          <w:sz w:val="32"/>
          <w:szCs w:val="32"/>
          <w:highlight w:val="none"/>
        </w:rPr>
        <w:t>二、交易需求</w:t>
      </w:r>
    </w:p>
    <w:p w14:paraId="2536EC14">
      <w:pPr>
        <w:keepNext w:val="0"/>
        <w:keepLines w:val="0"/>
        <w:pageBreakBefore w:val="0"/>
        <w:widowControl w:val="0"/>
        <w:kinsoku/>
        <w:wordWrap/>
        <w:overflowPunct/>
        <w:topLinePunct/>
        <w:autoSpaceDE/>
        <w:autoSpaceDN/>
        <w:bidi w:val="0"/>
        <w:adjustRightInd w:val="0"/>
        <w:snapToGrid w:val="0"/>
        <w:spacing w:line="360" w:lineRule="auto"/>
        <w:textAlignment w:val="auto"/>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一、技术需求</w:t>
      </w:r>
    </w:p>
    <w:p w14:paraId="6B514252">
      <w:pPr>
        <w:pStyle w:val="44"/>
        <w:keepNext w:val="0"/>
        <w:keepLines w:val="0"/>
        <w:pageBreakBefore w:val="0"/>
        <w:widowControl w:val="0"/>
        <w:kinsoku/>
        <w:wordWrap/>
        <w:overflowPunct/>
        <w:topLinePunct/>
        <w:autoSpaceDE/>
        <w:autoSpaceDN/>
        <w:bidi w:val="0"/>
        <w:adjustRightInd w:val="0"/>
        <w:snapToGrid w:val="0"/>
        <w:spacing w:line="360" w:lineRule="auto"/>
        <w:ind w:firstLine="482" w:firstLineChars="200"/>
        <w:textAlignment w:val="auto"/>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1、项目概况</w:t>
      </w:r>
    </w:p>
    <w:p w14:paraId="08C02236">
      <w:pPr>
        <w:keepNext w:val="0"/>
        <w:keepLines w:val="0"/>
        <w:pageBreakBefore w:val="0"/>
        <w:widowControl w:val="0"/>
        <w:kinsoku/>
        <w:wordWrap/>
        <w:overflowPunct/>
        <w:autoSpaceDE/>
        <w:autoSpaceDN/>
        <w:bidi w:val="0"/>
        <w:adjustRightInd w:val="0"/>
        <w:spacing w:line="360" w:lineRule="auto"/>
        <w:textAlignment w:val="auto"/>
        <w:rPr>
          <w:rFonts w:hint="default" w:ascii="宋体" w:hAnsi="宋体" w:eastAsia="宋体" w:cs="宋体"/>
          <w:b w:val="0"/>
          <w:bCs w:val="0"/>
          <w:color w:val="auto"/>
          <w:kern w:val="0"/>
          <w:sz w:val="24"/>
          <w:highlight w:val="none"/>
          <w:lang w:val="en-US" w:eastAsia="zh-CN"/>
        </w:rPr>
      </w:pPr>
      <w:r>
        <w:rPr>
          <w:rFonts w:hint="eastAsia" w:ascii="宋体" w:hAnsi="宋体" w:cs="宋体"/>
          <w:b w:val="0"/>
          <w:bCs w:val="0"/>
          <w:color w:val="auto"/>
          <w:kern w:val="0"/>
          <w:sz w:val="24"/>
          <w:highlight w:val="none"/>
          <w:lang w:val="en-US" w:eastAsia="zh-CN"/>
        </w:rPr>
        <w:t xml:space="preserve">    根据彩虹快速路环评报告，需在美之园西区、湘湖美地小区安装通风隔声窗。</w:t>
      </w:r>
    </w:p>
    <w:p w14:paraId="026A9071">
      <w:pPr>
        <w:pStyle w:val="44"/>
        <w:keepNext w:val="0"/>
        <w:keepLines w:val="0"/>
        <w:pageBreakBefore w:val="0"/>
        <w:widowControl w:val="0"/>
        <w:kinsoku/>
        <w:wordWrap/>
        <w:overflowPunct/>
        <w:autoSpaceDE/>
        <w:autoSpaceDN/>
        <w:bidi w:val="0"/>
        <w:adjustRightInd w:val="0"/>
        <w:spacing w:line="360" w:lineRule="auto"/>
        <w:textAlignment w:val="auto"/>
        <w:rPr>
          <w:rFonts w:hint="eastAsia" w:ascii="宋体" w:hAnsi="宋体" w:cs="宋体"/>
          <w:b/>
          <w:bCs/>
          <w:color w:val="auto"/>
          <w:kern w:val="0"/>
          <w:sz w:val="24"/>
          <w:highlight w:val="none"/>
        </w:rPr>
      </w:pPr>
    </w:p>
    <w:p w14:paraId="3C3E2BF9">
      <w:pPr>
        <w:keepNext w:val="0"/>
        <w:keepLines w:val="0"/>
        <w:pageBreakBefore w:val="0"/>
        <w:widowControl w:val="0"/>
        <w:kinsoku/>
        <w:wordWrap/>
        <w:overflowPunct/>
        <w:autoSpaceDE/>
        <w:autoSpaceDN/>
        <w:bidi w:val="0"/>
        <w:adjustRightInd w:val="0"/>
        <w:spacing w:line="360" w:lineRule="auto"/>
        <w:textAlignment w:val="auto"/>
        <w:rPr>
          <w:rFonts w:hint="default" w:ascii="宋体" w:hAnsi="宋体" w:eastAsia="宋体" w:cs="宋体"/>
          <w:b/>
          <w:bCs/>
          <w:color w:val="auto"/>
          <w:kern w:val="0"/>
          <w:sz w:val="24"/>
          <w:highlight w:val="none"/>
          <w:lang w:val="en-US" w:eastAsia="zh-CN"/>
        </w:rPr>
      </w:pPr>
      <w:r>
        <w:rPr>
          <w:rFonts w:hint="eastAsia" w:ascii="宋体" w:hAnsi="宋体" w:cs="宋体"/>
          <w:b/>
          <w:bCs/>
          <w:color w:val="auto"/>
          <w:kern w:val="0"/>
          <w:sz w:val="24"/>
          <w:highlight w:val="none"/>
          <w:lang w:val="en-US" w:eastAsia="zh-CN"/>
        </w:rPr>
        <w:t xml:space="preserve">    2、技术要求</w:t>
      </w:r>
    </w:p>
    <w:p w14:paraId="3AFB8526">
      <w:pPr>
        <w:pStyle w:val="44"/>
        <w:keepNext w:val="0"/>
        <w:keepLines w:val="0"/>
        <w:pageBreakBefore w:val="0"/>
        <w:widowControl w:val="0"/>
        <w:kinsoku/>
        <w:wordWrap/>
        <w:overflowPunct/>
        <w:autoSpaceDE/>
        <w:autoSpaceDN/>
        <w:bidi w:val="0"/>
        <w:adjustRightInd w:val="0"/>
        <w:spacing w:line="360" w:lineRule="auto"/>
        <w:textAlignment w:val="auto"/>
        <w:rPr>
          <w:rFonts w:hint="default" w:ascii="宋体" w:hAnsi="宋体" w:eastAsia="宋体" w:cs="宋体"/>
          <w:b w:val="0"/>
          <w:bCs w:val="0"/>
          <w:color w:val="auto"/>
          <w:kern w:val="0"/>
          <w:sz w:val="24"/>
          <w:highlight w:val="none"/>
          <w:lang w:val="en-US" w:eastAsia="zh-CN"/>
        </w:rPr>
      </w:pPr>
      <w:r>
        <w:rPr>
          <w:rFonts w:hint="eastAsia" w:ascii="宋体" w:hAnsi="宋体" w:cs="宋体"/>
          <w:b w:val="0"/>
          <w:bCs w:val="0"/>
          <w:color w:val="auto"/>
          <w:kern w:val="0"/>
          <w:sz w:val="24"/>
          <w:highlight w:val="none"/>
          <w:lang w:val="en-US" w:eastAsia="zh-CN"/>
        </w:rPr>
        <w:t xml:space="preserve">    2.1 门窗设计说明及构造示意图详见附件。</w:t>
      </w:r>
    </w:p>
    <w:p w14:paraId="18DB6889">
      <w:pPr>
        <w:keepNext w:val="0"/>
        <w:keepLines w:val="0"/>
        <w:pageBreakBefore w:val="0"/>
        <w:widowControl w:val="0"/>
        <w:kinsoku/>
        <w:wordWrap/>
        <w:overflowPunct/>
        <w:autoSpaceDE/>
        <w:autoSpaceDN/>
        <w:bidi w:val="0"/>
        <w:adjustRightInd w:val="0"/>
        <w:spacing w:line="360" w:lineRule="auto"/>
        <w:ind w:firstLine="480" w:firstLineChars="200"/>
        <w:textAlignment w:val="auto"/>
        <w:rPr>
          <w:rFonts w:hint="eastAsia" w:ascii="宋体" w:hAnsi="宋体" w:eastAsia="宋体" w:cs="宋体"/>
          <w:b w:val="0"/>
          <w:bCs w:val="0"/>
          <w:color w:val="auto"/>
          <w:kern w:val="0"/>
          <w:sz w:val="24"/>
          <w:highlight w:val="none"/>
          <w:lang w:val="en-US" w:eastAsia="zh-CN"/>
        </w:rPr>
      </w:pPr>
      <w:r>
        <w:rPr>
          <w:rFonts w:hint="eastAsia" w:ascii="宋体" w:hAnsi="宋体" w:eastAsia="宋体" w:cs="宋体"/>
          <w:b w:val="0"/>
          <w:bCs w:val="0"/>
          <w:color w:val="auto"/>
          <w:kern w:val="0"/>
          <w:sz w:val="24"/>
          <w:highlight w:val="none"/>
          <w:lang w:val="en-US" w:eastAsia="zh-CN"/>
        </w:rPr>
        <w:t>2.2施工现场用水、用电等由中标单位自行解决，费用自理。</w:t>
      </w:r>
    </w:p>
    <w:p w14:paraId="2DD32198">
      <w:pPr>
        <w:keepNext w:val="0"/>
        <w:keepLines w:val="0"/>
        <w:pageBreakBefore w:val="0"/>
        <w:widowControl w:val="0"/>
        <w:kinsoku/>
        <w:wordWrap/>
        <w:overflowPunct/>
        <w:autoSpaceDE/>
        <w:autoSpaceDN/>
        <w:bidi w:val="0"/>
        <w:adjustRightInd w:val="0"/>
        <w:spacing w:line="360" w:lineRule="auto"/>
        <w:ind w:firstLine="480" w:firstLineChars="200"/>
        <w:textAlignment w:val="auto"/>
        <w:rPr>
          <w:rFonts w:hint="eastAsia" w:ascii="宋体" w:hAnsi="宋体" w:eastAsia="宋体" w:cs="宋体"/>
          <w:b w:val="0"/>
          <w:bCs w:val="0"/>
          <w:color w:val="auto"/>
          <w:kern w:val="0"/>
          <w:sz w:val="24"/>
          <w:highlight w:val="none"/>
          <w:lang w:val="en-US" w:eastAsia="zh-CN"/>
        </w:rPr>
      </w:pPr>
      <w:r>
        <w:rPr>
          <w:rFonts w:hint="eastAsia" w:ascii="宋体" w:hAnsi="宋体" w:eastAsia="宋体" w:cs="宋体"/>
          <w:b w:val="0"/>
          <w:bCs w:val="0"/>
          <w:color w:val="auto"/>
          <w:kern w:val="0"/>
          <w:sz w:val="24"/>
          <w:highlight w:val="none"/>
          <w:lang w:val="en-US" w:eastAsia="zh-CN"/>
        </w:rPr>
        <w:t>2.3成交人必须按采购人要求采购材料设备，材料设备进场时必须提供产品合格证、质保书及检测报告，且须经采购人签字确认，否则，采购人有权要求成交人重新采购，相关损失由成交人自行承担。材料进场前以及质保期满一年复验时，采购人有权对材料进行抽检及复检，相关检测费用由成交人承担，检测单位由甲方指定，如材料抽检不合格需全部重新采购，费用由成交人承担。</w:t>
      </w:r>
    </w:p>
    <w:p w14:paraId="269FDBF0">
      <w:pPr>
        <w:keepNext w:val="0"/>
        <w:keepLines w:val="0"/>
        <w:pageBreakBefore w:val="0"/>
        <w:widowControl w:val="0"/>
        <w:kinsoku/>
        <w:wordWrap/>
        <w:overflowPunct/>
        <w:autoSpaceDE/>
        <w:autoSpaceDN/>
        <w:bidi w:val="0"/>
        <w:adjustRightInd w:val="0"/>
        <w:spacing w:line="360" w:lineRule="auto"/>
        <w:ind w:firstLine="480" w:firstLineChars="200"/>
        <w:textAlignment w:val="auto"/>
        <w:rPr>
          <w:rFonts w:hint="eastAsia" w:ascii="宋体" w:hAnsi="宋体" w:eastAsia="宋体" w:cs="宋体"/>
          <w:b w:val="0"/>
          <w:bCs w:val="0"/>
          <w:color w:val="auto"/>
          <w:kern w:val="0"/>
          <w:sz w:val="24"/>
          <w:highlight w:val="none"/>
          <w:lang w:val="en-US" w:eastAsia="zh-CN"/>
        </w:rPr>
      </w:pPr>
      <w:r>
        <w:rPr>
          <w:rFonts w:hint="eastAsia" w:ascii="宋体" w:hAnsi="宋体" w:eastAsia="宋体" w:cs="宋体"/>
          <w:b w:val="0"/>
          <w:bCs w:val="0"/>
          <w:color w:val="auto"/>
          <w:kern w:val="0"/>
          <w:sz w:val="24"/>
          <w:highlight w:val="none"/>
          <w:lang w:val="en-US" w:eastAsia="zh-CN"/>
        </w:rPr>
        <w:t>2.4成交人需购买第三者责任险和工程一切险。</w:t>
      </w:r>
    </w:p>
    <w:p w14:paraId="3B22BB07">
      <w:pPr>
        <w:keepNext w:val="0"/>
        <w:keepLines w:val="0"/>
        <w:pageBreakBefore w:val="0"/>
        <w:widowControl w:val="0"/>
        <w:kinsoku/>
        <w:wordWrap/>
        <w:overflowPunct/>
        <w:autoSpaceDE/>
        <w:autoSpaceDN/>
        <w:bidi w:val="0"/>
        <w:adjustRightInd w:val="0"/>
        <w:spacing w:line="360" w:lineRule="auto"/>
        <w:ind w:firstLine="480"/>
        <w:textAlignment w:val="auto"/>
        <w:rPr>
          <w:rFonts w:hint="default" w:ascii="宋体" w:hAnsi="宋体" w:eastAsia="宋体" w:cs="宋体"/>
          <w:b w:val="0"/>
          <w:bCs w:val="0"/>
          <w:color w:val="auto"/>
          <w:kern w:val="0"/>
          <w:sz w:val="24"/>
          <w:highlight w:val="none"/>
          <w:lang w:val="en-US" w:eastAsia="zh-CN"/>
        </w:rPr>
      </w:pPr>
      <w:r>
        <w:rPr>
          <w:rFonts w:hint="eastAsia" w:ascii="宋体" w:hAnsi="宋体" w:eastAsia="宋体" w:cs="宋体"/>
          <w:b w:val="0"/>
          <w:bCs w:val="0"/>
          <w:color w:val="auto"/>
          <w:kern w:val="0"/>
          <w:sz w:val="24"/>
          <w:highlight w:val="none"/>
          <w:lang w:val="en-US" w:eastAsia="zh-CN"/>
        </w:rPr>
        <w:t>2.5如因项目建设质量不合格或应急事件处理不当、不及时，而导致质量、安全事故发生所产生的经济损失和法律责任由成交人承担。</w:t>
      </w:r>
    </w:p>
    <w:p w14:paraId="46B5A1C5">
      <w:pPr>
        <w:rPr>
          <w:rFonts w:hint="default" w:eastAsia="宋体"/>
          <w:color w:val="auto"/>
          <w:highlight w:val="none"/>
          <w:lang w:val="en-US" w:eastAsia="zh-CN"/>
        </w:rPr>
      </w:pPr>
    </w:p>
    <w:p w14:paraId="2747F092">
      <w:pPr>
        <w:pStyle w:val="44"/>
        <w:keepNext w:val="0"/>
        <w:keepLines w:val="0"/>
        <w:pageBreakBefore w:val="0"/>
        <w:widowControl w:val="0"/>
        <w:kinsoku/>
        <w:wordWrap/>
        <w:overflowPunct/>
        <w:autoSpaceDE/>
        <w:autoSpaceDN/>
        <w:bidi w:val="0"/>
        <w:adjustRightInd w:val="0"/>
        <w:spacing w:line="360" w:lineRule="auto"/>
        <w:textAlignment w:val="auto"/>
        <w:rPr>
          <w:rFonts w:hint="default" w:eastAsia="宋体"/>
          <w:color w:val="auto"/>
          <w:highlight w:val="none"/>
          <w:lang w:val="en-US" w:eastAsia="zh-CN"/>
        </w:rPr>
      </w:pPr>
      <w:r>
        <w:rPr>
          <w:rFonts w:hint="eastAsia"/>
          <w:color w:val="auto"/>
          <w:highlight w:val="none"/>
          <w:lang w:val="en-US" w:eastAsia="zh-CN"/>
        </w:rPr>
        <w:t xml:space="preserve">  </w:t>
      </w:r>
    </w:p>
    <w:p w14:paraId="6E39DDBA">
      <w:pPr>
        <w:pStyle w:val="44"/>
        <w:keepNext w:val="0"/>
        <w:keepLines w:val="0"/>
        <w:pageBreakBefore w:val="0"/>
        <w:widowControl w:val="0"/>
        <w:kinsoku/>
        <w:wordWrap/>
        <w:overflowPunct/>
        <w:autoSpaceDE/>
        <w:autoSpaceDN/>
        <w:bidi w:val="0"/>
        <w:adjustRightInd w:val="0"/>
        <w:spacing w:line="360" w:lineRule="auto"/>
        <w:textAlignment w:val="auto"/>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二、商务需求</w:t>
      </w:r>
    </w:p>
    <w:p w14:paraId="20789D2C">
      <w:pPr>
        <w:keepNext w:val="0"/>
        <w:keepLines w:val="0"/>
        <w:pageBreakBefore w:val="0"/>
        <w:widowControl w:val="0"/>
        <w:kinsoku/>
        <w:wordWrap/>
        <w:overflowPunct/>
        <w:topLinePunct/>
        <w:autoSpaceDE/>
        <w:autoSpaceDN/>
        <w:bidi w:val="0"/>
        <w:adjustRightInd w:val="0"/>
        <w:snapToGrid w:val="0"/>
        <w:spacing w:line="360" w:lineRule="auto"/>
        <w:ind w:firstLine="482" w:firstLineChars="200"/>
        <w:textAlignment w:val="auto"/>
        <w:rPr>
          <w:rFonts w:ascii="宋体" w:hAnsi="宋体" w:cs="宋体"/>
          <w:color w:val="auto"/>
          <w:kern w:val="0"/>
          <w:sz w:val="24"/>
          <w:highlight w:val="none"/>
        </w:rPr>
      </w:pPr>
      <w:r>
        <w:rPr>
          <w:rFonts w:hint="eastAsia" w:ascii="宋体" w:hAnsi="宋体" w:cs="宋体"/>
          <w:b/>
          <w:bCs/>
          <w:color w:val="auto"/>
          <w:kern w:val="0"/>
          <w:sz w:val="24"/>
          <w:highlight w:val="none"/>
        </w:rPr>
        <w:t>1、服务期：按采购人要求。</w:t>
      </w:r>
    </w:p>
    <w:p w14:paraId="4410B940">
      <w:pPr>
        <w:keepNext w:val="0"/>
        <w:keepLines w:val="0"/>
        <w:pageBreakBefore w:val="0"/>
        <w:widowControl w:val="0"/>
        <w:kinsoku/>
        <w:wordWrap/>
        <w:overflowPunct/>
        <w:topLinePunct/>
        <w:autoSpaceDE/>
        <w:autoSpaceDN/>
        <w:bidi w:val="0"/>
        <w:adjustRightInd w:val="0"/>
        <w:snapToGrid w:val="0"/>
        <w:spacing w:line="360" w:lineRule="auto"/>
        <w:ind w:firstLine="482" w:firstLineChars="200"/>
        <w:textAlignment w:val="auto"/>
        <w:rPr>
          <w:rFonts w:ascii="宋体" w:hAnsi="宋体" w:cs="宋体"/>
          <w:b/>
          <w:bCs/>
          <w:color w:val="auto"/>
          <w:kern w:val="0"/>
          <w:sz w:val="24"/>
          <w:highlight w:val="none"/>
        </w:rPr>
      </w:pPr>
      <w:r>
        <w:rPr>
          <w:rFonts w:hint="eastAsia" w:ascii="宋体" w:hAnsi="宋体" w:cs="宋体"/>
          <w:b/>
          <w:bCs/>
          <w:color w:val="auto"/>
          <w:kern w:val="0"/>
          <w:sz w:val="24"/>
          <w:highlight w:val="none"/>
        </w:rPr>
        <w:t>2、质量要求：达到现行国家有关工程施工验收规范和标准的合格要求。</w:t>
      </w:r>
    </w:p>
    <w:p w14:paraId="457DCC26">
      <w:pPr>
        <w:keepNext w:val="0"/>
        <w:keepLines w:val="0"/>
        <w:pageBreakBefore w:val="0"/>
        <w:widowControl w:val="0"/>
        <w:kinsoku/>
        <w:wordWrap/>
        <w:overflowPunct/>
        <w:topLinePunct/>
        <w:autoSpaceDE/>
        <w:autoSpaceDN/>
        <w:bidi w:val="0"/>
        <w:adjustRightInd w:val="0"/>
        <w:snapToGrid w:val="0"/>
        <w:spacing w:line="360" w:lineRule="auto"/>
        <w:ind w:firstLine="482" w:firstLineChars="200"/>
        <w:textAlignment w:val="auto"/>
        <w:rPr>
          <w:rFonts w:hint="default" w:ascii="宋体" w:hAnsi="宋体" w:eastAsia="宋体" w:cs="宋体"/>
          <w:b/>
          <w:bCs/>
          <w:color w:val="auto"/>
          <w:kern w:val="0"/>
          <w:sz w:val="24"/>
          <w:highlight w:val="none"/>
          <w:lang w:val="en-US" w:eastAsia="zh-CN"/>
        </w:rPr>
      </w:pPr>
      <w:r>
        <w:rPr>
          <w:rFonts w:hint="eastAsia" w:ascii="宋体" w:hAnsi="宋体" w:cs="宋体"/>
          <w:b/>
          <w:bCs/>
          <w:color w:val="auto"/>
          <w:kern w:val="0"/>
          <w:sz w:val="24"/>
          <w:highlight w:val="none"/>
        </w:rPr>
        <w:t>3、</w:t>
      </w:r>
      <w:r>
        <w:rPr>
          <w:rFonts w:hint="eastAsia" w:ascii="宋体" w:hAnsi="宋体" w:cs="宋体"/>
          <w:b/>
          <w:bCs/>
          <w:color w:val="auto"/>
          <w:kern w:val="0"/>
          <w:sz w:val="24"/>
          <w:highlight w:val="none"/>
          <w:lang w:val="en-US" w:eastAsia="zh-CN"/>
        </w:rPr>
        <w:t>本项目价格包含通风隔声窗、隐形纱窗安装费用（含主材及制作、运输、安装费用等）、工程其他费用（含建筑物外立面修复费、住户修复费、进户协调费等），本项目暂定面积为3000平方米，单方报价最高限价为2400元/平方米。</w:t>
      </w:r>
    </w:p>
    <w:p w14:paraId="480BD73A">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kern w:val="0"/>
          <w:sz w:val="24"/>
          <w:highlight w:val="none"/>
        </w:rPr>
        <w:t>4、供应商应充分考虑</w:t>
      </w:r>
      <w:r>
        <w:rPr>
          <w:rFonts w:hint="eastAsia" w:ascii="宋体" w:hAnsi="宋体" w:cs="宋体"/>
          <w:color w:val="auto"/>
          <w:kern w:val="0"/>
          <w:sz w:val="24"/>
          <w:highlight w:val="none"/>
          <w:lang w:val="en-US" w:eastAsia="zh-CN"/>
        </w:rPr>
        <w:t>服务</w:t>
      </w:r>
      <w:r>
        <w:rPr>
          <w:rFonts w:hint="eastAsia" w:ascii="宋体" w:hAnsi="宋体" w:cs="宋体"/>
          <w:color w:val="auto"/>
          <w:kern w:val="0"/>
          <w:sz w:val="24"/>
          <w:highlight w:val="none"/>
        </w:rPr>
        <w:t>期间各类价格的风险、物价上涨因素、国家政策性调整风险和自然条件，成交</w:t>
      </w:r>
      <w:r>
        <w:rPr>
          <w:rFonts w:hint="eastAsia" w:ascii="宋体" w:hAnsi="宋体" w:cs="宋体"/>
          <w:color w:val="auto"/>
          <w:kern w:val="0"/>
          <w:sz w:val="24"/>
          <w:highlight w:val="none"/>
          <w:lang w:val="en-US" w:eastAsia="zh-CN"/>
        </w:rPr>
        <w:t>单</w:t>
      </w:r>
      <w:r>
        <w:rPr>
          <w:rFonts w:hint="eastAsia" w:ascii="宋体" w:hAnsi="宋体" w:cs="宋体"/>
          <w:color w:val="auto"/>
          <w:kern w:val="0"/>
          <w:sz w:val="24"/>
          <w:highlight w:val="none"/>
        </w:rPr>
        <w:t>价一次性包干，今后不作任何调整。</w:t>
      </w:r>
    </w:p>
    <w:p w14:paraId="5F480201">
      <w:pPr>
        <w:keepNext w:val="0"/>
        <w:keepLines w:val="0"/>
        <w:pageBreakBefore w:val="0"/>
        <w:widowControl w:val="0"/>
        <w:kinsoku/>
        <w:wordWrap/>
        <w:overflowPunct/>
        <w:topLinePunct/>
        <w:autoSpaceDE/>
        <w:autoSpaceDN/>
        <w:bidi w:val="0"/>
        <w:adjustRightInd w:val="0"/>
        <w:snapToGrid w:val="0"/>
        <w:spacing w:line="360" w:lineRule="auto"/>
        <w:ind w:firstLine="482" w:firstLineChars="200"/>
        <w:textAlignment w:val="auto"/>
        <w:rPr>
          <w:rFonts w:ascii="宋体" w:hAnsi="宋体" w:cs="宋体"/>
          <w:color w:val="auto"/>
          <w:kern w:val="0"/>
          <w:sz w:val="24"/>
          <w:highlight w:val="none"/>
        </w:rPr>
      </w:pPr>
      <w:r>
        <w:rPr>
          <w:rFonts w:hint="eastAsia" w:ascii="宋体" w:hAnsi="宋体" w:cs="宋体"/>
          <w:b/>
          <w:bCs/>
          <w:color w:val="auto"/>
          <w:kern w:val="0"/>
          <w:sz w:val="24"/>
          <w:highlight w:val="none"/>
          <w:lang w:val="en-US" w:eastAsia="zh-CN"/>
        </w:rPr>
        <w:t>7</w:t>
      </w:r>
      <w:r>
        <w:rPr>
          <w:rFonts w:hint="eastAsia" w:ascii="宋体" w:hAnsi="宋体" w:cs="宋体"/>
          <w:b/>
          <w:bCs/>
          <w:color w:val="auto"/>
          <w:kern w:val="0"/>
          <w:sz w:val="24"/>
          <w:highlight w:val="none"/>
        </w:rPr>
        <w:t>、付款方式</w:t>
      </w:r>
    </w:p>
    <w:p w14:paraId="034DE373">
      <w:pPr>
        <w:keepNext w:val="0"/>
        <w:keepLines w:val="0"/>
        <w:pageBreakBefore w:val="0"/>
        <w:widowControl w:val="0"/>
        <w:kinsoku/>
        <w:wordWrap/>
        <w:overflowPunct/>
        <w:autoSpaceDE/>
        <w:autoSpaceDN/>
        <w:bidi w:val="0"/>
        <w:adjustRightInd w:val="0"/>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（1）合同签订前，成交人向采购人提交成交价的</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%作为履约保证金；</w:t>
      </w:r>
    </w:p>
    <w:p w14:paraId="1DE721ED">
      <w:pPr>
        <w:keepNext w:val="0"/>
        <w:keepLines w:val="0"/>
        <w:pageBreakBefore w:val="0"/>
        <w:widowControl w:val="0"/>
        <w:kinsoku/>
        <w:wordWrap/>
        <w:overflowPunct/>
        <w:autoSpaceDE/>
        <w:autoSpaceDN/>
        <w:bidi w:val="0"/>
        <w:adjustRightIn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合同签订后支付合同价的10%；每个月按已完成</w:t>
      </w:r>
      <w:r>
        <w:rPr>
          <w:rFonts w:hint="eastAsia" w:ascii="宋体" w:hAnsi="宋体" w:eastAsia="宋体" w:cs="宋体"/>
          <w:color w:val="auto"/>
          <w:sz w:val="24"/>
          <w:highlight w:val="none"/>
          <w:lang w:val="en-US" w:eastAsia="zh-CN"/>
        </w:rPr>
        <w:t>工程量</w:t>
      </w:r>
      <w:r>
        <w:rPr>
          <w:rFonts w:hint="eastAsia" w:ascii="宋体" w:hAnsi="宋体" w:cs="宋体"/>
          <w:color w:val="auto"/>
          <w:sz w:val="24"/>
          <w:highlight w:val="none"/>
          <w:lang w:val="en-US" w:eastAsia="zh-CN"/>
        </w:rPr>
        <w:t>的7</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进行支付</w:t>
      </w:r>
      <w:r>
        <w:rPr>
          <w:rFonts w:hint="eastAsia" w:ascii="宋体" w:hAnsi="宋体" w:eastAsia="宋体" w:cs="宋体"/>
          <w:color w:val="auto"/>
          <w:sz w:val="24"/>
          <w:highlight w:val="none"/>
          <w:lang w:val="en-US" w:eastAsia="zh-CN"/>
        </w:rPr>
        <w:t>； 待项目竣工验收合格后</w:t>
      </w:r>
      <w:r>
        <w:rPr>
          <w:rFonts w:hint="eastAsia" w:ascii="宋体" w:hAnsi="宋体" w:cs="宋体"/>
          <w:color w:val="auto"/>
          <w:sz w:val="24"/>
          <w:highlight w:val="none"/>
          <w:lang w:val="en-US" w:eastAsia="zh-CN"/>
        </w:rPr>
        <w:t>支付至结算价的95%（并无息</w:t>
      </w:r>
      <w:r>
        <w:rPr>
          <w:rFonts w:hint="eastAsia" w:ascii="宋体" w:hAnsi="宋体" w:cs="宋体"/>
          <w:color w:val="auto"/>
          <w:sz w:val="24"/>
          <w:highlight w:val="none"/>
        </w:rPr>
        <w:t>退还履约保证金</w:t>
      </w:r>
      <w:r>
        <w:rPr>
          <w:rFonts w:hint="eastAsia" w:ascii="宋体" w:hAnsi="宋体" w:cs="宋体"/>
          <w:color w:val="auto"/>
          <w:sz w:val="24"/>
          <w:highlight w:val="none"/>
          <w:lang w:val="en-US" w:eastAsia="zh-CN"/>
        </w:rPr>
        <w:t>），剩余费用待质保期满后一次性支付</w:t>
      </w:r>
      <w:r>
        <w:rPr>
          <w:rFonts w:hint="eastAsia" w:ascii="宋体" w:hAnsi="宋体" w:eastAsia="宋体" w:cs="宋体"/>
          <w:color w:val="auto"/>
          <w:sz w:val="24"/>
          <w:highlight w:val="none"/>
          <w:lang w:val="en-US" w:eastAsia="zh-CN"/>
        </w:rPr>
        <w:t>。</w:t>
      </w:r>
    </w:p>
    <w:p w14:paraId="7295F09F">
      <w:pPr>
        <w:keepNext w:val="0"/>
        <w:keepLines w:val="0"/>
        <w:pageBreakBefore w:val="0"/>
        <w:widowControl w:val="0"/>
        <w:kinsoku/>
        <w:wordWrap/>
        <w:overflowPunct/>
        <w:autoSpaceDE/>
        <w:autoSpaceDN/>
        <w:bidi w:val="0"/>
        <w:adjustRightInd w:val="0"/>
        <w:spacing w:line="360" w:lineRule="auto"/>
        <w:ind w:firstLine="480" w:firstLineChars="200"/>
        <w:textAlignment w:val="auto"/>
        <w:rPr>
          <w:rFonts w:ascii="宋体" w:hAnsi="宋体" w:cs="宋体"/>
          <w:b w:val="0"/>
          <w:bCs w:val="0"/>
          <w:color w:val="auto"/>
          <w:sz w:val="24"/>
          <w:highlight w:val="none"/>
        </w:rPr>
      </w:pPr>
      <w:r>
        <w:rPr>
          <w:rFonts w:hint="eastAsia" w:ascii="宋体" w:hAnsi="宋体" w:cs="宋体"/>
          <w:b w:val="0"/>
          <w:bCs w:val="0"/>
          <w:color w:val="auto"/>
          <w:sz w:val="24"/>
          <w:highlight w:val="none"/>
          <w:lang w:val="en-US" w:eastAsia="zh-CN"/>
        </w:rPr>
        <w:t>8</w:t>
      </w:r>
      <w:r>
        <w:rPr>
          <w:rFonts w:hint="eastAsia" w:ascii="宋体" w:hAnsi="宋体" w:cs="宋体"/>
          <w:b w:val="0"/>
          <w:bCs w:val="0"/>
          <w:color w:val="auto"/>
          <w:sz w:val="24"/>
          <w:highlight w:val="none"/>
        </w:rPr>
        <w:t>、结算方式</w:t>
      </w:r>
    </w:p>
    <w:p w14:paraId="65A05A18">
      <w:pPr>
        <w:keepNext w:val="0"/>
        <w:keepLines w:val="0"/>
        <w:pageBreakBefore w:val="0"/>
        <w:widowControl w:val="0"/>
        <w:kinsoku/>
        <w:wordWrap/>
        <w:overflowPunct/>
        <w:autoSpaceDE/>
        <w:autoSpaceDN/>
        <w:bidi w:val="0"/>
        <w:adjustRightInd w:val="0"/>
        <w:spacing w:line="360" w:lineRule="auto"/>
        <w:ind w:firstLine="480" w:firstLineChars="200"/>
        <w:textAlignment w:val="auto"/>
        <w:rPr>
          <w:rFonts w:hint="eastAsia" w:ascii="宋体" w:hAnsi="宋体" w:cs="仿宋"/>
          <w:b w:val="0"/>
          <w:bCs w:val="0"/>
          <w:color w:val="auto"/>
          <w:sz w:val="24"/>
          <w:highlight w:val="none"/>
          <w:lang w:val="zh-TW" w:bidi="zh-CN"/>
        </w:rPr>
      </w:pPr>
      <w:r>
        <w:rPr>
          <w:rFonts w:hint="eastAsia" w:ascii="宋体" w:hAnsi="宋体" w:cs="宋体"/>
          <w:b w:val="0"/>
          <w:bCs w:val="0"/>
          <w:color w:val="auto"/>
          <w:sz w:val="24"/>
          <w:highlight w:val="none"/>
        </w:rPr>
        <w:t>最终按实际完成工程量*成交单价进行结算。</w:t>
      </w:r>
    </w:p>
    <w:p w14:paraId="34B51A0B">
      <w:pPr>
        <w:keepNext w:val="0"/>
        <w:keepLines w:val="0"/>
        <w:pageBreakBefore w:val="0"/>
        <w:widowControl w:val="0"/>
        <w:kinsoku/>
        <w:wordWrap/>
        <w:overflowPunct/>
        <w:autoSpaceDE/>
        <w:autoSpaceDN/>
        <w:bidi w:val="0"/>
        <w:adjustRightInd w:val="0"/>
        <w:spacing w:line="360" w:lineRule="auto"/>
        <w:ind w:firstLine="482" w:firstLineChars="200"/>
        <w:textAlignment w:val="auto"/>
        <w:rPr>
          <w:rFonts w:ascii="宋体" w:hAnsi="宋体" w:cs="宋体"/>
          <w:b/>
          <w:color w:val="auto"/>
          <w:kern w:val="0"/>
          <w:sz w:val="24"/>
          <w:highlight w:val="none"/>
        </w:rPr>
      </w:pPr>
      <w:r>
        <w:rPr>
          <w:rFonts w:hint="eastAsia" w:ascii="宋体" w:hAnsi="宋体" w:eastAsia="宋体" w:cs="宋体"/>
          <w:b/>
          <w:bCs/>
          <w:color w:val="auto"/>
          <w:sz w:val="24"/>
          <w:highlight w:val="none"/>
        </w:rPr>
        <w:br w:type="textWrapping"/>
      </w:r>
      <w:r>
        <w:rPr>
          <w:rFonts w:hint="eastAsia" w:ascii="宋体" w:hAnsi="宋体" w:cs="宋体"/>
          <w:b/>
          <w:color w:val="auto"/>
          <w:kern w:val="0"/>
          <w:sz w:val="24"/>
          <w:highlight w:val="none"/>
        </w:rPr>
        <w:t>注：</w:t>
      </w:r>
    </w:p>
    <w:p w14:paraId="218A39CF">
      <w:pPr>
        <w:pStyle w:val="130"/>
        <w:topLinePunct/>
        <w:spacing w:before="0"/>
        <w:ind w:firstLine="480"/>
        <w:rPr>
          <w:rFonts w:ascii="宋体" w:hAnsi="宋体" w:cs="宋体"/>
          <w:color w:val="auto"/>
          <w:kern w:val="0"/>
          <w:highlight w:val="none"/>
        </w:rPr>
      </w:pPr>
      <w:r>
        <w:rPr>
          <w:rFonts w:hint="eastAsia" w:ascii="宋体" w:hAnsi="宋体" w:cs="宋体"/>
          <w:color w:val="auto"/>
          <w:kern w:val="0"/>
          <w:highlight w:val="none"/>
        </w:rPr>
        <w:t>1、除标注的参考品牌外，欢迎其它能满足本项目技术需求且性能与所注品牌相当的产品参与。</w:t>
      </w:r>
    </w:p>
    <w:p w14:paraId="69F8ED48">
      <w:pPr>
        <w:pStyle w:val="130"/>
        <w:topLinePunct/>
        <w:spacing w:before="0"/>
        <w:ind w:firstLine="480"/>
        <w:rPr>
          <w:rFonts w:ascii="宋体" w:hAnsi="宋体" w:cs="宋体"/>
          <w:color w:val="auto"/>
          <w:kern w:val="0"/>
          <w:highlight w:val="none"/>
        </w:rPr>
      </w:pPr>
      <w:r>
        <w:rPr>
          <w:rFonts w:hint="eastAsia" w:ascii="宋体" w:hAnsi="宋体" w:cs="宋体"/>
          <w:color w:val="auto"/>
          <w:kern w:val="0"/>
          <w:highlight w:val="none"/>
        </w:rPr>
        <w:t>2、如有附图，仅作参考。</w:t>
      </w:r>
    </w:p>
    <w:p w14:paraId="170A8360">
      <w:pPr>
        <w:pStyle w:val="130"/>
        <w:topLinePunct/>
        <w:spacing w:before="0"/>
        <w:ind w:firstLine="480"/>
        <w:rPr>
          <w:rFonts w:ascii="宋体" w:hAnsi="宋体" w:cs="宋体"/>
          <w:color w:val="auto"/>
          <w:kern w:val="0"/>
          <w:highlight w:val="none"/>
        </w:rPr>
      </w:pPr>
      <w:r>
        <w:rPr>
          <w:rFonts w:hint="eastAsia" w:ascii="宋体" w:hAnsi="宋体" w:cs="宋体"/>
          <w:color w:val="auto"/>
          <w:kern w:val="0"/>
          <w:highlight w:val="none"/>
        </w:rPr>
        <w:t>3、打▲内容为实质性要求，不允许有负偏离，否则将以涉及无效响应条款作无效响应。</w:t>
      </w:r>
    </w:p>
    <w:p w14:paraId="067D9AA9">
      <w:pPr>
        <w:pStyle w:val="130"/>
        <w:topLinePunct/>
        <w:spacing w:before="0"/>
        <w:ind w:firstLine="480"/>
        <w:rPr>
          <w:rFonts w:ascii="宋体" w:hAnsi="宋体" w:cs="宋体"/>
          <w:color w:val="auto"/>
          <w:kern w:val="0"/>
          <w:highlight w:val="none"/>
        </w:rPr>
        <w:sectPr>
          <w:headerReference r:id="rId4" w:type="first"/>
          <w:footerReference r:id="rId6" w:type="first"/>
          <w:headerReference r:id="rId3" w:type="default"/>
          <w:footerReference r:id="rId5" w:type="default"/>
          <w:pgSz w:w="11906" w:h="16838"/>
          <w:pgMar w:top="1440" w:right="1440" w:bottom="1440" w:left="1440"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cs="宋体"/>
          <w:color w:val="auto"/>
          <w:kern w:val="0"/>
          <w:highlight w:val="none"/>
        </w:rPr>
        <w:t>4、成交人所提供的货物、服务须与响应承诺一致，不得以次充好、偷工减料，若在项目验收中发现有上述情况，将向有关部门举报，根据相关规定进行处理。</w:t>
      </w:r>
    </w:p>
    <w:p w14:paraId="5AEE6915">
      <w:pPr>
        <w:spacing w:line="360" w:lineRule="exact"/>
        <w:rPr>
          <w:rFonts w:ascii="宋体" w:hAnsi="宋体" w:cs="宋体"/>
          <w:b/>
          <w:color w:val="auto"/>
          <w:kern w:val="0"/>
          <w:sz w:val="24"/>
          <w:highlight w:val="none"/>
        </w:rPr>
      </w:pPr>
    </w:p>
    <w:p w14:paraId="7DF15073">
      <w:pPr>
        <w:snapToGrid w:val="0"/>
        <w:spacing w:line="520" w:lineRule="exact"/>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第四部分</w:t>
      </w:r>
      <w:bookmarkStart w:id="17" w:name="_Toc184310331"/>
      <w:bookmarkEnd w:id="17"/>
      <w:bookmarkStart w:id="18" w:name="_Toc184308048"/>
      <w:bookmarkEnd w:id="18"/>
      <w:bookmarkStart w:id="19" w:name="_Toc184314430"/>
      <w:bookmarkEnd w:id="19"/>
      <w:bookmarkStart w:id="20" w:name="_Toc184308076"/>
      <w:bookmarkEnd w:id="20"/>
      <w:bookmarkStart w:id="21" w:name="_Toc184310272"/>
      <w:bookmarkEnd w:id="21"/>
      <w:bookmarkStart w:id="22" w:name="_Toc184312127"/>
      <w:bookmarkEnd w:id="22"/>
      <w:bookmarkStart w:id="23" w:name="_Toc184313309"/>
      <w:bookmarkEnd w:id="23"/>
      <w:bookmarkStart w:id="24" w:name="_Toc184312093"/>
      <w:bookmarkEnd w:id="24"/>
      <w:bookmarkStart w:id="25" w:name="_Toc184314445"/>
      <w:bookmarkEnd w:id="25"/>
      <w:bookmarkStart w:id="26" w:name="_Toc184314466"/>
      <w:bookmarkEnd w:id="26"/>
      <w:bookmarkStart w:id="27" w:name="_Toc184313297"/>
      <w:bookmarkEnd w:id="27"/>
      <w:bookmarkStart w:id="28" w:name="_Toc184308038"/>
      <w:bookmarkEnd w:id="28"/>
      <w:bookmarkStart w:id="29" w:name="_Toc184310290"/>
      <w:bookmarkEnd w:id="29"/>
      <w:bookmarkStart w:id="30" w:name="_Toc184314415"/>
      <w:bookmarkEnd w:id="30"/>
      <w:bookmarkStart w:id="31" w:name="_Toc184308036"/>
      <w:bookmarkEnd w:id="31"/>
      <w:bookmarkStart w:id="32" w:name="_Toc184312095"/>
      <w:bookmarkEnd w:id="32"/>
      <w:bookmarkStart w:id="33" w:name="_Toc184312129"/>
      <w:bookmarkEnd w:id="33"/>
      <w:bookmarkStart w:id="34" w:name="_Toc184312087"/>
      <w:bookmarkEnd w:id="34"/>
      <w:bookmarkStart w:id="35" w:name="_Toc184313266"/>
      <w:bookmarkEnd w:id="35"/>
      <w:bookmarkStart w:id="36" w:name="_Toc184312083"/>
      <w:bookmarkEnd w:id="36"/>
      <w:bookmarkStart w:id="37" w:name="_Toc184312104"/>
      <w:bookmarkEnd w:id="37"/>
      <w:bookmarkStart w:id="38" w:name="_Toc184308087"/>
      <w:bookmarkEnd w:id="38"/>
      <w:bookmarkStart w:id="39" w:name="_Toc184313274"/>
      <w:bookmarkEnd w:id="39"/>
      <w:bookmarkStart w:id="40" w:name="_Toc184312091"/>
      <w:bookmarkEnd w:id="40"/>
      <w:bookmarkStart w:id="41" w:name="_Toc184314446"/>
      <w:bookmarkEnd w:id="41"/>
      <w:bookmarkStart w:id="42" w:name="_Toc184312079"/>
      <w:bookmarkEnd w:id="42"/>
      <w:bookmarkStart w:id="43" w:name="_Toc184312107"/>
      <w:bookmarkEnd w:id="43"/>
      <w:bookmarkStart w:id="44" w:name="_Toc184313282"/>
      <w:bookmarkEnd w:id="44"/>
      <w:bookmarkStart w:id="45" w:name="_Toc184308039"/>
      <w:bookmarkEnd w:id="45"/>
      <w:bookmarkStart w:id="46" w:name="_Toc184310337"/>
      <w:bookmarkEnd w:id="46"/>
      <w:bookmarkStart w:id="47" w:name="_Toc184314447"/>
      <w:bookmarkEnd w:id="47"/>
      <w:bookmarkStart w:id="48" w:name="_Toc184308103"/>
      <w:bookmarkEnd w:id="48"/>
      <w:bookmarkStart w:id="49" w:name="_Toc184312131"/>
      <w:bookmarkEnd w:id="49"/>
      <w:bookmarkStart w:id="50" w:name="_Toc184310294"/>
      <w:bookmarkEnd w:id="50"/>
      <w:bookmarkStart w:id="51" w:name="_Toc184310276"/>
      <w:bookmarkEnd w:id="51"/>
      <w:bookmarkStart w:id="52" w:name="_Toc184314420"/>
      <w:bookmarkEnd w:id="52"/>
      <w:bookmarkStart w:id="53" w:name="_Toc184312082"/>
      <w:bookmarkEnd w:id="53"/>
      <w:bookmarkStart w:id="54" w:name="_Toc184310323"/>
      <w:bookmarkEnd w:id="54"/>
      <w:bookmarkStart w:id="55" w:name="_Toc184312068"/>
      <w:bookmarkEnd w:id="55"/>
      <w:bookmarkStart w:id="56" w:name="_Toc184314432"/>
      <w:bookmarkEnd w:id="56"/>
      <w:bookmarkStart w:id="57" w:name="_Toc184312109"/>
      <w:bookmarkEnd w:id="57"/>
      <w:bookmarkStart w:id="58" w:name="_Toc184314463"/>
      <w:bookmarkEnd w:id="58"/>
      <w:bookmarkStart w:id="59" w:name="_Toc184310308"/>
      <w:bookmarkEnd w:id="59"/>
      <w:bookmarkStart w:id="60" w:name="_Toc184310289"/>
      <w:bookmarkEnd w:id="60"/>
      <w:bookmarkStart w:id="61" w:name="_Toc184312133"/>
      <w:bookmarkEnd w:id="61"/>
      <w:bookmarkStart w:id="62" w:name="_Toc184313263"/>
      <w:bookmarkEnd w:id="62"/>
      <w:bookmarkStart w:id="63" w:name="_Toc184310329"/>
      <w:bookmarkEnd w:id="63"/>
      <w:bookmarkStart w:id="64" w:name="_Toc184313269"/>
      <w:bookmarkEnd w:id="64"/>
      <w:bookmarkStart w:id="65" w:name="_Toc184308071"/>
      <w:bookmarkEnd w:id="65"/>
      <w:bookmarkStart w:id="66" w:name="_Toc184310317"/>
      <w:bookmarkEnd w:id="66"/>
      <w:bookmarkStart w:id="67" w:name="_Toc184310282"/>
      <w:bookmarkEnd w:id="67"/>
      <w:bookmarkStart w:id="68" w:name="_Toc184313265"/>
      <w:bookmarkEnd w:id="68"/>
      <w:bookmarkStart w:id="69" w:name="_Toc184313272"/>
      <w:bookmarkEnd w:id="69"/>
      <w:bookmarkStart w:id="70" w:name="_Toc184308070"/>
      <w:bookmarkEnd w:id="70"/>
      <w:bookmarkStart w:id="71" w:name="_Toc184312084"/>
      <w:bookmarkEnd w:id="71"/>
      <w:bookmarkStart w:id="72" w:name="_Toc184313284"/>
      <w:bookmarkEnd w:id="72"/>
      <w:bookmarkStart w:id="73" w:name="_Toc184313294"/>
      <w:bookmarkEnd w:id="73"/>
      <w:bookmarkStart w:id="74" w:name="_Toc184314459"/>
      <w:bookmarkEnd w:id="74"/>
      <w:bookmarkStart w:id="75" w:name="_Toc184310293"/>
      <w:bookmarkEnd w:id="75"/>
      <w:bookmarkStart w:id="76" w:name="_Toc184312085"/>
      <w:bookmarkEnd w:id="76"/>
      <w:bookmarkStart w:id="77" w:name="_Toc184313276"/>
      <w:bookmarkEnd w:id="77"/>
      <w:bookmarkStart w:id="78" w:name="_Toc184310325"/>
      <w:bookmarkEnd w:id="78"/>
      <w:bookmarkStart w:id="79" w:name="_Toc184313286"/>
      <w:bookmarkEnd w:id="79"/>
      <w:bookmarkStart w:id="80" w:name="_Toc184313261"/>
      <w:bookmarkEnd w:id="80"/>
      <w:bookmarkStart w:id="81" w:name="_Toc184308047"/>
      <w:bookmarkEnd w:id="81"/>
      <w:bookmarkStart w:id="82" w:name="_Toc184312139"/>
      <w:bookmarkEnd w:id="82"/>
      <w:bookmarkStart w:id="83" w:name="_Toc184313242"/>
      <w:bookmarkEnd w:id="83"/>
      <w:bookmarkStart w:id="84" w:name="_Toc184312088"/>
      <w:bookmarkEnd w:id="84"/>
      <w:bookmarkStart w:id="85" w:name="_Toc184312089"/>
      <w:bookmarkEnd w:id="85"/>
      <w:bookmarkStart w:id="86" w:name="_Toc184308045"/>
      <w:bookmarkEnd w:id="86"/>
      <w:bookmarkStart w:id="87" w:name="_Toc184312128"/>
      <w:bookmarkEnd w:id="87"/>
      <w:bookmarkStart w:id="88" w:name="_Toc184314423"/>
      <w:bookmarkEnd w:id="88"/>
      <w:bookmarkStart w:id="89" w:name="_Toc184310295"/>
      <w:bookmarkEnd w:id="89"/>
      <w:bookmarkStart w:id="90" w:name="_Toc184314456"/>
      <w:bookmarkEnd w:id="90"/>
      <w:bookmarkStart w:id="91" w:name="_Toc184313305"/>
      <w:bookmarkEnd w:id="91"/>
      <w:bookmarkStart w:id="92" w:name="_Toc184308073"/>
      <w:bookmarkEnd w:id="92"/>
      <w:bookmarkStart w:id="93" w:name="_Toc184313239"/>
      <w:bookmarkEnd w:id="93"/>
      <w:bookmarkStart w:id="94" w:name="_Toc184314454"/>
      <w:bookmarkEnd w:id="94"/>
      <w:bookmarkStart w:id="95" w:name="_Toc184308102"/>
      <w:bookmarkEnd w:id="95"/>
      <w:bookmarkStart w:id="96" w:name="_Toc184308084"/>
      <w:bookmarkEnd w:id="96"/>
      <w:bookmarkStart w:id="97" w:name="_Toc184314462"/>
      <w:bookmarkEnd w:id="97"/>
      <w:bookmarkStart w:id="98" w:name="_Toc184308058"/>
      <w:bookmarkEnd w:id="98"/>
      <w:bookmarkStart w:id="99" w:name="_Toc184313304"/>
      <w:bookmarkEnd w:id="99"/>
      <w:bookmarkStart w:id="100" w:name="_Toc184310273"/>
      <w:bookmarkEnd w:id="100"/>
      <w:bookmarkStart w:id="101" w:name="_Toc184308096"/>
      <w:bookmarkEnd w:id="101"/>
      <w:bookmarkStart w:id="102" w:name="_Toc184312125"/>
      <w:bookmarkEnd w:id="102"/>
      <w:bookmarkStart w:id="103" w:name="_Toc184313303"/>
      <w:bookmarkEnd w:id="103"/>
      <w:bookmarkStart w:id="104" w:name="_Toc184314473"/>
      <w:bookmarkEnd w:id="104"/>
      <w:bookmarkStart w:id="105" w:name="_Toc184308090"/>
      <w:bookmarkEnd w:id="105"/>
      <w:bookmarkStart w:id="106" w:name="_Toc184313277"/>
      <w:bookmarkEnd w:id="106"/>
      <w:bookmarkStart w:id="107" w:name="_Toc184314471"/>
      <w:bookmarkEnd w:id="107"/>
      <w:bookmarkStart w:id="108" w:name="_Toc184314457"/>
      <w:bookmarkEnd w:id="108"/>
      <w:bookmarkStart w:id="109" w:name="_Toc184313275"/>
      <w:bookmarkEnd w:id="109"/>
      <w:bookmarkStart w:id="110" w:name="_Toc184312102"/>
      <w:bookmarkEnd w:id="110"/>
      <w:bookmarkStart w:id="111" w:name="_Toc184313247"/>
      <w:bookmarkEnd w:id="111"/>
      <w:bookmarkStart w:id="112" w:name="_Toc184308046"/>
      <w:bookmarkEnd w:id="112"/>
      <w:bookmarkStart w:id="113" w:name="_Toc184310310"/>
      <w:bookmarkEnd w:id="113"/>
      <w:bookmarkStart w:id="114" w:name="_Toc184310286"/>
      <w:bookmarkEnd w:id="114"/>
      <w:bookmarkStart w:id="115" w:name="_Toc184310321"/>
      <w:bookmarkEnd w:id="115"/>
      <w:bookmarkStart w:id="116" w:name="_Toc184308081"/>
      <w:bookmarkEnd w:id="116"/>
      <w:bookmarkStart w:id="117" w:name="_Toc184310284"/>
      <w:bookmarkEnd w:id="117"/>
      <w:bookmarkStart w:id="118" w:name="_Toc184313249"/>
      <w:bookmarkEnd w:id="118"/>
      <w:bookmarkStart w:id="119" w:name="_Toc184314453"/>
      <w:bookmarkEnd w:id="119"/>
      <w:bookmarkStart w:id="120" w:name="_Toc184310334"/>
      <w:bookmarkEnd w:id="120"/>
      <w:bookmarkStart w:id="121" w:name="_Toc184314417"/>
      <w:bookmarkEnd w:id="121"/>
      <w:bookmarkStart w:id="122" w:name="_Toc184314460"/>
      <w:bookmarkEnd w:id="122"/>
      <w:bookmarkStart w:id="123" w:name="_Toc184308042"/>
      <w:bookmarkEnd w:id="123"/>
      <w:bookmarkStart w:id="124" w:name="_Toc184312081"/>
      <w:bookmarkEnd w:id="124"/>
      <w:bookmarkStart w:id="125" w:name="_Toc184313278"/>
      <w:bookmarkEnd w:id="125"/>
      <w:bookmarkStart w:id="126" w:name="_Toc184308101"/>
      <w:bookmarkEnd w:id="126"/>
      <w:bookmarkStart w:id="127" w:name="_Toc184314418"/>
      <w:bookmarkEnd w:id="127"/>
      <w:bookmarkStart w:id="128" w:name="_Toc184314468"/>
      <w:bookmarkEnd w:id="128"/>
      <w:bookmarkStart w:id="129" w:name="_Toc184314474"/>
      <w:bookmarkEnd w:id="129"/>
      <w:bookmarkStart w:id="130" w:name="_Toc184312103"/>
      <w:bookmarkEnd w:id="130"/>
      <w:bookmarkStart w:id="131" w:name="_Toc184310309"/>
      <w:bookmarkEnd w:id="131"/>
      <w:bookmarkStart w:id="132" w:name="_Toc184308040"/>
      <w:bookmarkEnd w:id="132"/>
      <w:bookmarkStart w:id="133" w:name="_Toc184313281"/>
      <w:bookmarkEnd w:id="133"/>
      <w:bookmarkStart w:id="134" w:name="_Toc184312067"/>
      <w:bookmarkEnd w:id="134"/>
      <w:bookmarkStart w:id="135" w:name="_Toc184308089"/>
      <w:bookmarkEnd w:id="135"/>
      <w:bookmarkStart w:id="136" w:name="_Toc184312097"/>
      <w:bookmarkEnd w:id="136"/>
      <w:bookmarkStart w:id="137" w:name="_Toc184314464"/>
      <w:bookmarkEnd w:id="137"/>
      <w:bookmarkStart w:id="138" w:name="_Toc184312110"/>
      <w:bookmarkEnd w:id="138"/>
      <w:bookmarkStart w:id="139" w:name="_Toc184310287"/>
      <w:bookmarkEnd w:id="139"/>
      <w:bookmarkStart w:id="140" w:name="_Toc184313240"/>
      <w:bookmarkEnd w:id="140"/>
      <w:bookmarkStart w:id="141" w:name="_Toc184313246"/>
      <w:bookmarkEnd w:id="141"/>
      <w:bookmarkStart w:id="142" w:name="_Toc184314433"/>
      <w:bookmarkEnd w:id="142"/>
      <w:bookmarkStart w:id="143" w:name="_Toc184310298"/>
      <w:bookmarkEnd w:id="143"/>
      <w:bookmarkStart w:id="144" w:name="_Toc184313245"/>
      <w:bookmarkEnd w:id="144"/>
      <w:bookmarkStart w:id="145" w:name="_Toc184314421"/>
      <w:bookmarkEnd w:id="145"/>
      <w:bookmarkStart w:id="146" w:name="_Toc184312138"/>
      <w:bookmarkEnd w:id="146"/>
      <w:bookmarkStart w:id="147" w:name="_Toc184310283"/>
      <w:bookmarkEnd w:id="147"/>
      <w:bookmarkStart w:id="148" w:name="_Toc184313287"/>
      <w:bookmarkEnd w:id="148"/>
      <w:bookmarkStart w:id="149" w:name="_Toc184312075"/>
      <w:bookmarkEnd w:id="149"/>
      <w:bookmarkStart w:id="150" w:name="_Toc184308097"/>
      <w:bookmarkEnd w:id="150"/>
      <w:bookmarkStart w:id="151" w:name="_Toc184310302"/>
      <w:bookmarkEnd w:id="151"/>
      <w:bookmarkStart w:id="152" w:name="_Toc184314455"/>
      <w:bookmarkEnd w:id="152"/>
      <w:bookmarkStart w:id="153" w:name="_Toc184308072"/>
      <w:bookmarkEnd w:id="153"/>
      <w:bookmarkStart w:id="154" w:name="_Toc184313271"/>
      <w:bookmarkEnd w:id="154"/>
      <w:bookmarkStart w:id="155" w:name="_Toc184312092"/>
      <w:bookmarkEnd w:id="155"/>
      <w:bookmarkStart w:id="156" w:name="_Toc184313257"/>
      <w:bookmarkEnd w:id="156"/>
      <w:bookmarkStart w:id="157" w:name="_Toc184310327"/>
      <w:bookmarkEnd w:id="157"/>
      <w:bookmarkStart w:id="158" w:name="_Toc184314480"/>
      <w:bookmarkEnd w:id="158"/>
      <w:bookmarkStart w:id="159" w:name="_Toc184314428"/>
      <w:bookmarkEnd w:id="159"/>
      <w:bookmarkStart w:id="160" w:name="_Toc184308050"/>
      <w:bookmarkEnd w:id="160"/>
      <w:bookmarkStart w:id="161" w:name="_Toc184308077"/>
      <w:bookmarkEnd w:id="161"/>
      <w:bookmarkStart w:id="162" w:name="_Toc184313248"/>
      <w:bookmarkEnd w:id="162"/>
      <w:bookmarkStart w:id="163" w:name="_Toc184310341"/>
      <w:bookmarkEnd w:id="163"/>
      <w:bookmarkStart w:id="164" w:name="_Toc184314424"/>
      <w:bookmarkEnd w:id="164"/>
      <w:bookmarkStart w:id="165" w:name="_Toc184312123"/>
      <w:bookmarkEnd w:id="165"/>
      <w:bookmarkStart w:id="166" w:name="_Toc184313268"/>
      <w:bookmarkEnd w:id="166"/>
      <w:bookmarkStart w:id="167" w:name="_Toc184314412"/>
      <w:bookmarkEnd w:id="167"/>
      <w:bookmarkStart w:id="168" w:name="_Toc184313302"/>
      <w:bookmarkEnd w:id="168"/>
      <w:bookmarkStart w:id="169" w:name="_Toc184308062"/>
      <w:bookmarkEnd w:id="169"/>
      <w:bookmarkStart w:id="170" w:name="_Toc184310336"/>
      <w:bookmarkEnd w:id="170"/>
      <w:bookmarkStart w:id="171" w:name="_Toc184308068"/>
      <w:bookmarkEnd w:id="171"/>
      <w:bookmarkStart w:id="172" w:name="_Toc184310340"/>
      <w:bookmarkEnd w:id="172"/>
      <w:bookmarkStart w:id="173" w:name="_Toc184313291"/>
      <w:bookmarkEnd w:id="173"/>
      <w:bookmarkStart w:id="174" w:name="_Toc184308104"/>
      <w:bookmarkEnd w:id="174"/>
      <w:bookmarkStart w:id="175" w:name="_Toc184312118"/>
      <w:bookmarkEnd w:id="175"/>
      <w:bookmarkStart w:id="176" w:name="_Toc184310332"/>
      <w:bookmarkEnd w:id="176"/>
      <w:bookmarkStart w:id="177" w:name="_Toc184313310"/>
      <w:bookmarkEnd w:id="177"/>
      <w:bookmarkStart w:id="178" w:name="_Toc184308061"/>
      <w:bookmarkEnd w:id="178"/>
      <w:bookmarkStart w:id="179" w:name="_Toc184312108"/>
      <w:bookmarkEnd w:id="179"/>
      <w:bookmarkStart w:id="180" w:name="_Toc184312096"/>
      <w:bookmarkEnd w:id="180"/>
      <w:bookmarkStart w:id="181" w:name="_Toc184312111"/>
      <w:bookmarkEnd w:id="181"/>
      <w:bookmarkStart w:id="182" w:name="_Toc184312099"/>
      <w:bookmarkEnd w:id="182"/>
      <w:bookmarkStart w:id="183" w:name="_Toc184310292"/>
      <w:bookmarkEnd w:id="183"/>
      <w:bookmarkStart w:id="184" w:name="_Toc184314422"/>
      <w:bookmarkEnd w:id="184"/>
      <w:bookmarkStart w:id="185" w:name="_Toc184313280"/>
      <w:bookmarkEnd w:id="185"/>
      <w:bookmarkStart w:id="186" w:name="_Toc184313267"/>
      <w:bookmarkEnd w:id="186"/>
      <w:bookmarkStart w:id="187" w:name="_Toc184312116"/>
      <w:bookmarkEnd w:id="187"/>
      <w:bookmarkStart w:id="188" w:name="_Toc184313258"/>
      <w:bookmarkEnd w:id="188"/>
      <w:bookmarkStart w:id="189" w:name="_Toc184314444"/>
      <w:bookmarkEnd w:id="189"/>
      <w:bookmarkStart w:id="190" w:name="_Toc184312114"/>
      <w:bookmarkEnd w:id="190"/>
      <w:bookmarkStart w:id="191" w:name="_Toc184310318"/>
      <w:bookmarkEnd w:id="191"/>
      <w:bookmarkStart w:id="192" w:name="_Toc184312069"/>
      <w:bookmarkEnd w:id="192"/>
      <w:bookmarkStart w:id="193" w:name="_Toc184314442"/>
      <w:bookmarkEnd w:id="193"/>
      <w:bookmarkStart w:id="194" w:name="_Toc184314451"/>
      <w:bookmarkEnd w:id="194"/>
      <w:bookmarkStart w:id="195" w:name="_Toc184313301"/>
      <w:bookmarkEnd w:id="195"/>
      <w:bookmarkStart w:id="196" w:name="_Toc184314436"/>
      <w:bookmarkEnd w:id="196"/>
      <w:bookmarkStart w:id="197" w:name="_Toc184312112"/>
      <w:bookmarkEnd w:id="197"/>
      <w:bookmarkStart w:id="198" w:name="_Toc184312076"/>
      <w:bookmarkEnd w:id="198"/>
      <w:bookmarkStart w:id="199" w:name="_Toc184308037"/>
      <w:bookmarkEnd w:id="199"/>
      <w:bookmarkStart w:id="200" w:name="_Toc184312100"/>
      <w:bookmarkEnd w:id="200"/>
      <w:bookmarkStart w:id="201" w:name="_Toc184308108"/>
      <w:bookmarkEnd w:id="201"/>
      <w:bookmarkStart w:id="202" w:name="_Toc184313288"/>
      <w:bookmarkEnd w:id="202"/>
      <w:bookmarkStart w:id="203" w:name="_Toc184312121"/>
      <w:bookmarkEnd w:id="203"/>
      <w:bookmarkStart w:id="204" w:name="_Toc184312098"/>
      <w:bookmarkEnd w:id="204"/>
      <w:bookmarkStart w:id="205" w:name="_Toc184312072"/>
      <w:bookmarkEnd w:id="205"/>
      <w:bookmarkStart w:id="206" w:name="_Toc184308095"/>
      <w:bookmarkEnd w:id="206"/>
      <w:bookmarkStart w:id="207" w:name="_Toc184314476"/>
      <w:bookmarkEnd w:id="207"/>
      <w:bookmarkStart w:id="208" w:name="_Toc184310291"/>
      <w:bookmarkEnd w:id="208"/>
      <w:bookmarkStart w:id="209" w:name="_Toc184310344"/>
      <w:bookmarkEnd w:id="209"/>
      <w:bookmarkStart w:id="210" w:name="_Toc184308085"/>
      <w:bookmarkEnd w:id="210"/>
      <w:bookmarkStart w:id="211" w:name="_Toc184314426"/>
      <w:bookmarkEnd w:id="211"/>
      <w:bookmarkStart w:id="212" w:name="_Toc184308107"/>
      <w:bookmarkEnd w:id="212"/>
      <w:bookmarkStart w:id="213" w:name="_Toc184310343"/>
      <w:bookmarkEnd w:id="213"/>
      <w:bookmarkStart w:id="214" w:name="_Toc184310322"/>
      <w:bookmarkEnd w:id="214"/>
      <w:bookmarkStart w:id="215" w:name="_Toc184314475"/>
      <w:bookmarkEnd w:id="215"/>
      <w:bookmarkStart w:id="216" w:name="_Toc184313241"/>
      <w:bookmarkEnd w:id="216"/>
      <w:bookmarkStart w:id="217" w:name="_Toc184308067"/>
      <w:bookmarkEnd w:id="217"/>
      <w:bookmarkStart w:id="218" w:name="_Toc184313300"/>
      <w:bookmarkEnd w:id="218"/>
      <w:bookmarkStart w:id="219" w:name="_Toc184310296"/>
      <w:bookmarkEnd w:id="219"/>
      <w:bookmarkStart w:id="220" w:name="_Toc184314441"/>
      <w:bookmarkEnd w:id="220"/>
      <w:bookmarkStart w:id="221" w:name="_Toc184314438"/>
      <w:bookmarkEnd w:id="221"/>
      <w:bookmarkStart w:id="222" w:name="_Toc184310328"/>
      <w:bookmarkEnd w:id="222"/>
      <w:bookmarkStart w:id="223" w:name="_Toc184308044"/>
      <w:bookmarkEnd w:id="223"/>
      <w:bookmarkStart w:id="224" w:name="_Toc184313260"/>
      <w:bookmarkEnd w:id="224"/>
      <w:bookmarkStart w:id="225" w:name="_Toc184310311"/>
      <w:bookmarkEnd w:id="225"/>
      <w:bookmarkStart w:id="226" w:name="_Toc184310313"/>
      <w:bookmarkEnd w:id="226"/>
      <w:bookmarkStart w:id="227" w:name="_Toc184310299"/>
      <w:bookmarkEnd w:id="227"/>
      <w:bookmarkStart w:id="228" w:name="_Toc184310324"/>
      <w:bookmarkEnd w:id="228"/>
      <w:bookmarkStart w:id="229" w:name="_Toc184310279"/>
      <w:bookmarkEnd w:id="229"/>
      <w:bookmarkStart w:id="230" w:name="_Toc184314419"/>
      <w:bookmarkEnd w:id="230"/>
      <w:bookmarkStart w:id="231" w:name="_Toc184313238"/>
      <w:bookmarkEnd w:id="231"/>
      <w:bookmarkStart w:id="232" w:name="_Toc184314465"/>
      <w:bookmarkEnd w:id="232"/>
      <w:bookmarkStart w:id="233" w:name="_Toc184310305"/>
      <w:bookmarkEnd w:id="233"/>
      <w:bookmarkStart w:id="234" w:name="_Toc184310314"/>
      <w:bookmarkEnd w:id="234"/>
      <w:bookmarkStart w:id="235" w:name="_Toc184308057"/>
      <w:bookmarkEnd w:id="235"/>
      <w:bookmarkStart w:id="236" w:name="_Toc184314414"/>
      <w:bookmarkEnd w:id="236"/>
      <w:bookmarkStart w:id="237" w:name="_Toc184314443"/>
      <w:bookmarkEnd w:id="237"/>
      <w:bookmarkStart w:id="238" w:name="_Toc184313243"/>
      <w:bookmarkEnd w:id="238"/>
      <w:bookmarkStart w:id="239" w:name="_Toc184313295"/>
      <w:bookmarkEnd w:id="239"/>
      <w:bookmarkStart w:id="240" w:name="_Toc184313256"/>
      <w:bookmarkEnd w:id="240"/>
      <w:bookmarkStart w:id="241" w:name="_Toc184308105"/>
      <w:bookmarkEnd w:id="241"/>
      <w:bookmarkStart w:id="242" w:name="_Toc184310316"/>
      <w:bookmarkEnd w:id="242"/>
      <w:bookmarkStart w:id="243" w:name="_Toc184310297"/>
      <w:bookmarkEnd w:id="243"/>
      <w:bookmarkStart w:id="244" w:name="_Toc184310342"/>
      <w:bookmarkEnd w:id="244"/>
      <w:bookmarkStart w:id="245" w:name="_Toc184310277"/>
      <w:bookmarkEnd w:id="245"/>
      <w:bookmarkStart w:id="246" w:name="_Toc184312120"/>
      <w:bookmarkEnd w:id="246"/>
      <w:bookmarkStart w:id="247" w:name="_Toc184313244"/>
      <w:bookmarkEnd w:id="247"/>
      <w:bookmarkStart w:id="248" w:name="_Toc184312080"/>
      <w:bookmarkEnd w:id="248"/>
      <w:bookmarkStart w:id="249" w:name="_Toc184310285"/>
      <w:bookmarkEnd w:id="249"/>
      <w:bookmarkStart w:id="250" w:name="_Toc184313293"/>
      <w:bookmarkEnd w:id="250"/>
      <w:bookmarkStart w:id="251" w:name="_Toc184312086"/>
      <w:bookmarkEnd w:id="251"/>
      <w:bookmarkStart w:id="252" w:name="_Toc184314452"/>
      <w:bookmarkEnd w:id="252"/>
      <w:bookmarkStart w:id="253" w:name="_Toc184312077"/>
      <w:bookmarkEnd w:id="253"/>
      <w:bookmarkStart w:id="254" w:name="_Toc184310315"/>
      <w:bookmarkEnd w:id="254"/>
      <w:bookmarkStart w:id="255" w:name="_Toc184314429"/>
      <w:bookmarkEnd w:id="255"/>
      <w:bookmarkStart w:id="256" w:name="_Toc184314449"/>
      <w:bookmarkEnd w:id="256"/>
      <w:bookmarkStart w:id="257" w:name="_Toc184312134"/>
      <w:bookmarkEnd w:id="257"/>
      <w:bookmarkStart w:id="258" w:name="_Toc184310319"/>
      <w:bookmarkEnd w:id="258"/>
      <w:bookmarkStart w:id="259" w:name="_Toc184308091"/>
      <w:bookmarkEnd w:id="259"/>
      <w:bookmarkStart w:id="260" w:name="_Toc184310281"/>
      <w:bookmarkEnd w:id="260"/>
      <w:bookmarkStart w:id="261" w:name="_Toc184313279"/>
      <w:bookmarkEnd w:id="261"/>
      <w:bookmarkStart w:id="262" w:name="_Toc184314437"/>
      <w:bookmarkEnd w:id="262"/>
      <w:bookmarkStart w:id="263" w:name="_Toc184310320"/>
      <w:bookmarkEnd w:id="263"/>
      <w:bookmarkStart w:id="264" w:name="_Toc184313273"/>
      <w:bookmarkEnd w:id="264"/>
      <w:bookmarkStart w:id="265" w:name="_Toc184310330"/>
      <w:bookmarkEnd w:id="265"/>
      <w:bookmarkStart w:id="266" w:name="_Toc184314411"/>
      <w:bookmarkEnd w:id="266"/>
      <w:bookmarkStart w:id="267" w:name="_Toc184310306"/>
      <w:bookmarkEnd w:id="267"/>
      <w:bookmarkStart w:id="268" w:name="_Toc184313262"/>
      <w:bookmarkEnd w:id="268"/>
      <w:bookmarkStart w:id="269" w:name="_Toc184313259"/>
      <w:bookmarkEnd w:id="269"/>
      <w:bookmarkStart w:id="270" w:name="_Toc184312101"/>
      <w:bookmarkEnd w:id="270"/>
      <w:bookmarkStart w:id="271" w:name="_Toc184313296"/>
      <w:bookmarkEnd w:id="271"/>
      <w:bookmarkStart w:id="272" w:name="_Toc184308088"/>
      <w:bookmarkEnd w:id="272"/>
      <w:bookmarkStart w:id="273" w:name="_Toc184310339"/>
      <w:bookmarkEnd w:id="273"/>
      <w:bookmarkStart w:id="274" w:name="_Toc184308094"/>
      <w:bookmarkEnd w:id="274"/>
      <w:bookmarkStart w:id="275" w:name="_Toc184308056"/>
      <w:bookmarkEnd w:id="275"/>
      <w:bookmarkStart w:id="276" w:name="_Toc184314461"/>
      <w:bookmarkEnd w:id="276"/>
      <w:bookmarkStart w:id="277" w:name="_Toc184308065"/>
      <w:bookmarkEnd w:id="277"/>
      <w:bookmarkStart w:id="278" w:name="_Toc184312135"/>
      <w:bookmarkEnd w:id="278"/>
      <w:bookmarkStart w:id="279" w:name="_Toc184313289"/>
      <w:bookmarkEnd w:id="279"/>
      <w:bookmarkStart w:id="280" w:name="_Toc184314410"/>
      <w:bookmarkEnd w:id="280"/>
      <w:bookmarkStart w:id="281" w:name="_Toc184310303"/>
      <w:bookmarkEnd w:id="281"/>
      <w:bookmarkStart w:id="282" w:name="_Toc184308106"/>
      <w:bookmarkEnd w:id="282"/>
      <w:bookmarkStart w:id="283" w:name="_Toc184312113"/>
      <w:bookmarkEnd w:id="283"/>
      <w:bookmarkStart w:id="284" w:name="_Toc184313255"/>
      <w:bookmarkEnd w:id="284"/>
      <w:bookmarkStart w:id="285" w:name="_Toc184308055"/>
      <w:bookmarkEnd w:id="285"/>
      <w:bookmarkStart w:id="286" w:name="_Toc184314479"/>
      <w:bookmarkEnd w:id="286"/>
      <w:bookmarkStart w:id="287" w:name="_Toc184308054"/>
      <w:bookmarkEnd w:id="287"/>
      <w:bookmarkStart w:id="288" w:name="_Toc184314477"/>
      <w:bookmarkEnd w:id="288"/>
      <w:bookmarkStart w:id="289" w:name="_Toc184312073"/>
      <w:bookmarkEnd w:id="289"/>
      <w:bookmarkStart w:id="290" w:name="_Toc184313306"/>
      <w:bookmarkEnd w:id="290"/>
      <w:bookmarkStart w:id="291" w:name="_Toc184308053"/>
      <w:bookmarkEnd w:id="291"/>
      <w:bookmarkStart w:id="292" w:name="_Toc184313308"/>
      <w:bookmarkEnd w:id="292"/>
      <w:bookmarkStart w:id="293" w:name="_Toc184313298"/>
      <w:bookmarkEnd w:id="293"/>
      <w:bookmarkStart w:id="294" w:name="_Toc184313290"/>
      <w:bookmarkEnd w:id="294"/>
      <w:bookmarkStart w:id="295" w:name="_Toc184308092"/>
      <w:bookmarkEnd w:id="295"/>
      <w:bookmarkStart w:id="296" w:name="_Toc184314450"/>
      <w:bookmarkEnd w:id="296"/>
      <w:bookmarkStart w:id="297" w:name="_Toc184312074"/>
      <w:bookmarkEnd w:id="297"/>
      <w:bookmarkStart w:id="298" w:name="_Toc184310300"/>
      <w:bookmarkEnd w:id="298"/>
      <w:bookmarkStart w:id="299" w:name="_Toc184314458"/>
      <w:bookmarkEnd w:id="299"/>
      <w:bookmarkStart w:id="300" w:name="_Toc184314431"/>
      <w:bookmarkEnd w:id="300"/>
      <w:bookmarkStart w:id="301" w:name="_Toc184313250"/>
      <w:bookmarkEnd w:id="301"/>
      <w:bookmarkStart w:id="302" w:name="_Toc184314469"/>
      <w:bookmarkEnd w:id="302"/>
      <w:bookmarkStart w:id="303" w:name="_Toc184314472"/>
      <w:bookmarkEnd w:id="303"/>
      <w:bookmarkStart w:id="304" w:name="_Toc184308080"/>
      <w:bookmarkEnd w:id="304"/>
      <w:bookmarkStart w:id="305" w:name="_Toc184310278"/>
      <w:bookmarkEnd w:id="305"/>
      <w:bookmarkStart w:id="306" w:name="_Toc184314440"/>
      <w:bookmarkEnd w:id="306"/>
      <w:bookmarkStart w:id="307" w:name="_Toc184308069"/>
      <w:bookmarkEnd w:id="307"/>
      <w:bookmarkStart w:id="308" w:name="_Toc184313254"/>
      <w:bookmarkEnd w:id="308"/>
      <w:bookmarkStart w:id="309" w:name="_Toc184308098"/>
      <w:bookmarkEnd w:id="309"/>
      <w:bookmarkStart w:id="310" w:name="_Toc184310288"/>
      <w:bookmarkEnd w:id="310"/>
      <w:bookmarkStart w:id="311" w:name="_Toc184313253"/>
      <w:bookmarkEnd w:id="311"/>
      <w:bookmarkStart w:id="312" w:name="_Toc184308059"/>
      <w:bookmarkEnd w:id="312"/>
      <w:bookmarkStart w:id="313" w:name="_Toc184314467"/>
      <w:bookmarkEnd w:id="313"/>
      <w:bookmarkStart w:id="314" w:name="_Toc184312122"/>
      <w:bookmarkEnd w:id="314"/>
      <w:bookmarkStart w:id="315" w:name="_Toc184314435"/>
      <w:bookmarkEnd w:id="315"/>
      <w:bookmarkStart w:id="316" w:name="_Toc184312106"/>
      <w:bookmarkEnd w:id="316"/>
      <w:bookmarkStart w:id="317" w:name="_Toc184312078"/>
      <w:bookmarkEnd w:id="317"/>
      <w:bookmarkStart w:id="318" w:name="_Toc184310333"/>
      <w:bookmarkEnd w:id="318"/>
      <w:bookmarkStart w:id="319" w:name="_Toc184312124"/>
      <w:bookmarkEnd w:id="319"/>
      <w:bookmarkStart w:id="320" w:name="_Toc184313285"/>
      <w:bookmarkEnd w:id="320"/>
      <w:bookmarkStart w:id="321" w:name="_Toc184314413"/>
      <w:bookmarkEnd w:id="321"/>
      <w:bookmarkStart w:id="322" w:name="_Toc184308086"/>
      <w:bookmarkEnd w:id="322"/>
      <w:bookmarkStart w:id="323" w:name="_Toc184308066"/>
      <w:bookmarkEnd w:id="323"/>
      <w:bookmarkStart w:id="324" w:name="_Toc184312136"/>
      <w:bookmarkEnd w:id="324"/>
      <w:bookmarkStart w:id="325" w:name="_Toc184310312"/>
      <w:bookmarkEnd w:id="325"/>
      <w:bookmarkStart w:id="326" w:name="_Toc184308074"/>
      <w:bookmarkEnd w:id="326"/>
      <w:bookmarkStart w:id="327" w:name="_Toc184308043"/>
      <w:bookmarkEnd w:id="327"/>
      <w:bookmarkStart w:id="328" w:name="_Toc184312070"/>
      <w:bookmarkEnd w:id="328"/>
      <w:bookmarkStart w:id="329" w:name="_Toc184314416"/>
      <w:bookmarkEnd w:id="329"/>
      <w:bookmarkStart w:id="330" w:name="_Toc184314439"/>
      <w:bookmarkEnd w:id="330"/>
      <w:bookmarkStart w:id="331" w:name="_Toc184308041"/>
      <w:bookmarkEnd w:id="331"/>
      <w:bookmarkStart w:id="332" w:name="_Toc184312119"/>
      <w:bookmarkEnd w:id="332"/>
      <w:bookmarkStart w:id="333" w:name="_Toc184314482"/>
      <w:bookmarkEnd w:id="333"/>
      <w:bookmarkStart w:id="334" w:name="_Toc184312126"/>
      <w:bookmarkEnd w:id="334"/>
      <w:bookmarkStart w:id="335" w:name="_Toc184312137"/>
      <w:bookmarkEnd w:id="335"/>
      <w:bookmarkStart w:id="336" w:name="_Toc184314425"/>
      <w:bookmarkEnd w:id="336"/>
      <w:bookmarkStart w:id="337" w:name="_Toc184308082"/>
      <w:bookmarkEnd w:id="337"/>
      <w:bookmarkStart w:id="338" w:name="_Toc184308075"/>
      <w:bookmarkEnd w:id="338"/>
      <w:bookmarkStart w:id="339" w:name="_Toc184308099"/>
      <w:bookmarkEnd w:id="339"/>
      <w:bookmarkStart w:id="340" w:name="_Toc184310307"/>
      <w:bookmarkEnd w:id="340"/>
      <w:bookmarkStart w:id="341" w:name="_Toc184310280"/>
      <w:bookmarkEnd w:id="341"/>
      <w:bookmarkStart w:id="342" w:name="_Toc184312115"/>
      <w:bookmarkEnd w:id="342"/>
      <w:bookmarkStart w:id="343" w:name="_Toc184314470"/>
      <w:bookmarkEnd w:id="343"/>
      <w:bookmarkStart w:id="344" w:name="_Toc184310338"/>
      <w:bookmarkEnd w:id="344"/>
      <w:bookmarkStart w:id="345" w:name="_Toc184313252"/>
      <w:bookmarkEnd w:id="345"/>
      <w:bookmarkStart w:id="346" w:name="_Toc184312090"/>
      <w:bookmarkEnd w:id="346"/>
      <w:bookmarkStart w:id="347" w:name="_Toc184310274"/>
      <w:bookmarkEnd w:id="347"/>
      <w:bookmarkStart w:id="348" w:name="_Toc184313264"/>
      <w:bookmarkEnd w:id="348"/>
      <w:bookmarkStart w:id="349" w:name="_Toc184313251"/>
      <w:bookmarkEnd w:id="349"/>
      <w:bookmarkStart w:id="350" w:name="_Toc184314478"/>
      <w:bookmarkEnd w:id="350"/>
      <w:bookmarkStart w:id="351" w:name="_Toc184310335"/>
      <w:bookmarkEnd w:id="351"/>
      <w:bookmarkStart w:id="352" w:name="_Toc184312071"/>
      <w:bookmarkEnd w:id="352"/>
      <w:bookmarkStart w:id="353" w:name="_Toc184313270"/>
      <w:bookmarkEnd w:id="353"/>
      <w:bookmarkStart w:id="354" w:name="_Toc184308083"/>
      <w:bookmarkEnd w:id="354"/>
      <w:bookmarkStart w:id="355" w:name="_Toc184312105"/>
      <w:bookmarkEnd w:id="355"/>
      <w:bookmarkStart w:id="356" w:name="_Toc184308051"/>
      <w:bookmarkEnd w:id="356"/>
      <w:bookmarkStart w:id="357" w:name="_Toc184314434"/>
      <w:bookmarkEnd w:id="357"/>
      <w:bookmarkStart w:id="358" w:name="_Toc184308100"/>
      <w:bookmarkEnd w:id="358"/>
      <w:bookmarkStart w:id="359" w:name="_Toc184310304"/>
      <w:bookmarkEnd w:id="359"/>
      <w:bookmarkStart w:id="360" w:name="_Toc184312117"/>
      <w:bookmarkEnd w:id="360"/>
      <w:bookmarkStart w:id="361" w:name="_Toc184314448"/>
      <w:bookmarkEnd w:id="361"/>
      <w:bookmarkStart w:id="362" w:name="_Toc184313283"/>
      <w:bookmarkEnd w:id="362"/>
      <w:bookmarkStart w:id="363" w:name="_Toc184308064"/>
      <w:bookmarkEnd w:id="363"/>
      <w:bookmarkStart w:id="364" w:name="_Toc184308093"/>
      <w:bookmarkEnd w:id="364"/>
      <w:bookmarkStart w:id="365" w:name="_Toc184312132"/>
      <w:bookmarkEnd w:id="365"/>
      <w:bookmarkStart w:id="366" w:name="_Toc184310275"/>
      <w:bookmarkEnd w:id="366"/>
      <w:bookmarkStart w:id="367" w:name="_Toc184308049"/>
      <w:bookmarkEnd w:id="367"/>
      <w:bookmarkStart w:id="368" w:name="_Toc184313307"/>
      <w:bookmarkEnd w:id="368"/>
      <w:bookmarkStart w:id="369" w:name="_Toc184313292"/>
      <w:bookmarkEnd w:id="369"/>
      <w:bookmarkStart w:id="370" w:name="_Toc184308063"/>
      <w:bookmarkEnd w:id="370"/>
      <w:bookmarkStart w:id="371" w:name="_Toc184312094"/>
      <w:bookmarkEnd w:id="371"/>
      <w:bookmarkStart w:id="372" w:name="_Toc184308079"/>
      <w:bookmarkEnd w:id="372"/>
      <w:bookmarkStart w:id="373" w:name="_Toc184308060"/>
      <w:bookmarkEnd w:id="373"/>
      <w:bookmarkStart w:id="374" w:name="_Toc184314481"/>
      <w:bookmarkEnd w:id="374"/>
      <w:bookmarkStart w:id="375" w:name="_Toc184313299"/>
      <w:bookmarkEnd w:id="375"/>
      <w:bookmarkStart w:id="376" w:name="_Toc184312130"/>
      <w:bookmarkEnd w:id="376"/>
      <w:bookmarkStart w:id="377" w:name="_Toc184310326"/>
      <w:bookmarkEnd w:id="377"/>
      <w:bookmarkStart w:id="378" w:name="_Toc184308052"/>
      <w:bookmarkEnd w:id="378"/>
      <w:bookmarkStart w:id="379" w:name="_Toc184314427"/>
      <w:bookmarkEnd w:id="379"/>
      <w:bookmarkStart w:id="380" w:name="_Toc184310301"/>
      <w:bookmarkEnd w:id="380"/>
      <w:bookmarkStart w:id="381" w:name="_Toc184308078"/>
      <w:bookmarkEnd w:id="381"/>
      <w:r>
        <w:rPr>
          <w:rFonts w:hint="eastAsia" w:ascii="宋体" w:hAnsi="宋体" w:cs="宋体"/>
          <w:b/>
          <w:color w:val="auto"/>
          <w:kern w:val="0"/>
          <w:sz w:val="36"/>
          <w:szCs w:val="36"/>
          <w:highlight w:val="none"/>
        </w:rPr>
        <w:t xml:space="preserve"> 评标办法</w:t>
      </w:r>
    </w:p>
    <w:p w14:paraId="09F051C4">
      <w:pPr>
        <w:snapToGrid w:val="0"/>
        <w:spacing w:line="520" w:lineRule="exact"/>
        <w:jc w:val="center"/>
        <w:rPr>
          <w:rFonts w:ascii="宋体" w:hAnsi="宋体" w:cs="宋体"/>
          <w:b/>
          <w:color w:val="auto"/>
          <w:kern w:val="0"/>
          <w:sz w:val="32"/>
          <w:szCs w:val="20"/>
          <w:highlight w:val="none"/>
        </w:rPr>
      </w:pPr>
      <w:r>
        <w:rPr>
          <w:rFonts w:hint="eastAsia" w:ascii="宋体" w:hAnsi="宋体" w:cs="宋体"/>
          <w:b/>
          <w:color w:val="auto"/>
          <w:kern w:val="0"/>
          <w:sz w:val="32"/>
          <w:szCs w:val="20"/>
          <w:highlight w:val="none"/>
        </w:rPr>
        <w:t>评标办法前附表</w:t>
      </w:r>
    </w:p>
    <w:p w14:paraId="54A19C73">
      <w:pPr>
        <w:pStyle w:val="24"/>
        <w:ind w:firstLine="482" w:firstLineChars="200"/>
        <w:rPr>
          <w:rFonts w:hAnsi="宋体"/>
          <w:b/>
          <w:bCs/>
          <w:color w:val="auto"/>
          <w:kern w:val="0"/>
          <w:highlight w:val="none"/>
        </w:rPr>
      </w:pPr>
      <w:r>
        <w:rPr>
          <w:rFonts w:hint="eastAsia" w:hAnsi="宋体"/>
          <w:b/>
          <w:bCs/>
          <w:color w:val="auto"/>
          <w:kern w:val="0"/>
          <w:highlight w:val="none"/>
        </w:rPr>
        <w:t>1、商务</w:t>
      </w:r>
      <w:r>
        <w:rPr>
          <w:rFonts w:hint="eastAsia" w:hAnsi="宋体"/>
          <w:b/>
          <w:bCs/>
          <w:color w:val="auto"/>
          <w:kern w:val="0"/>
          <w:highlight w:val="none"/>
          <w:lang w:val="en-US"/>
        </w:rPr>
        <w:t>技术部分</w:t>
      </w:r>
      <w:r>
        <w:rPr>
          <w:rFonts w:hint="eastAsia" w:hAnsi="宋体"/>
          <w:b/>
          <w:bCs/>
          <w:color w:val="auto"/>
          <w:kern w:val="0"/>
          <w:highlight w:val="none"/>
        </w:rPr>
        <w:t>（</w:t>
      </w:r>
      <w:r>
        <w:rPr>
          <w:rFonts w:hint="eastAsia" w:hAnsi="宋体"/>
          <w:b/>
          <w:bCs/>
          <w:color w:val="auto"/>
          <w:kern w:val="0"/>
          <w:highlight w:val="none"/>
          <w:lang w:val="en-US"/>
        </w:rPr>
        <w:t>85</w:t>
      </w:r>
      <w:r>
        <w:rPr>
          <w:rFonts w:hint="eastAsia" w:hAnsi="宋体"/>
          <w:b/>
          <w:bCs/>
          <w:color w:val="auto"/>
          <w:kern w:val="0"/>
          <w:highlight w:val="none"/>
        </w:rPr>
        <w:t>分）</w:t>
      </w:r>
    </w:p>
    <w:tbl>
      <w:tblPr>
        <w:tblStyle w:val="63"/>
        <w:tblW w:w="94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743"/>
        <w:gridCol w:w="914"/>
        <w:gridCol w:w="5179"/>
        <w:gridCol w:w="833"/>
        <w:gridCol w:w="1058"/>
      </w:tblGrid>
      <w:tr w14:paraId="119B8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701" w:type="dxa"/>
            <w:noWrap w:val="0"/>
            <w:vAlign w:val="center"/>
          </w:tcPr>
          <w:p w14:paraId="074C1E6B">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r>
              <w:rPr>
                <w:rFonts w:hint="eastAsia" w:ascii="宋体" w:hAnsi="宋体" w:cs="宋体"/>
                <w:color w:val="auto"/>
                <w:sz w:val="24"/>
                <w:highlight w:val="none"/>
              </w:rPr>
              <w:t>内容</w:t>
            </w:r>
          </w:p>
        </w:tc>
        <w:tc>
          <w:tcPr>
            <w:tcW w:w="743" w:type="dxa"/>
            <w:noWrap w:val="0"/>
            <w:vAlign w:val="center"/>
          </w:tcPr>
          <w:p w14:paraId="50D94756">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r>
              <w:rPr>
                <w:rFonts w:hint="eastAsia" w:ascii="宋体" w:hAnsi="宋体" w:cs="宋体"/>
                <w:color w:val="auto"/>
                <w:sz w:val="24"/>
                <w:highlight w:val="none"/>
              </w:rPr>
              <w:t>序号</w:t>
            </w:r>
          </w:p>
        </w:tc>
        <w:tc>
          <w:tcPr>
            <w:tcW w:w="6093" w:type="dxa"/>
            <w:gridSpan w:val="2"/>
            <w:noWrap w:val="0"/>
            <w:vAlign w:val="center"/>
          </w:tcPr>
          <w:p w14:paraId="03F28FDC">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评分内容和标准</w:t>
            </w:r>
          </w:p>
        </w:tc>
        <w:tc>
          <w:tcPr>
            <w:tcW w:w="833" w:type="dxa"/>
            <w:noWrap w:val="0"/>
            <w:vAlign w:val="center"/>
          </w:tcPr>
          <w:p w14:paraId="77BB084B">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分值区间</w:t>
            </w:r>
          </w:p>
        </w:tc>
        <w:tc>
          <w:tcPr>
            <w:tcW w:w="1058" w:type="dxa"/>
            <w:noWrap w:val="0"/>
            <w:vAlign w:val="center"/>
          </w:tcPr>
          <w:p w14:paraId="1CE9DB72">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主客</w:t>
            </w:r>
          </w:p>
          <w:p w14:paraId="15CC9DF6">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观分</w:t>
            </w:r>
          </w:p>
        </w:tc>
      </w:tr>
      <w:tr w14:paraId="60902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jc w:val="center"/>
        </w:trPr>
        <w:tc>
          <w:tcPr>
            <w:tcW w:w="701" w:type="dxa"/>
            <w:vMerge w:val="restart"/>
            <w:noWrap w:val="0"/>
            <w:vAlign w:val="center"/>
          </w:tcPr>
          <w:p w14:paraId="5D77CF68">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r>
              <w:rPr>
                <w:rFonts w:hint="eastAsia" w:ascii="宋体" w:hAnsi="宋体" w:cs="宋体"/>
                <w:color w:val="auto"/>
                <w:sz w:val="24"/>
                <w:highlight w:val="none"/>
              </w:rPr>
              <w:t>商务资信分（</w:t>
            </w:r>
            <w:r>
              <w:rPr>
                <w:rFonts w:hint="eastAsia" w:ascii="宋体" w:hAnsi="宋体" w:cs="宋体"/>
                <w:color w:val="auto"/>
                <w:sz w:val="24"/>
                <w:highlight w:val="none"/>
                <w:lang w:val="en-US" w:eastAsia="zh-CN"/>
              </w:rPr>
              <w:t>20</w:t>
            </w:r>
            <w:r>
              <w:rPr>
                <w:rFonts w:hint="eastAsia" w:ascii="宋体" w:hAnsi="宋体" w:cs="宋体"/>
                <w:color w:val="auto"/>
                <w:sz w:val="24"/>
                <w:highlight w:val="none"/>
              </w:rPr>
              <w:t>分）</w:t>
            </w:r>
          </w:p>
        </w:tc>
        <w:tc>
          <w:tcPr>
            <w:tcW w:w="743" w:type="dxa"/>
            <w:noWrap w:val="0"/>
            <w:vAlign w:val="center"/>
          </w:tcPr>
          <w:p w14:paraId="2DBB1B17">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914" w:type="dxa"/>
            <w:noWrap w:val="0"/>
            <w:vAlign w:val="center"/>
          </w:tcPr>
          <w:p w14:paraId="41BBECEC">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认证体系</w:t>
            </w:r>
          </w:p>
        </w:tc>
        <w:tc>
          <w:tcPr>
            <w:tcW w:w="5179" w:type="dxa"/>
            <w:noWrap w:val="0"/>
            <w:vAlign w:val="center"/>
          </w:tcPr>
          <w:p w14:paraId="2DCE65C6">
            <w:pPr>
              <w:keepNext w:val="0"/>
              <w:keepLines w:val="0"/>
              <w:pageBreakBefore w:val="0"/>
              <w:kinsoku/>
              <w:wordWrap/>
              <w:overflowPunct/>
              <w:topLinePunct w:val="0"/>
              <w:bidi w:val="0"/>
              <w:spacing w:line="360" w:lineRule="auto"/>
              <w:jc w:val="left"/>
              <w:textAlignment w:val="auto"/>
              <w:rPr>
                <w:rFonts w:hint="eastAsia" w:ascii="宋体" w:hAnsi="宋体" w:cs="宋体"/>
                <w:color w:val="auto"/>
                <w:sz w:val="24"/>
                <w:highlight w:val="none"/>
              </w:rPr>
            </w:pPr>
            <w:r>
              <w:rPr>
                <w:rFonts w:hint="eastAsia" w:ascii="宋体" w:hAnsi="宋体" w:cs="宋体"/>
                <w:color w:val="auto"/>
                <w:sz w:val="24"/>
                <w:highlight w:val="none"/>
              </w:rPr>
              <w:t>供应商具有质量管理体系认证、环境管理体系认证、职业健康安全管理体系认证且在有效期内的，认证范围须包含投标产品生产</w:t>
            </w:r>
            <w:r>
              <w:rPr>
                <w:rFonts w:hint="eastAsia" w:ascii="宋体" w:hAnsi="宋体" w:cs="宋体"/>
                <w:color w:val="auto"/>
                <w:sz w:val="24"/>
                <w:highlight w:val="none"/>
                <w:lang w:val="en-US" w:eastAsia="zh-CN"/>
              </w:rPr>
              <w:t>或</w:t>
            </w:r>
            <w:r>
              <w:rPr>
                <w:rFonts w:hint="eastAsia" w:ascii="宋体" w:hAnsi="宋体" w:cs="宋体"/>
                <w:color w:val="auto"/>
                <w:sz w:val="24"/>
                <w:highlight w:val="none"/>
              </w:rPr>
              <w:t>施工，每个得1分，本项最高得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w:t>
            </w:r>
          </w:p>
          <w:p w14:paraId="53360B10">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r>
              <w:rPr>
                <w:rFonts w:hint="eastAsia" w:ascii="宋体" w:hAnsi="宋体" w:cs="宋体"/>
                <w:color w:val="auto"/>
                <w:sz w:val="24"/>
                <w:highlight w:val="none"/>
              </w:rPr>
              <w:t>【有效证明材料：提供认证证书复印件加盖公章】</w:t>
            </w:r>
          </w:p>
        </w:tc>
        <w:tc>
          <w:tcPr>
            <w:tcW w:w="833" w:type="dxa"/>
            <w:noWrap w:val="0"/>
            <w:vAlign w:val="center"/>
          </w:tcPr>
          <w:p w14:paraId="5C9A63CC">
            <w:pPr>
              <w:keepNext w:val="0"/>
              <w:keepLines w:val="0"/>
              <w:pageBreakBefore w:val="0"/>
              <w:kinsoku/>
              <w:wordWrap/>
              <w:overflowPunct/>
              <w:topLinePunct w:val="0"/>
              <w:bidi w:val="0"/>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0-</w:t>
            </w:r>
            <w:r>
              <w:rPr>
                <w:rFonts w:hint="eastAsia" w:ascii="宋体" w:hAnsi="宋体" w:cs="宋体"/>
                <w:color w:val="auto"/>
                <w:sz w:val="24"/>
                <w:highlight w:val="none"/>
                <w:lang w:val="en-US" w:eastAsia="zh-CN"/>
              </w:rPr>
              <w:t>3</w:t>
            </w:r>
          </w:p>
        </w:tc>
        <w:tc>
          <w:tcPr>
            <w:tcW w:w="1058" w:type="dxa"/>
            <w:noWrap w:val="0"/>
            <w:vAlign w:val="center"/>
          </w:tcPr>
          <w:p w14:paraId="45AA514D">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客观分</w:t>
            </w:r>
          </w:p>
        </w:tc>
      </w:tr>
      <w:tr w14:paraId="5182D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01" w:type="dxa"/>
            <w:vMerge w:val="continue"/>
            <w:noWrap w:val="0"/>
            <w:vAlign w:val="center"/>
          </w:tcPr>
          <w:p w14:paraId="5884DDB1">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noWrap w:val="0"/>
            <w:vAlign w:val="center"/>
          </w:tcPr>
          <w:p w14:paraId="2A9C73DA">
            <w:pPr>
              <w:pStyle w:val="80"/>
              <w:keepNext w:val="0"/>
              <w:keepLines w:val="0"/>
              <w:pageBreakBefore w:val="0"/>
              <w:kinsoku/>
              <w:wordWrap/>
              <w:overflowPunct/>
              <w:topLinePunct w:val="0"/>
              <w:bidi w:val="0"/>
              <w:spacing w:line="360" w:lineRule="auto"/>
              <w:ind w:firstLine="0" w:firstLineChars="0"/>
              <w:jc w:val="center"/>
              <w:textAlignment w:val="auto"/>
              <w:rPr>
                <w:rFonts w:ascii="宋体" w:hAnsi="宋体" w:eastAsia="宋体" w:cs="宋体"/>
                <w:color w:val="auto"/>
                <w:highlight w:val="none"/>
              </w:rPr>
            </w:pPr>
            <w:r>
              <w:rPr>
                <w:rFonts w:ascii="宋体" w:hAnsi="宋体" w:eastAsia="宋体" w:cs="宋体"/>
                <w:color w:val="auto"/>
                <w:highlight w:val="none"/>
              </w:rPr>
              <w:t>2</w:t>
            </w:r>
          </w:p>
        </w:tc>
        <w:tc>
          <w:tcPr>
            <w:tcW w:w="914" w:type="dxa"/>
            <w:noWrap w:val="0"/>
            <w:vAlign w:val="center"/>
          </w:tcPr>
          <w:p w14:paraId="7ADF2D63">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业绩</w:t>
            </w:r>
          </w:p>
        </w:tc>
        <w:tc>
          <w:tcPr>
            <w:tcW w:w="5179" w:type="dxa"/>
            <w:noWrap w:val="0"/>
            <w:vAlign w:val="center"/>
          </w:tcPr>
          <w:p w14:paraId="6D7D429F">
            <w:pPr>
              <w:keepNext w:val="0"/>
              <w:keepLines w:val="0"/>
              <w:pageBreakBefore w:val="0"/>
              <w:kinsoku/>
              <w:wordWrap/>
              <w:overflowPunct/>
              <w:topLinePunct w:val="0"/>
              <w:bidi w:val="0"/>
              <w:spacing w:line="360" w:lineRule="auto"/>
              <w:jc w:val="left"/>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rPr>
              <w:t>供应商自2022年3月1日至今（以合同签订时间为准）承担过单项合同金额500万元</w:t>
            </w:r>
            <w:r>
              <w:rPr>
                <w:rFonts w:hint="eastAsia" w:ascii="宋体" w:hAnsi="宋体" w:cs="宋体"/>
                <w:color w:val="auto"/>
                <w:sz w:val="24"/>
                <w:highlight w:val="none"/>
                <w:lang w:val="en-US" w:eastAsia="zh-CN"/>
              </w:rPr>
              <w:t>及以上</w:t>
            </w:r>
            <w:r>
              <w:rPr>
                <w:rFonts w:hint="eastAsia" w:ascii="宋体" w:hAnsi="宋体" w:cs="宋体"/>
                <w:color w:val="auto"/>
                <w:sz w:val="24"/>
                <w:highlight w:val="none"/>
              </w:rPr>
              <w:t>的类似隔声窗项目，每个得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200万元（含）—500万元（不含）</w:t>
            </w:r>
            <w:r>
              <w:rPr>
                <w:rFonts w:hint="eastAsia" w:ascii="宋体" w:hAnsi="宋体" w:cs="宋体"/>
                <w:color w:val="auto"/>
                <w:sz w:val="24"/>
                <w:highlight w:val="none"/>
              </w:rPr>
              <w:t>最高得</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分；</w:t>
            </w:r>
            <w:r>
              <w:rPr>
                <w:rFonts w:hint="eastAsia" w:ascii="宋体" w:hAnsi="宋体" w:cs="宋体"/>
                <w:color w:val="auto"/>
                <w:sz w:val="24"/>
                <w:highlight w:val="none"/>
                <w:lang w:val="en-US" w:eastAsia="zh-CN"/>
              </w:rPr>
              <w:t>最多计两个业绩。</w:t>
            </w:r>
          </w:p>
          <w:p w14:paraId="66D31B8C">
            <w:pPr>
              <w:keepNext w:val="0"/>
              <w:keepLines w:val="0"/>
              <w:pageBreakBefore w:val="0"/>
              <w:kinsoku/>
              <w:wordWrap/>
              <w:overflowPunct/>
              <w:topLinePunct w:val="0"/>
              <w:bidi w:val="0"/>
              <w:spacing w:line="360" w:lineRule="auto"/>
              <w:jc w:val="left"/>
              <w:textAlignment w:val="auto"/>
              <w:rPr>
                <w:rFonts w:hint="eastAsia" w:ascii="宋体" w:hAnsi="宋体" w:cs="宋体"/>
                <w:color w:val="auto"/>
                <w:sz w:val="24"/>
                <w:highlight w:val="none"/>
              </w:rPr>
            </w:pPr>
            <w:r>
              <w:rPr>
                <w:rFonts w:hint="eastAsia" w:ascii="宋体" w:hAnsi="宋体" w:cs="宋体"/>
                <w:color w:val="auto"/>
                <w:sz w:val="24"/>
                <w:highlight w:val="none"/>
              </w:rPr>
              <w:t>【有效证明材料：提供合同复印件加盖公章】</w:t>
            </w:r>
          </w:p>
        </w:tc>
        <w:tc>
          <w:tcPr>
            <w:tcW w:w="833" w:type="dxa"/>
            <w:noWrap w:val="0"/>
            <w:vAlign w:val="center"/>
          </w:tcPr>
          <w:p w14:paraId="698AE7DA">
            <w:pPr>
              <w:keepNext w:val="0"/>
              <w:keepLines w:val="0"/>
              <w:pageBreakBefore w:val="0"/>
              <w:kinsoku/>
              <w:wordWrap/>
              <w:overflowPunct/>
              <w:topLinePunct w:val="0"/>
              <w:bidi w:val="0"/>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0-</w:t>
            </w:r>
            <w:r>
              <w:rPr>
                <w:rFonts w:hint="eastAsia" w:ascii="宋体" w:hAnsi="宋体" w:cs="宋体"/>
                <w:color w:val="auto"/>
                <w:sz w:val="24"/>
                <w:highlight w:val="none"/>
                <w:lang w:val="en-US" w:eastAsia="zh-CN"/>
              </w:rPr>
              <w:t>4</w:t>
            </w:r>
          </w:p>
        </w:tc>
        <w:tc>
          <w:tcPr>
            <w:tcW w:w="1058" w:type="dxa"/>
            <w:noWrap w:val="0"/>
            <w:vAlign w:val="center"/>
          </w:tcPr>
          <w:p w14:paraId="53D8A0E0">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客观分</w:t>
            </w:r>
          </w:p>
        </w:tc>
      </w:tr>
      <w:tr w14:paraId="19BEB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01" w:type="dxa"/>
            <w:vMerge w:val="continue"/>
            <w:noWrap w:val="0"/>
            <w:vAlign w:val="center"/>
          </w:tcPr>
          <w:p w14:paraId="38AD89F1">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noWrap w:val="0"/>
            <w:vAlign w:val="center"/>
          </w:tcPr>
          <w:p w14:paraId="3DD43E65">
            <w:pPr>
              <w:pStyle w:val="80"/>
              <w:keepNext w:val="0"/>
              <w:keepLines w:val="0"/>
              <w:pageBreakBefore w:val="0"/>
              <w:kinsoku/>
              <w:wordWrap/>
              <w:overflowPunct/>
              <w:topLinePunct w:val="0"/>
              <w:bidi w:val="0"/>
              <w:spacing w:line="360" w:lineRule="auto"/>
              <w:ind w:firstLine="0" w:firstLineChars="0"/>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3</w:t>
            </w:r>
          </w:p>
        </w:tc>
        <w:tc>
          <w:tcPr>
            <w:tcW w:w="914" w:type="dxa"/>
            <w:noWrap w:val="0"/>
            <w:vAlign w:val="center"/>
          </w:tcPr>
          <w:p w14:paraId="53B49662">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产品技术先进性</w:t>
            </w:r>
          </w:p>
        </w:tc>
        <w:tc>
          <w:tcPr>
            <w:tcW w:w="5179" w:type="dxa"/>
            <w:noWrap w:val="0"/>
            <w:vAlign w:val="center"/>
          </w:tcPr>
          <w:p w14:paraId="5135E5E1">
            <w:pPr>
              <w:keepNext w:val="0"/>
              <w:keepLines w:val="0"/>
              <w:pageBreakBefore w:val="0"/>
              <w:kinsoku/>
              <w:wordWrap/>
              <w:overflowPunct/>
              <w:topLinePunct w:val="0"/>
              <w:bidi w:val="0"/>
              <w:spacing w:line="360" w:lineRule="auto"/>
              <w:jc w:val="left"/>
              <w:textAlignment w:val="auto"/>
              <w:rPr>
                <w:rFonts w:hint="eastAsia" w:ascii="宋体" w:hAnsi="宋体" w:cs="宋体"/>
                <w:color w:val="auto"/>
                <w:sz w:val="24"/>
                <w:highlight w:val="none"/>
              </w:rPr>
            </w:pPr>
            <w:r>
              <w:rPr>
                <w:rFonts w:hint="eastAsia" w:ascii="宋体" w:hAnsi="宋体" w:cs="宋体"/>
                <w:color w:val="auto"/>
                <w:sz w:val="24"/>
                <w:highlight w:val="none"/>
              </w:rPr>
              <w:t>供应商具有类似招标产品相关技术性能检测报告(不限于自然通风状态下的隔声量、通风关闭状态下的隔声量),每一份得1分，最多3分；</w:t>
            </w:r>
            <w:r>
              <w:rPr>
                <w:rFonts w:hint="eastAsia" w:ascii="宋体" w:hAnsi="宋体" w:cs="宋体"/>
                <w:color w:val="auto"/>
                <w:sz w:val="24"/>
                <w:highlight w:val="none"/>
                <w:lang w:val="en-US" w:eastAsia="zh-CN"/>
              </w:rPr>
              <w:t>所</w:t>
            </w:r>
            <w:r>
              <w:rPr>
                <w:rFonts w:hint="eastAsia" w:ascii="宋体" w:hAnsi="宋体" w:cs="宋体"/>
                <w:color w:val="auto"/>
                <w:sz w:val="24"/>
                <w:highlight w:val="none"/>
                <w:lang w:val="en-US" w:eastAsia="zh-CN"/>
              </w:rPr>
              <w:t>投</w:t>
            </w:r>
            <w:r>
              <w:rPr>
                <w:rFonts w:hint="eastAsia" w:ascii="宋体" w:hAnsi="宋体" w:cs="宋体"/>
                <w:color w:val="auto"/>
                <w:sz w:val="24"/>
                <w:highlight w:val="none"/>
              </w:rPr>
              <w:t>产品</w:t>
            </w:r>
            <w:r>
              <w:rPr>
                <w:rFonts w:hint="eastAsia" w:ascii="宋体" w:hAnsi="宋体" w:cs="宋体"/>
                <w:color w:val="auto"/>
                <w:sz w:val="24"/>
                <w:highlight w:val="none"/>
                <w:lang w:val="en-US" w:eastAsia="zh-CN"/>
              </w:rPr>
              <w:t>获得中国环保</w:t>
            </w:r>
            <w:r>
              <w:rPr>
                <w:rFonts w:hint="eastAsia" w:ascii="宋体" w:hAnsi="宋体" w:cs="宋体"/>
                <w:color w:val="auto"/>
                <w:sz w:val="24"/>
                <w:highlight w:val="none"/>
              </w:rPr>
              <w:t>认证证书</w:t>
            </w:r>
            <w:r>
              <w:rPr>
                <w:rFonts w:hint="eastAsia" w:ascii="宋体" w:hAnsi="宋体" w:cs="宋体"/>
                <w:color w:val="auto"/>
                <w:sz w:val="24"/>
                <w:highlight w:val="none"/>
                <w:lang w:eastAsia="zh-CN"/>
              </w:rPr>
              <w:t>（在</w:t>
            </w:r>
            <w:r>
              <w:rPr>
                <w:rFonts w:hint="eastAsia" w:ascii="宋体" w:hAnsi="宋体" w:cs="宋体"/>
                <w:color w:val="auto"/>
                <w:sz w:val="24"/>
                <w:highlight w:val="none"/>
                <w:lang w:val="en-US" w:eastAsia="zh-CN"/>
              </w:rPr>
              <w:t>有效期内</w:t>
            </w:r>
            <w:r>
              <w:rPr>
                <w:rFonts w:hint="eastAsia" w:ascii="宋体" w:hAnsi="宋体" w:cs="宋体"/>
                <w:color w:val="auto"/>
                <w:sz w:val="24"/>
                <w:highlight w:val="none"/>
                <w:lang w:eastAsia="zh-CN"/>
              </w:rPr>
              <w:t>）</w:t>
            </w:r>
            <w:r>
              <w:rPr>
                <w:rFonts w:hint="eastAsia" w:ascii="宋体" w:hAnsi="宋体" w:cs="宋体"/>
                <w:color w:val="auto"/>
                <w:sz w:val="24"/>
                <w:highlight w:val="none"/>
              </w:rPr>
              <w:t>的得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w:t>
            </w:r>
            <w:r>
              <w:rPr>
                <w:rFonts w:hint="eastAsia" w:ascii="宋体" w:hAnsi="宋体" w:cs="宋体"/>
                <w:color w:val="auto"/>
                <w:sz w:val="24"/>
                <w:highlight w:val="none"/>
                <w:lang w:eastAsia="zh-CN"/>
              </w:rPr>
              <w:t>。</w:t>
            </w:r>
          </w:p>
          <w:p w14:paraId="2D7ACA5E">
            <w:pPr>
              <w:keepNext w:val="0"/>
              <w:keepLines w:val="0"/>
              <w:pageBreakBefore w:val="0"/>
              <w:kinsoku/>
              <w:wordWrap/>
              <w:overflowPunct/>
              <w:topLinePunct w:val="0"/>
              <w:bidi w:val="0"/>
              <w:spacing w:line="360" w:lineRule="auto"/>
              <w:jc w:val="left"/>
              <w:textAlignment w:val="auto"/>
              <w:rPr>
                <w:rFonts w:hint="eastAsia" w:ascii="宋体" w:hAnsi="宋体" w:cs="宋体"/>
                <w:color w:val="auto"/>
                <w:sz w:val="24"/>
                <w:highlight w:val="none"/>
              </w:rPr>
            </w:pPr>
            <w:r>
              <w:rPr>
                <w:rFonts w:hint="eastAsia" w:ascii="宋体" w:hAnsi="宋体" w:cs="宋体"/>
                <w:color w:val="auto"/>
                <w:sz w:val="24"/>
                <w:highlight w:val="none"/>
              </w:rPr>
              <w:t>【有效证明材料：提供</w:t>
            </w:r>
            <w:r>
              <w:rPr>
                <w:rFonts w:hint="eastAsia" w:ascii="宋体" w:hAnsi="宋体" w:cs="宋体"/>
                <w:color w:val="auto"/>
                <w:sz w:val="24"/>
                <w:highlight w:val="none"/>
                <w:lang w:val="en-US" w:eastAsia="zh-CN"/>
              </w:rPr>
              <w:t>检测报告、认证证书</w:t>
            </w:r>
            <w:r>
              <w:rPr>
                <w:rFonts w:hint="eastAsia" w:ascii="宋体" w:hAnsi="宋体" w:cs="宋体"/>
                <w:color w:val="auto"/>
                <w:sz w:val="24"/>
                <w:highlight w:val="none"/>
              </w:rPr>
              <w:t>复印件加盖公章】</w:t>
            </w:r>
          </w:p>
        </w:tc>
        <w:tc>
          <w:tcPr>
            <w:tcW w:w="833" w:type="dxa"/>
            <w:noWrap w:val="0"/>
            <w:vAlign w:val="center"/>
          </w:tcPr>
          <w:p w14:paraId="7C771EAB">
            <w:pPr>
              <w:keepNext w:val="0"/>
              <w:keepLines w:val="0"/>
              <w:pageBreakBefore w:val="0"/>
              <w:kinsoku/>
              <w:wordWrap/>
              <w:overflowPunct/>
              <w:topLinePunct w:val="0"/>
              <w:bidi w:val="0"/>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0-</w:t>
            </w:r>
            <w:r>
              <w:rPr>
                <w:rFonts w:hint="eastAsia" w:ascii="宋体" w:hAnsi="宋体" w:cs="宋体"/>
                <w:color w:val="auto"/>
                <w:sz w:val="24"/>
                <w:highlight w:val="none"/>
                <w:lang w:val="en-US" w:eastAsia="zh-CN"/>
              </w:rPr>
              <w:t>5</w:t>
            </w:r>
          </w:p>
        </w:tc>
        <w:tc>
          <w:tcPr>
            <w:tcW w:w="1058" w:type="dxa"/>
            <w:noWrap w:val="0"/>
            <w:vAlign w:val="center"/>
          </w:tcPr>
          <w:p w14:paraId="274D5770">
            <w:pPr>
              <w:keepNext w:val="0"/>
              <w:keepLines w:val="0"/>
              <w:pageBreakBefore w:val="0"/>
              <w:kinsoku/>
              <w:wordWrap/>
              <w:overflowPunct/>
              <w:topLinePunct w:val="0"/>
              <w:bidi w:val="0"/>
              <w:spacing w:line="36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客观分</w:t>
            </w:r>
          </w:p>
        </w:tc>
      </w:tr>
      <w:tr w14:paraId="422B4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5" w:hRule="atLeast"/>
          <w:jc w:val="center"/>
        </w:trPr>
        <w:tc>
          <w:tcPr>
            <w:tcW w:w="701" w:type="dxa"/>
            <w:vMerge w:val="continue"/>
            <w:noWrap w:val="0"/>
            <w:vAlign w:val="center"/>
          </w:tcPr>
          <w:p w14:paraId="70635830">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vMerge w:val="restart"/>
            <w:noWrap w:val="0"/>
            <w:vAlign w:val="center"/>
          </w:tcPr>
          <w:p w14:paraId="3990C0E3">
            <w:pPr>
              <w:pStyle w:val="80"/>
              <w:keepNext w:val="0"/>
              <w:keepLines w:val="0"/>
              <w:pageBreakBefore w:val="0"/>
              <w:kinsoku/>
              <w:wordWrap/>
              <w:overflowPunct/>
              <w:topLinePunct w:val="0"/>
              <w:bidi w:val="0"/>
              <w:spacing w:line="360" w:lineRule="auto"/>
              <w:ind w:left="0" w:leftChars="-19" w:hanging="40" w:hangingChars="17"/>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4</w:t>
            </w:r>
          </w:p>
        </w:tc>
        <w:tc>
          <w:tcPr>
            <w:tcW w:w="914" w:type="dxa"/>
            <w:vMerge w:val="restart"/>
            <w:noWrap w:val="0"/>
            <w:vAlign w:val="center"/>
          </w:tcPr>
          <w:p w14:paraId="312A4DE1">
            <w:pPr>
              <w:keepNext w:val="0"/>
              <w:keepLines w:val="0"/>
              <w:pageBreakBefore w:val="0"/>
              <w:kinsoku/>
              <w:wordWrap/>
              <w:overflowPunct/>
              <w:topLinePunct w:val="0"/>
              <w:bidi w:val="0"/>
              <w:spacing w:line="36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项目负责人及技术力量安排等</w:t>
            </w:r>
          </w:p>
        </w:tc>
        <w:tc>
          <w:tcPr>
            <w:tcW w:w="5179" w:type="dxa"/>
            <w:noWrap w:val="0"/>
            <w:vAlign w:val="center"/>
          </w:tcPr>
          <w:p w14:paraId="0ABD8652">
            <w:pPr>
              <w:pStyle w:val="80"/>
              <w:keepNext w:val="0"/>
              <w:keepLines w:val="0"/>
              <w:pageBreakBefore w:val="0"/>
              <w:kinsoku/>
              <w:wordWrap/>
              <w:overflowPunct/>
              <w:topLinePunct w:val="0"/>
              <w:bidi w:val="0"/>
              <w:spacing w:line="360" w:lineRule="auto"/>
              <w:ind w:firstLine="0" w:firstLineChars="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项目负责人</w:t>
            </w:r>
            <w:r>
              <w:rPr>
                <w:rFonts w:hint="eastAsia" w:ascii="宋体" w:hAnsi="宋体" w:eastAsia="宋体" w:cs="宋体"/>
                <w:color w:val="auto"/>
                <w:highlight w:val="none"/>
                <w:lang w:eastAsia="zh-CN"/>
              </w:rPr>
              <w:t>：</w:t>
            </w:r>
          </w:p>
          <w:p w14:paraId="2261E701">
            <w:pPr>
              <w:pStyle w:val="80"/>
              <w:keepNext w:val="0"/>
              <w:keepLines w:val="0"/>
              <w:pageBreakBefore w:val="0"/>
              <w:numPr>
                <w:ilvl w:val="0"/>
                <w:numId w:val="5"/>
              </w:numPr>
              <w:kinsoku/>
              <w:wordWrap/>
              <w:overflowPunct/>
              <w:topLinePunct w:val="0"/>
              <w:bidi w:val="0"/>
              <w:spacing w:line="360" w:lineRule="auto"/>
              <w:ind w:firstLine="0" w:firstLineChars="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具有房屋建筑工程二级注册建造师资格</w:t>
            </w:r>
            <w:r>
              <w:rPr>
                <w:rFonts w:hint="eastAsia" w:ascii="宋体" w:hAnsi="宋体" w:eastAsia="宋体" w:cs="宋体"/>
                <w:color w:val="auto"/>
                <w:highlight w:val="none"/>
                <w:lang w:eastAsia="zh-CN"/>
              </w:rPr>
              <w:t>的</w:t>
            </w:r>
            <w:r>
              <w:rPr>
                <w:rFonts w:hint="eastAsia" w:ascii="宋体" w:hAnsi="宋体" w:eastAsia="宋体" w:cs="宋体"/>
                <w:color w:val="auto"/>
                <w:highlight w:val="none"/>
                <w:lang w:val="en-US" w:eastAsia="zh-CN"/>
              </w:rPr>
              <w:t>得1分，</w:t>
            </w:r>
            <w:r>
              <w:rPr>
                <w:rFonts w:hint="eastAsia" w:ascii="宋体" w:hAnsi="宋体" w:eastAsia="宋体" w:cs="宋体"/>
                <w:color w:val="auto"/>
                <w:highlight w:val="none"/>
              </w:rPr>
              <w:t>具有房屋建筑工程一级注册建造师资格</w:t>
            </w:r>
            <w:r>
              <w:rPr>
                <w:rFonts w:hint="eastAsia" w:ascii="宋体" w:hAnsi="宋体" w:eastAsia="宋体" w:cs="宋体"/>
                <w:color w:val="auto"/>
                <w:highlight w:val="none"/>
                <w:lang w:eastAsia="zh-CN"/>
              </w:rPr>
              <w:t>的</w:t>
            </w:r>
            <w:r>
              <w:rPr>
                <w:rFonts w:hint="eastAsia" w:ascii="宋体" w:hAnsi="宋体" w:eastAsia="宋体" w:cs="宋体"/>
                <w:color w:val="auto"/>
                <w:highlight w:val="none"/>
                <w:lang w:val="en-US" w:eastAsia="zh-CN"/>
              </w:rPr>
              <w:t>得2分；</w:t>
            </w:r>
          </w:p>
          <w:p w14:paraId="1BBDB865">
            <w:pPr>
              <w:pStyle w:val="80"/>
              <w:keepNext w:val="0"/>
              <w:keepLines w:val="0"/>
              <w:pageBreakBefore w:val="0"/>
              <w:numPr>
                <w:ilvl w:val="0"/>
                <w:numId w:val="5"/>
              </w:numPr>
              <w:kinsoku/>
              <w:wordWrap/>
              <w:overflowPunct/>
              <w:topLinePunct w:val="0"/>
              <w:bidi w:val="0"/>
              <w:spacing w:line="360" w:lineRule="auto"/>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具</w:t>
            </w:r>
            <w:r>
              <w:rPr>
                <w:rFonts w:hint="eastAsia" w:ascii="宋体" w:hAnsi="宋体" w:eastAsia="宋体" w:cs="宋体"/>
                <w:color w:val="auto"/>
                <w:highlight w:val="none"/>
              </w:rPr>
              <w:t>有中级职称的得</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具</w:t>
            </w:r>
            <w:r>
              <w:rPr>
                <w:rFonts w:hint="eastAsia" w:ascii="宋体" w:hAnsi="宋体" w:eastAsia="宋体" w:cs="宋体"/>
                <w:color w:val="auto"/>
                <w:highlight w:val="none"/>
              </w:rPr>
              <w:t>有高级工程师及以上职称的得</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分；</w:t>
            </w:r>
          </w:p>
          <w:p w14:paraId="3FF203E1">
            <w:pPr>
              <w:pStyle w:val="80"/>
              <w:keepNext w:val="0"/>
              <w:keepLines w:val="0"/>
              <w:pageBreakBefore w:val="0"/>
              <w:numPr>
                <w:ilvl w:val="0"/>
                <w:numId w:val="0"/>
              </w:numPr>
              <w:kinsoku/>
              <w:wordWrap/>
              <w:overflowPunct/>
              <w:topLinePunct w:val="0"/>
              <w:bidi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【有效证明材料：提供注册证书</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职称证书</w:t>
            </w:r>
            <w:r>
              <w:rPr>
                <w:rFonts w:hint="eastAsia" w:ascii="宋体" w:hAnsi="宋体" w:eastAsia="宋体" w:cs="宋体"/>
                <w:color w:val="auto"/>
                <w:highlight w:val="none"/>
              </w:rPr>
              <w:t>复印件加盖公章及近3个月在本单位缴纳的社保证明。】</w:t>
            </w:r>
          </w:p>
        </w:tc>
        <w:tc>
          <w:tcPr>
            <w:tcW w:w="833" w:type="dxa"/>
            <w:noWrap w:val="0"/>
            <w:vAlign w:val="center"/>
          </w:tcPr>
          <w:p w14:paraId="2513B281">
            <w:pPr>
              <w:keepNext w:val="0"/>
              <w:keepLines w:val="0"/>
              <w:pageBreakBefore w:val="0"/>
              <w:widowControl/>
              <w:kinsoku/>
              <w:wordWrap/>
              <w:overflowPunct/>
              <w:topLinePunct w:val="0"/>
              <w:bidi w:val="0"/>
              <w:adjustRightInd/>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0-</w:t>
            </w:r>
            <w:r>
              <w:rPr>
                <w:rFonts w:hint="eastAsia" w:ascii="宋体" w:hAnsi="宋体" w:cs="宋体"/>
                <w:color w:val="auto"/>
                <w:sz w:val="24"/>
                <w:highlight w:val="none"/>
                <w:lang w:val="en-US" w:eastAsia="zh-CN"/>
              </w:rPr>
              <w:t>4</w:t>
            </w:r>
          </w:p>
        </w:tc>
        <w:tc>
          <w:tcPr>
            <w:tcW w:w="1058" w:type="dxa"/>
            <w:noWrap w:val="0"/>
            <w:vAlign w:val="center"/>
          </w:tcPr>
          <w:p w14:paraId="3947E180">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客观分</w:t>
            </w:r>
          </w:p>
        </w:tc>
      </w:tr>
      <w:tr w14:paraId="1D587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1" w:hRule="atLeast"/>
          <w:jc w:val="center"/>
        </w:trPr>
        <w:tc>
          <w:tcPr>
            <w:tcW w:w="701" w:type="dxa"/>
            <w:vMerge w:val="continue"/>
            <w:noWrap w:val="0"/>
            <w:vAlign w:val="center"/>
          </w:tcPr>
          <w:p w14:paraId="3D0FD5C5">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vMerge w:val="continue"/>
            <w:noWrap w:val="0"/>
            <w:vAlign w:val="center"/>
          </w:tcPr>
          <w:p w14:paraId="5BED0F67">
            <w:pPr>
              <w:pStyle w:val="80"/>
              <w:keepNext w:val="0"/>
              <w:keepLines w:val="0"/>
              <w:pageBreakBefore w:val="0"/>
              <w:kinsoku/>
              <w:wordWrap/>
              <w:overflowPunct/>
              <w:topLinePunct w:val="0"/>
              <w:bidi w:val="0"/>
              <w:spacing w:line="360" w:lineRule="auto"/>
              <w:ind w:firstLine="0" w:firstLineChars="0"/>
              <w:jc w:val="center"/>
              <w:textAlignment w:val="auto"/>
              <w:rPr>
                <w:rFonts w:hint="eastAsia" w:ascii="宋体" w:hAnsi="宋体" w:eastAsia="宋体" w:cs="宋体"/>
                <w:color w:val="auto"/>
                <w:highlight w:val="none"/>
                <w:lang w:eastAsia="zh-CN"/>
              </w:rPr>
            </w:pPr>
          </w:p>
        </w:tc>
        <w:tc>
          <w:tcPr>
            <w:tcW w:w="914" w:type="dxa"/>
            <w:vMerge w:val="continue"/>
            <w:noWrap w:val="0"/>
            <w:vAlign w:val="center"/>
          </w:tcPr>
          <w:p w14:paraId="5ACF931F">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p>
        </w:tc>
        <w:tc>
          <w:tcPr>
            <w:tcW w:w="5179" w:type="dxa"/>
            <w:noWrap w:val="0"/>
            <w:vAlign w:val="center"/>
          </w:tcPr>
          <w:p w14:paraId="75DBC143">
            <w:pPr>
              <w:pStyle w:val="80"/>
              <w:keepNext w:val="0"/>
              <w:keepLines w:val="0"/>
              <w:pageBreakBefore w:val="0"/>
              <w:kinsoku/>
              <w:wordWrap/>
              <w:overflowPunct/>
              <w:topLinePunct w:val="0"/>
              <w:bidi w:val="0"/>
              <w:spacing w:line="360" w:lineRule="auto"/>
              <w:ind w:firstLine="0" w:firstLineChars="0"/>
              <w:textAlignment w:val="auto"/>
              <w:rPr>
                <w:rFonts w:ascii="宋体" w:hAnsi="宋体" w:eastAsia="宋体" w:cs="宋体"/>
                <w:color w:val="auto"/>
                <w:highlight w:val="none"/>
              </w:rPr>
            </w:pPr>
            <w:r>
              <w:rPr>
                <w:rFonts w:hint="eastAsia" w:ascii="宋体" w:hAnsi="宋体" w:eastAsia="宋体" w:cs="宋体"/>
                <w:color w:val="auto"/>
                <w:highlight w:val="none"/>
              </w:rPr>
              <w:t>拟投入本项目人员中技术负责人具有高级工程师资格，得2分；其它人员具有中级工程师及以上职称的，每个得</w:t>
            </w:r>
            <w:r>
              <w:rPr>
                <w:rFonts w:ascii="宋体" w:hAnsi="宋体" w:eastAsia="宋体" w:cs="宋体"/>
                <w:color w:val="auto"/>
                <w:highlight w:val="none"/>
              </w:rPr>
              <w:t>1</w:t>
            </w:r>
            <w:r>
              <w:rPr>
                <w:rFonts w:hint="eastAsia" w:ascii="宋体" w:hAnsi="宋体" w:eastAsia="宋体" w:cs="宋体"/>
                <w:color w:val="auto"/>
                <w:highlight w:val="none"/>
              </w:rPr>
              <w:t>分</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本项最高得</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分。【有效证明材料：提供职称证书</w:t>
            </w:r>
            <w:r>
              <w:rPr>
                <w:rFonts w:hint="eastAsia" w:ascii="宋体" w:hAnsi="宋体" w:eastAsia="宋体" w:cs="宋体"/>
                <w:color w:val="auto"/>
                <w:highlight w:val="none"/>
                <w:lang w:val="en-US" w:eastAsia="zh-CN"/>
              </w:rPr>
              <w:t>复印件加盖公章</w:t>
            </w:r>
            <w:r>
              <w:rPr>
                <w:rFonts w:hint="eastAsia" w:ascii="宋体" w:hAnsi="宋体" w:eastAsia="宋体" w:cs="宋体"/>
                <w:color w:val="auto"/>
                <w:highlight w:val="none"/>
              </w:rPr>
              <w:t>及近3个月在本单位缴纳的社保证明。】</w:t>
            </w:r>
          </w:p>
        </w:tc>
        <w:tc>
          <w:tcPr>
            <w:tcW w:w="833" w:type="dxa"/>
            <w:noWrap w:val="0"/>
            <w:vAlign w:val="center"/>
          </w:tcPr>
          <w:p w14:paraId="6725B454">
            <w:pPr>
              <w:keepNext w:val="0"/>
              <w:keepLines w:val="0"/>
              <w:pageBreakBefore w:val="0"/>
              <w:widowControl/>
              <w:kinsoku/>
              <w:wordWrap/>
              <w:overflowPunct/>
              <w:topLinePunct w:val="0"/>
              <w:bidi w:val="0"/>
              <w:adjustRightInd/>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0-</w:t>
            </w:r>
            <w:r>
              <w:rPr>
                <w:rFonts w:hint="eastAsia" w:ascii="宋体" w:hAnsi="宋体" w:cs="宋体"/>
                <w:color w:val="auto"/>
                <w:sz w:val="24"/>
                <w:highlight w:val="none"/>
                <w:lang w:val="en-US" w:eastAsia="zh-CN"/>
              </w:rPr>
              <w:t>4</w:t>
            </w:r>
          </w:p>
        </w:tc>
        <w:tc>
          <w:tcPr>
            <w:tcW w:w="1058" w:type="dxa"/>
            <w:noWrap w:val="0"/>
            <w:vAlign w:val="center"/>
          </w:tcPr>
          <w:p w14:paraId="598C3E24">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客观分</w:t>
            </w:r>
          </w:p>
        </w:tc>
      </w:tr>
      <w:tr w14:paraId="081F1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vMerge w:val="restart"/>
            <w:noWrap w:val="0"/>
            <w:vAlign w:val="center"/>
          </w:tcPr>
          <w:p w14:paraId="531823D8">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r>
              <w:rPr>
                <w:rFonts w:hint="eastAsia" w:ascii="宋体" w:hAnsi="宋体" w:cs="宋体"/>
                <w:color w:val="auto"/>
                <w:sz w:val="24"/>
                <w:highlight w:val="none"/>
              </w:rPr>
              <w:t>技术服务分（</w:t>
            </w:r>
            <w:r>
              <w:rPr>
                <w:rFonts w:hint="eastAsia" w:ascii="宋体" w:hAnsi="宋体" w:cs="宋体"/>
                <w:color w:val="auto"/>
                <w:sz w:val="24"/>
                <w:highlight w:val="none"/>
                <w:lang w:val="en-US" w:eastAsia="zh-CN"/>
              </w:rPr>
              <w:t>65</w:t>
            </w:r>
            <w:r>
              <w:rPr>
                <w:rFonts w:hint="eastAsia" w:ascii="宋体" w:hAnsi="宋体" w:cs="宋体"/>
                <w:color w:val="auto"/>
                <w:sz w:val="24"/>
                <w:highlight w:val="none"/>
              </w:rPr>
              <w:t>分）</w:t>
            </w:r>
          </w:p>
        </w:tc>
        <w:tc>
          <w:tcPr>
            <w:tcW w:w="743" w:type="dxa"/>
            <w:vMerge w:val="restart"/>
            <w:noWrap w:val="0"/>
            <w:vAlign w:val="center"/>
          </w:tcPr>
          <w:p w14:paraId="03D9F974">
            <w:pPr>
              <w:pStyle w:val="80"/>
              <w:keepNext w:val="0"/>
              <w:keepLines w:val="0"/>
              <w:pageBreakBefore w:val="0"/>
              <w:kinsoku/>
              <w:wordWrap/>
              <w:overflowPunct/>
              <w:topLinePunct w:val="0"/>
              <w:bidi w:val="0"/>
              <w:spacing w:line="360" w:lineRule="auto"/>
              <w:ind w:firstLine="0" w:firstLineChars="0"/>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5</w:t>
            </w:r>
          </w:p>
        </w:tc>
        <w:tc>
          <w:tcPr>
            <w:tcW w:w="914" w:type="dxa"/>
            <w:vMerge w:val="restart"/>
            <w:noWrap w:val="0"/>
            <w:vAlign w:val="center"/>
          </w:tcPr>
          <w:p w14:paraId="334B9CC1">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响应方案</w:t>
            </w:r>
          </w:p>
        </w:tc>
        <w:tc>
          <w:tcPr>
            <w:tcW w:w="5179" w:type="dxa"/>
            <w:noWrap w:val="0"/>
            <w:vAlign w:val="center"/>
          </w:tcPr>
          <w:p w14:paraId="6F555B5D">
            <w:pPr>
              <w:pStyle w:val="80"/>
              <w:keepNext w:val="0"/>
              <w:keepLines w:val="0"/>
              <w:pageBreakBefore w:val="0"/>
              <w:kinsoku/>
              <w:wordWrap/>
              <w:overflowPunct/>
              <w:topLinePunct w:val="0"/>
              <w:bidi w:val="0"/>
              <w:spacing w:line="360" w:lineRule="auto"/>
              <w:ind w:firstLine="0" w:firstLineChars="0"/>
              <w:textAlignment w:val="auto"/>
              <w:rPr>
                <w:rFonts w:ascii="宋体" w:hAnsi="宋体" w:eastAsia="宋体" w:cs="宋体"/>
                <w:color w:val="auto"/>
                <w:highlight w:val="none"/>
              </w:rPr>
            </w:pPr>
            <w:r>
              <w:rPr>
                <w:rFonts w:hint="eastAsia" w:ascii="宋体" w:hAnsi="宋体" w:eastAsia="宋体" w:cs="宋体"/>
                <w:color w:val="auto"/>
                <w:highlight w:val="none"/>
              </w:rPr>
              <w:t>实施方案的可行性、针对性进行综合评定。</w:t>
            </w:r>
          </w:p>
        </w:tc>
        <w:tc>
          <w:tcPr>
            <w:tcW w:w="833" w:type="dxa"/>
            <w:noWrap w:val="0"/>
            <w:vAlign w:val="center"/>
          </w:tcPr>
          <w:p w14:paraId="2C49B0C4">
            <w:pPr>
              <w:keepNext w:val="0"/>
              <w:keepLines w:val="0"/>
              <w:pageBreakBefore w:val="0"/>
              <w:kinsoku/>
              <w:wordWrap/>
              <w:overflowPunct/>
              <w:topLinePunct w:val="0"/>
              <w:bidi w:val="0"/>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6</w:t>
            </w:r>
          </w:p>
        </w:tc>
        <w:tc>
          <w:tcPr>
            <w:tcW w:w="1058" w:type="dxa"/>
            <w:noWrap w:val="0"/>
            <w:vAlign w:val="center"/>
          </w:tcPr>
          <w:p w14:paraId="4A88C2C0">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主观分</w:t>
            </w:r>
          </w:p>
        </w:tc>
      </w:tr>
      <w:tr w14:paraId="47C3A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701" w:type="dxa"/>
            <w:vMerge w:val="continue"/>
            <w:noWrap w:val="0"/>
            <w:vAlign w:val="center"/>
          </w:tcPr>
          <w:p w14:paraId="7474A795">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vMerge w:val="continue"/>
            <w:noWrap w:val="0"/>
            <w:vAlign w:val="center"/>
          </w:tcPr>
          <w:p w14:paraId="1A9085A7">
            <w:pPr>
              <w:pStyle w:val="80"/>
              <w:keepNext w:val="0"/>
              <w:keepLines w:val="0"/>
              <w:pageBreakBefore w:val="0"/>
              <w:kinsoku/>
              <w:wordWrap/>
              <w:overflowPunct/>
              <w:topLinePunct w:val="0"/>
              <w:bidi w:val="0"/>
              <w:spacing w:line="360" w:lineRule="auto"/>
              <w:ind w:firstLine="0" w:firstLineChars="0"/>
              <w:jc w:val="center"/>
              <w:textAlignment w:val="auto"/>
              <w:rPr>
                <w:rFonts w:ascii="宋体" w:hAnsi="宋体" w:eastAsia="宋体" w:cs="宋体"/>
                <w:color w:val="auto"/>
                <w:highlight w:val="none"/>
              </w:rPr>
            </w:pPr>
          </w:p>
        </w:tc>
        <w:tc>
          <w:tcPr>
            <w:tcW w:w="914" w:type="dxa"/>
            <w:vMerge w:val="continue"/>
            <w:noWrap w:val="0"/>
            <w:vAlign w:val="center"/>
          </w:tcPr>
          <w:p w14:paraId="4162C0E9">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p>
        </w:tc>
        <w:tc>
          <w:tcPr>
            <w:tcW w:w="5179" w:type="dxa"/>
            <w:noWrap w:val="0"/>
            <w:vAlign w:val="center"/>
          </w:tcPr>
          <w:p w14:paraId="13DD8699">
            <w:pPr>
              <w:pStyle w:val="61"/>
              <w:keepNext w:val="0"/>
              <w:keepLines w:val="0"/>
              <w:pageBreakBefore w:val="0"/>
              <w:kinsoku/>
              <w:wordWrap/>
              <w:overflowPunct/>
              <w:topLinePunct w:val="0"/>
              <w:bidi w:val="0"/>
              <w:snapToGrid w:val="0"/>
              <w:spacing w:line="360" w:lineRule="auto"/>
              <w:ind w:firstLine="0"/>
              <w:textAlignment w:val="auto"/>
              <w:rPr>
                <w:rFonts w:hAnsi="宋体" w:cs="宋体"/>
                <w:color w:val="auto"/>
                <w:kern w:val="0"/>
                <w:szCs w:val="24"/>
                <w:highlight w:val="none"/>
                <w:lang w:val="en-US" w:eastAsia="zh-CN"/>
              </w:rPr>
            </w:pPr>
            <w:r>
              <w:rPr>
                <w:rFonts w:hint="eastAsia" w:hAnsi="宋体" w:cs="宋体"/>
                <w:color w:val="auto"/>
                <w:szCs w:val="24"/>
                <w:highlight w:val="none"/>
                <w:lang w:val="en-US" w:eastAsia="zh-CN"/>
              </w:rPr>
              <w:t>服务计划是否周密，工作思路是否清晰进行综合评定。</w:t>
            </w:r>
          </w:p>
        </w:tc>
        <w:tc>
          <w:tcPr>
            <w:tcW w:w="833" w:type="dxa"/>
            <w:noWrap w:val="0"/>
            <w:vAlign w:val="center"/>
          </w:tcPr>
          <w:p w14:paraId="1CC34487">
            <w:pPr>
              <w:keepNext w:val="0"/>
              <w:keepLines w:val="0"/>
              <w:pageBreakBefore w:val="0"/>
              <w:widowControl/>
              <w:kinsoku/>
              <w:wordWrap/>
              <w:overflowPunct/>
              <w:topLinePunct w:val="0"/>
              <w:bidi w:val="0"/>
              <w:adjustRightInd/>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6</w:t>
            </w:r>
          </w:p>
        </w:tc>
        <w:tc>
          <w:tcPr>
            <w:tcW w:w="1058" w:type="dxa"/>
            <w:noWrap w:val="0"/>
            <w:vAlign w:val="center"/>
          </w:tcPr>
          <w:p w14:paraId="7BFA20E2">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主观分</w:t>
            </w:r>
          </w:p>
        </w:tc>
      </w:tr>
      <w:tr w14:paraId="397BB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701" w:type="dxa"/>
            <w:vMerge w:val="continue"/>
            <w:noWrap w:val="0"/>
            <w:vAlign w:val="center"/>
          </w:tcPr>
          <w:p w14:paraId="43361773">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vMerge w:val="continue"/>
            <w:noWrap w:val="0"/>
            <w:vAlign w:val="center"/>
          </w:tcPr>
          <w:p w14:paraId="73019A89">
            <w:pPr>
              <w:pStyle w:val="80"/>
              <w:keepNext w:val="0"/>
              <w:keepLines w:val="0"/>
              <w:pageBreakBefore w:val="0"/>
              <w:kinsoku/>
              <w:wordWrap/>
              <w:overflowPunct/>
              <w:topLinePunct w:val="0"/>
              <w:bidi w:val="0"/>
              <w:spacing w:line="360" w:lineRule="auto"/>
              <w:ind w:firstLine="0" w:firstLineChars="0"/>
              <w:jc w:val="center"/>
              <w:textAlignment w:val="auto"/>
              <w:rPr>
                <w:rFonts w:ascii="宋体" w:hAnsi="宋体" w:eastAsia="宋体" w:cs="宋体"/>
                <w:color w:val="auto"/>
                <w:highlight w:val="none"/>
              </w:rPr>
            </w:pPr>
          </w:p>
        </w:tc>
        <w:tc>
          <w:tcPr>
            <w:tcW w:w="914" w:type="dxa"/>
            <w:vMerge w:val="continue"/>
            <w:noWrap w:val="0"/>
            <w:vAlign w:val="center"/>
          </w:tcPr>
          <w:p w14:paraId="7983CB07">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p>
        </w:tc>
        <w:tc>
          <w:tcPr>
            <w:tcW w:w="5179" w:type="dxa"/>
            <w:noWrap w:val="0"/>
            <w:vAlign w:val="center"/>
          </w:tcPr>
          <w:p w14:paraId="23A356E1">
            <w:pPr>
              <w:pStyle w:val="61"/>
              <w:keepNext w:val="0"/>
              <w:keepLines w:val="0"/>
              <w:pageBreakBefore w:val="0"/>
              <w:kinsoku/>
              <w:wordWrap/>
              <w:overflowPunct/>
              <w:topLinePunct w:val="0"/>
              <w:bidi w:val="0"/>
              <w:snapToGrid w:val="0"/>
              <w:spacing w:line="360" w:lineRule="auto"/>
              <w:ind w:firstLine="0"/>
              <w:textAlignment w:val="auto"/>
              <w:rPr>
                <w:rFonts w:hAnsi="宋体" w:cs="宋体"/>
                <w:color w:val="auto"/>
                <w:kern w:val="0"/>
                <w:szCs w:val="24"/>
                <w:highlight w:val="none"/>
                <w:lang w:val="en-US" w:eastAsia="zh-CN"/>
              </w:rPr>
            </w:pPr>
            <w:r>
              <w:rPr>
                <w:rFonts w:hint="eastAsia" w:hAnsi="宋体" w:cs="宋体"/>
                <w:color w:val="auto"/>
                <w:szCs w:val="24"/>
                <w:highlight w:val="none"/>
                <w:lang w:val="en-US" w:eastAsia="zh-CN"/>
              </w:rPr>
              <w:t>项目组成员专业配置是否合理，分工是否明确进行综合评定。</w:t>
            </w:r>
          </w:p>
        </w:tc>
        <w:tc>
          <w:tcPr>
            <w:tcW w:w="833" w:type="dxa"/>
            <w:noWrap w:val="0"/>
            <w:vAlign w:val="center"/>
          </w:tcPr>
          <w:p w14:paraId="4C6BAA6C">
            <w:pPr>
              <w:keepNext w:val="0"/>
              <w:keepLines w:val="0"/>
              <w:pageBreakBefore w:val="0"/>
              <w:widowControl/>
              <w:kinsoku/>
              <w:wordWrap/>
              <w:overflowPunct/>
              <w:topLinePunct w:val="0"/>
              <w:bidi w:val="0"/>
              <w:adjustRightInd/>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6</w:t>
            </w:r>
          </w:p>
        </w:tc>
        <w:tc>
          <w:tcPr>
            <w:tcW w:w="1058" w:type="dxa"/>
            <w:noWrap w:val="0"/>
            <w:vAlign w:val="center"/>
          </w:tcPr>
          <w:p w14:paraId="14E421DE">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主观分</w:t>
            </w:r>
          </w:p>
        </w:tc>
      </w:tr>
      <w:tr w14:paraId="29378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701" w:type="dxa"/>
            <w:vMerge w:val="continue"/>
            <w:noWrap w:val="0"/>
            <w:vAlign w:val="center"/>
          </w:tcPr>
          <w:p w14:paraId="561D0406">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vMerge w:val="continue"/>
            <w:noWrap w:val="0"/>
            <w:vAlign w:val="center"/>
          </w:tcPr>
          <w:p w14:paraId="57DBE90A">
            <w:pPr>
              <w:pStyle w:val="80"/>
              <w:keepNext w:val="0"/>
              <w:keepLines w:val="0"/>
              <w:pageBreakBefore w:val="0"/>
              <w:kinsoku/>
              <w:wordWrap/>
              <w:overflowPunct/>
              <w:topLinePunct w:val="0"/>
              <w:bidi w:val="0"/>
              <w:spacing w:line="360" w:lineRule="auto"/>
              <w:ind w:firstLine="0" w:firstLineChars="0"/>
              <w:jc w:val="center"/>
              <w:textAlignment w:val="auto"/>
              <w:rPr>
                <w:rFonts w:ascii="宋体" w:hAnsi="宋体" w:eastAsia="宋体" w:cs="宋体"/>
                <w:color w:val="auto"/>
                <w:highlight w:val="none"/>
              </w:rPr>
            </w:pPr>
          </w:p>
        </w:tc>
        <w:tc>
          <w:tcPr>
            <w:tcW w:w="914" w:type="dxa"/>
            <w:vMerge w:val="continue"/>
            <w:noWrap w:val="0"/>
            <w:vAlign w:val="center"/>
          </w:tcPr>
          <w:p w14:paraId="62E47403">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p>
        </w:tc>
        <w:tc>
          <w:tcPr>
            <w:tcW w:w="5179" w:type="dxa"/>
            <w:noWrap w:val="0"/>
            <w:vAlign w:val="center"/>
          </w:tcPr>
          <w:p w14:paraId="219E9328">
            <w:pPr>
              <w:pStyle w:val="61"/>
              <w:keepNext w:val="0"/>
              <w:keepLines w:val="0"/>
              <w:pageBreakBefore w:val="0"/>
              <w:kinsoku/>
              <w:wordWrap/>
              <w:overflowPunct/>
              <w:topLinePunct w:val="0"/>
              <w:bidi w:val="0"/>
              <w:snapToGrid w:val="0"/>
              <w:spacing w:line="360" w:lineRule="auto"/>
              <w:ind w:firstLine="0"/>
              <w:textAlignment w:val="auto"/>
              <w:rPr>
                <w:rFonts w:hAnsi="宋体" w:cs="宋体"/>
                <w:color w:val="auto"/>
                <w:kern w:val="0"/>
                <w:szCs w:val="24"/>
                <w:highlight w:val="none"/>
                <w:lang w:val="en-US" w:eastAsia="zh-CN"/>
              </w:rPr>
            </w:pPr>
            <w:r>
              <w:rPr>
                <w:rFonts w:hint="eastAsia" w:hAnsi="宋体" w:cs="宋体"/>
                <w:color w:val="auto"/>
                <w:szCs w:val="24"/>
                <w:highlight w:val="none"/>
                <w:lang w:val="en-US" w:eastAsia="zh-CN"/>
              </w:rPr>
              <w:t>实施方案中对相关协调管理职能进行综合评定。</w:t>
            </w:r>
          </w:p>
        </w:tc>
        <w:tc>
          <w:tcPr>
            <w:tcW w:w="833" w:type="dxa"/>
            <w:noWrap w:val="0"/>
            <w:vAlign w:val="center"/>
          </w:tcPr>
          <w:p w14:paraId="15F7CD38">
            <w:pPr>
              <w:keepNext w:val="0"/>
              <w:keepLines w:val="0"/>
              <w:pageBreakBefore w:val="0"/>
              <w:widowControl/>
              <w:kinsoku/>
              <w:wordWrap/>
              <w:overflowPunct/>
              <w:topLinePunct w:val="0"/>
              <w:bidi w:val="0"/>
              <w:adjustRightInd/>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6</w:t>
            </w:r>
          </w:p>
        </w:tc>
        <w:tc>
          <w:tcPr>
            <w:tcW w:w="1058" w:type="dxa"/>
            <w:noWrap w:val="0"/>
            <w:vAlign w:val="center"/>
          </w:tcPr>
          <w:p w14:paraId="78F487B1">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主观分</w:t>
            </w:r>
          </w:p>
        </w:tc>
      </w:tr>
      <w:tr w14:paraId="1EBDB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701" w:type="dxa"/>
            <w:vMerge w:val="continue"/>
            <w:noWrap w:val="0"/>
            <w:vAlign w:val="center"/>
          </w:tcPr>
          <w:p w14:paraId="2472E15D">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vMerge w:val="continue"/>
            <w:noWrap w:val="0"/>
            <w:vAlign w:val="center"/>
          </w:tcPr>
          <w:p w14:paraId="48A11736">
            <w:pPr>
              <w:pStyle w:val="80"/>
              <w:keepNext w:val="0"/>
              <w:keepLines w:val="0"/>
              <w:pageBreakBefore w:val="0"/>
              <w:kinsoku/>
              <w:wordWrap/>
              <w:overflowPunct/>
              <w:topLinePunct w:val="0"/>
              <w:bidi w:val="0"/>
              <w:spacing w:line="360" w:lineRule="auto"/>
              <w:ind w:firstLine="0" w:firstLineChars="0"/>
              <w:jc w:val="center"/>
              <w:textAlignment w:val="auto"/>
              <w:rPr>
                <w:rFonts w:ascii="宋体" w:hAnsi="宋体" w:eastAsia="宋体" w:cs="宋体"/>
                <w:color w:val="auto"/>
                <w:highlight w:val="none"/>
              </w:rPr>
            </w:pPr>
          </w:p>
        </w:tc>
        <w:tc>
          <w:tcPr>
            <w:tcW w:w="914" w:type="dxa"/>
            <w:vMerge w:val="continue"/>
            <w:noWrap w:val="0"/>
            <w:vAlign w:val="center"/>
          </w:tcPr>
          <w:p w14:paraId="49DB2BFA">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p>
        </w:tc>
        <w:tc>
          <w:tcPr>
            <w:tcW w:w="5179" w:type="dxa"/>
            <w:noWrap w:val="0"/>
            <w:vAlign w:val="center"/>
          </w:tcPr>
          <w:p w14:paraId="610B5ABB">
            <w:pPr>
              <w:pStyle w:val="61"/>
              <w:keepNext w:val="0"/>
              <w:keepLines w:val="0"/>
              <w:pageBreakBefore w:val="0"/>
              <w:kinsoku/>
              <w:wordWrap/>
              <w:overflowPunct/>
              <w:topLinePunct w:val="0"/>
              <w:bidi w:val="0"/>
              <w:snapToGrid w:val="0"/>
              <w:spacing w:line="360" w:lineRule="auto"/>
              <w:ind w:firstLine="0"/>
              <w:textAlignment w:val="auto"/>
              <w:rPr>
                <w:rFonts w:hAnsi="宋体" w:cs="宋体"/>
                <w:snapToGrid w:val="0"/>
                <w:color w:val="auto"/>
                <w:szCs w:val="24"/>
                <w:highlight w:val="none"/>
                <w:lang w:val="en-US" w:eastAsia="zh-CN"/>
              </w:rPr>
            </w:pPr>
            <w:r>
              <w:rPr>
                <w:rFonts w:hint="eastAsia" w:hAnsi="宋体" w:cs="宋体"/>
                <w:color w:val="auto"/>
                <w:szCs w:val="24"/>
                <w:highlight w:val="none"/>
                <w:lang w:val="en-US" w:eastAsia="zh-CN"/>
              </w:rPr>
              <w:t>服务过程中使用的设备、可能遇到的问题分析及应对措施进行综合评定。</w:t>
            </w:r>
          </w:p>
        </w:tc>
        <w:tc>
          <w:tcPr>
            <w:tcW w:w="833" w:type="dxa"/>
            <w:noWrap w:val="0"/>
            <w:vAlign w:val="center"/>
          </w:tcPr>
          <w:p w14:paraId="1D0E0E86">
            <w:pPr>
              <w:keepNext w:val="0"/>
              <w:keepLines w:val="0"/>
              <w:pageBreakBefore w:val="0"/>
              <w:widowControl/>
              <w:kinsoku/>
              <w:wordWrap/>
              <w:overflowPunct/>
              <w:topLinePunct w:val="0"/>
              <w:bidi w:val="0"/>
              <w:adjustRightInd/>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6</w:t>
            </w:r>
          </w:p>
        </w:tc>
        <w:tc>
          <w:tcPr>
            <w:tcW w:w="1058" w:type="dxa"/>
            <w:noWrap w:val="0"/>
            <w:vAlign w:val="center"/>
          </w:tcPr>
          <w:p w14:paraId="6E8BEEAF">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主观分</w:t>
            </w:r>
          </w:p>
        </w:tc>
      </w:tr>
      <w:tr w14:paraId="39230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701" w:type="dxa"/>
            <w:vMerge w:val="continue"/>
            <w:noWrap w:val="0"/>
            <w:vAlign w:val="center"/>
          </w:tcPr>
          <w:p w14:paraId="4178D3E3">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vMerge w:val="continue"/>
            <w:noWrap w:val="0"/>
            <w:vAlign w:val="center"/>
          </w:tcPr>
          <w:p w14:paraId="5499F334">
            <w:pPr>
              <w:pStyle w:val="80"/>
              <w:keepNext w:val="0"/>
              <w:keepLines w:val="0"/>
              <w:pageBreakBefore w:val="0"/>
              <w:kinsoku/>
              <w:wordWrap/>
              <w:overflowPunct/>
              <w:topLinePunct w:val="0"/>
              <w:bidi w:val="0"/>
              <w:spacing w:line="360" w:lineRule="auto"/>
              <w:ind w:firstLine="0" w:firstLineChars="0"/>
              <w:jc w:val="center"/>
              <w:textAlignment w:val="auto"/>
              <w:rPr>
                <w:rFonts w:ascii="宋体" w:hAnsi="宋体" w:eastAsia="宋体" w:cs="宋体"/>
                <w:color w:val="auto"/>
                <w:highlight w:val="none"/>
              </w:rPr>
            </w:pPr>
          </w:p>
        </w:tc>
        <w:tc>
          <w:tcPr>
            <w:tcW w:w="914" w:type="dxa"/>
            <w:vMerge w:val="continue"/>
            <w:noWrap w:val="0"/>
            <w:vAlign w:val="center"/>
          </w:tcPr>
          <w:p w14:paraId="78BADE30">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p>
        </w:tc>
        <w:tc>
          <w:tcPr>
            <w:tcW w:w="5179" w:type="dxa"/>
            <w:noWrap w:val="0"/>
            <w:vAlign w:val="center"/>
          </w:tcPr>
          <w:p w14:paraId="5DA61A37">
            <w:pPr>
              <w:pStyle w:val="61"/>
              <w:keepNext w:val="0"/>
              <w:keepLines w:val="0"/>
              <w:pageBreakBefore w:val="0"/>
              <w:kinsoku/>
              <w:wordWrap/>
              <w:overflowPunct/>
              <w:topLinePunct w:val="0"/>
              <w:bidi w:val="0"/>
              <w:snapToGrid w:val="0"/>
              <w:spacing w:line="360" w:lineRule="auto"/>
              <w:ind w:firstLine="0"/>
              <w:textAlignment w:val="auto"/>
              <w:rPr>
                <w:rFonts w:hint="default" w:hAnsi="宋体" w:cs="宋体"/>
                <w:color w:val="auto"/>
                <w:szCs w:val="24"/>
                <w:highlight w:val="none"/>
                <w:lang w:val="en-US" w:eastAsia="zh-CN"/>
              </w:rPr>
            </w:pPr>
            <w:r>
              <w:rPr>
                <w:rFonts w:hint="eastAsia" w:hAnsi="宋体" w:cs="宋体"/>
                <w:color w:val="auto"/>
                <w:szCs w:val="24"/>
                <w:highlight w:val="none"/>
                <w:lang w:val="en-US" w:eastAsia="zh-CN"/>
              </w:rPr>
              <w:t>安全保障措施进行综合评定</w:t>
            </w:r>
          </w:p>
        </w:tc>
        <w:tc>
          <w:tcPr>
            <w:tcW w:w="833" w:type="dxa"/>
            <w:noWrap w:val="0"/>
            <w:vAlign w:val="center"/>
          </w:tcPr>
          <w:p w14:paraId="435EB2B7">
            <w:pPr>
              <w:keepNext w:val="0"/>
              <w:keepLines w:val="0"/>
              <w:pageBreakBefore w:val="0"/>
              <w:widowControl/>
              <w:kinsoku/>
              <w:wordWrap/>
              <w:overflowPunct/>
              <w:topLinePunct w:val="0"/>
              <w:bidi w:val="0"/>
              <w:adjustRightInd/>
              <w:spacing w:line="36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6</w:t>
            </w:r>
          </w:p>
        </w:tc>
        <w:tc>
          <w:tcPr>
            <w:tcW w:w="1058" w:type="dxa"/>
            <w:noWrap w:val="0"/>
            <w:vAlign w:val="center"/>
          </w:tcPr>
          <w:p w14:paraId="7E241DB5">
            <w:pPr>
              <w:keepNext w:val="0"/>
              <w:keepLines w:val="0"/>
              <w:pageBreakBefore w:val="0"/>
              <w:widowControl/>
              <w:kinsoku/>
              <w:wordWrap/>
              <w:overflowPunct/>
              <w:topLinePunct w:val="0"/>
              <w:bidi w:val="0"/>
              <w:adjustRightInd/>
              <w:spacing w:line="36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主观分</w:t>
            </w:r>
          </w:p>
        </w:tc>
      </w:tr>
      <w:tr w14:paraId="68D29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701" w:type="dxa"/>
            <w:vMerge w:val="continue"/>
            <w:noWrap w:val="0"/>
            <w:vAlign w:val="center"/>
          </w:tcPr>
          <w:p w14:paraId="23E46D92">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vMerge w:val="continue"/>
            <w:noWrap w:val="0"/>
            <w:vAlign w:val="center"/>
          </w:tcPr>
          <w:p w14:paraId="6C039605">
            <w:pPr>
              <w:pStyle w:val="80"/>
              <w:keepNext w:val="0"/>
              <w:keepLines w:val="0"/>
              <w:pageBreakBefore w:val="0"/>
              <w:kinsoku/>
              <w:wordWrap/>
              <w:overflowPunct/>
              <w:topLinePunct w:val="0"/>
              <w:bidi w:val="0"/>
              <w:spacing w:line="360" w:lineRule="auto"/>
              <w:ind w:firstLine="0" w:firstLineChars="0"/>
              <w:jc w:val="center"/>
              <w:textAlignment w:val="auto"/>
              <w:rPr>
                <w:rFonts w:ascii="宋体" w:hAnsi="宋体" w:eastAsia="宋体" w:cs="宋体"/>
                <w:color w:val="auto"/>
                <w:highlight w:val="none"/>
              </w:rPr>
            </w:pPr>
          </w:p>
        </w:tc>
        <w:tc>
          <w:tcPr>
            <w:tcW w:w="914" w:type="dxa"/>
            <w:vMerge w:val="continue"/>
            <w:noWrap w:val="0"/>
            <w:vAlign w:val="center"/>
          </w:tcPr>
          <w:p w14:paraId="445EA263">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p>
        </w:tc>
        <w:tc>
          <w:tcPr>
            <w:tcW w:w="5179" w:type="dxa"/>
            <w:noWrap w:val="0"/>
            <w:vAlign w:val="center"/>
          </w:tcPr>
          <w:p w14:paraId="77AB6127">
            <w:pPr>
              <w:pStyle w:val="61"/>
              <w:keepNext w:val="0"/>
              <w:keepLines w:val="0"/>
              <w:pageBreakBefore w:val="0"/>
              <w:kinsoku/>
              <w:wordWrap/>
              <w:overflowPunct/>
              <w:topLinePunct w:val="0"/>
              <w:bidi w:val="0"/>
              <w:snapToGrid w:val="0"/>
              <w:spacing w:line="360" w:lineRule="auto"/>
              <w:ind w:firstLine="0"/>
              <w:textAlignment w:val="auto"/>
              <w:rPr>
                <w:rFonts w:hint="default" w:hAnsi="宋体" w:cs="宋体"/>
                <w:color w:val="auto"/>
                <w:szCs w:val="24"/>
                <w:highlight w:val="none"/>
                <w:lang w:val="en-US" w:eastAsia="zh-CN"/>
              </w:rPr>
            </w:pPr>
            <w:r>
              <w:rPr>
                <w:rFonts w:hint="eastAsia" w:hAnsi="宋体" w:cs="宋体"/>
                <w:color w:val="auto"/>
                <w:szCs w:val="24"/>
                <w:highlight w:val="none"/>
                <w:lang w:val="en-US" w:eastAsia="zh-CN"/>
              </w:rPr>
              <w:t>文明、环保施工措施进行综合评定</w:t>
            </w:r>
          </w:p>
        </w:tc>
        <w:tc>
          <w:tcPr>
            <w:tcW w:w="833" w:type="dxa"/>
            <w:noWrap w:val="0"/>
            <w:vAlign w:val="center"/>
          </w:tcPr>
          <w:p w14:paraId="2ADC367B">
            <w:pPr>
              <w:keepNext w:val="0"/>
              <w:keepLines w:val="0"/>
              <w:pageBreakBefore w:val="0"/>
              <w:widowControl/>
              <w:kinsoku/>
              <w:wordWrap/>
              <w:overflowPunct/>
              <w:topLinePunct w:val="0"/>
              <w:bidi w:val="0"/>
              <w:adjustRightInd/>
              <w:spacing w:line="36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6</w:t>
            </w:r>
          </w:p>
        </w:tc>
        <w:tc>
          <w:tcPr>
            <w:tcW w:w="1058" w:type="dxa"/>
            <w:noWrap w:val="0"/>
            <w:vAlign w:val="center"/>
          </w:tcPr>
          <w:p w14:paraId="4D6C7EDA">
            <w:pPr>
              <w:keepNext w:val="0"/>
              <w:keepLines w:val="0"/>
              <w:pageBreakBefore w:val="0"/>
              <w:widowControl/>
              <w:kinsoku/>
              <w:wordWrap/>
              <w:overflowPunct/>
              <w:topLinePunct w:val="0"/>
              <w:bidi w:val="0"/>
              <w:adjustRightInd/>
              <w:spacing w:line="36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主观分</w:t>
            </w:r>
          </w:p>
        </w:tc>
      </w:tr>
      <w:tr w14:paraId="01E09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701" w:type="dxa"/>
            <w:vMerge w:val="continue"/>
            <w:noWrap w:val="0"/>
            <w:vAlign w:val="center"/>
          </w:tcPr>
          <w:p w14:paraId="7A7C4925">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vMerge w:val="restart"/>
            <w:noWrap w:val="0"/>
            <w:vAlign w:val="center"/>
          </w:tcPr>
          <w:p w14:paraId="283B28B6">
            <w:pPr>
              <w:pStyle w:val="80"/>
              <w:keepNext w:val="0"/>
              <w:keepLines w:val="0"/>
              <w:pageBreakBefore w:val="0"/>
              <w:kinsoku/>
              <w:wordWrap/>
              <w:overflowPunct/>
              <w:topLinePunct w:val="0"/>
              <w:bidi w:val="0"/>
              <w:spacing w:line="360" w:lineRule="auto"/>
              <w:ind w:firstLine="0" w:firstLineChars="0"/>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6</w:t>
            </w:r>
          </w:p>
        </w:tc>
        <w:tc>
          <w:tcPr>
            <w:tcW w:w="914" w:type="dxa"/>
            <w:vMerge w:val="restart"/>
            <w:noWrap w:val="0"/>
            <w:vAlign w:val="center"/>
          </w:tcPr>
          <w:p w14:paraId="775FEEF8">
            <w:pPr>
              <w:keepNext w:val="0"/>
              <w:keepLines w:val="0"/>
              <w:pageBreakBefore w:val="0"/>
              <w:widowControl/>
              <w:kinsoku/>
              <w:wordWrap/>
              <w:overflowPunct/>
              <w:topLinePunct w:val="0"/>
              <w:bidi w:val="0"/>
              <w:adjustRightInd/>
              <w:spacing w:line="360" w:lineRule="auto"/>
              <w:jc w:val="center"/>
              <w:textAlignment w:val="auto"/>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服务质量保证措施</w:t>
            </w:r>
          </w:p>
        </w:tc>
        <w:tc>
          <w:tcPr>
            <w:tcW w:w="5179" w:type="dxa"/>
            <w:noWrap w:val="0"/>
            <w:vAlign w:val="center"/>
          </w:tcPr>
          <w:p w14:paraId="2DE4B82B">
            <w:pPr>
              <w:keepNext w:val="0"/>
              <w:keepLines w:val="0"/>
              <w:pageBreakBefore w:val="0"/>
              <w:widowControl/>
              <w:kinsoku/>
              <w:wordWrap/>
              <w:overflowPunct/>
              <w:topLinePunct w:val="0"/>
              <w:bidi w:val="0"/>
              <w:adjustRightInd/>
              <w:spacing w:line="360" w:lineRule="auto"/>
              <w:textAlignment w:val="auto"/>
              <w:rPr>
                <w:rFonts w:ascii="宋体" w:hAnsi="宋体" w:cs="宋体"/>
                <w:snapToGrid w:val="0"/>
                <w:color w:val="auto"/>
                <w:kern w:val="0"/>
                <w:sz w:val="24"/>
                <w:highlight w:val="none"/>
              </w:rPr>
            </w:pPr>
            <w:r>
              <w:rPr>
                <w:rFonts w:hint="eastAsia" w:ascii="宋体" w:hAnsi="宋体" w:cs="宋体"/>
                <w:color w:val="auto"/>
                <w:sz w:val="24"/>
                <w:highlight w:val="none"/>
              </w:rPr>
              <w:t>内部复核措施进行综合评定。</w:t>
            </w:r>
          </w:p>
        </w:tc>
        <w:tc>
          <w:tcPr>
            <w:tcW w:w="833" w:type="dxa"/>
            <w:noWrap w:val="0"/>
            <w:vAlign w:val="center"/>
          </w:tcPr>
          <w:p w14:paraId="0D1DD210">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6</w:t>
            </w:r>
          </w:p>
        </w:tc>
        <w:tc>
          <w:tcPr>
            <w:tcW w:w="1058" w:type="dxa"/>
            <w:noWrap w:val="0"/>
            <w:vAlign w:val="center"/>
          </w:tcPr>
          <w:p w14:paraId="77A3880B">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主观分</w:t>
            </w:r>
          </w:p>
        </w:tc>
      </w:tr>
      <w:tr w14:paraId="4E223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01" w:type="dxa"/>
            <w:vMerge w:val="continue"/>
            <w:noWrap w:val="0"/>
            <w:vAlign w:val="center"/>
          </w:tcPr>
          <w:p w14:paraId="0FA1ACDB">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vMerge w:val="continue"/>
            <w:noWrap w:val="0"/>
            <w:vAlign w:val="center"/>
          </w:tcPr>
          <w:p w14:paraId="2D044FC2">
            <w:pPr>
              <w:pStyle w:val="80"/>
              <w:keepNext w:val="0"/>
              <w:keepLines w:val="0"/>
              <w:pageBreakBefore w:val="0"/>
              <w:kinsoku/>
              <w:wordWrap/>
              <w:overflowPunct/>
              <w:topLinePunct w:val="0"/>
              <w:bidi w:val="0"/>
              <w:spacing w:line="360" w:lineRule="auto"/>
              <w:ind w:firstLine="0" w:firstLineChars="0"/>
              <w:jc w:val="center"/>
              <w:textAlignment w:val="auto"/>
              <w:rPr>
                <w:rFonts w:ascii="宋体" w:hAnsi="宋体" w:eastAsia="宋体" w:cs="宋体"/>
                <w:color w:val="auto"/>
                <w:highlight w:val="none"/>
              </w:rPr>
            </w:pPr>
          </w:p>
        </w:tc>
        <w:tc>
          <w:tcPr>
            <w:tcW w:w="914" w:type="dxa"/>
            <w:vMerge w:val="continue"/>
            <w:noWrap w:val="0"/>
            <w:vAlign w:val="center"/>
          </w:tcPr>
          <w:p w14:paraId="4591EE58">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p>
        </w:tc>
        <w:tc>
          <w:tcPr>
            <w:tcW w:w="5179" w:type="dxa"/>
            <w:noWrap w:val="0"/>
            <w:vAlign w:val="center"/>
          </w:tcPr>
          <w:p w14:paraId="41A6ABC4">
            <w:pPr>
              <w:pStyle w:val="61"/>
              <w:keepNext w:val="0"/>
              <w:keepLines w:val="0"/>
              <w:pageBreakBefore w:val="0"/>
              <w:kinsoku/>
              <w:wordWrap/>
              <w:overflowPunct/>
              <w:topLinePunct w:val="0"/>
              <w:bidi w:val="0"/>
              <w:snapToGrid w:val="0"/>
              <w:spacing w:line="360" w:lineRule="auto"/>
              <w:ind w:firstLine="0"/>
              <w:textAlignment w:val="auto"/>
              <w:rPr>
                <w:rFonts w:hAnsi="宋体" w:cs="宋体"/>
                <w:snapToGrid w:val="0"/>
                <w:color w:val="auto"/>
                <w:kern w:val="0"/>
                <w:szCs w:val="24"/>
                <w:highlight w:val="none"/>
                <w:lang w:val="en-US" w:eastAsia="zh-CN"/>
              </w:rPr>
            </w:pPr>
            <w:r>
              <w:rPr>
                <w:rFonts w:hint="eastAsia" w:hAnsi="宋体" w:cs="宋体"/>
                <w:color w:val="auto"/>
                <w:szCs w:val="24"/>
                <w:highlight w:val="none"/>
                <w:lang w:val="en-US" w:eastAsia="zh-CN"/>
              </w:rPr>
              <w:t>服务质量相关控制进行综合评定。</w:t>
            </w:r>
          </w:p>
        </w:tc>
        <w:tc>
          <w:tcPr>
            <w:tcW w:w="833" w:type="dxa"/>
            <w:noWrap w:val="0"/>
            <w:vAlign w:val="center"/>
          </w:tcPr>
          <w:p w14:paraId="15DA5C2E">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6</w:t>
            </w:r>
          </w:p>
        </w:tc>
        <w:tc>
          <w:tcPr>
            <w:tcW w:w="1058" w:type="dxa"/>
            <w:noWrap w:val="0"/>
            <w:vAlign w:val="center"/>
          </w:tcPr>
          <w:p w14:paraId="004CD647">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主观分</w:t>
            </w:r>
          </w:p>
        </w:tc>
      </w:tr>
      <w:tr w14:paraId="736B0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01" w:type="dxa"/>
            <w:vMerge w:val="continue"/>
            <w:noWrap w:val="0"/>
            <w:vAlign w:val="center"/>
          </w:tcPr>
          <w:p w14:paraId="7BDAD66D">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vMerge w:val="continue"/>
            <w:noWrap w:val="0"/>
            <w:vAlign w:val="center"/>
          </w:tcPr>
          <w:p w14:paraId="768A5A14">
            <w:pPr>
              <w:pStyle w:val="80"/>
              <w:keepNext w:val="0"/>
              <w:keepLines w:val="0"/>
              <w:pageBreakBefore w:val="0"/>
              <w:kinsoku/>
              <w:wordWrap/>
              <w:overflowPunct/>
              <w:topLinePunct w:val="0"/>
              <w:bidi w:val="0"/>
              <w:spacing w:line="360" w:lineRule="auto"/>
              <w:ind w:firstLine="0" w:firstLineChars="0"/>
              <w:jc w:val="center"/>
              <w:textAlignment w:val="auto"/>
              <w:rPr>
                <w:rFonts w:ascii="宋体" w:hAnsi="宋体" w:eastAsia="宋体" w:cs="宋体"/>
                <w:color w:val="auto"/>
                <w:highlight w:val="none"/>
              </w:rPr>
            </w:pPr>
          </w:p>
        </w:tc>
        <w:tc>
          <w:tcPr>
            <w:tcW w:w="914" w:type="dxa"/>
            <w:vMerge w:val="continue"/>
            <w:noWrap w:val="0"/>
            <w:vAlign w:val="center"/>
          </w:tcPr>
          <w:p w14:paraId="4BAC9411">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p>
        </w:tc>
        <w:tc>
          <w:tcPr>
            <w:tcW w:w="5179" w:type="dxa"/>
            <w:noWrap w:val="0"/>
            <w:vAlign w:val="center"/>
          </w:tcPr>
          <w:p w14:paraId="4463834B">
            <w:pPr>
              <w:pStyle w:val="61"/>
              <w:keepNext w:val="0"/>
              <w:keepLines w:val="0"/>
              <w:pageBreakBefore w:val="0"/>
              <w:kinsoku/>
              <w:wordWrap/>
              <w:overflowPunct/>
              <w:topLinePunct w:val="0"/>
              <w:bidi w:val="0"/>
              <w:snapToGrid w:val="0"/>
              <w:spacing w:line="360" w:lineRule="auto"/>
              <w:ind w:firstLine="0"/>
              <w:textAlignment w:val="auto"/>
              <w:rPr>
                <w:rFonts w:hAnsi="宋体" w:cs="宋体"/>
                <w:snapToGrid w:val="0"/>
                <w:color w:val="auto"/>
                <w:kern w:val="0"/>
                <w:szCs w:val="24"/>
                <w:highlight w:val="none"/>
                <w:lang w:val="en-US" w:eastAsia="zh-CN"/>
              </w:rPr>
            </w:pPr>
            <w:r>
              <w:rPr>
                <w:rFonts w:hint="eastAsia" w:hAnsi="宋体" w:cs="宋体"/>
                <w:color w:val="auto"/>
                <w:szCs w:val="24"/>
                <w:highlight w:val="none"/>
                <w:lang w:val="en-US" w:eastAsia="zh-CN"/>
              </w:rPr>
              <w:t>服务质量保证措施细致进行综合评定。</w:t>
            </w:r>
          </w:p>
        </w:tc>
        <w:tc>
          <w:tcPr>
            <w:tcW w:w="833" w:type="dxa"/>
            <w:noWrap w:val="0"/>
            <w:vAlign w:val="center"/>
          </w:tcPr>
          <w:p w14:paraId="4835C457">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6</w:t>
            </w:r>
          </w:p>
        </w:tc>
        <w:tc>
          <w:tcPr>
            <w:tcW w:w="1058" w:type="dxa"/>
            <w:noWrap w:val="0"/>
            <w:vAlign w:val="center"/>
          </w:tcPr>
          <w:p w14:paraId="19EE5797">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主观分</w:t>
            </w:r>
          </w:p>
        </w:tc>
      </w:tr>
      <w:tr w14:paraId="7957E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701" w:type="dxa"/>
            <w:vMerge w:val="continue"/>
            <w:noWrap w:val="0"/>
            <w:vAlign w:val="center"/>
          </w:tcPr>
          <w:p w14:paraId="4C230C15">
            <w:pPr>
              <w:keepNext w:val="0"/>
              <w:keepLines w:val="0"/>
              <w:pageBreakBefore w:val="0"/>
              <w:kinsoku/>
              <w:wordWrap/>
              <w:overflowPunct/>
              <w:topLinePunct w:val="0"/>
              <w:bidi w:val="0"/>
              <w:spacing w:line="360" w:lineRule="auto"/>
              <w:jc w:val="left"/>
              <w:textAlignment w:val="auto"/>
              <w:rPr>
                <w:rFonts w:ascii="宋体" w:hAnsi="宋体" w:cs="宋体"/>
                <w:color w:val="auto"/>
                <w:sz w:val="24"/>
                <w:highlight w:val="none"/>
              </w:rPr>
            </w:pPr>
          </w:p>
        </w:tc>
        <w:tc>
          <w:tcPr>
            <w:tcW w:w="743" w:type="dxa"/>
            <w:noWrap w:val="0"/>
            <w:vAlign w:val="center"/>
          </w:tcPr>
          <w:p w14:paraId="34502285">
            <w:pPr>
              <w:pStyle w:val="80"/>
              <w:keepNext w:val="0"/>
              <w:keepLines w:val="0"/>
              <w:pageBreakBefore w:val="0"/>
              <w:kinsoku/>
              <w:wordWrap/>
              <w:overflowPunct/>
              <w:topLinePunct w:val="0"/>
              <w:bidi w:val="0"/>
              <w:spacing w:line="360" w:lineRule="auto"/>
              <w:ind w:firstLine="0" w:firstLineChars="0"/>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7</w:t>
            </w:r>
          </w:p>
        </w:tc>
        <w:tc>
          <w:tcPr>
            <w:tcW w:w="914" w:type="dxa"/>
            <w:noWrap w:val="0"/>
            <w:vAlign w:val="center"/>
          </w:tcPr>
          <w:p w14:paraId="4D8295E8">
            <w:pPr>
              <w:keepNext w:val="0"/>
              <w:keepLines w:val="0"/>
              <w:pageBreakBefore w:val="0"/>
              <w:kinsoku/>
              <w:wordWrap/>
              <w:overflowPunct/>
              <w:topLinePunct w:val="0"/>
              <w:bidi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服务承诺</w:t>
            </w:r>
          </w:p>
        </w:tc>
        <w:tc>
          <w:tcPr>
            <w:tcW w:w="5179" w:type="dxa"/>
            <w:noWrap w:val="0"/>
            <w:vAlign w:val="center"/>
          </w:tcPr>
          <w:p w14:paraId="60A8CF86">
            <w:pPr>
              <w:pStyle w:val="61"/>
              <w:keepNext w:val="0"/>
              <w:keepLines w:val="0"/>
              <w:pageBreakBefore w:val="0"/>
              <w:kinsoku/>
              <w:wordWrap/>
              <w:overflowPunct/>
              <w:topLinePunct w:val="0"/>
              <w:bidi w:val="0"/>
              <w:snapToGrid w:val="0"/>
              <w:spacing w:line="360" w:lineRule="auto"/>
              <w:ind w:firstLine="0"/>
              <w:textAlignment w:val="auto"/>
              <w:rPr>
                <w:rFonts w:hAnsi="宋体" w:cs="宋体"/>
                <w:snapToGrid w:val="0"/>
                <w:color w:val="auto"/>
                <w:szCs w:val="24"/>
                <w:highlight w:val="none"/>
                <w:lang w:val="en-US" w:eastAsia="zh-CN"/>
              </w:rPr>
            </w:pPr>
            <w:r>
              <w:rPr>
                <w:rFonts w:hint="eastAsia" w:hAnsi="宋体" w:cs="宋体"/>
                <w:color w:val="auto"/>
                <w:szCs w:val="24"/>
                <w:highlight w:val="none"/>
                <w:lang w:val="en-US" w:eastAsia="zh-CN"/>
              </w:rPr>
              <w:t>根据本地化服务能力、售后服务方案、措施、响应等情况进行综合评定。</w:t>
            </w:r>
          </w:p>
        </w:tc>
        <w:tc>
          <w:tcPr>
            <w:tcW w:w="833" w:type="dxa"/>
            <w:noWrap w:val="0"/>
            <w:vAlign w:val="center"/>
          </w:tcPr>
          <w:p w14:paraId="55F55240">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1-5</w:t>
            </w:r>
          </w:p>
        </w:tc>
        <w:tc>
          <w:tcPr>
            <w:tcW w:w="1058" w:type="dxa"/>
            <w:noWrap w:val="0"/>
            <w:vAlign w:val="center"/>
          </w:tcPr>
          <w:p w14:paraId="1662ED81">
            <w:pPr>
              <w:keepNext w:val="0"/>
              <w:keepLines w:val="0"/>
              <w:pageBreakBefore w:val="0"/>
              <w:widowControl/>
              <w:kinsoku/>
              <w:wordWrap/>
              <w:overflowPunct/>
              <w:topLinePunct w:val="0"/>
              <w:bidi w:val="0"/>
              <w:adjustRightIn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主观分</w:t>
            </w:r>
          </w:p>
        </w:tc>
      </w:tr>
    </w:tbl>
    <w:p w14:paraId="0390F834">
      <w:pPr>
        <w:pStyle w:val="24"/>
        <w:ind w:firstLine="482" w:firstLineChars="200"/>
        <w:rPr>
          <w:rFonts w:hAnsi="宋体"/>
          <w:b/>
          <w:bCs/>
          <w:color w:val="auto"/>
          <w:kern w:val="0"/>
          <w:highlight w:val="none"/>
        </w:rPr>
      </w:pPr>
    </w:p>
    <w:p w14:paraId="22727A24">
      <w:pPr>
        <w:widowControl/>
        <w:topLinePunct/>
        <w:snapToGrid w:val="0"/>
        <w:spacing w:before="120" w:beforeLines="50" w:line="360" w:lineRule="auto"/>
        <w:ind w:firstLine="482" w:firstLineChars="200"/>
        <w:rPr>
          <w:rFonts w:ascii="宋体" w:hAnsi="宋体" w:cs="宋体"/>
          <w:b/>
          <w:bCs/>
          <w:color w:val="auto"/>
          <w:kern w:val="0"/>
          <w:sz w:val="24"/>
          <w:highlight w:val="none"/>
        </w:rPr>
      </w:pPr>
      <w:r>
        <w:rPr>
          <w:rFonts w:hint="eastAsia" w:ascii="宋体" w:hAnsi="宋体"/>
          <w:b/>
          <w:color w:val="auto"/>
          <w:kern w:val="0"/>
          <w:sz w:val="24"/>
          <w:highlight w:val="none"/>
        </w:rPr>
        <w:t>注：</w:t>
      </w:r>
      <w:r>
        <w:rPr>
          <w:rFonts w:hint="eastAsia" w:ascii="宋体" w:hAnsi="宋体" w:eastAsia="宋体"/>
          <w:bCs/>
          <w:color w:val="auto"/>
          <w:kern w:val="0"/>
          <w:sz w:val="24"/>
          <w:highlight w:val="none"/>
          <w:lang w:val="en-US" w:eastAsia="zh-CN"/>
        </w:rPr>
        <w:t>供应商</w:t>
      </w:r>
      <w:r>
        <w:rPr>
          <w:rFonts w:hint="eastAsia" w:ascii="宋体" w:hAnsi="宋体" w:eastAsia="宋体"/>
          <w:bCs/>
          <w:color w:val="auto"/>
          <w:kern w:val="0"/>
          <w:sz w:val="24"/>
          <w:highlight w:val="none"/>
        </w:rPr>
        <w:t>编</w:t>
      </w:r>
      <w:r>
        <w:rPr>
          <w:rFonts w:hint="eastAsia" w:ascii="宋体" w:hAnsi="宋体"/>
          <w:bCs/>
          <w:color w:val="auto"/>
          <w:kern w:val="0"/>
          <w:sz w:val="24"/>
          <w:highlight w:val="none"/>
        </w:rPr>
        <w:t>制响应文件（商务技术文件部分）时，建议按此目录（序号和内容）提供评审标准相应的商务技术资料。</w:t>
      </w:r>
    </w:p>
    <w:p w14:paraId="07BDC81F">
      <w:pPr>
        <w:widowControl/>
        <w:spacing w:line="360" w:lineRule="auto"/>
        <w:ind w:firstLine="482" w:firstLineChars="200"/>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2、报价部分（15分）</w:t>
      </w:r>
    </w:p>
    <w:p w14:paraId="3AA32F40">
      <w:pPr>
        <w:pStyle w:val="3"/>
        <w:keepNext/>
        <w:keepLines/>
        <w:pageBreakBefore w:val="0"/>
        <w:widowControl w:val="0"/>
        <w:kinsoku/>
        <w:wordWrap/>
        <w:overflowPunct/>
        <w:topLinePunct w:val="0"/>
        <w:autoSpaceDE/>
        <w:autoSpaceDN/>
        <w:bidi w:val="0"/>
        <w:adjustRightInd/>
        <w:snapToGrid/>
        <w:ind w:left="0" w:leftChars="0" w:firstLine="482" w:firstLineChars="200"/>
        <w:textAlignment w:val="auto"/>
        <w:rPr>
          <w:rFonts w:hint="eastAsia" w:asciiTheme="minorEastAsia" w:hAnsiTheme="minorEastAsia" w:eastAsiaTheme="minorEastAsia" w:cstheme="minorEastAsia"/>
          <w:b/>
          <w:bCs w:val="0"/>
          <w:color w:val="auto"/>
          <w:sz w:val="24"/>
          <w:szCs w:val="24"/>
          <w:highlight w:val="none"/>
          <w:lang w:eastAsia="zh-CN"/>
        </w:rPr>
      </w:pPr>
      <w:r>
        <w:rPr>
          <w:rFonts w:hint="eastAsia" w:asciiTheme="minorEastAsia" w:hAnsiTheme="minorEastAsia" w:eastAsiaTheme="minorEastAsia" w:cstheme="minorEastAsia"/>
          <w:b/>
          <w:bCs w:val="0"/>
          <w:color w:val="auto"/>
          <w:sz w:val="24"/>
          <w:szCs w:val="24"/>
          <w:highlight w:val="none"/>
          <w:lang w:val="en-US" w:eastAsia="zh-CN"/>
        </w:rPr>
        <w:t>本</w:t>
      </w:r>
      <w:r>
        <w:rPr>
          <w:rFonts w:hint="eastAsia" w:asciiTheme="minorEastAsia" w:hAnsiTheme="minorEastAsia" w:eastAsiaTheme="minorEastAsia" w:cstheme="minorEastAsia"/>
          <w:b/>
          <w:bCs w:val="0"/>
          <w:color w:val="auto"/>
          <w:sz w:val="24"/>
          <w:szCs w:val="24"/>
          <w:highlight w:val="none"/>
        </w:rPr>
        <w:t>项目</w:t>
      </w:r>
      <w:r>
        <w:rPr>
          <w:rFonts w:hint="eastAsia" w:asciiTheme="minorEastAsia" w:hAnsiTheme="minorEastAsia" w:eastAsiaTheme="minorEastAsia" w:cstheme="minorEastAsia"/>
          <w:b/>
          <w:bCs w:val="0"/>
          <w:color w:val="auto"/>
          <w:sz w:val="24"/>
          <w:szCs w:val="24"/>
          <w:highlight w:val="none"/>
          <w:lang w:val="en-US" w:eastAsia="zh-CN"/>
        </w:rPr>
        <w:t>暂按3000平方米进行报价，单方报价不得超过2400元/平方米。</w:t>
      </w:r>
      <w:r>
        <w:rPr>
          <w:rFonts w:hint="eastAsia" w:asciiTheme="minorEastAsia" w:hAnsiTheme="minorEastAsia" w:eastAsiaTheme="minorEastAsia" w:cstheme="minorEastAsia"/>
          <w:b/>
          <w:bCs w:val="0"/>
          <w:color w:val="auto"/>
          <w:sz w:val="24"/>
          <w:szCs w:val="24"/>
          <w:highlight w:val="none"/>
          <w:lang w:eastAsia="zh-CN"/>
        </w:rPr>
        <w:t>本项目最终实际完成工程量*成交单价进行结算。</w:t>
      </w:r>
    </w:p>
    <w:p w14:paraId="2F69CDF9">
      <w:pPr>
        <w:keepNext w:val="0"/>
        <w:keepLines w:val="0"/>
        <w:pageBreakBefore w:val="0"/>
        <w:widowControl w:val="0"/>
        <w:kinsoku/>
        <w:wordWrap/>
        <w:overflowPunct/>
        <w:topLinePunct w:val="0"/>
        <w:autoSpaceDE w:val="0"/>
        <w:autoSpaceDN w:val="0"/>
        <w:bidi w:val="0"/>
        <w:adjustRightInd w:val="0"/>
        <w:snapToGrid/>
        <w:spacing w:line="360" w:lineRule="auto"/>
        <w:ind w:firstLine="482"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cs="Times New Roman"/>
          <w:b/>
          <w:bCs/>
          <w:color w:val="auto"/>
          <w:sz w:val="24"/>
          <w:szCs w:val="24"/>
          <w:highlight w:val="none"/>
          <w:lang w:val="en-US" w:eastAsia="zh-CN"/>
        </w:rPr>
        <w:t>报价得分计算：</w:t>
      </w:r>
      <w:r>
        <w:rPr>
          <w:rFonts w:hint="eastAsia" w:ascii="Times New Roman" w:hAnsi="Times New Roman" w:eastAsia="宋体" w:cs="Times New Roman"/>
          <w:color w:val="auto"/>
          <w:sz w:val="24"/>
          <w:szCs w:val="24"/>
          <w:highlight w:val="none"/>
          <w:lang w:val="en-US" w:eastAsia="zh-CN"/>
        </w:rPr>
        <w:t>以经评审的各</w:t>
      </w:r>
      <w:r>
        <w:rPr>
          <w:rFonts w:hint="eastAsia" w:cs="Times New Roman"/>
          <w:color w:val="auto"/>
          <w:sz w:val="24"/>
          <w:szCs w:val="24"/>
          <w:highlight w:val="none"/>
          <w:lang w:val="en-US" w:eastAsia="zh-CN"/>
        </w:rPr>
        <w:t>响应</w:t>
      </w:r>
      <w:r>
        <w:rPr>
          <w:rFonts w:hint="eastAsia" w:ascii="Times New Roman" w:hAnsi="Times New Roman" w:eastAsia="宋体" w:cs="Times New Roman"/>
          <w:color w:val="auto"/>
          <w:sz w:val="24"/>
          <w:szCs w:val="24"/>
          <w:highlight w:val="none"/>
          <w:lang w:val="en-US" w:eastAsia="zh-CN"/>
        </w:rPr>
        <w:t>单位</w:t>
      </w:r>
      <w:r>
        <w:rPr>
          <w:rFonts w:hint="eastAsia" w:cs="Times New Roman"/>
          <w:color w:val="auto"/>
          <w:sz w:val="24"/>
          <w:szCs w:val="24"/>
          <w:highlight w:val="none"/>
          <w:lang w:val="en-US" w:eastAsia="zh-CN"/>
        </w:rPr>
        <w:t>响应</w:t>
      </w:r>
      <w:r>
        <w:rPr>
          <w:rFonts w:hint="eastAsia" w:ascii="Times New Roman" w:hAnsi="Times New Roman" w:eastAsia="宋体" w:cs="Times New Roman"/>
          <w:color w:val="auto"/>
          <w:sz w:val="24"/>
          <w:szCs w:val="24"/>
          <w:highlight w:val="none"/>
          <w:lang w:val="en-US" w:eastAsia="zh-CN"/>
        </w:rPr>
        <w:t>总价的算数平均值作为基准价，</w:t>
      </w:r>
    </w:p>
    <w:p w14:paraId="76E001E6">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cs="Times New Roman"/>
          <w:color w:val="auto"/>
          <w:sz w:val="24"/>
          <w:szCs w:val="24"/>
          <w:highlight w:val="none"/>
          <w:lang w:val="en-US" w:eastAsia="zh-CN"/>
        </w:rPr>
      </w:pPr>
      <w:r>
        <w:rPr>
          <w:rFonts w:hint="eastAsia" w:cs="Times New Roman"/>
          <w:color w:val="auto"/>
          <w:sz w:val="24"/>
          <w:szCs w:val="24"/>
          <w:highlight w:val="none"/>
          <w:lang w:val="en-US" w:eastAsia="zh-CN"/>
        </w:rPr>
        <w:t>响应报价等于</w:t>
      </w:r>
      <w:r>
        <w:rPr>
          <w:rFonts w:hint="eastAsia" w:ascii="Times New Roman" w:hAnsi="Times New Roman" w:eastAsia="宋体" w:cs="Times New Roman"/>
          <w:color w:val="auto"/>
          <w:sz w:val="24"/>
          <w:szCs w:val="24"/>
          <w:highlight w:val="none"/>
          <w:lang w:val="en-US" w:eastAsia="zh-CN"/>
        </w:rPr>
        <w:t>基准价</w:t>
      </w:r>
      <w:r>
        <w:rPr>
          <w:rFonts w:hint="eastAsia" w:cs="Times New Roman"/>
          <w:color w:val="auto"/>
          <w:sz w:val="24"/>
          <w:szCs w:val="24"/>
          <w:highlight w:val="none"/>
          <w:lang w:val="en-US" w:eastAsia="zh-CN"/>
        </w:rPr>
        <w:t>得</w:t>
      </w:r>
      <w:r>
        <w:rPr>
          <w:rFonts w:hint="eastAsia" w:ascii="Times New Roman" w:hAnsi="Times New Roman" w:eastAsia="宋体" w:cs="Times New Roman"/>
          <w:color w:val="auto"/>
          <w:sz w:val="24"/>
          <w:szCs w:val="24"/>
          <w:highlight w:val="none"/>
          <w:lang w:val="en-US" w:eastAsia="zh-CN"/>
        </w:rPr>
        <w:t>满分</w:t>
      </w:r>
      <w:r>
        <w:rPr>
          <w:rFonts w:hint="eastAsia" w:cs="Times New Roman"/>
          <w:color w:val="auto"/>
          <w:sz w:val="24"/>
          <w:szCs w:val="24"/>
          <w:highlight w:val="none"/>
          <w:lang w:val="en-US" w:eastAsia="zh-CN"/>
        </w:rPr>
        <w:t>15分；</w:t>
      </w:r>
    </w:p>
    <w:p w14:paraId="353B0880">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cs="Times New Roman"/>
          <w:color w:val="auto"/>
          <w:sz w:val="24"/>
          <w:szCs w:val="24"/>
          <w:highlight w:val="none"/>
          <w:lang w:val="en-US" w:eastAsia="zh-CN"/>
        </w:rPr>
      </w:pPr>
      <w:r>
        <w:rPr>
          <w:rFonts w:hint="eastAsia" w:cs="Times New Roman"/>
          <w:color w:val="auto"/>
          <w:sz w:val="24"/>
          <w:szCs w:val="24"/>
          <w:highlight w:val="none"/>
          <w:lang w:val="en-US" w:eastAsia="zh-CN"/>
        </w:rPr>
        <w:t>响应报价每高于基准价1%的</w:t>
      </w:r>
      <w:r>
        <w:rPr>
          <w:rFonts w:hint="eastAsia" w:ascii="Times New Roman" w:hAnsi="Times New Roman" w:eastAsia="宋体" w:cs="Times New Roman"/>
          <w:color w:val="auto"/>
          <w:sz w:val="24"/>
          <w:szCs w:val="24"/>
          <w:highlight w:val="none"/>
          <w:lang w:val="en-US" w:eastAsia="zh-CN"/>
        </w:rPr>
        <w:t>扣0.5分</w:t>
      </w:r>
      <w:r>
        <w:rPr>
          <w:rFonts w:hint="eastAsia" w:cs="Times New Roman"/>
          <w:color w:val="auto"/>
          <w:sz w:val="24"/>
          <w:szCs w:val="24"/>
          <w:highlight w:val="none"/>
          <w:lang w:val="en-US" w:eastAsia="zh-CN"/>
        </w:rPr>
        <w:t>；</w:t>
      </w:r>
    </w:p>
    <w:p w14:paraId="5387BE71">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cs="Times New Roman"/>
          <w:color w:val="auto"/>
          <w:sz w:val="24"/>
          <w:szCs w:val="24"/>
          <w:highlight w:val="none"/>
          <w:lang w:val="en-US" w:eastAsia="zh-CN"/>
        </w:rPr>
      </w:pPr>
      <w:r>
        <w:rPr>
          <w:rFonts w:hint="eastAsia" w:cs="Times New Roman"/>
          <w:color w:val="auto"/>
          <w:sz w:val="24"/>
          <w:szCs w:val="24"/>
          <w:highlight w:val="none"/>
          <w:lang w:val="en-US" w:eastAsia="zh-CN"/>
        </w:rPr>
        <w:t>响应报价每低于基准价</w:t>
      </w:r>
      <w:r>
        <w:rPr>
          <w:rFonts w:hint="eastAsia" w:ascii="Times New Roman" w:hAnsi="Times New Roman" w:eastAsia="宋体" w:cs="Times New Roman"/>
          <w:color w:val="auto"/>
          <w:sz w:val="24"/>
          <w:szCs w:val="24"/>
          <w:highlight w:val="none"/>
          <w:lang w:val="en-US" w:eastAsia="zh-CN"/>
        </w:rPr>
        <w:t>1%扣0.3分</w:t>
      </w:r>
      <w:r>
        <w:rPr>
          <w:rFonts w:hint="eastAsia" w:cs="Times New Roman"/>
          <w:color w:val="auto"/>
          <w:sz w:val="24"/>
          <w:szCs w:val="24"/>
          <w:highlight w:val="none"/>
          <w:lang w:val="en-US" w:eastAsia="zh-CN"/>
        </w:rPr>
        <w:t>；</w:t>
      </w:r>
    </w:p>
    <w:p w14:paraId="6AC54C65">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中间用插入法计算，保留小数点</w:t>
      </w:r>
      <w:r>
        <w:rPr>
          <w:rFonts w:hint="eastAsia" w:cs="Times New Roman"/>
          <w:color w:val="auto"/>
          <w:sz w:val="24"/>
          <w:szCs w:val="24"/>
          <w:highlight w:val="none"/>
          <w:lang w:val="en-US" w:eastAsia="zh-CN"/>
        </w:rPr>
        <w:t>后</w:t>
      </w:r>
      <w:r>
        <w:rPr>
          <w:rFonts w:hint="eastAsia" w:ascii="Times New Roman" w:hAnsi="Times New Roman" w:eastAsia="宋体" w:cs="Times New Roman"/>
          <w:color w:val="auto"/>
          <w:sz w:val="24"/>
          <w:szCs w:val="24"/>
          <w:highlight w:val="none"/>
          <w:lang w:val="en-US" w:eastAsia="zh-CN"/>
        </w:rPr>
        <w:t>两位，以此类推，扣完为止、不计负分。（计算得分保留小数点后2位）。</w:t>
      </w:r>
    </w:p>
    <w:p w14:paraId="6D2444F0">
      <w:pPr>
        <w:widowControl/>
        <w:spacing w:line="360" w:lineRule="auto"/>
        <w:ind w:firstLine="0" w:firstLineChars="0"/>
        <w:rPr>
          <w:rFonts w:ascii="宋体" w:hAnsi="宋体" w:cs="宋体"/>
          <w:color w:val="auto"/>
          <w:kern w:val="0"/>
          <w:sz w:val="20"/>
          <w:szCs w:val="20"/>
          <w:highlight w:val="none"/>
          <w:shd w:val="clear" w:color="auto" w:fill="FFFFFF"/>
        </w:rPr>
      </w:pPr>
    </w:p>
    <w:p w14:paraId="24BB3D5B">
      <w:pPr>
        <w:rPr>
          <w:rFonts w:ascii="宋体" w:hAnsi="宋体" w:cs="宋体"/>
          <w:b/>
          <w:color w:val="auto"/>
          <w:kern w:val="0"/>
          <w:sz w:val="32"/>
          <w:highlight w:val="none"/>
        </w:rPr>
      </w:pPr>
      <w:r>
        <w:rPr>
          <w:rFonts w:hint="eastAsia" w:ascii="宋体" w:hAnsi="宋体" w:cs="宋体"/>
          <w:b/>
          <w:color w:val="auto"/>
          <w:kern w:val="0"/>
          <w:sz w:val="32"/>
          <w:highlight w:val="none"/>
        </w:rPr>
        <w:br w:type="page"/>
      </w:r>
    </w:p>
    <w:p w14:paraId="4DD677C9">
      <w:pPr>
        <w:topLinePunct/>
        <w:snapToGrid w:val="0"/>
        <w:spacing w:line="360" w:lineRule="auto"/>
        <w:jc w:val="center"/>
        <w:rPr>
          <w:rFonts w:ascii="宋体" w:hAnsi="宋体" w:cs="宋体"/>
          <w:b/>
          <w:color w:val="auto"/>
          <w:kern w:val="0"/>
          <w:sz w:val="28"/>
          <w:szCs w:val="28"/>
          <w:highlight w:val="none"/>
        </w:rPr>
      </w:pPr>
      <w:r>
        <w:rPr>
          <w:rFonts w:hint="eastAsia" w:ascii="宋体" w:hAnsi="宋体" w:cs="宋体"/>
          <w:b/>
          <w:color w:val="auto"/>
          <w:kern w:val="0"/>
          <w:sz w:val="32"/>
          <w:highlight w:val="none"/>
        </w:rPr>
        <w:t>一、评标方法</w:t>
      </w:r>
    </w:p>
    <w:p w14:paraId="32F545C3">
      <w:pPr>
        <w:topLinePunct/>
        <w:snapToGri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综合评分法，是指响应文件满足交易文件全部实质性要求，且按照评审因素的量化指标评审得分最高的供应商为成交候选人的评标方法。</w:t>
      </w:r>
    </w:p>
    <w:p w14:paraId="0BE01AAF">
      <w:pPr>
        <w:topLinePunct/>
        <w:snapToGrid w:val="0"/>
        <w:spacing w:line="360" w:lineRule="auto"/>
        <w:jc w:val="center"/>
        <w:rPr>
          <w:rFonts w:ascii="宋体" w:hAnsi="宋体" w:cs="宋体"/>
          <w:b/>
          <w:color w:val="auto"/>
          <w:kern w:val="0"/>
          <w:sz w:val="32"/>
          <w:highlight w:val="none"/>
        </w:rPr>
      </w:pPr>
      <w:r>
        <w:rPr>
          <w:rFonts w:hint="eastAsia" w:ascii="宋体" w:hAnsi="宋体" w:cs="宋体"/>
          <w:b/>
          <w:color w:val="auto"/>
          <w:kern w:val="0"/>
          <w:sz w:val="32"/>
          <w:highlight w:val="none"/>
        </w:rPr>
        <w:t>二、评标标准</w:t>
      </w:r>
    </w:p>
    <w:p w14:paraId="2C747195">
      <w:pPr>
        <w:topLinePunct/>
        <w:snapToGrid w:val="0"/>
        <w:spacing w:line="360"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2.评标标准：</w:t>
      </w:r>
      <w:r>
        <w:rPr>
          <w:rFonts w:hint="eastAsia" w:ascii="宋体" w:hAnsi="宋体" w:cs="宋体"/>
          <w:color w:val="auto"/>
          <w:kern w:val="0"/>
          <w:sz w:val="24"/>
          <w:highlight w:val="none"/>
        </w:rPr>
        <w:t>见评标办法前附表。</w:t>
      </w:r>
    </w:p>
    <w:p w14:paraId="2948A0DE">
      <w:pPr>
        <w:topLinePunct/>
        <w:snapToGrid w:val="0"/>
        <w:spacing w:line="360" w:lineRule="auto"/>
        <w:jc w:val="center"/>
        <w:rPr>
          <w:rFonts w:ascii="宋体" w:hAnsi="宋体" w:cs="宋体"/>
          <w:b/>
          <w:color w:val="auto"/>
          <w:kern w:val="0"/>
          <w:sz w:val="32"/>
          <w:highlight w:val="none"/>
        </w:rPr>
      </w:pPr>
      <w:r>
        <w:rPr>
          <w:rFonts w:hint="eastAsia" w:ascii="宋体" w:hAnsi="宋体" w:cs="宋体"/>
          <w:b/>
          <w:color w:val="auto"/>
          <w:kern w:val="0"/>
          <w:sz w:val="32"/>
          <w:highlight w:val="none"/>
        </w:rPr>
        <w:t>三、评标程序</w:t>
      </w:r>
    </w:p>
    <w:p w14:paraId="539FA246">
      <w:pPr>
        <w:topLinePunct/>
        <w:snapToGri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评标委员会应当对符合资格的供应商的响应文件进行符合性审查，以确定其是否满足交易文件的实质性要求。不满足交易文件的实质性要求的，交易无效。</w:t>
      </w:r>
    </w:p>
    <w:p w14:paraId="1D4CE428">
      <w:pPr>
        <w:topLinePunct/>
        <w:snapToGri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评标委员会应当按照交易文件中规定的评标方法和标准，对符合性审查合格的响应文件进行商务和技术评估，综合比较与评价。</w:t>
      </w:r>
    </w:p>
    <w:p w14:paraId="78004C78">
      <w:pPr>
        <w:topLinePunct/>
        <w:snapToGri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评标委员会各成员应当独立对每个供应商的商务和技术文件进行评价，并汇总商务技术得分情况。</w:t>
      </w:r>
    </w:p>
    <w:p w14:paraId="6B5E5501">
      <w:pPr>
        <w:topLinePunct/>
        <w:snapToGrid w:val="0"/>
        <w:spacing w:line="360"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0AF053BF">
      <w:pPr>
        <w:pStyle w:val="130"/>
        <w:topLinePunct/>
        <w:snapToGrid w:val="0"/>
        <w:spacing w:before="0"/>
        <w:ind w:firstLine="480"/>
        <w:rPr>
          <w:rFonts w:ascii="宋体" w:hAnsi="宋体" w:cs="宋体"/>
          <w:color w:val="auto"/>
          <w:kern w:val="0"/>
          <w:highlight w:val="none"/>
        </w:rPr>
      </w:pPr>
      <w:r>
        <w:rPr>
          <w:rFonts w:hint="eastAsia" w:ascii="宋体" w:hAnsi="宋体" w:cs="宋体"/>
          <w:color w:val="auto"/>
          <w:kern w:val="0"/>
          <w:highlight w:val="none"/>
        </w:rPr>
        <w:t>3.4.1响应文件报价出现前后不一致的，按照下列规定修正：</w:t>
      </w:r>
    </w:p>
    <w:p w14:paraId="1247CACC">
      <w:pPr>
        <w:pStyle w:val="130"/>
        <w:topLinePunct/>
        <w:snapToGrid w:val="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3.4.1.1响应文件中交易一览表(报价表)内容与响应文件中相应内容不一致的，以交易一览表(报价表)为准;</w:t>
      </w:r>
    </w:p>
    <w:p w14:paraId="65F15D62">
      <w:pPr>
        <w:pStyle w:val="130"/>
        <w:topLinePunct/>
        <w:snapToGrid w:val="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0DA80DCC">
      <w:pPr>
        <w:pStyle w:val="130"/>
        <w:topLinePunct/>
        <w:snapToGrid w:val="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3.4.1.3单价金额小数点或者百分比有明显错位的，以交易一览表的总价为准，并修改单价;</w:t>
      </w:r>
    </w:p>
    <w:p w14:paraId="468BD94D">
      <w:pPr>
        <w:pStyle w:val="130"/>
        <w:topLinePunct/>
        <w:snapToGrid w:val="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01AE4F2">
      <w:pPr>
        <w:pStyle w:val="130"/>
        <w:topLinePunct/>
        <w:snapToGrid w:val="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《政府采购货物和服务招标投标管理办法》第五十一条第二款的规定经供应商确认后产生约束力。</w:t>
      </w:r>
    </w:p>
    <w:p w14:paraId="22376A72">
      <w:pPr>
        <w:topLinePunct/>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3.4.2响应文件出现不是唯一的、有选择性相应报价的，交易无效。</w:t>
      </w:r>
    </w:p>
    <w:p w14:paraId="64C7AAEB">
      <w:pPr>
        <w:topLinePunct/>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3.4.3响应报价超过交易文件中规定的预算金额或者最高限价的，交易无效。</w:t>
      </w:r>
    </w:p>
    <w:p w14:paraId="600998E6">
      <w:pPr>
        <w:pStyle w:val="130"/>
        <w:topLinePunct/>
        <w:snapToGrid w:val="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响应处理。</w:t>
      </w:r>
    </w:p>
    <w:p w14:paraId="1F5AA8F7">
      <w:pPr>
        <w:topLinePunct/>
        <w:snapToGri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响应报价由低到高顺序排列。得分且响应报价相同的并列。响应文件满足交易文件全部实质性要求，且按照评审因素的量化指标评审得分最高的供应商为排名第一的成交候选人。</w:t>
      </w:r>
    </w:p>
    <w:p w14:paraId="4469DCA1">
      <w:pPr>
        <w:topLinePunct/>
        <w:snapToGri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C50E89E">
      <w:pPr>
        <w:topLinePunct/>
        <w:snapToGrid w:val="0"/>
        <w:spacing w:line="360" w:lineRule="auto"/>
        <w:jc w:val="center"/>
        <w:rPr>
          <w:rFonts w:ascii="宋体" w:hAnsi="宋体" w:cs="宋体"/>
          <w:b/>
          <w:color w:val="auto"/>
          <w:kern w:val="0"/>
          <w:sz w:val="32"/>
          <w:highlight w:val="none"/>
        </w:rPr>
      </w:pPr>
      <w:r>
        <w:rPr>
          <w:rFonts w:hint="eastAsia" w:ascii="宋体" w:hAnsi="宋体" w:cs="宋体"/>
          <w:b/>
          <w:color w:val="auto"/>
          <w:kern w:val="0"/>
          <w:sz w:val="32"/>
          <w:highlight w:val="none"/>
        </w:rPr>
        <w:t>四、评标中的其他事项</w:t>
      </w:r>
    </w:p>
    <w:p w14:paraId="5F5835AF">
      <w:pPr>
        <w:pStyle w:val="130"/>
        <w:topLinePunct/>
        <w:snapToGrid w:val="0"/>
        <w:spacing w:before="0"/>
        <w:ind w:firstLine="482"/>
        <w:rPr>
          <w:rFonts w:ascii="宋体" w:hAnsi="宋体" w:cs="宋体"/>
          <w:color w:val="auto"/>
          <w:kern w:val="0"/>
          <w:szCs w:val="24"/>
          <w:highlight w:val="none"/>
        </w:rPr>
      </w:pPr>
      <w:r>
        <w:rPr>
          <w:rFonts w:hint="eastAsia" w:ascii="宋体" w:hAnsi="宋体" w:cs="宋体"/>
          <w:b/>
          <w:color w:val="auto"/>
          <w:kern w:val="0"/>
          <w:szCs w:val="24"/>
          <w:highlight w:val="none"/>
        </w:rPr>
        <w:t>4.1供应商澄清、说明或者补正。</w:t>
      </w:r>
      <w:r>
        <w:rPr>
          <w:rFonts w:hint="eastAsia" w:ascii="宋体" w:hAnsi="宋体" w:cs="宋体"/>
          <w:color w:val="auto"/>
          <w:kern w:val="0"/>
          <w:szCs w:val="24"/>
          <w:highlight w:val="none"/>
        </w:rPr>
        <w:t>对于响应文件中含义不明确、同类问题表述不一致或者有明显文字和计算错误的内容需要供应商作出必要的澄清、说明或者补正的，评标委员会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778F198A">
      <w:pPr>
        <w:pStyle w:val="16"/>
        <w:topLinePunct/>
        <w:snapToGrid w:val="0"/>
        <w:spacing w:line="360" w:lineRule="auto"/>
        <w:ind w:firstLine="482"/>
        <w:rPr>
          <w:rFonts w:cs="宋体"/>
          <w:color w:val="auto"/>
          <w:kern w:val="0"/>
          <w:szCs w:val="21"/>
          <w:highlight w:val="none"/>
        </w:rPr>
      </w:pPr>
      <w:r>
        <w:rPr>
          <w:rFonts w:hint="eastAsia" w:cs="宋体"/>
          <w:b/>
          <w:color w:val="auto"/>
          <w:kern w:val="0"/>
          <w:highlight w:val="none"/>
        </w:rPr>
        <w:t>4.2交易无效。</w:t>
      </w:r>
      <w:r>
        <w:rPr>
          <w:rFonts w:hint="eastAsia" w:cs="宋体"/>
          <w:color w:val="auto"/>
          <w:kern w:val="0"/>
          <w:szCs w:val="21"/>
          <w:highlight w:val="none"/>
        </w:rPr>
        <w:t>有下列情形之一的，交易无效：</w:t>
      </w:r>
    </w:p>
    <w:p w14:paraId="5AE27237">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4.2.1供应商不具备交易文件中规定的资格要求的（供应商未提供有效的资格文件的，视为供应商不具备交易文件中规定的资格要求）；</w:t>
      </w:r>
    </w:p>
    <w:p w14:paraId="2BEB6D59">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4.2.2响应文件未按照交易文件要求签署、盖章的；</w:t>
      </w:r>
    </w:p>
    <w:p w14:paraId="6CAE7E0B">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4.2.3响应文件含有采购人不能接受的附加条件的；</w:t>
      </w:r>
    </w:p>
    <w:p w14:paraId="3B5E51A8">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4.2.4响应文件中承诺的交易有效期少于交易文件中载明的交易有效期的；</w:t>
      </w:r>
    </w:p>
    <w:p w14:paraId="7FA4EBD4">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4.2.5响应文件出现不是唯一的、有选择性响应报价的；</w:t>
      </w:r>
    </w:p>
    <w:p w14:paraId="23E600A5">
      <w:pPr>
        <w:topLinePunct/>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4.2.6响应报价超过交易文件中规定的预算金额或者最高限价的；</w:t>
      </w:r>
    </w:p>
    <w:p w14:paraId="5D9B1AF9">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4.2.7报价明显低于其他通过符合性审查供应商的报价，有可能影响产品质量或者不能诚信履约的，未能按要求提供书面说明或者提交相关证明材料，不能证明其报价合理性的；</w:t>
      </w:r>
    </w:p>
    <w:p w14:paraId="13756C62">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4.2.8供应商对根据修正原则修正后的报价不确认的；</w:t>
      </w:r>
    </w:p>
    <w:p w14:paraId="749514B7">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4.2.9供应商提供虚假材料响应的；</w:t>
      </w:r>
    </w:p>
    <w:p w14:paraId="1402832A">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4.2.10供应商有恶意串通、妨碍其他供应商的竞争行为、损害采购人或者其他供应商的合法权益情形的；</w:t>
      </w:r>
    </w:p>
    <w:p w14:paraId="4146B675">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 xml:space="preserve">  4.2.11供应商仅提交备份响应文件，未在电子交易平台传输递交响应文件的，交易无效；</w:t>
      </w:r>
    </w:p>
    <w:p w14:paraId="68583723">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4.2.12响应文件不满足交易文件的其它实质性要求的；</w:t>
      </w:r>
    </w:p>
    <w:p w14:paraId="47B553CB">
      <w:pPr>
        <w:topLinePunct/>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4.2.13 法律、法规、规章（适用本市的）及省级以上规范性文件（适用本市的）规定的其他无效情形。</w:t>
      </w:r>
    </w:p>
    <w:p w14:paraId="35B79869">
      <w:pPr>
        <w:pStyle w:val="16"/>
        <w:topLinePunct/>
        <w:snapToGrid w:val="0"/>
        <w:spacing w:line="360" w:lineRule="auto"/>
        <w:ind w:firstLine="482"/>
        <w:rPr>
          <w:rFonts w:cs="宋体"/>
          <w:color w:val="auto"/>
          <w:kern w:val="0"/>
          <w:highlight w:val="none"/>
        </w:rPr>
      </w:pPr>
      <w:r>
        <w:rPr>
          <w:rFonts w:hint="eastAsia" w:cs="宋体"/>
          <w:b/>
          <w:color w:val="auto"/>
          <w:kern w:val="0"/>
          <w:highlight w:val="none"/>
        </w:rPr>
        <w:t>5.废标。</w:t>
      </w:r>
      <w:r>
        <w:rPr>
          <w:rFonts w:hint="eastAsia" w:cs="宋体"/>
          <w:color w:val="auto"/>
          <w:kern w:val="0"/>
          <w:highlight w:val="none"/>
        </w:rPr>
        <w:t>在采购中，出现下列情形之一的，应予废标：</w:t>
      </w:r>
    </w:p>
    <w:p w14:paraId="1686B84C">
      <w:pPr>
        <w:pStyle w:val="16"/>
        <w:topLinePunct/>
        <w:snapToGrid w:val="0"/>
        <w:spacing w:line="360" w:lineRule="auto"/>
        <w:rPr>
          <w:rFonts w:cs="宋体"/>
          <w:color w:val="auto"/>
          <w:kern w:val="0"/>
          <w:highlight w:val="none"/>
        </w:rPr>
      </w:pPr>
      <w:r>
        <w:rPr>
          <w:rFonts w:hint="eastAsia" w:cs="宋体"/>
          <w:color w:val="auto"/>
          <w:kern w:val="0"/>
          <w:highlight w:val="none"/>
        </w:rPr>
        <w:t>5.1符合专业条件的供应商或者对交易文件作实质响应的供应商不足3家的；</w:t>
      </w:r>
    </w:p>
    <w:p w14:paraId="31411489">
      <w:pPr>
        <w:pStyle w:val="16"/>
        <w:topLinePunct/>
        <w:snapToGrid w:val="0"/>
        <w:spacing w:line="360" w:lineRule="auto"/>
        <w:rPr>
          <w:rFonts w:cs="宋体"/>
          <w:color w:val="auto"/>
          <w:kern w:val="0"/>
          <w:highlight w:val="none"/>
        </w:rPr>
      </w:pPr>
      <w:r>
        <w:rPr>
          <w:rFonts w:hint="eastAsia" w:cs="宋体"/>
          <w:color w:val="auto"/>
          <w:kern w:val="0"/>
          <w:highlight w:val="none"/>
        </w:rPr>
        <w:t>5.2出现影响采购公正的违法、违规行为的；</w:t>
      </w:r>
    </w:p>
    <w:p w14:paraId="1C9A185B">
      <w:pPr>
        <w:pStyle w:val="16"/>
        <w:topLinePunct/>
        <w:snapToGrid w:val="0"/>
        <w:spacing w:line="360" w:lineRule="auto"/>
        <w:rPr>
          <w:rFonts w:cs="宋体"/>
          <w:color w:val="auto"/>
          <w:kern w:val="0"/>
          <w:highlight w:val="none"/>
        </w:rPr>
      </w:pPr>
      <w:r>
        <w:rPr>
          <w:rFonts w:hint="eastAsia" w:cs="宋体"/>
          <w:color w:val="auto"/>
          <w:kern w:val="0"/>
          <w:highlight w:val="none"/>
        </w:rPr>
        <w:t>5.3供应商的报价均超过了采购预算，采购人不能支付的；</w:t>
      </w:r>
    </w:p>
    <w:p w14:paraId="38CBA2EB">
      <w:pPr>
        <w:pStyle w:val="16"/>
        <w:topLinePunct/>
        <w:snapToGrid w:val="0"/>
        <w:spacing w:line="360" w:lineRule="auto"/>
        <w:rPr>
          <w:rFonts w:cs="宋体"/>
          <w:color w:val="auto"/>
          <w:kern w:val="0"/>
          <w:highlight w:val="none"/>
        </w:rPr>
      </w:pPr>
      <w:r>
        <w:rPr>
          <w:rFonts w:hint="eastAsia" w:cs="宋体"/>
          <w:color w:val="auto"/>
          <w:kern w:val="0"/>
          <w:highlight w:val="none"/>
        </w:rPr>
        <w:t>5.4因重大变故，采购任务取消的。</w:t>
      </w:r>
    </w:p>
    <w:p w14:paraId="5FDADA09">
      <w:pPr>
        <w:pStyle w:val="16"/>
        <w:topLinePunct/>
        <w:snapToGrid w:val="0"/>
        <w:spacing w:line="360" w:lineRule="auto"/>
        <w:rPr>
          <w:rFonts w:cs="宋体"/>
          <w:color w:val="auto"/>
          <w:kern w:val="0"/>
          <w:highlight w:val="none"/>
        </w:rPr>
      </w:pPr>
      <w:r>
        <w:rPr>
          <w:rFonts w:hint="eastAsia" w:cs="宋体"/>
          <w:color w:val="auto"/>
          <w:kern w:val="0"/>
          <w:highlight w:val="none"/>
        </w:rPr>
        <w:t>废标后，采购机构应当将废标理由通知所有供应商。</w:t>
      </w:r>
    </w:p>
    <w:p w14:paraId="003C8A8A">
      <w:pPr>
        <w:pStyle w:val="16"/>
        <w:topLinePunct/>
        <w:snapToGrid w:val="0"/>
        <w:spacing w:line="360" w:lineRule="auto"/>
        <w:ind w:firstLine="482"/>
        <w:rPr>
          <w:rFonts w:cs="宋体"/>
          <w:color w:val="auto"/>
          <w:kern w:val="0"/>
          <w:highlight w:val="none"/>
        </w:rPr>
      </w:pPr>
      <w:r>
        <w:rPr>
          <w:rFonts w:hint="eastAsia" w:cs="宋体"/>
          <w:b/>
          <w:color w:val="auto"/>
          <w:kern w:val="0"/>
          <w:highlight w:val="none"/>
        </w:rPr>
        <w:t>6.修改交易文件，重新组织采购活动。</w:t>
      </w:r>
      <w:r>
        <w:rPr>
          <w:rFonts w:hint="eastAsia" w:cs="宋体"/>
          <w:color w:val="auto"/>
          <w:kern w:val="0"/>
          <w:highlight w:val="none"/>
        </w:rPr>
        <w:t>评标委员会发现交易文件存在歧义、重大缺陷导致评标工作无法进行，或者交易文件内容违反国家有关强制性规定的，将停止评标工作，并与采购人、采购机构沟通并作书面记录。采购人、采购机构确认后，将修改交易文件，重新组织采购活动。</w:t>
      </w:r>
    </w:p>
    <w:p w14:paraId="5AE0B5D0">
      <w:pPr>
        <w:pStyle w:val="16"/>
        <w:topLinePunct/>
        <w:snapToGrid w:val="0"/>
        <w:spacing w:line="360" w:lineRule="auto"/>
        <w:ind w:firstLine="482"/>
        <w:rPr>
          <w:rFonts w:cs="宋体"/>
          <w:color w:val="auto"/>
          <w:kern w:val="0"/>
          <w:highlight w:val="none"/>
        </w:rPr>
      </w:pPr>
      <w:r>
        <w:rPr>
          <w:rFonts w:hint="eastAsia" w:cs="宋体"/>
          <w:b/>
          <w:color w:val="auto"/>
          <w:kern w:val="0"/>
          <w:highlight w:val="none"/>
        </w:rPr>
        <w:t>7.重新开展采购。</w:t>
      </w:r>
      <w:r>
        <w:rPr>
          <w:rFonts w:hint="eastAsia" w:cs="宋体"/>
          <w:color w:val="auto"/>
          <w:kern w:val="0"/>
          <w:highlight w:val="none"/>
        </w:rPr>
        <w:t>有影响或者可能影响成交、成交结果的，依照下列规定处理：</w:t>
      </w:r>
    </w:p>
    <w:p w14:paraId="6B3681C7">
      <w:pPr>
        <w:pStyle w:val="16"/>
        <w:topLinePunct/>
        <w:snapToGrid w:val="0"/>
        <w:spacing w:line="360" w:lineRule="auto"/>
        <w:rPr>
          <w:rFonts w:cs="宋体"/>
          <w:color w:val="auto"/>
          <w:kern w:val="0"/>
          <w:highlight w:val="none"/>
        </w:rPr>
      </w:pPr>
      <w:r>
        <w:rPr>
          <w:rFonts w:hint="eastAsia" w:cs="宋体"/>
          <w:color w:val="auto"/>
          <w:kern w:val="0"/>
          <w:highlight w:val="none"/>
        </w:rPr>
        <w:t>7.1未确定成交或者成交人的，终止本次采购活动，重新开展采购活动。</w:t>
      </w:r>
    </w:p>
    <w:p w14:paraId="43B0926A">
      <w:pPr>
        <w:pStyle w:val="16"/>
        <w:topLinePunct/>
        <w:snapToGrid w:val="0"/>
        <w:spacing w:line="360" w:lineRule="auto"/>
        <w:rPr>
          <w:rFonts w:cs="宋体"/>
          <w:color w:val="auto"/>
          <w:kern w:val="0"/>
          <w:highlight w:val="none"/>
        </w:rPr>
      </w:pPr>
      <w:r>
        <w:rPr>
          <w:rFonts w:hint="eastAsia" w:cs="宋体"/>
          <w:color w:val="auto"/>
          <w:kern w:val="0"/>
          <w:highlight w:val="none"/>
        </w:rPr>
        <w:t>7.2已确定成交或者成交人但尚未签订采购合同的，成交或者成交结果无效，从合格的成交或者成交候选人中另行确定成交或者成交人；没有合格的成交或者成交候选人的，重新开展采购活动。</w:t>
      </w:r>
    </w:p>
    <w:p w14:paraId="6B9F1B74">
      <w:pPr>
        <w:pStyle w:val="16"/>
        <w:topLinePunct/>
        <w:snapToGrid w:val="0"/>
        <w:spacing w:line="360" w:lineRule="auto"/>
        <w:rPr>
          <w:rFonts w:cs="宋体"/>
          <w:color w:val="auto"/>
          <w:kern w:val="0"/>
          <w:highlight w:val="none"/>
        </w:rPr>
      </w:pPr>
      <w:r>
        <w:rPr>
          <w:rFonts w:hint="eastAsia" w:cs="宋体"/>
          <w:color w:val="auto"/>
          <w:kern w:val="0"/>
          <w:highlight w:val="none"/>
        </w:rPr>
        <w:t>7.3采购合同已签订但尚未履行的，撤销合同，从合格的成交或者成交候选人中另行确定成交或者成交人；没有合格的成交或者成交候选人的，重新开展采购活动。</w:t>
      </w:r>
    </w:p>
    <w:p w14:paraId="77C2F01A">
      <w:pPr>
        <w:pStyle w:val="16"/>
        <w:topLinePunct/>
        <w:snapToGrid w:val="0"/>
        <w:spacing w:line="360" w:lineRule="auto"/>
        <w:rPr>
          <w:rFonts w:cs="宋体"/>
          <w:color w:val="auto"/>
          <w:kern w:val="0"/>
          <w:highlight w:val="none"/>
        </w:rPr>
      </w:pPr>
      <w:r>
        <w:rPr>
          <w:rFonts w:hint="eastAsia" w:cs="宋体"/>
          <w:color w:val="auto"/>
          <w:kern w:val="0"/>
          <w:highlight w:val="none"/>
        </w:rPr>
        <w:t>7.4采购合同已经履行，给采购人、供应商造成损失的，由责任人承担赔偿责任。</w:t>
      </w:r>
    </w:p>
    <w:p w14:paraId="3C996BEB">
      <w:pPr>
        <w:pStyle w:val="16"/>
        <w:topLinePunct/>
        <w:snapToGrid w:val="0"/>
        <w:spacing w:line="360" w:lineRule="auto"/>
        <w:rPr>
          <w:rFonts w:cs="宋体"/>
          <w:color w:val="auto"/>
          <w:kern w:val="0"/>
          <w:highlight w:val="none"/>
        </w:rPr>
      </w:pPr>
      <w:r>
        <w:rPr>
          <w:rFonts w:hint="eastAsia" w:cs="宋体"/>
          <w:color w:val="auto"/>
          <w:kern w:val="0"/>
          <w:highlight w:val="none"/>
        </w:rPr>
        <w:t>7.5采购当事人有其他违反相关法律法规规定的行为，经改正后仍然影响或者可能影响成交、成交结果或者依法被认定为成交、成交无效的，依照7.1-7.4规定处理。</w:t>
      </w:r>
    </w:p>
    <w:bookmarkEnd w:id="16"/>
    <w:p w14:paraId="0956AC4E">
      <w:pPr>
        <w:spacing w:line="360" w:lineRule="auto"/>
        <w:outlineLvl w:val="0"/>
        <w:rPr>
          <w:rFonts w:ascii="宋体" w:hAnsi="宋体" w:cs="宋体"/>
          <w:b/>
          <w:color w:val="auto"/>
          <w:kern w:val="0"/>
          <w:sz w:val="36"/>
          <w:szCs w:val="36"/>
          <w:highlight w:val="none"/>
        </w:rPr>
      </w:pPr>
      <w:bookmarkStart w:id="382" w:name="第五部分"/>
      <w:bookmarkStart w:id="383" w:name="_Toc86217003"/>
    </w:p>
    <w:p w14:paraId="49E3255B">
      <w:pPr>
        <w:spacing w:line="360" w:lineRule="auto"/>
        <w:ind w:left="720" w:leftChars="343" w:firstLine="1084" w:firstLineChars="300"/>
        <w:outlineLvl w:val="0"/>
        <w:rPr>
          <w:rFonts w:ascii="宋体" w:hAnsi="宋体" w:cs="宋体"/>
          <w:b/>
          <w:color w:val="auto"/>
          <w:kern w:val="0"/>
          <w:sz w:val="36"/>
          <w:szCs w:val="36"/>
          <w:highlight w:val="none"/>
        </w:rPr>
      </w:pPr>
    </w:p>
    <w:p w14:paraId="76D477BE">
      <w:pPr>
        <w:rPr>
          <w:rFonts w:ascii="宋体" w:hAnsi="宋体" w:cs="宋体"/>
          <w:b/>
          <w:color w:val="auto"/>
          <w:kern w:val="0"/>
          <w:sz w:val="36"/>
          <w:szCs w:val="36"/>
          <w:highlight w:val="none"/>
        </w:rPr>
      </w:pPr>
    </w:p>
    <w:p w14:paraId="7D6B3004">
      <w:pPr>
        <w:spacing w:line="360" w:lineRule="auto"/>
        <w:ind w:left="-420" w:leftChars="-200" w:right="-420" w:rightChars="-200" w:firstLine="723" w:firstLineChars="200"/>
        <w:jc w:val="center"/>
        <w:outlineLvl w:val="0"/>
        <w:rPr>
          <w:rFonts w:ascii="宋体" w:hAnsi="宋体" w:cs="宋体"/>
          <w:b/>
          <w:color w:val="auto"/>
          <w:kern w:val="0"/>
          <w:sz w:val="36"/>
          <w:szCs w:val="20"/>
          <w:highlight w:val="none"/>
        </w:rPr>
      </w:pPr>
      <w:r>
        <w:rPr>
          <w:rFonts w:hint="eastAsia" w:ascii="宋体" w:hAnsi="宋体" w:cs="宋体"/>
          <w:b/>
          <w:color w:val="auto"/>
          <w:kern w:val="0"/>
          <w:sz w:val="36"/>
          <w:szCs w:val="36"/>
          <w:highlight w:val="none"/>
        </w:rPr>
        <w:t xml:space="preserve">第五部分 </w:t>
      </w:r>
      <w:bookmarkEnd w:id="382"/>
      <w:bookmarkEnd w:id="383"/>
      <w:r>
        <w:rPr>
          <w:rFonts w:hint="eastAsia" w:ascii="宋体" w:hAnsi="宋体" w:cs="宋体"/>
          <w:b/>
          <w:color w:val="auto"/>
          <w:kern w:val="0"/>
          <w:sz w:val="36"/>
          <w:szCs w:val="20"/>
          <w:highlight w:val="none"/>
        </w:rPr>
        <w:t>应提交的有关格式范例</w:t>
      </w:r>
    </w:p>
    <w:p w14:paraId="152B6EAF">
      <w:pPr>
        <w:spacing w:line="360" w:lineRule="auto"/>
        <w:jc w:val="center"/>
        <w:outlineLvl w:val="0"/>
        <w:rPr>
          <w:rFonts w:ascii="宋体" w:hAnsi="宋体" w:cs="宋体"/>
          <w:b/>
          <w:color w:val="auto"/>
          <w:kern w:val="0"/>
          <w:sz w:val="36"/>
          <w:szCs w:val="36"/>
          <w:highlight w:val="none"/>
        </w:rPr>
      </w:pPr>
    </w:p>
    <w:p w14:paraId="2D257FFC">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7E5BF11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 录</w:t>
      </w:r>
    </w:p>
    <w:p w14:paraId="390BA219">
      <w:pPr>
        <w:spacing w:line="360" w:lineRule="auto"/>
        <w:jc w:val="center"/>
        <w:outlineLvl w:val="0"/>
        <w:rPr>
          <w:rFonts w:ascii="宋体" w:hAnsi="宋体" w:cs="宋体"/>
          <w:b/>
          <w:color w:val="auto"/>
          <w:kern w:val="0"/>
          <w:sz w:val="36"/>
          <w:szCs w:val="36"/>
          <w:highlight w:val="none"/>
        </w:rPr>
      </w:pPr>
    </w:p>
    <w:p w14:paraId="50841A5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（1）符合参加采购活动应当具备的一般条件的承诺函…………………（页码）</w:t>
      </w:r>
    </w:p>
    <w:p w14:paraId="1A8BD23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（2）本项目的特定资格要求</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若有</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…………………………………………（页码）</w:t>
      </w:r>
    </w:p>
    <w:p w14:paraId="505446EF">
      <w:pPr>
        <w:snapToGrid w:val="0"/>
        <w:spacing w:line="360" w:lineRule="auto"/>
        <w:ind w:firstLine="480" w:firstLineChars="200"/>
        <w:rPr>
          <w:rFonts w:ascii="宋体" w:hAnsi="宋体" w:cs="宋体"/>
          <w:color w:val="auto"/>
          <w:kern w:val="0"/>
          <w:sz w:val="24"/>
          <w:highlight w:val="none"/>
        </w:rPr>
      </w:pPr>
    </w:p>
    <w:p w14:paraId="2B4B8224">
      <w:pPr>
        <w:spacing w:line="360" w:lineRule="auto"/>
        <w:ind w:firstLine="480" w:firstLineChars="200"/>
        <w:rPr>
          <w:rFonts w:ascii="宋体" w:hAnsi="宋体" w:cs="宋体"/>
          <w:color w:val="auto"/>
          <w:kern w:val="0"/>
          <w:sz w:val="24"/>
          <w:highlight w:val="none"/>
        </w:rPr>
      </w:pPr>
    </w:p>
    <w:p w14:paraId="4905CC6F">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符合参加采购活动应当具备的一般条件的承诺函</w:t>
      </w:r>
    </w:p>
    <w:p w14:paraId="4208932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（采购人）、（采购代理机构）：</w:t>
      </w:r>
    </w:p>
    <w:p w14:paraId="7849E035">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我方参与（项目名称）【交易编号：】采购活动，郑重承诺：</w:t>
      </w:r>
    </w:p>
    <w:p w14:paraId="233AF273">
      <w:pPr>
        <w:snapToGrid w:val="0"/>
        <w:spacing w:line="360" w:lineRule="auto"/>
        <w:ind w:firstLine="360" w:firstLineChars="150"/>
        <w:rPr>
          <w:rFonts w:ascii="宋体" w:hAnsi="宋体" w:cs="宋体"/>
          <w:color w:val="auto"/>
          <w:kern w:val="0"/>
          <w:sz w:val="24"/>
          <w:highlight w:val="none"/>
        </w:rPr>
      </w:pPr>
      <w:r>
        <w:rPr>
          <w:rFonts w:hint="eastAsia" w:ascii="宋体" w:hAnsi="宋体" w:cs="宋体"/>
          <w:color w:val="auto"/>
          <w:kern w:val="0"/>
          <w:sz w:val="24"/>
          <w:highlight w:val="none"/>
        </w:rPr>
        <w:t>（一）具备以下条件：</w:t>
      </w:r>
    </w:p>
    <w:p w14:paraId="4D709E46">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1、具有独立承担民事责任的能力；</w:t>
      </w:r>
    </w:p>
    <w:p w14:paraId="72CD1FDA">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 xml:space="preserve">2、具有良好的商业信誉和健全的财务会计制度； </w:t>
      </w:r>
    </w:p>
    <w:p w14:paraId="2D78CB18">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3、具有履行合同所必需的设备和专业技术能力；</w:t>
      </w:r>
    </w:p>
    <w:p w14:paraId="380C3E5A">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4、有依法缴纳税收和社会保障资金的良好记录；</w:t>
      </w:r>
    </w:p>
    <w:p w14:paraId="2972A37D">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5、参加采购活动前三年内，在经营活动中没有重大违法记录；</w:t>
      </w:r>
    </w:p>
    <w:p w14:paraId="572D90BC">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6、具有法律、行政法规规定的其他条件。</w:t>
      </w:r>
    </w:p>
    <w:p w14:paraId="0EDF97C2">
      <w:pPr>
        <w:snapToGrid w:val="0"/>
        <w:spacing w:line="360" w:lineRule="auto"/>
        <w:ind w:firstLine="360" w:firstLineChars="150"/>
        <w:rPr>
          <w:rFonts w:ascii="宋体" w:hAnsi="宋体" w:cs="宋体"/>
          <w:color w:val="auto"/>
          <w:kern w:val="0"/>
          <w:sz w:val="24"/>
          <w:highlight w:val="none"/>
        </w:rPr>
      </w:pPr>
      <w:r>
        <w:rPr>
          <w:rFonts w:hint="eastAsia" w:ascii="宋体" w:hAnsi="宋体" w:cs="宋体"/>
          <w:color w:val="auto"/>
          <w:kern w:val="0"/>
          <w:sz w:val="24"/>
          <w:highlight w:val="none"/>
        </w:rPr>
        <w:t>（二）未被“信用中国”（www.creditchina.gov.cn）、中国政府采购网（www.ccgp.gov.cn）列入失信被执行人、重大税收违法案件当事人名单、政府采购严重违法失信行为记录名单。</w:t>
      </w:r>
    </w:p>
    <w:p w14:paraId="29FEC9DA">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（三）不存在以下情况：</w:t>
      </w:r>
    </w:p>
    <w:p w14:paraId="76AD4242">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1、单位负责人为同一人或者存在直接控股、管理关系的不同供应商参加同一合同项下的采购活动的；</w:t>
      </w:r>
    </w:p>
    <w:p w14:paraId="3350F40D">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2、为采购项目提供整体设计、规范编制或者项目管理、监理、检测等服务后再参加该采购项目的其他采购活动的。</w:t>
      </w:r>
    </w:p>
    <w:p w14:paraId="093DE0BC">
      <w:pPr>
        <w:pStyle w:val="3"/>
        <w:rPr>
          <w:rFonts w:ascii="宋体" w:hAnsi="宋体" w:eastAsia="宋体" w:cs="宋体"/>
          <w:color w:val="auto"/>
          <w:kern w:val="0"/>
          <w:sz w:val="24"/>
          <w:highlight w:val="none"/>
        </w:rPr>
      </w:pPr>
    </w:p>
    <w:p w14:paraId="45DD0501">
      <w:pPr>
        <w:rPr>
          <w:color w:val="auto"/>
          <w:kern w:val="0"/>
          <w:highlight w:val="none"/>
        </w:rPr>
      </w:pPr>
    </w:p>
    <w:p w14:paraId="1C7C9992">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14:paraId="61B565DA">
      <w:pPr>
        <w:snapToGrid w:val="0"/>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7FB2DDDC">
      <w:pPr>
        <w:snapToGrid w:val="0"/>
        <w:spacing w:line="360" w:lineRule="auto"/>
        <w:ind w:right="480"/>
        <w:jc w:val="center"/>
        <w:rPr>
          <w:rFonts w:ascii="宋体" w:hAnsi="宋体" w:cs="宋体"/>
          <w:b/>
          <w:color w:val="auto"/>
          <w:kern w:val="0"/>
          <w:sz w:val="32"/>
          <w:szCs w:val="32"/>
          <w:highlight w:val="none"/>
        </w:rPr>
      </w:pPr>
    </w:p>
    <w:p w14:paraId="5D7D1575">
      <w:pPr>
        <w:snapToGrid w:val="0"/>
        <w:spacing w:line="360" w:lineRule="auto"/>
        <w:ind w:right="480"/>
        <w:jc w:val="center"/>
        <w:rPr>
          <w:rFonts w:ascii="宋体" w:hAnsi="宋体" w:cs="宋体"/>
          <w:b/>
          <w:color w:val="auto"/>
          <w:kern w:val="0"/>
          <w:sz w:val="32"/>
          <w:szCs w:val="32"/>
          <w:highlight w:val="none"/>
        </w:rPr>
      </w:pPr>
    </w:p>
    <w:p w14:paraId="76B12ABB">
      <w:pPr>
        <w:rPr>
          <w:rFonts w:ascii="宋体" w:hAnsi="宋体" w:cs="宋体"/>
          <w:color w:val="auto"/>
          <w:kern w:val="0"/>
          <w:highlight w:val="none"/>
        </w:rPr>
      </w:pPr>
    </w:p>
    <w:p w14:paraId="112AA17B">
      <w:pPr>
        <w:snapToGrid w:val="0"/>
        <w:spacing w:line="360" w:lineRule="auto"/>
        <w:ind w:right="480"/>
        <w:jc w:val="center"/>
        <w:rPr>
          <w:rFonts w:ascii="宋体" w:hAnsi="宋体" w:cs="宋体"/>
          <w:b/>
          <w:color w:val="auto"/>
          <w:kern w:val="0"/>
          <w:sz w:val="32"/>
          <w:szCs w:val="32"/>
          <w:highlight w:val="none"/>
        </w:rPr>
      </w:pPr>
    </w:p>
    <w:p w14:paraId="042ADC86">
      <w:pPr>
        <w:snapToGrid w:val="0"/>
        <w:spacing w:line="360" w:lineRule="auto"/>
        <w:ind w:right="480"/>
        <w:jc w:val="center"/>
        <w:rPr>
          <w:rFonts w:ascii="宋体" w:hAnsi="宋体" w:cs="宋体"/>
          <w:b/>
          <w:color w:val="auto"/>
          <w:kern w:val="0"/>
          <w:sz w:val="32"/>
          <w:szCs w:val="32"/>
          <w:highlight w:val="none"/>
        </w:rPr>
      </w:pPr>
    </w:p>
    <w:p w14:paraId="5C118BBC">
      <w:pPr>
        <w:widowControl/>
        <w:spacing w:line="360" w:lineRule="auto"/>
        <w:rPr>
          <w:rFonts w:ascii="宋体" w:hAnsi="宋体" w:cs="宋体"/>
          <w:b/>
          <w:color w:val="auto"/>
          <w:kern w:val="0"/>
          <w:sz w:val="32"/>
          <w:szCs w:val="32"/>
          <w:highlight w:val="none"/>
        </w:rPr>
      </w:pPr>
    </w:p>
    <w:p w14:paraId="22D74ABA">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二、本项目的特定资格要求</w:t>
      </w:r>
    </w:p>
    <w:p w14:paraId="2AAF964B">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（根据交易公告本项目的特定资格要求提供相应的材料；未要求的，无需提供）</w:t>
      </w:r>
    </w:p>
    <w:p w14:paraId="54AC6942">
      <w:pPr>
        <w:rPr>
          <w:rFonts w:ascii="宋体" w:hAnsi="宋体" w:cs="宋体"/>
          <w:color w:val="auto"/>
          <w:kern w:val="0"/>
          <w:highlight w:val="none"/>
        </w:rPr>
      </w:pPr>
    </w:p>
    <w:p w14:paraId="6308F427">
      <w:pPr>
        <w:snapToGrid w:val="0"/>
        <w:spacing w:line="360" w:lineRule="auto"/>
        <w:ind w:right="480"/>
        <w:jc w:val="center"/>
        <w:rPr>
          <w:rFonts w:ascii="宋体" w:hAnsi="宋体" w:cs="宋体"/>
          <w:b/>
          <w:color w:val="auto"/>
          <w:kern w:val="0"/>
          <w:sz w:val="32"/>
          <w:szCs w:val="32"/>
          <w:highlight w:val="none"/>
        </w:rPr>
      </w:pPr>
    </w:p>
    <w:p w14:paraId="009C0E8B">
      <w:pPr>
        <w:snapToGrid w:val="0"/>
        <w:spacing w:line="360" w:lineRule="auto"/>
        <w:ind w:right="480"/>
        <w:jc w:val="center"/>
        <w:rPr>
          <w:rFonts w:ascii="宋体" w:hAnsi="宋体" w:cs="宋体"/>
          <w:b/>
          <w:color w:val="auto"/>
          <w:kern w:val="0"/>
          <w:sz w:val="32"/>
          <w:szCs w:val="32"/>
          <w:highlight w:val="none"/>
        </w:rPr>
      </w:pPr>
    </w:p>
    <w:p w14:paraId="32D5C57D">
      <w:pPr>
        <w:snapToGrid w:val="0"/>
        <w:spacing w:line="360" w:lineRule="auto"/>
        <w:ind w:right="480"/>
        <w:jc w:val="center"/>
        <w:rPr>
          <w:rFonts w:ascii="宋体" w:hAnsi="宋体" w:cs="宋体"/>
          <w:b/>
          <w:color w:val="auto"/>
          <w:kern w:val="0"/>
          <w:sz w:val="32"/>
          <w:szCs w:val="32"/>
          <w:highlight w:val="none"/>
        </w:rPr>
      </w:pPr>
    </w:p>
    <w:p w14:paraId="00A55B52">
      <w:pPr>
        <w:snapToGrid w:val="0"/>
        <w:spacing w:line="360" w:lineRule="auto"/>
        <w:ind w:right="480"/>
        <w:jc w:val="center"/>
        <w:rPr>
          <w:rFonts w:ascii="宋体" w:hAnsi="宋体" w:cs="宋体"/>
          <w:b/>
          <w:color w:val="auto"/>
          <w:kern w:val="0"/>
          <w:sz w:val="32"/>
          <w:szCs w:val="32"/>
          <w:highlight w:val="none"/>
        </w:rPr>
      </w:pPr>
    </w:p>
    <w:p w14:paraId="2C09EAE4">
      <w:pPr>
        <w:snapToGrid w:val="0"/>
        <w:spacing w:line="360" w:lineRule="auto"/>
        <w:ind w:right="480"/>
        <w:jc w:val="center"/>
        <w:rPr>
          <w:rFonts w:ascii="宋体" w:hAnsi="宋体" w:cs="宋体"/>
          <w:b/>
          <w:color w:val="auto"/>
          <w:kern w:val="0"/>
          <w:sz w:val="32"/>
          <w:szCs w:val="32"/>
          <w:highlight w:val="none"/>
        </w:rPr>
      </w:pPr>
    </w:p>
    <w:p w14:paraId="0D078D2B">
      <w:pPr>
        <w:snapToGrid w:val="0"/>
        <w:spacing w:line="360" w:lineRule="auto"/>
        <w:ind w:right="480"/>
        <w:jc w:val="center"/>
        <w:rPr>
          <w:rFonts w:ascii="宋体" w:hAnsi="宋体" w:cs="宋体"/>
          <w:b/>
          <w:color w:val="auto"/>
          <w:kern w:val="0"/>
          <w:sz w:val="32"/>
          <w:szCs w:val="32"/>
          <w:highlight w:val="none"/>
        </w:rPr>
      </w:pPr>
    </w:p>
    <w:p w14:paraId="39B1076E">
      <w:pPr>
        <w:spacing w:line="360" w:lineRule="auto"/>
        <w:jc w:val="center"/>
        <w:outlineLvl w:val="0"/>
        <w:rPr>
          <w:rFonts w:ascii="宋体" w:hAnsi="宋体" w:cs="宋体"/>
          <w:b/>
          <w:color w:val="auto"/>
          <w:kern w:val="0"/>
          <w:sz w:val="36"/>
          <w:szCs w:val="36"/>
          <w:highlight w:val="none"/>
        </w:rPr>
      </w:pPr>
    </w:p>
    <w:p w14:paraId="75A2E187">
      <w:pPr>
        <w:snapToGrid w:val="0"/>
        <w:spacing w:line="360" w:lineRule="auto"/>
        <w:ind w:right="480"/>
        <w:jc w:val="center"/>
        <w:rPr>
          <w:rFonts w:ascii="宋体" w:hAnsi="宋体" w:cs="宋体"/>
          <w:b/>
          <w:color w:val="auto"/>
          <w:kern w:val="0"/>
          <w:sz w:val="32"/>
          <w:szCs w:val="32"/>
          <w:highlight w:val="none"/>
        </w:rPr>
      </w:pPr>
    </w:p>
    <w:p w14:paraId="177EFA87">
      <w:pPr>
        <w:spacing w:line="360" w:lineRule="auto"/>
        <w:jc w:val="center"/>
        <w:outlineLvl w:val="0"/>
        <w:rPr>
          <w:rFonts w:ascii="宋体" w:hAnsi="宋体" w:cs="宋体"/>
          <w:b/>
          <w:color w:val="auto"/>
          <w:kern w:val="0"/>
          <w:sz w:val="36"/>
          <w:szCs w:val="36"/>
          <w:highlight w:val="none"/>
        </w:rPr>
      </w:pPr>
    </w:p>
    <w:p w14:paraId="19220252">
      <w:pPr>
        <w:snapToGrid w:val="0"/>
        <w:spacing w:line="360" w:lineRule="auto"/>
        <w:ind w:right="480"/>
        <w:jc w:val="center"/>
        <w:rPr>
          <w:rFonts w:ascii="宋体" w:hAnsi="宋体" w:cs="宋体"/>
          <w:b/>
          <w:color w:val="auto"/>
          <w:kern w:val="0"/>
          <w:sz w:val="32"/>
          <w:szCs w:val="32"/>
          <w:highlight w:val="none"/>
        </w:rPr>
      </w:pPr>
    </w:p>
    <w:p w14:paraId="521F743D">
      <w:pPr>
        <w:spacing w:line="360" w:lineRule="auto"/>
        <w:jc w:val="center"/>
        <w:outlineLvl w:val="0"/>
        <w:rPr>
          <w:rFonts w:ascii="宋体" w:hAnsi="宋体" w:cs="宋体"/>
          <w:b/>
          <w:color w:val="auto"/>
          <w:kern w:val="0"/>
          <w:sz w:val="36"/>
          <w:szCs w:val="36"/>
          <w:highlight w:val="none"/>
        </w:rPr>
      </w:pPr>
    </w:p>
    <w:p w14:paraId="6949EFED">
      <w:pP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2500B13F">
      <w:pPr>
        <w:spacing w:line="360" w:lineRule="auto"/>
        <w:ind w:right="420"/>
        <w:jc w:val="center"/>
        <w:rPr>
          <w:rFonts w:hint="eastAsia" w:ascii="宋体" w:hAnsi="宋体" w:cs="宋体"/>
          <w:b/>
          <w:color w:val="auto"/>
          <w:kern w:val="0"/>
          <w:sz w:val="36"/>
          <w:szCs w:val="36"/>
          <w:highlight w:val="none"/>
        </w:rPr>
      </w:pPr>
    </w:p>
    <w:p w14:paraId="7C71E4ED">
      <w:pPr>
        <w:keepNext w:val="0"/>
        <w:keepLines w:val="0"/>
        <w:pageBreakBefore w:val="0"/>
        <w:widowControl w:val="0"/>
        <w:kinsoku/>
        <w:wordWrap/>
        <w:overflowPunct/>
        <w:topLinePunct w:val="0"/>
        <w:autoSpaceDE/>
        <w:autoSpaceDN/>
        <w:bidi w:val="0"/>
        <w:adjustRightInd w:val="0"/>
        <w:snapToGrid/>
        <w:spacing w:line="240" w:lineRule="auto"/>
        <w:ind w:right="420"/>
        <w:jc w:val="center"/>
        <w:textAlignment w:val="auto"/>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6F236E68">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outlineLvl w:val="0"/>
        <w:rPr>
          <w:rFonts w:ascii="宋体" w:hAnsi="宋体" w:cs="宋体"/>
          <w:b/>
          <w:color w:val="auto"/>
          <w:kern w:val="0"/>
          <w:sz w:val="24"/>
          <w:highlight w:val="none"/>
        </w:rPr>
      </w:pPr>
    </w:p>
    <w:p w14:paraId="1BF86D12">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  录</w:t>
      </w:r>
    </w:p>
    <w:p w14:paraId="69C0C3C6">
      <w:pPr>
        <w:spacing w:line="360" w:lineRule="auto"/>
        <w:jc w:val="center"/>
        <w:outlineLvl w:val="0"/>
        <w:rPr>
          <w:rFonts w:ascii="宋体" w:hAnsi="宋体" w:cs="宋体"/>
          <w:b/>
          <w:color w:val="auto"/>
          <w:kern w:val="0"/>
          <w:sz w:val="28"/>
          <w:szCs w:val="28"/>
          <w:highlight w:val="none"/>
        </w:rPr>
      </w:pPr>
    </w:p>
    <w:p w14:paraId="029EB436">
      <w:pPr>
        <w:snapToGrid w:val="0"/>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（1）响应函……………………………………………………………………（页码）</w:t>
      </w:r>
    </w:p>
    <w:p w14:paraId="53DBA68C">
      <w:pPr>
        <w:snapToGrid w:val="0"/>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（2）授权委托书或法定代表人（单位负责人、自然人本人）身份证明…（页码）</w:t>
      </w:r>
    </w:p>
    <w:p w14:paraId="06F8CEC6">
      <w:pPr>
        <w:snapToGrid w:val="0"/>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（3）符合性审查资料…………………………………………………………（页码）</w:t>
      </w:r>
    </w:p>
    <w:p w14:paraId="0585E128">
      <w:pPr>
        <w:snapToGrid w:val="0"/>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en-US" w:eastAsia="zh-CN"/>
        </w:rPr>
        <w:t>4</w:t>
      </w:r>
      <w:r>
        <w:rPr>
          <w:rFonts w:hint="eastAsia" w:ascii="宋体" w:hAnsi="宋体" w:cs="宋体"/>
          <w:color w:val="auto"/>
          <w:kern w:val="0"/>
          <w:sz w:val="24"/>
          <w:szCs w:val="24"/>
          <w:highlight w:val="none"/>
        </w:rPr>
        <w:t>）评标标准相应的商务技术资料…………………………………………（页码）</w:t>
      </w:r>
    </w:p>
    <w:p w14:paraId="4B484948">
      <w:pPr>
        <w:snapToGrid w:val="0"/>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en-US" w:eastAsia="zh-CN"/>
        </w:rPr>
        <w:t>5</w:t>
      </w:r>
      <w:r>
        <w:rPr>
          <w:rFonts w:hint="eastAsia" w:ascii="宋体" w:hAnsi="宋体" w:cs="宋体"/>
          <w:color w:val="auto"/>
          <w:kern w:val="0"/>
          <w:sz w:val="24"/>
          <w:szCs w:val="24"/>
          <w:highlight w:val="none"/>
        </w:rPr>
        <w:t>）交易标的清单……………………………………………………………（页码）</w:t>
      </w:r>
    </w:p>
    <w:p w14:paraId="1ED22B3F">
      <w:pPr>
        <w:snapToGrid w:val="0"/>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en-US" w:eastAsia="zh-CN"/>
        </w:rPr>
        <w:t>6</w:t>
      </w:r>
      <w:r>
        <w:rPr>
          <w:rFonts w:hint="eastAsia" w:ascii="宋体" w:hAnsi="宋体" w:cs="宋体"/>
          <w:color w:val="auto"/>
          <w:kern w:val="0"/>
          <w:sz w:val="24"/>
          <w:szCs w:val="24"/>
          <w:highlight w:val="none"/>
        </w:rPr>
        <w:t>）商务技术偏离表…………………………………………………………（页码）</w:t>
      </w:r>
    </w:p>
    <w:p w14:paraId="2FF013D0">
      <w:pPr>
        <w:snapToGrid w:val="0"/>
        <w:spacing w:line="360" w:lineRule="auto"/>
        <w:rPr>
          <w:rFonts w:ascii="宋体" w:hAnsi="宋体" w:cs="宋体"/>
          <w:b/>
          <w:color w:val="auto"/>
          <w:kern w:val="0"/>
          <w:sz w:val="24"/>
          <w:szCs w:val="24"/>
          <w:highlight w:val="none"/>
          <w:lang w:val="zh-CN"/>
        </w:rPr>
      </w:pP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en-US" w:eastAsia="zh-CN"/>
        </w:rPr>
        <w:t>7</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zh-CN"/>
        </w:rPr>
        <w:t>采购供应商廉洁自律承诺书</w:t>
      </w:r>
      <w:r>
        <w:rPr>
          <w:rFonts w:hint="eastAsia" w:ascii="宋体" w:hAnsi="宋体" w:cs="宋体"/>
          <w:color w:val="auto"/>
          <w:kern w:val="0"/>
          <w:sz w:val="24"/>
          <w:szCs w:val="24"/>
          <w:highlight w:val="none"/>
        </w:rPr>
        <w:t>……………………………………………（页码）</w:t>
      </w:r>
    </w:p>
    <w:p w14:paraId="0BAAFA9A">
      <w:pPr>
        <w:snapToGrid w:val="0"/>
        <w:spacing w:line="360" w:lineRule="auto"/>
        <w:jc w:val="center"/>
        <w:rPr>
          <w:rFonts w:ascii="宋体" w:hAnsi="宋体" w:cs="宋体"/>
          <w:b/>
          <w:color w:val="auto"/>
          <w:kern w:val="0"/>
          <w:sz w:val="32"/>
          <w:szCs w:val="32"/>
          <w:highlight w:val="none"/>
          <w:lang w:val="zh-CN"/>
        </w:rPr>
      </w:pPr>
    </w:p>
    <w:p w14:paraId="6A0E66E9">
      <w:pPr>
        <w:snapToGrid w:val="0"/>
        <w:spacing w:line="360" w:lineRule="auto"/>
        <w:jc w:val="center"/>
        <w:rPr>
          <w:rFonts w:ascii="宋体" w:hAnsi="宋体" w:cs="宋体"/>
          <w:b/>
          <w:color w:val="auto"/>
          <w:kern w:val="0"/>
          <w:sz w:val="32"/>
          <w:szCs w:val="32"/>
          <w:highlight w:val="none"/>
          <w:lang w:val="zh-CN"/>
        </w:rPr>
      </w:pPr>
    </w:p>
    <w:p w14:paraId="4627019A">
      <w:pPr>
        <w:snapToGrid w:val="0"/>
        <w:spacing w:line="360" w:lineRule="auto"/>
        <w:jc w:val="center"/>
        <w:rPr>
          <w:rFonts w:ascii="宋体" w:hAnsi="宋体" w:cs="宋体"/>
          <w:b/>
          <w:color w:val="auto"/>
          <w:kern w:val="0"/>
          <w:sz w:val="32"/>
          <w:szCs w:val="32"/>
          <w:highlight w:val="none"/>
          <w:lang w:val="zh-CN"/>
        </w:rPr>
      </w:pPr>
    </w:p>
    <w:p w14:paraId="4B164253">
      <w:pPr>
        <w:snapToGrid w:val="0"/>
        <w:spacing w:line="360" w:lineRule="auto"/>
        <w:jc w:val="center"/>
        <w:rPr>
          <w:rFonts w:ascii="宋体" w:hAnsi="宋体" w:cs="宋体"/>
          <w:b/>
          <w:color w:val="auto"/>
          <w:kern w:val="0"/>
          <w:sz w:val="32"/>
          <w:szCs w:val="32"/>
          <w:highlight w:val="none"/>
          <w:lang w:val="zh-CN"/>
        </w:rPr>
      </w:pPr>
    </w:p>
    <w:p w14:paraId="24E43275">
      <w:pPr>
        <w:snapToGrid w:val="0"/>
        <w:spacing w:line="360" w:lineRule="auto"/>
        <w:jc w:val="center"/>
        <w:outlineLvl w:val="0"/>
        <w:rPr>
          <w:rFonts w:ascii="宋体" w:hAnsi="宋体" w:cs="宋体"/>
          <w:b/>
          <w:color w:val="auto"/>
          <w:kern w:val="0"/>
          <w:sz w:val="32"/>
          <w:szCs w:val="32"/>
          <w:highlight w:val="none"/>
        </w:rPr>
      </w:pPr>
    </w:p>
    <w:p w14:paraId="5C767E65">
      <w:pPr>
        <w:snapToGrid w:val="0"/>
        <w:spacing w:line="360" w:lineRule="auto"/>
        <w:jc w:val="center"/>
        <w:outlineLvl w:val="0"/>
        <w:rPr>
          <w:rFonts w:ascii="宋体" w:hAnsi="宋体" w:cs="宋体"/>
          <w:b/>
          <w:color w:val="auto"/>
          <w:kern w:val="0"/>
          <w:sz w:val="32"/>
          <w:szCs w:val="32"/>
          <w:highlight w:val="none"/>
        </w:rPr>
      </w:pPr>
    </w:p>
    <w:p w14:paraId="24522610">
      <w:pPr>
        <w:rPr>
          <w:rFonts w:ascii="宋体" w:hAnsi="宋体" w:cs="宋体"/>
          <w:color w:val="auto"/>
          <w:kern w:val="0"/>
          <w:highlight w:val="none"/>
        </w:rPr>
      </w:pPr>
    </w:p>
    <w:p w14:paraId="19096181">
      <w:pPr>
        <w:snapToGrid w:val="0"/>
        <w:spacing w:line="360" w:lineRule="auto"/>
        <w:jc w:val="center"/>
        <w:outlineLvl w:val="0"/>
        <w:rPr>
          <w:rFonts w:ascii="宋体" w:hAnsi="宋体" w:cs="宋体"/>
          <w:b/>
          <w:color w:val="auto"/>
          <w:kern w:val="0"/>
          <w:sz w:val="32"/>
          <w:szCs w:val="32"/>
          <w:highlight w:val="none"/>
        </w:rPr>
      </w:pPr>
    </w:p>
    <w:p w14:paraId="4613D29D">
      <w:pPr>
        <w:snapToGrid w:val="0"/>
        <w:spacing w:line="360" w:lineRule="auto"/>
        <w:jc w:val="center"/>
        <w:outlineLvl w:val="0"/>
        <w:rPr>
          <w:rFonts w:ascii="宋体" w:hAnsi="宋体" w:cs="宋体"/>
          <w:b/>
          <w:color w:val="auto"/>
          <w:kern w:val="0"/>
          <w:sz w:val="32"/>
          <w:szCs w:val="32"/>
          <w:highlight w:val="none"/>
        </w:rPr>
      </w:pPr>
    </w:p>
    <w:p w14:paraId="41C2D96B">
      <w:pPr>
        <w:snapToGrid w:val="0"/>
        <w:spacing w:line="360" w:lineRule="auto"/>
        <w:jc w:val="center"/>
        <w:outlineLvl w:val="0"/>
        <w:rPr>
          <w:rFonts w:ascii="宋体" w:hAnsi="宋体" w:cs="宋体"/>
          <w:b/>
          <w:color w:val="auto"/>
          <w:kern w:val="0"/>
          <w:sz w:val="32"/>
          <w:szCs w:val="32"/>
          <w:highlight w:val="none"/>
        </w:rPr>
      </w:pPr>
    </w:p>
    <w:p w14:paraId="69834801">
      <w:pPr>
        <w:snapToGrid w:val="0"/>
        <w:spacing w:line="360" w:lineRule="auto"/>
        <w:jc w:val="center"/>
        <w:outlineLvl w:val="0"/>
        <w:rPr>
          <w:rFonts w:ascii="宋体" w:hAnsi="宋体" w:cs="宋体"/>
          <w:b/>
          <w:color w:val="auto"/>
          <w:kern w:val="0"/>
          <w:sz w:val="32"/>
          <w:szCs w:val="32"/>
          <w:highlight w:val="none"/>
        </w:rPr>
      </w:pPr>
    </w:p>
    <w:p w14:paraId="75C7A3E0">
      <w:pPr>
        <w:snapToGrid w:val="0"/>
        <w:spacing w:line="360" w:lineRule="auto"/>
        <w:jc w:val="center"/>
        <w:outlineLvl w:val="0"/>
        <w:rPr>
          <w:rFonts w:ascii="宋体" w:hAnsi="宋体" w:cs="宋体"/>
          <w:b/>
          <w:color w:val="auto"/>
          <w:kern w:val="0"/>
          <w:sz w:val="32"/>
          <w:szCs w:val="32"/>
          <w:highlight w:val="none"/>
        </w:rPr>
      </w:pPr>
    </w:p>
    <w:p w14:paraId="15C2E007">
      <w:pPr>
        <w:snapToGrid w:val="0"/>
        <w:spacing w:line="360" w:lineRule="auto"/>
        <w:jc w:val="center"/>
        <w:outlineLvl w:val="0"/>
        <w:rPr>
          <w:rFonts w:ascii="宋体" w:hAnsi="宋体" w:cs="宋体"/>
          <w:b/>
          <w:color w:val="auto"/>
          <w:kern w:val="0"/>
          <w:sz w:val="32"/>
          <w:szCs w:val="32"/>
          <w:highlight w:val="none"/>
        </w:rPr>
      </w:pPr>
    </w:p>
    <w:p w14:paraId="3E12B2A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r>
        <w:rPr>
          <w:rFonts w:hint="eastAsia" w:ascii="宋体" w:hAnsi="宋体" w:cs="宋体"/>
          <w:b/>
          <w:color w:val="auto"/>
          <w:kern w:val="0"/>
          <w:sz w:val="32"/>
          <w:szCs w:val="32"/>
          <w:highlight w:val="none"/>
        </w:rPr>
        <w:t>一、响应函</w:t>
      </w:r>
    </w:p>
    <w:p w14:paraId="6B5F5967">
      <w:pPr>
        <w:topLinePunct/>
        <w:snapToGrid w:val="0"/>
        <w:spacing w:line="312" w:lineRule="auto"/>
        <w:rPr>
          <w:rFonts w:ascii="宋体" w:hAnsi="宋体" w:cs="宋体"/>
          <w:color w:val="auto"/>
          <w:kern w:val="0"/>
          <w:sz w:val="24"/>
          <w:highlight w:val="none"/>
        </w:rPr>
      </w:pPr>
      <w:r>
        <w:rPr>
          <w:rFonts w:hint="eastAsia" w:ascii="宋体" w:hAnsi="宋体" w:cs="宋体"/>
          <w:color w:val="auto"/>
          <w:kern w:val="0"/>
          <w:sz w:val="24"/>
          <w:highlight w:val="none"/>
          <w:u w:val="single"/>
        </w:rPr>
        <w:t>（采购人）、（采购代理机构）</w:t>
      </w:r>
      <w:r>
        <w:rPr>
          <w:rFonts w:hint="eastAsia" w:ascii="宋体" w:hAnsi="宋体" w:cs="宋体"/>
          <w:color w:val="auto"/>
          <w:kern w:val="0"/>
          <w:sz w:val="24"/>
          <w:highlight w:val="none"/>
        </w:rPr>
        <w:t>：</w:t>
      </w:r>
    </w:p>
    <w:p w14:paraId="1843CBE0">
      <w:pPr>
        <w:topLinePunct/>
        <w:snapToGrid w:val="0"/>
        <w:spacing w:line="312"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我方参加你方组织的</w:t>
      </w:r>
      <w:r>
        <w:rPr>
          <w:rFonts w:hint="eastAsia" w:ascii="宋体" w:hAnsi="宋体" w:cs="宋体"/>
          <w:color w:val="auto"/>
          <w:kern w:val="0"/>
          <w:sz w:val="24"/>
          <w:highlight w:val="none"/>
          <w:u w:val="single"/>
        </w:rPr>
        <w:t>（项目名称）【交易编号：】</w:t>
      </w:r>
      <w:r>
        <w:rPr>
          <w:rFonts w:hint="eastAsia" w:ascii="宋体" w:hAnsi="宋体" w:cs="宋体"/>
          <w:color w:val="auto"/>
          <w:kern w:val="0"/>
          <w:sz w:val="24"/>
          <w:highlight w:val="none"/>
        </w:rPr>
        <w:t>交易的有关活动，并对此项目进行响应。为此：</w:t>
      </w:r>
    </w:p>
    <w:p w14:paraId="1C30AC45">
      <w:pPr>
        <w:topLinePunct/>
        <w:snapToGrid w:val="0"/>
        <w:spacing w:line="312"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1、我方承诺交易有效期从提交响应文件的截止之日起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天（不少于90天）</w:t>
      </w:r>
      <w:r>
        <w:rPr>
          <w:rFonts w:hint="eastAsia" w:ascii="宋体" w:hAnsi="宋体" w:cs="宋体"/>
          <w:color w:val="auto"/>
          <w:kern w:val="0"/>
          <w:highlight w:val="none"/>
        </w:rPr>
        <w:t>，</w:t>
      </w:r>
      <w:r>
        <w:rPr>
          <w:rFonts w:hint="eastAsia" w:ascii="宋体" w:hAnsi="宋体" w:cs="宋体"/>
          <w:color w:val="auto"/>
          <w:kern w:val="0"/>
          <w:sz w:val="24"/>
          <w:highlight w:val="none"/>
        </w:rPr>
        <w:t>本响应文件在交易有效期满之前均具有约束力。</w:t>
      </w:r>
    </w:p>
    <w:p w14:paraId="4CB77068">
      <w:pPr>
        <w:topLinePunct/>
        <w:snapToGrid w:val="0"/>
        <w:spacing w:line="312"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2、我方的响应文件包括以下内容：</w:t>
      </w:r>
    </w:p>
    <w:p w14:paraId="1AB9D676">
      <w:pPr>
        <w:topLinePunct/>
        <w:snapToGrid w:val="0"/>
        <w:spacing w:line="312" w:lineRule="auto"/>
        <w:ind w:left="210" w:leftChars="1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2.1资格文件：</w:t>
      </w:r>
    </w:p>
    <w:p w14:paraId="3983D3E0">
      <w:pPr>
        <w:topLinePunct/>
        <w:snapToGrid w:val="0"/>
        <w:spacing w:line="312" w:lineRule="auto"/>
        <w:ind w:left="420" w:leftChars="2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2.1.1承诺函；</w:t>
      </w:r>
    </w:p>
    <w:p w14:paraId="6305342F">
      <w:pPr>
        <w:topLinePunct/>
        <w:snapToGrid w:val="0"/>
        <w:spacing w:line="312" w:lineRule="auto"/>
        <w:ind w:left="420" w:leftChars="2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2.1.2本项目的特定资格要求。</w:t>
      </w:r>
    </w:p>
    <w:p w14:paraId="69ABD7ED">
      <w:pPr>
        <w:topLinePunct/>
        <w:snapToGrid w:val="0"/>
        <w:spacing w:line="312" w:lineRule="auto"/>
        <w:ind w:left="210" w:leftChars="100"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rPr>
        <w:t>2</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2商务技术</w:t>
      </w:r>
      <w:r>
        <w:rPr>
          <w:rFonts w:hint="eastAsia" w:ascii="宋体" w:hAnsi="宋体" w:cs="宋体"/>
          <w:color w:val="auto"/>
          <w:kern w:val="0"/>
          <w:sz w:val="24"/>
          <w:highlight w:val="none"/>
          <w:lang w:val="zh-CN"/>
        </w:rPr>
        <w:t>文件：</w:t>
      </w:r>
    </w:p>
    <w:p w14:paraId="400BAA3F">
      <w:pPr>
        <w:topLinePunct/>
        <w:snapToGrid w:val="0"/>
        <w:spacing w:line="312" w:lineRule="auto"/>
        <w:ind w:left="420" w:leftChars="2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2.2.1响应函；</w:t>
      </w:r>
    </w:p>
    <w:p w14:paraId="19FEA5C7">
      <w:pPr>
        <w:topLinePunct/>
        <w:snapToGrid w:val="0"/>
        <w:spacing w:line="312" w:lineRule="auto"/>
        <w:ind w:left="420" w:leftChars="2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2.2.2授权委托书或法定代表人（单位负责人、自然人本人）身份证明；</w:t>
      </w:r>
    </w:p>
    <w:p w14:paraId="6A7F3FC7">
      <w:pPr>
        <w:topLinePunct/>
        <w:snapToGrid w:val="0"/>
        <w:spacing w:line="312" w:lineRule="auto"/>
        <w:ind w:left="420" w:leftChars="2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2.2.3符合性审查资料；</w:t>
      </w:r>
    </w:p>
    <w:p w14:paraId="1EBB6DE0">
      <w:pPr>
        <w:topLinePunct/>
        <w:snapToGrid w:val="0"/>
        <w:spacing w:line="312" w:lineRule="auto"/>
        <w:ind w:left="420" w:leftChars="2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2.2.4联合体协议（如有）</w:t>
      </w:r>
    </w:p>
    <w:p w14:paraId="03CB52BC">
      <w:pPr>
        <w:topLinePunct/>
        <w:snapToGrid w:val="0"/>
        <w:spacing w:line="312" w:lineRule="auto"/>
        <w:ind w:left="420" w:leftChars="2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2.2.5评标标准相应的商务技术资料；</w:t>
      </w:r>
    </w:p>
    <w:p w14:paraId="50454B68">
      <w:pPr>
        <w:topLinePunct/>
        <w:snapToGrid w:val="0"/>
        <w:spacing w:line="312" w:lineRule="auto"/>
        <w:ind w:left="420" w:leftChars="2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2.2.6交易标的清单；</w:t>
      </w:r>
    </w:p>
    <w:p w14:paraId="2440D459">
      <w:pPr>
        <w:topLinePunct/>
        <w:snapToGrid w:val="0"/>
        <w:spacing w:line="312" w:lineRule="auto"/>
        <w:ind w:left="420" w:leftChars="2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2.2.7商务技术偏离表；</w:t>
      </w:r>
    </w:p>
    <w:p w14:paraId="55E686F6">
      <w:pPr>
        <w:topLinePunct/>
        <w:snapToGrid w:val="0"/>
        <w:spacing w:line="312" w:lineRule="auto"/>
        <w:ind w:left="420" w:leftChars="2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2.2.8</w:t>
      </w:r>
      <w:r>
        <w:rPr>
          <w:rFonts w:hint="eastAsia" w:ascii="宋体" w:hAnsi="宋体" w:cs="宋体"/>
          <w:color w:val="auto"/>
          <w:kern w:val="0"/>
          <w:sz w:val="24"/>
          <w:highlight w:val="none"/>
          <w:lang w:val="zh-CN"/>
        </w:rPr>
        <w:t>采购供应商廉洁自律承诺书。</w:t>
      </w:r>
    </w:p>
    <w:p w14:paraId="496ACE0E">
      <w:pPr>
        <w:topLinePunct/>
        <w:snapToGrid w:val="0"/>
        <w:spacing w:line="312" w:lineRule="auto"/>
        <w:ind w:left="210" w:leftChars="1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3报价文件</w:t>
      </w:r>
    </w:p>
    <w:p w14:paraId="4026E007">
      <w:pPr>
        <w:topLinePunct/>
        <w:snapToGrid w:val="0"/>
        <w:spacing w:line="312" w:lineRule="auto"/>
        <w:ind w:left="420" w:leftChars="2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2.3.1交易一览表（报价表）。</w:t>
      </w:r>
    </w:p>
    <w:p w14:paraId="5E2E47C1">
      <w:pPr>
        <w:topLinePunct/>
        <w:snapToGrid w:val="0"/>
        <w:spacing w:line="312"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3、我方承诺除商务技术偏离表列出的偏离外，我方响应交易文件的全部要求。</w:t>
      </w:r>
    </w:p>
    <w:p w14:paraId="3762E631">
      <w:pPr>
        <w:topLinePunct/>
        <w:snapToGrid w:val="0"/>
        <w:spacing w:line="312"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4、如我方成交，我方承诺：</w:t>
      </w:r>
    </w:p>
    <w:p w14:paraId="21A5BF0B">
      <w:pPr>
        <w:topLinePunct/>
        <w:snapToGrid w:val="0"/>
        <w:spacing w:line="312" w:lineRule="auto"/>
        <w:ind w:left="210" w:leftChars="1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 xml:space="preserve">4.1在收到成交通知书后，在成交通知书规定的期限内与你方签订合同； </w:t>
      </w:r>
    </w:p>
    <w:p w14:paraId="509E41F7">
      <w:pPr>
        <w:topLinePunct/>
        <w:snapToGrid w:val="0"/>
        <w:spacing w:line="312" w:lineRule="auto"/>
        <w:ind w:left="210" w:leftChars="1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 xml:space="preserve">4.2在签订合同时不向你方提出附加条件； </w:t>
      </w:r>
    </w:p>
    <w:p w14:paraId="476A71D7">
      <w:pPr>
        <w:topLinePunct/>
        <w:snapToGrid w:val="0"/>
        <w:spacing w:line="312" w:lineRule="auto"/>
        <w:ind w:left="210" w:leftChars="1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 xml:space="preserve">4.3按照交易文件要求提交履约保证金； </w:t>
      </w:r>
    </w:p>
    <w:p w14:paraId="45F5C2E4">
      <w:pPr>
        <w:topLinePunct/>
        <w:snapToGrid w:val="0"/>
        <w:spacing w:line="312" w:lineRule="auto"/>
        <w:ind w:left="210" w:leftChars="1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 xml:space="preserve">4.4在合同约定的期限内完成合同规定的全部义务。 </w:t>
      </w:r>
    </w:p>
    <w:p w14:paraId="3BEB52C0">
      <w:pPr>
        <w:topLinePunct/>
        <w:snapToGrid w:val="0"/>
        <w:spacing w:line="312" w:lineRule="auto"/>
        <w:ind w:left="210" w:leftChars="1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5、其他补充说明: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3E0B024F">
      <w:pPr>
        <w:topLinePunct/>
        <w:snapToGrid w:val="0"/>
        <w:spacing w:line="312" w:lineRule="auto"/>
        <w:ind w:firstLine="4320" w:firstLineChars="1800"/>
        <w:rPr>
          <w:rFonts w:ascii="宋体" w:hAnsi="宋体" w:cs="宋体"/>
          <w:color w:val="auto"/>
          <w:kern w:val="0"/>
          <w:sz w:val="24"/>
          <w:highlight w:val="none"/>
        </w:rPr>
      </w:pPr>
      <w:r>
        <w:rPr>
          <w:rFonts w:hint="eastAsia" w:ascii="宋体" w:hAnsi="宋体" w:cs="宋体"/>
          <w:color w:val="auto"/>
          <w:kern w:val="0"/>
          <w:sz w:val="24"/>
          <w:highlight w:val="none"/>
        </w:rPr>
        <w:t xml:space="preserve">供应商名称（电子签名）：                          </w:t>
      </w:r>
    </w:p>
    <w:p w14:paraId="6A67C44A">
      <w:pPr>
        <w:topLinePunct/>
        <w:snapToGrid w:val="0"/>
        <w:spacing w:line="312"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 xml:space="preserve">                         日期：  年   月   日</w:t>
      </w:r>
    </w:p>
    <w:p w14:paraId="2F8B0009">
      <w:pPr>
        <w:topLinePunct/>
        <w:snapToGrid w:val="0"/>
        <w:spacing w:line="312" w:lineRule="auto"/>
        <w:jc w:val="left"/>
        <w:rPr>
          <w:rFonts w:ascii="宋体" w:hAnsi="宋体" w:cs="宋体"/>
          <w:color w:val="auto"/>
          <w:kern w:val="0"/>
          <w:sz w:val="24"/>
          <w:highlight w:val="none"/>
        </w:rPr>
      </w:pPr>
      <w:r>
        <w:rPr>
          <w:rFonts w:hint="eastAsia" w:ascii="宋体" w:hAnsi="宋体" w:cs="宋体"/>
          <w:color w:val="auto"/>
          <w:kern w:val="0"/>
          <w:sz w:val="24"/>
          <w:highlight w:val="none"/>
        </w:rPr>
        <w:t>注：按本格式和要求提供。</w:t>
      </w:r>
    </w:p>
    <w:p w14:paraId="2E8B8114">
      <w:pPr>
        <w:rPr>
          <w:rFonts w:ascii="宋体" w:hAnsi="宋体" w:cs="宋体"/>
          <w:color w:val="auto"/>
          <w:kern w:val="0"/>
          <w:sz w:val="24"/>
          <w:highlight w:val="none"/>
        </w:rPr>
      </w:pPr>
      <w:r>
        <w:rPr>
          <w:rFonts w:hint="eastAsia" w:ascii="宋体" w:hAnsi="宋体" w:cs="宋体"/>
          <w:color w:val="auto"/>
          <w:kern w:val="0"/>
          <w:sz w:val="24"/>
          <w:highlight w:val="none"/>
        </w:rPr>
        <w:br w:type="page"/>
      </w:r>
    </w:p>
    <w:p w14:paraId="667B3869">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CCB8C59">
      <w:pPr>
        <w:snapToGrid w:val="0"/>
        <w:spacing w:line="360" w:lineRule="auto"/>
        <w:rPr>
          <w:rFonts w:ascii="宋体" w:hAnsi="宋体" w:cs="宋体"/>
          <w:color w:val="auto"/>
          <w:kern w:val="0"/>
          <w:sz w:val="24"/>
          <w:highlight w:val="none"/>
        </w:rPr>
      </w:pPr>
    </w:p>
    <w:p w14:paraId="29BBF75E">
      <w:pPr>
        <w:snapToGrid w:val="0"/>
        <w:spacing w:line="360" w:lineRule="auto"/>
        <w:jc w:val="center"/>
        <w:rPr>
          <w:rFonts w:ascii="宋体" w:hAnsi="宋体" w:cs="宋体"/>
          <w:color w:val="auto"/>
          <w:kern w:val="0"/>
          <w:highlight w:val="none"/>
        </w:rPr>
      </w:pPr>
      <w:r>
        <w:rPr>
          <w:rFonts w:hint="eastAsia" w:ascii="宋体" w:hAnsi="宋体" w:cs="宋体"/>
          <w:b/>
          <w:color w:val="auto"/>
          <w:kern w:val="0"/>
          <w:sz w:val="32"/>
          <w:szCs w:val="32"/>
          <w:highlight w:val="none"/>
          <w:lang w:val="zh-CN"/>
        </w:rPr>
        <w:t>授权委托书（适用于非联合体</w:t>
      </w:r>
      <w:r>
        <w:rPr>
          <w:rFonts w:hint="eastAsia" w:ascii="宋体" w:hAnsi="宋体" w:cs="宋体"/>
          <w:b/>
          <w:color w:val="auto"/>
          <w:kern w:val="0"/>
          <w:sz w:val="32"/>
          <w:szCs w:val="32"/>
          <w:highlight w:val="none"/>
        </w:rPr>
        <w:t>交易</w:t>
      </w:r>
      <w:r>
        <w:rPr>
          <w:rFonts w:hint="eastAsia" w:ascii="宋体" w:hAnsi="宋体" w:cs="宋体"/>
          <w:b/>
          <w:color w:val="auto"/>
          <w:kern w:val="0"/>
          <w:sz w:val="32"/>
          <w:szCs w:val="32"/>
          <w:highlight w:val="none"/>
          <w:lang w:val="zh-CN"/>
        </w:rPr>
        <w:t>）</w:t>
      </w:r>
    </w:p>
    <w:p w14:paraId="5BBDC18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（采购人）、（采购代理机构）</w:t>
      </w:r>
      <w:r>
        <w:rPr>
          <w:rFonts w:hint="eastAsia" w:ascii="宋体" w:hAnsi="宋体" w:cs="宋体"/>
          <w:color w:val="auto"/>
          <w:kern w:val="0"/>
          <w:sz w:val="24"/>
          <w:highlight w:val="none"/>
          <w:lang w:val="zh-CN"/>
        </w:rPr>
        <w:t>：</w:t>
      </w:r>
    </w:p>
    <w:p w14:paraId="238866E6">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（项目名称）【交易编号：          】</w:t>
      </w:r>
      <w:r>
        <w:rPr>
          <w:rFonts w:hint="eastAsia" w:ascii="宋体" w:hAnsi="宋体" w:cs="宋体"/>
          <w:color w:val="auto"/>
          <w:kern w:val="0"/>
          <w:sz w:val="24"/>
          <w:highlight w:val="none"/>
          <w:lang w:val="zh-CN"/>
        </w:rPr>
        <w:t>交易的一切事项，其法律后果由我方承担。</w:t>
      </w:r>
    </w:p>
    <w:p w14:paraId="5D895DC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D1CC8D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特此告知。</w:t>
      </w:r>
    </w:p>
    <w:p w14:paraId="3D96505A">
      <w:pPr>
        <w:snapToGrid w:val="0"/>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供应商名称(电子签名)：</w:t>
      </w:r>
    </w:p>
    <w:p w14:paraId="65D36F56">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D02AB70">
      <w:pPr>
        <w:snapToGrid w:val="0"/>
        <w:spacing w:line="360" w:lineRule="auto"/>
        <w:rPr>
          <w:rFonts w:ascii="宋体" w:hAnsi="宋体" w:cs="宋体"/>
          <w:color w:val="auto"/>
          <w:kern w:val="0"/>
          <w:sz w:val="24"/>
          <w:highlight w:val="none"/>
        </w:rPr>
      </w:pPr>
    </w:p>
    <w:p w14:paraId="4C2DA3B7">
      <w:pPr>
        <w:autoSpaceDE w:val="0"/>
        <w:autoSpaceDN w:val="0"/>
        <w:spacing w:line="360" w:lineRule="auto"/>
        <w:jc w:val="center"/>
        <w:rPr>
          <w:rFonts w:ascii="宋体" w:hAnsi="宋体" w:cs="宋体"/>
          <w:b/>
          <w:color w:val="auto"/>
          <w:kern w:val="0"/>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kern w:val="0"/>
          <w:sz w:val="30"/>
          <w:szCs w:val="30"/>
          <w:highlight w:val="none"/>
        </w:rPr>
        <w:t>的身份证明（适用于法定代表人、单位负责人或者自然人本人代表供应商参加交易）</w:t>
      </w:r>
    </w:p>
    <w:p w14:paraId="34876305">
      <w:pPr>
        <w:pStyle w:val="148"/>
        <w:spacing w:line="360" w:lineRule="auto"/>
        <w:rPr>
          <w:rFonts w:hAnsi="宋体" w:cs="宋体"/>
          <w:bCs/>
          <w:color w:val="auto"/>
          <w:kern w:val="0"/>
          <w:sz w:val="24"/>
          <w:highlight w:val="none"/>
        </w:rPr>
      </w:pPr>
      <w:r>
        <w:rPr>
          <w:rFonts w:hint="eastAsia" w:hAnsi="宋体" w:cs="宋体"/>
          <w:bCs/>
          <w:color w:val="auto"/>
          <w:kern w:val="0"/>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ABC3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2" w:hRule="atLeast"/>
          <w:jc w:val="center"/>
        </w:trPr>
        <w:tc>
          <w:tcPr>
            <w:tcW w:w="9207" w:type="dxa"/>
          </w:tcPr>
          <w:p w14:paraId="1CEA5B71">
            <w:pPr>
              <w:pStyle w:val="148"/>
              <w:adjustRightInd w:val="0"/>
              <w:spacing w:line="360" w:lineRule="auto"/>
              <w:rPr>
                <w:rFonts w:hAnsi="宋体" w:cs="宋体"/>
                <w:bCs/>
                <w:color w:val="auto"/>
                <w:kern w:val="0"/>
                <w:sz w:val="24"/>
                <w:highlight w:val="none"/>
              </w:rPr>
            </w:pPr>
            <w:r>
              <w:rPr>
                <w:rFonts w:hint="eastAsia" w:hAnsi="宋体" w:cs="宋体"/>
                <w:bCs/>
                <w:color w:val="auto"/>
                <w:kern w:val="0"/>
                <w:sz w:val="24"/>
                <w:highlight w:val="none"/>
              </w:rPr>
              <w:t>正面：                                 反面：</w:t>
            </w:r>
          </w:p>
          <w:p w14:paraId="2B9B4666">
            <w:pPr>
              <w:pStyle w:val="148"/>
              <w:adjustRightInd w:val="0"/>
              <w:spacing w:line="360" w:lineRule="auto"/>
              <w:rPr>
                <w:rFonts w:hAnsi="宋体" w:cs="宋体"/>
                <w:bCs/>
                <w:color w:val="auto"/>
                <w:kern w:val="0"/>
                <w:sz w:val="24"/>
                <w:highlight w:val="none"/>
              </w:rPr>
            </w:pPr>
          </w:p>
        </w:tc>
      </w:tr>
    </w:tbl>
    <w:p w14:paraId="49295D4C">
      <w:pPr>
        <w:snapToGrid w:val="0"/>
        <w:spacing w:line="360" w:lineRule="auto"/>
        <w:ind w:firstLine="576"/>
        <w:jc w:val="center"/>
        <w:rPr>
          <w:rFonts w:ascii="宋体" w:hAnsi="宋体" w:cs="宋体"/>
          <w:color w:val="auto"/>
          <w:kern w:val="0"/>
          <w:sz w:val="24"/>
          <w:highlight w:val="none"/>
          <w:lang w:val="zh-CN"/>
        </w:rPr>
      </w:pPr>
    </w:p>
    <w:p w14:paraId="270A28F3">
      <w:pPr>
        <w:snapToGrid w:val="0"/>
        <w:spacing w:line="360" w:lineRule="auto"/>
        <w:ind w:firstLine="576"/>
        <w:jc w:val="center"/>
        <w:rPr>
          <w:rFonts w:ascii="宋体" w:hAnsi="宋体" w:cs="宋体"/>
          <w:color w:val="auto"/>
          <w:kern w:val="0"/>
          <w:sz w:val="24"/>
          <w:highlight w:val="none"/>
          <w:lang w:val="zh-CN"/>
        </w:rPr>
      </w:pPr>
    </w:p>
    <w:p w14:paraId="2A0F9672">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 xml:space="preserve">供应商名称(电子签名)：                              </w:t>
      </w:r>
    </w:p>
    <w:p w14:paraId="654741F2">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C078FF6">
      <w:pPr>
        <w:jc w:val="center"/>
        <w:rPr>
          <w:rFonts w:ascii="宋体" w:hAnsi="宋体" w:cs="宋体"/>
          <w:b/>
          <w:color w:val="auto"/>
          <w:kern w:val="0"/>
          <w:sz w:val="32"/>
          <w:szCs w:val="32"/>
          <w:highlight w:val="none"/>
        </w:rPr>
      </w:pPr>
    </w:p>
    <w:p w14:paraId="68C33526">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A907E2C">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三、符合性审查资料</w:t>
      </w:r>
    </w:p>
    <w:p w14:paraId="33B0803D">
      <w:pPr>
        <w:jc w:val="center"/>
        <w:rPr>
          <w:rFonts w:ascii="宋体" w:hAnsi="宋体" w:cs="宋体"/>
          <w:b/>
          <w:color w:val="auto"/>
          <w:kern w:val="0"/>
          <w:sz w:val="32"/>
          <w:szCs w:val="32"/>
          <w:highlight w:val="none"/>
        </w:rPr>
      </w:pPr>
    </w:p>
    <w:tbl>
      <w:tblPr>
        <w:tblStyle w:val="63"/>
        <w:tblW w:w="92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389"/>
        <w:gridCol w:w="3356"/>
        <w:gridCol w:w="1896"/>
      </w:tblGrid>
      <w:tr w14:paraId="118D3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B8525AC">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序号</w:t>
            </w:r>
          </w:p>
        </w:tc>
        <w:tc>
          <w:tcPr>
            <w:tcW w:w="3389" w:type="dxa"/>
            <w:vAlign w:val="center"/>
          </w:tcPr>
          <w:p w14:paraId="1BE3F805">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实质性要求</w:t>
            </w:r>
          </w:p>
        </w:tc>
        <w:tc>
          <w:tcPr>
            <w:tcW w:w="3356" w:type="dxa"/>
            <w:vAlign w:val="center"/>
          </w:tcPr>
          <w:p w14:paraId="0BB1F660">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需要提供的符合性审查资料</w:t>
            </w:r>
          </w:p>
        </w:tc>
        <w:tc>
          <w:tcPr>
            <w:tcW w:w="1896" w:type="dxa"/>
            <w:vAlign w:val="center"/>
          </w:tcPr>
          <w:p w14:paraId="1AEAFBAE">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响应文件中的</w:t>
            </w:r>
          </w:p>
          <w:p w14:paraId="081EBEA0">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页码位置</w:t>
            </w:r>
          </w:p>
        </w:tc>
      </w:tr>
      <w:tr w14:paraId="2A168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E8E085B">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389" w:type="dxa"/>
            <w:vAlign w:val="center"/>
          </w:tcPr>
          <w:p w14:paraId="52AF93E1">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响应文件按照交易文件要求签署、盖章。</w:t>
            </w:r>
          </w:p>
        </w:tc>
        <w:tc>
          <w:tcPr>
            <w:tcW w:w="3356" w:type="dxa"/>
            <w:vAlign w:val="center"/>
          </w:tcPr>
          <w:p w14:paraId="16FC504E">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需要使用电子签名或者签字盖章的响应文件的组成部分</w:t>
            </w:r>
          </w:p>
        </w:tc>
        <w:tc>
          <w:tcPr>
            <w:tcW w:w="1896" w:type="dxa"/>
            <w:vAlign w:val="center"/>
          </w:tcPr>
          <w:p w14:paraId="418673F6">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见响应文件</w:t>
            </w:r>
          </w:p>
          <w:p w14:paraId="1E716B88">
            <w:pPr>
              <w:topLinePunct/>
              <w:snapToGrid w:val="0"/>
              <w:jc w:val="center"/>
              <w:rPr>
                <w:rFonts w:ascii="宋体" w:hAnsi="宋体" w:cs="宋体"/>
                <w:color w:val="auto"/>
                <w:kern w:val="0"/>
                <w:highlight w:val="none"/>
              </w:rPr>
            </w:pPr>
            <w:r>
              <w:rPr>
                <w:rFonts w:hint="eastAsia" w:ascii="宋体" w:hAnsi="宋体" w:cs="宋体"/>
                <w:color w:val="auto"/>
                <w:kern w:val="0"/>
                <w:sz w:val="24"/>
                <w:highlight w:val="none"/>
              </w:rPr>
              <w:t>第</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页</w:t>
            </w:r>
          </w:p>
        </w:tc>
      </w:tr>
      <w:tr w14:paraId="1156D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1D499B">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389" w:type="dxa"/>
            <w:vAlign w:val="center"/>
          </w:tcPr>
          <w:p w14:paraId="0E2175C7">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响应文件中承诺的交易有效期不少于交易文件中载明的交易有效期。</w:t>
            </w:r>
          </w:p>
        </w:tc>
        <w:tc>
          <w:tcPr>
            <w:tcW w:w="3356" w:type="dxa"/>
            <w:vAlign w:val="center"/>
          </w:tcPr>
          <w:p w14:paraId="551ADC94">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响应函</w:t>
            </w:r>
          </w:p>
        </w:tc>
        <w:tc>
          <w:tcPr>
            <w:tcW w:w="1896" w:type="dxa"/>
            <w:vAlign w:val="center"/>
          </w:tcPr>
          <w:p w14:paraId="5CDBD1D2">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见响应文件</w:t>
            </w:r>
          </w:p>
          <w:p w14:paraId="51F46688">
            <w:pPr>
              <w:topLinePunct/>
              <w:snapToGrid w:val="0"/>
              <w:jc w:val="center"/>
              <w:rPr>
                <w:rFonts w:ascii="宋体" w:hAnsi="宋体" w:cs="宋体"/>
                <w:color w:val="auto"/>
                <w:kern w:val="0"/>
                <w:highlight w:val="none"/>
              </w:rPr>
            </w:pPr>
            <w:r>
              <w:rPr>
                <w:rFonts w:hint="eastAsia" w:ascii="宋体" w:hAnsi="宋体" w:cs="宋体"/>
                <w:color w:val="auto"/>
                <w:kern w:val="0"/>
                <w:sz w:val="24"/>
                <w:highlight w:val="none"/>
              </w:rPr>
              <w:t>第</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页</w:t>
            </w:r>
          </w:p>
        </w:tc>
      </w:tr>
      <w:tr w14:paraId="2D4FD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05A0827">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3</w:t>
            </w:r>
          </w:p>
        </w:tc>
        <w:tc>
          <w:tcPr>
            <w:tcW w:w="3389" w:type="dxa"/>
            <w:vAlign w:val="center"/>
          </w:tcPr>
          <w:p w14:paraId="2686B698">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响应文件满足交易文件的其它实质性要求。</w:t>
            </w:r>
          </w:p>
        </w:tc>
        <w:tc>
          <w:tcPr>
            <w:tcW w:w="3356" w:type="dxa"/>
            <w:vAlign w:val="center"/>
          </w:tcPr>
          <w:p w14:paraId="2411452C">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交易文件其它实质性要求相应的材料（“▲” 系指实质性要求条款，交易文件无其它实质性要求的，无需提供）</w:t>
            </w:r>
          </w:p>
        </w:tc>
        <w:tc>
          <w:tcPr>
            <w:tcW w:w="1896" w:type="dxa"/>
            <w:vAlign w:val="center"/>
          </w:tcPr>
          <w:p w14:paraId="0E342392">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见响应文件</w:t>
            </w:r>
          </w:p>
          <w:p w14:paraId="4254A3EA">
            <w:pPr>
              <w:topLinePunct/>
              <w:snapToGrid w:val="0"/>
              <w:jc w:val="center"/>
              <w:rPr>
                <w:rFonts w:ascii="宋体" w:hAnsi="宋体" w:cs="宋体"/>
                <w:color w:val="auto"/>
                <w:kern w:val="0"/>
                <w:highlight w:val="none"/>
              </w:rPr>
            </w:pPr>
            <w:r>
              <w:rPr>
                <w:rFonts w:hint="eastAsia" w:ascii="宋体" w:hAnsi="宋体" w:cs="宋体"/>
                <w:color w:val="auto"/>
                <w:kern w:val="0"/>
                <w:sz w:val="24"/>
                <w:highlight w:val="none"/>
              </w:rPr>
              <w:t>第</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页</w:t>
            </w:r>
          </w:p>
        </w:tc>
      </w:tr>
    </w:tbl>
    <w:p w14:paraId="7FC200A2">
      <w:pPr>
        <w:spacing w:line="360" w:lineRule="auto"/>
        <w:ind w:right="420"/>
        <w:rPr>
          <w:rFonts w:ascii="宋体" w:hAnsi="宋体" w:cs="宋体"/>
          <w:color w:val="auto"/>
          <w:kern w:val="0"/>
          <w:sz w:val="24"/>
          <w:highlight w:val="none"/>
        </w:rPr>
      </w:pPr>
      <w:r>
        <w:rPr>
          <w:rFonts w:hint="eastAsia" w:ascii="宋体" w:hAnsi="宋体" w:cs="宋体"/>
          <w:color w:val="auto"/>
          <w:kern w:val="0"/>
          <w:sz w:val="24"/>
          <w:highlight w:val="none"/>
        </w:rPr>
        <w:t>注：按本格式和要求提供。</w:t>
      </w:r>
    </w:p>
    <w:p w14:paraId="5EFA8942">
      <w:pPr>
        <w:rPr>
          <w:rFonts w:asciiTheme="majorEastAsia" w:hAnsiTheme="majorEastAsia" w:eastAsiaTheme="majorEastAsia" w:cstheme="majorEastAsia"/>
          <w:color w:val="auto"/>
          <w:kern w:val="0"/>
          <w:highlight w:val="none"/>
        </w:rPr>
      </w:pPr>
      <w:r>
        <w:rPr>
          <w:rFonts w:hint="eastAsia" w:asciiTheme="majorEastAsia" w:hAnsiTheme="majorEastAsia" w:eastAsiaTheme="majorEastAsia" w:cstheme="majorEastAsia"/>
          <w:color w:val="auto"/>
          <w:kern w:val="0"/>
          <w:highlight w:val="none"/>
        </w:rPr>
        <w:br w:type="page"/>
      </w:r>
    </w:p>
    <w:p w14:paraId="5A4C1318">
      <w:pPr>
        <w:jc w:val="center"/>
        <w:rPr>
          <w:rFonts w:ascii="宋体" w:hAnsi="宋体" w:cs="宋体"/>
          <w:color w:val="auto"/>
          <w:kern w:val="0"/>
          <w:highlight w:val="none"/>
        </w:rPr>
      </w:pPr>
      <w:r>
        <w:rPr>
          <w:rFonts w:hint="eastAsia" w:ascii="宋体" w:hAnsi="宋体" w:cs="宋体"/>
          <w:b/>
          <w:color w:val="auto"/>
          <w:kern w:val="0"/>
          <w:sz w:val="32"/>
          <w:szCs w:val="32"/>
          <w:highlight w:val="none"/>
          <w:lang w:val="en-US" w:eastAsia="zh-CN"/>
        </w:rPr>
        <w:t>四</w:t>
      </w:r>
      <w:r>
        <w:rPr>
          <w:rFonts w:hint="eastAsia" w:ascii="宋体" w:hAnsi="宋体" w:cs="宋体"/>
          <w:b/>
          <w:color w:val="auto"/>
          <w:kern w:val="0"/>
          <w:sz w:val="32"/>
          <w:szCs w:val="32"/>
          <w:highlight w:val="none"/>
        </w:rPr>
        <w:t>、评标标准相应的商务技术资料</w:t>
      </w:r>
    </w:p>
    <w:p w14:paraId="6A099331">
      <w:pPr>
        <w:snapToGrid w:val="0"/>
        <w:spacing w:line="360" w:lineRule="auto"/>
        <w:jc w:val="left"/>
        <w:rPr>
          <w:rFonts w:ascii="宋体" w:hAnsi="宋体" w:cs="宋体"/>
          <w:b/>
          <w:color w:val="auto"/>
          <w:kern w:val="0"/>
          <w:sz w:val="24"/>
          <w:highlight w:val="none"/>
        </w:rPr>
      </w:pPr>
      <w:r>
        <w:rPr>
          <w:rFonts w:hint="eastAsia" w:ascii="宋体" w:hAnsi="宋体" w:cs="宋体"/>
          <w:b/>
          <w:color w:val="auto"/>
          <w:kern w:val="0"/>
          <w:sz w:val="24"/>
          <w:highlight w:val="none"/>
        </w:rPr>
        <w:t>（按交易文件第四部分评标办法前附表中“响应文件中评标标准相应的商务技术资料目录”提供资料。）</w:t>
      </w:r>
    </w:p>
    <w:p w14:paraId="7C3ACA83">
      <w:pPr>
        <w:jc w:val="center"/>
        <w:rPr>
          <w:rFonts w:ascii="宋体" w:hAnsi="宋体" w:cs="宋体"/>
          <w:b/>
          <w:color w:val="auto"/>
          <w:kern w:val="0"/>
          <w:sz w:val="32"/>
          <w:szCs w:val="32"/>
          <w:highlight w:val="none"/>
        </w:rPr>
      </w:pPr>
    </w:p>
    <w:p w14:paraId="06CDC528">
      <w:pPr>
        <w:jc w:val="center"/>
        <w:rPr>
          <w:rFonts w:ascii="宋体" w:hAnsi="宋体" w:cs="宋体"/>
          <w:b/>
          <w:color w:val="auto"/>
          <w:kern w:val="0"/>
          <w:sz w:val="32"/>
          <w:szCs w:val="32"/>
          <w:highlight w:val="none"/>
        </w:rPr>
      </w:pPr>
    </w:p>
    <w:p w14:paraId="497C70C4">
      <w:pPr>
        <w:jc w:val="center"/>
        <w:rPr>
          <w:rFonts w:ascii="宋体" w:hAnsi="宋体" w:cs="宋体"/>
          <w:b/>
          <w:color w:val="auto"/>
          <w:kern w:val="0"/>
          <w:sz w:val="32"/>
          <w:szCs w:val="32"/>
          <w:highlight w:val="none"/>
        </w:rPr>
      </w:pPr>
    </w:p>
    <w:p w14:paraId="211FD4EC">
      <w:pPr>
        <w:ind w:firstLine="2891" w:firstLineChars="900"/>
        <w:rPr>
          <w:rFonts w:ascii="宋体" w:hAnsi="宋体" w:cs="宋体"/>
          <w:b/>
          <w:color w:val="auto"/>
          <w:kern w:val="0"/>
          <w:sz w:val="32"/>
          <w:szCs w:val="32"/>
          <w:highlight w:val="none"/>
        </w:rPr>
      </w:pPr>
    </w:p>
    <w:p w14:paraId="7A9C91D3">
      <w:pPr>
        <w:ind w:firstLine="2891" w:firstLineChars="900"/>
        <w:rPr>
          <w:rFonts w:ascii="宋体" w:hAnsi="宋体" w:cs="宋体"/>
          <w:b/>
          <w:color w:val="auto"/>
          <w:kern w:val="0"/>
          <w:sz w:val="32"/>
          <w:szCs w:val="32"/>
          <w:highlight w:val="none"/>
        </w:rPr>
      </w:pPr>
    </w:p>
    <w:p w14:paraId="7E1B742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五</w:t>
      </w:r>
      <w:r>
        <w:rPr>
          <w:rFonts w:hint="eastAsia" w:ascii="宋体" w:hAnsi="宋体" w:cs="宋体"/>
          <w:b/>
          <w:color w:val="auto"/>
          <w:kern w:val="0"/>
          <w:sz w:val="32"/>
          <w:szCs w:val="32"/>
          <w:highlight w:val="none"/>
        </w:rPr>
        <w:t>、交易标的清单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614"/>
        <w:gridCol w:w="1245"/>
        <w:gridCol w:w="1275"/>
        <w:gridCol w:w="2384"/>
        <w:gridCol w:w="930"/>
        <w:gridCol w:w="1526"/>
      </w:tblGrid>
      <w:tr w14:paraId="0397B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DB88589">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序号</w:t>
            </w:r>
          </w:p>
        </w:tc>
        <w:tc>
          <w:tcPr>
            <w:tcW w:w="1614" w:type="dxa"/>
            <w:tcBorders>
              <w:top w:val="single" w:color="auto" w:sz="4" w:space="0"/>
              <w:left w:val="single" w:color="auto" w:sz="4" w:space="0"/>
              <w:bottom w:val="single" w:color="auto" w:sz="4" w:space="0"/>
              <w:right w:val="single" w:color="auto" w:sz="4" w:space="0"/>
            </w:tcBorders>
            <w:vAlign w:val="center"/>
          </w:tcPr>
          <w:p w14:paraId="05C7ED25">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名称</w:t>
            </w:r>
          </w:p>
        </w:tc>
        <w:tc>
          <w:tcPr>
            <w:tcW w:w="1245" w:type="dxa"/>
            <w:tcBorders>
              <w:top w:val="single" w:color="auto" w:sz="4" w:space="0"/>
              <w:left w:val="single" w:color="auto" w:sz="4" w:space="0"/>
              <w:bottom w:val="single" w:color="auto" w:sz="4" w:space="0"/>
              <w:right w:val="single" w:color="auto" w:sz="4" w:space="0"/>
            </w:tcBorders>
            <w:vAlign w:val="center"/>
          </w:tcPr>
          <w:p w14:paraId="2A324A01">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品牌</w:t>
            </w:r>
          </w:p>
          <w:p w14:paraId="7E99112C">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（如果有）</w:t>
            </w:r>
          </w:p>
        </w:tc>
        <w:tc>
          <w:tcPr>
            <w:tcW w:w="1275" w:type="dxa"/>
            <w:tcBorders>
              <w:top w:val="single" w:color="auto" w:sz="4" w:space="0"/>
              <w:left w:val="single" w:color="auto" w:sz="4" w:space="0"/>
              <w:bottom w:val="single" w:color="auto" w:sz="4" w:space="0"/>
              <w:right w:val="single" w:color="auto" w:sz="4" w:space="0"/>
            </w:tcBorders>
            <w:vAlign w:val="center"/>
          </w:tcPr>
          <w:p w14:paraId="5EA654BE">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型号</w:t>
            </w:r>
          </w:p>
          <w:p w14:paraId="15549BE7">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（如果有）</w:t>
            </w:r>
          </w:p>
        </w:tc>
        <w:tc>
          <w:tcPr>
            <w:tcW w:w="2384" w:type="dxa"/>
            <w:tcBorders>
              <w:top w:val="single" w:color="auto" w:sz="4" w:space="0"/>
              <w:left w:val="single" w:color="auto" w:sz="4" w:space="0"/>
              <w:bottom w:val="single" w:color="auto" w:sz="4" w:space="0"/>
              <w:right w:val="single" w:color="auto" w:sz="4" w:space="0"/>
            </w:tcBorders>
            <w:vAlign w:val="center"/>
          </w:tcPr>
          <w:p w14:paraId="52F72D23">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68D8C7D5">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75BD2AD2">
            <w:pPr>
              <w:topLinePunct/>
              <w:snapToGrid w:val="0"/>
              <w:jc w:val="center"/>
              <w:rPr>
                <w:rFonts w:ascii="宋体" w:hAnsi="宋体" w:cs="宋体"/>
                <w:b/>
                <w:color w:val="auto"/>
                <w:kern w:val="0"/>
                <w:sz w:val="24"/>
                <w:highlight w:val="none"/>
              </w:rPr>
            </w:pPr>
            <w:r>
              <w:rPr>
                <w:rFonts w:hint="eastAsia" w:ascii="宋体" w:hAnsi="宋体" w:cs="宋体"/>
                <w:b/>
                <w:color w:val="auto"/>
                <w:kern w:val="0"/>
                <w:sz w:val="24"/>
                <w:highlight w:val="none"/>
              </w:rPr>
              <w:t>备注</w:t>
            </w:r>
          </w:p>
        </w:tc>
      </w:tr>
      <w:tr w14:paraId="57989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E77CB31">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1614" w:type="dxa"/>
            <w:tcBorders>
              <w:top w:val="single" w:color="auto" w:sz="4" w:space="0"/>
              <w:left w:val="single" w:color="auto" w:sz="4" w:space="0"/>
              <w:bottom w:val="single" w:color="auto" w:sz="4" w:space="0"/>
              <w:right w:val="single" w:color="auto" w:sz="4" w:space="0"/>
            </w:tcBorders>
            <w:vAlign w:val="center"/>
          </w:tcPr>
          <w:p w14:paraId="4140F054">
            <w:pPr>
              <w:topLinePunct/>
              <w:snapToGrid w:val="0"/>
              <w:jc w:val="center"/>
              <w:rPr>
                <w:rFonts w:ascii="宋体" w:hAnsi="宋体" w:cs="宋体"/>
                <w:color w:val="auto"/>
                <w:kern w:val="0"/>
                <w:sz w:val="24"/>
                <w:highlight w:val="none"/>
              </w:rPr>
            </w:pPr>
          </w:p>
        </w:tc>
        <w:tc>
          <w:tcPr>
            <w:tcW w:w="1245" w:type="dxa"/>
            <w:tcBorders>
              <w:top w:val="single" w:color="auto" w:sz="4" w:space="0"/>
              <w:left w:val="single" w:color="auto" w:sz="4" w:space="0"/>
              <w:bottom w:val="single" w:color="auto" w:sz="4" w:space="0"/>
              <w:right w:val="single" w:color="auto" w:sz="4" w:space="0"/>
            </w:tcBorders>
            <w:vAlign w:val="center"/>
          </w:tcPr>
          <w:p w14:paraId="10514F52">
            <w:pPr>
              <w:topLinePunct/>
              <w:snapToGrid w:val="0"/>
              <w:jc w:val="center"/>
              <w:rPr>
                <w:rFonts w:ascii="宋体" w:hAnsi="宋体" w:cs="宋体"/>
                <w:color w:val="auto"/>
                <w:kern w:val="0"/>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58B6E39F">
            <w:pPr>
              <w:topLinePunct/>
              <w:snapToGrid w:val="0"/>
              <w:jc w:val="center"/>
              <w:rPr>
                <w:rFonts w:ascii="宋体" w:hAnsi="宋体" w:cs="宋体"/>
                <w:color w:val="auto"/>
                <w:kern w:val="0"/>
                <w:sz w:val="24"/>
                <w:highlight w:val="none"/>
              </w:rPr>
            </w:pPr>
          </w:p>
        </w:tc>
        <w:tc>
          <w:tcPr>
            <w:tcW w:w="2384" w:type="dxa"/>
            <w:tcBorders>
              <w:top w:val="single" w:color="auto" w:sz="4" w:space="0"/>
              <w:left w:val="single" w:color="auto" w:sz="4" w:space="0"/>
              <w:bottom w:val="single" w:color="auto" w:sz="4" w:space="0"/>
              <w:right w:val="single" w:color="auto" w:sz="4" w:space="0"/>
            </w:tcBorders>
            <w:vAlign w:val="center"/>
          </w:tcPr>
          <w:p w14:paraId="0AD576AE">
            <w:pPr>
              <w:topLinePunct/>
              <w:snapToGrid w:val="0"/>
              <w:jc w:val="center"/>
              <w:rPr>
                <w:rFonts w:ascii="宋体" w:hAnsi="宋体" w:cs="宋体"/>
                <w:color w:val="auto"/>
                <w:kern w:val="0"/>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34653D55">
            <w:pPr>
              <w:topLinePunct/>
              <w:snapToGrid w:val="0"/>
              <w:jc w:val="center"/>
              <w:rPr>
                <w:rFonts w:ascii="宋体" w:hAnsi="宋体" w:cs="宋体"/>
                <w:color w:val="auto"/>
                <w:kern w:val="0"/>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09AF1DCB">
            <w:pPr>
              <w:topLinePunct/>
              <w:snapToGrid w:val="0"/>
              <w:jc w:val="center"/>
              <w:rPr>
                <w:rFonts w:ascii="宋体" w:hAnsi="宋体" w:cs="宋体"/>
                <w:color w:val="auto"/>
                <w:kern w:val="0"/>
                <w:sz w:val="24"/>
                <w:highlight w:val="none"/>
              </w:rPr>
            </w:pPr>
          </w:p>
        </w:tc>
      </w:tr>
      <w:tr w14:paraId="2AE7F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8C7639C">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1614" w:type="dxa"/>
            <w:tcBorders>
              <w:top w:val="single" w:color="auto" w:sz="4" w:space="0"/>
              <w:left w:val="single" w:color="auto" w:sz="4" w:space="0"/>
              <w:bottom w:val="single" w:color="auto" w:sz="4" w:space="0"/>
              <w:right w:val="single" w:color="auto" w:sz="4" w:space="0"/>
            </w:tcBorders>
            <w:vAlign w:val="center"/>
          </w:tcPr>
          <w:p w14:paraId="50A87BE9">
            <w:pPr>
              <w:topLinePunct/>
              <w:snapToGrid w:val="0"/>
              <w:jc w:val="center"/>
              <w:rPr>
                <w:rFonts w:ascii="宋体" w:hAnsi="宋体" w:cs="宋体"/>
                <w:color w:val="auto"/>
                <w:kern w:val="0"/>
                <w:sz w:val="24"/>
                <w:highlight w:val="none"/>
              </w:rPr>
            </w:pPr>
          </w:p>
        </w:tc>
        <w:tc>
          <w:tcPr>
            <w:tcW w:w="1245" w:type="dxa"/>
            <w:tcBorders>
              <w:top w:val="single" w:color="auto" w:sz="4" w:space="0"/>
              <w:left w:val="single" w:color="auto" w:sz="4" w:space="0"/>
              <w:bottom w:val="single" w:color="auto" w:sz="4" w:space="0"/>
              <w:right w:val="single" w:color="auto" w:sz="4" w:space="0"/>
            </w:tcBorders>
            <w:vAlign w:val="center"/>
          </w:tcPr>
          <w:p w14:paraId="453B87AE">
            <w:pPr>
              <w:topLinePunct/>
              <w:snapToGrid w:val="0"/>
              <w:jc w:val="center"/>
              <w:rPr>
                <w:rFonts w:ascii="宋体" w:hAnsi="宋体" w:cs="宋体"/>
                <w:color w:val="auto"/>
                <w:kern w:val="0"/>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1E282D66">
            <w:pPr>
              <w:topLinePunct/>
              <w:snapToGrid w:val="0"/>
              <w:jc w:val="center"/>
              <w:rPr>
                <w:rFonts w:ascii="宋体" w:hAnsi="宋体" w:cs="宋体"/>
                <w:color w:val="auto"/>
                <w:kern w:val="0"/>
                <w:sz w:val="24"/>
                <w:highlight w:val="none"/>
              </w:rPr>
            </w:pPr>
          </w:p>
        </w:tc>
        <w:tc>
          <w:tcPr>
            <w:tcW w:w="2384" w:type="dxa"/>
            <w:tcBorders>
              <w:top w:val="single" w:color="auto" w:sz="4" w:space="0"/>
              <w:left w:val="single" w:color="auto" w:sz="4" w:space="0"/>
              <w:bottom w:val="single" w:color="auto" w:sz="4" w:space="0"/>
              <w:right w:val="single" w:color="auto" w:sz="4" w:space="0"/>
            </w:tcBorders>
            <w:vAlign w:val="center"/>
          </w:tcPr>
          <w:p w14:paraId="56BA8B3F">
            <w:pPr>
              <w:topLinePunct/>
              <w:snapToGrid w:val="0"/>
              <w:jc w:val="center"/>
              <w:rPr>
                <w:rFonts w:ascii="宋体" w:hAnsi="宋体" w:cs="宋体"/>
                <w:color w:val="auto"/>
                <w:kern w:val="0"/>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0C7C3DC2">
            <w:pPr>
              <w:topLinePunct/>
              <w:snapToGrid w:val="0"/>
              <w:jc w:val="center"/>
              <w:rPr>
                <w:rFonts w:ascii="宋体" w:hAnsi="宋体" w:cs="宋体"/>
                <w:color w:val="auto"/>
                <w:kern w:val="0"/>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A703DB9">
            <w:pPr>
              <w:topLinePunct/>
              <w:snapToGrid w:val="0"/>
              <w:jc w:val="center"/>
              <w:rPr>
                <w:rFonts w:ascii="宋体" w:hAnsi="宋体" w:cs="宋体"/>
                <w:color w:val="auto"/>
                <w:kern w:val="0"/>
                <w:sz w:val="24"/>
                <w:highlight w:val="none"/>
              </w:rPr>
            </w:pPr>
          </w:p>
        </w:tc>
      </w:tr>
      <w:tr w14:paraId="3E5CF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D16DCDD">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1614" w:type="dxa"/>
            <w:tcBorders>
              <w:top w:val="single" w:color="auto" w:sz="4" w:space="0"/>
              <w:left w:val="single" w:color="auto" w:sz="4" w:space="0"/>
              <w:bottom w:val="single" w:color="auto" w:sz="4" w:space="0"/>
              <w:right w:val="single" w:color="auto" w:sz="4" w:space="0"/>
            </w:tcBorders>
            <w:vAlign w:val="center"/>
          </w:tcPr>
          <w:p w14:paraId="4F2C16CE">
            <w:pPr>
              <w:topLinePunct/>
              <w:snapToGrid w:val="0"/>
              <w:jc w:val="center"/>
              <w:rPr>
                <w:rFonts w:ascii="宋体" w:hAnsi="宋体" w:cs="宋体"/>
                <w:color w:val="auto"/>
                <w:kern w:val="0"/>
                <w:sz w:val="24"/>
                <w:highlight w:val="none"/>
              </w:rPr>
            </w:pPr>
          </w:p>
        </w:tc>
        <w:tc>
          <w:tcPr>
            <w:tcW w:w="1245" w:type="dxa"/>
            <w:tcBorders>
              <w:top w:val="single" w:color="auto" w:sz="4" w:space="0"/>
              <w:left w:val="single" w:color="auto" w:sz="4" w:space="0"/>
              <w:bottom w:val="single" w:color="auto" w:sz="4" w:space="0"/>
              <w:right w:val="single" w:color="auto" w:sz="4" w:space="0"/>
            </w:tcBorders>
            <w:vAlign w:val="center"/>
          </w:tcPr>
          <w:p w14:paraId="62BB03AD">
            <w:pPr>
              <w:topLinePunct/>
              <w:snapToGrid w:val="0"/>
              <w:jc w:val="center"/>
              <w:rPr>
                <w:rFonts w:ascii="宋体" w:hAnsi="宋体" w:cs="宋体"/>
                <w:color w:val="auto"/>
                <w:kern w:val="0"/>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40E8767B">
            <w:pPr>
              <w:topLinePunct/>
              <w:snapToGrid w:val="0"/>
              <w:jc w:val="center"/>
              <w:rPr>
                <w:rFonts w:ascii="宋体" w:hAnsi="宋体" w:cs="宋体"/>
                <w:color w:val="auto"/>
                <w:kern w:val="0"/>
                <w:sz w:val="24"/>
                <w:highlight w:val="none"/>
              </w:rPr>
            </w:pPr>
          </w:p>
        </w:tc>
        <w:tc>
          <w:tcPr>
            <w:tcW w:w="2384" w:type="dxa"/>
            <w:tcBorders>
              <w:top w:val="single" w:color="auto" w:sz="4" w:space="0"/>
              <w:left w:val="single" w:color="auto" w:sz="4" w:space="0"/>
              <w:bottom w:val="single" w:color="auto" w:sz="4" w:space="0"/>
              <w:right w:val="single" w:color="auto" w:sz="4" w:space="0"/>
            </w:tcBorders>
            <w:vAlign w:val="center"/>
          </w:tcPr>
          <w:p w14:paraId="552E0946">
            <w:pPr>
              <w:topLinePunct/>
              <w:snapToGrid w:val="0"/>
              <w:jc w:val="center"/>
              <w:rPr>
                <w:rFonts w:ascii="宋体" w:hAnsi="宋体" w:cs="宋体"/>
                <w:color w:val="auto"/>
                <w:kern w:val="0"/>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A2EEFB2">
            <w:pPr>
              <w:topLinePunct/>
              <w:snapToGrid w:val="0"/>
              <w:jc w:val="center"/>
              <w:rPr>
                <w:rFonts w:ascii="宋体" w:hAnsi="宋体" w:cs="宋体"/>
                <w:color w:val="auto"/>
                <w:kern w:val="0"/>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485654A0">
            <w:pPr>
              <w:topLinePunct/>
              <w:snapToGrid w:val="0"/>
              <w:jc w:val="center"/>
              <w:rPr>
                <w:rFonts w:ascii="宋体" w:hAnsi="宋体" w:cs="宋体"/>
                <w:color w:val="auto"/>
                <w:kern w:val="0"/>
                <w:sz w:val="24"/>
                <w:highlight w:val="none"/>
              </w:rPr>
            </w:pPr>
          </w:p>
        </w:tc>
      </w:tr>
    </w:tbl>
    <w:p w14:paraId="43C3F752">
      <w:pPr>
        <w:spacing w:line="360" w:lineRule="auto"/>
        <w:ind w:right="420"/>
        <w:rPr>
          <w:rFonts w:ascii="宋体" w:hAnsi="宋体" w:cs="宋体"/>
          <w:color w:val="auto"/>
          <w:kern w:val="0"/>
          <w:sz w:val="24"/>
          <w:highlight w:val="none"/>
        </w:rPr>
      </w:pPr>
      <w:r>
        <w:rPr>
          <w:rFonts w:hint="eastAsia" w:ascii="宋体" w:hAnsi="宋体" w:cs="宋体"/>
          <w:color w:val="auto"/>
          <w:kern w:val="0"/>
          <w:sz w:val="24"/>
          <w:highlight w:val="none"/>
        </w:rPr>
        <w:t>注：按本格式和要求提供。</w:t>
      </w:r>
    </w:p>
    <w:p w14:paraId="2DBD95CF">
      <w:pPr>
        <w:jc w:val="center"/>
        <w:rPr>
          <w:rFonts w:ascii="宋体" w:hAnsi="宋体" w:cs="宋体"/>
          <w:b/>
          <w:color w:val="auto"/>
          <w:kern w:val="0"/>
          <w:sz w:val="32"/>
          <w:szCs w:val="32"/>
          <w:highlight w:val="none"/>
        </w:rPr>
      </w:pPr>
    </w:p>
    <w:p w14:paraId="32070261">
      <w:pPr>
        <w:jc w:val="center"/>
        <w:rPr>
          <w:rFonts w:ascii="宋体" w:hAnsi="宋体" w:cs="宋体"/>
          <w:b/>
          <w:color w:val="auto"/>
          <w:kern w:val="0"/>
          <w:sz w:val="32"/>
          <w:szCs w:val="32"/>
          <w:highlight w:val="none"/>
        </w:rPr>
      </w:pPr>
    </w:p>
    <w:p w14:paraId="6F6709F1">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六</w:t>
      </w:r>
      <w:r>
        <w:rPr>
          <w:rFonts w:hint="eastAsia" w:ascii="宋体" w:hAnsi="宋体" w:cs="宋体"/>
          <w:b/>
          <w:color w:val="auto"/>
          <w:kern w:val="0"/>
          <w:sz w:val="32"/>
          <w:szCs w:val="32"/>
          <w:highlight w:val="none"/>
        </w:rPr>
        <w:t>、商务技术偏离表</w:t>
      </w:r>
    </w:p>
    <w:tbl>
      <w:tblPr>
        <w:tblStyle w:val="64"/>
        <w:tblW w:w="9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0"/>
        <w:gridCol w:w="3845"/>
        <w:gridCol w:w="3702"/>
        <w:gridCol w:w="1331"/>
      </w:tblGrid>
      <w:tr w14:paraId="4D034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1000" w:type="dxa"/>
            <w:vAlign w:val="center"/>
          </w:tcPr>
          <w:p w14:paraId="4CC9DB7E">
            <w:pPr>
              <w:topLinePunct/>
              <w:snapToGrid w:val="0"/>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3845" w:type="dxa"/>
            <w:vAlign w:val="center"/>
          </w:tcPr>
          <w:p w14:paraId="207204A6">
            <w:pPr>
              <w:topLinePunct/>
              <w:snapToGrid w:val="0"/>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交易文件章节及具体内容</w:t>
            </w:r>
          </w:p>
        </w:tc>
        <w:tc>
          <w:tcPr>
            <w:tcW w:w="3702" w:type="dxa"/>
            <w:vAlign w:val="center"/>
          </w:tcPr>
          <w:p w14:paraId="007ED522">
            <w:pPr>
              <w:topLinePunct/>
              <w:snapToGrid w:val="0"/>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响应文件章节及具体内容</w:t>
            </w:r>
          </w:p>
        </w:tc>
        <w:tc>
          <w:tcPr>
            <w:tcW w:w="1331" w:type="dxa"/>
            <w:vAlign w:val="center"/>
          </w:tcPr>
          <w:p w14:paraId="404D931E">
            <w:pPr>
              <w:topLinePunct/>
              <w:snapToGrid w:val="0"/>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偏离说明</w:t>
            </w:r>
          </w:p>
        </w:tc>
      </w:tr>
      <w:tr w14:paraId="61BD9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1000" w:type="dxa"/>
            <w:vAlign w:val="center"/>
          </w:tcPr>
          <w:p w14:paraId="2B416F9C">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845" w:type="dxa"/>
            <w:vAlign w:val="center"/>
          </w:tcPr>
          <w:p w14:paraId="6FBF7B4F">
            <w:pPr>
              <w:topLinePunct/>
              <w:snapToGrid w:val="0"/>
              <w:jc w:val="center"/>
              <w:rPr>
                <w:rFonts w:ascii="宋体" w:hAnsi="宋体" w:cs="宋体"/>
                <w:b/>
                <w:color w:val="auto"/>
                <w:kern w:val="0"/>
                <w:sz w:val="32"/>
                <w:szCs w:val="32"/>
                <w:highlight w:val="none"/>
              </w:rPr>
            </w:pPr>
          </w:p>
        </w:tc>
        <w:tc>
          <w:tcPr>
            <w:tcW w:w="3702" w:type="dxa"/>
            <w:vAlign w:val="center"/>
          </w:tcPr>
          <w:p w14:paraId="37A1829F">
            <w:pPr>
              <w:topLinePunct/>
              <w:snapToGrid w:val="0"/>
              <w:jc w:val="center"/>
              <w:rPr>
                <w:rFonts w:ascii="宋体" w:hAnsi="宋体" w:cs="宋体"/>
                <w:b/>
                <w:color w:val="auto"/>
                <w:kern w:val="0"/>
                <w:sz w:val="32"/>
                <w:szCs w:val="32"/>
                <w:highlight w:val="none"/>
              </w:rPr>
            </w:pPr>
          </w:p>
        </w:tc>
        <w:tc>
          <w:tcPr>
            <w:tcW w:w="1331" w:type="dxa"/>
            <w:vAlign w:val="center"/>
          </w:tcPr>
          <w:p w14:paraId="5213288F">
            <w:pPr>
              <w:topLinePunct/>
              <w:snapToGrid w:val="0"/>
              <w:jc w:val="center"/>
              <w:rPr>
                <w:rFonts w:ascii="宋体" w:hAnsi="宋体" w:cs="宋体"/>
                <w:b/>
                <w:color w:val="auto"/>
                <w:kern w:val="0"/>
                <w:sz w:val="32"/>
                <w:szCs w:val="32"/>
                <w:highlight w:val="none"/>
              </w:rPr>
            </w:pPr>
          </w:p>
        </w:tc>
      </w:tr>
      <w:tr w14:paraId="20C92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1000" w:type="dxa"/>
            <w:vAlign w:val="center"/>
          </w:tcPr>
          <w:p w14:paraId="0EDBE044">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845" w:type="dxa"/>
            <w:vAlign w:val="center"/>
          </w:tcPr>
          <w:p w14:paraId="67129B07">
            <w:pPr>
              <w:topLinePunct/>
              <w:snapToGrid w:val="0"/>
              <w:jc w:val="center"/>
              <w:rPr>
                <w:rFonts w:ascii="宋体" w:hAnsi="宋体" w:cs="宋体"/>
                <w:b/>
                <w:color w:val="auto"/>
                <w:kern w:val="0"/>
                <w:sz w:val="32"/>
                <w:szCs w:val="32"/>
                <w:highlight w:val="none"/>
              </w:rPr>
            </w:pPr>
          </w:p>
        </w:tc>
        <w:tc>
          <w:tcPr>
            <w:tcW w:w="3702" w:type="dxa"/>
            <w:vAlign w:val="center"/>
          </w:tcPr>
          <w:p w14:paraId="2F208282">
            <w:pPr>
              <w:topLinePunct/>
              <w:snapToGrid w:val="0"/>
              <w:jc w:val="center"/>
              <w:rPr>
                <w:rFonts w:ascii="宋体" w:hAnsi="宋体" w:cs="宋体"/>
                <w:b/>
                <w:color w:val="auto"/>
                <w:kern w:val="0"/>
                <w:sz w:val="32"/>
                <w:szCs w:val="32"/>
                <w:highlight w:val="none"/>
              </w:rPr>
            </w:pPr>
          </w:p>
        </w:tc>
        <w:tc>
          <w:tcPr>
            <w:tcW w:w="1331" w:type="dxa"/>
            <w:vAlign w:val="center"/>
          </w:tcPr>
          <w:p w14:paraId="6FCB05E1">
            <w:pPr>
              <w:topLinePunct/>
              <w:snapToGrid w:val="0"/>
              <w:jc w:val="center"/>
              <w:rPr>
                <w:rFonts w:ascii="宋体" w:hAnsi="宋体" w:cs="宋体"/>
                <w:b/>
                <w:color w:val="auto"/>
                <w:kern w:val="0"/>
                <w:sz w:val="32"/>
                <w:szCs w:val="32"/>
                <w:highlight w:val="none"/>
              </w:rPr>
            </w:pPr>
          </w:p>
        </w:tc>
      </w:tr>
      <w:tr w14:paraId="702DA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000" w:type="dxa"/>
            <w:vAlign w:val="center"/>
          </w:tcPr>
          <w:p w14:paraId="7AA46238">
            <w:pPr>
              <w:topLinePunct/>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845" w:type="dxa"/>
            <w:vAlign w:val="center"/>
          </w:tcPr>
          <w:p w14:paraId="5AC2C779">
            <w:pPr>
              <w:topLinePunct/>
              <w:snapToGrid w:val="0"/>
              <w:jc w:val="center"/>
              <w:rPr>
                <w:rFonts w:ascii="宋体" w:hAnsi="宋体" w:cs="宋体"/>
                <w:b/>
                <w:color w:val="auto"/>
                <w:kern w:val="0"/>
                <w:sz w:val="32"/>
                <w:szCs w:val="32"/>
                <w:highlight w:val="none"/>
              </w:rPr>
            </w:pPr>
          </w:p>
        </w:tc>
        <w:tc>
          <w:tcPr>
            <w:tcW w:w="3702" w:type="dxa"/>
            <w:vAlign w:val="center"/>
          </w:tcPr>
          <w:p w14:paraId="52D9482A">
            <w:pPr>
              <w:topLinePunct/>
              <w:snapToGrid w:val="0"/>
              <w:jc w:val="center"/>
              <w:rPr>
                <w:rFonts w:ascii="宋体" w:hAnsi="宋体" w:cs="宋体"/>
                <w:b/>
                <w:color w:val="auto"/>
                <w:kern w:val="0"/>
                <w:sz w:val="32"/>
                <w:szCs w:val="32"/>
                <w:highlight w:val="none"/>
              </w:rPr>
            </w:pPr>
          </w:p>
        </w:tc>
        <w:tc>
          <w:tcPr>
            <w:tcW w:w="1331" w:type="dxa"/>
            <w:vAlign w:val="center"/>
          </w:tcPr>
          <w:p w14:paraId="0A464846">
            <w:pPr>
              <w:topLinePunct/>
              <w:snapToGrid w:val="0"/>
              <w:jc w:val="center"/>
              <w:rPr>
                <w:rFonts w:ascii="宋体" w:hAnsi="宋体" w:cs="宋体"/>
                <w:b/>
                <w:color w:val="auto"/>
                <w:kern w:val="0"/>
                <w:sz w:val="32"/>
                <w:szCs w:val="32"/>
                <w:highlight w:val="none"/>
              </w:rPr>
            </w:pPr>
          </w:p>
        </w:tc>
      </w:tr>
    </w:tbl>
    <w:p w14:paraId="67B71AA4">
      <w:pPr>
        <w:jc w:val="left"/>
        <w:rPr>
          <w:rFonts w:ascii="宋体" w:hAnsi="宋体" w:cs="宋体"/>
          <w:color w:val="auto"/>
          <w:kern w:val="0"/>
          <w:sz w:val="24"/>
          <w:highlight w:val="none"/>
        </w:rPr>
      </w:pPr>
      <w:r>
        <w:rPr>
          <w:rFonts w:hint="eastAsia" w:ascii="宋体" w:hAnsi="宋体" w:cs="宋体"/>
          <w:color w:val="auto"/>
          <w:kern w:val="0"/>
          <w:sz w:val="24"/>
          <w:highlight w:val="none"/>
        </w:rPr>
        <w:t>供应商保证：除商务技术偏离表列出的偏离外，供应商响应交易文件的全部要求</w:t>
      </w:r>
    </w:p>
    <w:p w14:paraId="0C5442D2">
      <w:pPr>
        <w:jc w:val="center"/>
        <w:rPr>
          <w:rFonts w:ascii="宋体" w:hAnsi="宋体" w:cs="宋体"/>
          <w:b/>
          <w:color w:val="auto"/>
          <w:kern w:val="0"/>
          <w:sz w:val="32"/>
          <w:szCs w:val="32"/>
          <w:highlight w:val="none"/>
        </w:rPr>
      </w:pPr>
    </w:p>
    <w:p w14:paraId="0598628F">
      <w:pPr>
        <w:spacing w:line="360" w:lineRule="auto"/>
        <w:ind w:right="420"/>
        <w:rPr>
          <w:rFonts w:ascii="宋体" w:hAnsi="宋体" w:cs="宋体"/>
          <w:color w:val="auto"/>
          <w:kern w:val="0"/>
          <w:sz w:val="24"/>
          <w:highlight w:val="none"/>
        </w:rPr>
      </w:pPr>
      <w:r>
        <w:rPr>
          <w:rFonts w:hint="eastAsia" w:ascii="宋体" w:hAnsi="宋体" w:cs="宋体"/>
          <w:color w:val="auto"/>
          <w:kern w:val="0"/>
          <w:sz w:val="24"/>
          <w:highlight w:val="none"/>
        </w:rPr>
        <w:t>注：按本格式和要求提供。</w:t>
      </w:r>
    </w:p>
    <w:p w14:paraId="429619F0">
      <w:pPr>
        <w:jc w:val="center"/>
        <w:rPr>
          <w:rFonts w:ascii="宋体" w:hAnsi="宋体" w:cs="宋体"/>
          <w:b/>
          <w:color w:val="auto"/>
          <w:kern w:val="0"/>
          <w:sz w:val="32"/>
          <w:szCs w:val="32"/>
          <w:highlight w:val="none"/>
        </w:rPr>
      </w:pPr>
    </w:p>
    <w:p w14:paraId="470B8C47">
      <w:pPr>
        <w:rPr>
          <w:rFonts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14:paraId="262109A8">
      <w:pPr>
        <w:ind w:firstLine="1911" w:firstLineChars="595"/>
        <w:rPr>
          <w:rFonts w:ascii="宋体" w:hAnsi="宋体" w:cs="宋体"/>
          <w:b/>
          <w:color w:val="auto"/>
          <w:kern w:val="0"/>
          <w:sz w:val="32"/>
          <w:szCs w:val="32"/>
          <w:highlight w:val="none"/>
        </w:rPr>
      </w:pPr>
      <w:r>
        <w:rPr>
          <w:rFonts w:hint="eastAsia" w:ascii="宋体" w:hAnsi="宋体" w:cs="宋体"/>
          <w:b/>
          <w:bCs/>
          <w:color w:val="auto"/>
          <w:kern w:val="0"/>
          <w:sz w:val="32"/>
          <w:szCs w:val="32"/>
          <w:highlight w:val="none"/>
          <w:lang w:val="en-US" w:eastAsia="zh-CN"/>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采购供应商廉洁自律承诺书</w:t>
      </w:r>
    </w:p>
    <w:p w14:paraId="1B7E6D07">
      <w:pPr>
        <w:snapToGrid w:val="0"/>
        <w:spacing w:line="360" w:lineRule="auto"/>
        <w:rPr>
          <w:rFonts w:ascii="宋体" w:hAnsi="宋体" w:cs="宋体"/>
          <w:color w:val="auto"/>
          <w:kern w:val="0"/>
          <w:sz w:val="24"/>
          <w:highlight w:val="none"/>
        </w:rPr>
      </w:pPr>
    </w:p>
    <w:p w14:paraId="21B2D1A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u w:val="single"/>
        </w:rPr>
        <w:t>（采购人）、（采购代理机构）</w:t>
      </w:r>
      <w:r>
        <w:rPr>
          <w:rFonts w:hint="eastAsia" w:ascii="宋体" w:hAnsi="宋体" w:cs="宋体"/>
          <w:color w:val="auto"/>
          <w:kern w:val="0"/>
          <w:sz w:val="24"/>
          <w:highlight w:val="none"/>
          <w:lang w:val="zh-CN"/>
        </w:rPr>
        <w:t>：</w:t>
      </w:r>
    </w:p>
    <w:p w14:paraId="04FBA18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kern w:val="0"/>
          <w:sz w:val="24"/>
          <w:highlight w:val="none"/>
        </w:rPr>
        <w:t>单位</w:t>
      </w:r>
      <w:r>
        <w:rPr>
          <w:rFonts w:hint="eastAsia" w:ascii="宋体" w:hAnsi="宋体" w:cs="宋体"/>
          <w:color w:val="auto"/>
          <w:kern w:val="0"/>
          <w:sz w:val="24"/>
          <w:highlight w:val="none"/>
          <w:lang w:val="zh-CN"/>
        </w:rPr>
        <w:t>项目交易要求参加响应。在这次响应过程中和成交后，我们将严格遵守国家法律法规要求，并郑重承诺：</w:t>
      </w:r>
    </w:p>
    <w:p w14:paraId="3C576ED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7F2248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6839D310">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07270892">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53665249">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44AB343D">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2147D26E">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六、严格遵守相关法律法规，诚实守信，合法经营，坚决抵制各种违法违纪行为。 </w:t>
      </w:r>
    </w:p>
    <w:p w14:paraId="4A0C3E2A">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kern w:val="0"/>
          <w:sz w:val="24"/>
          <w:highlight w:val="none"/>
        </w:rPr>
        <w:t>单位</w:t>
      </w:r>
      <w:r>
        <w:rPr>
          <w:rFonts w:hint="eastAsia" w:ascii="宋体" w:hAnsi="宋体" w:cs="宋体"/>
          <w:color w:val="auto"/>
          <w:kern w:val="0"/>
          <w:sz w:val="24"/>
          <w:highlight w:val="none"/>
          <w:lang w:val="zh-CN"/>
        </w:rPr>
        <w:t>有权立即取消我单位响应、成交或在建项目的建设资格，有权拒绝我单位在一定时期内进入你</w:t>
      </w:r>
      <w:r>
        <w:rPr>
          <w:rFonts w:hint="eastAsia" w:ascii="宋体" w:hAnsi="宋体" w:cs="宋体"/>
          <w:color w:val="auto"/>
          <w:kern w:val="0"/>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71D05636">
      <w:pPr>
        <w:autoSpaceDE w:val="0"/>
        <w:autoSpaceDN w:val="0"/>
        <w:spacing w:line="360" w:lineRule="auto"/>
        <w:ind w:left="2"/>
        <w:jc w:val="left"/>
        <w:rPr>
          <w:rFonts w:ascii="宋体" w:hAnsi="宋体" w:cs="宋体"/>
          <w:color w:val="auto"/>
          <w:kern w:val="0"/>
          <w:sz w:val="24"/>
          <w:highlight w:val="none"/>
          <w:lang w:val="zh-CN"/>
        </w:rPr>
      </w:pPr>
    </w:p>
    <w:p w14:paraId="29EF4621">
      <w:pPr>
        <w:autoSpaceDE w:val="0"/>
        <w:autoSpaceDN w:val="0"/>
        <w:spacing w:line="360" w:lineRule="auto"/>
        <w:ind w:left="2"/>
        <w:jc w:val="left"/>
        <w:rPr>
          <w:rFonts w:ascii="宋体" w:hAnsi="宋体" w:cs="宋体"/>
          <w:color w:val="auto"/>
          <w:kern w:val="0"/>
          <w:sz w:val="24"/>
          <w:highlight w:val="none"/>
          <w:lang w:val="zh-CN"/>
        </w:rPr>
      </w:pPr>
    </w:p>
    <w:p w14:paraId="054D4218">
      <w:pPr>
        <w:autoSpaceDE w:val="0"/>
        <w:autoSpaceDN w:val="0"/>
        <w:spacing w:line="360" w:lineRule="auto"/>
        <w:ind w:left="2"/>
        <w:jc w:val="left"/>
        <w:rPr>
          <w:rFonts w:ascii="宋体" w:hAnsi="宋体" w:cs="宋体"/>
          <w:color w:val="auto"/>
          <w:kern w:val="0"/>
          <w:sz w:val="24"/>
          <w:highlight w:val="none"/>
          <w:lang w:val="zh-CN"/>
        </w:rPr>
      </w:pPr>
    </w:p>
    <w:p w14:paraId="467643B2">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供应商名称（</w:t>
      </w:r>
      <w:r>
        <w:rPr>
          <w:rFonts w:hint="eastAsia" w:ascii="宋体" w:hAnsi="宋体" w:cs="宋体"/>
          <w:color w:val="auto"/>
          <w:kern w:val="0"/>
          <w:sz w:val="24"/>
          <w:highlight w:val="none"/>
        </w:rPr>
        <w:t>电子签名</w:t>
      </w:r>
      <w:r>
        <w:rPr>
          <w:rFonts w:hint="eastAsia" w:ascii="宋体" w:hAnsi="宋体" w:cs="宋体"/>
          <w:color w:val="auto"/>
          <w:kern w:val="0"/>
          <w:sz w:val="24"/>
          <w:highlight w:val="none"/>
          <w:lang w:val="zh-CN"/>
        </w:rPr>
        <w:t xml:space="preserve">）：                                                                                                                                                                                                               </w:t>
      </w:r>
    </w:p>
    <w:p w14:paraId="2A3B29FE">
      <w:pPr>
        <w:spacing w:line="360" w:lineRule="auto"/>
        <w:ind w:left="4620" w:leftChars="2200"/>
        <w:rPr>
          <w:rFonts w:ascii="宋体" w:hAnsi="宋体" w:cs="宋体"/>
          <w:color w:val="auto"/>
          <w:kern w:val="0"/>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2B469610">
      <w:pPr>
        <w:spacing w:line="360" w:lineRule="auto"/>
        <w:jc w:val="center"/>
        <w:rPr>
          <w:rFonts w:ascii="宋体" w:hAnsi="宋体" w:cs="宋体"/>
          <w:b/>
          <w:bCs/>
          <w:color w:val="auto"/>
          <w:kern w:val="0"/>
          <w:sz w:val="24"/>
          <w:highlight w:val="none"/>
        </w:rPr>
      </w:pPr>
    </w:p>
    <w:p w14:paraId="6E828A57">
      <w:pPr>
        <w:spacing w:line="360" w:lineRule="auto"/>
        <w:ind w:right="420"/>
        <w:rPr>
          <w:rFonts w:ascii="宋体" w:hAnsi="宋体" w:cs="宋体"/>
          <w:color w:val="auto"/>
          <w:kern w:val="0"/>
          <w:sz w:val="24"/>
          <w:highlight w:val="none"/>
        </w:rPr>
      </w:pPr>
      <w:r>
        <w:rPr>
          <w:rFonts w:hint="eastAsia" w:ascii="宋体" w:hAnsi="宋体" w:cs="宋体"/>
          <w:color w:val="auto"/>
          <w:kern w:val="0"/>
          <w:sz w:val="24"/>
          <w:highlight w:val="none"/>
        </w:rPr>
        <w:t>注：按本格式和要求提供。</w:t>
      </w:r>
    </w:p>
    <w:p w14:paraId="4C3EA5AE">
      <w:pPr>
        <w:spacing w:line="360" w:lineRule="auto"/>
        <w:jc w:val="center"/>
        <w:rPr>
          <w:rFonts w:ascii="宋体" w:hAnsi="宋体" w:cs="宋体"/>
          <w:b/>
          <w:bCs/>
          <w:color w:val="auto"/>
          <w:kern w:val="0"/>
          <w:sz w:val="24"/>
          <w:highlight w:val="none"/>
        </w:rPr>
        <w:sectPr>
          <w:headerReference r:id="rId8" w:type="first"/>
          <w:footerReference r:id="rId10" w:type="first"/>
          <w:headerReference r:id="rId7" w:type="default"/>
          <w:footerReference r:id="rId9" w:type="default"/>
          <w:pgSz w:w="11906" w:h="16838"/>
          <w:pgMar w:top="1440" w:right="1440" w:bottom="1440" w:left="1440" w:header="851" w:footer="992" w:gutter="0"/>
          <w:pgBorders>
            <w:top w:val="none" w:sz="0" w:space="0"/>
            <w:left w:val="none" w:sz="0" w:space="0"/>
            <w:bottom w:val="none" w:sz="0" w:space="0"/>
            <w:right w:val="none" w:sz="0" w:space="0"/>
          </w:pgBorders>
          <w:cols w:space="720" w:num="1"/>
          <w:titlePg/>
          <w:docGrid w:linePitch="312" w:charSpace="0"/>
        </w:sectPr>
      </w:pPr>
    </w:p>
    <w:p w14:paraId="54C5AFF1">
      <w:pPr>
        <w:spacing w:line="360" w:lineRule="auto"/>
        <w:jc w:val="center"/>
        <w:outlineLvl w:val="0"/>
        <w:rPr>
          <w:rFonts w:ascii="宋体" w:hAnsi="宋体" w:cs="宋体"/>
          <w:b/>
          <w:color w:val="auto"/>
          <w:kern w:val="0"/>
          <w:sz w:val="36"/>
          <w:szCs w:val="36"/>
          <w:highlight w:val="none"/>
        </w:rPr>
      </w:pPr>
    </w:p>
    <w:p w14:paraId="0643238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42CEA54">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  录</w:t>
      </w:r>
    </w:p>
    <w:p w14:paraId="32F610EC">
      <w:pPr>
        <w:spacing w:line="360" w:lineRule="auto"/>
        <w:jc w:val="center"/>
        <w:outlineLvl w:val="0"/>
        <w:rPr>
          <w:rFonts w:ascii="宋体" w:hAnsi="宋体" w:cs="宋体"/>
          <w:b/>
          <w:color w:val="auto"/>
          <w:kern w:val="0"/>
          <w:sz w:val="36"/>
          <w:szCs w:val="36"/>
          <w:highlight w:val="none"/>
        </w:rPr>
      </w:pPr>
    </w:p>
    <w:p w14:paraId="6E50A2C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（1）交易一览表（报价表）…………………………………………………（页码）</w:t>
      </w:r>
    </w:p>
    <w:p w14:paraId="218BBF28">
      <w:pPr>
        <w:snapToGrid w:val="0"/>
        <w:spacing w:line="360" w:lineRule="auto"/>
        <w:ind w:right="480"/>
        <w:jc w:val="center"/>
        <w:rPr>
          <w:rFonts w:ascii="宋体" w:hAnsi="宋体" w:cs="宋体"/>
          <w:b/>
          <w:color w:val="auto"/>
          <w:kern w:val="0"/>
          <w:sz w:val="32"/>
          <w:szCs w:val="32"/>
          <w:highlight w:val="none"/>
        </w:rPr>
      </w:pPr>
    </w:p>
    <w:p w14:paraId="2EF81313">
      <w:pPr>
        <w:snapToGrid w:val="0"/>
        <w:spacing w:line="360" w:lineRule="auto"/>
        <w:ind w:right="480"/>
        <w:jc w:val="center"/>
        <w:rPr>
          <w:rFonts w:ascii="宋体" w:hAnsi="宋体" w:cs="宋体"/>
          <w:b/>
          <w:color w:val="auto"/>
          <w:kern w:val="0"/>
          <w:sz w:val="32"/>
          <w:szCs w:val="32"/>
          <w:highlight w:val="none"/>
        </w:rPr>
      </w:pPr>
    </w:p>
    <w:p w14:paraId="699E0D3D">
      <w:pPr>
        <w:snapToGrid w:val="0"/>
        <w:spacing w:line="360" w:lineRule="auto"/>
        <w:ind w:right="480"/>
        <w:jc w:val="center"/>
        <w:rPr>
          <w:rFonts w:ascii="宋体" w:hAnsi="宋体" w:cs="宋体"/>
          <w:b/>
          <w:color w:val="auto"/>
          <w:kern w:val="0"/>
          <w:sz w:val="32"/>
          <w:szCs w:val="32"/>
          <w:highlight w:val="none"/>
        </w:rPr>
      </w:pPr>
    </w:p>
    <w:p w14:paraId="19C47D60">
      <w:pPr>
        <w:snapToGrid w:val="0"/>
        <w:spacing w:line="360" w:lineRule="auto"/>
        <w:ind w:right="480"/>
        <w:jc w:val="center"/>
        <w:rPr>
          <w:rFonts w:ascii="宋体" w:hAnsi="宋体" w:cs="宋体"/>
          <w:b/>
          <w:color w:val="auto"/>
          <w:kern w:val="0"/>
          <w:sz w:val="32"/>
          <w:szCs w:val="32"/>
          <w:highlight w:val="none"/>
        </w:rPr>
      </w:pPr>
    </w:p>
    <w:p w14:paraId="47811AA1">
      <w:pPr>
        <w:snapToGrid w:val="0"/>
        <w:spacing w:line="360" w:lineRule="auto"/>
        <w:ind w:right="480"/>
        <w:jc w:val="center"/>
        <w:rPr>
          <w:rFonts w:ascii="宋体" w:hAnsi="宋体" w:cs="宋体"/>
          <w:b/>
          <w:color w:val="auto"/>
          <w:kern w:val="0"/>
          <w:sz w:val="32"/>
          <w:szCs w:val="32"/>
          <w:highlight w:val="none"/>
        </w:rPr>
      </w:pPr>
    </w:p>
    <w:p w14:paraId="7F85ADCE">
      <w:pPr>
        <w:snapToGrid w:val="0"/>
        <w:spacing w:line="360" w:lineRule="auto"/>
        <w:ind w:right="480"/>
        <w:jc w:val="center"/>
        <w:rPr>
          <w:rFonts w:ascii="宋体" w:hAnsi="宋体" w:cs="宋体"/>
          <w:b/>
          <w:color w:val="auto"/>
          <w:kern w:val="0"/>
          <w:sz w:val="32"/>
          <w:szCs w:val="32"/>
          <w:highlight w:val="none"/>
        </w:rPr>
      </w:pPr>
    </w:p>
    <w:p w14:paraId="4214CBB5">
      <w:pPr>
        <w:snapToGrid w:val="0"/>
        <w:spacing w:line="360" w:lineRule="auto"/>
        <w:ind w:right="480"/>
        <w:jc w:val="center"/>
        <w:rPr>
          <w:rFonts w:ascii="宋体" w:hAnsi="宋体" w:cs="宋体"/>
          <w:b/>
          <w:color w:val="auto"/>
          <w:kern w:val="0"/>
          <w:sz w:val="32"/>
          <w:szCs w:val="32"/>
          <w:highlight w:val="none"/>
        </w:rPr>
      </w:pPr>
    </w:p>
    <w:p w14:paraId="257BA036">
      <w:pPr>
        <w:snapToGrid w:val="0"/>
        <w:spacing w:line="360" w:lineRule="auto"/>
        <w:ind w:right="480"/>
        <w:jc w:val="center"/>
        <w:rPr>
          <w:rFonts w:ascii="宋体" w:hAnsi="宋体" w:cs="宋体"/>
          <w:b/>
          <w:color w:val="auto"/>
          <w:kern w:val="0"/>
          <w:sz w:val="32"/>
          <w:szCs w:val="32"/>
          <w:highlight w:val="none"/>
        </w:rPr>
      </w:pPr>
    </w:p>
    <w:p w14:paraId="5F39E1D3">
      <w:pPr>
        <w:snapToGrid w:val="0"/>
        <w:spacing w:line="360" w:lineRule="auto"/>
        <w:ind w:right="480"/>
        <w:jc w:val="center"/>
        <w:rPr>
          <w:rFonts w:ascii="宋体" w:hAnsi="宋体" w:cs="宋体"/>
          <w:b/>
          <w:color w:val="auto"/>
          <w:kern w:val="0"/>
          <w:sz w:val="32"/>
          <w:szCs w:val="32"/>
          <w:highlight w:val="none"/>
        </w:rPr>
      </w:pPr>
    </w:p>
    <w:p w14:paraId="68495B5A">
      <w:pPr>
        <w:snapToGrid w:val="0"/>
        <w:spacing w:line="360" w:lineRule="auto"/>
        <w:ind w:right="480"/>
        <w:jc w:val="center"/>
        <w:rPr>
          <w:rFonts w:ascii="宋体" w:hAnsi="宋体" w:cs="宋体"/>
          <w:b/>
          <w:color w:val="auto"/>
          <w:kern w:val="0"/>
          <w:sz w:val="32"/>
          <w:szCs w:val="32"/>
          <w:highlight w:val="none"/>
        </w:rPr>
      </w:pPr>
    </w:p>
    <w:p w14:paraId="4538ECC7">
      <w:pPr>
        <w:snapToGrid w:val="0"/>
        <w:spacing w:line="360" w:lineRule="auto"/>
        <w:ind w:right="480"/>
        <w:jc w:val="center"/>
        <w:rPr>
          <w:rFonts w:ascii="宋体" w:hAnsi="宋体" w:cs="宋体"/>
          <w:b/>
          <w:color w:val="auto"/>
          <w:kern w:val="0"/>
          <w:sz w:val="32"/>
          <w:szCs w:val="32"/>
          <w:highlight w:val="none"/>
        </w:rPr>
      </w:pPr>
    </w:p>
    <w:p w14:paraId="78B7428E">
      <w:pPr>
        <w:snapToGrid w:val="0"/>
        <w:spacing w:line="360" w:lineRule="auto"/>
        <w:ind w:right="480"/>
        <w:jc w:val="center"/>
        <w:rPr>
          <w:rFonts w:ascii="宋体" w:hAnsi="宋体" w:cs="宋体"/>
          <w:b/>
          <w:color w:val="auto"/>
          <w:kern w:val="0"/>
          <w:sz w:val="32"/>
          <w:szCs w:val="32"/>
          <w:highlight w:val="none"/>
        </w:rPr>
      </w:pPr>
    </w:p>
    <w:p w14:paraId="6F52A619">
      <w:pPr>
        <w:snapToGrid w:val="0"/>
        <w:spacing w:line="360" w:lineRule="auto"/>
        <w:ind w:right="480"/>
        <w:jc w:val="center"/>
        <w:rPr>
          <w:rFonts w:ascii="宋体" w:hAnsi="宋体" w:cs="宋体"/>
          <w:b/>
          <w:color w:val="auto"/>
          <w:kern w:val="0"/>
          <w:sz w:val="32"/>
          <w:szCs w:val="32"/>
          <w:highlight w:val="none"/>
        </w:rPr>
      </w:pPr>
    </w:p>
    <w:p w14:paraId="4822BDEB">
      <w:pPr>
        <w:snapToGrid w:val="0"/>
        <w:spacing w:line="360" w:lineRule="auto"/>
        <w:ind w:right="480"/>
        <w:jc w:val="center"/>
        <w:rPr>
          <w:rFonts w:ascii="宋体" w:hAnsi="宋体" w:cs="宋体"/>
          <w:b/>
          <w:color w:val="auto"/>
          <w:kern w:val="0"/>
          <w:sz w:val="32"/>
          <w:szCs w:val="32"/>
          <w:highlight w:val="none"/>
        </w:rPr>
      </w:pPr>
    </w:p>
    <w:p w14:paraId="698BF513">
      <w:pPr>
        <w:pStyle w:val="691"/>
        <w:keepNext w:val="0"/>
        <w:pageBreakBefore w:val="0"/>
        <w:tabs>
          <w:tab w:val="clear" w:pos="720"/>
        </w:tabs>
        <w:snapToGrid w:val="0"/>
        <w:spacing w:before="120" w:after="120"/>
        <w:ind w:firstLine="643"/>
        <w:outlineLvl w:val="9"/>
        <w:rPr>
          <w:rFonts w:ascii="宋体" w:hAnsi="宋体" w:eastAsia="宋体" w:cs="宋体"/>
          <w:color w:val="auto"/>
          <w:kern w:val="0"/>
          <w:sz w:val="32"/>
          <w:szCs w:val="32"/>
          <w:highlight w:val="none"/>
        </w:rPr>
        <w:sectPr>
          <w:headerReference r:id="rId12" w:type="first"/>
          <w:footerReference r:id="rId14" w:type="first"/>
          <w:headerReference r:id="rId11" w:type="default"/>
          <w:footerReference r:id="rId13" w:type="default"/>
          <w:pgSz w:w="11906" w:h="16838"/>
          <w:pgMar w:top="1440" w:right="1800" w:bottom="1440" w:left="1800" w:header="851" w:footer="992" w:gutter="0"/>
          <w:pgBorders>
            <w:top w:val="none" w:sz="0" w:space="0"/>
            <w:left w:val="none" w:sz="0" w:space="0"/>
            <w:bottom w:val="none" w:sz="0" w:space="0"/>
            <w:right w:val="none" w:sz="0" w:space="0"/>
          </w:pgBorders>
          <w:cols w:space="720" w:num="1"/>
          <w:titlePg/>
          <w:docGrid w:linePitch="312" w:charSpace="0"/>
        </w:sectPr>
      </w:pPr>
    </w:p>
    <w:p w14:paraId="06DD5896">
      <w:pPr>
        <w:pStyle w:val="691"/>
        <w:keepNext w:val="0"/>
        <w:pageBreakBefore w:val="0"/>
        <w:tabs>
          <w:tab w:val="clear" w:pos="720"/>
        </w:tabs>
        <w:snapToGrid w:val="0"/>
        <w:spacing w:before="120" w:after="120" w:line="240" w:lineRule="auto"/>
        <w:ind w:firstLine="643"/>
        <w:outlineLvl w:val="9"/>
        <w:rPr>
          <w:rFonts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一、交易一览表（报价表）</w:t>
      </w:r>
    </w:p>
    <w:p w14:paraId="07DBAC28">
      <w:pPr>
        <w:snapToGrid w:val="0"/>
        <w:spacing w:line="240" w:lineRule="auto"/>
        <w:rPr>
          <w:rFonts w:ascii="宋体" w:hAnsi="宋体" w:cs="宋体"/>
          <w:color w:val="auto"/>
          <w:kern w:val="0"/>
          <w:sz w:val="24"/>
          <w:highlight w:val="none"/>
        </w:rPr>
      </w:pPr>
      <w:r>
        <w:rPr>
          <w:rFonts w:hint="eastAsia" w:ascii="宋体" w:hAnsi="宋体" w:cs="宋体"/>
          <w:color w:val="auto"/>
          <w:kern w:val="0"/>
          <w:sz w:val="24"/>
          <w:highlight w:val="none"/>
          <w:u w:val="single"/>
        </w:rPr>
        <w:t>（采购人）、（采购代理机构）</w:t>
      </w:r>
      <w:r>
        <w:rPr>
          <w:rFonts w:hint="eastAsia" w:ascii="宋体" w:hAnsi="宋体" w:cs="宋体"/>
          <w:color w:val="auto"/>
          <w:kern w:val="0"/>
          <w:sz w:val="24"/>
          <w:highlight w:val="none"/>
          <w:lang w:val="zh-CN"/>
        </w:rPr>
        <w:t>：</w:t>
      </w:r>
    </w:p>
    <w:p w14:paraId="3AB25B44">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按你方交易文件要求，我们，本响应文件签字方，谨此向你方发出要约如下：如你方接</w:t>
      </w:r>
      <w:r>
        <w:rPr>
          <w:rFonts w:hint="eastAsia" w:ascii="宋体" w:hAnsi="宋体" w:cs="宋体"/>
          <w:color w:val="auto"/>
          <w:kern w:val="0"/>
          <w:sz w:val="24"/>
          <w:highlight w:val="none"/>
          <w:lang w:val="zh-CN"/>
        </w:rPr>
        <w:t>受本响应，我方承诺按照如下交易一览表（报价表）的价格完成</w:t>
      </w:r>
      <w:r>
        <w:rPr>
          <w:rFonts w:hint="eastAsia" w:ascii="宋体" w:hAnsi="宋体" w:cs="宋体"/>
          <w:color w:val="auto"/>
          <w:kern w:val="0"/>
          <w:sz w:val="24"/>
          <w:highlight w:val="none"/>
          <w:u w:val="single"/>
        </w:rPr>
        <w:t>（项目名称）</w:t>
      </w:r>
      <w:r>
        <w:rPr>
          <w:rFonts w:hint="eastAsia" w:ascii="宋体" w:hAnsi="宋体" w:cs="宋体"/>
          <w:color w:val="auto"/>
          <w:kern w:val="0"/>
          <w:sz w:val="24"/>
          <w:highlight w:val="none"/>
          <w:u w:val="single"/>
          <w:lang w:val="zh-CN"/>
        </w:rPr>
        <w:t>【交易编号：</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的实施</w:t>
      </w:r>
      <w:r>
        <w:rPr>
          <w:rFonts w:hint="eastAsia" w:ascii="宋体" w:hAnsi="宋体" w:cs="宋体"/>
          <w:color w:val="auto"/>
          <w:kern w:val="0"/>
          <w:sz w:val="24"/>
          <w:highlight w:val="none"/>
          <w:lang w:val="zh-CN"/>
        </w:rPr>
        <w:t>。</w:t>
      </w:r>
    </w:p>
    <w:p w14:paraId="382F16E9">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rPr>
        <w:t>交易</w:t>
      </w:r>
      <w:r>
        <w:rPr>
          <w:rFonts w:hint="eastAsia" w:ascii="宋体" w:hAnsi="宋体" w:cs="宋体"/>
          <w:b/>
          <w:color w:val="auto"/>
          <w:kern w:val="0"/>
          <w:sz w:val="24"/>
          <w:highlight w:val="none"/>
          <w:lang w:val="zh-CN"/>
        </w:rPr>
        <w:t>一览表（报价表）(单位均为人民币元)</w:t>
      </w:r>
    </w:p>
    <w:tbl>
      <w:tblPr>
        <w:tblStyle w:val="63"/>
        <w:tblW w:w="930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84"/>
        <w:gridCol w:w="2864"/>
        <w:gridCol w:w="955"/>
        <w:gridCol w:w="1144"/>
        <w:gridCol w:w="888"/>
        <w:gridCol w:w="1063"/>
        <w:gridCol w:w="1609"/>
      </w:tblGrid>
      <w:tr w14:paraId="54A95D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trPr>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FDD9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编号</w:t>
            </w:r>
          </w:p>
        </w:tc>
        <w:tc>
          <w:tcPr>
            <w:tcW w:w="28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AA5E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内容</w:t>
            </w:r>
          </w:p>
        </w:tc>
        <w:tc>
          <w:tcPr>
            <w:tcW w:w="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F26D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单位</w:t>
            </w: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8752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工程量</w:t>
            </w:r>
          </w:p>
        </w:tc>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E50D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单价</w:t>
            </w: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0ED1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合计</w:t>
            </w:r>
          </w:p>
        </w:tc>
        <w:tc>
          <w:tcPr>
            <w:tcW w:w="16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CE39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lang w:val="en-US" w:eastAsia="zh-CN"/>
              </w:rPr>
            </w:pPr>
            <w:r>
              <w:rPr>
                <w:rFonts w:hint="eastAsia" w:ascii="宋体" w:hAnsi="宋体" w:eastAsia="宋体" w:cs="宋体"/>
                <w:i w:val="0"/>
                <w:iCs w:val="0"/>
                <w:color w:val="auto"/>
                <w:sz w:val="22"/>
                <w:szCs w:val="22"/>
                <w:highlight w:val="none"/>
                <w:u w:val="none"/>
                <w:lang w:val="en-US" w:eastAsia="zh-CN"/>
              </w:rPr>
              <w:t>备注</w:t>
            </w:r>
          </w:p>
        </w:tc>
      </w:tr>
      <w:tr w14:paraId="1D952F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92E7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9377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9C6B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1ED4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D48B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3261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6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CDC8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r>
      <w:tr w14:paraId="53DAA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0642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4F73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9FAA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2E78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1CE7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C797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6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0B99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r>
      <w:tr w14:paraId="45433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E2A9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6A59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A7DA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C590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084C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9A00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6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08EE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r>
      <w:tr w14:paraId="3A53F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6ABC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08D0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BEEB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0326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F9CD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C947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6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66AD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r>
      <w:tr w14:paraId="7F9F69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36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6846D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合计</w:t>
            </w:r>
          </w:p>
        </w:tc>
        <w:tc>
          <w:tcPr>
            <w:tcW w:w="5659" w:type="dxa"/>
            <w:gridSpan w:val="5"/>
            <w:tcBorders>
              <w:top w:val="single" w:color="000000" w:sz="4" w:space="0"/>
              <w:left w:val="single" w:color="000000" w:sz="4" w:space="0"/>
              <w:bottom w:val="nil"/>
              <w:right w:val="single" w:color="000000" w:sz="4" w:space="0"/>
            </w:tcBorders>
            <w:shd w:val="clear" w:color="auto" w:fill="auto"/>
            <w:noWrap/>
            <w:vAlign w:val="center"/>
          </w:tcPr>
          <w:p w14:paraId="3CC3E04B">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大写：</w:t>
            </w:r>
          </w:p>
        </w:tc>
      </w:tr>
      <w:tr w14:paraId="5F9196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36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6FD8A4">
            <w:pPr>
              <w:jc w:val="center"/>
              <w:rPr>
                <w:rFonts w:hint="eastAsia" w:ascii="宋体" w:hAnsi="宋体" w:eastAsia="宋体" w:cs="宋体"/>
                <w:i w:val="0"/>
                <w:iCs w:val="0"/>
                <w:color w:val="auto"/>
                <w:sz w:val="22"/>
                <w:szCs w:val="22"/>
                <w:highlight w:val="none"/>
                <w:u w:val="none"/>
              </w:rPr>
            </w:pPr>
          </w:p>
        </w:tc>
        <w:tc>
          <w:tcPr>
            <w:tcW w:w="5659" w:type="dxa"/>
            <w:gridSpan w:val="5"/>
            <w:tcBorders>
              <w:top w:val="nil"/>
              <w:left w:val="single" w:color="000000" w:sz="4" w:space="0"/>
              <w:bottom w:val="single" w:color="000000" w:sz="4" w:space="0"/>
              <w:right w:val="single" w:color="000000" w:sz="4" w:space="0"/>
            </w:tcBorders>
            <w:shd w:val="clear" w:color="auto" w:fill="auto"/>
            <w:noWrap/>
            <w:vAlign w:val="center"/>
          </w:tcPr>
          <w:p w14:paraId="064633FB">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小写：</w:t>
            </w:r>
          </w:p>
        </w:tc>
      </w:tr>
    </w:tbl>
    <w:p w14:paraId="2D072226">
      <w:pPr>
        <w:snapToGrid w:val="0"/>
        <w:spacing w:line="240" w:lineRule="auto"/>
        <w:rPr>
          <w:rFonts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注：</w:t>
      </w:r>
    </w:p>
    <w:p w14:paraId="3835181E">
      <w:pPr>
        <w:keepNext w:val="0"/>
        <w:keepLines w:val="0"/>
        <w:pageBreakBefore w:val="0"/>
        <w:widowControl w:val="0"/>
        <w:kinsoku/>
        <w:wordWrap/>
        <w:overflowPunct/>
        <w:topLinePunct w:val="0"/>
        <w:bidi w:val="0"/>
        <w:adjustRightInd w:val="0"/>
        <w:snapToGrid/>
        <w:spacing w:line="360" w:lineRule="auto"/>
        <w:ind w:left="-2" w:leftChars="-1" w:firstLine="420" w:firstLineChars="200"/>
        <w:textAlignment w:val="auto"/>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1、供应商需按本表格式填写，不得自行更改。</w:t>
      </w:r>
    </w:p>
    <w:p w14:paraId="7727DB62">
      <w:pPr>
        <w:keepNext w:val="0"/>
        <w:keepLines w:val="0"/>
        <w:pageBreakBefore w:val="0"/>
        <w:widowControl w:val="0"/>
        <w:kinsoku/>
        <w:wordWrap/>
        <w:overflowPunct/>
        <w:topLinePunct w:val="0"/>
        <w:bidi w:val="0"/>
        <w:adjustRightInd w:val="0"/>
        <w:snapToGrid/>
        <w:spacing w:line="360" w:lineRule="auto"/>
        <w:ind w:left="-2" w:leftChars="-1" w:firstLine="420" w:firstLineChars="20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2、有关本项目实施所涉及的一切费用均计入报价。采购人将以合同形式有偿取得货物或服务，不接受供应商给予的赠品、回扣或者与采购无关的其他商品、服务，不得出现“0元”“免费赠送”等形式的无偿报价，否则视为响应文件含有采购人不能接受的附加条件的，交易无效；采购内容未包含在《交易一览表（报价表）》名称栏中，供应商不能作出合理解释的，视为响应文件含有采购人不能接受的附加条件的，交易无效。</w:t>
      </w:r>
    </w:p>
    <w:p w14:paraId="74959341">
      <w:pPr>
        <w:keepNext w:val="0"/>
        <w:keepLines w:val="0"/>
        <w:pageBreakBefore w:val="0"/>
        <w:widowControl w:val="0"/>
        <w:kinsoku/>
        <w:wordWrap/>
        <w:overflowPunct/>
        <w:topLinePunct w:val="0"/>
        <w:bidi w:val="0"/>
        <w:adjustRightInd w:val="0"/>
        <w:snapToGrid/>
        <w:spacing w:line="360" w:lineRule="auto"/>
        <w:ind w:left="-2" w:leftChars="-1" w:firstLine="420" w:firstLineChars="200"/>
        <w:textAlignment w:val="auto"/>
        <w:rPr>
          <w:rFonts w:hint="eastAsia" w:ascii="宋体" w:hAnsi="宋体" w:cs="宋体"/>
          <w:color w:val="auto"/>
          <w:kern w:val="0"/>
          <w:sz w:val="24"/>
          <w:highlight w:val="none"/>
          <w:lang w:val="en-US" w:eastAsia="zh-CN"/>
        </w:rPr>
      </w:pPr>
      <w:r>
        <w:rPr>
          <w:rFonts w:hint="eastAsia" w:ascii="宋体" w:hAnsi="宋体" w:eastAsia="宋体" w:cs="宋体"/>
          <w:color w:val="auto"/>
          <w:kern w:val="0"/>
          <w:sz w:val="21"/>
          <w:szCs w:val="21"/>
          <w:highlight w:val="none"/>
          <w:lang w:val="zh-CN"/>
        </w:rPr>
        <w:t>3、响应报价为综合单价包干的形式。成交单价一次性包干，今后不作调整。最终按实际完成工程量</w:t>
      </w:r>
      <w:r>
        <w:rPr>
          <w:rFonts w:hint="eastAsia" w:ascii="宋体" w:hAnsi="宋体" w:cs="宋体"/>
          <w:color w:val="auto"/>
          <w:sz w:val="21"/>
          <w:szCs w:val="21"/>
          <w:highlight w:val="none"/>
        </w:rPr>
        <w:t>*成交单价进行结算</w:t>
      </w:r>
      <w:r>
        <w:rPr>
          <w:rFonts w:hint="eastAsia" w:ascii="宋体" w:hAnsi="宋体" w:cs="宋体"/>
          <w:color w:val="auto"/>
          <w:kern w:val="0"/>
          <w:sz w:val="21"/>
          <w:szCs w:val="21"/>
          <w:highlight w:val="none"/>
          <w:lang w:val="zh-CN"/>
        </w:rPr>
        <w:t>。</w:t>
      </w:r>
      <w:r>
        <w:rPr>
          <w:rFonts w:hint="eastAsia" w:ascii="宋体" w:hAnsi="宋体" w:cs="宋体"/>
          <w:color w:val="auto"/>
          <w:kern w:val="0"/>
          <w:sz w:val="24"/>
          <w:highlight w:val="none"/>
          <w:lang w:val="en-US" w:eastAsia="zh-CN"/>
        </w:rPr>
        <w:t xml:space="preserve"> </w:t>
      </w:r>
    </w:p>
    <w:p w14:paraId="4E81CD90">
      <w:pPr>
        <w:autoSpaceDE w:val="0"/>
        <w:autoSpaceDN w:val="0"/>
        <w:spacing w:line="360" w:lineRule="auto"/>
        <w:ind w:left="2" w:leftChars="1" w:right="1120" w:firstLine="4560" w:firstLineChars="1900"/>
        <w:jc w:val="center"/>
        <w:rPr>
          <w:rFonts w:hint="eastAsia" w:ascii="宋体" w:hAnsi="宋体" w:cs="宋体"/>
          <w:color w:val="auto"/>
          <w:kern w:val="0"/>
          <w:sz w:val="24"/>
          <w:highlight w:val="none"/>
          <w:lang w:val="en-US" w:eastAsia="zh-CN"/>
        </w:rPr>
      </w:pPr>
    </w:p>
    <w:p w14:paraId="6D308EFC">
      <w:pPr>
        <w:autoSpaceDE w:val="0"/>
        <w:autoSpaceDN w:val="0"/>
        <w:spacing w:line="360" w:lineRule="auto"/>
        <w:ind w:left="2" w:leftChars="1" w:right="1120" w:firstLine="4560" w:firstLineChars="190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供应商名称（</w:t>
      </w:r>
      <w:r>
        <w:rPr>
          <w:rFonts w:hint="eastAsia" w:ascii="宋体" w:hAnsi="宋体" w:cs="宋体"/>
          <w:color w:val="auto"/>
          <w:kern w:val="0"/>
          <w:sz w:val="24"/>
          <w:highlight w:val="none"/>
        </w:rPr>
        <w:t>电子签名</w:t>
      </w:r>
      <w:r>
        <w:rPr>
          <w:rFonts w:hint="eastAsia" w:ascii="宋体" w:hAnsi="宋体" w:cs="宋体"/>
          <w:color w:val="auto"/>
          <w:kern w:val="0"/>
          <w:sz w:val="24"/>
          <w:highlight w:val="none"/>
          <w:lang w:val="zh-CN"/>
        </w:rPr>
        <w:t>）：</w:t>
      </w:r>
    </w:p>
    <w:p w14:paraId="19E5F862">
      <w:pPr>
        <w:spacing w:line="360" w:lineRule="auto"/>
        <w:ind w:left="4620" w:leftChars="2200"/>
        <w:jc w:val="center"/>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8D948BE">
      <w:pPr>
        <w:pStyle w:val="691"/>
        <w:keepNext w:val="0"/>
        <w:pageBreakBefore w:val="0"/>
        <w:tabs>
          <w:tab w:val="clear" w:pos="720"/>
        </w:tabs>
        <w:snapToGrid w:val="0"/>
        <w:spacing w:before="120" w:after="120"/>
        <w:ind w:firstLine="643"/>
        <w:outlineLvl w:val="9"/>
        <w:rPr>
          <w:rFonts w:ascii="宋体" w:hAnsi="宋体" w:eastAsia="宋体" w:cs="宋体"/>
          <w:color w:val="auto"/>
          <w:kern w:val="0"/>
          <w:sz w:val="32"/>
          <w:szCs w:val="32"/>
          <w:highlight w:val="none"/>
        </w:rPr>
        <w:sectPr>
          <w:pgSz w:w="11906" w:h="16838"/>
          <w:pgMar w:top="1803" w:right="1440" w:bottom="1803" w:left="1440" w:header="851" w:footer="992" w:gutter="0"/>
          <w:pgBorders>
            <w:top w:val="none" w:sz="0" w:space="0"/>
            <w:left w:val="none" w:sz="0" w:space="0"/>
            <w:bottom w:val="none" w:sz="0" w:space="0"/>
            <w:right w:val="none" w:sz="0" w:space="0"/>
          </w:pgBorders>
          <w:cols w:space="0" w:num="1"/>
          <w:titlePg/>
          <w:rtlGutter w:val="0"/>
          <w:docGrid w:linePitch="312" w:charSpace="0"/>
        </w:sectPr>
      </w:pPr>
    </w:p>
    <w:p w14:paraId="69E9E6D8">
      <w:pPr>
        <w:pStyle w:val="2"/>
        <w:keepNext w:val="0"/>
        <w:keepLines w:val="0"/>
        <w:pageBreakBefore/>
        <w:widowControl/>
        <w:spacing w:before="100" w:beforeAutospacing="1" w:after="100" w:afterAutospacing="1" w:line="360" w:lineRule="auto"/>
        <w:ind w:left="26" w:hanging="27" w:hangingChars="6"/>
        <w:jc w:val="left"/>
        <w:rPr>
          <w:rFonts w:ascii="宋体" w:hAnsi="宋体" w:cs="宋体"/>
          <w:color w:val="auto"/>
          <w:kern w:val="0"/>
          <w:sz w:val="24"/>
          <w:highlight w:val="none"/>
        </w:rPr>
      </w:pPr>
      <w:bookmarkStart w:id="384" w:name="_Toc465665161"/>
      <w:r>
        <w:rPr>
          <w:rFonts w:hint="eastAsia" w:ascii="宋体" w:hAnsi="宋体" w:cs="宋体"/>
          <w:color w:val="auto"/>
          <w:kern w:val="0"/>
          <w:highlight w:val="none"/>
        </w:rPr>
        <w:t>附件</w:t>
      </w:r>
      <w:bookmarkEnd w:id="384"/>
    </w:p>
    <w:p w14:paraId="777EA4BB">
      <w:pPr>
        <w:spacing w:line="360" w:lineRule="auto"/>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附件1：质疑函范本及制作说明</w:t>
      </w:r>
    </w:p>
    <w:p w14:paraId="7597F202">
      <w:pPr>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质疑函范本</w:t>
      </w:r>
    </w:p>
    <w:p w14:paraId="52CCA89F">
      <w:pPr>
        <w:snapToGrid w:val="0"/>
        <w:spacing w:before="240" w:beforeLines="100" w:line="360" w:lineRule="auto"/>
        <w:rPr>
          <w:rFonts w:ascii="宋体" w:hAnsi="宋体" w:cs="宋体"/>
          <w:bCs/>
          <w:color w:val="auto"/>
          <w:kern w:val="0"/>
          <w:sz w:val="24"/>
          <w:highlight w:val="none"/>
        </w:rPr>
      </w:pPr>
      <w:r>
        <w:rPr>
          <w:rFonts w:hint="eastAsia" w:ascii="宋体" w:hAnsi="宋体" w:cs="宋体"/>
          <w:bCs/>
          <w:color w:val="auto"/>
          <w:kern w:val="0"/>
          <w:sz w:val="24"/>
          <w:highlight w:val="none"/>
        </w:rPr>
        <w:t>一、质疑供应商基本信息</w:t>
      </w:r>
    </w:p>
    <w:p w14:paraId="6F494771">
      <w:pPr>
        <w:snapToGrid w:val="0"/>
        <w:spacing w:line="360" w:lineRule="auto"/>
        <w:rPr>
          <w:rFonts w:ascii="宋体" w:hAnsi="宋体" w:cs="宋体"/>
          <w:color w:val="auto"/>
          <w:kern w:val="0"/>
          <w:sz w:val="24"/>
          <w:highlight w:val="none"/>
          <w:u w:val="single"/>
        </w:rPr>
      </w:pPr>
      <w:r>
        <w:rPr>
          <w:rFonts w:hint="eastAsia" w:ascii="宋体" w:hAnsi="宋体" w:cs="宋体"/>
          <w:color w:val="auto"/>
          <w:kern w:val="0"/>
          <w:sz w:val="24"/>
          <w:highlight w:val="none"/>
        </w:rPr>
        <w:t>质疑供应商：</w:t>
      </w:r>
      <w:r>
        <w:rPr>
          <w:rFonts w:hint="eastAsia" w:ascii="宋体" w:hAnsi="宋体" w:cs="宋体"/>
          <w:color w:val="auto"/>
          <w:kern w:val="0"/>
          <w:sz w:val="24"/>
          <w:highlight w:val="none"/>
          <w:u w:val="single"/>
        </w:rPr>
        <w:t xml:space="preserve">                              </w:t>
      </w:r>
    </w:p>
    <w:p w14:paraId="673034D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地   址：</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邮编：</w:t>
      </w:r>
      <w:r>
        <w:rPr>
          <w:rFonts w:hint="eastAsia" w:ascii="宋体" w:hAnsi="宋体" w:cs="宋体"/>
          <w:color w:val="auto"/>
          <w:kern w:val="0"/>
          <w:sz w:val="24"/>
          <w:highlight w:val="none"/>
          <w:u w:val="single"/>
        </w:rPr>
        <w:t xml:space="preserve">                   </w:t>
      </w:r>
    </w:p>
    <w:p w14:paraId="4E529F2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联 系 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联系电话：</w:t>
      </w:r>
      <w:r>
        <w:rPr>
          <w:rFonts w:hint="eastAsia" w:ascii="宋体" w:hAnsi="宋体" w:cs="宋体"/>
          <w:color w:val="auto"/>
          <w:kern w:val="0"/>
          <w:sz w:val="24"/>
          <w:highlight w:val="none"/>
          <w:u w:val="single"/>
        </w:rPr>
        <w:t xml:space="preserve">               </w:t>
      </w:r>
    </w:p>
    <w:p w14:paraId="4737744E">
      <w:pPr>
        <w:snapToGrid w:val="0"/>
        <w:spacing w:line="360" w:lineRule="auto"/>
        <w:rPr>
          <w:rFonts w:ascii="宋体" w:hAnsi="宋体" w:cs="宋体"/>
          <w:color w:val="auto"/>
          <w:kern w:val="0"/>
          <w:sz w:val="24"/>
          <w:highlight w:val="none"/>
          <w:u w:val="dotted"/>
        </w:rPr>
      </w:pPr>
      <w:r>
        <w:rPr>
          <w:rFonts w:hint="eastAsia" w:ascii="宋体" w:hAnsi="宋体" w:cs="宋体"/>
          <w:color w:val="auto"/>
          <w:kern w:val="0"/>
          <w:sz w:val="24"/>
          <w:highlight w:val="none"/>
        </w:rPr>
        <w:t>授权代表：</w:t>
      </w:r>
      <w:r>
        <w:rPr>
          <w:rFonts w:hint="eastAsia" w:ascii="宋体" w:hAnsi="宋体" w:cs="宋体"/>
          <w:color w:val="auto"/>
          <w:kern w:val="0"/>
          <w:sz w:val="24"/>
          <w:highlight w:val="none"/>
          <w:u w:val="single"/>
        </w:rPr>
        <w:t xml:space="preserve">                        </w:t>
      </w:r>
    </w:p>
    <w:p w14:paraId="197713A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联系电话：</w:t>
      </w:r>
      <w:r>
        <w:rPr>
          <w:rFonts w:hint="eastAsia" w:ascii="宋体" w:hAnsi="宋体" w:cs="宋体"/>
          <w:color w:val="auto"/>
          <w:kern w:val="0"/>
          <w:sz w:val="24"/>
          <w:highlight w:val="none"/>
          <w:u w:val="single"/>
        </w:rPr>
        <w:t xml:space="preserve">                        </w:t>
      </w:r>
    </w:p>
    <w:p w14:paraId="65904B5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地址：</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邮编：</w:t>
      </w:r>
      <w:r>
        <w:rPr>
          <w:rFonts w:hint="eastAsia" w:ascii="宋体" w:hAnsi="宋体" w:cs="宋体"/>
          <w:color w:val="auto"/>
          <w:kern w:val="0"/>
          <w:sz w:val="24"/>
          <w:highlight w:val="none"/>
          <w:u w:val="single"/>
        </w:rPr>
        <w:t xml:space="preserve">                   </w:t>
      </w:r>
    </w:p>
    <w:p w14:paraId="392C989B">
      <w:pPr>
        <w:snapToGrid w:val="0"/>
        <w:spacing w:line="360" w:lineRule="auto"/>
        <w:rPr>
          <w:rFonts w:ascii="宋体" w:hAnsi="宋体" w:cs="宋体"/>
          <w:bCs/>
          <w:color w:val="auto"/>
          <w:kern w:val="0"/>
          <w:sz w:val="24"/>
          <w:highlight w:val="none"/>
        </w:rPr>
      </w:pPr>
      <w:r>
        <w:rPr>
          <w:rFonts w:hint="eastAsia" w:ascii="宋体" w:hAnsi="宋体" w:cs="宋体"/>
          <w:bCs/>
          <w:color w:val="auto"/>
          <w:kern w:val="0"/>
          <w:sz w:val="24"/>
          <w:highlight w:val="none"/>
        </w:rPr>
        <w:t>二、质疑项目基本情况</w:t>
      </w:r>
    </w:p>
    <w:p w14:paraId="363EDAD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质疑项目的名称：</w:t>
      </w:r>
      <w:r>
        <w:rPr>
          <w:rFonts w:hint="eastAsia" w:ascii="宋体" w:hAnsi="宋体" w:cs="宋体"/>
          <w:color w:val="auto"/>
          <w:kern w:val="0"/>
          <w:sz w:val="24"/>
          <w:highlight w:val="none"/>
          <w:u w:val="single"/>
        </w:rPr>
        <w:t xml:space="preserve">                                    </w:t>
      </w:r>
    </w:p>
    <w:p w14:paraId="636C94C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质疑项目的编号：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包号：</w:t>
      </w:r>
      <w:r>
        <w:rPr>
          <w:rFonts w:hint="eastAsia" w:ascii="宋体" w:hAnsi="宋体" w:cs="宋体"/>
          <w:color w:val="auto"/>
          <w:kern w:val="0"/>
          <w:sz w:val="24"/>
          <w:highlight w:val="none"/>
          <w:u w:val="single"/>
        </w:rPr>
        <w:t xml:space="preserve">                    </w:t>
      </w:r>
    </w:p>
    <w:p w14:paraId="350BFC68">
      <w:pPr>
        <w:snapToGrid w:val="0"/>
        <w:spacing w:line="360" w:lineRule="auto"/>
        <w:rPr>
          <w:rFonts w:ascii="宋体" w:hAnsi="宋体" w:cs="宋体"/>
          <w:color w:val="auto"/>
          <w:kern w:val="0"/>
          <w:sz w:val="24"/>
          <w:highlight w:val="none"/>
          <w:u w:val="dotted"/>
        </w:rPr>
      </w:pPr>
      <w:r>
        <w:rPr>
          <w:rFonts w:hint="eastAsia" w:ascii="宋体" w:hAnsi="宋体" w:cs="宋体"/>
          <w:color w:val="auto"/>
          <w:kern w:val="0"/>
          <w:sz w:val="24"/>
          <w:highlight w:val="none"/>
        </w:rPr>
        <w:t>采购人名称：</w:t>
      </w:r>
      <w:r>
        <w:rPr>
          <w:rFonts w:hint="eastAsia" w:ascii="宋体" w:hAnsi="宋体" w:cs="宋体"/>
          <w:color w:val="auto"/>
          <w:kern w:val="0"/>
          <w:sz w:val="24"/>
          <w:highlight w:val="none"/>
          <w:u w:val="single"/>
        </w:rPr>
        <w:t xml:space="preserve">                      </w:t>
      </w:r>
    </w:p>
    <w:p w14:paraId="24C88BC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采购文件获取日期：</w:t>
      </w:r>
      <w:r>
        <w:rPr>
          <w:rFonts w:hint="eastAsia" w:ascii="宋体" w:hAnsi="宋体" w:cs="宋体"/>
          <w:color w:val="auto"/>
          <w:kern w:val="0"/>
          <w:sz w:val="24"/>
          <w:highlight w:val="none"/>
          <w:u w:val="single"/>
        </w:rPr>
        <w:t xml:space="preserve">                </w:t>
      </w:r>
    </w:p>
    <w:p w14:paraId="01BA88F7">
      <w:pPr>
        <w:snapToGrid w:val="0"/>
        <w:spacing w:line="360" w:lineRule="auto"/>
        <w:rPr>
          <w:rFonts w:ascii="宋体" w:hAnsi="宋体" w:cs="宋体"/>
          <w:bCs/>
          <w:color w:val="auto"/>
          <w:kern w:val="0"/>
          <w:sz w:val="24"/>
          <w:highlight w:val="none"/>
        </w:rPr>
      </w:pPr>
      <w:r>
        <w:rPr>
          <w:rFonts w:hint="eastAsia" w:ascii="宋体" w:hAnsi="宋体" w:cs="宋体"/>
          <w:bCs/>
          <w:color w:val="auto"/>
          <w:kern w:val="0"/>
          <w:sz w:val="24"/>
          <w:highlight w:val="none"/>
        </w:rPr>
        <w:t>三、质疑事项具体内容</w:t>
      </w:r>
    </w:p>
    <w:p w14:paraId="0B3E5868">
      <w:pPr>
        <w:snapToGrid w:val="0"/>
        <w:spacing w:line="360" w:lineRule="auto"/>
        <w:rPr>
          <w:rFonts w:ascii="宋体" w:hAnsi="宋体" w:cs="宋体"/>
          <w:color w:val="auto"/>
          <w:kern w:val="0"/>
          <w:sz w:val="24"/>
          <w:highlight w:val="none"/>
          <w:u w:val="dotted"/>
        </w:rPr>
      </w:pPr>
      <w:r>
        <w:rPr>
          <w:rFonts w:hint="eastAsia" w:ascii="宋体" w:hAnsi="宋体" w:cs="宋体"/>
          <w:color w:val="auto"/>
          <w:kern w:val="0"/>
          <w:sz w:val="24"/>
          <w:highlight w:val="none"/>
        </w:rPr>
        <w:t>质疑事项1：</w:t>
      </w:r>
    </w:p>
    <w:p w14:paraId="1E707043">
      <w:pPr>
        <w:snapToGrid w:val="0"/>
        <w:spacing w:line="360" w:lineRule="auto"/>
        <w:rPr>
          <w:rFonts w:ascii="宋体" w:hAnsi="宋体" w:cs="宋体"/>
          <w:color w:val="auto"/>
          <w:kern w:val="0"/>
          <w:sz w:val="24"/>
          <w:highlight w:val="none"/>
          <w:u w:val="dotted"/>
        </w:rPr>
      </w:pPr>
      <w:r>
        <w:rPr>
          <w:rFonts w:hint="eastAsia" w:ascii="宋体" w:hAnsi="宋体" w:cs="宋体"/>
          <w:color w:val="auto"/>
          <w:kern w:val="0"/>
          <w:sz w:val="24"/>
          <w:highlight w:val="none"/>
        </w:rPr>
        <w:t>事实依据：</w:t>
      </w:r>
    </w:p>
    <w:p w14:paraId="0BD4E926">
      <w:pPr>
        <w:snapToGrid w:val="0"/>
        <w:spacing w:line="360" w:lineRule="auto"/>
        <w:rPr>
          <w:rFonts w:ascii="宋体" w:hAnsi="宋体" w:cs="宋体"/>
          <w:color w:val="auto"/>
          <w:kern w:val="0"/>
          <w:sz w:val="24"/>
          <w:highlight w:val="none"/>
        </w:rPr>
      </w:pPr>
    </w:p>
    <w:p w14:paraId="6514365F">
      <w:pPr>
        <w:snapToGrid w:val="0"/>
        <w:spacing w:line="360" w:lineRule="auto"/>
        <w:rPr>
          <w:rFonts w:ascii="宋体" w:hAnsi="宋体" w:cs="宋体"/>
          <w:color w:val="auto"/>
          <w:kern w:val="0"/>
          <w:sz w:val="24"/>
          <w:highlight w:val="none"/>
          <w:u w:val="dotted"/>
        </w:rPr>
      </w:pPr>
      <w:r>
        <w:rPr>
          <w:rFonts w:hint="eastAsia" w:ascii="宋体" w:hAnsi="宋体" w:cs="宋体"/>
          <w:color w:val="auto"/>
          <w:kern w:val="0"/>
          <w:sz w:val="24"/>
          <w:highlight w:val="none"/>
        </w:rPr>
        <w:t>法律依据：</w:t>
      </w:r>
    </w:p>
    <w:p w14:paraId="5A051205">
      <w:pPr>
        <w:snapToGrid w:val="0"/>
        <w:spacing w:line="360" w:lineRule="auto"/>
        <w:rPr>
          <w:rFonts w:ascii="宋体" w:hAnsi="宋体" w:cs="宋体"/>
          <w:color w:val="auto"/>
          <w:kern w:val="0"/>
          <w:sz w:val="24"/>
          <w:highlight w:val="none"/>
          <w:u w:val="dotted"/>
        </w:rPr>
      </w:pPr>
    </w:p>
    <w:p w14:paraId="67D3E323">
      <w:pPr>
        <w:snapToGrid w:val="0"/>
        <w:spacing w:line="360" w:lineRule="auto"/>
        <w:rPr>
          <w:rFonts w:ascii="宋体" w:hAnsi="宋体" w:cs="宋体"/>
          <w:color w:val="auto"/>
          <w:kern w:val="0"/>
          <w:sz w:val="24"/>
          <w:highlight w:val="none"/>
          <w:u w:val="dotted"/>
        </w:rPr>
      </w:pPr>
      <w:r>
        <w:rPr>
          <w:rFonts w:hint="eastAsia" w:ascii="宋体" w:hAnsi="宋体" w:cs="宋体"/>
          <w:color w:val="auto"/>
          <w:kern w:val="0"/>
          <w:sz w:val="24"/>
          <w:highlight w:val="none"/>
        </w:rPr>
        <w:t>质疑事项2</w:t>
      </w:r>
    </w:p>
    <w:p w14:paraId="3767D3A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w:t>
      </w:r>
    </w:p>
    <w:p w14:paraId="52894E14">
      <w:pPr>
        <w:snapToGrid w:val="0"/>
        <w:spacing w:line="360" w:lineRule="auto"/>
        <w:rPr>
          <w:rFonts w:ascii="宋体" w:hAnsi="宋体" w:cs="宋体"/>
          <w:bCs/>
          <w:color w:val="auto"/>
          <w:kern w:val="0"/>
          <w:sz w:val="24"/>
          <w:highlight w:val="none"/>
        </w:rPr>
      </w:pPr>
      <w:r>
        <w:rPr>
          <w:rFonts w:hint="eastAsia" w:ascii="宋体" w:hAnsi="宋体" w:cs="宋体"/>
          <w:bCs/>
          <w:color w:val="auto"/>
          <w:kern w:val="0"/>
          <w:sz w:val="24"/>
          <w:highlight w:val="none"/>
        </w:rPr>
        <w:t>四、与质疑事项相关的质疑请求</w:t>
      </w:r>
    </w:p>
    <w:p w14:paraId="65894261">
      <w:pPr>
        <w:snapToGrid w:val="0"/>
        <w:spacing w:line="360" w:lineRule="auto"/>
        <w:rPr>
          <w:rFonts w:ascii="宋体" w:hAnsi="宋体" w:cs="宋体"/>
          <w:color w:val="auto"/>
          <w:kern w:val="0"/>
          <w:sz w:val="24"/>
          <w:highlight w:val="none"/>
          <w:u w:val="dotted"/>
        </w:rPr>
      </w:pPr>
      <w:r>
        <w:rPr>
          <w:rFonts w:hint="eastAsia" w:ascii="宋体" w:hAnsi="宋体" w:cs="宋体"/>
          <w:color w:val="auto"/>
          <w:kern w:val="0"/>
          <w:sz w:val="24"/>
          <w:highlight w:val="none"/>
        </w:rPr>
        <w:t>请求：</w:t>
      </w:r>
    </w:p>
    <w:p w14:paraId="79BC49A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签字(签章)：                   公章：                      </w:t>
      </w:r>
    </w:p>
    <w:p w14:paraId="3CCFF80E">
      <w:pPr>
        <w:spacing w:line="360" w:lineRule="auto"/>
        <w:rPr>
          <w:rFonts w:ascii="宋体" w:hAnsi="宋体" w:cs="宋体"/>
          <w:b/>
          <w:color w:val="auto"/>
          <w:kern w:val="0"/>
          <w:sz w:val="24"/>
          <w:highlight w:val="none"/>
        </w:rPr>
      </w:pPr>
      <w:r>
        <w:rPr>
          <w:rFonts w:hint="eastAsia" w:ascii="宋体" w:hAnsi="宋体" w:cs="宋体"/>
          <w:color w:val="auto"/>
          <w:kern w:val="0"/>
          <w:sz w:val="24"/>
          <w:highlight w:val="none"/>
        </w:rPr>
        <w:t xml:space="preserve">日期：    </w:t>
      </w:r>
    </w:p>
    <w:p w14:paraId="559336F1">
      <w:pPr>
        <w:spacing w:line="360" w:lineRule="auto"/>
        <w:rPr>
          <w:rFonts w:ascii="宋体" w:hAnsi="宋体" w:cs="宋体"/>
          <w:b/>
          <w:color w:val="auto"/>
          <w:kern w:val="0"/>
          <w:sz w:val="24"/>
          <w:highlight w:val="none"/>
        </w:rPr>
      </w:pPr>
      <w:r>
        <w:rPr>
          <w:rFonts w:hint="eastAsia" w:ascii="宋体" w:hAnsi="宋体" w:cs="宋体"/>
          <w:b/>
          <w:color w:val="auto"/>
          <w:kern w:val="0"/>
          <w:sz w:val="24"/>
          <w:highlight w:val="none"/>
        </w:rPr>
        <w:t>质疑函制作说明：</w:t>
      </w:r>
    </w:p>
    <w:p w14:paraId="0FDF57E5">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1.供应商提出质疑时，应提交质疑函和必要的证明材料。</w:t>
      </w:r>
    </w:p>
    <w:p w14:paraId="33008CEA">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6FE2FB3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3.质疑供应商若对项目的某一分包进行质疑，质疑函中应列明具体分包号。</w:t>
      </w:r>
    </w:p>
    <w:p w14:paraId="399B9D5B">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4.质疑函的质疑事项应具体、明确，并有必要的事实依据和法律依据。</w:t>
      </w:r>
    </w:p>
    <w:p w14:paraId="7745C0EC">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5.质疑函的质疑请求应与质疑事项相关。</w:t>
      </w:r>
    </w:p>
    <w:p w14:paraId="43C1A23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6.质疑供应商为自然人的，质疑函应由本人签字；质疑供应商为法人或者其他组织的，质疑函应由法定代表人、主要负责人，或者其授权代表签字或者盖章，并加盖公章。</w:t>
      </w:r>
    </w:p>
    <w:p w14:paraId="13D52353">
      <w:pPr>
        <w:widowControl/>
        <w:spacing w:line="360" w:lineRule="auto"/>
        <w:ind w:firstLine="600" w:firstLineChars="200"/>
        <w:jc w:val="left"/>
        <w:rPr>
          <w:rFonts w:ascii="宋体" w:hAnsi="宋体" w:cs="宋体"/>
          <w:color w:val="auto"/>
          <w:kern w:val="0"/>
          <w:sz w:val="30"/>
          <w:szCs w:val="30"/>
          <w:highlight w:val="none"/>
        </w:rPr>
      </w:pPr>
    </w:p>
    <w:p w14:paraId="424CE5D8">
      <w:pPr>
        <w:spacing w:line="360" w:lineRule="auto"/>
        <w:jc w:val="center"/>
        <w:rPr>
          <w:rFonts w:ascii="宋体" w:hAnsi="宋体" w:cs="宋体"/>
          <w:b/>
          <w:color w:val="auto"/>
          <w:kern w:val="0"/>
          <w:sz w:val="32"/>
          <w:szCs w:val="32"/>
          <w:highlight w:val="none"/>
        </w:rPr>
      </w:pPr>
    </w:p>
    <w:p w14:paraId="49F2EDFD">
      <w:pPr>
        <w:spacing w:line="360" w:lineRule="auto"/>
        <w:jc w:val="center"/>
        <w:rPr>
          <w:rFonts w:ascii="宋体" w:hAnsi="宋体" w:cs="宋体"/>
          <w:b/>
          <w:color w:val="auto"/>
          <w:kern w:val="0"/>
          <w:sz w:val="32"/>
          <w:szCs w:val="32"/>
          <w:highlight w:val="none"/>
        </w:rPr>
      </w:pPr>
    </w:p>
    <w:p w14:paraId="2DB49FFE">
      <w:pPr>
        <w:spacing w:line="360" w:lineRule="auto"/>
        <w:jc w:val="center"/>
        <w:rPr>
          <w:rFonts w:ascii="宋体" w:hAnsi="宋体" w:cs="宋体"/>
          <w:b/>
          <w:color w:val="auto"/>
          <w:kern w:val="0"/>
          <w:sz w:val="32"/>
          <w:szCs w:val="32"/>
          <w:highlight w:val="none"/>
        </w:rPr>
      </w:pPr>
    </w:p>
    <w:p w14:paraId="246DDAE1">
      <w:pPr>
        <w:spacing w:line="360" w:lineRule="auto"/>
        <w:jc w:val="center"/>
        <w:rPr>
          <w:rFonts w:ascii="宋体" w:hAnsi="宋体" w:cs="宋体"/>
          <w:b/>
          <w:color w:val="auto"/>
          <w:kern w:val="0"/>
          <w:sz w:val="32"/>
          <w:szCs w:val="32"/>
          <w:highlight w:val="none"/>
        </w:rPr>
      </w:pPr>
    </w:p>
    <w:p w14:paraId="7A801A75">
      <w:pPr>
        <w:spacing w:line="360" w:lineRule="auto"/>
        <w:jc w:val="center"/>
        <w:rPr>
          <w:rFonts w:ascii="宋体" w:hAnsi="宋体" w:cs="宋体"/>
          <w:b/>
          <w:color w:val="auto"/>
          <w:kern w:val="0"/>
          <w:sz w:val="32"/>
          <w:szCs w:val="32"/>
          <w:highlight w:val="none"/>
        </w:rPr>
      </w:pPr>
    </w:p>
    <w:p w14:paraId="57D3B5CC">
      <w:pPr>
        <w:spacing w:line="360" w:lineRule="auto"/>
        <w:jc w:val="center"/>
        <w:rPr>
          <w:rFonts w:ascii="宋体" w:hAnsi="宋体" w:cs="宋体"/>
          <w:b/>
          <w:color w:val="auto"/>
          <w:kern w:val="0"/>
          <w:sz w:val="32"/>
          <w:szCs w:val="32"/>
          <w:highlight w:val="none"/>
        </w:rPr>
      </w:pPr>
    </w:p>
    <w:p w14:paraId="28E38EC9">
      <w:pPr>
        <w:spacing w:line="360" w:lineRule="auto"/>
        <w:jc w:val="center"/>
        <w:rPr>
          <w:rFonts w:ascii="宋体" w:hAnsi="宋体" w:cs="宋体"/>
          <w:b/>
          <w:color w:val="auto"/>
          <w:kern w:val="0"/>
          <w:sz w:val="32"/>
          <w:szCs w:val="32"/>
          <w:highlight w:val="none"/>
        </w:rPr>
      </w:pPr>
    </w:p>
    <w:p w14:paraId="259C074F">
      <w:pPr>
        <w:spacing w:line="360" w:lineRule="auto"/>
        <w:jc w:val="center"/>
        <w:rPr>
          <w:rFonts w:ascii="宋体" w:hAnsi="宋体" w:cs="宋体"/>
          <w:b/>
          <w:color w:val="auto"/>
          <w:kern w:val="0"/>
          <w:sz w:val="32"/>
          <w:szCs w:val="32"/>
          <w:highlight w:val="none"/>
        </w:rPr>
      </w:pPr>
    </w:p>
    <w:p w14:paraId="1441E9B2">
      <w:pPr>
        <w:spacing w:line="360" w:lineRule="auto"/>
        <w:jc w:val="center"/>
        <w:rPr>
          <w:rFonts w:ascii="宋体" w:hAnsi="宋体" w:cs="宋体"/>
          <w:b/>
          <w:color w:val="auto"/>
          <w:kern w:val="0"/>
          <w:sz w:val="32"/>
          <w:szCs w:val="32"/>
          <w:highlight w:val="none"/>
        </w:rPr>
      </w:pPr>
    </w:p>
    <w:p w14:paraId="0916D265">
      <w:pPr>
        <w:spacing w:line="360" w:lineRule="auto"/>
        <w:jc w:val="center"/>
        <w:rPr>
          <w:rFonts w:ascii="宋体" w:hAnsi="宋体" w:cs="宋体"/>
          <w:b/>
          <w:color w:val="auto"/>
          <w:kern w:val="0"/>
          <w:sz w:val="32"/>
          <w:szCs w:val="32"/>
          <w:highlight w:val="none"/>
        </w:rPr>
      </w:pPr>
    </w:p>
    <w:p w14:paraId="6D2B7B6E">
      <w:pPr>
        <w:spacing w:line="360" w:lineRule="auto"/>
        <w:jc w:val="center"/>
        <w:rPr>
          <w:rFonts w:ascii="宋体" w:hAnsi="宋体" w:cs="宋体"/>
          <w:b/>
          <w:color w:val="auto"/>
          <w:kern w:val="0"/>
          <w:sz w:val="32"/>
          <w:szCs w:val="32"/>
          <w:highlight w:val="none"/>
        </w:rPr>
      </w:pPr>
    </w:p>
    <w:p w14:paraId="3A3EE3B9">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1ADADC8">
      <w:pPr>
        <w:rPr>
          <w:rFonts w:ascii="宋体" w:hAnsi="宋体" w:cs="宋体"/>
          <w:b/>
          <w:color w:val="auto"/>
          <w:kern w:val="0"/>
          <w:sz w:val="32"/>
          <w:szCs w:val="32"/>
          <w:highlight w:val="none"/>
        </w:rPr>
      </w:pPr>
    </w:p>
    <w:p w14:paraId="433096CD">
      <w:pPr>
        <w:autoSpaceDE w:val="0"/>
        <w:autoSpaceDN w:val="0"/>
        <w:rPr>
          <w:rFonts w:ascii="宋体" w:hAnsi="宋体" w:cs="宋体"/>
          <w:b/>
          <w:bCs/>
          <w:color w:val="auto"/>
          <w:kern w:val="0"/>
          <w:sz w:val="32"/>
          <w:szCs w:val="32"/>
          <w:highlight w:val="none"/>
        </w:rPr>
      </w:pPr>
      <w:r>
        <w:rPr>
          <w:rFonts w:hint="eastAsia" w:ascii="宋体" w:hAnsi="宋体" w:cs="宋体"/>
          <w:b/>
          <w:color w:val="auto"/>
          <w:kern w:val="0"/>
          <w:sz w:val="32"/>
          <w:szCs w:val="32"/>
          <w:highlight w:val="none"/>
        </w:rPr>
        <w:t>附件2：</w:t>
      </w:r>
      <w:r>
        <w:rPr>
          <w:rFonts w:hint="eastAsia" w:ascii="宋体" w:hAnsi="宋体" w:cs="宋体"/>
          <w:b/>
          <w:bCs/>
          <w:color w:val="auto"/>
          <w:kern w:val="0"/>
          <w:sz w:val="32"/>
          <w:szCs w:val="32"/>
          <w:highlight w:val="none"/>
        </w:rPr>
        <w:t>业务专用章使用说明函</w:t>
      </w:r>
    </w:p>
    <w:p w14:paraId="3E2E6C19">
      <w:pPr>
        <w:spacing w:line="360" w:lineRule="auto"/>
        <w:rPr>
          <w:rFonts w:ascii="宋体" w:hAnsi="宋体" w:cs="宋体"/>
          <w:color w:val="auto"/>
          <w:kern w:val="0"/>
          <w:sz w:val="24"/>
          <w:highlight w:val="none"/>
          <w:u w:val="single"/>
        </w:rPr>
      </w:pPr>
    </w:p>
    <w:p w14:paraId="7258E24C">
      <w:pPr>
        <w:spacing w:line="360" w:lineRule="auto"/>
        <w:rPr>
          <w:rFonts w:ascii="宋体" w:hAnsi="宋体" w:cs="宋体"/>
          <w:color w:val="auto"/>
          <w:kern w:val="0"/>
          <w:sz w:val="24"/>
          <w:highlight w:val="none"/>
          <w:u w:val="single"/>
        </w:rPr>
      </w:pPr>
    </w:p>
    <w:p w14:paraId="75C1F81F">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u w:val="single"/>
        </w:rPr>
        <w:t>（采购人）、（采购代理机构）</w:t>
      </w:r>
    </w:p>
    <w:p w14:paraId="54D69E3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rPr>
        <w:t>(供应商全称)是中华人民共和国依法登记注册的合法企业，</w:t>
      </w:r>
      <w:r>
        <w:rPr>
          <w:rFonts w:hint="eastAsia" w:ascii="宋体" w:hAnsi="宋体" w:cs="宋体"/>
          <w:bCs/>
          <w:color w:val="auto"/>
          <w:kern w:val="0"/>
          <w:sz w:val="24"/>
          <w:highlight w:val="none"/>
        </w:rPr>
        <w:t>在参加</w:t>
      </w:r>
      <w:r>
        <w:rPr>
          <w:rFonts w:hint="eastAsia" w:ascii="宋体" w:hAnsi="宋体" w:cs="宋体"/>
          <w:color w:val="auto"/>
          <w:kern w:val="0"/>
          <w:sz w:val="24"/>
          <w:highlight w:val="none"/>
        </w:rPr>
        <w:t>你方组织的</w:t>
      </w:r>
      <w:r>
        <w:rPr>
          <w:rFonts w:hint="eastAsia" w:ascii="宋体" w:hAnsi="宋体" w:cs="宋体"/>
          <w:color w:val="auto"/>
          <w:kern w:val="0"/>
          <w:sz w:val="24"/>
          <w:highlight w:val="none"/>
          <w:u w:val="single"/>
        </w:rPr>
        <w:t>（项目名称）项目【交易编号：】</w:t>
      </w:r>
      <w:r>
        <w:rPr>
          <w:rFonts w:hint="eastAsia" w:ascii="宋体" w:hAnsi="宋体" w:cs="宋体"/>
          <w:bCs/>
          <w:color w:val="auto"/>
          <w:kern w:val="0"/>
          <w:sz w:val="24"/>
          <w:highlight w:val="none"/>
        </w:rPr>
        <w:t>交易活动中作如下说明：</w:t>
      </w:r>
      <w:r>
        <w:rPr>
          <w:rFonts w:hint="eastAsia" w:ascii="宋体" w:hAnsi="宋体" w:cs="宋体"/>
          <w:color w:val="auto"/>
          <w:kern w:val="0"/>
          <w:sz w:val="24"/>
          <w:highlight w:val="none"/>
        </w:rPr>
        <w:t xml:space="preserve">我方所使用的“XX专用章”与法定名称章具有同等的法律效力，对使用“XX专用章”的行为予以完全承认，并愿意承担相应责任。   </w:t>
      </w:r>
    </w:p>
    <w:p w14:paraId="0361FC7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特此说明。</w:t>
      </w:r>
    </w:p>
    <w:p w14:paraId="0A88F181">
      <w:pPr>
        <w:spacing w:line="360" w:lineRule="auto"/>
        <w:ind w:firstLine="494"/>
        <w:rPr>
          <w:rFonts w:ascii="宋体" w:hAnsi="宋体" w:cs="宋体"/>
          <w:color w:val="auto"/>
          <w:kern w:val="0"/>
          <w:sz w:val="24"/>
          <w:highlight w:val="none"/>
        </w:rPr>
      </w:pPr>
    </w:p>
    <w:p w14:paraId="2277D800">
      <w:pPr>
        <w:spacing w:line="360" w:lineRule="auto"/>
        <w:ind w:firstLine="494"/>
        <w:rPr>
          <w:rFonts w:ascii="宋体" w:hAnsi="宋体" w:cs="宋体"/>
          <w:color w:val="auto"/>
          <w:kern w:val="0"/>
          <w:sz w:val="24"/>
          <w:highlight w:val="none"/>
        </w:rPr>
      </w:pPr>
    </w:p>
    <w:p w14:paraId="561EC8FD">
      <w:pPr>
        <w:spacing w:line="360" w:lineRule="auto"/>
        <w:ind w:firstLine="494"/>
        <w:rPr>
          <w:rFonts w:ascii="宋体" w:hAnsi="宋体" w:cs="宋体"/>
          <w:color w:val="auto"/>
          <w:kern w:val="0"/>
          <w:sz w:val="24"/>
          <w:highlight w:val="none"/>
        </w:rPr>
      </w:pPr>
    </w:p>
    <w:p w14:paraId="1B80E247">
      <w:pPr>
        <w:spacing w:line="360" w:lineRule="auto"/>
        <w:ind w:firstLine="494"/>
        <w:rPr>
          <w:rFonts w:ascii="宋体" w:hAnsi="宋体" w:cs="宋体"/>
          <w:color w:val="auto"/>
          <w:kern w:val="0"/>
          <w:sz w:val="24"/>
          <w:highlight w:val="none"/>
        </w:rPr>
      </w:pPr>
    </w:p>
    <w:p w14:paraId="405456B4">
      <w:pPr>
        <w:spacing w:line="360" w:lineRule="auto"/>
        <w:ind w:right="480" w:firstLine="3840" w:firstLineChars="1600"/>
        <w:jc w:val="left"/>
        <w:rPr>
          <w:rFonts w:ascii="宋体" w:hAnsi="宋体" w:cs="宋体"/>
          <w:color w:val="auto"/>
          <w:kern w:val="0"/>
          <w:sz w:val="24"/>
          <w:highlight w:val="none"/>
        </w:rPr>
      </w:pPr>
      <w:r>
        <w:rPr>
          <w:rFonts w:hint="eastAsia" w:ascii="宋体" w:hAnsi="宋体" w:cs="宋体"/>
          <w:color w:val="auto"/>
          <w:kern w:val="0"/>
          <w:sz w:val="24"/>
          <w:highlight w:val="none"/>
        </w:rPr>
        <w:t>响应单位（法定名称章）：</w:t>
      </w:r>
    </w:p>
    <w:p w14:paraId="4EB9A24D">
      <w:pPr>
        <w:spacing w:line="360" w:lineRule="auto"/>
        <w:ind w:right="480" w:firstLine="3840" w:firstLineChars="1600"/>
        <w:jc w:val="left"/>
        <w:rPr>
          <w:rFonts w:ascii="宋体" w:hAnsi="宋体" w:cs="宋体"/>
          <w:color w:val="auto"/>
          <w:kern w:val="0"/>
          <w:sz w:val="24"/>
          <w:highlight w:val="none"/>
        </w:rPr>
      </w:pPr>
      <w:r>
        <w:rPr>
          <w:rFonts w:hint="eastAsia" w:ascii="宋体" w:hAnsi="宋体" w:cs="宋体"/>
          <w:color w:val="auto"/>
          <w:kern w:val="0"/>
          <w:sz w:val="24"/>
          <w:highlight w:val="none"/>
        </w:rPr>
        <w:t>日期：    年     月   日</w:t>
      </w:r>
    </w:p>
    <w:p w14:paraId="75B4D742">
      <w:pPr>
        <w:rPr>
          <w:rFonts w:ascii="宋体" w:hAnsi="宋体" w:cs="宋体"/>
          <w:b/>
          <w:bCs/>
          <w:color w:val="auto"/>
          <w:kern w:val="0"/>
          <w:sz w:val="24"/>
          <w:highlight w:val="none"/>
        </w:rPr>
      </w:pPr>
    </w:p>
    <w:p w14:paraId="029A61F9">
      <w:pPr>
        <w:rPr>
          <w:rFonts w:ascii="宋体" w:hAnsi="宋体" w:cs="宋体"/>
          <w:b/>
          <w:bCs/>
          <w:color w:val="auto"/>
          <w:kern w:val="0"/>
          <w:sz w:val="24"/>
          <w:highlight w:val="none"/>
        </w:rPr>
      </w:pPr>
    </w:p>
    <w:p w14:paraId="1B1EA937">
      <w:pPr>
        <w:rPr>
          <w:rFonts w:ascii="宋体" w:hAnsi="宋体" w:cs="宋体"/>
          <w:b/>
          <w:bCs/>
          <w:color w:val="auto"/>
          <w:kern w:val="0"/>
          <w:sz w:val="24"/>
          <w:highlight w:val="none"/>
        </w:rPr>
      </w:pPr>
    </w:p>
    <w:p w14:paraId="613DC4FB">
      <w:pPr>
        <w:rPr>
          <w:rFonts w:ascii="宋体" w:hAnsi="宋体" w:cs="宋体"/>
          <w:color w:val="auto"/>
          <w:kern w:val="0"/>
          <w:sz w:val="24"/>
          <w:highlight w:val="none"/>
        </w:rPr>
      </w:pPr>
      <w:r>
        <w:rPr>
          <w:rFonts w:hint="eastAsia" w:ascii="宋体" w:hAnsi="宋体" w:cs="宋体"/>
          <w:b/>
          <w:bCs/>
          <w:color w:val="auto"/>
          <w:kern w:val="0"/>
          <w:sz w:val="24"/>
          <w:highlight w:val="none"/>
        </w:rPr>
        <w:t>附：</w:t>
      </w:r>
    </w:p>
    <w:p w14:paraId="375D7538">
      <w:pPr>
        <w:spacing w:line="360" w:lineRule="auto"/>
        <w:rPr>
          <w:rFonts w:ascii="宋体" w:hAnsi="宋体" w:cs="宋体"/>
          <w:bCs/>
          <w:color w:val="auto"/>
          <w:kern w:val="0"/>
          <w:sz w:val="24"/>
          <w:highlight w:val="none"/>
        </w:rPr>
      </w:pPr>
      <w:r>
        <w:rPr>
          <w:rFonts w:ascii="宋体" w:hAnsi="宋体" w:cs="宋体"/>
          <w:color w:val="auto"/>
          <w:kern w:val="0"/>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635" b="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color w:val="auto"/>
          <w:kern w:val="0"/>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0" b="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kern w:val="0"/>
          <w:sz w:val="24"/>
          <w:highlight w:val="none"/>
        </w:rPr>
        <w:t>响应单位法定名称章（印模）                响应单位“XX专用章”（印模）</w:t>
      </w:r>
    </w:p>
    <w:p w14:paraId="3D23682E">
      <w:pPr>
        <w:autoSpaceDE w:val="0"/>
        <w:autoSpaceDN w:val="0"/>
        <w:jc w:val="center"/>
        <w:rPr>
          <w:rFonts w:ascii="宋体" w:hAnsi="宋体" w:cs="宋体"/>
          <w:b/>
          <w:color w:val="auto"/>
          <w:kern w:val="0"/>
          <w:sz w:val="32"/>
          <w:szCs w:val="32"/>
          <w:highlight w:val="none"/>
        </w:rPr>
      </w:pPr>
    </w:p>
    <w:p w14:paraId="5A9DBC27">
      <w:pPr>
        <w:autoSpaceDE w:val="0"/>
        <w:autoSpaceDN w:val="0"/>
        <w:jc w:val="center"/>
        <w:rPr>
          <w:rFonts w:ascii="宋体" w:hAnsi="宋体" w:cs="宋体"/>
          <w:b/>
          <w:color w:val="auto"/>
          <w:kern w:val="0"/>
          <w:sz w:val="32"/>
          <w:szCs w:val="32"/>
          <w:highlight w:val="none"/>
        </w:rPr>
      </w:pPr>
    </w:p>
    <w:p w14:paraId="426A4D7B">
      <w:pPr>
        <w:autoSpaceDE w:val="0"/>
        <w:autoSpaceDN w:val="0"/>
        <w:jc w:val="center"/>
        <w:rPr>
          <w:rFonts w:ascii="宋体" w:hAnsi="宋体" w:cs="宋体"/>
          <w:b/>
          <w:color w:val="auto"/>
          <w:kern w:val="0"/>
          <w:sz w:val="32"/>
          <w:szCs w:val="32"/>
          <w:highlight w:val="none"/>
        </w:rPr>
      </w:pPr>
    </w:p>
    <w:p w14:paraId="0D5FBD1E">
      <w:pPr>
        <w:autoSpaceDE w:val="0"/>
        <w:autoSpaceDN w:val="0"/>
        <w:jc w:val="center"/>
        <w:rPr>
          <w:rFonts w:ascii="宋体" w:hAnsi="宋体" w:cs="宋体"/>
          <w:b/>
          <w:color w:val="auto"/>
          <w:kern w:val="0"/>
          <w:sz w:val="32"/>
          <w:szCs w:val="32"/>
          <w:highlight w:val="none"/>
        </w:rPr>
      </w:pPr>
    </w:p>
    <w:p w14:paraId="7D78FEAC">
      <w:pPr>
        <w:autoSpaceDE w:val="0"/>
        <w:autoSpaceDN w:val="0"/>
        <w:jc w:val="center"/>
        <w:rPr>
          <w:rFonts w:ascii="宋体" w:hAnsi="宋体" w:cs="宋体"/>
          <w:b/>
          <w:color w:val="auto"/>
          <w:kern w:val="0"/>
          <w:sz w:val="32"/>
          <w:szCs w:val="32"/>
          <w:highlight w:val="none"/>
        </w:rPr>
      </w:pPr>
    </w:p>
    <w:p w14:paraId="4B434E2B">
      <w:pPr>
        <w:autoSpaceDE w:val="0"/>
        <w:autoSpaceDN w:val="0"/>
        <w:jc w:val="center"/>
        <w:rPr>
          <w:rFonts w:ascii="宋体" w:hAnsi="宋体" w:cs="宋体"/>
          <w:b/>
          <w:color w:val="auto"/>
          <w:kern w:val="0"/>
          <w:sz w:val="32"/>
          <w:szCs w:val="32"/>
          <w:highlight w:val="none"/>
        </w:rPr>
      </w:pPr>
    </w:p>
    <w:p w14:paraId="403209DD">
      <w:pPr>
        <w:autoSpaceDE w:val="0"/>
        <w:autoSpaceDN w:val="0"/>
        <w:jc w:val="center"/>
        <w:rPr>
          <w:rFonts w:ascii="宋体" w:hAnsi="宋体" w:cs="宋体"/>
          <w:b/>
          <w:color w:val="auto"/>
          <w:kern w:val="0"/>
          <w:sz w:val="32"/>
          <w:szCs w:val="32"/>
          <w:highlight w:val="none"/>
        </w:rPr>
      </w:pPr>
    </w:p>
    <w:p w14:paraId="749B741D">
      <w:pPr>
        <w:autoSpaceDE w:val="0"/>
        <w:autoSpaceDN w:val="0"/>
        <w:jc w:val="center"/>
        <w:rPr>
          <w:rFonts w:ascii="宋体" w:hAnsi="宋体" w:cs="宋体"/>
          <w:b/>
          <w:color w:val="auto"/>
          <w:kern w:val="0"/>
          <w:sz w:val="32"/>
          <w:szCs w:val="32"/>
          <w:highlight w:val="none"/>
        </w:rPr>
      </w:pPr>
    </w:p>
    <w:p w14:paraId="1523B6EA">
      <w:pPr>
        <w:autoSpaceDE w:val="0"/>
        <w:autoSpaceDN w:val="0"/>
        <w:jc w:val="center"/>
        <w:rPr>
          <w:rFonts w:ascii="宋体" w:hAnsi="宋体" w:cs="宋体"/>
          <w:b/>
          <w:color w:val="auto"/>
          <w:kern w:val="0"/>
          <w:sz w:val="32"/>
          <w:szCs w:val="32"/>
          <w:highlight w:val="none"/>
        </w:rPr>
      </w:pPr>
    </w:p>
    <w:p w14:paraId="67F7FEFE">
      <w:pPr>
        <w:rPr>
          <w:rFonts w:ascii="宋体" w:hAnsi="宋体" w:cs="宋体"/>
          <w:b/>
          <w:color w:val="auto"/>
          <w:kern w:val="0"/>
          <w:sz w:val="32"/>
          <w:szCs w:val="32"/>
          <w:highlight w:val="none"/>
        </w:rPr>
      </w:pPr>
    </w:p>
    <w:sectPr>
      <w:headerReference r:id="rId16" w:type="first"/>
      <w:footerReference r:id="rId19" w:type="first"/>
      <w:headerReference r:id="rId15" w:type="default"/>
      <w:footerReference r:id="rId17" w:type="default"/>
      <w:footerReference r:id="rId18" w:type="even"/>
      <w:pgSz w:w="11906" w:h="16838"/>
      <w:pgMar w:top="1803" w:right="1440" w:bottom="1803" w:left="1440" w:header="851" w:footer="992" w:gutter="0"/>
      <w:pgBorders>
        <w:top w:val="none" w:sz="0" w:space="0"/>
        <w:left w:val="none" w:sz="0" w:space="0"/>
        <w:bottom w:val="none" w:sz="0" w:space="0"/>
        <w:right w:val="none" w:sz="0" w:space="0"/>
      </w:pgBorders>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roman"/>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E104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w:t>
    </w:r>
  </w:p>
  <w:p w14:paraId="2C701891">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B3205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w:t>
    </w:r>
  </w:p>
  <w:p w14:paraId="3AFF7F80">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2F61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w:t>
    </w:r>
  </w:p>
  <w:p w14:paraId="73863219">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9989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w:t>
    </w:r>
  </w:p>
  <w:p w14:paraId="45A75749">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AB335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w:t>
    </w:r>
  </w:p>
  <w:p w14:paraId="0F1E599B">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49E7AF">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w:t>
    </w:r>
  </w:p>
  <w:p w14:paraId="6C6491E9">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A9044">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3B4B51">
    <w:pPr>
      <w:pStyle w:val="41"/>
      <w:framePr w:wrap="around" w:vAnchor="text" w:hAnchor="margin" w:xAlign="right" w:y="1"/>
      <w:rPr>
        <w:rStyle w:val="73"/>
      </w:rPr>
    </w:pPr>
    <w:r>
      <w:fldChar w:fldCharType="begin"/>
    </w:r>
    <w:r>
      <w:rPr>
        <w:rStyle w:val="73"/>
      </w:rPr>
      <w:instrText xml:space="preserve">PAGE  </w:instrText>
    </w:r>
    <w:r>
      <w:fldChar w:fldCharType="end"/>
    </w:r>
  </w:p>
  <w:p w14:paraId="75474406">
    <w:pPr>
      <w:pStyle w:val="41"/>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6FCF8">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46</w:t>
    </w:r>
    <w:r>
      <w:rPr>
        <w:rFonts w:hint="eastAsia" w:ascii="仿宋_GB2312" w:eastAsia="仿宋_GB2312"/>
        <w:kern w:val="0"/>
        <w:szCs w:val="21"/>
      </w:rPr>
      <w:fldChar w:fldCharType="end"/>
    </w:r>
    <w:bookmarkStart w:id="385" w:name="_Toc36110187"/>
    <w:bookmarkStart w:id="386" w:name="_Toc91899912"/>
    <w:bookmarkStart w:id="387" w:name="_Toc164085800"/>
    <w:bookmarkStart w:id="388" w:name="_Toc131845147"/>
    <w:r>
      <w:rPr>
        <w:rFonts w:hint="eastAsia" w:ascii="仿宋_GB2312" w:eastAsia="仿宋_GB2312"/>
        <w:kern w:val="0"/>
        <w:szCs w:val="21"/>
      </w:rPr>
      <w:t xml:space="preserve"> 页</w:t>
    </w:r>
    <w:bookmarkEnd w:id="385"/>
    <w:bookmarkEnd w:id="386"/>
    <w:bookmarkEnd w:id="387"/>
    <w:bookmarkEnd w:id="38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1A1D69">
    <w:pPr>
      <w:pStyle w:val="42"/>
      <w:jc w:val="right"/>
      <w:rPr>
        <w:rFonts w:ascii="仿宋_GB2312"/>
        <w:b/>
        <w:i/>
        <w:u w:val="single"/>
      </w:rPr>
    </w:pPr>
    <w:r>
      <w:t>公开</w:t>
    </w:r>
    <w:r>
      <w:rPr>
        <w:rFonts w:hint="eastAsia"/>
      </w:rPr>
      <w:t>交易文件</w:t>
    </w:r>
  </w:p>
  <w:p w14:paraId="47DB8D57">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2344C">
    <w:pPr>
      <w:pStyle w:val="42"/>
      <w:jc w:val="right"/>
    </w:pPr>
    <w:r>
      <w:t>公开</w:t>
    </w:r>
    <w:r>
      <w:rPr>
        <w:rFonts w:hint="eastAsia"/>
      </w:rPr>
      <w:t>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5DDD54">
    <w:pPr>
      <w:pStyle w:val="42"/>
      <w:jc w:val="right"/>
      <w:rPr>
        <w:rFonts w:ascii="仿宋_GB2312"/>
        <w:b/>
        <w:i/>
        <w:u w:val="single"/>
      </w:rPr>
    </w:pPr>
    <w:r>
      <w:t>公开</w:t>
    </w:r>
    <w:r>
      <w:rPr>
        <w:rFonts w:hint="eastAsia"/>
      </w:rPr>
      <w:t>交易文件</w:t>
    </w:r>
  </w:p>
  <w:p w14:paraId="42200536">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7285CF">
    <w:pPr>
      <w:pStyle w:val="42"/>
    </w:pPr>
    <w:r>
      <w:t></w:t>
    </w:r>
  </w:p>
  <w:p w14:paraId="323C59E5">
    <w:pPr>
      <w:pStyle w:val="42"/>
      <w:jc w:val="right"/>
    </w:pPr>
    <w:r>
      <w:t>公开</w:t>
    </w:r>
    <w:r>
      <w:rPr>
        <w:rFonts w:hint="eastAsia"/>
      </w:rPr>
      <w:t>交易文件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8398D8">
    <w:pPr>
      <w:pStyle w:val="42"/>
      <w:jc w:val="right"/>
      <w:rPr>
        <w:rFonts w:ascii="仿宋_GB2312"/>
        <w:b/>
        <w:i/>
        <w:u w:val="single"/>
      </w:rPr>
    </w:pPr>
    <w:r>
      <w:t>公开</w:t>
    </w:r>
    <w:r>
      <w:rPr>
        <w:rFonts w:hint="eastAsia"/>
      </w:rPr>
      <w:t>交易文件</w:t>
    </w:r>
  </w:p>
  <w:p w14:paraId="0A41FA5A">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724A0F">
    <w:pPr>
      <w:pStyle w:val="42"/>
      <w:jc w:val="right"/>
    </w:pPr>
    <w:r>
      <w:t>公开</w:t>
    </w:r>
    <w:r>
      <w:rPr>
        <w:rFonts w:hint="eastAsia"/>
      </w:rPr>
      <w:t>交易文件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DD66E9">
    <w:pPr>
      <w:pStyle w:val="42"/>
      <w:jc w:val="right"/>
      <w:rPr>
        <w:rFonts w:ascii="仿宋_GB2312"/>
        <w:b/>
        <w:i/>
        <w:iCs/>
        <w:u w:val="single"/>
      </w:rPr>
    </w:pPr>
    <w:r>
      <w:t>公开</w:t>
    </w:r>
    <w:r>
      <w:rPr>
        <w:rFonts w:hint="eastAsia"/>
      </w:rPr>
      <w:t>交易文件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948A05">
    <w:pPr>
      <w:pStyle w:val="42"/>
      <w:jc w:val="right"/>
    </w:pPr>
    <w:r>
      <w:t>公开</w:t>
    </w:r>
    <w:r>
      <w:rPr>
        <w:rFonts w:hint="eastAsia"/>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ABBC9"/>
    <w:multiLevelType w:val="singleLevel"/>
    <w:tmpl w:val="BF6ABBC9"/>
    <w:lvl w:ilvl="0" w:tentative="0">
      <w:start w:val="1"/>
      <w:numFmt w:val="decimal"/>
      <w:suff w:val="nothing"/>
      <w:lvlText w:val="（%1）"/>
      <w:lvlJc w:val="left"/>
    </w:lvl>
  </w:abstractNum>
  <w:abstractNum w:abstractNumId="1">
    <w:nsid w:val="D79C8710"/>
    <w:multiLevelType w:val="singleLevel"/>
    <w:tmpl w:val="D79C8710"/>
    <w:lvl w:ilvl="0" w:tentative="0">
      <w:start w:val="7"/>
      <w:numFmt w:val="decimal"/>
      <w:suff w:val="space"/>
      <w:lvlText w:val="%1."/>
      <w:lvlJc w:val="left"/>
    </w:lvl>
  </w:abstractNum>
  <w:abstractNum w:abstractNumId="2">
    <w:nsid w:val="E25EC6AF"/>
    <w:multiLevelType w:val="singleLevel"/>
    <w:tmpl w:val="E25EC6AF"/>
    <w:lvl w:ilvl="0" w:tentative="0">
      <w:start w:val="2"/>
      <w:numFmt w:val="decimal"/>
      <w:suff w:val="space"/>
      <w:lvlText w:val="%1."/>
      <w:lvlJc w:val="left"/>
    </w:lvl>
  </w:abstractNum>
  <w:abstractNum w:abstractNumId="3">
    <w:nsid w:val="547B34B6"/>
    <w:multiLevelType w:val="singleLevel"/>
    <w:tmpl w:val="547B34B6"/>
    <w:lvl w:ilvl="0" w:tentative="0">
      <w:start w:val="1"/>
      <w:numFmt w:val="decimal"/>
      <w:suff w:val="nothing"/>
      <w:lvlText w:val="%1、"/>
      <w:lvlJc w:val="left"/>
    </w:lvl>
  </w:abstractNum>
  <w:abstractNum w:abstractNumId="4">
    <w:nsid w:val="7C63DFDD"/>
    <w:multiLevelType w:val="singleLevel"/>
    <w:tmpl w:val="7C63DFDD"/>
    <w:lvl w:ilvl="0" w:tentative="0">
      <w:start w:val="26"/>
      <w:numFmt w:val="decimal"/>
      <w:lvlText w:val="%1."/>
      <w:lvlJc w:val="left"/>
      <w:pPr>
        <w:tabs>
          <w:tab w:val="left" w:pos="312"/>
        </w:tabs>
        <w:ind w:left="120" w:firstLine="0"/>
      </w:pPr>
    </w:lvl>
  </w:abstractNum>
  <w:num w:numId="1">
    <w:abstractNumId w:val="3"/>
  </w:num>
  <w:num w:numId="2">
    <w:abstractNumId w:val="2"/>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IxMmU2MTBlMzdjN2ZmZDQ0MDdhZTZmZTc1MTI0N2UifQ=="/>
    <w:docVar w:name="KSO_WPS_MARK_KEY" w:val="ca929c91-b1e4-40e2-b691-748c861e70ff"/>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6338"/>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3A0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6E80"/>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226"/>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0D6C"/>
    <w:rsid w:val="000D11E5"/>
    <w:rsid w:val="000D19E8"/>
    <w:rsid w:val="000D1FA1"/>
    <w:rsid w:val="000D2834"/>
    <w:rsid w:val="000D2CAC"/>
    <w:rsid w:val="000D34C8"/>
    <w:rsid w:val="000D34FD"/>
    <w:rsid w:val="000D358B"/>
    <w:rsid w:val="000D3BE5"/>
    <w:rsid w:val="000D3C37"/>
    <w:rsid w:val="000D453A"/>
    <w:rsid w:val="000D4AFA"/>
    <w:rsid w:val="000D5EA6"/>
    <w:rsid w:val="000D5F00"/>
    <w:rsid w:val="000D6C9F"/>
    <w:rsid w:val="000D6E3B"/>
    <w:rsid w:val="000D6F30"/>
    <w:rsid w:val="000D7265"/>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A9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BF2"/>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B81"/>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24F"/>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AC5"/>
    <w:rsid w:val="00461F80"/>
    <w:rsid w:val="0046240D"/>
    <w:rsid w:val="0046241B"/>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97E9E"/>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0E5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F5E"/>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31A"/>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8F8"/>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6F"/>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B97"/>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9AB"/>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ADE"/>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AF2"/>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8BC"/>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73F"/>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3D96"/>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0B0"/>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28BB"/>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394"/>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79"/>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A61"/>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28B"/>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02D"/>
    <w:rsid w:val="00AD5F0A"/>
    <w:rsid w:val="00AD6A5B"/>
    <w:rsid w:val="00AD6B4F"/>
    <w:rsid w:val="00AD6D19"/>
    <w:rsid w:val="00AD7812"/>
    <w:rsid w:val="00AD7C42"/>
    <w:rsid w:val="00AD7CFA"/>
    <w:rsid w:val="00AE06B0"/>
    <w:rsid w:val="00AE0BD6"/>
    <w:rsid w:val="00AE11C1"/>
    <w:rsid w:val="00AE163D"/>
    <w:rsid w:val="00AE1A42"/>
    <w:rsid w:val="00AE1C5C"/>
    <w:rsid w:val="00AE29B6"/>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824"/>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41D"/>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9E6"/>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B3A"/>
    <w:rsid w:val="00BE0C55"/>
    <w:rsid w:val="00BE0F03"/>
    <w:rsid w:val="00BE11A2"/>
    <w:rsid w:val="00BE1EF0"/>
    <w:rsid w:val="00BE246C"/>
    <w:rsid w:val="00BE2657"/>
    <w:rsid w:val="00BE2FD2"/>
    <w:rsid w:val="00BE334E"/>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3CC"/>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056"/>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4BE1"/>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5D7"/>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1F70"/>
    <w:rsid w:val="00D629A4"/>
    <w:rsid w:val="00D62BDF"/>
    <w:rsid w:val="00D62EEE"/>
    <w:rsid w:val="00D64F1C"/>
    <w:rsid w:val="00D6570C"/>
    <w:rsid w:val="00D659EA"/>
    <w:rsid w:val="00D65A89"/>
    <w:rsid w:val="00D65E85"/>
    <w:rsid w:val="00D6611C"/>
    <w:rsid w:val="00D671C7"/>
    <w:rsid w:val="00D6751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2834"/>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77B6C"/>
    <w:rsid w:val="00E801C7"/>
    <w:rsid w:val="00E8058D"/>
    <w:rsid w:val="00E80AF8"/>
    <w:rsid w:val="00E80BED"/>
    <w:rsid w:val="00E816E8"/>
    <w:rsid w:val="00E82592"/>
    <w:rsid w:val="00E825ED"/>
    <w:rsid w:val="00E827BB"/>
    <w:rsid w:val="00E82987"/>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92C"/>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9F8"/>
    <w:rsid w:val="00F31CF5"/>
    <w:rsid w:val="00F3265C"/>
    <w:rsid w:val="00F32C4A"/>
    <w:rsid w:val="00F33262"/>
    <w:rsid w:val="00F343EE"/>
    <w:rsid w:val="00F353F4"/>
    <w:rsid w:val="00F35494"/>
    <w:rsid w:val="00F35607"/>
    <w:rsid w:val="00F359AB"/>
    <w:rsid w:val="00F35DBA"/>
    <w:rsid w:val="00F3619D"/>
    <w:rsid w:val="00F36A95"/>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D7E45"/>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3C6"/>
    <w:rsid w:val="00FF2A7B"/>
    <w:rsid w:val="00FF3D2B"/>
    <w:rsid w:val="00FF49B4"/>
    <w:rsid w:val="00FF49F4"/>
    <w:rsid w:val="00FF5C6A"/>
    <w:rsid w:val="00FF651D"/>
    <w:rsid w:val="00FF6843"/>
    <w:rsid w:val="00FF6C25"/>
    <w:rsid w:val="010651D9"/>
    <w:rsid w:val="0117101D"/>
    <w:rsid w:val="011F6449"/>
    <w:rsid w:val="01236AFB"/>
    <w:rsid w:val="016F5DC2"/>
    <w:rsid w:val="019F7441"/>
    <w:rsid w:val="01B37585"/>
    <w:rsid w:val="01D17056"/>
    <w:rsid w:val="01D52B5B"/>
    <w:rsid w:val="01D55165"/>
    <w:rsid w:val="01DF6BF8"/>
    <w:rsid w:val="01EC2C57"/>
    <w:rsid w:val="020C06BF"/>
    <w:rsid w:val="025F0711"/>
    <w:rsid w:val="026B2E25"/>
    <w:rsid w:val="026B568D"/>
    <w:rsid w:val="02824D4D"/>
    <w:rsid w:val="02DC4B10"/>
    <w:rsid w:val="02DD76CE"/>
    <w:rsid w:val="02E869D3"/>
    <w:rsid w:val="02F36323"/>
    <w:rsid w:val="02F5619C"/>
    <w:rsid w:val="030E7E36"/>
    <w:rsid w:val="0326446A"/>
    <w:rsid w:val="032D5555"/>
    <w:rsid w:val="035B7B9E"/>
    <w:rsid w:val="036634D2"/>
    <w:rsid w:val="03DD35E4"/>
    <w:rsid w:val="03F35E20"/>
    <w:rsid w:val="04076900"/>
    <w:rsid w:val="041A5A3B"/>
    <w:rsid w:val="0420019C"/>
    <w:rsid w:val="042311BA"/>
    <w:rsid w:val="0427482E"/>
    <w:rsid w:val="042B157A"/>
    <w:rsid w:val="04301556"/>
    <w:rsid w:val="048F763B"/>
    <w:rsid w:val="049F330E"/>
    <w:rsid w:val="04AA775C"/>
    <w:rsid w:val="04AF1889"/>
    <w:rsid w:val="04F006C0"/>
    <w:rsid w:val="04F66F48"/>
    <w:rsid w:val="050A131E"/>
    <w:rsid w:val="051E28A6"/>
    <w:rsid w:val="05251E14"/>
    <w:rsid w:val="05507636"/>
    <w:rsid w:val="05770BD6"/>
    <w:rsid w:val="05A16594"/>
    <w:rsid w:val="05A7762D"/>
    <w:rsid w:val="05C04DC2"/>
    <w:rsid w:val="05CC540C"/>
    <w:rsid w:val="060E5941"/>
    <w:rsid w:val="06110FAF"/>
    <w:rsid w:val="06493CA7"/>
    <w:rsid w:val="065A6178"/>
    <w:rsid w:val="065C072B"/>
    <w:rsid w:val="065F76C6"/>
    <w:rsid w:val="066F1CF3"/>
    <w:rsid w:val="06930BB8"/>
    <w:rsid w:val="06B32904"/>
    <w:rsid w:val="07245D42"/>
    <w:rsid w:val="07264C62"/>
    <w:rsid w:val="0779354C"/>
    <w:rsid w:val="07794418"/>
    <w:rsid w:val="08061376"/>
    <w:rsid w:val="080C2E93"/>
    <w:rsid w:val="080C6D67"/>
    <w:rsid w:val="08452D77"/>
    <w:rsid w:val="086401F8"/>
    <w:rsid w:val="086A1C95"/>
    <w:rsid w:val="086D2E1C"/>
    <w:rsid w:val="08751CAA"/>
    <w:rsid w:val="087E4C40"/>
    <w:rsid w:val="08A871D0"/>
    <w:rsid w:val="08CD6657"/>
    <w:rsid w:val="08D66AD6"/>
    <w:rsid w:val="08DA33A3"/>
    <w:rsid w:val="08E80F13"/>
    <w:rsid w:val="091F4140"/>
    <w:rsid w:val="09335624"/>
    <w:rsid w:val="0944690F"/>
    <w:rsid w:val="0948345D"/>
    <w:rsid w:val="09535675"/>
    <w:rsid w:val="095A5849"/>
    <w:rsid w:val="095F057D"/>
    <w:rsid w:val="09642282"/>
    <w:rsid w:val="09733572"/>
    <w:rsid w:val="09772C16"/>
    <w:rsid w:val="098353B5"/>
    <w:rsid w:val="09A92330"/>
    <w:rsid w:val="09B06B87"/>
    <w:rsid w:val="09C13146"/>
    <w:rsid w:val="09E04166"/>
    <w:rsid w:val="09F50AFA"/>
    <w:rsid w:val="0A141923"/>
    <w:rsid w:val="0A1C0718"/>
    <w:rsid w:val="0A3E7710"/>
    <w:rsid w:val="0A5B7E63"/>
    <w:rsid w:val="0A5E21BE"/>
    <w:rsid w:val="0A740EC6"/>
    <w:rsid w:val="0A9E7CF1"/>
    <w:rsid w:val="0AA374A5"/>
    <w:rsid w:val="0AAB7649"/>
    <w:rsid w:val="0ABC5606"/>
    <w:rsid w:val="0AE75B3C"/>
    <w:rsid w:val="0B30404E"/>
    <w:rsid w:val="0B316DB7"/>
    <w:rsid w:val="0B4C6C14"/>
    <w:rsid w:val="0B5722B0"/>
    <w:rsid w:val="0B631A88"/>
    <w:rsid w:val="0B683D45"/>
    <w:rsid w:val="0B705C82"/>
    <w:rsid w:val="0B7F3F11"/>
    <w:rsid w:val="0B884417"/>
    <w:rsid w:val="0BBD7CB7"/>
    <w:rsid w:val="0BC814CA"/>
    <w:rsid w:val="0BF416C5"/>
    <w:rsid w:val="0BF6188C"/>
    <w:rsid w:val="0BF73C91"/>
    <w:rsid w:val="0C170175"/>
    <w:rsid w:val="0C571A41"/>
    <w:rsid w:val="0C5C1171"/>
    <w:rsid w:val="0C5E1CBC"/>
    <w:rsid w:val="0C615B50"/>
    <w:rsid w:val="0C8445DA"/>
    <w:rsid w:val="0C87121B"/>
    <w:rsid w:val="0C8E2713"/>
    <w:rsid w:val="0CA8781E"/>
    <w:rsid w:val="0CC007F7"/>
    <w:rsid w:val="0CC617AC"/>
    <w:rsid w:val="0CFE707A"/>
    <w:rsid w:val="0D063BDA"/>
    <w:rsid w:val="0D08375F"/>
    <w:rsid w:val="0D184CFB"/>
    <w:rsid w:val="0D4A7419"/>
    <w:rsid w:val="0D827401"/>
    <w:rsid w:val="0D84094E"/>
    <w:rsid w:val="0D8A00E9"/>
    <w:rsid w:val="0D8D589E"/>
    <w:rsid w:val="0DA01C73"/>
    <w:rsid w:val="0DD63300"/>
    <w:rsid w:val="0DE545B5"/>
    <w:rsid w:val="0DF50604"/>
    <w:rsid w:val="0DF702FE"/>
    <w:rsid w:val="0E060E51"/>
    <w:rsid w:val="0E5604B2"/>
    <w:rsid w:val="0E5A03D3"/>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0FD2007B"/>
    <w:rsid w:val="0FF52DA9"/>
    <w:rsid w:val="0FF70D71"/>
    <w:rsid w:val="10646583"/>
    <w:rsid w:val="107D4B15"/>
    <w:rsid w:val="108A3C80"/>
    <w:rsid w:val="10C26171"/>
    <w:rsid w:val="10EC5C5A"/>
    <w:rsid w:val="10F33360"/>
    <w:rsid w:val="10FC16EA"/>
    <w:rsid w:val="110F1D40"/>
    <w:rsid w:val="111B02EE"/>
    <w:rsid w:val="11265694"/>
    <w:rsid w:val="11266F33"/>
    <w:rsid w:val="118963A1"/>
    <w:rsid w:val="11C6522A"/>
    <w:rsid w:val="11E104CC"/>
    <w:rsid w:val="11E20309"/>
    <w:rsid w:val="11F82CC6"/>
    <w:rsid w:val="120070FD"/>
    <w:rsid w:val="12132537"/>
    <w:rsid w:val="12255233"/>
    <w:rsid w:val="12530213"/>
    <w:rsid w:val="12764C67"/>
    <w:rsid w:val="127723A9"/>
    <w:rsid w:val="12862074"/>
    <w:rsid w:val="12883966"/>
    <w:rsid w:val="129E45B4"/>
    <w:rsid w:val="12D21374"/>
    <w:rsid w:val="12D81596"/>
    <w:rsid w:val="13072A44"/>
    <w:rsid w:val="131A1B7F"/>
    <w:rsid w:val="135F4BE2"/>
    <w:rsid w:val="139B1A0A"/>
    <w:rsid w:val="139D25C7"/>
    <w:rsid w:val="13AB2EB0"/>
    <w:rsid w:val="13BF3CE4"/>
    <w:rsid w:val="141008D8"/>
    <w:rsid w:val="14125FE6"/>
    <w:rsid w:val="143250FF"/>
    <w:rsid w:val="14500381"/>
    <w:rsid w:val="146D271E"/>
    <w:rsid w:val="147C10A3"/>
    <w:rsid w:val="147D7C24"/>
    <w:rsid w:val="14982588"/>
    <w:rsid w:val="149A5AD9"/>
    <w:rsid w:val="149C1746"/>
    <w:rsid w:val="14A7619D"/>
    <w:rsid w:val="150536C3"/>
    <w:rsid w:val="150C1963"/>
    <w:rsid w:val="151447A0"/>
    <w:rsid w:val="154A6454"/>
    <w:rsid w:val="156E4CF4"/>
    <w:rsid w:val="15762120"/>
    <w:rsid w:val="15FA336F"/>
    <w:rsid w:val="163D252D"/>
    <w:rsid w:val="16A8729C"/>
    <w:rsid w:val="16B33777"/>
    <w:rsid w:val="16BC70A7"/>
    <w:rsid w:val="16C6339E"/>
    <w:rsid w:val="16E92A8A"/>
    <w:rsid w:val="16FE2244"/>
    <w:rsid w:val="170C72D9"/>
    <w:rsid w:val="172F2D79"/>
    <w:rsid w:val="17557BEF"/>
    <w:rsid w:val="175E2CE2"/>
    <w:rsid w:val="177B0D14"/>
    <w:rsid w:val="17D349C1"/>
    <w:rsid w:val="17F768B0"/>
    <w:rsid w:val="17F82059"/>
    <w:rsid w:val="18051945"/>
    <w:rsid w:val="1830729E"/>
    <w:rsid w:val="1870062C"/>
    <w:rsid w:val="18817102"/>
    <w:rsid w:val="18830A15"/>
    <w:rsid w:val="18852B28"/>
    <w:rsid w:val="188B5321"/>
    <w:rsid w:val="188B7B07"/>
    <w:rsid w:val="19131D2F"/>
    <w:rsid w:val="191D5EC2"/>
    <w:rsid w:val="19243A79"/>
    <w:rsid w:val="193E3E78"/>
    <w:rsid w:val="19932372"/>
    <w:rsid w:val="19A20DD5"/>
    <w:rsid w:val="19AE03F1"/>
    <w:rsid w:val="1A071A03"/>
    <w:rsid w:val="1A1F16AE"/>
    <w:rsid w:val="1A206975"/>
    <w:rsid w:val="1A23520E"/>
    <w:rsid w:val="1A3B5C77"/>
    <w:rsid w:val="1A3E4B2D"/>
    <w:rsid w:val="1A4427EF"/>
    <w:rsid w:val="1A984BAD"/>
    <w:rsid w:val="1AB755E0"/>
    <w:rsid w:val="1AB8220E"/>
    <w:rsid w:val="1AC86859"/>
    <w:rsid w:val="1ADC289C"/>
    <w:rsid w:val="1AE4166C"/>
    <w:rsid w:val="1AF06CFB"/>
    <w:rsid w:val="1AF11B8D"/>
    <w:rsid w:val="1AFC5C92"/>
    <w:rsid w:val="1B11359C"/>
    <w:rsid w:val="1B13595F"/>
    <w:rsid w:val="1B2A271F"/>
    <w:rsid w:val="1B530544"/>
    <w:rsid w:val="1B713184"/>
    <w:rsid w:val="1BA209CF"/>
    <w:rsid w:val="1BA73072"/>
    <w:rsid w:val="1BB4777D"/>
    <w:rsid w:val="1BD75AB8"/>
    <w:rsid w:val="1BE22A26"/>
    <w:rsid w:val="1C0459C2"/>
    <w:rsid w:val="1C1B3B4A"/>
    <w:rsid w:val="1C427A2B"/>
    <w:rsid w:val="1C763C18"/>
    <w:rsid w:val="1C7C0884"/>
    <w:rsid w:val="1C88086E"/>
    <w:rsid w:val="1C89778E"/>
    <w:rsid w:val="1D266CE1"/>
    <w:rsid w:val="1D3963AF"/>
    <w:rsid w:val="1D6A673C"/>
    <w:rsid w:val="1D8E4E1A"/>
    <w:rsid w:val="1D9247AE"/>
    <w:rsid w:val="1DB567EC"/>
    <w:rsid w:val="1DF51A98"/>
    <w:rsid w:val="1E126780"/>
    <w:rsid w:val="1E2B384A"/>
    <w:rsid w:val="1E3D060F"/>
    <w:rsid w:val="1E3F7D2E"/>
    <w:rsid w:val="1E4134E4"/>
    <w:rsid w:val="1E5062B3"/>
    <w:rsid w:val="1E523514"/>
    <w:rsid w:val="1E714A66"/>
    <w:rsid w:val="1E802593"/>
    <w:rsid w:val="1E8B6156"/>
    <w:rsid w:val="1EA57449"/>
    <w:rsid w:val="1EA703CC"/>
    <w:rsid w:val="1EB7330C"/>
    <w:rsid w:val="1F0A0FF3"/>
    <w:rsid w:val="1F0B1D9E"/>
    <w:rsid w:val="1F1840BF"/>
    <w:rsid w:val="1F32168E"/>
    <w:rsid w:val="1F500851"/>
    <w:rsid w:val="1F564641"/>
    <w:rsid w:val="1F5771FF"/>
    <w:rsid w:val="1FE868A9"/>
    <w:rsid w:val="20034907"/>
    <w:rsid w:val="20173E4B"/>
    <w:rsid w:val="204E48BC"/>
    <w:rsid w:val="20847A65"/>
    <w:rsid w:val="208921B3"/>
    <w:rsid w:val="208F4D97"/>
    <w:rsid w:val="209054C2"/>
    <w:rsid w:val="20973DEB"/>
    <w:rsid w:val="20B26522"/>
    <w:rsid w:val="20B44310"/>
    <w:rsid w:val="20F74FCB"/>
    <w:rsid w:val="211116EB"/>
    <w:rsid w:val="214A2C28"/>
    <w:rsid w:val="215A77B7"/>
    <w:rsid w:val="216133FC"/>
    <w:rsid w:val="218A728E"/>
    <w:rsid w:val="218B2A03"/>
    <w:rsid w:val="21D00C81"/>
    <w:rsid w:val="21D56769"/>
    <w:rsid w:val="21E52EF3"/>
    <w:rsid w:val="21FB5D7B"/>
    <w:rsid w:val="220B1C3D"/>
    <w:rsid w:val="220D77DF"/>
    <w:rsid w:val="22146DBF"/>
    <w:rsid w:val="221D1D20"/>
    <w:rsid w:val="22210D31"/>
    <w:rsid w:val="22334A87"/>
    <w:rsid w:val="225100F7"/>
    <w:rsid w:val="2259060C"/>
    <w:rsid w:val="22BE6801"/>
    <w:rsid w:val="22F92970"/>
    <w:rsid w:val="23224A7F"/>
    <w:rsid w:val="233500BF"/>
    <w:rsid w:val="23377FF7"/>
    <w:rsid w:val="234815AF"/>
    <w:rsid w:val="234E00AF"/>
    <w:rsid w:val="236B425F"/>
    <w:rsid w:val="23836192"/>
    <w:rsid w:val="23901F29"/>
    <w:rsid w:val="239C0061"/>
    <w:rsid w:val="23B908A4"/>
    <w:rsid w:val="23E95BEF"/>
    <w:rsid w:val="23FD0064"/>
    <w:rsid w:val="240F2E63"/>
    <w:rsid w:val="243E2F2E"/>
    <w:rsid w:val="24533EE7"/>
    <w:rsid w:val="245375B0"/>
    <w:rsid w:val="24642C0A"/>
    <w:rsid w:val="247C6F0A"/>
    <w:rsid w:val="249307DC"/>
    <w:rsid w:val="24B22173"/>
    <w:rsid w:val="24B95AD9"/>
    <w:rsid w:val="24BE24DA"/>
    <w:rsid w:val="24CF5825"/>
    <w:rsid w:val="24D663E6"/>
    <w:rsid w:val="24D77F2B"/>
    <w:rsid w:val="2542313F"/>
    <w:rsid w:val="2548338D"/>
    <w:rsid w:val="258B00E2"/>
    <w:rsid w:val="25983BC2"/>
    <w:rsid w:val="25A917A6"/>
    <w:rsid w:val="25BD1F10"/>
    <w:rsid w:val="25BE27CC"/>
    <w:rsid w:val="25C901DB"/>
    <w:rsid w:val="25F74A5C"/>
    <w:rsid w:val="2628662C"/>
    <w:rsid w:val="262D45DE"/>
    <w:rsid w:val="26871DC8"/>
    <w:rsid w:val="268A4119"/>
    <w:rsid w:val="26A53EF9"/>
    <w:rsid w:val="26A94201"/>
    <w:rsid w:val="26AC274F"/>
    <w:rsid w:val="26E90667"/>
    <w:rsid w:val="26FE668E"/>
    <w:rsid w:val="27044A29"/>
    <w:rsid w:val="270C62B7"/>
    <w:rsid w:val="271D34C8"/>
    <w:rsid w:val="27490DAE"/>
    <w:rsid w:val="276142BF"/>
    <w:rsid w:val="27783712"/>
    <w:rsid w:val="27907362"/>
    <w:rsid w:val="27D668C5"/>
    <w:rsid w:val="27DA4607"/>
    <w:rsid w:val="27F12F59"/>
    <w:rsid w:val="28333E1D"/>
    <w:rsid w:val="283E67C8"/>
    <w:rsid w:val="28454BD6"/>
    <w:rsid w:val="28455253"/>
    <w:rsid w:val="28551971"/>
    <w:rsid w:val="28561416"/>
    <w:rsid w:val="285B1C53"/>
    <w:rsid w:val="289F7086"/>
    <w:rsid w:val="28C32028"/>
    <w:rsid w:val="28CC490F"/>
    <w:rsid w:val="28D23B87"/>
    <w:rsid w:val="28DE40AA"/>
    <w:rsid w:val="28F71394"/>
    <w:rsid w:val="28FB6C57"/>
    <w:rsid w:val="29345E48"/>
    <w:rsid w:val="29345E77"/>
    <w:rsid w:val="294C65AD"/>
    <w:rsid w:val="29806583"/>
    <w:rsid w:val="298B3C4C"/>
    <w:rsid w:val="29DF25B4"/>
    <w:rsid w:val="29E65F16"/>
    <w:rsid w:val="29F26D24"/>
    <w:rsid w:val="29F835F9"/>
    <w:rsid w:val="2A15033F"/>
    <w:rsid w:val="2A1662C1"/>
    <w:rsid w:val="2A1C7367"/>
    <w:rsid w:val="2A2815FA"/>
    <w:rsid w:val="2A6D6092"/>
    <w:rsid w:val="2A7D76B4"/>
    <w:rsid w:val="2A91574F"/>
    <w:rsid w:val="2AB65CC3"/>
    <w:rsid w:val="2AC27643"/>
    <w:rsid w:val="2B011CF0"/>
    <w:rsid w:val="2B437463"/>
    <w:rsid w:val="2B7807EE"/>
    <w:rsid w:val="2BA50BF7"/>
    <w:rsid w:val="2BBF00EC"/>
    <w:rsid w:val="2BC37CFD"/>
    <w:rsid w:val="2BD5237F"/>
    <w:rsid w:val="2BE536CE"/>
    <w:rsid w:val="2BE758D9"/>
    <w:rsid w:val="2C09049E"/>
    <w:rsid w:val="2C0A653C"/>
    <w:rsid w:val="2C191F85"/>
    <w:rsid w:val="2C2E604C"/>
    <w:rsid w:val="2CE82D6F"/>
    <w:rsid w:val="2D1039EB"/>
    <w:rsid w:val="2D343236"/>
    <w:rsid w:val="2D9A3A7B"/>
    <w:rsid w:val="2DD15014"/>
    <w:rsid w:val="2DF72DE4"/>
    <w:rsid w:val="2E0220AF"/>
    <w:rsid w:val="2E20491A"/>
    <w:rsid w:val="2E474FBD"/>
    <w:rsid w:val="2E4B082A"/>
    <w:rsid w:val="2E5D4E86"/>
    <w:rsid w:val="2E5D790B"/>
    <w:rsid w:val="2E642E71"/>
    <w:rsid w:val="2E661D51"/>
    <w:rsid w:val="2E9A3C18"/>
    <w:rsid w:val="2EBB0FEE"/>
    <w:rsid w:val="2EC63002"/>
    <w:rsid w:val="2EE72D23"/>
    <w:rsid w:val="2F0A6B38"/>
    <w:rsid w:val="2F2B6BEA"/>
    <w:rsid w:val="2F527179"/>
    <w:rsid w:val="2F946CCB"/>
    <w:rsid w:val="2FD25781"/>
    <w:rsid w:val="2FE659FE"/>
    <w:rsid w:val="2FF5215D"/>
    <w:rsid w:val="2FFD7934"/>
    <w:rsid w:val="30151217"/>
    <w:rsid w:val="301D4299"/>
    <w:rsid w:val="30240352"/>
    <w:rsid w:val="30733ACD"/>
    <w:rsid w:val="308710A4"/>
    <w:rsid w:val="308C3862"/>
    <w:rsid w:val="309379D8"/>
    <w:rsid w:val="30A270F7"/>
    <w:rsid w:val="30DF1478"/>
    <w:rsid w:val="30EC586F"/>
    <w:rsid w:val="30F009F7"/>
    <w:rsid w:val="319C6071"/>
    <w:rsid w:val="31AC537E"/>
    <w:rsid w:val="31B3534A"/>
    <w:rsid w:val="31E3679B"/>
    <w:rsid w:val="31E732FD"/>
    <w:rsid w:val="32517576"/>
    <w:rsid w:val="32A64673"/>
    <w:rsid w:val="32BE5C2C"/>
    <w:rsid w:val="32FB6478"/>
    <w:rsid w:val="33151B3B"/>
    <w:rsid w:val="33263B3F"/>
    <w:rsid w:val="336963EB"/>
    <w:rsid w:val="337B3785"/>
    <w:rsid w:val="33816EEB"/>
    <w:rsid w:val="33EB55CD"/>
    <w:rsid w:val="33EC4C02"/>
    <w:rsid w:val="33FE7475"/>
    <w:rsid w:val="340D2360"/>
    <w:rsid w:val="3410665D"/>
    <w:rsid w:val="34211214"/>
    <w:rsid w:val="342E63AB"/>
    <w:rsid w:val="343018AE"/>
    <w:rsid w:val="343F2C99"/>
    <w:rsid w:val="34755D4D"/>
    <w:rsid w:val="34950E68"/>
    <w:rsid w:val="34986E94"/>
    <w:rsid w:val="34AF62C9"/>
    <w:rsid w:val="34CB4388"/>
    <w:rsid w:val="34FA6E12"/>
    <w:rsid w:val="354D7158"/>
    <w:rsid w:val="358D5588"/>
    <w:rsid w:val="363A3B40"/>
    <w:rsid w:val="36405048"/>
    <w:rsid w:val="365302AE"/>
    <w:rsid w:val="36607A0A"/>
    <w:rsid w:val="366E227C"/>
    <w:rsid w:val="366F2E0D"/>
    <w:rsid w:val="367B6A5C"/>
    <w:rsid w:val="368E1442"/>
    <w:rsid w:val="36A74ADA"/>
    <w:rsid w:val="36AD60D5"/>
    <w:rsid w:val="36B224F9"/>
    <w:rsid w:val="36EC0CC9"/>
    <w:rsid w:val="370A2B55"/>
    <w:rsid w:val="37211394"/>
    <w:rsid w:val="373F410B"/>
    <w:rsid w:val="37AE7266"/>
    <w:rsid w:val="37B3452D"/>
    <w:rsid w:val="37EE7094"/>
    <w:rsid w:val="37F30AD3"/>
    <w:rsid w:val="38296C89"/>
    <w:rsid w:val="383002EB"/>
    <w:rsid w:val="38586797"/>
    <w:rsid w:val="38BC0149"/>
    <w:rsid w:val="38C1305A"/>
    <w:rsid w:val="38D07B2F"/>
    <w:rsid w:val="38D87D1C"/>
    <w:rsid w:val="390E0B30"/>
    <w:rsid w:val="39636459"/>
    <w:rsid w:val="396B7F6C"/>
    <w:rsid w:val="3982395F"/>
    <w:rsid w:val="39B417A9"/>
    <w:rsid w:val="39FC5695"/>
    <w:rsid w:val="3A006D8E"/>
    <w:rsid w:val="3A217E4F"/>
    <w:rsid w:val="3A3651E5"/>
    <w:rsid w:val="3A744481"/>
    <w:rsid w:val="3A7A7DC8"/>
    <w:rsid w:val="3A8C7BEF"/>
    <w:rsid w:val="3A906246"/>
    <w:rsid w:val="3A9F3923"/>
    <w:rsid w:val="3AC21656"/>
    <w:rsid w:val="3B2349B7"/>
    <w:rsid w:val="3B616CFF"/>
    <w:rsid w:val="3B6259F6"/>
    <w:rsid w:val="3B7751AF"/>
    <w:rsid w:val="3B787957"/>
    <w:rsid w:val="3B9558B0"/>
    <w:rsid w:val="3B976654"/>
    <w:rsid w:val="3B9A285A"/>
    <w:rsid w:val="3BC01EFC"/>
    <w:rsid w:val="3BC400A3"/>
    <w:rsid w:val="3BCA786A"/>
    <w:rsid w:val="3BD31E2F"/>
    <w:rsid w:val="3BF15831"/>
    <w:rsid w:val="3C05486D"/>
    <w:rsid w:val="3C105946"/>
    <w:rsid w:val="3C231F07"/>
    <w:rsid w:val="3C277297"/>
    <w:rsid w:val="3C471448"/>
    <w:rsid w:val="3C5F759A"/>
    <w:rsid w:val="3C6C525A"/>
    <w:rsid w:val="3CAD59EE"/>
    <w:rsid w:val="3CC50B22"/>
    <w:rsid w:val="3CCE23CB"/>
    <w:rsid w:val="3CD17D17"/>
    <w:rsid w:val="3CE77152"/>
    <w:rsid w:val="3D1C7FD2"/>
    <w:rsid w:val="3D3C7F39"/>
    <w:rsid w:val="3D440F09"/>
    <w:rsid w:val="3D4504A0"/>
    <w:rsid w:val="3D8734BB"/>
    <w:rsid w:val="3D9A11D4"/>
    <w:rsid w:val="3DA16D89"/>
    <w:rsid w:val="3DA364BE"/>
    <w:rsid w:val="3DA52B6A"/>
    <w:rsid w:val="3DE041CB"/>
    <w:rsid w:val="3E0D48F6"/>
    <w:rsid w:val="3E15474E"/>
    <w:rsid w:val="3E1675CE"/>
    <w:rsid w:val="3E1868B4"/>
    <w:rsid w:val="3E377251"/>
    <w:rsid w:val="3E42664B"/>
    <w:rsid w:val="3E5A7334"/>
    <w:rsid w:val="3E7B5D6B"/>
    <w:rsid w:val="3E843E66"/>
    <w:rsid w:val="3E8F51FE"/>
    <w:rsid w:val="3E926F87"/>
    <w:rsid w:val="3E9A59DE"/>
    <w:rsid w:val="3EAF4836"/>
    <w:rsid w:val="3EC33DFA"/>
    <w:rsid w:val="3F060E16"/>
    <w:rsid w:val="3F1D1096"/>
    <w:rsid w:val="3F2F0234"/>
    <w:rsid w:val="3F5B3E28"/>
    <w:rsid w:val="3F6363FE"/>
    <w:rsid w:val="3F756B8F"/>
    <w:rsid w:val="3F95482B"/>
    <w:rsid w:val="3FAA4B03"/>
    <w:rsid w:val="4019356B"/>
    <w:rsid w:val="403A613B"/>
    <w:rsid w:val="404C17AC"/>
    <w:rsid w:val="40592157"/>
    <w:rsid w:val="406E1CAE"/>
    <w:rsid w:val="40A0133A"/>
    <w:rsid w:val="40C31A53"/>
    <w:rsid w:val="40E8167E"/>
    <w:rsid w:val="40FF545D"/>
    <w:rsid w:val="410067C8"/>
    <w:rsid w:val="41232415"/>
    <w:rsid w:val="418F0D2A"/>
    <w:rsid w:val="41D01505"/>
    <w:rsid w:val="42474939"/>
    <w:rsid w:val="424C3C57"/>
    <w:rsid w:val="42613FF3"/>
    <w:rsid w:val="42660D96"/>
    <w:rsid w:val="426E3E72"/>
    <w:rsid w:val="428667D2"/>
    <w:rsid w:val="429E74C3"/>
    <w:rsid w:val="42C41E3C"/>
    <w:rsid w:val="42CD1CE0"/>
    <w:rsid w:val="42E1381E"/>
    <w:rsid w:val="42ED6459"/>
    <w:rsid w:val="42FE58DD"/>
    <w:rsid w:val="43174B3D"/>
    <w:rsid w:val="431D5803"/>
    <w:rsid w:val="43236AB8"/>
    <w:rsid w:val="43316A22"/>
    <w:rsid w:val="43370708"/>
    <w:rsid w:val="434B790E"/>
    <w:rsid w:val="4360274F"/>
    <w:rsid w:val="43714F4C"/>
    <w:rsid w:val="43977AB6"/>
    <w:rsid w:val="43A3342B"/>
    <w:rsid w:val="43C77C27"/>
    <w:rsid w:val="43D6700E"/>
    <w:rsid w:val="43D917BF"/>
    <w:rsid w:val="43DD40A0"/>
    <w:rsid w:val="43DE09EE"/>
    <w:rsid w:val="44002FAD"/>
    <w:rsid w:val="440E06CE"/>
    <w:rsid w:val="44191BBB"/>
    <w:rsid w:val="4430589B"/>
    <w:rsid w:val="449101DD"/>
    <w:rsid w:val="449D00C3"/>
    <w:rsid w:val="44DE1391"/>
    <w:rsid w:val="44E427CB"/>
    <w:rsid w:val="45023CFE"/>
    <w:rsid w:val="450C4287"/>
    <w:rsid w:val="451B225C"/>
    <w:rsid w:val="452410C9"/>
    <w:rsid w:val="45317DFB"/>
    <w:rsid w:val="453D0392"/>
    <w:rsid w:val="453E4E1E"/>
    <w:rsid w:val="453F2E66"/>
    <w:rsid w:val="453F5652"/>
    <w:rsid w:val="454037E5"/>
    <w:rsid w:val="45485622"/>
    <w:rsid w:val="456D3CE4"/>
    <w:rsid w:val="4579042C"/>
    <w:rsid w:val="457F0571"/>
    <w:rsid w:val="45851176"/>
    <w:rsid w:val="458F3E4A"/>
    <w:rsid w:val="45C111B8"/>
    <w:rsid w:val="45C63B94"/>
    <w:rsid w:val="45E81547"/>
    <w:rsid w:val="460E7DA5"/>
    <w:rsid w:val="46422483"/>
    <w:rsid w:val="46532948"/>
    <w:rsid w:val="4659254A"/>
    <w:rsid w:val="465B0637"/>
    <w:rsid w:val="465E3F0D"/>
    <w:rsid w:val="466A16E6"/>
    <w:rsid w:val="46893F2B"/>
    <w:rsid w:val="46C4686E"/>
    <w:rsid w:val="470F41EF"/>
    <w:rsid w:val="475E7FB4"/>
    <w:rsid w:val="477B778F"/>
    <w:rsid w:val="478203EC"/>
    <w:rsid w:val="4788691D"/>
    <w:rsid w:val="47B025FA"/>
    <w:rsid w:val="47BA242F"/>
    <w:rsid w:val="47C541AB"/>
    <w:rsid w:val="47F53495"/>
    <w:rsid w:val="4809698F"/>
    <w:rsid w:val="4811697D"/>
    <w:rsid w:val="487A3E25"/>
    <w:rsid w:val="488B5503"/>
    <w:rsid w:val="48937E21"/>
    <w:rsid w:val="489A0361"/>
    <w:rsid w:val="48A50E88"/>
    <w:rsid w:val="48B94FF3"/>
    <w:rsid w:val="48E37AAB"/>
    <w:rsid w:val="48FA2173"/>
    <w:rsid w:val="48FD4B4C"/>
    <w:rsid w:val="490A68E0"/>
    <w:rsid w:val="491055FE"/>
    <w:rsid w:val="491B1F01"/>
    <w:rsid w:val="491B63E9"/>
    <w:rsid w:val="49331390"/>
    <w:rsid w:val="495F5B3E"/>
    <w:rsid w:val="496F77D7"/>
    <w:rsid w:val="497654FD"/>
    <w:rsid w:val="49B64211"/>
    <w:rsid w:val="49C33CAB"/>
    <w:rsid w:val="49EE755D"/>
    <w:rsid w:val="49F13738"/>
    <w:rsid w:val="49F6167F"/>
    <w:rsid w:val="49F6669A"/>
    <w:rsid w:val="4A064FA0"/>
    <w:rsid w:val="4A16615C"/>
    <w:rsid w:val="4A4424D7"/>
    <w:rsid w:val="4A712640"/>
    <w:rsid w:val="4A7620A9"/>
    <w:rsid w:val="4A7E52E5"/>
    <w:rsid w:val="4AB82D0F"/>
    <w:rsid w:val="4AEB7664"/>
    <w:rsid w:val="4AFD7C19"/>
    <w:rsid w:val="4B0567D1"/>
    <w:rsid w:val="4B236AAE"/>
    <w:rsid w:val="4B561BCB"/>
    <w:rsid w:val="4B707271"/>
    <w:rsid w:val="4B9739F7"/>
    <w:rsid w:val="4BDC7252"/>
    <w:rsid w:val="4BEE2503"/>
    <w:rsid w:val="4C245A30"/>
    <w:rsid w:val="4C2A4976"/>
    <w:rsid w:val="4C44192C"/>
    <w:rsid w:val="4C676029"/>
    <w:rsid w:val="4CB6685F"/>
    <w:rsid w:val="4CB72A04"/>
    <w:rsid w:val="4CC367FE"/>
    <w:rsid w:val="4CCD4F15"/>
    <w:rsid w:val="4D077F3C"/>
    <w:rsid w:val="4D123355"/>
    <w:rsid w:val="4D2A3B31"/>
    <w:rsid w:val="4D312C52"/>
    <w:rsid w:val="4D4742B5"/>
    <w:rsid w:val="4D905305"/>
    <w:rsid w:val="4D964A72"/>
    <w:rsid w:val="4D9C1254"/>
    <w:rsid w:val="4DD54E37"/>
    <w:rsid w:val="4DE05B0B"/>
    <w:rsid w:val="4E097A9E"/>
    <w:rsid w:val="4E0A4298"/>
    <w:rsid w:val="4E1F570C"/>
    <w:rsid w:val="4E793892"/>
    <w:rsid w:val="4E800872"/>
    <w:rsid w:val="4EBB39A2"/>
    <w:rsid w:val="4EC15FC5"/>
    <w:rsid w:val="4EC569ED"/>
    <w:rsid w:val="4EC63D9A"/>
    <w:rsid w:val="4ED50EA1"/>
    <w:rsid w:val="4EEC050C"/>
    <w:rsid w:val="4F104EC3"/>
    <w:rsid w:val="4F47354A"/>
    <w:rsid w:val="4F911C54"/>
    <w:rsid w:val="4F934CE0"/>
    <w:rsid w:val="4FCA3829"/>
    <w:rsid w:val="4FE625E0"/>
    <w:rsid w:val="4FE62AD6"/>
    <w:rsid w:val="4FE86EC8"/>
    <w:rsid w:val="5021480F"/>
    <w:rsid w:val="50680152"/>
    <w:rsid w:val="508B5BEF"/>
    <w:rsid w:val="50962ECB"/>
    <w:rsid w:val="509B4401"/>
    <w:rsid w:val="50A151D6"/>
    <w:rsid w:val="50A42E38"/>
    <w:rsid w:val="50A4577F"/>
    <w:rsid w:val="50B73D1F"/>
    <w:rsid w:val="50BD5BC9"/>
    <w:rsid w:val="50C11EEE"/>
    <w:rsid w:val="50E97CFC"/>
    <w:rsid w:val="50FA4028"/>
    <w:rsid w:val="510D65B7"/>
    <w:rsid w:val="511157AB"/>
    <w:rsid w:val="5142540C"/>
    <w:rsid w:val="518832C8"/>
    <w:rsid w:val="51A0432A"/>
    <w:rsid w:val="51A86090"/>
    <w:rsid w:val="51B7396D"/>
    <w:rsid w:val="5209326F"/>
    <w:rsid w:val="522E4CC3"/>
    <w:rsid w:val="523C53F3"/>
    <w:rsid w:val="5244713B"/>
    <w:rsid w:val="52615633"/>
    <w:rsid w:val="52821C26"/>
    <w:rsid w:val="52977FD4"/>
    <w:rsid w:val="52A1663C"/>
    <w:rsid w:val="52A25790"/>
    <w:rsid w:val="52A96B6F"/>
    <w:rsid w:val="52AA0717"/>
    <w:rsid w:val="52AC6214"/>
    <w:rsid w:val="52B45975"/>
    <w:rsid w:val="52BD5884"/>
    <w:rsid w:val="52D94AA4"/>
    <w:rsid w:val="52E8557B"/>
    <w:rsid w:val="52EA3A62"/>
    <w:rsid w:val="52F50BB8"/>
    <w:rsid w:val="53097272"/>
    <w:rsid w:val="53544462"/>
    <w:rsid w:val="5397158E"/>
    <w:rsid w:val="53ED1CCF"/>
    <w:rsid w:val="53FA4276"/>
    <w:rsid w:val="54013861"/>
    <w:rsid w:val="541702EF"/>
    <w:rsid w:val="543A44C4"/>
    <w:rsid w:val="54487265"/>
    <w:rsid w:val="544D6070"/>
    <w:rsid w:val="545B7466"/>
    <w:rsid w:val="54605E1E"/>
    <w:rsid w:val="54A93484"/>
    <w:rsid w:val="54B3506A"/>
    <w:rsid w:val="54CA0D16"/>
    <w:rsid w:val="54D758A7"/>
    <w:rsid w:val="54DD4057"/>
    <w:rsid w:val="54E7490F"/>
    <w:rsid w:val="54F40207"/>
    <w:rsid w:val="55061018"/>
    <w:rsid w:val="550764A4"/>
    <w:rsid w:val="550B2BF6"/>
    <w:rsid w:val="55214EB5"/>
    <w:rsid w:val="55254864"/>
    <w:rsid w:val="55364EFD"/>
    <w:rsid w:val="555D4828"/>
    <w:rsid w:val="557A4C8B"/>
    <w:rsid w:val="558931E1"/>
    <w:rsid w:val="55923347"/>
    <w:rsid w:val="55925180"/>
    <w:rsid w:val="55983B1B"/>
    <w:rsid w:val="559B1C90"/>
    <w:rsid w:val="55A8376B"/>
    <w:rsid w:val="55DB502E"/>
    <w:rsid w:val="55DC29B6"/>
    <w:rsid w:val="55DD4241"/>
    <w:rsid w:val="561F3061"/>
    <w:rsid w:val="563A377B"/>
    <w:rsid w:val="566B6D1E"/>
    <w:rsid w:val="569E129D"/>
    <w:rsid w:val="56A66BBF"/>
    <w:rsid w:val="57032A2C"/>
    <w:rsid w:val="570F5219"/>
    <w:rsid w:val="572F5526"/>
    <w:rsid w:val="575D12B5"/>
    <w:rsid w:val="57610A87"/>
    <w:rsid w:val="577B1140"/>
    <w:rsid w:val="577B7F21"/>
    <w:rsid w:val="577F181B"/>
    <w:rsid w:val="57921984"/>
    <w:rsid w:val="579737F0"/>
    <w:rsid w:val="57AB7B30"/>
    <w:rsid w:val="57AF5251"/>
    <w:rsid w:val="57B26373"/>
    <w:rsid w:val="57B63F04"/>
    <w:rsid w:val="57CD20C2"/>
    <w:rsid w:val="57D675AB"/>
    <w:rsid w:val="57D95FDD"/>
    <w:rsid w:val="57F54BC5"/>
    <w:rsid w:val="580D0AF6"/>
    <w:rsid w:val="58494F0D"/>
    <w:rsid w:val="58917D2F"/>
    <w:rsid w:val="5894085C"/>
    <w:rsid w:val="589E4C5C"/>
    <w:rsid w:val="58AE4F0C"/>
    <w:rsid w:val="58B85899"/>
    <w:rsid w:val="58E363A9"/>
    <w:rsid w:val="59202E24"/>
    <w:rsid w:val="595E1678"/>
    <w:rsid w:val="596D5BD4"/>
    <w:rsid w:val="597E3DD8"/>
    <w:rsid w:val="598633F7"/>
    <w:rsid w:val="598B6C60"/>
    <w:rsid w:val="59F738EE"/>
    <w:rsid w:val="59F75290"/>
    <w:rsid w:val="59F80043"/>
    <w:rsid w:val="5A09252F"/>
    <w:rsid w:val="5A0B2778"/>
    <w:rsid w:val="5A146F2D"/>
    <w:rsid w:val="5A183818"/>
    <w:rsid w:val="5A2A7C7B"/>
    <w:rsid w:val="5A3E2560"/>
    <w:rsid w:val="5A5D3B6E"/>
    <w:rsid w:val="5A637A76"/>
    <w:rsid w:val="5A6D33BA"/>
    <w:rsid w:val="5A792B1F"/>
    <w:rsid w:val="5A874767"/>
    <w:rsid w:val="5A8E4C59"/>
    <w:rsid w:val="5AA85BE2"/>
    <w:rsid w:val="5AAD6F28"/>
    <w:rsid w:val="5AD63A24"/>
    <w:rsid w:val="5B2E1A1D"/>
    <w:rsid w:val="5B843A1C"/>
    <w:rsid w:val="5B873E3F"/>
    <w:rsid w:val="5BA5225B"/>
    <w:rsid w:val="5BE268F4"/>
    <w:rsid w:val="5C02690E"/>
    <w:rsid w:val="5C044ACF"/>
    <w:rsid w:val="5C196DA7"/>
    <w:rsid w:val="5C2A048C"/>
    <w:rsid w:val="5C667D37"/>
    <w:rsid w:val="5C7837A9"/>
    <w:rsid w:val="5C80234E"/>
    <w:rsid w:val="5C854DD0"/>
    <w:rsid w:val="5C8A680C"/>
    <w:rsid w:val="5CFA2255"/>
    <w:rsid w:val="5D0B697B"/>
    <w:rsid w:val="5D0C4701"/>
    <w:rsid w:val="5D0F0395"/>
    <w:rsid w:val="5D221076"/>
    <w:rsid w:val="5D397964"/>
    <w:rsid w:val="5D59571B"/>
    <w:rsid w:val="5D5A391C"/>
    <w:rsid w:val="5D5F10C0"/>
    <w:rsid w:val="5D891B7B"/>
    <w:rsid w:val="5DAD38EE"/>
    <w:rsid w:val="5E006862"/>
    <w:rsid w:val="5E0207B9"/>
    <w:rsid w:val="5E1834A1"/>
    <w:rsid w:val="5E2308CE"/>
    <w:rsid w:val="5E261785"/>
    <w:rsid w:val="5E4A7017"/>
    <w:rsid w:val="5E552BBA"/>
    <w:rsid w:val="5E611C10"/>
    <w:rsid w:val="5E7A0F3F"/>
    <w:rsid w:val="5E9F5687"/>
    <w:rsid w:val="5EFC7377"/>
    <w:rsid w:val="5F012A1A"/>
    <w:rsid w:val="5F06174D"/>
    <w:rsid w:val="5F3A3602"/>
    <w:rsid w:val="5F45733B"/>
    <w:rsid w:val="5F6277C6"/>
    <w:rsid w:val="5F6D0B1D"/>
    <w:rsid w:val="5F775CBC"/>
    <w:rsid w:val="5F7A27C3"/>
    <w:rsid w:val="5F8D0B82"/>
    <w:rsid w:val="5FA92D57"/>
    <w:rsid w:val="5FAA1AAA"/>
    <w:rsid w:val="5FCC5339"/>
    <w:rsid w:val="5FE34A5B"/>
    <w:rsid w:val="5FFE1E36"/>
    <w:rsid w:val="60232584"/>
    <w:rsid w:val="60337545"/>
    <w:rsid w:val="605864BB"/>
    <w:rsid w:val="607330CE"/>
    <w:rsid w:val="60747697"/>
    <w:rsid w:val="60825176"/>
    <w:rsid w:val="608544E6"/>
    <w:rsid w:val="609F2AC4"/>
    <w:rsid w:val="60EA0710"/>
    <w:rsid w:val="60FA2EE8"/>
    <w:rsid w:val="61054A27"/>
    <w:rsid w:val="610A52BC"/>
    <w:rsid w:val="611D2366"/>
    <w:rsid w:val="61421856"/>
    <w:rsid w:val="615227C4"/>
    <w:rsid w:val="61654E3F"/>
    <w:rsid w:val="6182292A"/>
    <w:rsid w:val="619F7F92"/>
    <w:rsid w:val="61F94C26"/>
    <w:rsid w:val="61FC694D"/>
    <w:rsid w:val="62000E56"/>
    <w:rsid w:val="622158B8"/>
    <w:rsid w:val="62244584"/>
    <w:rsid w:val="624F3E49"/>
    <w:rsid w:val="62632286"/>
    <w:rsid w:val="626C5071"/>
    <w:rsid w:val="62885958"/>
    <w:rsid w:val="62F40B65"/>
    <w:rsid w:val="62FC2CFE"/>
    <w:rsid w:val="63024505"/>
    <w:rsid w:val="635B1DB5"/>
    <w:rsid w:val="63711FED"/>
    <w:rsid w:val="637F1FB0"/>
    <w:rsid w:val="63880DDC"/>
    <w:rsid w:val="638D750D"/>
    <w:rsid w:val="63AC6CC0"/>
    <w:rsid w:val="63B7498D"/>
    <w:rsid w:val="63F10C76"/>
    <w:rsid w:val="63F50C72"/>
    <w:rsid w:val="64055776"/>
    <w:rsid w:val="64240056"/>
    <w:rsid w:val="643E143A"/>
    <w:rsid w:val="648B6EEF"/>
    <w:rsid w:val="64C158BF"/>
    <w:rsid w:val="64CE2EAA"/>
    <w:rsid w:val="64E21D35"/>
    <w:rsid w:val="65106AE9"/>
    <w:rsid w:val="653B5003"/>
    <w:rsid w:val="653C3090"/>
    <w:rsid w:val="654416E8"/>
    <w:rsid w:val="65854376"/>
    <w:rsid w:val="658767BE"/>
    <w:rsid w:val="65892531"/>
    <w:rsid w:val="66195831"/>
    <w:rsid w:val="662E75B1"/>
    <w:rsid w:val="66342C2E"/>
    <w:rsid w:val="663E784C"/>
    <w:rsid w:val="66551A38"/>
    <w:rsid w:val="668B6A45"/>
    <w:rsid w:val="67003515"/>
    <w:rsid w:val="672F3F24"/>
    <w:rsid w:val="673E055F"/>
    <w:rsid w:val="675255B9"/>
    <w:rsid w:val="67551CE3"/>
    <w:rsid w:val="67A22552"/>
    <w:rsid w:val="67B22DCC"/>
    <w:rsid w:val="67BE71AA"/>
    <w:rsid w:val="67D90273"/>
    <w:rsid w:val="67DE5875"/>
    <w:rsid w:val="67DF74A7"/>
    <w:rsid w:val="67E55852"/>
    <w:rsid w:val="67EB1AB4"/>
    <w:rsid w:val="67FA1285"/>
    <w:rsid w:val="68551F4F"/>
    <w:rsid w:val="687C10C9"/>
    <w:rsid w:val="68840C16"/>
    <w:rsid w:val="68876EFB"/>
    <w:rsid w:val="68884654"/>
    <w:rsid w:val="689F444F"/>
    <w:rsid w:val="68B96DBB"/>
    <w:rsid w:val="68C512F8"/>
    <w:rsid w:val="68C51744"/>
    <w:rsid w:val="68CA2805"/>
    <w:rsid w:val="68E819D9"/>
    <w:rsid w:val="68E937A3"/>
    <w:rsid w:val="6908052C"/>
    <w:rsid w:val="693E15D3"/>
    <w:rsid w:val="69627681"/>
    <w:rsid w:val="6977531D"/>
    <w:rsid w:val="69CC2BFF"/>
    <w:rsid w:val="69DA7661"/>
    <w:rsid w:val="69FD55B8"/>
    <w:rsid w:val="6A0B1C62"/>
    <w:rsid w:val="6A10568B"/>
    <w:rsid w:val="6A1727E2"/>
    <w:rsid w:val="6A2406C8"/>
    <w:rsid w:val="6A8F2B46"/>
    <w:rsid w:val="6ADE0BD1"/>
    <w:rsid w:val="6AE96859"/>
    <w:rsid w:val="6AF042AC"/>
    <w:rsid w:val="6B147746"/>
    <w:rsid w:val="6B175B9C"/>
    <w:rsid w:val="6B2278A8"/>
    <w:rsid w:val="6B24787C"/>
    <w:rsid w:val="6B573233"/>
    <w:rsid w:val="6B5B6274"/>
    <w:rsid w:val="6B925D62"/>
    <w:rsid w:val="6B935D53"/>
    <w:rsid w:val="6BA344B1"/>
    <w:rsid w:val="6BA45E0C"/>
    <w:rsid w:val="6BEB1F0C"/>
    <w:rsid w:val="6C196F71"/>
    <w:rsid w:val="6C226FCB"/>
    <w:rsid w:val="6C31226F"/>
    <w:rsid w:val="6C552F0B"/>
    <w:rsid w:val="6C8C67B7"/>
    <w:rsid w:val="6C97799E"/>
    <w:rsid w:val="6C9D744C"/>
    <w:rsid w:val="6CFE67A8"/>
    <w:rsid w:val="6D167928"/>
    <w:rsid w:val="6D26299B"/>
    <w:rsid w:val="6D376462"/>
    <w:rsid w:val="6D4772EC"/>
    <w:rsid w:val="6D7F6672"/>
    <w:rsid w:val="6D9078AF"/>
    <w:rsid w:val="6D9E6B0A"/>
    <w:rsid w:val="6DAA3FEF"/>
    <w:rsid w:val="6DC0172B"/>
    <w:rsid w:val="6DCB690C"/>
    <w:rsid w:val="6DD41A5B"/>
    <w:rsid w:val="6DF43C2E"/>
    <w:rsid w:val="6DF51CA3"/>
    <w:rsid w:val="6E147F44"/>
    <w:rsid w:val="6E1814A6"/>
    <w:rsid w:val="6E1E4A95"/>
    <w:rsid w:val="6E6164B5"/>
    <w:rsid w:val="6E8335BD"/>
    <w:rsid w:val="6E8E12EF"/>
    <w:rsid w:val="6E972936"/>
    <w:rsid w:val="6EA6036C"/>
    <w:rsid w:val="6EAA1C6A"/>
    <w:rsid w:val="6EAE2325"/>
    <w:rsid w:val="6ED446C5"/>
    <w:rsid w:val="6F2A7D94"/>
    <w:rsid w:val="6F3E3969"/>
    <w:rsid w:val="6F7D5E90"/>
    <w:rsid w:val="6F8331F1"/>
    <w:rsid w:val="6FAE1A09"/>
    <w:rsid w:val="6FD75BF8"/>
    <w:rsid w:val="701E2579"/>
    <w:rsid w:val="70661A44"/>
    <w:rsid w:val="707723D0"/>
    <w:rsid w:val="70F5661B"/>
    <w:rsid w:val="71360107"/>
    <w:rsid w:val="713B688E"/>
    <w:rsid w:val="71C965C9"/>
    <w:rsid w:val="71D43752"/>
    <w:rsid w:val="71F1796A"/>
    <w:rsid w:val="71F63E6A"/>
    <w:rsid w:val="72154626"/>
    <w:rsid w:val="72262B5D"/>
    <w:rsid w:val="72283FF7"/>
    <w:rsid w:val="722E7212"/>
    <w:rsid w:val="723A0474"/>
    <w:rsid w:val="723E08BB"/>
    <w:rsid w:val="725923E4"/>
    <w:rsid w:val="72864BF7"/>
    <w:rsid w:val="729023FC"/>
    <w:rsid w:val="729141A6"/>
    <w:rsid w:val="72A642E9"/>
    <w:rsid w:val="72CB1E47"/>
    <w:rsid w:val="72FE68A1"/>
    <w:rsid w:val="731D5DDB"/>
    <w:rsid w:val="735E1215"/>
    <w:rsid w:val="735F6D3B"/>
    <w:rsid w:val="737722D7"/>
    <w:rsid w:val="737B1F0E"/>
    <w:rsid w:val="73C0646E"/>
    <w:rsid w:val="73E32E5F"/>
    <w:rsid w:val="73F32ED6"/>
    <w:rsid w:val="740F14BC"/>
    <w:rsid w:val="742222F5"/>
    <w:rsid w:val="74476126"/>
    <w:rsid w:val="746F4735"/>
    <w:rsid w:val="74706664"/>
    <w:rsid w:val="747133B3"/>
    <w:rsid w:val="747F3682"/>
    <w:rsid w:val="749C4185"/>
    <w:rsid w:val="75067759"/>
    <w:rsid w:val="752E6DCD"/>
    <w:rsid w:val="75436311"/>
    <w:rsid w:val="7551380D"/>
    <w:rsid w:val="75600BE5"/>
    <w:rsid w:val="7564475C"/>
    <w:rsid w:val="7583797F"/>
    <w:rsid w:val="75857C4B"/>
    <w:rsid w:val="75CD0ECC"/>
    <w:rsid w:val="75D20F1D"/>
    <w:rsid w:val="75DA2C18"/>
    <w:rsid w:val="75DE3FDA"/>
    <w:rsid w:val="75F54412"/>
    <w:rsid w:val="761D08E0"/>
    <w:rsid w:val="76367186"/>
    <w:rsid w:val="763D3998"/>
    <w:rsid w:val="765D347C"/>
    <w:rsid w:val="76826699"/>
    <w:rsid w:val="76B1006A"/>
    <w:rsid w:val="76B301F5"/>
    <w:rsid w:val="76C87133"/>
    <w:rsid w:val="76CD08D5"/>
    <w:rsid w:val="76DB4B92"/>
    <w:rsid w:val="77052AA4"/>
    <w:rsid w:val="770B3029"/>
    <w:rsid w:val="77136511"/>
    <w:rsid w:val="77340A39"/>
    <w:rsid w:val="77351FD0"/>
    <w:rsid w:val="77472422"/>
    <w:rsid w:val="777F31F2"/>
    <w:rsid w:val="779E42D6"/>
    <w:rsid w:val="77CF2D34"/>
    <w:rsid w:val="77D1700D"/>
    <w:rsid w:val="77E757C4"/>
    <w:rsid w:val="77EC04CC"/>
    <w:rsid w:val="78082ECE"/>
    <w:rsid w:val="786B1922"/>
    <w:rsid w:val="78775729"/>
    <w:rsid w:val="78802ABA"/>
    <w:rsid w:val="788C05D2"/>
    <w:rsid w:val="78A42DB0"/>
    <w:rsid w:val="78A656AB"/>
    <w:rsid w:val="78B2245C"/>
    <w:rsid w:val="78E172CC"/>
    <w:rsid w:val="78EA1D1F"/>
    <w:rsid w:val="7904172F"/>
    <w:rsid w:val="790F7E27"/>
    <w:rsid w:val="791446BD"/>
    <w:rsid w:val="79270BDC"/>
    <w:rsid w:val="792A231A"/>
    <w:rsid w:val="79316829"/>
    <w:rsid w:val="797E66A9"/>
    <w:rsid w:val="79A97383"/>
    <w:rsid w:val="79E27E8B"/>
    <w:rsid w:val="79F850CE"/>
    <w:rsid w:val="79FD443C"/>
    <w:rsid w:val="7A1D1975"/>
    <w:rsid w:val="7A385878"/>
    <w:rsid w:val="7A3E5150"/>
    <w:rsid w:val="7A4670D6"/>
    <w:rsid w:val="7A534B63"/>
    <w:rsid w:val="7A615382"/>
    <w:rsid w:val="7A67303B"/>
    <w:rsid w:val="7A977274"/>
    <w:rsid w:val="7AAB1D04"/>
    <w:rsid w:val="7ABA4368"/>
    <w:rsid w:val="7AD05746"/>
    <w:rsid w:val="7ADD2219"/>
    <w:rsid w:val="7B0A1C83"/>
    <w:rsid w:val="7B257FFD"/>
    <w:rsid w:val="7B343476"/>
    <w:rsid w:val="7B5A2978"/>
    <w:rsid w:val="7B5A7E4C"/>
    <w:rsid w:val="7B6018A2"/>
    <w:rsid w:val="7B667AF9"/>
    <w:rsid w:val="7B7468F8"/>
    <w:rsid w:val="7BC8542A"/>
    <w:rsid w:val="7BEE0103"/>
    <w:rsid w:val="7C0A0FE4"/>
    <w:rsid w:val="7C254906"/>
    <w:rsid w:val="7C590818"/>
    <w:rsid w:val="7C7C10F6"/>
    <w:rsid w:val="7C853BEA"/>
    <w:rsid w:val="7C881368"/>
    <w:rsid w:val="7CE27788"/>
    <w:rsid w:val="7D0357E5"/>
    <w:rsid w:val="7D0C32F1"/>
    <w:rsid w:val="7D0F408D"/>
    <w:rsid w:val="7D140CC4"/>
    <w:rsid w:val="7D491C6C"/>
    <w:rsid w:val="7D5429C0"/>
    <w:rsid w:val="7D6E6D43"/>
    <w:rsid w:val="7D7069D2"/>
    <w:rsid w:val="7D9473CC"/>
    <w:rsid w:val="7D9F66B2"/>
    <w:rsid w:val="7DB57A34"/>
    <w:rsid w:val="7DB77C73"/>
    <w:rsid w:val="7DD24CD9"/>
    <w:rsid w:val="7DE60973"/>
    <w:rsid w:val="7DEF0916"/>
    <w:rsid w:val="7DF24E2F"/>
    <w:rsid w:val="7E1E5218"/>
    <w:rsid w:val="7E7A4713"/>
    <w:rsid w:val="7E9A4E1F"/>
    <w:rsid w:val="7EA008B3"/>
    <w:rsid w:val="7EA7723A"/>
    <w:rsid w:val="7EF56FBB"/>
    <w:rsid w:val="7F0768EB"/>
    <w:rsid w:val="7F143BEC"/>
    <w:rsid w:val="7F182693"/>
    <w:rsid w:val="7F715AF2"/>
    <w:rsid w:val="7F886E69"/>
    <w:rsid w:val="7FA728C7"/>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6"/>
    <w:link w:val="192"/>
    <w:qFormat/>
    <w:uiPriority w:val="0"/>
    <w:pPr>
      <w:widowControl/>
      <w:snapToGrid w:val="0"/>
      <w:spacing w:line="480" w:lineRule="exact"/>
      <w:ind w:firstLine="567"/>
    </w:pPr>
    <w:rPr>
      <w:rFonts w:ascii="宋体"/>
      <w:snapToGrid w:val="0"/>
      <w:color w:val="000000"/>
      <w:kern w:val="28"/>
      <w:sz w:val="28"/>
      <w:szCs w:val="20"/>
    </w:rPr>
  </w:style>
  <w:style w:type="paragraph" w:styleId="16">
    <w:name w:val="Body Text Indent"/>
    <w:basedOn w:val="1"/>
    <w:next w:val="15"/>
    <w:link w:val="263"/>
    <w:qFormat/>
    <w:uiPriority w:val="0"/>
    <w:pPr>
      <w:spacing w:line="480" w:lineRule="exact"/>
      <w:ind w:firstLine="480" w:firstLineChars="200"/>
    </w:pPr>
    <w:rPr>
      <w:rFonts w:ascii="宋体" w:hAnsi="宋体"/>
      <w:sz w:val="24"/>
    </w:rPr>
  </w:style>
  <w:style w:type="paragraph" w:styleId="17">
    <w:name w:val="caption"/>
    <w:basedOn w:val="1"/>
    <w:next w:val="1"/>
    <w:link w:val="22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1"/>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customStyle="1" w:styleId="25">
    <w:name w:val="正文文本首行缩进1"/>
    <w:basedOn w:val="24"/>
    <w:next w:val="26"/>
    <w:qFormat/>
    <w:uiPriority w:val="0"/>
    <w:pPr>
      <w:tabs>
        <w:tab w:val="left" w:pos="9360"/>
      </w:tabs>
      <w:adjustRightInd/>
      <w:ind w:firstLine="420" w:firstLineChars="100"/>
    </w:pPr>
    <w:rPr>
      <w:sz w:val="21"/>
    </w:rPr>
  </w:style>
  <w:style w:type="paragraph" w:styleId="26">
    <w:name w:val="toc 6"/>
    <w:basedOn w:val="1"/>
    <w:next w:val="1"/>
    <w:qFormat/>
    <w:uiPriority w:val="0"/>
    <w:pPr>
      <w:ind w:left="2100" w:leftChars="1000"/>
    </w:p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24"/>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0"/>
    <w:qFormat/>
    <w:uiPriority w:val="0"/>
    <w:pPr>
      <w:ind w:left="100" w:leftChars="2500"/>
    </w:pPr>
    <w:rPr>
      <w:rFonts w:ascii="宋体"/>
      <w:sz w:val="24"/>
      <w:szCs w:val="21"/>
      <w:lang w:val="zh-CN"/>
    </w:rPr>
  </w:style>
  <w:style w:type="paragraph" w:styleId="38">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7"/>
    <w:qFormat/>
    <w:uiPriority w:val="0"/>
    <w:rPr>
      <w:sz w:val="18"/>
      <w:szCs w:val="18"/>
    </w:rPr>
  </w:style>
  <w:style w:type="paragraph" w:styleId="41">
    <w:name w:val="footer"/>
    <w:basedOn w:val="1"/>
    <w:link w:val="381"/>
    <w:qFormat/>
    <w:uiPriority w:val="99"/>
    <w:pPr>
      <w:tabs>
        <w:tab w:val="center" w:pos="4153"/>
        <w:tab w:val="right" w:pos="8306"/>
      </w:tabs>
      <w:snapToGrid w:val="0"/>
      <w:jc w:val="left"/>
    </w:pPr>
    <w:rPr>
      <w:sz w:val="18"/>
      <w:szCs w:val="18"/>
    </w:rPr>
  </w:style>
  <w:style w:type="paragraph" w:styleId="42">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308"/>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5"/>
    <w:qFormat/>
    <w:uiPriority w:val="0"/>
    <w:rPr>
      <w:b/>
      <w:bCs/>
    </w:rPr>
  </w:style>
  <w:style w:type="paragraph" w:styleId="61">
    <w:name w:val="Body Text First Indent"/>
    <w:basedOn w:val="24"/>
    <w:next w:val="26"/>
    <w:link w:val="319"/>
    <w:qFormat/>
    <w:uiPriority w:val="0"/>
    <w:pPr>
      <w:ind w:firstLine="420"/>
    </w:pPr>
    <w:rPr>
      <w:rFonts w:hAnsi="Calibri" w:cs="Times New Roman"/>
      <w:snapToGrid/>
      <w:szCs w:val="20"/>
    </w:rPr>
  </w:style>
  <w:style w:type="paragraph" w:styleId="62">
    <w:name w:val="Body Text First Indent 2"/>
    <w:basedOn w:val="16"/>
    <w:link w:val="120"/>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styleId="80">
    <w:name w:val="List Paragraph"/>
    <w:basedOn w:val="1"/>
    <w:qFormat/>
    <w:uiPriority w:val="34"/>
    <w:pPr>
      <w:spacing w:line="360" w:lineRule="auto"/>
      <w:ind w:firstLine="200" w:firstLineChars="200"/>
    </w:pPr>
    <w:rPr>
      <w:rFonts w:eastAsia="楷体_GB2312" w:cs="Lucida Sans"/>
      <w:sz w:val="24"/>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字符"/>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字符"/>
    <w:link w:val="62"/>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70"/>
    <w:qFormat/>
    <w:uiPriority w:val="0"/>
    <w:rPr>
      <w:rFonts w:ascii="Arial" w:hAnsi="Arial" w:eastAsia="黑体" w:cs="Arial"/>
      <w:snapToGrid w:val="0"/>
      <w:kern w:val="0"/>
      <w:szCs w:val="21"/>
    </w:rPr>
  </w:style>
  <w:style w:type="character" w:customStyle="1" w:styleId="124">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字符"/>
    <w:link w:val="48"/>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basedOn w:val="70"/>
    <w:qFormat/>
    <w:uiPriority w:val="0"/>
    <w:rPr>
      <w:rFonts w:hint="eastAsia" w:ascii="仿宋_GB2312" w:eastAsia="仿宋_GB2312" w:cs="仿宋_GB2312"/>
      <w:color w:val="000000"/>
      <w:sz w:val="22"/>
      <w:szCs w:val="22"/>
      <w:u w:val="none"/>
    </w:rPr>
  </w:style>
  <w:style w:type="character" w:customStyle="1" w:styleId="146">
    <w:name w:val="标题 6 字符"/>
    <w:link w:val="7"/>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3"/>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字符"/>
    <w:link w:val="37"/>
    <w:qFormat/>
    <w:uiPriority w:val="0"/>
    <w:rPr>
      <w:rFonts w:ascii="宋体"/>
      <w:kern w:val="2"/>
      <w:sz w:val="24"/>
      <w:szCs w:val="21"/>
      <w:lang w:val="zh-CN"/>
    </w:rPr>
  </w:style>
  <w:style w:type="character" w:customStyle="1" w:styleId="181">
    <w:name w:val="标题 9 字符"/>
    <w:link w:val="10"/>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字符1"/>
    <w:link w:val="40"/>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15"/>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字符"/>
    <w:link w:val="19"/>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70"/>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字符"/>
    <w:link w:val="31"/>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5"/>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7"/>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80"/>
    <w:link w:val="255"/>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字符1"/>
    <w:link w:val="16"/>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字符1"/>
    <w:link w:val="2"/>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字符"/>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字符"/>
    <w:link w:val="6"/>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字符"/>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字符"/>
    <w:link w:val="57"/>
    <w:qFormat/>
    <w:uiPriority w:val="0"/>
    <w:rPr>
      <w:rFonts w:ascii="黑体" w:hAnsi="Courier New" w:eastAsia="黑体"/>
    </w:rPr>
  </w:style>
  <w:style w:type="character" w:customStyle="1" w:styleId="300">
    <w:name w:val="正文文本 2 字符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5"/>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字符"/>
    <w:link w:val="8"/>
    <w:qFormat/>
    <w:uiPriority w:val="0"/>
    <w:rPr>
      <w:b/>
      <w:bCs/>
      <w:kern w:val="2"/>
      <w:sz w:val="24"/>
      <w:szCs w:val="24"/>
    </w:rPr>
  </w:style>
  <w:style w:type="character" w:customStyle="1" w:styleId="306">
    <w:name w:val="正文文本缩进 2 字符"/>
    <w:link w:val="38"/>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字符"/>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字符"/>
    <w:link w:val="61"/>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字符1"/>
    <w:link w:val="5"/>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字符"/>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字符1"/>
    <w:link w:val="20"/>
    <w:qFormat/>
    <w:uiPriority w:val="0"/>
    <w:rPr>
      <w:kern w:val="2"/>
      <w:sz w:val="21"/>
      <w:szCs w:val="24"/>
    </w:rPr>
  </w:style>
  <w:style w:type="character" w:customStyle="1" w:styleId="343">
    <w:name w:val="签名 字符"/>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字符"/>
    <w:link w:val="9"/>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字符"/>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字符2"/>
    <w:link w:val="41"/>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字符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5"/>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1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5"/>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outlineLvl w:val="5"/>
    </w:pPr>
  </w:style>
  <w:style w:type="paragraph" w:customStyle="1" w:styleId="472">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8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3"/>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6"/>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5"/>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Lines="50"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4"/>
    <w:next w:val="234"/>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4"/>
    <w:next w:val="234"/>
    <w:qFormat/>
    <w:uiPriority w:val="0"/>
    <w:rPr>
      <w:rFonts w:ascii="宋体" w:eastAsia="宋体" w:cs="Times New Roman"/>
      <w:color w:val="auto"/>
    </w:rPr>
  </w:style>
  <w:style w:type="paragraph" w:customStyle="1" w:styleId="5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1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1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5"/>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1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1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16"/>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80"/>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6"/>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9"/>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80"/>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character" w:customStyle="1" w:styleId="962">
    <w:name w:val="fontstyle01"/>
    <w:basedOn w:val="70"/>
    <w:qFormat/>
    <w:uiPriority w:val="0"/>
    <w:rPr>
      <w:rFonts w:hint="eastAsia" w:ascii="宋体" w:hAnsi="宋体" w:eastAsia="宋体"/>
      <w:color w:val="000000"/>
      <w:sz w:val="24"/>
      <w:szCs w:val="24"/>
    </w:rPr>
  </w:style>
  <w:style w:type="paragraph" w:customStyle="1" w:styleId="963">
    <w:name w:val="样式 标题 3 + (中文) 黑体 小四 非加粗 段前: 7.8 磅 段后: 0 磅 行距: 固定值 20 磅"/>
    <w:basedOn w:val="4"/>
    <w:qFormat/>
    <w:uiPriority w:val="0"/>
    <w:pPr>
      <w:spacing w:line="400" w:lineRule="exact"/>
    </w:pPr>
    <w:rPr>
      <w:rFonts w:eastAsia="黑体" w:cs="宋体"/>
      <w:b w:val="0"/>
      <w:bCs w:val="0"/>
      <w:sz w:val="24"/>
      <w:szCs w:val="20"/>
    </w:rPr>
  </w:style>
  <w:style w:type="paragraph" w:customStyle="1" w:styleId="964">
    <w:name w:val="样式 标题 1 + 四号 加粗"/>
    <w:basedOn w:val="2"/>
    <w:qFormat/>
    <w:uiPriority w:val="0"/>
  </w:style>
  <w:style w:type="table" w:customStyle="1" w:styleId="965">
    <w:name w:val="Table Normal"/>
    <w:semiHidden/>
    <w:unhideWhenUsed/>
    <w:qFormat/>
    <w:uiPriority w:val="0"/>
    <w:tblPr>
      <w:tblCellMar>
        <w:top w:w="0" w:type="dxa"/>
        <w:left w:w="0" w:type="dxa"/>
        <w:bottom w:w="0" w:type="dxa"/>
        <w:right w:w="0" w:type="dxa"/>
      </w:tblCellMar>
    </w:tblPr>
  </w:style>
  <w:style w:type="paragraph" w:customStyle="1" w:styleId="966">
    <w:name w:val="正文空2字"/>
    <w:basedOn w:val="967"/>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7">
    <w:name w:val="左对齐正文"/>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37</Pages>
  <Words>64</Words>
  <Characters>67</Characters>
  <Lines>174</Lines>
  <Paragraphs>49</Paragraphs>
  <TotalTime>44</TotalTime>
  <ScaleCrop>false</ScaleCrop>
  <LinksUpToDate>false</LinksUpToDate>
  <CharactersWithSpaces>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2023-05-28T20:40:00Z</dcterms:created>
  <dc:creator>Administrator</dc:creator>
  <cp:lastModifiedBy>spring</cp:lastModifiedBy>
  <cp:lastPrinted>2024-06-06T12:11:00Z</cp:lastPrinted>
  <dcterms:modified xsi:type="dcterms:W3CDTF">2025-04-21T03:03:15Z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9F0834846A774FBD867D60DB3E3ACE77_13</vt:lpwstr>
  </property>
  <property fmtid="{D5CDD505-2E9C-101B-9397-08002B2CF9AE}" pid="5" name="KSOTemplateDocerSaveRecord">
    <vt:lpwstr>eyJoZGlkIjoiNDI1NGQ4MDY4NjMxYWVlMzc3ODM2NDE0MmU1ODUxYzYiLCJ1c2VySWQiOiI1MDYyNzU0OTUifQ==</vt:lpwstr>
  </property>
</Properties>
</file>