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rPr>
          <w:rFonts w:hint="eastAsia" w:ascii="宋体" w:hAnsi="宋体" w:eastAsia="宋体" w:cs="宋体"/>
          <w:color w:val="auto"/>
          <w:highlight w:val="none"/>
        </w:rPr>
      </w:pPr>
    </w:p>
    <w:p>
      <w:pPr>
        <w:pStyle w:val="65"/>
        <w:rPr>
          <w:rFonts w:hint="eastAsia"/>
          <w:highlight w:val="none"/>
        </w:rPr>
      </w:pPr>
    </w:p>
    <w:p>
      <w:pPr>
        <w:adjustRightInd/>
        <w:spacing w:line="360" w:lineRule="auto"/>
        <w:jc w:val="center"/>
        <w:rPr>
          <w:rFonts w:hint="eastAsia" w:ascii="宋体" w:hAnsi="宋体" w:eastAsia="宋体" w:cs="宋体"/>
          <w:b/>
          <w:bCs w:val="0"/>
          <w:color w:val="auto"/>
          <w:spacing w:val="-23"/>
          <w:sz w:val="28"/>
          <w:szCs w:val="28"/>
          <w:highlight w:val="none"/>
          <w:lang w:eastAsia="zh-CN"/>
        </w:rPr>
      </w:pPr>
    </w:p>
    <w:p>
      <w:pPr>
        <w:adjustRightInd/>
        <w:spacing w:line="360" w:lineRule="auto"/>
        <w:jc w:val="center"/>
        <w:rPr>
          <w:rFonts w:hint="eastAsia" w:ascii="宋体" w:hAnsi="宋体" w:eastAsia="宋体" w:cs="宋体"/>
          <w:b/>
          <w:bCs/>
          <w:color w:val="auto"/>
          <w:sz w:val="72"/>
          <w:szCs w:val="72"/>
          <w:highlight w:val="none"/>
          <w:lang w:eastAsia="zh-CN"/>
        </w:rPr>
      </w:pPr>
      <w:r>
        <w:rPr>
          <w:rFonts w:hint="eastAsia" w:hAnsi="宋体" w:cs="宋体"/>
          <w:b/>
          <w:bCs w:val="0"/>
          <w:color w:val="auto"/>
          <w:spacing w:val="-23"/>
          <w:sz w:val="52"/>
          <w:szCs w:val="52"/>
          <w:highlight w:val="none"/>
          <w:lang w:eastAsia="zh-CN"/>
        </w:rPr>
        <w:t>拱秀社区车辆道闸智能管理系统采购及安装项目</w:t>
      </w:r>
    </w:p>
    <w:p>
      <w:pPr>
        <w:adjustRightInd/>
        <w:spacing w:line="360" w:lineRule="auto"/>
        <w:jc w:val="center"/>
        <w:rPr>
          <w:rFonts w:hint="eastAsia" w:ascii="宋体" w:hAnsi="宋体" w:eastAsia="宋体" w:cs="宋体"/>
          <w:b/>
          <w:bCs/>
          <w:color w:val="auto"/>
          <w:sz w:val="72"/>
          <w:szCs w:val="72"/>
          <w:highlight w:val="none"/>
          <w:lang w:eastAsia="zh-CN"/>
        </w:rPr>
      </w:pPr>
      <w:r>
        <w:rPr>
          <w:rFonts w:hint="eastAsia" w:ascii="宋体" w:hAnsi="宋体" w:eastAsia="宋体" w:cs="宋体"/>
          <w:b/>
          <w:bCs/>
          <w:color w:val="auto"/>
          <w:sz w:val="72"/>
          <w:szCs w:val="72"/>
          <w:highlight w:val="none"/>
          <w:lang w:eastAsia="zh-CN"/>
        </w:rPr>
        <w:t>交易文件</w:t>
      </w:r>
    </w:p>
    <w:p>
      <w:pPr>
        <w:adjustRightInd/>
        <w:spacing w:line="360" w:lineRule="auto"/>
        <w:jc w:val="center"/>
        <w:rPr>
          <w:rFonts w:hint="eastAsia" w:ascii="宋体" w:hAnsi="宋体" w:eastAsia="宋体" w:cs="宋体"/>
          <w:b w:val="0"/>
          <w:bCs w:val="0"/>
          <w:color w:val="auto"/>
          <w:sz w:val="44"/>
          <w:szCs w:val="44"/>
          <w:highlight w:val="none"/>
        </w:rPr>
      </w:pPr>
    </w:p>
    <w:p>
      <w:pPr>
        <w:adjustRightInd/>
        <w:spacing w:line="360" w:lineRule="auto"/>
        <w:jc w:val="center"/>
        <w:rPr>
          <w:rFonts w:hint="eastAsia" w:ascii="宋体" w:hAnsi="宋体" w:eastAsia="宋体" w:cs="宋体"/>
          <w:b w:val="0"/>
          <w:bCs w:val="0"/>
          <w:color w:val="auto"/>
          <w:sz w:val="30"/>
          <w:szCs w:val="30"/>
          <w:highlight w:val="none"/>
          <w:lang w:eastAsia="zh-CN"/>
        </w:rPr>
      </w:pPr>
    </w:p>
    <w:p>
      <w:pPr>
        <w:pStyle w:val="65"/>
        <w:rPr>
          <w:rFonts w:hint="eastAsia"/>
          <w:highlight w:val="none"/>
          <w:lang w:eastAsia="zh-CN"/>
        </w:rPr>
      </w:pPr>
    </w:p>
    <w:p>
      <w:pPr>
        <w:adjustRightInd/>
        <w:spacing w:line="360" w:lineRule="auto"/>
        <w:jc w:val="center"/>
        <w:rPr>
          <w:rFonts w:hint="default"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eastAsia="zh-CN"/>
        </w:rPr>
        <w:t>交易</w:t>
      </w:r>
      <w:r>
        <w:rPr>
          <w:rFonts w:hint="eastAsia" w:ascii="宋体" w:hAnsi="宋体" w:eastAsia="宋体" w:cs="宋体"/>
          <w:b/>
          <w:bCs/>
          <w:color w:val="auto"/>
          <w:sz w:val="36"/>
          <w:szCs w:val="36"/>
          <w:highlight w:val="none"/>
        </w:rPr>
        <w:t>编号:</w:t>
      </w:r>
      <w:r>
        <w:rPr>
          <w:rFonts w:hint="eastAsia" w:ascii="宋体" w:hAnsi="宋体" w:cs="宋体"/>
          <w:b/>
          <w:bCs/>
          <w:color w:val="auto"/>
          <w:sz w:val="36"/>
          <w:szCs w:val="36"/>
          <w:highlight w:val="none"/>
          <w:lang w:val="en-US" w:eastAsia="zh-CN"/>
        </w:rPr>
        <w:t>SGCCGDL-2024-073</w:t>
      </w:r>
    </w:p>
    <w:p>
      <w:pPr>
        <w:spacing w:line="360" w:lineRule="auto"/>
        <w:jc w:val="center"/>
        <w:rPr>
          <w:rFonts w:hint="eastAsia" w:ascii="宋体" w:hAnsi="宋体" w:eastAsia="宋体" w:cs="宋体"/>
          <w:b w:val="0"/>
          <w:bCs w:val="0"/>
          <w:color w:val="auto"/>
          <w:sz w:val="44"/>
          <w:szCs w:val="44"/>
          <w:highlight w:val="none"/>
        </w:rPr>
      </w:pPr>
      <w:r>
        <w:rPr>
          <w:rFonts w:hint="eastAsia" w:ascii="宋体" w:hAnsi="宋体" w:eastAsia="宋体" w:cs="宋体"/>
          <w:b w:val="0"/>
          <w:bCs w:val="0"/>
          <w:color w:val="auto"/>
          <w:sz w:val="44"/>
          <w:szCs w:val="44"/>
          <w:highlight w:val="none"/>
        </w:rPr>
        <w:t xml:space="preserve"> </w:t>
      </w:r>
    </w:p>
    <w:p>
      <w:pPr>
        <w:spacing w:line="360" w:lineRule="auto"/>
        <w:jc w:val="center"/>
        <w:rPr>
          <w:rFonts w:hint="eastAsia" w:ascii="宋体" w:hAnsi="宋体" w:eastAsia="宋体" w:cs="宋体"/>
          <w:b w:val="0"/>
          <w:bCs w:val="0"/>
          <w:color w:val="auto"/>
          <w:sz w:val="44"/>
          <w:szCs w:val="44"/>
          <w:highlight w:val="none"/>
        </w:rPr>
      </w:pPr>
    </w:p>
    <w:p>
      <w:pPr>
        <w:spacing w:line="360" w:lineRule="auto"/>
        <w:rPr>
          <w:rFonts w:hint="eastAsia" w:ascii="宋体" w:hAnsi="宋体" w:eastAsia="宋体" w:cs="宋体"/>
          <w:b w:val="0"/>
          <w:bCs w:val="0"/>
          <w:color w:val="auto"/>
          <w:sz w:val="32"/>
          <w:szCs w:val="32"/>
          <w:highlight w:val="none"/>
        </w:rPr>
      </w:pPr>
    </w:p>
    <w:p>
      <w:pPr>
        <w:pStyle w:val="65"/>
        <w:rPr>
          <w:rFonts w:hint="eastAsia"/>
          <w:highlight w:val="none"/>
        </w:rPr>
      </w:pPr>
    </w:p>
    <w:p>
      <w:pPr>
        <w:spacing w:line="360" w:lineRule="auto"/>
        <w:jc w:val="center"/>
        <w:rPr>
          <w:rFonts w:hint="eastAsia" w:ascii="宋体" w:hAnsi="宋体" w:eastAsia="宋体" w:cs="宋体"/>
          <w:b w:val="0"/>
          <w:bCs w:val="0"/>
          <w:color w:val="auto"/>
          <w:kern w:val="2"/>
          <w:sz w:val="32"/>
          <w:szCs w:val="30"/>
          <w:highlight w:val="none"/>
        </w:rPr>
      </w:pPr>
      <w:r>
        <w:rPr>
          <w:rFonts w:hint="eastAsia" w:ascii="宋体" w:hAnsi="宋体" w:eastAsia="宋体" w:cs="宋体"/>
          <w:b w:val="0"/>
          <w:bCs w:val="0"/>
          <w:color w:val="auto"/>
          <w:kern w:val="2"/>
          <w:sz w:val="32"/>
          <w:szCs w:val="30"/>
          <w:highlight w:val="none"/>
          <w:lang w:val="en-US" w:eastAsia="zh-CN"/>
        </w:rPr>
        <w:t>交易发起</w:t>
      </w:r>
      <w:r>
        <w:rPr>
          <w:rFonts w:hint="eastAsia" w:ascii="宋体" w:hAnsi="宋体" w:eastAsia="宋体" w:cs="宋体"/>
          <w:b w:val="0"/>
          <w:bCs w:val="0"/>
          <w:color w:val="auto"/>
          <w:kern w:val="2"/>
          <w:sz w:val="32"/>
          <w:szCs w:val="30"/>
          <w:highlight w:val="none"/>
          <w:lang w:eastAsia="zh-CN"/>
        </w:rPr>
        <w:t>人：</w:t>
      </w:r>
      <w:r>
        <w:rPr>
          <w:rFonts w:hint="eastAsia" w:ascii="宋体" w:hAnsi="宋体" w:cs="宋体"/>
          <w:b w:val="0"/>
          <w:bCs w:val="0"/>
          <w:color w:val="auto"/>
          <w:kern w:val="2"/>
          <w:sz w:val="32"/>
          <w:szCs w:val="30"/>
          <w:highlight w:val="none"/>
          <w:lang w:eastAsia="zh-CN"/>
        </w:rPr>
        <w:t>杭州市萧山区城厢街道拱秀社区居民委员会</w:t>
      </w:r>
    </w:p>
    <w:p>
      <w:pPr>
        <w:spacing w:line="360" w:lineRule="auto"/>
        <w:jc w:val="center"/>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0"/>
          <w:highlight w:val="none"/>
          <w:lang w:val="en-US" w:eastAsia="zh-CN"/>
        </w:rPr>
        <w:t>代理机构</w:t>
      </w:r>
      <w:r>
        <w:rPr>
          <w:rFonts w:hint="eastAsia" w:ascii="宋体" w:hAnsi="宋体" w:eastAsia="宋体" w:cs="宋体"/>
          <w:b w:val="0"/>
          <w:bCs w:val="0"/>
          <w:color w:val="auto"/>
          <w:sz w:val="32"/>
          <w:szCs w:val="30"/>
          <w:highlight w:val="none"/>
          <w:lang w:eastAsia="zh-CN"/>
        </w:rPr>
        <w:t>：</w:t>
      </w:r>
      <w:r>
        <w:rPr>
          <w:rFonts w:hint="eastAsia" w:ascii="宋体" w:hAnsi="宋体" w:cs="宋体"/>
          <w:b w:val="0"/>
          <w:bCs w:val="0"/>
          <w:color w:val="auto"/>
          <w:sz w:val="32"/>
          <w:szCs w:val="30"/>
          <w:highlight w:val="none"/>
          <w:lang w:eastAsia="zh-CN"/>
        </w:rPr>
        <w:t>浙江省工程咨询有限公司</w:t>
      </w:r>
    </w:p>
    <w:p>
      <w:pPr>
        <w:snapToGrid w:val="0"/>
        <w:spacing w:line="360" w:lineRule="auto"/>
        <w:jc w:val="center"/>
        <w:rPr>
          <w:rFonts w:hint="eastAsia" w:ascii="宋体" w:hAnsi="宋体" w:eastAsia="宋体" w:cs="宋体"/>
          <w:b w:val="0"/>
          <w:bCs w:val="0"/>
          <w:color w:val="auto"/>
          <w:sz w:val="32"/>
          <w:szCs w:val="32"/>
          <w:highlight w:val="none"/>
          <w:lang w:eastAsia="zh-CN"/>
        </w:rPr>
      </w:pPr>
      <w:r>
        <w:rPr>
          <w:rFonts w:hint="eastAsia" w:ascii="宋体" w:hAnsi="宋体" w:eastAsia="宋体" w:cs="宋体"/>
          <w:b w:val="0"/>
          <w:bCs w:val="0"/>
          <w:color w:val="auto"/>
          <w:sz w:val="32"/>
          <w:szCs w:val="32"/>
          <w:highlight w:val="none"/>
        </w:rPr>
        <w:t>二〇二</w:t>
      </w:r>
      <w:r>
        <w:rPr>
          <w:rFonts w:hint="eastAsia" w:ascii="宋体" w:hAnsi="宋体" w:cs="宋体"/>
          <w:b w:val="0"/>
          <w:bCs w:val="0"/>
          <w:color w:val="auto"/>
          <w:sz w:val="32"/>
          <w:szCs w:val="32"/>
          <w:highlight w:val="none"/>
          <w:lang w:val="en-US" w:eastAsia="zh-CN"/>
        </w:rPr>
        <w:t>四</w:t>
      </w:r>
      <w:r>
        <w:rPr>
          <w:rFonts w:hint="eastAsia" w:ascii="宋体" w:hAnsi="宋体" w:eastAsia="宋体" w:cs="宋体"/>
          <w:b w:val="0"/>
          <w:bCs w:val="0"/>
          <w:color w:val="auto"/>
          <w:sz w:val="32"/>
          <w:szCs w:val="32"/>
          <w:highlight w:val="none"/>
        </w:rPr>
        <w:t>年</w:t>
      </w:r>
      <w:r>
        <w:rPr>
          <w:rFonts w:hint="eastAsia" w:ascii="宋体" w:hAnsi="宋体" w:cs="宋体"/>
          <w:b w:val="0"/>
          <w:bCs w:val="0"/>
          <w:color w:val="auto"/>
          <w:sz w:val="32"/>
          <w:szCs w:val="32"/>
          <w:highlight w:val="none"/>
          <w:lang w:val="en-US" w:eastAsia="zh-CN"/>
        </w:rPr>
        <w:t>九</w:t>
      </w:r>
      <w:r>
        <w:rPr>
          <w:rFonts w:hint="eastAsia" w:ascii="宋体" w:hAnsi="宋体" w:eastAsia="宋体" w:cs="宋体"/>
          <w:b w:val="0"/>
          <w:bCs w:val="0"/>
          <w:color w:val="auto"/>
          <w:sz w:val="32"/>
          <w:szCs w:val="32"/>
          <w:highlight w:val="none"/>
        </w:rPr>
        <w:t>月</w:t>
      </w:r>
      <w:r>
        <w:rPr>
          <w:rFonts w:hint="eastAsia" w:ascii="宋体" w:hAnsi="宋体" w:cs="宋体"/>
          <w:b w:val="0"/>
          <w:bCs w:val="0"/>
          <w:color w:val="auto"/>
          <w:sz w:val="32"/>
          <w:szCs w:val="32"/>
          <w:highlight w:val="none"/>
          <w:lang w:eastAsia="zh-CN"/>
        </w:rPr>
        <w:t>二十</w:t>
      </w:r>
      <w:r>
        <w:rPr>
          <w:rFonts w:hint="eastAsia" w:ascii="宋体" w:hAnsi="宋体" w:eastAsia="宋体" w:cs="宋体"/>
          <w:b w:val="0"/>
          <w:bCs w:val="0"/>
          <w:color w:val="auto"/>
          <w:sz w:val="32"/>
          <w:szCs w:val="32"/>
          <w:highlight w:val="none"/>
          <w:lang w:eastAsia="zh-CN"/>
        </w:rPr>
        <w:t>日</w:t>
      </w:r>
    </w:p>
    <w:p>
      <w:pPr>
        <w:pStyle w:val="2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pPr>
        <w:pStyle w:val="65"/>
        <w:rPr>
          <w:rFonts w:hint="eastAsia" w:ascii="宋体" w:hAnsi="宋体" w:eastAsia="宋体" w:cs="宋体"/>
          <w:color w:val="auto"/>
          <w:highlight w:val="none"/>
        </w:rPr>
      </w:pPr>
    </w:p>
    <w:p>
      <w:pPr>
        <w:pStyle w:val="55"/>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55"/>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 xml:space="preserve">第一部分      </w:t>
      </w:r>
      <w:r>
        <w:rPr>
          <w:rFonts w:hint="eastAsia" w:ascii="宋体" w:hAnsi="宋体" w:eastAsia="宋体" w:cs="宋体"/>
          <w:color w:val="auto"/>
          <w:sz w:val="32"/>
          <w:szCs w:val="32"/>
          <w:highlight w:val="none"/>
          <w:lang w:eastAsia="zh-CN"/>
        </w:rPr>
        <w:t>交易公告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第二部分      </w:t>
      </w:r>
      <w:r>
        <w:rPr>
          <w:rFonts w:hint="eastAsia" w:ascii="宋体" w:hAnsi="宋体" w:eastAsia="宋体" w:cs="宋体"/>
          <w:color w:val="auto"/>
          <w:sz w:val="32"/>
          <w:szCs w:val="32"/>
          <w:highlight w:val="none"/>
          <w:lang w:eastAsia="zh-CN"/>
        </w:rPr>
        <w:t>供应商</w:t>
      </w:r>
      <w:r>
        <w:rPr>
          <w:rFonts w:hint="eastAsia" w:ascii="宋体" w:hAnsi="宋体" w:eastAsia="宋体" w:cs="宋体"/>
          <w:color w:val="auto"/>
          <w:sz w:val="32"/>
          <w:szCs w:val="32"/>
          <w:highlight w:val="none"/>
        </w:rPr>
        <w:t>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第三部分      </w:t>
      </w:r>
      <w:r>
        <w:rPr>
          <w:rFonts w:hint="eastAsia" w:ascii="宋体" w:hAnsi="宋体" w:eastAsia="宋体" w:cs="宋体"/>
          <w:color w:val="auto"/>
          <w:sz w:val="32"/>
          <w:szCs w:val="32"/>
          <w:highlight w:val="none"/>
          <w:lang w:val="en-US" w:eastAsia="zh-CN"/>
        </w:rPr>
        <w:t>交易</w:t>
      </w:r>
      <w:r>
        <w:rPr>
          <w:rFonts w:hint="eastAsia" w:ascii="宋体" w:hAnsi="宋体" w:eastAsia="宋体" w:cs="宋体"/>
          <w:color w:val="auto"/>
          <w:sz w:val="32"/>
          <w:szCs w:val="32"/>
          <w:highlight w:val="none"/>
        </w:rPr>
        <w:t>需求</w:t>
      </w:r>
    </w:p>
    <w:p>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 xml:space="preserve">第四部分      </w:t>
      </w:r>
      <w:r>
        <w:rPr>
          <w:rFonts w:hint="eastAsia" w:ascii="宋体" w:hAnsi="宋体" w:eastAsia="宋体" w:cs="宋体"/>
          <w:color w:val="auto"/>
          <w:sz w:val="32"/>
          <w:szCs w:val="32"/>
          <w:highlight w:val="none"/>
          <w:lang w:eastAsia="zh-CN"/>
        </w:rPr>
        <w:t>交易办法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lang w:eastAsia="zh-CN"/>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649545"/>
      <w:bookmarkEnd w:id="3"/>
      <w:bookmarkStart w:id="4" w:name="_Hlt74707423"/>
      <w:bookmarkEnd w:id="4"/>
      <w:bookmarkStart w:id="5" w:name="_Hlt74728647"/>
      <w:bookmarkEnd w:id="5"/>
      <w:bookmarkStart w:id="6" w:name="_Hlt74729822"/>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 xml:space="preserve">第一部分 </w:t>
      </w:r>
      <w:r>
        <w:rPr>
          <w:rFonts w:hint="eastAsia" w:ascii="宋体" w:hAnsi="宋体" w:eastAsia="宋体" w:cs="宋体"/>
          <w:b/>
          <w:color w:val="auto"/>
          <w:sz w:val="36"/>
          <w:szCs w:val="20"/>
          <w:highlight w:val="none"/>
          <w:lang w:eastAsia="zh-CN"/>
        </w:rPr>
        <w:t>交易公告</w:t>
      </w:r>
    </w:p>
    <w:p>
      <w:pPr>
        <w:pBdr>
          <w:top w:val="single" w:color="auto" w:sz="4" w:space="1"/>
          <w:left w:val="single" w:color="auto" w:sz="4" w:space="4"/>
          <w:bottom w:val="single" w:color="auto" w:sz="4" w:space="1"/>
          <w:right w:val="single" w:color="auto" w:sz="4" w:space="4"/>
        </w:pBdr>
        <w:shd w:val="clear" w:color="auto" w:fill="auto"/>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拱秀社区车辆道闸智能管理系统采购及安装项目</w:t>
      </w:r>
      <w:r>
        <w:rPr>
          <w:rFonts w:hint="eastAsia" w:ascii="宋体" w:hAnsi="宋体" w:eastAsia="宋体" w:cs="宋体"/>
          <w:color w:val="auto"/>
          <w:sz w:val="24"/>
          <w:highlight w:val="none"/>
        </w:rPr>
        <w:t>招标项目的潜在投标人应在乐采云平台（</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"https://www.zcygov.cn/）获取（下载）招标文件，并于2021年"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https://xsnbsc.lecaiyun.com）</w:t>
      </w:r>
      <w:r>
        <w:rPr>
          <w:rFonts w:hint="eastAsia" w:ascii="宋体" w:hAnsi="宋体" w:eastAsia="宋体" w:cs="宋体"/>
          <w:color w:val="auto"/>
          <w:sz w:val="24"/>
          <w:highlight w:val="none"/>
        </w:rPr>
        <w:fldChar w:fldCharType="end"/>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80"/>
          <w:rFonts w:hint="eastAsia" w:ascii="宋体" w:hAnsi="宋体" w:eastAsia="宋体" w:cs="宋体"/>
          <w:snapToGrid/>
          <w:color w:val="auto"/>
          <w:kern w:val="2"/>
          <w:sz w:val="24"/>
          <w:szCs w:val="24"/>
          <w:highlight w:val="none"/>
        </w:rPr>
        <w:t>获取（下载）招标文件，并于202</w:t>
      </w:r>
      <w:r>
        <w:rPr>
          <w:rStyle w:val="80"/>
          <w:rFonts w:hint="eastAsia" w:ascii="宋体" w:hAnsi="宋体" w:cs="宋体"/>
          <w:snapToGrid/>
          <w:color w:val="auto"/>
          <w:kern w:val="2"/>
          <w:sz w:val="24"/>
          <w:szCs w:val="24"/>
          <w:highlight w:val="none"/>
          <w:lang w:val="en-US" w:eastAsia="zh-CN"/>
        </w:rPr>
        <w:t>4</w:t>
      </w:r>
      <w:r>
        <w:rPr>
          <w:rStyle w:val="80"/>
          <w:rFonts w:hint="eastAsia" w:ascii="宋体" w:hAnsi="宋体" w:eastAsia="宋体" w:cs="宋体"/>
          <w:snapToGrid/>
          <w:color w:val="auto"/>
          <w:kern w:val="2"/>
          <w:sz w:val="24"/>
          <w:szCs w:val="24"/>
          <w:highlight w:val="none"/>
        </w:rPr>
        <w:t>年</w:t>
      </w:r>
      <w:r>
        <w:rPr>
          <w:rStyle w:val="80"/>
          <w:rFonts w:hint="eastAsia" w:ascii="宋体" w:hAnsi="宋体" w:cs="宋体"/>
          <w:snapToGrid/>
          <w:color w:val="auto"/>
          <w:kern w:val="2"/>
          <w:sz w:val="24"/>
          <w:szCs w:val="24"/>
          <w:highlight w:val="none"/>
          <w:lang w:val="en-US" w:eastAsia="zh-CN"/>
        </w:rPr>
        <w:t>10</w:t>
      </w:r>
      <w:r>
        <w:rPr>
          <w:rStyle w:val="80"/>
          <w:rFonts w:hint="eastAsia" w:ascii="宋体" w:hAnsi="宋体" w:eastAsia="宋体" w:cs="宋体"/>
          <w:snapToGrid/>
          <w:color w:val="auto"/>
          <w:kern w:val="2"/>
          <w:sz w:val="24"/>
          <w:szCs w:val="24"/>
          <w:highlight w:val="none"/>
        </w:rPr>
        <w:t>月</w:t>
      </w:r>
      <w:r>
        <w:rPr>
          <w:rStyle w:val="80"/>
          <w:rFonts w:hint="eastAsia" w:ascii="宋体" w:hAnsi="宋体" w:cs="宋体"/>
          <w:snapToGrid/>
          <w:color w:val="auto"/>
          <w:kern w:val="2"/>
          <w:sz w:val="24"/>
          <w:szCs w:val="24"/>
          <w:highlight w:val="none"/>
          <w:lang w:val="en-US" w:eastAsia="zh-CN"/>
        </w:rPr>
        <w:t>10</w:t>
      </w:r>
      <w:r>
        <w:rPr>
          <w:rStyle w:val="80"/>
          <w:rFonts w:hint="eastAsia" w:ascii="宋体" w:hAnsi="宋体" w:eastAsia="宋体" w:cs="宋体"/>
          <w:snapToGrid/>
          <w:color w:val="auto"/>
          <w:kern w:val="2"/>
          <w:sz w:val="24"/>
          <w:szCs w:val="24"/>
          <w:highlight w:val="none"/>
        </w:rPr>
        <w:t>日</w:t>
      </w:r>
      <w:r>
        <w:rPr>
          <w:rStyle w:val="80"/>
          <w:rFonts w:hint="eastAsia" w:ascii="宋体" w:hAnsi="宋体" w:cs="宋体"/>
          <w:snapToGrid/>
          <w:color w:val="auto"/>
          <w:kern w:val="2"/>
          <w:sz w:val="24"/>
          <w:szCs w:val="24"/>
          <w:highlight w:val="none"/>
          <w:lang w:val="en-US" w:eastAsia="zh-CN"/>
        </w:rPr>
        <w:t>09</w:t>
      </w:r>
      <w:r>
        <w:rPr>
          <w:rStyle w:val="80"/>
          <w:rFonts w:hint="eastAsia" w:ascii="宋体" w:hAnsi="宋体" w:eastAsia="宋体" w:cs="宋体"/>
          <w:snapToGrid/>
          <w:color w:val="auto"/>
          <w:kern w:val="2"/>
          <w:sz w:val="24"/>
          <w:szCs w:val="24"/>
          <w:highlight w:val="none"/>
        </w:rPr>
        <w:t>点</w:t>
      </w:r>
      <w:r>
        <w:rPr>
          <w:rStyle w:val="80"/>
          <w:rFonts w:hint="eastAsia" w:ascii="宋体" w:hAnsi="宋体" w:cs="宋体"/>
          <w:snapToGrid/>
          <w:color w:val="auto"/>
          <w:kern w:val="2"/>
          <w:sz w:val="24"/>
          <w:szCs w:val="24"/>
          <w:highlight w:val="none"/>
          <w:lang w:val="en-US" w:eastAsia="zh-CN"/>
        </w:rPr>
        <w:t>30</w:t>
      </w:r>
      <w:r>
        <w:rPr>
          <w:rStyle w:val="80"/>
          <w:rFonts w:hint="eastAsia" w:ascii="宋体" w:hAnsi="宋体" w:eastAsia="宋体" w:cs="宋体"/>
          <w:snapToGrid/>
          <w:color w:val="auto"/>
          <w:kern w:val="2"/>
          <w:sz w:val="24"/>
          <w:szCs w:val="24"/>
          <w:highlight w:val="none"/>
        </w:rPr>
        <w:t>分</w:t>
      </w:r>
      <w:r>
        <w:rPr>
          <w:rStyle w:val="80"/>
          <w:rFonts w:hint="eastAsia" w:ascii="宋体" w:hAnsi="宋体" w:cs="宋体"/>
          <w:bCs/>
          <w:snapToGrid/>
          <w:color w:val="auto"/>
          <w:kern w:val="2"/>
          <w:sz w:val="24"/>
          <w:szCs w:val="24"/>
          <w:highlight w:val="none"/>
          <w:lang w:val="en-US" w:eastAsia="zh-CN"/>
        </w:rPr>
        <w:t>00</w:t>
      </w:r>
      <w:r>
        <w:rPr>
          <w:rStyle w:val="80"/>
          <w:rFonts w:hint="eastAsia" w:ascii="宋体" w:hAnsi="宋体" w:eastAsia="宋体" w:cs="宋体"/>
          <w:bCs/>
          <w:snapToGrid/>
          <w:color w:val="auto"/>
          <w:kern w:val="2"/>
          <w:sz w:val="24"/>
          <w:szCs w:val="24"/>
          <w:highlight w:val="none"/>
        </w:rPr>
        <w:t>秒</w:t>
      </w:r>
      <w:r>
        <w:rPr>
          <w:rStyle w:val="80"/>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一、基本情况</w:t>
      </w:r>
    </w:p>
    <w:p>
      <w:pPr>
        <w:adjustRightInd/>
        <w:spacing w:line="360" w:lineRule="auto"/>
        <w:ind w:firstLine="482" w:firstLineChars="200"/>
        <w:jc w:val="both"/>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交易</w:t>
      </w:r>
      <w:r>
        <w:rPr>
          <w:rFonts w:hint="eastAsia" w:ascii="宋体" w:hAnsi="宋体" w:eastAsia="宋体" w:cs="宋体"/>
          <w:b/>
          <w:color w:val="auto"/>
          <w:sz w:val="24"/>
          <w:highlight w:val="none"/>
        </w:rPr>
        <w:t>编号：</w:t>
      </w:r>
      <w:r>
        <w:rPr>
          <w:rFonts w:hint="eastAsia" w:ascii="宋体" w:hAnsi="宋体" w:cs="宋体"/>
          <w:b/>
          <w:color w:val="auto"/>
          <w:sz w:val="24"/>
          <w:highlight w:val="none"/>
          <w:lang w:eastAsia="zh-CN"/>
        </w:rPr>
        <w:t>SGCCGDL-2024-073</w:t>
      </w:r>
    </w:p>
    <w:p>
      <w:pPr>
        <w:spacing w:line="360" w:lineRule="auto"/>
        <w:ind w:firstLine="480"/>
        <w:rPr>
          <w:rFonts w:hint="eastAsia" w:ascii="宋体" w:hAnsi="宋体" w:eastAsia="宋体" w:cs="宋体"/>
          <w:color w:val="auto"/>
          <w:sz w:val="24"/>
          <w:szCs w:val="28"/>
          <w:highlight w:val="none"/>
          <w:lang w:val="en-US" w:eastAsia="zh-CN"/>
        </w:rPr>
      </w:pPr>
      <w:r>
        <w:rPr>
          <w:rFonts w:hint="eastAsia" w:ascii="宋体" w:hAnsi="宋体" w:eastAsia="宋体" w:cs="宋体"/>
          <w:b/>
          <w:color w:val="auto"/>
          <w:sz w:val="24"/>
          <w:highlight w:val="none"/>
          <w:lang w:val="en-US" w:eastAsia="zh-CN"/>
        </w:rPr>
        <w:t>交易</w:t>
      </w:r>
      <w:r>
        <w:rPr>
          <w:rFonts w:hint="eastAsia" w:ascii="宋体" w:hAnsi="宋体" w:eastAsia="宋体" w:cs="宋体"/>
          <w:b/>
          <w:color w:val="auto"/>
          <w:sz w:val="24"/>
          <w:highlight w:val="none"/>
        </w:rPr>
        <w:t>名称：</w:t>
      </w:r>
      <w:r>
        <w:rPr>
          <w:rFonts w:hint="eastAsia" w:ascii="宋体" w:hAnsi="宋体" w:cs="宋体"/>
          <w:color w:val="auto"/>
          <w:sz w:val="24"/>
          <w:szCs w:val="28"/>
          <w:highlight w:val="none"/>
          <w:lang w:val="en-US" w:eastAsia="zh-CN"/>
        </w:rPr>
        <w:t>拱秀社区车辆道闸智能管理系统采购及安装项目</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w:t>
      </w:r>
      <w:r>
        <w:rPr>
          <w:rFonts w:hint="eastAsia" w:ascii="宋体" w:hAnsi="宋体" w:cs="宋体"/>
          <w:color w:val="auto"/>
          <w:sz w:val="24"/>
          <w:szCs w:val="28"/>
          <w:highlight w:val="none"/>
          <w:lang w:val="en-US" w:eastAsia="zh-CN"/>
        </w:rPr>
        <w:t>400000元</w:t>
      </w:r>
      <w:r>
        <w:rPr>
          <w:rFonts w:hint="eastAsia" w:ascii="宋体" w:hAnsi="宋体" w:eastAsia="宋体" w:cs="宋体"/>
          <w:color w:val="auto"/>
          <w:sz w:val="24"/>
          <w:highlight w:val="none"/>
        </w:rPr>
        <w:t xml:space="preserve">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w:t>
      </w:r>
      <w:r>
        <w:rPr>
          <w:rFonts w:hint="eastAsia" w:ascii="宋体" w:hAnsi="宋体" w:cs="宋体"/>
          <w:color w:val="auto"/>
          <w:sz w:val="24"/>
          <w:szCs w:val="28"/>
          <w:highlight w:val="none"/>
          <w:lang w:val="en-US" w:eastAsia="zh-CN"/>
        </w:rPr>
        <w:t>400000元</w:t>
      </w:r>
      <w:r>
        <w:rPr>
          <w:rFonts w:hint="eastAsia" w:ascii="宋体" w:hAnsi="宋体" w:eastAsia="宋体" w:cs="宋体"/>
          <w:color w:val="auto"/>
          <w:sz w:val="24"/>
          <w:highlight w:val="none"/>
        </w:rPr>
        <w:t xml:space="preserve">  </w:t>
      </w:r>
    </w:p>
    <w:p>
      <w:pPr>
        <w:pStyle w:val="21"/>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交易</w:t>
      </w:r>
      <w:r>
        <w:rPr>
          <w:rFonts w:hint="eastAsia" w:ascii="宋体" w:hAnsi="宋体" w:eastAsia="宋体" w:cs="宋体"/>
          <w:b/>
          <w:color w:val="auto"/>
          <w:sz w:val="24"/>
          <w:highlight w:val="none"/>
        </w:rPr>
        <w:t>需求：</w:t>
      </w:r>
    </w:p>
    <w:p>
      <w:pPr>
        <w:pStyle w:val="21"/>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简要规格描述或项目基本概况介绍、用途：</w:t>
      </w:r>
      <w:r>
        <w:rPr>
          <w:rFonts w:hint="eastAsia" w:ascii="宋体" w:hAnsi="宋体" w:eastAsia="宋体" w:cs="宋体"/>
          <w:color w:val="auto"/>
          <w:sz w:val="24"/>
          <w:szCs w:val="28"/>
          <w:highlight w:val="none"/>
        </w:rPr>
        <w:t>详见</w:t>
      </w:r>
      <w:r>
        <w:rPr>
          <w:rFonts w:hint="eastAsia" w:ascii="宋体" w:hAnsi="宋体" w:eastAsia="宋体" w:cs="宋体"/>
          <w:color w:val="auto"/>
          <w:sz w:val="24"/>
          <w:szCs w:val="28"/>
          <w:highlight w:val="none"/>
          <w:lang w:eastAsia="zh-CN"/>
        </w:rPr>
        <w:t>交易文件</w:t>
      </w:r>
    </w:p>
    <w:p>
      <w:pPr>
        <w:pStyle w:val="21"/>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备注：</w:t>
      </w:r>
      <w:r>
        <w:rPr>
          <w:rFonts w:hint="eastAsia" w:hAnsi="宋体" w:cs="宋体"/>
          <w:color w:val="auto"/>
          <w:sz w:val="24"/>
          <w:highlight w:val="none"/>
          <w:lang w:val="en-US" w:eastAsia="zh-CN"/>
        </w:rPr>
        <w:t>/</w:t>
      </w:r>
    </w:p>
    <w:p>
      <w:pPr>
        <w:pStyle w:val="21"/>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b/>
          <w:color w:val="auto"/>
          <w:sz w:val="24"/>
          <w:szCs w:val="18"/>
          <w:highlight w:val="none"/>
        </w:rPr>
        <w:t>合同履约期限：</w:t>
      </w:r>
      <w:r>
        <w:rPr>
          <w:rFonts w:hint="eastAsia" w:hAnsi="宋体" w:cs="宋体"/>
          <w:b/>
          <w:color w:val="auto"/>
          <w:sz w:val="24"/>
          <w:szCs w:val="18"/>
          <w:highlight w:val="none"/>
          <w:lang w:eastAsia="zh-CN"/>
        </w:rPr>
        <w:t>详见采购需求</w:t>
      </w:r>
    </w:p>
    <w:p>
      <w:pPr>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w:t>
      </w:r>
      <w:r>
        <w:rPr>
          <w:rFonts w:hint="eastAsia" w:ascii="宋体" w:hAnsi="宋体" w:eastAsia="宋体" w:cs="宋体"/>
          <w:b/>
          <w:color w:val="auto"/>
          <w:sz w:val="24"/>
          <w:highlight w:val="none"/>
          <w:lang w:val="en-US" w:eastAsia="zh-CN"/>
        </w:rPr>
        <w:t>响应</w:t>
      </w:r>
      <w:r>
        <w:rPr>
          <w:rFonts w:hint="eastAsia" w:ascii="宋体" w:hAnsi="宋体" w:eastAsia="宋体" w:cs="宋体"/>
          <w:b/>
          <w:color w:val="auto"/>
          <w:sz w:val="24"/>
          <w:highlight w:val="none"/>
        </w:rPr>
        <w:t>：（ ）是；（√）否</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pacing w:line="440" w:lineRule="exact"/>
        <w:ind w:right="21" w:rightChars="1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pacing w:line="440" w:lineRule="exact"/>
        <w:ind w:right="21" w:rightChars="1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spacing w:line="440" w:lineRule="exact"/>
        <w:ind w:right="21" w:rightChars="1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pacing w:line="440" w:lineRule="exact"/>
        <w:ind w:right="21" w:rightChars="1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pacing w:line="440" w:lineRule="exact"/>
        <w:ind w:right="21" w:rightChars="1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活动前三年内，在经营活动中没有重大违法记录；</w:t>
      </w:r>
    </w:p>
    <w:p>
      <w:pPr>
        <w:spacing w:line="440" w:lineRule="exact"/>
        <w:ind w:right="21" w:rightChars="1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pPr>
        <w:spacing w:line="440" w:lineRule="exact"/>
        <w:ind w:right="21" w:rightChars="1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、本项目不接受联合体参与（潜在供应商能独立完成本项目）。</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w:t>
      </w:r>
      <w:r>
        <w:rPr>
          <w:rFonts w:hint="eastAsia" w:ascii="宋体" w:hAnsi="宋体" w:eastAsia="宋体" w:cs="宋体"/>
          <w:b/>
          <w:color w:val="auto"/>
          <w:sz w:val="24"/>
          <w:highlight w:val="none"/>
          <w:lang w:eastAsia="zh-CN"/>
        </w:rPr>
        <w:t>交易文件</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lang w:val="en-US" w:eastAsia="zh-CN"/>
        </w:rPr>
        <w:t>日</w:t>
      </w:r>
      <w:r>
        <w:rPr>
          <w:rFonts w:hint="eastAsia" w:ascii="宋体" w:hAnsi="宋体" w:eastAsia="宋体" w:cs="宋体"/>
          <w:color w:val="auto"/>
          <w:sz w:val="24"/>
          <w:highlight w:val="none"/>
        </w:rPr>
        <w:t>，每天上午00:00至12:00，下午12:00至23:59（北京时间，线上获取法定节假日均可，线下获取文件法定节假日除外）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平台（</w:t>
      </w:r>
      <w:r>
        <w:rPr>
          <w:rFonts w:hint="eastAsia" w:ascii="宋体" w:hAnsi="宋体" w:cs="宋体"/>
          <w:color w:val="auto"/>
          <w:sz w:val="24"/>
          <w:highlight w:val="none"/>
          <w:lang w:eastAsia="zh-CN"/>
        </w:rPr>
        <w:t>https://www.lecaiyun.com/</w:t>
      </w:r>
      <w:r>
        <w:rPr>
          <w:rFonts w:hint="eastAsia" w:ascii="宋体" w:hAnsi="宋体" w:eastAsia="宋体" w:cs="宋体"/>
          <w:color w:val="auto"/>
          <w:sz w:val="24"/>
          <w:highlight w:val="none"/>
        </w:rPr>
        <w:t>）</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供应商登录</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平台</w:t>
      </w:r>
      <w:r>
        <w:rPr>
          <w:rFonts w:hint="eastAsia" w:ascii="宋体" w:hAnsi="宋体" w:cs="宋体"/>
          <w:color w:val="auto"/>
          <w:sz w:val="24"/>
          <w:highlight w:val="none"/>
          <w:lang w:eastAsia="zh-CN"/>
        </w:rPr>
        <w:t>https://www.lecaiyun.com/</w:t>
      </w:r>
      <w:r>
        <w:rPr>
          <w:rFonts w:hint="eastAsia" w:ascii="宋体" w:hAnsi="宋体" w:eastAsia="宋体" w:cs="宋体"/>
          <w:color w:val="auto"/>
          <w:sz w:val="24"/>
          <w:highlight w:val="none"/>
        </w:rPr>
        <w:t>在线申请获取采购文件（进入“项目采购”应用，在获取采购文件菜单中选择项目，申请获取采购文件）。</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0</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截止时间、</w:t>
      </w:r>
      <w:r>
        <w:rPr>
          <w:rFonts w:hint="eastAsia" w:ascii="宋体" w:hAnsi="宋体" w:eastAsia="宋体" w:cs="宋体"/>
          <w:b/>
          <w:color w:val="auto"/>
          <w:sz w:val="24"/>
          <w:highlight w:val="none"/>
          <w:lang w:eastAsia="zh-CN"/>
        </w:rPr>
        <w:t>交易时间</w:t>
      </w:r>
      <w:r>
        <w:rPr>
          <w:rFonts w:hint="eastAsia" w:ascii="宋体" w:hAnsi="宋体" w:eastAsia="宋体" w:cs="宋体"/>
          <w:b/>
          <w:color w:val="auto"/>
          <w:sz w:val="24"/>
          <w:highlight w:val="none"/>
        </w:rPr>
        <w:t>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截止时间：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交易</w:t>
      </w:r>
      <w:r>
        <w:rPr>
          <w:rFonts w:hint="eastAsia" w:ascii="宋体" w:hAnsi="宋体" w:eastAsia="宋体" w:cs="宋体"/>
          <w:b/>
          <w:color w:val="auto"/>
          <w:sz w:val="24"/>
          <w:highlight w:val="none"/>
        </w:rPr>
        <w:t>地点（网址）：</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平台（</w:t>
      </w:r>
      <w:r>
        <w:rPr>
          <w:rFonts w:hint="eastAsia" w:ascii="宋体" w:hAnsi="宋体" w:cs="宋体"/>
          <w:color w:val="auto"/>
          <w:sz w:val="24"/>
          <w:highlight w:val="none"/>
          <w:lang w:eastAsia="zh-CN"/>
        </w:rPr>
        <w:t>https://www.lecaiyun.com/</w:t>
      </w:r>
      <w:r>
        <w:rPr>
          <w:rFonts w:hint="eastAsia" w:ascii="宋体" w:hAnsi="宋体" w:eastAsia="宋体" w:cs="宋体"/>
          <w:color w:val="auto"/>
          <w:sz w:val="24"/>
          <w:highlight w:val="none"/>
        </w:rPr>
        <w:t>）</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lang w:eastAsia="zh-CN"/>
        </w:rPr>
        <w:t>交易时间</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交易</w:t>
      </w:r>
      <w:r>
        <w:rPr>
          <w:rFonts w:hint="eastAsia" w:ascii="宋体" w:hAnsi="宋体" w:eastAsia="宋体" w:cs="宋体"/>
          <w:b/>
          <w:color w:val="auto"/>
          <w:sz w:val="24"/>
          <w:highlight w:val="none"/>
        </w:rPr>
        <w:t>地点（网址）：</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平台（</w:t>
      </w:r>
      <w:r>
        <w:rPr>
          <w:rFonts w:hint="eastAsia" w:ascii="宋体" w:hAnsi="宋体" w:cs="宋体"/>
          <w:color w:val="auto"/>
          <w:sz w:val="24"/>
          <w:highlight w:val="none"/>
          <w:lang w:eastAsia="zh-CN"/>
        </w:rPr>
        <w:t>https://www.lecaiyun.com/</w:t>
      </w:r>
      <w:r>
        <w:rPr>
          <w:rFonts w:hint="eastAsia" w:ascii="宋体" w:hAnsi="宋体" w:eastAsia="宋体" w:cs="宋体"/>
          <w:color w:val="auto"/>
          <w:sz w:val="24"/>
          <w:highlight w:val="none"/>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五</w:t>
      </w:r>
      <w:r>
        <w:rPr>
          <w:rFonts w:hint="eastAsia" w:ascii="宋体" w:hAnsi="宋体" w:eastAsia="宋体" w:cs="宋体"/>
          <w:b/>
          <w:color w:val="auto"/>
          <w:sz w:val="24"/>
          <w:highlight w:val="none"/>
        </w:rPr>
        <w:t>、其他补充事宜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1.供应商认为</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使自己的权益受到损害的，可以自获取</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之日起</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个工作日内，以书面形式向</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和</w:t>
      </w:r>
      <w:r>
        <w:rPr>
          <w:rFonts w:hint="eastAsia" w:ascii="宋体" w:hAnsi="宋体" w:eastAsia="宋体" w:cs="宋体"/>
          <w:color w:val="auto"/>
          <w:sz w:val="24"/>
          <w:highlight w:val="none"/>
          <w:lang w:val="en-US" w:eastAsia="zh-CN"/>
        </w:rPr>
        <w:t>代理</w:t>
      </w:r>
      <w:r>
        <w:rPr>
          <w:rFonts w:hint="eastAsia" w:ascii="宋体" w:hAnsi="宋体" w:eastAsia="宋体" w:cs="宋体"/>
          <w:color w:val="auto"/>
          <w:sz w:val="24"/>
          <w:highlight w:val="none"/>
        </w:rPr>
        <w:t>代理机构提出质疑。质疑供应商对</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、代理机构的答复不满意或者</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、代理机构未在规定的时间内作出答复的，可以在答复期满后十五个工作日内向采购监督管理部门投诉。质疑函范本、投诉书范本请到浙江网下载专区下载。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2.其他事项：电子</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的说明：①电子</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：本项目以数据电文形式，依托“</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https://www.lecaiyun.com/</w:t>
      </w:r>
      <w:r>
        <w:rPr>
          <w:rFonts w:hint="eastAsia" w:ascii="宋体" w:hAnsi="宋体" w:eastAsia="宋体" w:cs="宋体"/>
          <w:color w:val="auto"/>
          <w:sz w:val="24"/>
          <w:highlight w:val="none"/>
        </w:rPr>
        <w:t>）”进行</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活动，不接受纸质</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；②</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准备：注册账号--点击“商家入驻”，进行供应商资料填写；</w:t>
      </w:r>
      <w:r>
        <w:rPr>
          <w:rStyle w:val="969"/>
          <w:rFonts w:ascii="宋体" w:hAnsi="宋体"/>
          <w:color w:val="auto"/>
          <w:sz w:val="24"/>
          <w:highlight w:val="none"/>
        </w:rPr>
        <w:t>申领CA数字证书；安装“</w:t>
      </w:r>
      <w:r>
        <w:rPr>
          <w:rStyle w:val="969"/>
          <w:rFonts w:hint="eastAsia" w:ascii="宋体" w:hAnsi="宋体"/>
          <w:color w:val="auto"/>
          <w:sz w:val="24"/>
          <w:highlight w:val="none"/>
        </w:rPr>
        <w:t>乐采云投标客户端</w:t>
      </w:r>
      <w:r>
        <w:rPr>
          <w:rStyle w:val="969"/>
          <w:rFonts w:ascii="宋体" w:hAnsi="宋体"/>
          <w:color w:val="auto"/>
          <w:sz w:val="24"/>
          <w:highlight w:val="none"/>
        </w:rPr>
        <w:t>”----前往“</w:t>
      </w:r>
      <w:r>
        <w:rPr>
          <w:rStyle w:val="969"/>
          <w:rFonts w:hint="eastAsia" w:ascii="宋体" w:hAnsi="宋体"/>
          <w:color w:val="auto"/>
          <w:sz w:val="24"/>
          <w:highlight w:val="none"/>
        </w:rPr>
        <w:t>https://b.zhengcaiyun.cn/luban/category?parentId=550045&amp;childrenCode=qicaiCategory17&amp;utm=luban.luban-PC-39026.959-pc-websitegroup-navBar-front.8.c8789bc0520b11efb86dbfa49a87be0d</w:t>
      </w:r>
      <w:r>
        <w:rPr>
          <w:rStyle w:val="969"/>
          <w:rFonts w:ascii="宋体" w:hAnsi="宋体"/>
          <w:color w:val="auto"/>
          <w:sz w:val="24"/>
          <w:highlight w:val="none"/>
        </w:rPr>
        <w:t>”进行下载并安装</w:t>
      </w:r>
      <w:r>
        <w:rPr>
          <w:rFonts w:hint="eastAsia" w:ascii="宋体" w:hAnsi="宋体" w:eastAsia="宋体" w:cs="宋体"/>
          <w:color w:val="auto"/>
          <w:sz w:val="24"/>
          <w:highlight w:val="none"/>
        </w:rPr>
        <w:t>③</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的获取：使用账号登录或者使用CA登录</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平台；进入“项目采购”应用，在获取</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文件菜单中选择项目，获取</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；④</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的制作：在“</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电子交易客户端”中完成“填写基本信息”、“导入</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”、“标书关联”、“标书检查”、“电子签名”、“生成电子标书”等操作；⑤</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代理</w:t>
      </w:r>
      <w:r>
        <w:rPr>
          <w:rFonts w:hint="eastAsia" w:ascii="宋体" w:hAnsi="宋体" w:eastAsia="宋体" w:cs="宋体"/>
          <w:color w:val="auto"/>
          <w:sz w:val="24"/>
          <w:highlight w:val="none"/>
        </w:rPr>
        <w:t>机构将依托</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平台完成本项目的电子交易活动，平台不接受未按上述方式获取</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的供应商进行</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 ⑥对未按上述方式获取</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的供应商对该文件提出的质疑，</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或代理机构将不予处理；⑦不提供</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纸质版；⑧</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的传输递交：</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截止时间前将加密的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上传至</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，还可以在</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截止时间前直接提交或者以邮政快递方式递交备份</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1份。备份</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的制作、存储、密封详见</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第二部分第15点—“备份</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”；⑨</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的解密：</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按照平台提示和</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的规定在半小时内完成在线解密。通过“</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”上传递交的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无法按时解密，</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供应商递交了备份</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的，以备份</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为依据，否则视为</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撤回。通过“</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”上传递交的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已按时解密的，备份</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自动失效。</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仅提交备份</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，未在电子交易平台传输递交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交易无效</w:t>
      </w:r>
      <w:r>
        <w:rPr>
          <w:rFonts w:hint="eastAsia" w:ascii="宋体" w:hAnsi="宋体" w:eastAsia="宋体" w:cs="宋体"/>
          <w:color w:val="auto"/>
          <w:sz w:val="24"/>
          <w:highlight w:val="none"/>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w:t>
      </w:r>
      <w:r>
        <w:rPr>
          <w:rFonts w:hint="eastAsia" w:ascii="宋体" w:hAnsi="宋体" w:eastAsia="宋体" w:cs="宋体"/>
          <w:b/>
          <w:color w:val="auto"/>
          <w:sz w:val="24"/>
          <w:highlight w:val="none"/>
          <w:lang w:val="en-US" w:eastAsia="zh-CN"/>
        </w:rPr>
        <w:t>交易</w:t>
      </w:r>
      <w:r>
        <w:rPr>
          <w:rFonts w:hint="eastAsia" w:ascii="宋体" w:hAnsi="宋体" w:eastAsia="宋体" w:cs="宋体"/>
          <w:b/>
          <w:color w:val="auto"/>
          <w:sz w:val="24"/>
          <w:highlight w:val="none"/>
        </w:rPr>
        <w:t>提出询问、质疑、投诉，请按以下方式联系</w:t>
      </w:r>
    </w:p>
    <w:p>
      <w:pPr>
        <w:widowControl/>
        <w:spacing w:line="360" w:lineRule="auto"/>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w:t>
      </w:r>
      <w:r>
        <w:rPr>
          <w:rFonts w:hint="eastAsia" w:ascii="宋体" w:hAnsi="宋体" w:eastAsia="宋体" w:cs="宋体"/>
          <w:color w:val="auto"/>
          <w:sz w:val="24"/>
          <w:szCs w:val="28"/>
          <w:highlight w:val="none"/>
          <w:lang w:eastAsia="zh-CN"/>
        </w:rPr>
        <w:t>交易发起人</w:t>
      </w:r>
      <w:r>
        <w:rPr>
          <w:rFonts w:hint="eastAsia" w:ascii="宋体" w:hAnsi="宋体" w:eastAsia="宋体" w:cs="宋体"/>
          <w:color w:val="auto"/>
          <w:sz w:val="24"/>
          <w:szCs w:val="28"/>
          <w:highlight w:val="none"/>
        </w:rPr>
        <w:t>信息</w:t>
      </w:r>
    </w:p>
    <w:p>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名称：</w:t>
      </w:r>
      <w:r>
        <w:rPr>
          <w:rFonts w:hint="eastAsia" w:ascii="宋体" w:hAnsi="宋体" w:cs="宋体"/>
          <w:color w:val="auto"/>
          <w:sz w:val="24"/>
          <w:highlight w:val="none"/>
          <w:lang w:val="en-US" w:eastAsia="zh-CN"/>
        </w:rPr>
        <w:t>杭州市萧山区城厢街道拱秀社区居民委员会</w:t>
      </w:r>
    </w:p>
    <w:p>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地址：浙江省杭州市萧山区高桥住宅区109幢</w:t>
      </w:r>
      <w:r>
        <w:rPr>
          <w:rFonts w:hint="eastAsia" w:ascii="宋体" w:hAnsi="宋体" w:cs="宋体"/>
          <w:color w:val="auto"/>
          <w:sz w:val="24"/>
          <w:highlight w:val="none"/>
          <w:lang w:val="en-US" w:eastAsia="zh-CN"/>
        </w:rPr>
        <w:t xml:space="preserve"> </w:t>
      </w:r>
    </w:p>
    <w:p>
      <w:pPr>
        <w:spacing w:line="360" w:lineRule="auto"/>
        <w:jc w:val="left"/>
        <w:rPr>
          <w:rFonts w:hint="eastAsia" w:ascii="宋体" w:hAnsi="宋体" w:eastAsia="宋体" w:cs="宋体"/>
          <w:color w:val="auto"/>
          <w:sz w:val="24"/>
          <w:highlight w:val="none"/>
          <w:lang w:val="en-US" w:eastAsia="zh-CN"/>
        </w:rPr>
      </w:pPr>
      <w:bookmarkStart w:id="10" w:name="_Toc28359009"/>
      <w:bookmarkStart w:id="11" w:name="_Toc28359086"/>
      <w:r>
        <w:rPr>
          <w:rFonts w:hint="eastAsia" w:ascii="宋体" w:hAnsi="宋体" w:eastAsia="宋体" w:cs="宋体"/>
          <w:color w:val="auto"/>
          <w:sz w:val="24"/>
          <w:highlight w:val="none"/>
          <w:lang w:val="en-US" w:eastAsia="zh-CN"/>
        </w:rPr>
        <w:t>项目联系人（询问）：崔德鹏</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 xml:space="preserve"> </w:t>
      </w:r>
    </w:p>
    <w:p>
      <w:pPr>
        <w:spacing w:line="360" w:lineRule="auto"/>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项目联系方式（询问）：18957106996</w:t>
      </w:r>
      <w:r>
        <w:rPr>
          <w:rFonts w:hint="eastAsia" w:ascii="宋体" w:hAnsi="宋体" w:cs="宋体"/>
          <w:color w:val="auto"/>
          <w:sz w:val="24"/>
          <w:highlight w:val="none"/>
          <w:lang w:val="en-US" w:eastAsia="zh-CN"/>
        </w:rPr>
        <w:t xml:space="preserve"> </w:t>
      </w:r>
    </w:p>
    <w:p>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bookmarkEnd w:id="10"/>
      <w:bookmarkEnd w:id="11"/>
      <w:r>
        <w:rPr>
          <w:rFonts w:hint="eastAsia" w:ascii="宋体" w:hAnsi="宋体" w:eastAsia="宋体" w:cs="宋体"/>
          <w:color w:val="auto"/>
          <w:sz w:val="24"/>
          <w:highlight w:val="none"/>
          <w:lang w:val="en-US" w:eastAsia="zh-CN"/>
        </w:rPr>
        <w:t>代理机构信息</w:t>
      </w:r>
    </w:p>
    <w:p>
      <w:pPr>
        <w:snapToGrid w:val="0"/>
        <w:spacing w:line="360" w:lineRule="auto"/>
        <w:jc w:val="left"/>
        <w:rPr>
          <w:rStyle w:val="969"/>
          <w:rFonts w:ascii="宋体" w:hAnsi="宋体"/>
          <w:color w:val="auto"/>
          <w:kern w:val="0"/>
          <w:sz w:val="24"/>
          <w:highlight w:val="none"/>
        </w:rPr>
      </w:pPr>
      <w:r>
        <w:rPr>
          <w:rStyle w:val="969"/>
          <w:rFonts w:ascii="宋体" w:hAnsi="宋体"/>
          <w:color w:val="auto"/>
          <w:kern w:val="0"/>
          <w:sz w:val="24"/>
          <w:highlight w:val="none"/>
        </w:rPr>
        <w:t>名 称：浙江省工程咨询有限公司</w:t>
      </w:r>
    </w:p>
    <w:p>
      <w:pPr>
        <w:snapToGrid w:val="0"/>
        <w:spacing w:line="360" w:lineRule="auto"/>
        <w:jc w:val="left"/>
        <w:rPr>
          <w:rStyle w:val="969"/>
          <w:rFonts w:ascii="宋体" w:hAnsi="宋体"/>
          <w:color w:val="auto"/>
          <w:sz w:val="24"/>
          <w:highlight w:val="none"/>
        </w:rPr>
      </w:pPr>
      <w:r>
        <w:rPr>
          <w:rStyle w:val="969"/>
          <w:rFonts w:ascii="宋体" w:hAnsi="宋体"/>
          <w:color w:val="auto"/>
          <w:sz w:val="24"/>
          <w:szCs w:val="28"/>
          <w:highlight w:val="none"/>
        </w:rPr>
        <w:t>地址：</w:t>
      </w:r>
      <w:r>
        <w:rPr>
          <w:rStyle w:val="969"/>
          <w:rFonts w:ascii="宋体" w:hAnsi="宋体"/>
          <w:color w:val="auto"/>
          <w:sz w:val="24"/>
          <w:highlight w:val="none"/>
        </w:rPr>
        <w:t>萧山区金惠路358号汇通大厦4幢15楼</w:t>
      </w:r>
    </w:p>
    <w:p>
      <w:pPr>
        <w:snapToGrid w:val="0"/>
        <w:spacing w:line="360" w:lineRule="auto"/>
        <w:jc w:val="left"/>
        <w:rPr>
          <w:rStyle w:val="969"/>
          <w:rFonts w:hint="default" w:ascii="宋体" w:hAnsi="宋体"/>
          <w:color w:val="auto"/>
          <w:kern w:val="0"/>
          <w:sz w:val="24"/>
          <w:highlight w:val="none"/>
          <w:lang w:val="en-US"/>
        </w:rPr>
      </w:pPr>
      <w:r>
        <w:rPr>
          <w:rStyle w:val="969"/>
          <w:rFonts w:ascii="宋体" w:hAnsi="宋体"/>
          <w:color w:val="auto"/>
          <w:sz w:val="24"/>
          <w:szCs w:val="28"/>
          <w:highlight w:val="none"/>
        </w:rPr>
        <w:t>项目联系人（询问）：</w:t>
      </w:r>
      <w:r>
        <w:rPr>
          <w:rStyle w:val="969"/>
          <w:rFonts w:hint="eastAsia" w:ascii="宋体" w:hAnsi="宋体"/>
          <w:color w:val="auto"/>
          <w:kern w:val="0"/>
          <w:sz w:val="24"/>
          <w:highlight w:val="none"/>
          <w:lang w:val="en-US"/>
        </w:rPr>
        <w:t>瞿丽春</w:t>
      </w:r>
    </w:p>
    <w:p>
      <w:pPr>
        <w:snapToGrid w:val="0"/>
        <w:spacing w:line="360" w:lineRule="auto"/>
        <w:jc w:val="left"/>
        <w:rPr>
          <w:rStyle w:val="969"/>
          <w:rFonts w:hint="default" w:ascii="宋体" w:hAnsi="宋体" w:eastAsia="宋体"/>
          <w:color w:val="auto"/>
          <w:kern w:val="0"/>
          <w:sz w:val="24"/>
          <w:highlight w:val="none"/>
          <w:lang w:val="en-US" w:eastAsia="zh-CN"/>
        </w:rPr>
      </w:pPr>
      <w:r>
        <w:rPr>
          <w:rStyle w:val="969"/>
          <w:rFonts w:ascii="宋体" w:hAnsi="宋体"/>
          <w:color w:val="auto"/>
          <w:sz w:val="24"/>
          <w:szCs w:val="28"/>
          <w:highlight w:val="none"/>
        </w:rPr>
        <w:t>项目联系方式（询问）：</w:t>
      </w:r>
      <w:r>
        <w:rPr>
          <w:rStyle w:val="969"/>
          <w:rFonts w:hint="eastAsia" w:ascii="宋体" w:hAnsi="宋体"/>
          <w:color w:val="auto"/>
          <w:kern w:val="0"/>
          <w:sz w:val="24"/>
          <w:highlight w:val="none"/>
          <w:lang w:val="en-US" w:eastAsia="zh-CN"/>
        </w:rPr>
        <w:t>19011225230</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https://www.lecaiyun.com/</w:t>
      </w:r>
      <w:r>
        <w:rPr>
          <w:rFonts w:hint="eastAsia" w:ascii="宋体" w:hAnsi="宋体" w:eastAsia="宋体" w:cs="宋体"/>
          <w:color w:val="auto"/>
          <w:sz w:val="24"/>
          <w:highlight w:val="none"/>
        </w:rPr>
        <w:t>），点击右侧咨询小采，获取采小蜜智能服务管家帮助，或拨打</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服务热线400-881-7190获取热线服务帮助。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w:t>
      </w:r>
      <w:r>
        <w:rPr>
          <w:rFonts w:hint="eastAsia" w:ascii="宋体" w:hAnsi="宋体" w:eastAsia="宋体" w:cs="宋体"/>
          <w:b/>
          <w:color w:val="auto"/>
          <w:sz w:val="36"/>
          <w:szCs w:val="20"/>
          <w:highlight w:val="none"/>
          <w:lang w:eastAsia="zh-CN"/>
        </w:rPr>
        <w:t>供应商</w:t>
      </w:r>
      <w:r>
        <w:rPr>
          <w:rFonts w:hint="eastAsia" w:ascii="宋体" w:hAnsi="宋体" w:eastAsia="宋体" w:cs="宋体"/>
          <w:b/>
          <w:color w:val="auto"/>
          <w:sz w:val="36"/>
          <w:szCs w:val="20"/>
          <w:highlight w:val="none"/>
        </w:rPr>
        <w:t>须知</w:t>
      </w:r>
      <w:bookmarkEnd w:id="8"/>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6"/>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en-US" w:eastAsia="zh-CN"/>
              </w:rPr>
              <w:t>)A货物类</w:t>
            </w: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  )B服务类</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3"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sz w:val="24"/>
                <w:szCs w:val="32"/>
                <w:highlight w:val="none"/>
              </w:rPr>
              <w:t>本项目</w:t>
            </w:r>
            <w:r>
              <w:rPr>
                <w:rFonts w:hint="eastAsia" w:ascii="宋体" w:hAnsi="宋体" w:cs="宋体"/>
                <w:color w:val="auto"/>
                <w:sz w:val="24"/>
                <w:szCs w:val="32"/>
                <w:highlight w:val="none"/>
                <w:lang w:eastAsia="zh-CN"/>
              </w:rPr>
              <w:t>不</w:t>
            </w:r>
            <w:r>
              <w:rPr>
                <w:rFonts w:hint="eastAsia" w:ascii="宋体" w:hAnsi="宋体" w:eastAsia="宋体" w:cs="宋体"/>
                <w:color w:val="auto"/>
                <w:sz w:val="24"/>
                <w:szCs w:val="32"/>
                <w:highlight w:val="none"/>
              </w:rPr>
              <w:t>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kern w:val="0"/>
                <w:sz w:val="24"/>
                <w:highlight w:val="none"/>
              </w:rPr>
              <w:t>B</w:t>
            </w:r>
            <w:r>
              <w:rPr>
                <w:rFonts w:hint="eastAsia" w:ascii="宋体" w:hAnsi="宋体" w:eastAsia="宋体" w:cs="宋体"/>
                <w:b w:val="0"/>
                <w:bCs/>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b w:val="0"/>
                <w:bCs/>
                <w:color w:val="auto"/>
                <w:sz w:val="24"/>
                <w:szCs w:val="20"/>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kern w:val="0"/>
                <w:sz w:val="24"/>
                <w:highlight w:val="none"/>
              </w:rPr>
              <w:t>A</w:t>
            </w:r>
            <w:r>
              <w:rPr>
                <w:rFonts w:hint="eastAsia" w:ascii="宋体" w:hAnsi="宋体" w:eastAsia="宋体" w:cs="宋体"/>
                <w:b w:val="0"/>
                <w:bCs/>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sz w:val="24"/>
                <w:highlight w:val="none"/>
              </w:rPr>
              <w:t>（√）A不组织。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1843" w:type="dxa"/>
            <w:tcBorders>
              <w:top w:val="single" w:color="000000" w:sz="8" w:space="0"/>
              <w:left w:val="single" w:color="auto" w:sz="4"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应当提供的资格证明文件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第二部分1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w:t>
            </w:r>
          </w:p>
          <w:p>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供应商未提供有效的资格证明文件的，视为供应商不具备交易文件中规定的资格要求，交易无效。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8</w:t>
            </w:r>
          </w:p>
        </w:tc>
        <w:tc>
          <w:tcPr>
            <w:tcW w:w="1843" w:type="dxa"/>
            <w:tcBorders>
              <w:top w:val="single" w:color="000000" w:sz="8" w:space="0"/>
              <w:left w:val="single" w:color="auto" w:sz="4" w:space="0"/>
              <w:right w:val="single" w:color="000000" w:sz="8" w:space="0"/>
            </w:tcBorders>
            <w:vAlign w:val="center"/>
          </w:tcPr>
          <w:p>
            <w:pPr>
              <w:snapToGrid w:val="0"/>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有关本项目实施所需的所有费用（含税费）均计入报价。</w:t>
            </w:r>
            <w:r>
              <w:rPr>
                <w:rFonts w:hint="eastAsia" w:ascii="宋体" w:hAnsi="宋体" w:eastAsia="宋体" w:cs="宋体"/>
                <w:b w:val="0"/>
                <w:bCs/>
                <w:color w:val="auto"/>
                <w:kern w:val="0"/>
                <w:sz w:val="24"/>
                <w:highlight w:val="none"/>
                <w:lang w:eastAsia="zh-CN"/>
              </w:rPr>
              <w:t>交易一览表</w:t>
            </w:r>
            <w:r>
              <w:rPr>
                <w:rFonts w:hint="eastAsia" w:ascii="宋体" w:hAnsi="宋体" w:eastAsia="宋体" w:cs="宋体"/>
                <w:b w:val="0"/>
                <w:bCs/>
                <w:color w:val="auto"/>
                <w:kern w:val="0"/>
                <w:sz w:val="24"/>
                <w:highlight w:val="none"/>
              </w:rPr>
              <w:t>（报价表）是报价的唯一载体</w:t>
            </w:r>
            <w:r>
              <w:rPr>
                <w:rFonts w:hint="eastAsia" w:ascii="宋体" w:hAnsi="宋体" w:eastAsia="宋体" w:cs="宋体"/>
                <w:b w:val="0"/>
                <w:bCs/>
                <w:color w:val="auto"/>
                <w:kern w:val="0"/>
                <w:sz w:val="24"/>
                <w:highlight w:val="none"/>
                <w:lang w:val="zh-CN"/>
              </w:rPr>
              <w:t>。响应文件中价格全部采用人民币报价。交易文件未列明，而供应商认为必需的费用也需列入报价。</w:t>
            </w:r>
          </w:p>
          <w:p>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交易报价出现下列情形的，交易无效：</w:t>
            </w:r>
          </w:p>
          <w:p>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响应文件出现不是唯一的、有选择性交易报价的；</w:t>
            </w:r>
          </w:p>
          <w:p>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宋体" w:hAnsi="宋体" w:eastAsia="宋体" w:cs="宋体"/>
                <w:b w:val="0"/>
                <w:bCs/>
                <w:color w:val="auto"/>
                <w:kern w:val="0"/>
                <w:sz w:val="24"/>
                <w:highlight w:val="none"/>
                <w:lang w:val="zh-CN" w:eastAsia="zh-CN"/>
              </w:rPr>
            </w:pPr>
            <w:r>
              <w:rPr>
                <w:rFonts w:hint="eastAsia" w:ascii="宋体" w:hAnsi="宋体" w:eastAsia="宋体" w:cs="宋体"/>
                <w:b w:val="0"/>
                <w:bCs/>
                <w:color w:val="auto"/>
                <w:kern w:val="0"/>
                <w:sz w:val="24"/>
                <w:highlight w:val="none"/>
                <w:lang w:val="zh-CN"/>
              </w:rPr>
              <w:t>交易报价超过交易文件中规定的预算金额或者最高限价的</w:t>
            </w:r>
            <w:r>
              <w:rPr>
                <w:rFonts w:hint="eastAsia" w:ascii="宋体" w:hAnsi="宋体" w:eastAsia="宋体" w:cs="宋体"/>
                <w:b w:val="0"/>
                <w:bCs/>
                <w:color w:val="auto"/>
                <w:kern w:val="0"/>
                <w:sz w:val="24"/>
                <w:highlight w:val="none"/>
                <w:lang w:val="zh-CN" w:eastAsia="zh-CN"/>
              </w:rPr>
              <w:t>；</w:t>
            </w:r>
          </w:p>
          <w:p>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宋体" w:hAnsi="宋体" w:eastAsia="宋体" w:cs="宋体"/>
                <w:b w:val="0"/>
                <w:bCs/>
                <w:color w:val="auto"/>
                <w:kern w:val="0"/>
                <w:sz w:val="24"/>
                <w:highlight w:val="none"/>
                <w:lang w:eastAsia="zh-CN"/>
              </w:rPr>
            </w:pPr>
            <w:r>
              <w:rPr>
                <w:rFonts w:hint="eastAsia" w:ascii="宋体" w:hAnsi="宋体" w:eastAsia="宋体" w:cs="宋体"/>
                <w:b w:val="0"/>
                <w:bCs/>
                <w:color w:val="auto"/>
                <w:kern w:val="0"/>
                <w:sz w:val="24"/>
                <w:highlight w:val="none"/>
              </w:rPr>
              <w:t>报价明显低于其他通过符合性审查</w:t>
            </w:r>
            <w:r>
              <w:rPr>
                <w:rFonts w:hint="eastAsia" w:ascii="宋体" w:hAnsi="宋体" w:eastAsia="宋体" w:cs="宋体"/>
                <w:b w:val="0"/>
                <w:bCs/>
                <w:color w:val="auto"/>
                <w:kern w:val="0"/>
                <w:sz w:val="24"/>
                <w:highlight w:val="none"/>
                <w:lang w:eastAsia="zh-CN"/>
              </w:rPr>
              <w:t>供应商</w:t>
            </w:r>
            <w:r>
              <w:rPr>
                <w:rFonts w:hint="eastAsia" w:ascii="宋体" w:hAnsi="宋体" w:eastAsia="宋体" w:cs="宋体"/>
                <w:b w:val="0"/>
                <w:bCs/>
                <w:color w:val="auto"/>
                <w:kern w:val="0"/>
                <w:sz w:val="24"/>
                <w:highlight w:val="none"/>
              </w:rPr>
              <w:t>的报价，有可能影响产品质量或者不能诚信履约的，未能按要求提供书面说明或者提交相关证明材料证明其报价合理性的</w:t>
            </w:r>
            <w:r>
              <w:rPr>
                <w:rFonts w:hint="eastAsia" w:ascii="宋体" w:hAnsi="宋体" w:eastAsia="宋体" w:cs="宋体"/>
                <w:b w:val="0"/>
                <w:bCs/>
                <w:color w:val="auto"/>
                <w:kern w:val="0"/>
                <w:sz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b w:val="0"/>
                <w:bCs/>
                <w:color w:val="auto"/>
                <w:kern w:val="0"/>
                <w:sz w:val="24"/>
                <w:highlight w:val="none"/>
                <w:lang w:eastAsia="zh-CN"/>
              </w:rPr>
              <w:t>供应商</w:t>
            </w:r>
            <w:r>
              <w:rPr>
                <w:rFonts w:hint="eastAsia" w:ascii="宋体" w:hAnsi="宋体" w:eastAsia="宋体" w:cs="宋体"/>
                <w:b w:val="0"/>
                <w:bCs/>
                <w:color w:val="auto"/>
                <w:kern w:val="0"/>
                <w:sz w:val="24"/>
                <w:highlight w:val="none"/>
              </w:rPr>
              <w:t>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备份</w:t>
            </w:r>
            <w:r>
              <w:rPr>
                <w:rFonts w:hint="eastAsia" w:ascii="宋体" w:hAnsi="宋体" w:eastAsia="宋体" w:cs="宋体"/>
                <w:b/>
                <w:color w:val="auto"/>
                <w:sz w:val="24"/>
                <w:highlight w:val="none"/>
                <w:lang w:eastAsia="zh-CN"/>
              </w:rPr>
              <w:t>响应文件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6"/>
              <w:spacing w:line="360" w:lineRule="auto"/>
              <w:ind w:left="0" w:leftChars="0" w:hanging="4" w:firstLineChars="0"/>
              <w:rPr>
                <w:rFonts w:hint="eastAsia" w:ascii="宋体" w:hAnsi="宋体" w:eastAsia="宋体" w:cs="宋体"/>
                <w:color w:val="auto"/>
                <w:kern w:val="28"/>
                <w:sz w:val="24"/>
                <w:szCs w:val="24"/>
                <w:highlight w:val="none"/>
                <w:lang w:val="en-US" w:eastAsia="zh-CN"/>
              </w:rPr>
            </w:pPr>
            <w:r>
              <w:rPr>
                <w:rFonts w:hint="eastAsia" w:ascii="宋体" w:hAnsi="宋体" w:eastAsia="宋体" w:cs="宋体"/>
                <w:color w:val="auto"/>
                <w:kern w:val="28"/>
                <w:sz w:val="24"/>
                <w:szCs w:val="24"/>
                <w:highlight w:val="none"/>
                <w:lang w:val="en-US" w:eastAsia="zh-CN"/>
              </w:rPr>
              <w:t>备份文件是否收取：不收取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代理</w:t>
            </w:r>
            <w:r>
              <w:rPr>
                <w:rFonts w:hint="eastAsia" w:ascii="宋体" w:hAnsi="宋体" w:eastAsia="宋体" w:cs="宋体"/>
                <w:b/>
                <w:color w:val="auto"/>
                <w:sz w:val="24"/>
                <w:highlight w:val="none"/>
              </w:rPr>
              <w:t>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after="0" w:line="312" w:lineRule="auto"/>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color w:val="auto"/>
                <w:kern w:val="28"/>
                <w:sz w:val="24"/>
                <w:szCs w:val="24"/>
                <w:highlight w:val="none"/>
                <w:lang w:eastAsia="zh-CN"/>
              </w:rPr>
              <w:t>本项目代理费</w:t>
            </w:r>
            <w:r>
              <w:rPr>
                <w:rFonts w:hint="eastAsia" w:ascii="宋体" w:hAnsi="宋体" w:eastAsia="宋体" w:cs="宋体"/>
                <w:color w:val="auto"/>
                <w:kern w:val="28"/>
                <w:sz w:val="24"/>
                <w:szCs w:val="24"/>
                <w:highlight w:val="none"/>
              </w:rPr>
              <w:t>由中标单位支付，按《招标代理服务收费管理暂行办法》[2002]1980号文件收费标准收取</w:t>
            </w:r>
            <w:r>
              <w:rPr>
                <w:rFonts w:hint="eastAsia" w:ascii="宋体" w:hAnsi="宋体" w:eastAsia="宋体" w:cs="宋体"/>
                <w:color w:val="auto"/>
                <w:kern w:val="28"/>
                <w:sz w:val="24"/>
                <w:szCs w:val="24"/>
                <w:highlight w:val="none"/>
                <w:lang w:eastAsia="zh-CN"/>
              </w:rPr>
              <w:t>。中标人</w:t>
            </w:r>
            <w:r>
              <w:rPr>
                <w:rFonts w:hint="eastAsia" w:ascii="宋体" w:hAnsi="宋体" w:eastAsia="宋体" w:cs="宋体"/>
                <w:color w:val="auto"/>
                <w:kern w:val="28"/>
                <w:sz w:val="24"/>
                <w:szCs w:val="24"/>
                <w:highlight w:val="none"/>
                <w:lang w:val="en-US" w:eastAsia="zh-CN"/>
              </w:rPr>
              <w:t>在领取中标通知书时，应一次性缴纳向采购代理机构交纳代理服务费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42"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val="0"/>
                <w:bCs/>
                <w:color w:val="auto"/>
                <w:sz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6"/>
              <w:spacing w:line="360" w:lineRule="auto"/>
              <w:ind w:left="0" w:leftChars="0" w:hanging="4" w:firstLineChars="0"/>
              <w:rPr>
                <w:rFonts w:hint="default" w:ascii="宋体" w:hAnsi="宋体" w:eastAsia="宋体" w:cs="宋体"/>
                <w:color w:val="auto"/>
                <w:sz w:val="24"/>
                <w:highlight w:val="none"/>
                <w:lang w:val="en-US" w:eastAsia="zh-CN"/>
              </w:rPr>
            </w:pPr>
            <w:r>
              <w:rPr>
                <w:rFonts w:hint="eastAsia" w:hAnsi="宋体" w:cs="宋体"/>
                <w:snapToGrid w:val="0"/>
                <w:color w:val="auto"/>
                <w:kern w:val="28"/>
                <w:sz w:val="24"/>
                <w:szCs w:val="20"/>
                <w:highlight w:val="none"/>
                <w:lang w:val="en-US" w:eastAsia="zh-CN" w:bidi="ar-SA"/>
              </w:rPr>
              <w:t>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6"/>
              <w:spacing w:line="360" w:lineRule="auto"/>
              <w:ind w:left="0" w:leftChars="0" w:hanging="4"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本项目由</w:t>
            </w:r>
            <w:r>
              <w:rPr>
                <w:rFonts w:hint="eastAsia" w:hAnsi="宋体" w:cs="宋体"/>
                <w:color w:val="auto"/>
                <w:sz w:val="24"/>
                <w:highlight w:val="none"/>
                <w:lang w:eastAsia="zh-CN"/>
              </w:rPr>
              <w:t>评审小组</w:t>
            </w:r>
            <w:r>
              <w:rPr>
                <w:rFonts w:hint="eastAsia" w:ascii="宋体" w:hAnsi="宋体" w:eastAsia="宋体" w:cs="宋体"/>
                <w:color w:val="auto"/>
                <w:sz w:val="24"/>
                <w:highlight w:val="none"/>
              </w:rPr>
              <w:t>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质疑及答复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本项目涉及资格条件、采购需求、评分办法及</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过程中有关现场考察或开标前答疑会事项由</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进行答复。</w:t>
            </w:r>
          </w:p>
          <w:p>
            <w:pPr>
              <w:pStyle w:val="36"/>
              <w:spacing w:line="360" w:lineRule="auto"/>
              <w:ind w:left="0" w:leftChars="0" w:hanging="4"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涉及流程组织等相关事项，由</w:t>
            </w:r>
            <w:r>
              <w:rPr>
                <w:rFonts w:hint="eastAsia" w:ascii="宋体" w:hAnsi="宋体" w:eastAsia="宋体" w:cs="宋体"/>
                <w:color w:val="auto"/>
                <w:sz w:val="24"/>
                <w:highlight w:val="none"/>
                <w:lang w:val="en-US" w:eastAsia="zh-CN"/>
              </w:rPr>
              <w:t>代理</w:t>
            </w:r>
            <w:r>
              <w:rPr>
                <w:rFonts w:hint="eastAsia" w:ascii="宋体" w:hAnsi="宋体" w:eastAsia="宋体" w:cs="宋体"/>
                <w:color w:val="auto"/>
                <w:sz w:val="24"/>
                <w:highlight w:val="none"/>
              </w:rPr>
              <w:t>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其他</w:t>
            </w:r>
            <w:r>
              <w:rPr>
                <w:rFonts w:hint="eastAsia" w:ascii="宋体" w:hAnsi="宋体" w:eastAsia="宋体" w:cs="宋体"/>
                <w:b/>
                <w:color w:val="auto"/>
                <w:sz w:val="24"/>
                <w:highlight w:val="none"/>
              </w:rPr>
              <w:t>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如发现</w:t>
            </w:r>
            <w:r>
              <w:rPr>
                <w:rFonts w:hint="eastAsia" w:ascii="宋体" w:hAnsi="宋体" w:eastAsia="宋体" w:cs="宋体"/>
                <w:b/>
                <w:color w:val="auto"/>
                <w:sz w:val="24"/>
                <w:highlight w:val="none"/>
                <w:lang w:eastAsia="zh-CN"/>
              </w:rPr>
              <w:t>交易</w:t>
            </w:r>
            <w:r>
              <w:rPr>
                <w:rFonts w:hint="eastAsia" w:ascii="宋体" w:hAnsi="宋体" w:eastAsia="宋体" w:cs="宋体"/>
                <w:b/>
                <w:color w:val="auto"/>
                <w:sz w:val="24"/>
                <w:highlight w:val="none"/>
              </w:rPr>
              <w:t>文件中存在含糊不清、相互矛盾、多种含义及歧视性不公正条款或违法违规等内容时，请</w:t>
            </w:r>
            <w:r>
              <w:rPr>
                <w:rFonts w:hint="eastAsia" w:ascii="宋体" w:hAnsi="宋体" w:eastAsia="宋体" w:cs="宋体"/>
                <w:b/>
                <w:color w:val="auto"/>
                <w:sz w:val="24"/>
                <w:highlight w:val="none"/>
                <w:lang w:eastAsia="zh-CN"/>
              </w:rPr>
              <w:t>在规定时间内</w:t>
            </w:r>
            <w:r>
              <w:rPr>
                <w:rFonts w:hint="eastAsia" w:ascii="宋体" w:hAnsi="宋体" w:eastAsia="宋体" w:cs="宋体"/>
                <w:b/>
                <w:color w:val="auto"/>
                <w:sz w:val="24"/>
                <w:highlight w:val="none"/>
              </w:rPr>
              <w:t>同时向采购人、代理机构书面提出异议，逾期不得再对</w:t>
            </w:r>
            <w:r>
              <w:rPr>
                <w:rFonts w:hint="eastAsia" w:ascii="宋体" w:hAnsi="宋体" w:eastAsia="宋体" w:cs="宋体"/>
                <w:b/>
                <w:color w:val="auto"/>
                <w:sz w:val="24"/>
                <w:highlight w:val="none"/>
                <w:lang w:eastAsia="zh-CN"/>
              </w:rPr>
              <w:t>交易</w:t>
            </w:r>
            <w:r>
              <w:rPr>
                <w:rFonts w:hint="eastAsia" w:ascii="宋体" w:hAnsi="宋体" w:eastAsia="宋体" w:cs="宋体"/>
                <w:b/>
                <w:color w:val="auto"/>
                <w:sz w:val="24"/>
                <w:highlight w:val="none"/>
              </w:rPr>
              <w:t>文件的条款提出质疑。如在</w:t>
            </w:r>
            <w:r>
              <w:rPr>
                <w:rFonts w:hint="eastAsia" w:ascii="宋体" w:hAnsi="宋体" w:eastAsia="宋体" w:cs="宋体"/>
                <w:b/>
                <w:color w:val="auto"/>
                <w:sz w:val="24"/>
                <w:highlight w:val="none"/>
                <w:lang w:eastAsia="zh-CN"/>
              </w:rPr>
              <w:t>交易</w:t>
            </w:r>
            <w:r>
              <w:rPr>
                <w:rFonts w:hint="eastAsia" w:ascii="宋体" w:hAnsi="宋体" w:eastAsia="宋体" w:cs="宋体"/>
                <w:b/>
                <w:color w:val="auto"/>
                <w:sz w:val="24"/>
                <w:highlight w:val="none"/>
              </w:rPr>
              <w:t>现场发现</w:t>
            </w:r>
            <w:r>
              <w:rPr>
                <w:rFonts w:hint="eastAsia" w:ascii="宋体" w:hAnsi="宋体" w:eastAsia="宋体" w:cs="宋体"/>
                <w:b/>
                <w:color w:val="auto"/>
                <w:sz w:val="24"/>
                <w:highlight w:val="none"/>
                <w:lang w:eastAsia="zh-CN"/>
              </w:rPr>
              <w:t>交易</w:t>
            </w:r>
            <w:r>
              <w:rPr>
                <w:rFonts w:hint="eastAsia" w:ascii="宋体" w:hAnsi="宋体" w:eastAsia="宋体" w:cs="宋体"/>
                <w:b/>
                <w:color w:val="auto"/>
                <w:sz w:val="24"/>
                <w:highlight w:val="none"/>
              </w:rPr>
              <w:t>文件中发现上述问题并影响评审的，由采购人现场给予澄清，并经评标委员会、所有参会</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人一致同意后，按澄清后的内容继续进行评审。</w:t>
            </w:r>
          </w:p>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本项目通用总则条款与前附表等专用特别规定有冲突之处，以专用条款（特别规定）为准</w:t>
            </w:r>
          </w:p>
        </w:tc>
      </w:tr>
    </w:tbl>
    <w:p>
      <w:pPr>
        <w:snapToGrid w:val="0"/>
        <w:spacing w:line="360" w:lineRule="auto"/>
        <w:jc w:val="center"/>
        <w:rPr>
          <w:rFonts w:hint="eastAsia" w:ascii="宋体" w:hAnsi="宋体" w:eastAsia="宋体" w:cs="宋体"/>
          <w:b/>
          <w:color w:val="auto"/>
          <w:sz w:val="32"/>
          <w:szCs w:val="20"/>
          <w:highlight w:val="none"/>
        </w:rPr>
      </w:pPr>
    </w:p>
    <w:bookmarkEnd w:id="9"/>
    <w:p>
      <w:pPr>
        <w:rPr>
          <w:rFonts w:hint="eastAsia" w:ascii="宋体" w:hAnsi="宋体" w:eastAsia="宋体" w:cs="宋体"/>
          <w:b/>
          <w:color w:val="auto"/>
          <w:sz w:val="32"/>
          <w:szCs w:val="20"/>
          <w:highlight w:val="none"/>
        </w:rPr>
      </w:pPr>
      <w:bookmarkStart w:id="12" w:name="第三部分"/>
      <w:bookmarkStart w:id="13" w:name="_Toc164416483"/>
      <w:r>
        <w:rPr>
          <w:rFonts w:hint="eastAsia" w:ascii="宋体" w:hAnsi="宋体" w:eastAsia="宋体" w:cs="宋体"/>
          <w:b/>
          <w:color w:val="auto"/>
          <w:sz w:val="32"/>
          <w:szCs w:val="20"/>
          <w:highlight w:val="none"/>
        </w:rPr>
        <w:br w:type="page"/>
      </w:r>
    </w:p>
    <w:p>
      <w:pPr>
        <w:keepNext w:val="0"/>
        <w:keepLines w:val="0"/>
        <w:pageBreakBefore w:val="0"/>
        <w:kinsoku/>
        <w:wordWrap/>
        <w:overflowPunct/>
        <w:topLinePunct w:val="0"/>
        <w:bidi w:val="0"/>
        <w:adjustRightInd/>
        <w:spacing w:beforeAutospacing="0" w:line="440" w:lineRule="exact"/>
        <w:ind w:left="0" w:leftChars="0" w:firstLine="3845" w:firstLineChars="1197"/>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keepNext w:val="0"/>
        <w:keepLines w:val="0"/>
        <w:pageBreakBefore w:val="0"/>
        <w:kinsoku/>
        <w:wordWrap/>
        <w:overflowPunct/>
        <w:topLinePunct w:val="0"/>
        <w:bidi w:val="0"/>
        <w:snapToGrid w:val="0"/>
        <w:spacing w:beforeAutospacing="0" w:line="440" w:lineRule="exact"/>
        <w:ind w:left="0" w:leftChars="0"/>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pPr>
        <w:keepNext w:val="0"/>
        <w:keepLines w:val="0"/>
        <w:pageBreakBefore w:val="0"/>
        <w:kinsoku/>
        <w:wordWrap/>
        <w:overflowPunct/>
        <w:topLinePunct w:val="0"/>
        <w:bidi w:val="0"/>
        <w:snapToGrid w:val="0"/>
        <w:spacing w:beforeAutospacing="0" w:line="440" w:lineRule="exact"/>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适用于该项目的</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评审</w:t>
      </w:r>
      <w:r>
        <w:rPr>
          <w:rFonts w:hint="eastAsia" w:ascii="宋体" w:hAnsi="宋体" w:eastAsia="宋体" w:cs="宋体"/>
          <w:color w:val="auto"/>
          <w:sz w:val="24"/>
          <w:highlight w:val="none"/>
        </w:rPr>
        <w:t>、资格审查及信用信息查询、评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、定标、合同、验收等行为（法律、法规另有规定的，从其规定）。</w:t>
      </w:r>
    </w:p>
    <w:p>
      <w:pPr>
        <w:keepNext w:val="0"/>
        <w:keepLines w:val="0"/>
        <w:pageBreakBefore w:val="0"/>
        <w:kinsoku/>
        <w:wordWrap/>
        <w:overflowPunct/>
        <w:topLinePunct w:val="0"/>
        <w:bidi w:val="0"/>
        <w:adjustRightInd/>
        <w:spacing w:beforeAutospacing="0" w:line="440" w:lineRule="exact"/>
        <w:ind w:left="0" w:leftChars="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 “</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”系指</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中载明的本项目的</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”系指</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中载明的本项目的</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 “</w:t>
      </w:r>
      <w:r>
        <w:rPr>
          <w:rFonts w:hint="eastAsia" w:ascii="宋体" w:hAnsi="宋体" w:cs="宋体"/>
          <w:color w:val="auto"/>
          <w:sz w:val="24"/>
          <w:highlight w:val="none"/>
          <w:lang w:eastAsia="zh-CN"/>
        </w:rPr>
        <w:t>响应人</w:t>
      </w:r>
      <w:r>
        <w:rPr>
          <w:rFonts w:hint="eastAsia" w:ascii="宋体" w:hAnsi="宋体" w:eastAsia="宋体" w:cs="宋体"/>
          <w:color w:val="auto"/>
          <w:sz w:val="24"/>
          <w:highlight w:val="none"/>
        </w:rPr>
        <w:t>”系指是指响应</w:t>
      </w:r>
      <w:r>
        <w:rPr>
          <w:rFonts w:hint="eastAsia" w:ascii="宋体" w:hAnsi="宋体" w:cs="宋体"/>
          <w:color w:val="auto"/>
          <w:sz w:val="24"/>
          <w:highlight w:val="none"/>
          <w:lang w:eastAsia="zh-CN"/>
        </w:rPr>
        <w:t>交易</w:t>
      </w:r>
      <w:r>
        <w:rPr>
          <w:rFonts w:hint="eastAsia" w:ascii="宋体" w:hAnsi="宋体" w:eastAsia="宋体" w:cs="宋体"/>
          <w:color w:val="auto"/>
          <w:sz w:val="24"/>
          <w:highlight w:val="none"/>
        </w:rPr>
        <w:t>、参加</w:t>
      </w:r>
      <w:r>
        <w:rPr>
          <w:rFonts w:hint="eastAsia" w:ascii="宋体" w:hAnsi="宋体" w:eastAsia="宋体" w:cs="宋体"/>
          <w:color w:val="auto"/>
          <w:sz w:val="24"/>
          <w:highlight w:val="none"/>
          <w:lang w:val="en-US" w:eastAsia="zh-CN"/>
        </w:rPr>
        <w:t>公开</w:t>
      </w:r>
      <w:r>
        <w:rPr>
          <w:rFonts w:hint="eastAsia" w:ascii="宋体" w:hAnsi="宋体" w:eastAsia="宋体" w:cs="宋体"/>
          <w:color w:val="auto"/>
          <w:sz w:val="24"/>
          <w:highlight w:val="none"/>
        </w:rPr>
        <w:t>竞争的法人、其他组织或者自然人。</w:t>
      </w:r>
    </w:p>
    <w:p>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供应商电子签名指供应商电子公章</w:t>
      </w:r>
      <w:r>
        <w:rPr>
          <w:rFonts w:hint="eastAsia" w:ascii="宋体" w:hAnsi="宋体" w:eastAsia="宋体" w:cs="宋体"/>
          <w:color w:val="auto"/>
          <w:sz w:val="24"/>
          <w:highlight w:val="none"/>
        </w:rPr>
        <w:t>；“公章”系指单位法定名称章。因特殊原因需要使用冠以法定名称的业务专用章的，</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时须提供《业务专用章使用说明函》（附件</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spacing w:beforeAutospacing="0" w:line="440" w:lineRule="exact"/>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2.6“电子交易平台”是指本项目采购活动所依托的</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https://www.lecaiyun.com/</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r>
        <w:rPr>
          <w:rFonts w:hint="eastAsia" w:ascii="宋体" w:hAnsi="宋体" w:eastAsia="宋体" w:cs="宋体"/>
          <w:b w:val="0"/>
          <w:bCs/>
          <w:color w:val="auto"/>
          <w:sz w:val="24"/>
          <w:highlight w:val="none"/>
        </w:rPr>
        <w:t>√</w:t>
      </w:r>
      <w:r>
        <w:rPr>
          <w:rFonts w:hint="eastAsia" w:ascii="宋体" w:hAnsi="宋体" w:eastAsia="宋体" w:cs="宋体"/>
          <w:color w:val="auto"/>
          <w:sz w:val="24"/>
          <w:highlight w:val="none"/>
        </w:rPr>
        <w:t>）” 系指适用本项目的要求，“（  ）”系指不适用本项目的要求。</w:t>
      </w:r>
    </w:p>
    <w:p>
      <w:pPr>
        <w:keepNext w:val="0"/>
        <w:keepLines w:val="0"/>
        <w:pageBreakBefore w:val="0"/>
        <w:kinsoku/>
        <w:wordWrap/>
        <w:overflowPunct/>
        <w:topLinePunct w:val="0"/>
        <w:bidi w:val="0"/>
        <w:spacing w:beforeAutospacing="0" w:line="440" w:lineRule="exact"/>
        <w:ind w:left="0" w:lef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3.询问、质疑、投诉</w:t>
      </w:r>
    </w:p>
    <w:p>
      <w:pPr>
        <w:keepNext w:val="0"/>
        <w:keepLines w:val="0"/>
        <w:pageBreakBefore w:val="0"/>
        <w:kinsoku/>
        <w:wordWrap/>
        <w:overflowPunct/>
        <w:topLinePunct w:val="0"/>
        <w:autoSpaceDE w:val="0"/>
        <w:autoSpaceDN w:val="0"/>
        <w:bidi w:val="0"/>
        <w:spacing w:beforeAutospacing="0" w:line="440" w:lineRule="exact"/>
        <w:ind w:left="0" w:lef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.1供应商询问</w:t>
      </w:r>
    </w:p>
    <w:p>
      <w:pPr>
        <w:keepNext w:val="0"/>
        <w:keepLines w:val="0"/>
        <w:pageBreakBefore w:val="0"/>
        <w:kinsoku/>
        <w:wordWrap/>
        <w:overflowPunct/>
        <w:topLinePunct w:val="0"/>
        <w:autoSpaceDE w:val="0"/>
        <w:autoSpaceDN w:val="0"/>
        <w:bidi w:val="0"/>
        <w:spacing w:beforeAutospacing="0" w:line="440" w:lineRule="exact"/>
        <w:ind w:left="0" w:lef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w:t>
      </w:r>
      <w:r>
        <w:rPr>
          <w:rFonts w:hint="eastAsia" w:ascii="宋体" w:hAnsi="宋体" w:eastAsia="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活动事项有疑问的，可以提出询问，交易发起人或者代理机构应当在3个工作日内对供应商依法提出的询问作出答复，但答复的内容不得涉及商业秘密。供应商提出的询问超出交易发起人对代理机构委托授权范围的，代理机构应当告知供应商向交易发起人提出。</w:t>
      </w:r>
    </w:p>
    <w:p>
      <w:pPr>
        <w:keepNext w:val="0"/>
        <w:keepLines w:val="0"/>
        <w:pageBreakBefore w:val="0"/>
        <w:kinsoku/>
        <w:wordWrap/>
        <w:overflowPunct/>
        <w:topLinePunct w:val="0"/>
        <w:autoSpaceDE w:val="0"/>
        <w:autoSpaceDN w:val="0"/>
        <w:bidi w:val="0"/>
        <w:spacing w:beforeAutospacing="0" w:line="440" w:lineRule="exact"/>
        <w:ind w:left="0" w:lef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.2供应商质疑</w:t>
      </w:r>
    </w:p>
    <w:p>
      <w:pPr>
        <w:pStyle w:val="36"/>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.1提出质疑的供应商应当是参与所质疑项目</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活动的供应商。潜在供应商已依法获取其可质疑的</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的，可以对该文件提出质疑。</w:t>
      </w:r>
    </w:p>
    <w:p>
      <w:pPr>
        <w:pStyle w:val="36"/>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.2供应商认为</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过程和</w:t>
      </w:r>
      <w:r>
        <w:rPr>
          <w:rFonts w:hint="eastAsia" w:ascii="宋体" w:hAnsi="宋体" w:eastAsia="宋体" w:cs="宋体"/>
          <w:color w:val="auto"/>
          <w:sz w:val="24"/>
          <w:highlight w:val="none"/>
          <w:lang w:eastAsia="zh-CN"/>
        </w:rPr>
        <w:t>成交结果</w:t>
      </w:r>
      <w:r>
        <w:rPr>
          <w:rFonts w:hint="eastAsia" w:ascii="宋体" w:hAnsi="宋体" w:eastAsia="宋体" w:cs="宋体"/>
          <w:color w:val="auto"/>
          <w:sz w:val="24"/>
          <w:highlight w:val="none"/>
        </w:rPr>
        <w:t>使自己的权益受到损害的，可以在知道或者应知其权益受到损害之日起</w:t>
      </w:r>
      <w:r>
        <w:rPr>
          <w:rFonts w:hint="eastAsia" w:ascii="宋体" w:hAnsi="宋体" w:eastAsia="宋体" w:cs="宋体"/>
          <w:color w:val="auto"/>
          <w:sz w:val="24"/>
          <w:highlight w:val="none"/>
          <w:lang w:val="en-US" w:eastAsia="zh-CN"/>
        </w:rPr>
        <w:t>三天</w:t>
      </w:r>
      <w:r>
        <w:rPr>
          <w:rFonts w:hint="eastAsia" w:ascii="宋体" w:hAnsi="宋体" w:eastAsia="宋体" w:cs="宋体"/>
          <w:color w:val="auto"/>
          <w:sz w:val="24"/>
          <w:highlight w:val="none"/>
        </w:rPr>
        <w:t>内，以书面形式向</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或者</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提出质疑，否则，</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或者</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不予受理：</w:t>
      </w:r>
    </w:p>
    <w:p>
      <w:pPr>
        <w:pStyle w:val="36"/>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对采购过程提出质疑的，质疑期限为各采购程序环节结束之日起计算。对同一采购程序环节的质疑，供应商须一次性提出。</w:t>
      </w:r>
    </w:p>
    <w:p>
      <w:pPr>
        <w:pStyle w:val="36"/>
        <w:keepNext w:val="0"/>
        <w:keepLines w:val="0"/>
        <w:pageBreakBefore w:val="0"/>
        <w:kinsoku/>
        <w:wordWrap/>
        <w:overflowPunct/>
        <w:topLinePunct w:val="0"/>
        <w:bidi w:val="0"/>
        <w:spacing w:beforeAutospacing="0" w:line="440" w:lineRule="exact"/>
        <w:ind w:left="0" w:leftChars="0" w:firstLine="643" w:firstLineChars="200"/>
        <w:textAlignment w:val="auto"/>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w:t>
      </w:r>
      <w:r>
        <w:rPr>
          <w:rFonts w:hint="eastAsia" w:ascii="宋体" w:hAnsi="宋体" w:eastAsia="宋体" w:cs="宋体"/>
          <w:b/>
          <w:color w:val="auto"/>
          <w:sz w:val="32"/>
          <w:szCs w:val="20"/>
          <w:highlight w:val="none"/>
          <w:lang w:eastAsia="zh-CN"/>
        </w:rPr>
        <w:t>交易文件</w:t>
      </w:r>
      <w:r>
        <w:rPr>
          <w:rFonts w:hint="eastAsia" w:ascii="宋体" w:hAnsi="宋体" w:eastAsia="宋体" w:cs="宋体"/>
          <w:b/>
          <w:color w:val="auto"/>
          <w:sz w:val="32"/>
          <w:szCs w:val="20"/>
          <w:highlight w:val="none"/>
        </w:rPr>
        <w:t>的构成、澄清、修改</w:t>
      </w:r>
    </w:p>
    <w:p>
      <w:pPr>
        <w:pStyle w:val="36"/>
        <w:keepNext w:val="0"/>
        <w:keepLines w:val="0"/>
        <w:pageBreakBefore w:val="0"/>
        <w:kinsoku/>
        <w:wordWrap/>
        <w:overflowPunct/>
        <w:topLinePunct w:val="0"/>
        <w:bidi w:val="0"/>
        <w:spacing w:beforeAutospacing="0" w:line="44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w:t>
      </w:r>
      <w:r>
        <w:rPr>
          <w:rFonts w:hint="eastAsia" w:ascii="宋体" w:hAnsi="宋体" w:eastAsia="宋体" w:cs="宋体"/>
          <w:color w:val="auto"/>
          <w:sz w:val="24"/>
          <w:highlight w:val="none"/>
        </w:rPr>
        <w:t>供应商提出质疑应当提交质疑函和必要的证明材料。质疑函应当包括下列内容：</w:t>
      </w:r>
    </w:p>
    <w:p>
      <w:pPr>
        <w:pStyle w:val="36"/>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.2.3.1供应商的姓名或者名称、地址、邮编、联系人及联系电话；</w:t>
      </w:r>
    </w:p>
    <w:p>
      <w:pPr>
        <w:pStyle w:val="36"/>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.2.3.2质疑项目的名称、编号；</w:t>
      </w:r>
    </w:p>
    <w:p>
      <w:pPr>
        <w:pStyle w:val="36"/>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.2.3.3具体、明确的质疑事项和与质疑事项相关的请求；</w:t>
      </w:r>
    </w:p>
    <w:p>
      <w:pPr>
        <w:pStyle w:val="36"/>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.2.3.4事实依据；</w:t>
      </w:r>
    </w:p>
    <w:p>
      <w:pPr>
        <w:pStyle w:val="36"/>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.2.3.5必要的法律依据；</w:t>
      </w:r>
    </w:p>
    <w:p>
      <w:pPr>
        <w:pStyle w:val="36"/>
        <w:keepNext w:val="0"/>
        <w:keepLines w:val="0"/>
        <w:pageBreakBefore w:val="0"/>
        <w:kinsoku/>
        <w:wordWrap/>
        <w:overflowPunct/>
        <w:topLinePunct w:val="0"/>
        <w:bidi w:val="0"/>
        <w:spacing w:beforeAutospacing="0" w:line="44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.2.3.6提出质疑的日期。</w:t>
      </w:r>
    </w:p>
    <w:p>
      <w:pPr>
        <w:pStyle w:val="889"/>
        <w:keepNext w:val="0"/>
        <w:keepLines w:val="0"/>
        <w:pageBreakBefore w:val="0"/>
        <w:shd w:val="clear" w:color="auto" w:fill="FFFFFF"/>
        <w:kinsoku/>
        <w:wordWrap/>
        <w:overflowPunct/>
        <w:topLinePunct w:val="0"/>
        <w:bidi w:val="0"/>
        <w:snapToGrid w:val="0"/>
        <w:spacing w:before="0" w:beforeAutospacing="0" w:after="0" w:afterAutospacing="0" w:line="440" w:lineRule="exact"/>
        <w:ind w:left="0" w:leftChars="0"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9"/>
        <w:keepNext w:val="0"/>
        <w:keepLines w:val="0"/>
        <w:pageBreakBefore w:val="0"/>
        <w:shd w:val="clear" w:color="auto" w:fill="FFFFFF"/>
        <w:kinsoku/>
        <w:wordWrap/>
        <w:overflowPunct/>
        <w:topLinePunct w:val="0"/>
        <w:bidi w:val="0"/>
        <w:snapToGrid w:val="0"/>
        <w:spacing w:before="0" w:beforeAutospacing="0" w:after="0" w:afterAutospacing="0" w:line="440" w:lineRule="exact"/>
        <w:ind w:left="0" w:leftChars="0"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p>
    <w:p>
      <w:pPr>
        <w:pStyle w:val="889"/>
        <w:keepNext w:val="0"/>
        <w:keepLines w:val="0"/>
        <w:pageBreakBefore w:val="0"/>
        <w:shd w:val="clear" w:color="auto" w:fill="FFFFFF"/>
        <w:kinsoku/>
        <w:wordWrap/>
        <w:overflowPunct/>
        <w:topLinePunct w:val="0"/>
        <w:bidi w:val="0"/>
        <w:snapToGrid w:val="0"/>
        <w:spacing w:before="0" w:beforeAutospacing="0" w:after="0" w:afterAutospacing="0" w:line="440" w:lineRule="exact"/>
        <w:ind w:left="0" w:leftChars="0"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zh-CN"/>
        </w:rPr>
        <w:t>.2</w:t>
      </w:r>
      <w:r>
        <w:rPr>
          <w:rFonts w:hint="eastAsia" w:ascii="宋体" w:hAnsi="宋体" w:eastAsia="宋体" w:cs="宋体"/>
          <w:color w:val="auto"/>
          <w:highlight w:val="none"/>
        </w:rPr>
        <w:t>.4</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应当在收到供应商的书面质疑后七个工作日内作出答复，并以书面形式通知质疑供应商和其他与质疑处理结果有利害关系的采购当事人，但答复的内容不得涉及商业秘密。</w:t>
      </w:r>
    </w:p>
    <w:p>
      <w:pPr>
        <w:pStyle w:val="889"/>
        <w:keepNext w:val="0"/>
        <w:keepLines w:val="0"/>
        <w:pageBreakBefore w:val="0"/>
        <w:shd w:val="clear" w:color="auto" w:fill="FFFFFF"/>
        <w:kinsoku/>
        <w:wordWrap/>
        <w:overflowPunct/>
        <w:topLinePunct w:val="0"/>
        <w:bidi w:val="0"/>
        <w:snapToGrid w:val="0"/>
        <w:spacing w:before="0" w:beforeAutospacing="0" w:after="0" w:afterAutospacing="0" w:line="440" w:lineRule="exact"/>
        <w:ind w:left="0" w:leftChars="0"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zh-CN"/>
        </w:rPr>
        <w:t>.2</w:t>
      </w:r>
      <w:r>
        <w:rPr>
          <w:rFonts w:hint="eastAsia" w:ascii="宋体" w:hAnsi="宋体" w:eastAsia="宋体" w:cs="宋体"/>
          <w:color w:val="auto"/>
          <w:highlight w:val="none"/>
        </w:rPr>
        <w:t>.5询问或者质疑事项可能影响</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结果的，</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应当暂停签订合同，已经签订合同的，应当中止履行合同。</w:t>
      </w:r>
    </w:p>
    <w:p>
      <w:pPr>
        <w:pStyle w:val="889"/>
        <w:keepNext w:val="0"/>
        <w:keepLines w:val="0"/>
        <w:pageBreakBefore w:val="0"/>
        <w:shd w:val="clear" w:color="auto" w:fill="FFFFFF"/>
        <w:kinsoku/>
        <w:wordWrap/>
        <w:overflowPunct/>
        <w:topLinePunct w:val="0"/>
        <w:bidi w:val="0"/>
        <w:snapToGrid w:val="0"/>
        <w:spacing w:before="0" w:beforeAutospacing="0" w:after="0" w:afterAutospacing="0" w:line="440" w:lineRule="exact"/>
        <w:ind w:left="0" w:leftChars="0" w:firstLine="480" w:firstLineChars="200"/>
        <w:contextualSpacing/>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zh-CN"/>
        </w:rPr>
        <w:t>.3供应商投诉</w:t>
      </w:r>
    </w:p>
    <w:p>
      <w:pPr>
        <w:pStyle w:val="889"/>
        <w:keepNext w:val="0"/>
        <w:keepLines w:val="0"/>
        <w:pageBreakBefore w:val="0"/>
        <w:shd w:val="clear" w:color="auto" w:fill="FFFFFF"/>
        <w:kinsoku/>
        <w:wordWrap/>
        <w:overflowPunct/>
        <w:topLinePunct w:val="0"/>
        <w:bidi w:val="0"/>
        <w:snapToGrid w:val="0"/>
        <w:spacing w:before="0" w:beforeAutospacing="0" w:after="0" w:afterAutospacing="0" w:line="440" w:lineRule="exact"/>
        <w:ind w:left="0" w:leftChars="0" w:firstLine="48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.3.1质疑供应商对</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的答复不满意或者</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未在规定的时间内作出答复的，可以在答复期满后十五个工作日内向同级采购监督管理部门提出投诉。</w:t>
      </w:r>
    </w:p>
    <w:p>
      <w:pPr>
        <w:pStyle w:val="889"/>
        <w:keepNext w:val="0"/>
        <w:keepLines w:val="0"/>
        <w:pageBreakBefore w:val="0"/>
        <w:shd w:val="clear" w:color="auto" w:fill="FFFFFF"/>
        <w:kinsoku/>
        <w:wordWrap/>
        <w:overflowPunct/>
        <w:topLinePunct w:val="0"/>
        <w:bidi w:val="0"/>
        <w:snapToGrid w:val="0"/>
        <w:spacing w:before="0" w:beforeAutospacing="0" w:after="0" w:afterAutospacing="0" w:line="440" w:lineRule="exact"/>
        <w:ind w:left="0" w:leftChars="0" w:firstLine="48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.3.</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889"/>
        <w:keepNext w:val="0"/>
        <w:keepLines w:val="0"/>
        <w:pageBreakBefore w:val="0"/>
        <w:shd w:val="clear" w:color="auto" w:fill="FFFFFF"/>
        <w:kinsoku/>
        <w:wordWrap/>
        <w:overflowPunct/>
        <w:topLinePunct w:val="0"/>
        <w:bidi w:val="0"/>
        <w:snapToGrid w:val="0"/>
        <w:spacing w:before="0" w:beforeAutospacing="0" w:after="0" w:afterAutospacing="0" w:line="440" w:lineRule="exact"/>
        <w:ind w:left="0" w:leftChars="0" w:firstLine="48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.3.3供应商投诉应当有明确的请求和必要的证明材料。</w:t>
      </w:r>
    </w:p>
    <w:p>
      <w:pPr>
        <w:pStyle w:val="889"/>
        <w:keepNext w:val="0"/>
        <w:keepLines w:val="0"/>
        <w:pageBreakBefore w:val="0"/>
        <w:shd w:val="clear" w:color="auto" w:fill="FFFFFF"/>
        <w:kinsoku/>
        <w:wordWrap/>
        <w:overflowPunct/>
        <w:topLinePunct w:val="0"/>
        <w:bidi w:val="0"/>
        <w:snapToGrid w:val="0"/>
        <w:spacing w:before="0" w:beforeAutospacing="0" w:after="0" w:afterAutospacing="0" w:line="440" w:lineRule="exact"/>
        <w:ind w:left="0" w:leftChars="0"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.3.5 以联合体形式参加采购活动的，其投诉应当由组成联合体的所有供应商共同提出。</w:t>
      </w:r>
    </w:p>
    <w:p>
      <w:pPr>
        <w:pStyle w:val="889"/>
        <w:keepNext w:val="0"/>
        <w:keepLines w:val="0"/>
        <w:pageBreakBefore w:val="0"/>
        <w:shd w:val="clear" w:color="auto" w:fill="FFFFFF"/>
        <w:kinsoku/>
        <w:wordWrap/>
        <w:overflowPunct/>
        <w:topLinePunct w:val="0"/>
        <w:bidi w:val="0"/>
        <w:snapToGrid w:val="0"/>
        <w:spacing w:before="0" w:beforeAutospacing="0" w:after="0" w:afterAutospacing="0" w:line="440" w:lineRule="exact"/>
        <w:ind w:left="0" w:leftChars="0" w:firstLine="400"/>
        <w:contextualSpacing/>
        <w:textAlignment w:val="auto"/>
        <w:rPr>
          <w:rFonts w:hint="eastAsia" w:ascii="宋体" w:hAnsi="宋体" w:eastAsia="宋体" w:cs="宋体"/>
          <w:color w:val="auto"/>
          <w:sz w:val="18"/>
          <w:szCs w:val="18"/>
          <w:highlight w:val="none"/>
        </w:rPr>
      </w:pPr>
      <w:r>
        <w:rPr>
          <w:rFonts w:hint="eastAsia" w:ascii="宋体" w:hAnsi="宋体" w:eastAsia="宋体" w:cs="宋体"/>
          <w:color w:val="auto"/>
          <w:highlight w:val="none"/>
        </w:rPr>
        <w:t>投诉书范本及制作说明详见附件</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w:t>
      </w:r>
    </w:p>
    <w:p>
      <w:pPr>
        <w:keepNext w:val="0"/>
        <w:keepLines w:val="0"/>
        <w:pageBreakBefore w:val="0"/>
        <w:kinsoku/>
        <w:wordWrap/>
        <w:overflowPunct/>
        <w:topLinePunct w:val="0"/>
        <w:bidi w:val="0"/>
        <w:adjustRightInd/>
        <w:spacing w:beforeAutospacing="0" w:line="440" w:lineRule="exact"/>
        <w:ind w:left="0" w:leftChars="0"/>
        <w:jc w:val="center"/>
        <w:textAlignment w:val="auto"/>
        <w:outlineLvl w:val="0"/>
        <w:rPr>
          <w:rFonts w:hint="eastAsia" w:ascii="宋体" w:hAnsi="宋体" w:eastAsia="宋体" w:cs="宋体"/>
          <w:b/>
          <w:color w:val="auto"/>
          <w:sz w:val="32"/>
          <w:szCs w:val="20"/>
          <w:highlight w:val="none"/>
        </w:rPr>
      </w:pPr>
    </w:p>
    <w:p>
      <w:pPr>
        <w:pStyle w:val="36"/>
        <w:keepNext w:val="0"/>
        <w:keepLines w:val="0"/>
        <w:pageBreakBefore w:val="0"/>
        <w:kinsoku/>
        <w:wordWrap/>
        <w:overflowPunct/>
        <w:topLinePunct w:val="0"/>
        <w:bidi w:val="0"/>
        <w:spacing w:beforeAutospacing="0" w:line="440" w:lineRule="exact"/>
        <w:ind w:left="0" w:lef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lang w:eastAsia="zh-CN"/>
        </w:rPr>
        <w:t>交易文件</w:t>
      </w:r>
      <w:r>
        <w:rPr>
          <w:rFonts w:hint="eastAsia" w:ascii="宋体" w:hAnsi="宋体" w:eastAsia="宋体" w:cs="宋体"/>
          <w:b/>
          <w:color w:val="auto"/>
          <w:sz w:val="24"/>
          <w:szCs w:val="24"/>
          <w:highlight w:val="none"/>
        </w:rPr>
        <w:t>的构成</w:t>
      </w:r>
    </w:p>
    <w:p>
      <w:pPr>
        <w:pStyle w:val="36"/>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交易文件</w:t>
      </w:r>
      <w:r>
        <w:rPr>
          <w:rFonts w:hint="eastAsia" w:ascii="宋体" w:hAnsi="宋体" w:eastAsia="宋体" w:cs="宋体"/>
          <w:color w:val="auto"/>
          <w:sz w:val="24"/>
          <w:szCs w:val="24"/>
          <w:highlight w:val="none"/>
        </w:rPr>
        <w:t>包括下列文件及附件：</w:t>
      </w:r>
    </w:p>
    <w:p>
      <w:pPr>
        <w:pStyle w:val="36"/>
        <w:keepNext w:val="0"/>
        <w:keepLines w:val="0"/>
        <w:pageBreakBefore w:val="0"/>
        <w:tabs>
          <w:tab w:val="left" w:pos="840"/>
        </w:tabs>
        <w:kinsoku/>
        <w:wordWrap/>
        <w:overflowPunct/>
        <w:topLinePunct w:val="0"/>
        <w:bidi w:val="0"/>
        <w:spacing w:beforeAutospacing="0" w:line="440" w:lineRule="exact"/>
        <w:ind w:left="0" w:lef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交易公告</w:t>
      </w:r>
      <w:r>
        <w:rPr>
          <w:rFonts w:hint="eastAsia" w:ascii="宋体" w:hAnsi="宋体" w:eastAsia="宋体" w:cs="宋体"/>
          <w:color w:val="auto"/>
          <w:sz w:val="24"/>
          <w:szCs w:val="24"/>
          <w:highlight w:val="none"/>
        </w:rPr>
        <w:t>；</w:t>
      </w:r>
    </w:p>
    <w:p>
      <w:pPr>
        <w:pStyle w:val="36"/>
        <w:keepNext w:val="0"/>
        <w:keepLines w:val="0"/>
        <w:pageBreakBefore w:val="0"/>
        <w:tabs>
          <w:tab w:val="left" w:pos="840"/>
        </w:tabs>
        <w:kinsoku/>
        <w:wordWrap/>
        <w:overflowPunct/>
        <w:topLinePunct w:val="0"/>
        <w:bidi w:val="0"/>
        <w:spacing w:beforeAutospacing="0" w:line="440" w:lineRule="exact"/>
        <w:ind w:left="0" w:lef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p>
    <w:p>
      <w:pPr>
        <w:pStyle w:val="36"/>
        <w:keepNext w:val="0"/>
        <w:keepLines w:val="0"/>
        <w:pageBreakBefore w:val="0"/>
        <w:tabs>
          <w:tab w:val="left" w:pos="840"/>
        </w:tabs>
        <w:kinsoku/>
        <w:wordWrap/>
        <w:overflowPunct/>
        <w:topLinePunct w:val="0"/>
        <w:bidi w:val="0"/>
        <w:spacing w:beforeAutospacing="0" w:line="440" w:lineRule="exact"/>
        <w:ind w:left="0" w:lef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交易</w:t>
      </w:r>
      <w:r>
        <w:rPr>
          <w:rFonts w:hint="eastAsia" w:ascii="宋体" w:hAnsi="宋体" w:eastAsia="宋体" w:cs="宋体"/>
          <w:color w:val="auto"/>
          <w:sz w:val="24"/>
          <w:szCs w:val="24"/>
          <w:highlight w:val="none"/>
        </w:rPr>
        <w:t>需求；</w:t>
      </w:r>
    </w:p>
    <w:p>
      <w:pPr>
        <w:pStyle w:val="36"/>
        <w:keepNext w:val="0"/>
        <w:keepLines w:val="0"/>
        <w:pageBreakBefore w:val="0"/>
        <w:tabs>
          <w:tab w:val="left" w:pos="840"/>
        </w:tabs>
        <w:kinsoku/>
        <w:wordWrap/>
        <w:overflowPunct/>
        <w:topLinePunct w:val="0"/>
        <w:bidi w:val="0"/>
        <w:spacing w:beforeAutospacing="0" w:line="440" w:lineRule="exact"/>
        <w:ind w:left="0" w:lef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eastAsia="zh-CN"/>
        </w:rPr>
        <w:t>交易办法</w:t>
      </w:r>
      <w:r>
        <w:rPr>
          <w:rFonts w:hint="eastAsia" w:ascii="宋体" w:hAnsi="宋体" w:eastAsia="宋体" w:cs="宋体"/>
          <w:color w:val="auto"/>
          <w:sz w:val="24"/>
          <w:szCs w:val="24"/>
          <w:highlight w:val="none"/>
        </w:rPr>
        <w:t>；</w:t>
      </w:r>
    </w:p>
    <w:p>
      <w:pPr>
        <w:pStyle w:val="36"/>
        <w:keepNext w:val="0"/>
        <w:keepLines w:val="0"/>
        <w:pageBreakBefore w:val="0"/>
        <w:tabs>
          <w:tab w:val="left" w:pos="840"/>
        </w:tabs>
        <w:kinsoku/>
        <w:wordWrap/>
        <w:overflowPunct/>
        <w:topLinePunct w:val="0"/>
        <w:bidi w:val="0"/>
        <w:spacing w:beforeAutospacing="0" w:line="440" w:lineRule="exact"/>
        <w:ind w:left="0" w:lef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.1.5拟签订的合同文本；</w:t>
      </w:r>
    </w:p>
    <w:p>
      <w:pPr>
        <w:pStyle w:val="36"/>
        <w:keepNext w:val="0"/>
        <w:keepLines w:val="0"/>
        <w:pageBreakBefore w:val="0"/>
        <w:tabs>
          <w:tab w:val="left" w:pos="840"/>
        </w:tabs>
        <w:kinsoku/>
        <w:wordWrap/>
        <w:overflowPunct/>
        <w:topLinePunct w:val="0"/>
        <w:bidi w:val="0"/>
        <w:spacing w:beforeAutospacing="0" w:line="440" w:lineRule="exact"/>
        <w:ind w:left="0" w:lef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.1.6</w:t>
      </w:r>
      <w:r>
        <w:rPr>
          <w:rFonts w:hint="eastAsia" w:ascii="宋体" w:hAnsi="宋体" w:eastAsia="宋体" w:cs="宋体"/>
          <w:color w:val="auto"/>
          <w:sz w:val="24"/>
          <w:szCs w:val="24"/>
          <w:highlight w:val="none"/>
        </w:rPr>
        <w:t>应提交的有关格式范例。</w:t>
      </w:r>
    </w:p>
    <w:p>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.2与本项目有关的</w:t>
      </w:r>
      <w:r>
        <w:rPr>
          <w:rFonts w:hint="eastAsia" w:ascii="宋体" w:hAnsi="宋体" w:eastAsia="宋体" w:cs="宋体"/>
          <w:bCs/>
          <w:color w:val="auto"/>
          <w:sz w:val="24"/>
          <w:highlight w:val="none"/>
        </w:rPr>
        <w:t>澄清或者修改的内容为</w:t>
      </w:r>
      <w:r>
        <w:rPr>
          <w:rFonts w:hint="eastAsia" w:ascii="宋体" w:hAnsi="宋体" w:eastAsia="宋体" w:cs="宋体"/>
          <w:bCs/>
          <w:color w:val="auto"/>
          <w:sz w:val="24"/>
          <w:highlight w:val="none"/>
          <w:lang w:eastAsia="zh-CN"/>
        </w:rPr>
        <w:t>交易文件</w:t>
      </w:r>
      <w:r>
        <w:rPr>
          <w:rFonts w:hint="eastAsia" w:ascii="宋体" w:hAnsi="宋体" w:eastAsia="宋体" w:cs="宋体"/>
          <w:bCs/>
          <w:color w:val="auto"/>
          <w:sz w:val="24"/>
          <w:highlight w:val="none"/>
        </w:rPr>
        <w:t>的组成部分</w:t>
      </w:r>
      <w:r>
        <w:rPr>
          <w:rFonts w:hint="eastAsia" w:ascii="宋体" w:hAnsi="宋体" w:eastAsia="宋体" w:cs="宋体"/>
          <w:color w:val="auto"/>
          <w:sz w:val="24"/>
          <w:highlight w:val="none"/>
        </w:rPr>
        <w:t>。</w:t>
      </w:r>
    </w:p>
    <w:p>
      <w:pPr>
        <w:pStyle w:val="36"/>
        <w:keepNext w:val="0"/>
        <w:keepLines w:val="0"/>
        <w:pageBreakBefore w:val="0"/>
        <w:kinsoku/>
        <w:wordWrap/>
        <w:overflowPunct/>
        <w:topLinePunct w:val="0"/>
        <w:bidi w:val="0"/>
        <w:spacing w:beforeAutospacing="0" w:line="440" w:lineRule="exact"/>
        <w:ind w:left="0" w:lef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lang w:eastAsia="zh-CN"/>
        </w:rPr>
        <w:t>交易文件</w:t>
      </w:r>
      <w:r>
        <w:rPr>
          <w:rFonts w:hint="eastAsia" w:ascii="宋体" w:hAnsi="宋体" w:eastAsia="宋体" w:cs="宋体"/>
          <w:b/>
          <w:color w:val="auto"/>
          <w:sz w:val="24"/>
          <w:szCs w:val="24"/>
          <w:highlight w:val="none"/>
        </w:rPr>
        <w:t>的澄清、修改</w:t>
      </w:r>
    </w:p>
    <w:p>
      <w:pPr>
        <w:pStyle w:val="133"/>
        <w:keepNext w:val="0"/>
        <w:keepLines w:val="0"/>
        <w:pageBreakBefore w:val="0"/>
        <w:kinsoku/>
        <w:wordWrap/>
        <w:overflowPunct/>
        <w:topLinePunct w:val="0"/>
        <w:bidi w:val="0"/>
        <w:snapToGrid w:val="0"/>
        <w:spacing w:before="0" w:beforeAutospacing="0" w:line="440" w:lineRule="exact"/>
        <w:ind w:left="0" w:lef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.1已获取</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的潜在</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，若有问题需要澄清，应于</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截止时间前，以书面形式向</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提出。</w:t>
      </w:r>
    </w:p>
    <w:p>
      <w:pPr>
        <w:pStyle w:val="133"/>
        <w:keepNext w:val="0"/>
        <w:keepLines w:val="0"/>
        <w:pageBreakBefore w:val="0"/>
        <w:kinsoku/>
        <w:wordWrap/>
        <w:overflowPunct/>
        <w:topLinePunct w:val="0"/>
        <w:bidi w:val="0"/>
        <w:snapToGrid w:val="0"/>
        <w:spacing w:before="0" w:beforeAutospacing="0" w:line="440" w:lineRule="exact"/>
        <w:ind w:left="0" w:leftChars="0" w:firstLine="480"/>
        <w:textAlignment w:val="auto"/>
        <w:rPr>
          <w:rFonts w:hint="eastAsia" w:ascii="宋体" w:hAnsi="宋体" w:eastAsia="宋体" w:cs="宋体"/>
          <w:color w:val="auto"/>
          <w:sz w:val="18"/>
          <w:szCs w:val="18"/>
          <w:highlight w:val="none"/>
          <w:lang w:val="en-US"/>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.2 </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进行澄清或修改的，将同时通过电子交易平台通知已获取</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的潜在</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。依法应当公告的，将按规定公告，同时视情况延长</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截止时间和</w:t>
      </w:r>
      <w:r>
        <w:rPr>
          <w:rFonts w:hint="eastAsia" w:ascii="宋体" w:hAnsi="宋体" w:eastAsia="宋体" w:cs="宋体"/>
          <w:color w:val="auto"/>
          <w:highlight w:val="none"/>
          <w:lang w:eastAsia="zh-CN"/>
        </w:rPr>
        <w:t>交易时间</w:t>
      </w:r>
      <w:r>
        <w:rPr>
          <w:rFonts w:hint="eastAsia" w:ascii="宋体" w:hAnsi="宋体" w:eastAsia="宋体" w:cs="宋体"/>
          <w:color w:val="auto"/>
          <w:highlight w:val="none"/>
        </w:rPr>
        <w:t>。该澄清或者修改的内容为</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的组成部分。</w:t>
      </w:r>
    </w:p>
    <w:p>
      <w:pPr>
        <w:keepNext w:val="0"/>
        <w:keepLines w:val="0"/>
        <w:pageBreakBefore w:val="0"/>
        <w:kinsoku/>
        <w:wordWrap/>
        <w:overflowPunct/>
        <w:topLinePunct w:val="0"/>
        <w:bidi w:val="0"/>
        <w:adjustRightInd/>
        <w:spacing w:beforeAutospacing="0" w:line="440" w:lineRule="exact"/>
        <w:ind w:left="0" w:leftChars="0"/>
        <w:jc w:val="center"/>
        <w:textAlignment w:val="auto"/>
        <w:outlineLvl w:val="0"/>
        <w:rPr>
          <w:rFonts w:hint="eastAsia" w:ascii="宋体" w:hAnsi="宋体" w:eastAsia="宋体" w:cs="宋体"/>
          <w:b/>
          <w:color w:val="auto"/>
          <w:sz w:val="30"/>
          <w:szCs w:val="20"/>
          <w:highlight w:val="none"/>
          <w:lang w:val="en-US" w:eastAsia="zh-CN"/>
        </w:rPr>
      </w:pPr>
      <w:r>
        <w:rPr>
          <w:rFonts w:hint="eastAsia" w:ascii="宋体" w:hAnsi="宋体" w:eastAsia="宋体" w:cs="宋体"/>
          <w:b/>
          <w:color w:val="auto"/>
          <w:sz w:val="30"/>
          <w:szCs w:val="20"/>
          <w:highlight w:val="none"/>
        </w:rPr>
        <w:t>三、</w:t>
      </w:r>
      <w:r>
        <w:rPr>
          <w:rFonts w:hint="eastAsia" w:ascii="宋体" w:hAnsi="宋体" w:eastAsia="宋体" w:cs="宋体"/>
          <w:b/>
          <w:color w:val="auto"/>
          <w:sz w:val="30"/>
          <w:szCs w:val="20"/>
          <w:highlight w:val="none"/>
          <w:lang w:eastAsia="zh-CN"/>
        </w:rPr>
        <w:t>交</w:t>
      </w:r>
      <w:r>
        <w:rPr>
          <w:rFonts w:hint="eastAsia" w:ascii="宋体" w:hAnsi="宋体" w:eastAsia="宋体" w:cs="宋体"/>
          <w:b/>
          <w:color w:val="auto"/>
          <w:sz w:val="30"/>
          <w:szCs w:val="20"/>
          <w:highlight w:val="none"/>
          <w:lang w:val="en-US" w:eastAsia="zh-CN"/>
        </w:rPr>
        <w:t xml:space="preserve"> </w:t>
      </w:r>
      <w:r>
        <w:rPr>
          <w:rFonts w:hint="eastAsia" w:ascii="宋体" w:hAnsi="宋体" w:eastAsia="宋体" w:cs="宋体"/>
          <w:b/>
          <w:color w:val="auto"/>
          <w:sz w:val="30"/>
          <w:szCs w:val="20"/>
          <w:highlight w:val="none"/>
          <w:lang w:eastAsia="zh-CN"/>
        </w:rPr>
        <w:t>易</w:t>
      </w:r>
    </w:p>
    <w:p>
      <w:pPr>
        <w:pStyle w:val="36"/>
        <w:keepNext w:val="0"/>
        <w:keepLines w:val="0"/>
        <w:pageBreakBefore w:val="0"/>
        <w:kinsoku/>
        <w:wordWrap/>
        <w:overflowPunct/>
        <w:topLinePunct w:val="0"/>
        <w:bidi w:val="0"/>
        <w:spacing w:beforeAutospacing="0" w:line="440" w:lineRule="exact"/>
        <w:ind w:left="0" w:lef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交易文件</w:t>
      </w:r>
      <w:r>
        <w:rPr>
          <w:rFonts w:hint="eastAsia" w:ascii="宋体" w:hAnsi="宋体" w:eastAsia="宋体" w:cs="宋体"/>
          <w:b/>
          <w:color w:val="auto"/>
          <w:sz w:val="24"/>
          <w:szCs w:val="24"/>
          <w:highlight w:val="none"/>
        </w:rPr>
        <w:t>的获取</w:t>
      </w:r>
    </w:p>
    <w:p>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w:t>
      </w:r>
      <w:r>
        <w:rPr>
          <w:rFonts w:hint="eastAsia" w:ascii="宋体" w:hAnsi="宋体" w:eastAsia="宋体" w:cs="宋体"/>
          <w:snapToGrid w:val="0"/>
          <w:color w:val="auto"/>
          <w:kern w:val="28"/>
          <w:sz w:val="24"/>
          <w:highlight w:val="none"/>
          <w:lang w:eastAsia="zh-CN"/>
        </w:rPr>
        <w:t>交易公告</w:t>
      </w:r>
      <w:r>
        <w:rPr>
          <w:rFonts w:hint="eastAsia" w:ascii="宋体" w:hAnsi="宋体" w:eastAsia="宋体" w:cs="宋体"/>
          <w:snapToGrid w:val="0"/>
          <w:color w:val="auto"/>
          <w:kern w:val="28"/>
          <w:sz w:val="24"/>
          <w:highlight w:val="none"/>
        </w:rPr>
        <w:t>中获取</w:t>
      </w:r>
      <w:r>
        <w:rPr>
          <w:rFonts w:hint="eastAsia" w:ascii="宋体" w:hAnsi="宋体" w:eastAsia="宋体" w:cs="宋体"/>
          <w:snapToGrid w:val="0"/>
          <w:color w:val="auto"/>
          <w:kern w:val="28"/>
          <w:sz w:val="24"/>
          <w:highlight w:val="none"/>
          <w:lang w:eastAsia="zh-CN"/>
        </w:rPr>
        <w:t>交易文件</w:t>
      </w:r>
      <w:r>
        <w:rPr>
          <w:rFonts w:hint="eastAsia" w:ascii="宋体" w:hAnsi="宋体" w:eastAsia="宋体" w:cs="宋体"/>
          <w:snapToGrid w:val="0"/>
          <w:color w:val="auto"/>
          <w:kern w:val="28"/>
          <w:sz w:val="24"/>
          <w:highlight w:val="none"/>
        </w:rPr>
        <w:t>的时间期限、地点、方式及</w:t>
      </w:r>
      <w:r>
        <w:rPr>
          <w:rFonts w:hint="eastAsia" w:ascii="宋体" w:hAnsi="宋体" w:eastAsia="宋体" w:cs="宋体"/>
          <w:snapToGrid w:val="0"/>
          <w:color w:val="auto"/>
          <w:kern w:val="28"/>
          <w:sz w:val="24"/>
          <w:highlight w:val="none"/>
          <w:lang w:eastAsia="zh-CN"/>
        </w:rPr>
        <w:t>交易文件</w:t>
      </w:r>
      <w:r>
        <w:rPr>
          <w:rFonts w:hint="eastAsia" w:ascii="宋体" w:hAnsi="宋体" w:eastAsia="宋体" w:cs="宋体"/>
          <w:snapToGrid w:val="0"/>
          <w:color w:val="auto"/>
          <w:kern w:val="28"/>
          <w:sz w:val="24"/>
          <w:highlight w:val="none"/>
        </w:rPr>
        <w:t>售价。</w:t>
      </w:r>
    </w:p>
    <w:p>
      <w:pPr>
        <w:pStyle w:val="36"/>
        <w:keepNext w:val="0"/>
        <w:keepLines w:val="0"/>
        <w:pageBreakBefore w:val="0"/>
        <w:kinsoku/>
        <w:wordWrap/>
        <w:overflowPunct/>
        <w:topLinePunct w:val="0"/>
        <w:bidi w:val="0"/>
        <w:spacing w:beforeAutospacing="0" w:line="440" w:lineRule="exact"/>
        <w:ind w:left="0" w:lef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交易</w:t>
      </w:r>
      <w:r>
        <w:rPr>
          <w:rFonts w:hint="eastAsia" w:ascii="宋体" w:hAnsi="宋体" w:eastAsia="宋体" w:cs="宋体"/>
          <w:b/>
          <w:color w:val="auto"/>
          <w:sz w:val="24"/>
          <w:szCs w:val="24"/>
          <w:highlight w:val="none"/>
        </w:rPr>
        <w:t>前答疑会或现场考察</w:t>
      </w:r>
    </w:p>
    <w:p>
      <w:pPr>
        <w:pStyle w:val="36"/>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组织潜在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现场考察或者召开</w:t>
      </w:r>
      <w:r>
        <w:rPr>
          <w:rFonts w:hint="eastAsia" w:ascii="宋体" w:hAnsi="宋体" w:eastAsia="宋体" w:cs="宋体"/>
          <w:color w:val="auto"/>
          <w:sz w:val="24"/>
          <w:szCs w:val="24"/>
          <w:highlight w:val="none"/>
          <w:lang w:eastAsia="zh-CN"/>
        </w:rPr>
        <w:t>交易</w:t>
      </w:r>
      <w:r>
        <w:rPr>
          <w:rFonts w:hint="eastAsia" w:ascii="宋体" w:hAnsi="宋体" w:eastAsia="宋体" w:cs="宋体"/>
          <w:color w:val="auto"/>
          <w:sz w:val="24"/>
          <w:szCs w:val="24"/>
          <w:highlight w:val="none"/>
        </w:rPr>
        <w:t>前答疑会的，潜在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按第二部分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须知前附表的规定参加现场考察或者开标前答疑会。</w:t>
      </w:r>
    </w:p>
    <w:p>
      <w:pPr>
        <w:pStyle w:val="36"/>
        <w:keepNext w:val="0"/>
        <w:keepLines w:val="0"/>
        <w:pageBreakBefore w:val="0"/>
        <w:kinsoku/>
        <w:wordWrap/>
        <w:overflowPunct/>
        <w:topLinePunct w:val="0"/>
        <w:bidi w:val="0"/>
        <w:spacing w:beforeAutospacing="0" w:line="440" w:lineRule="exact"/>
        <w:ind w:left="0" w:leftChars="0"/>
        <w:textAlignment w:val="auto"/>
        <w:rPr>
          <w:rFonts w:hint="eastAsia" w:ascii="宋体" w:hAnsi="宋体" w:eastAsia="宋体" w:cs="宋体"/>
          <w:b/>
          <w:color w:val="auto"/>
          <w:szCs w:val="24"/>
          <w:highlight w:val="none"/>
          <w:lang w:eastAsia="zh-CN"/>
        </w:rPr>
      </w:pPr>
      <w:r>
        <w:rPr>
          <w:rFonts w:hint="eastAsia" w:ascii="宋体" w:hAnsi="宋体" w:eastAsia="宋体" w:cs="宋体"/>
          <w:b/>
          <w:color w:val="auto"/>
          <w:kern w:val="28"/>
          <w:sz w:val="24"/>
          <w:szCs w:val="24"/>
          <w:highlight w:val="none"/>
          <w:lang w:val="en-US" w:eastAsia="zh-CN"/>
        </w:rPr>
        <w:t>8</w:t>
      </w:r>
      <w:r>
        <w:rPr>
          <w:rFonts w:hint="eastAsia" w:ascii="宋体" w:hAnsi="宋体" w:eastAsia="宋体" w:cs="宋体"/>
          <w:b/>
          <w:color w:val="auto"/>
          <w:kern w:val="28"/>
          <w:sz w:val="24"/>
          <w:szCs w:val="24"/>
          <w:highlight w:val="none"/>
        </w:rPr>
        <w:t>.</w:t>
      </w:r>
      <w:r>
        <w:rPr>
          <w:rFonts w:hint="eastAsia" w:ascii="宋体" w:hAnsi="宋体" w:eastAsia="宋体" w:cs="宋体"/>
          <w:b/>
          <w:color w:val="auto"/>
          <w:kern w:val="28"/>
          <w:sz w:val="24"/>
          <w:szCs w:val="24"/>
          <w:highlight w:val="none"/>
          <w:lang w:eastAsia="zh-CN"/>
        </w:rPr>
        <w:t>交易保证金</w:t>
      </w:r>
    </w:p>
    <w:p>
      <w:pPr>
        <w:pStyle w:val="21"/>
        <w:keepNext w:val="0"/>
        <w:keepLines w:val="0"/>
        <w:pageBreakBefore w:val="0"/>
        <w:kinsoku/>
        <w:wordWrap/>
        <w:overflowPunct/>
        <w:topLinePunct w:val="0"/>
        <w:bidi w:val="0"/>
        <w:spacing w:beforeAutospacing="0" w:line="440" w:lineRule="exact"/>
        <w:ind w:left="0" w:leftChars="0"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w:t>
      </w:r>
      <w:r>
        <w:rPr>
          <w:rFonts w:hint="eastAsia" w:ascii="宋体" w:hAnsi="宋体" w:eastAsia="宋体" w:cs="宋体"/>
          <w:color w:val="auto"/>
          <w:sz w:val="24"/>
          <w:highlight w:val="none"/>
          <w:lang w:eastAsia="zh-CN"/>
        </w:rPr>
        <w:t>交易保证金</w:t>
      </w:r>
      <w:r>
        <w:rPr>
          <w:rFonts w:hint="eastAsia" w:ascii="宋体" w:hAnsi="宋体" w:eastAsia="宋体" w:cs="宋体"/>
          <w:color w:val="auto"/>
          <w:sz w:val="24"/>
          <w:highlight w:val="none"/>
        </w:rPr>
        <w:t>。</w:t>
      </w:r>
    </w:p>
    <w:p>
      <w:pPr>
        <w:pStyle w:val="36"/>
        <w:keepNext w:val="0"/>
        <w:keepLines w:val="0"/>
        <w:pageBreakBefore w:val="0"/>
        <w:kinsoku/>
        <w:wordWrap/>
        <w:overflowPunct/>
        <w:topLinePunct w:val="0"/>
        <w:bidi w:val="0"/>
        <w:spacing w:beforeAutospacing="0" w:line="440" w:lineRule="exact"/>
        <w:ind w:left="0" w:lef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的语言</w:t>
      </w:r>
    </w:p>
    <w:p>
      <w:pPr>
        <w:keepNext w:val="0"/>
        <w:keepLines w:val="0"/>
        <w:pageBreakBefore w:val="0"/>
        <w:kinsoku/>
        <w:wordWrap/>
        <w:overflowPunct/>
        <w:topLinePunct w:val="0"/>
        <w:autoSpaceDE w:val="0"/>
        <w:autoSpaceDN w:val="0"/>
        <w:bidi w:val="0"/>
        <w:spacing w:beforeAutospacing="0" w:line="440" w:lineRule="exact"/>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及</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有关的来往通知、函件和文件均应使用中文。</w:t>
      </w:r>
    </w:p>
    <w:p>
      <w:pPr>
        <w:pStyle w:val="36"/>
        <w:keepNext w:val="0"/>
        <w:keepLines w:val="0"/>
        <w:pageBreakBefore w:val="0"/>
        <w:kinsoku/>
        <w:wordWrap/>
        <w:overflowPunct/>
        <w:topLinePunct w:val="0"/>
        <w:bidi w:val="0"/>
        <w:spacing w:beforeAutospacing="0" w:line="440" w:lineRule="exact"/>
        <w:ind w:left="0" w:lef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的组成</w:t>
      </w:r>
    </w:p>
    <w:p>
      <w:pPr>
        <w:keepNext w:val="0"/>
        <w:keepLines w:val="0"/>
        <w:pageBreakBefore w:val="0"/>
        <w:kinsoku/>
        <w:wordWrap/>
        <w:overflowPunct/>
        <w:topLinePunct w:val="0"/>
        <w:bidi w:val="0"/>
        <w:snapToGrid w:val="0"/>
        <w:spacing w:beforeAutospacing="0"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snapToGrid w:val="0"/>
        <w:spacing w:beforeAutospacing="0" w:line="440" w:lineRule="exact"/>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.1.1符合参加</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活动应当具备的一般条件的承诺函；</w:t>
      </w:r>
    </w:p>
    <w:p>
      <w:pPr>
        <w:keepNext w:val="0"/>
        <w:keepLines w:val="0"/>
        <w:pageBreakBefore w:val="0"/>
        <w:kinsoku/>
        <w:wordWrap/>
        <w:overflowPunct/>
        <w:topLinePunct w:val="0"/>
        <w:bidi w:val="0"/>
        <w:snapToGrid w:val="0"/>
        <w:spacing w:beforeAutospacing="0" w:line="440" w:lineRule="exact"/>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本项目的特定资格要求。</w:t>
      </w:r>
    </w:p>
    <w:p>
      <w:pPr>
        <w:keepNext w:val="0"/>
        <w:keepLines w:val="0"/>
        <w:pageBreakBefore w:val="0"/>
        <w:kinsoku/>
        <w:wordWrap/>
        <w:overflowPunct/>
        <w:topLinePunct w:val="0"/>
        <w:bidi w:val="0"/>
        <w:snapToGrid w:val="0"/>
        <w:spacing w:beforeAutospacing="0" w:line="440" w:lineRule="exact"/>
        <w:ind w:left="0" w:leftChars="0" w:firstLine="482" w:firstLineChars="200"/>
        <w:textAlignment w:val="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pPr>
        <w:keepNext w:val="0"/>
        <w:keepLines w:val="0"/>
        <w:pageBreakBefore w:val="0"/>
        <w:kinsoku/>
        <w:wordWrap/>
        <w:overflowPunct/>
        <w:topLinePunct w:val="0"/>
        <w:bidi w:val="0"/>
        <w:snapToGrid w:val="0"/>
        <w:spacing w:beforeAutospacing="0" w:line="440" w:lineRule="exact"/>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eastAsia="zh-CN"/>
        </w:rPr>
        <w:t>交易函</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 xml:space="preserve"> </w:t>
      </w:r>
    </w:p>
    <w:p>
      <w:pPr>
        <w:keepNext w:val="0"/>
        <w:keepLines w:val="0"/>
        <w:pageBreakBefore w:val="0"/>
        <w:kinsoku/>
        <w:wordWrap/>
        <w:overflowPunct/>
        <w:topLinePunct w:val="0"/>
        <w:bidi w:val="0"/>
        <w:snapToGrid w:val="0"/>
        <w:spacing w:beforeAutospacing="0" w:line="440" w:lineRule="exact"/>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.2授权委托书或法定代表人（单位负责人、自然人本人）身份证明；</w:t>
      </w:r>
    </w:p>
    <w:p>
      <w:pPr>
        <w:keepNext w:val="0"/>
        <w:keepLines w:val="0"/>
        <w:pageBreakBefore w:val="0"/>
        <w:kinsoku/>
        <w:wordWrap/>
        <w:overflowPunct/>
        <w:topLinePunct w:val="0"/>
        <w:bidi w:val="0"/>
        <w:snapToGrid w:val="0"/>
        <w:spacing w:beforeAutospacing="0" w:line="440" w:lineRule="exact"/>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.3符合性审查资料；</w:t>
      </w:r>
    </w:p>
    <w:p>
      <w:pPr>
        <w:keepNext w:val="0"/>
        <w:keepLines w:val="0"/>
        <w:pageBreakBefore w:val="0"/>
        <w:kinsoku/>
        <w:wordWrap/>
        <w:overflowPunct/>
        <w:topLinePunct w:val="0"/>
        <w:bidi w:val="0"/>
        <w:snapToGrid w:val="0"/>
        <w:spacing w:beforeAutospacing="0" w:line="440" w:lineRule="exact"/>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标准相应的商务技术资料；</w:t>
      </w:r>
    </w:p>
    <w:p>
      <w:pPr>
        <w:keepNext w:val="0"/>
        <w:keepLines w:val="0"/>
        <w:pageBreakBefore w:val="0"/>
        <w:kinsoku/>
        <w:wordWrap/>
        <w:overflowPunct/>
        <w:topLinePunct w:val="0"/>
        <w:bidi w:val="0"/>
        <w:snapToGrid w:val="0"/>
        <w:spacing w:beforeAutospacing="0" w:line="440" w:lineRule="exact"/>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响应标的清单</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snapToGrid w:val="0"/>
        <w:spacing w:beforeAutospacing="0" w:line="440" w:lineRule="exact"/>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.6商务技术偏离表；</w:t>
      </w:r>
    </w:p>
    <w:p>
      <w:pPr>
        <w:keepNext w:val="0"/>
        <w:keepLines w:val="0"/>
        <w:pageBreakBefore w:val="0"/>
        <w:kinsoku/>
        <w:wordWrap/>
        <w:overflowPunct/>
        <w:topLinePunct w:val="0"/>
        <w:bidi w:val="0"/>
        <w:snapToGrid w:val="0"/>
        <w:spacing w:beforeAutospacing="0" w:line="440" w:lineRule="exact"/>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供应商廉洁自律承诺书；</w:t>
      </w:r>
    </w:p>
    <w:p>
      <w:pPr>
        <w:keepNext w:val="0"/>
        <w:keepLines w:val="0"/>
        <w:pageBreakBefore w:val="0"/>
        <w:kinsoku/>
        <w:wordWrap/>
        <w:overflowPunct/>
        <w:topLinePunct w:val="0"/>
        <w:bidi w:val="0"/>
        <w:snapToGrid w:val="0"/>
        <w:spacing w:beforeAutospacing="0" w:line="440" w:lineRule="exact"/>
        <w:ind w:left="0" w:leftChars="0" w:firstLine="480" w:firstLineChars="200"/>
        <w:textAlignment w:val="auto"/>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pPr>
        <w:keepNext w:val="0"/>
        <w:keepLines w:val="0"/>
        <w:pageBreakBefore w:val="0"/>
        <w:kinsoku/>
        <w:wordWrap/>
        <w:overflowPunct/>
        <w:topLinePunct w:val="0"/>
        <w:bidi w:val="0"/>
        <w:snapToGrid w:val="0"/>
        <w:spacing w:beforeAutospacing="0" w:line="440" w:lineRule="exact"/>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.3.1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w:t>
      </w:r>
    </w:p>
    <w:p>
      <w:pPr>
        <w:keepNext w:val="0"/>
        <w:keepLines w:val="0"/>
        <w:pageBreakBefore w:val="0"/>
        <w:kinsoku/>
        <w:wordWrap/>
        <w:overflowPunct/>
        <w:topLinePunct w:val="0"/>
        <w:bidi w:val="0"/>
        <w:spacing w:beforeAutospacing="0" w:line="440" w:lineRule="exact"/>
        <w:ind w:left="0" w:leftChars="0" w:firstLine="723" w:firstLineChars="3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pPr>
        <w:keepNext w:val="0"/>
        <w:keepLines w:val="0"/>
        <w:pageBreakBefore w:val="0"/>
        <w:kinsoku/>
        <w:wordWrap/>
        <w:overflowPunct/>
        <w:topLinePunct w:val="0"/>
        <w:bidi w:val="0"/>
        <w:spacing w:beforeAutospacing="0" w:line="440" w:lineRule="exact"/>
        <w:ind w:left="0" w:leftChars="0" w:firstLine="723" w:firstLineChars="300"/>
        <w:textAlignment w:val="auto"/>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提供虚假材料</w:t>
      </w:r>
      <w:r>
        <w:rPr>
          <w:rFonts w:hint="eastAsia" w:ascii="宋体" w:hAnsi="宋体" w:eastAsia="宋体" w:cs="宋体"/>
          <w:b/>
          <w:color w:val="auto"/>
          <w:sz w:val="24"/>
          <w:highlight w:val="none"/>
          <w:lang w:val="en-US" w:eastAsia="zh-CN"/>
        </w:rPr>
        <w:t>响应</w:t>
      </w:r>
      <w:r>
        <w:rPr>
          <w:rFonts w:hint="eastAsia" w:ascii="宋体" w:hAnsi="宋体" w:eastAsia="宋体" w:cs="宋体"/>
          <w:b/>
          <w:color w:val="auto"/>
          <w:sz w:val="24"/>
          <w:highlight w:val="none"/>
        </w:rPr>
        <w:t>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pPr>
        <w:pStyle w:val="133"/>
        <w:keepNext w:val="0"/>
        <w:keepLines w:val="0"/>
        <w:pageBreakBefore w:val="0"/>
        <w:kinsoku/>
        <w:wordWrap/>
        <w:overflowPunct/>
        <w:topLinePunct w:val="0"/>
        <w:bidi w:val="0"/>
        <w:snapToGrid w:val="0"/>
        <w:spacing w:before="0" w:beforeAutospacing="0" w:line="440" w:lineRule="exact"/>
        <w:ind w:left="0" w:leftChars="0" w:firstLine="0" w:firstLineChars="0"/>
        <w:textAlignment w:val="auto"/>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1</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的编制</w:t>
      </w:r>
    </w:p>
    <w:p>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1响应文件分为资格文件、商务技术文件、报价文件三部分。各供应商在编制响应文件时请按照交易文件第六部分规定的格式进行，混乱的编排导致响应文件被误读或评审委员会查找不到有效文件是供应商的风险。</w:t>
      </w:r>
    </w:p>
    <w:p>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.2供应商进行电子投标应安装客户端软件—“</w:t>
      </w:r>
      <w:r>
        <w:rPr>
          <w:rFonts w:hint="eastAsia" w:ascii="宋体" w:hAnsi="宋体" w:cs="宋体"/>
          <w:color w:val="auto"/>
          <w:kern w:val="0"/>
          <w:sz w:val="24"/>
          <w:highlight w:val="none"/>
          <w:lang w:val="zh-CN"/>
        </w:rPr>
        <w:t>乐采云</w:t>
      </w:r>
      <w:r>
        <w:rPr>
          <w:rFonts w:hint="eastAsia" w:ascii="宋体" w:hAnsi="宋体" w:eastAsia="宋体" w:cs="宋体"/>
          <w:color w:val="auto"/>
          <w:kern w:val="0"/>
          <w:sz w:val="24"/>
          <w:highlight w:val="none"/>
          <w:lang w:val="zh-CN"/>
        </w:rPr>
        <w:t>电子交易客户端”，并按照交易文件和电子交易平台的要求编制并加密响应文件。供应商未按规定加密的响应文件，电子交易平台将拒收并提示。</w:t>
      </w:r>
    </w:p>
    <w:p>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.3使用“</w:t>
      </w:r>
      <w:r>
        <w:rPr>
          <w:rFonts w:hint="eastAsia" w:ascii="宋体" w:hAnsi="宋体" w:cs="宋体"/>
          <w:color w:val="auto"/>
          <w:kern w:val="0"/>
          <w:sz w:val="24"/>
          <w:highlight w:val="none"/>
          <w:lang w:val="zh-CN"/>
        </w:rPr>
        <w:t>乐采云</w:t>
      </w:r>
      <w:r>
        <w:rPr>
          <w:rFonts w:hint="eastAsia" w:ascii="宋体" w:hAnsi="宋体" w:eastAsia="宋体" w:cs="宋体"/>
          <w:color w:val="auto"/>
          <w:kern w:val="0"/>
          <w:sz w:val="24"/>
          <w:highlight w:val="none"/>
          <w:lang w:val="zh-CN"/>
        </w:rPr>
        <w:t>电子交易客户端”需要提前申领CA数字证书，申领流程请自行前往查阅。</w:t>
      </w:r>
    </w:p>
    <w:p>
      <w:pPr>
        <w:keepNext w:val="0"/>
        <w:keepLines w:val="0"/>
        <w:pageBreakBefore w:val="0"/>
        <w:kinsoku/>
        <w:wordWrap/>
        <w:overflowPunct/>
        <w:topLinePunct w:val="0"/>
        <w:bidi w:val="0"/>
        <w:snapToGrid w:val="0"/>
        <w:spacing w:beforeAutospacing="0" w:line="440" w:lineRule="exact"/>
        <w:ind w:left="0" w:lef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的签署、盖章</w:t>
      </w:r>
    </w:p>
    <w:p>
      <w:pPr>
        <w:pStyle w:val="133"/>
        <w:keepNext w:val="0"/>
        <w:keepLines w:val="0"/>
        <w:pageBreakBefore w:val="0"/>
        <w:kinsoku/>
        <w:wordWrap/>
        <w:overflowPunct/>
        <w:topLinePunct w:val="0"/>
        <w:bidi w:val="0"/>
        <w:snapToGrid w:val="0"/>
        <w:spacing w:before="0" w:beforeAutospacing="0" w:line="440" w:lineRule="exact"/>
        <w:ind w:left="0" w:leftChars="0" w:firstLine="480"/>
        <w:textAlignment w:val="auto"/>
        <w:rPr>
          <w:rFonts w:hint="eastAsia" w:ascii="宋体" w:hAnsi="宋体" w:eastAsia="宋体" w:cs="宋体"/>
          <w:b/>
          <w:color w:val="auto"/>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按照</w:t>
      </w:r>
      <w:r>
        <w:rPr>
          <w:rFonts w:hint="eastAsia" w:ascii="宋体" w:hAnsi="宋体" w:eastAsia="宋体" w:cs="宋体"/>
          <w:color w:val="auto"/>
          <w:szCs w:val="24"/>
          <w:highlight w:val="none"/>
          <w:lang w:eastAsia="zh-CN"/>
        </w:rPr>
        <w:t>交易文件</w:t>
      </w:r>
      <w:r>
        <w:rPr>
          <w:rFonts w:hint="eastAsia" w:ascii="宋体" w:hAnsi="宋体" w:eastAsia="宋体" w:cs="宋体"/>
          <w:color w:val="auto"/>
          <w:szCs w:val="24"/>
          <w:highlight w:val="none"/>
        </w:rPr>
        <w:t>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供应商</w:t>
      </w:r>
      <w:r>
        <w:rPr>
          <w:rFonts w:hint="eastAsia" w:ascii="宋体" w:hAnsi="宋体" w:eastAsia="宋体" w:cs="宋体"/>
          <w:b/>
          <w:color w:val="auto"/>
          <w:highlight w:val="none"/>
        </w:rPr>
        <w:t>的</w:t>
      </w:r>
      <w:r>
        <w:rPr>
          <w:rFonts w:hint="eastAsia" w:ascii="宋体" w:hAnsi="宋体" w:eastAsia="宋体" w:cs="宋体"/>
          <w:b/>
          <w:color w:val="auto"/>
          <w:highlight w:val="none"/>
          <w:lang w:eastAsia="zh-CN"/>
        </w:rPr>
        <w:t>响应文件</w:t>
      </w:r>
      <w:r>
        <w:rPr>
          <w:rFonts w:hint="eastAsia" w:ascii="宋体" w:hAnsi="宋体" w:eastAsia="宋体" w:cs="宋体"/>
          <w:b/>
          <w:color w:val="auto"/>
          <w:highlight w:val="none"/>
        </w:rPr>
        <w:t>未按照</w:t>
      </w:r>
      <w:r>
        <w:rPr>
          <w:rFonts w:hint="eastAsia" w:ascii="宋体" w:hAnsi="宋体" w:eastAsia="宋体" w:cs="宋体"/>
          <w:b/>
          <w:color w:val="auto"/>
          <w:highlight w:val="none"/>
          <w:lang w:eastAsia="zh-CN"/>
        </w:rPr>
        <w:t>交易文件</w:t>
      </w:r>
      <w:r>
        <w:rPr>
          <w:rFonts w:hint="eastAsia" w:ascii="宋体" w:hAnsi="宋体" w:eastAsia="宋体" w:cs="宋体"/>
          <w:b/>
          <w:color w:val="auto"/>
          <w:highlight w:val="none"/>
        </w:rPr>
        <w:t>要求签署、盖章的，其</w:t>
      </w:r>
      <w:r>
        <w:rPr>
          <w:rFonts w:hint="eastAsia" w:ascii="宋体" w:hAnsi="宋体" w:eastAsia="宋体" w:cs="宋体"/>
          <w:b/>
          <w:color w:val="auto"/>
          <w:highlight w:val="none"/>
          <w:lang w:eastAsia="zh-CN"/>
        </w:rPr>
        <w:t>交易无效</w:t>
      </w:r>
      <w:r>
        <w:rPr>
          <w:rFonts w:hint="eastAsia" w:ascii="宋体" w:hAnsi="宋体" w:eastAsia="宋体" w:cs="宋体"/>
          <w:color w:val="auto"/>
          <w:szCs w:val="24"/>
          <w:highlight w:val="none"/>
        </w:rPr>
        <w:t>。</w:t>
      </w:r>
    </w:p>
    <w:p>
      <w:pPr>
        <w:pStyle w:val="133"/>
        <w:keepNext w:val="0"/>
        <w:keepLines w:val="0"/>
        <w:pageBreakBefore w:val="0"/>
        <w:kinsoku/>
        <w:wordWrap/>
        <w:overflowPunct/>
        <w:topLinePunct w:val="0"/>
        <w:bidi w:val="0"/>
        <w:snapToGrid w:val="0"/>
        <w:spacing w:before="0" w:beforeAutospacing="0" w:line="440" w:lineRule="exact"/>
        <w:ind w:left="0" w:lef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.2为确保网上操作合法、有效和安全，</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应当在</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截止时间前完成在“</w:t>
      </w:r>
      <w:r>
        <w:rPr>
          <w:rFonts w:hint="eastAsia" w:ascii="宋体" w:hAnsi="宋体" w:cs="宋体"/>
          <w:color w:val="auto"/>
          <w:highlight w:val="none"/>
          <w:lang w:eastAsia="zh-CN"/>
        </w:rPr>
        <w:t>乐采云</w:t>
      </w:r>
      <w:r>
        <w:rPr>
          <w:rFonts w:hint="eastAsia" w:ascii="宋体" w:hAnsi="宋体" w:eastAsia="宋体" w:cs="宋体"/>
          <w:color w:val="auto"/>
          <w:highlight w:val="none"/>
        </w:rPr>
        <w:t>”的身份认证，确保在电子</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过程中能够对相关数据电文进行加密和使用电子签名。</w:t>
      </w:r>
    </w:p>
    <w:p>
      <w:pPr>
        <w:pStyle w:val="133"/>
        <w:keepNext w:val="0"/>
        <w:keepLines w:val="0"/>
        <w:pageBreakBefore w:val="0"/>
        <w:kinsoku/>
        <w:wordWrap/>
        <w:overflowPunct/>
        <w:topLinePunct w:val="0"/>
        <w:bidi w:val="0"/>
        <w:snapToGrid w:val="0"/>
        <w:spacing w:before="0" w:beforeAutospacing="0" w:line="440" w:lineRule="exact"/>
        <w:ind w:left="0" w:leftChars="0" w:firstLine="48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.3</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签署、盖章的要求适用于电子签名。</w:t>
      </w:r>
    </w:p>
    <w:p>
      <w:pPr>
        <w:pStyle w:val="133"/>
        <w:keepNext w:val="0"/>
        <w:keepLines w:val="0"/>
        <w:pageBreakBefore w:val="0"/>
        <w:kinsoku/>
        <w:wordWrap/>
        <w:overflowPunct/>
        <w:topLinePunct w:val="0"/>
        <w:bidi w:val="0"/>
        <w:spacing w:before="0" w:beforeAutospacing="0" w:line="440" w:lineRule="exact"/>
        <w:ind w:left="0" w:leftChars="0"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3</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的提交、补充、修改、撤回</w:t>
      </w:r>
    </w:p>
    <w:p>
      <w:pPr>
        <w:pStyle w:val="133"/>
        <w:keepNext w:val="0"/>
        <w:keepLines w:val="0"/>
        <w:pageBreakBefore w:val="0"/>
        <w:kinsoku/>
        <w:wordWrap/>
        <w:overflowPunct/>
        <w:topLinePunct w:val="0"/>
        <w:bidi w:val="0"/>
        <w:spacing w:before="0" w:beforeAutospacing="0" w:line="440" w:lineRule="exact"/>
        <w:ind w:left="0" w:leftChars="0"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.1供应商应当在</w:t>
      </w:r>
      <w:r>
        <w:rPr>
          <w:rFonts w:hint="eastAsia" w:ascii="宋体" w:hAnsi="宋体" w:eastAsia="宋体" w:cs="宋体"/>
          <w:color w:val="auto"/>
          <w:szCs w:val="24"/>
          <w:highlight w:val="none"/>
          <w:lang w:val="en-US" w:eastAsia="zh-CN"/>
        </w:rPr>
        <w:t>交易</w:t>
      </w:r>
      <w:r>
        <w:rPr>
          <w:rFonts w:hint="eastAsia" w:ascii="宋体" w:hAnsi="宋体" w:eastAsia="宋体" w:cs="宋体"/>
          <w:color w:val="auto"/>
          <w:szCs w:val="24"/>
          <w:highlight w:val="none"/>
        </w:rPr>
        <w:t>截止时间前完成</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的传输递交，并可以补充、修改或者撤回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。补充或者修改</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的，应当先行撤回原文件，补充、修改后重新传输递交。</w:t>
      </w:r>
      <w:r>
        <w:rPr>
          <w:rFonts w:hint="eastAsia" w:ascii="宋体" w:hAnsi="宋体" w:eastAsia="宋体" w:cs="宋体"/>
          <w:color w:val="auto"/>
          <w:szCs w:val="24"/>
          <w:highlight w:val="none"/>
          <w:lang w:val="en-US" w:eastAsia="zh-CN"/>
        </w:rPr>
        <w:t>交易</w:t>
      </w:r>
      <w:r>
        <w:rPr>
          <w:rFonts w:hint="eastAsia" w:ascii="宋体" w:hAnsi="宋体" w:eastAsia="宋体" w:cs="宋体"/>
          <w:color w:val="auto"/>
          <w:szCs w:val="24"/>
          <w:highlight w:val="none"/>
        </w:rPr>
        <w:t>截止时间前未完成传输的，视为撤回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交易</w:t>
      </w:r>
      <w:r>
        <w:rPr>
          <w:rFonts w:hint="eastAsia" w:ascii="宋体" w:hAnsi="宋体" w:eastAsia="宋体" w:cs="宋体"/>
          <w:color w:val="auto"/>
          <w:szCs w:val="24"/>
          <w:highlight w:val="none"/>
        </w:rPr>
        <w:t>截止时间后递交的</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，电子交易平台将拒收。</w:t>
      </w:r>
    </w:p>
    <w:p>
      <w:pPr>
        <w:pStyle w:val="133"/>
        <w:keepNext w:val="0"/>
        <w:keepLines w:val="0"/>
        <w:pageBreakBefore w:val="0"/>
        <w:kinsoku/>
        <w:wordWrap/>
        <w:overflowPunct/>
        <w:topLinePunct w:val="0"/>
        <w:bidi w:val="0"/>
        <w:spacing w:before="0" w:beforeAutospacing="0" w:line="440" w:lineRule="exact"/>
        <w:ind w:left="0" w:leftChars="0"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.2电子交易平台收到</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，将妥善保存并即时向供应商发出确认回执通知。在</w:t>
      </w:r>
      <w:r>
        <w:rPr>
          <w:rFonts w:hint="eastAsia" w:ascii="宋体" w:hAnsi="宋体" w:eastAsia="宋体" w:cs="宋体"/>
          <w:color w:val="auto"/>
          <w:szCs w:val="24"/>
          <w:highlight w:val="none"/>
          <w:lang w:val="en-US" w:eastAsia="zh-CN"/>
        </w:rPr>
        <w:t>交易</w:t>
      </w:r>
      <w:r>
        <w:rPr>
          <w:rFonts w:hint="eastAsia" w:ascii="宋体" w:hAnsi="宋体" w:eastAsia="宋体" w:cs="宋体"/>
          <w:color w:val="auto"/>
          <w:szCs w:val="24"/>
          <w:highlight w:val="none"/>
        </w:rPr>
        <w:t>截止时间前，除供应商补充、修改或者撤回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外，任何单位和个人不得解密或提取</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w:t>
      </w:r>
    </w:p>
    <w:p>
      <w:pPr>
        <w:pStyle w:val="133"/>
        <w:keepNext w:val="0"/>
        <w:keepLines w:val="0"/>
        <w:pageBreakBefore w:val="0"/>
        <w:kinsoku/>
        <w:wordWrap/>
        <w:overflowPunct/>
        <w:topLinePunct w:val="0"/>
        <w:bidi w:val="0"/>
        <w:spacing w:before="0" w:beforeAutospacing="0" w:line="440" w:lineRule="exact"/>
        <w:ind w:left="0" w:leftChars="0"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.3</w:t>
      </w:r>
      <w:r>
        <w:rPr>
          <w:rFonts w:hint="eastAsia" w:ascii="宋体" w:hAnsi="宋体" w:eastAsia="宋体" w:cs="宋体"/>
          <w:color w:val="auto"/>
          <w:szCs w:val="24"/>
          <w:highlight w:val="none"/>
          <w:lang w:eastAsia="zh-CN"/>
        </w:rPr>
        <w:t>交易发起人</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代理机构</w:t>
      </w:r>
      <w:r>
        <w:rPr>
          <w:rFonts w:hint="eastAsia" w:ascii="宋体" w:hAnsi="宋体" w:eastAsia="宋体" w:cs="宋体"/>
          <w:color w:val="auto"/>
          <w:szCs w:val="24"/>
          <w:highlight w:val="none"/>
        </w:rPr>
        <w:t>可以视情况延长</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提交的截止时间。在上述情况下，</w:t>
      </w:r>
      <w:r>
        <w:rPr>
          <w:rFonts w:hint="eastAsia" w:ascii="宋体" w:hAnsi="宋体" w:eastAsia="宋体" w:cs="宋体"/>
          <w:color w:val="auto"/>
          <w:szCs w:val="24"/>
          <w:highlight w:val="none"/>
          <w:lang w:eastAsia="zh-CN"/>
        </w:rPr>
        <w:t>代理机构</w:t>
      </w:r>
      <w:r>
        <w:rPr>
          <w:rFonts w:hint="eastAsia" w:ascii="宋体" w:hAnsi="宋体" w:eastAsia="宋体" w:cs="宋体"/>
          <w:color w:val="auto"/>
          <w:szCs w:val="24"/>
          <w:highlight w:val="none"/>
        </w:rPr>
        <w:t>与</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以前在</w:t>
      </w:r>
      <w:r>
        <w:rPr>
          <w:rFonts w:hint="eastAsia" w:ascii="宋体" w:hAnsi="宋体" w:eastAsia="宋体" w:cs="宋体"/>
          <w:color w:val="auto"/>
          <w:szCs w:val="24"/>
          <w:highlight w:val="none"/>
          <w:lang w:val="en-US" w:eastAsia="zh-CN"/>
        </w:rPr>
        <w:t>交易</w:t>
      </w:r>
      <w:r>
        <w:rPr>
          <w:rFonts w:hint="eastAsia" w:ascii="宋体" w:hAnsi="宋体" w:eastAsia="宋体" w:cs="宋体"/>
          <w:color w:val="auto"/>
          <w:szCs w:val="24"/>
          <w:highlight w:val="none"/>
        </w:rPr>
        <w:t>截止期方面的全部权利、责任和义务，将适用于延长至新的</w:t>
      </w:r>
      <w:r>
        <w:rPr>
          <w:rFonts w:hint="eastAsia" w:ascii="宋体" w:hAnsi="宋体" w:eastAsia="宋体" w:cs="宋体"/>
          <w:color w:val="auto"/>
          <w:szCs w:val="24"/>
          <w:highlight w:val="none"/>
          <w:lang w:val="en-US" w:eastAsia="zh-CN"/>
        </w:rPr>
        <w:t>交易</w:t>
      </w:r>
      <w:r>
        <w:rPr>
          <w:rFonts w:hint="eastAsia" w:ascii="宋体" w:hAnsi="宋体" w:eastAsia="宋体" w:cs="宋体"/>
          <w:color w:val="auto"/>
          <w:szCs w:val="24"/>
          <w:highlight w:val="none"/>
        </w:rPr>
        <w:t>截止期。</w:t>
      </w:r>
    </w:p>
    <w:p>
      <w:pPr>
        <w:pStyle w:val="36"/>
        <w:keepNext w:val="0"/>
        <w:keepLines w:val="0"/>
        <w:pageBreakBefore w:val="0"/>
        <w:numPr>
          <w:ilvl w:val="0"/>
          <w:numId w:val="1"/>
        </w:numPr>
        <w:kinsoku/>
        <w:wordWrap/>
        <w:overflowPunct/>
        <w:topLinePunct w:val="0"/>
        <w:bidi w:val="0"/>
        <w:spacing w:beforeAutospacing="0" w:line="440" w:lineRule="exact"/>
        <w:ind w:left="0" w:lef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w:t>
      </w:r>
      <w:r>
        <w:rPr>
          <w:rFonts w:hint="eastAsia" w:ascii="宋体" w:hAnsi="宋体" w:eastAsia="宋体" w:cs="宋体"/>
          <w:b/>
          <w:color w:val="auto"/>
          <w:sz w:val="24"/>
          <w:szCs w:val="24"/>
          <w:highlight w:val="none"/>
          <w:lang w:eastAsia="zh-CN"/>
        </w:rPr>
        <w:t>响应文件</w:t>
      </w:r>
    </w:p>
    <w:p>
      <w:pPr>
        <w:pStyle w:val="36"/>
        <w:keepNext w:val="0"/>
        <w:keepLines w:val="0"/>
        <w:pageBreakBefore w:val="0"/>
        <w:numPr>
          <w:ilvl w:val="0"/>
          <w:numId w:val="0"/>
        </w:numPr>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28"/>
          <w:sz w:val="24"/>
          <w:szCs w:val="24"/>
          <w:highlight w:val="none"/>
          <w:lang w:val="en-US" w:eastAsia="zh-CN"/>
        </w:rPr>
        <w:t>不收取备份响应文件</w:t>
      </w:r>
    </w:p>
    <w:p>
      <w:pPr>
        <w:pStyle w:val="133"/>
        <w:keepNext w:val="0"/>
        <w:keepLines w:val="0"/>
        <w:pageBreakBefore w:val="0"/>
        <w:kinsoku/>
        <w:wordWrap/>
        <w:overflowPunct/>
        <w:topLinePunct w:val="0"/>
        <w:bidi w:val="0"/>
        <w:spacing w:before="0" w:beforeAutospacing="0" w:line="440" w:lineRule="exact"/>
        <w:ind w:left="0" w:leftChars="0"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5</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的无效处理</w:t>
      </w:r>
    </w:p>
    <w:p>
      <w:pPr>
        <w:pStyle w:val="3"/>
        <w:keepNext w:val="0"/>
        <w:keepLines w:val="0"/>
        <w:pageBreakBefore w:val="0"/>
        <w:kinsoku/>
        <w:wordWrap/>
        <w:overflowPunct/>
        <w:topLinePunct w:val="0"/>
        <w:bidi w:val="0"/>
        <w:spacing w:beforeAutospacing="0" w:line="440" w:lineRule="exact"/>
        <w:ind w:left="0" w:leftChars="0" w:firstLine="360" w:firstLineChars="1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w:t>
      </w:r>
      <w:r>
        <w:rPr>
          <w:rFonts w:hint="eastAsia" w:ascii="宋体" w:hAnsi="宋体" w:eastAsia="宋体" w:cs="宋体"/>
          <w:color w:val="auto"/>
          <w:szCs w:val="21"/>
          <w:highlight w:val="none"/>
          <w:lang w:eastAsia="zh-CN"/>
        </w:rPr>
        <w:t>交易文件</w:t>
      </w:r>
      <w:r>
        <w:rPr>
          <w:rFonts w:hint="eastAsia" w:ascii="宋体" w:hAnsi="宋体" w:eastAsia="宋体" w:cs="宋体"/>
          <w:color w:val="auto"/>
          <w:szCs w:val="21"/>
          <w:highlight w:val="none"/>
        </w:rPr>
        <w:t>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w:t>
      </w:r>
      <w:r>
        <w:rPr>
          <w:rFonts w:hint="eastAsia" w:ascii="宋体" w:hAnsi="宋体" w:eastAsia="宋体" w:cs="宋体"/>
          <w:color w:val="auto"/>
          <w:szCs w:val="21"/>
          <w:highlight w:val="none"/>
          <w:lang w:eastAsia="zh-CN"/>
        </w:rPr>
        <w:t>交易无效</w:t>
      </w:r>
      <w:r>
        <w:rPr>
          <w:rFonts w:hint="eastAsia" w:ascii="宋体" w:hAnsi="宋体" w:eastAsia="宋体" w:cs="宋体"/>
          <w:color w:val="auto"/>
          <w:szCs w:val="21"/>
          <w:highlight w:val="none"/>
        </w:rPr>
        <w:t>：</w:t>
      </w:r>
    </w:p>
    <w:p>
      <w:pPr>
        <w:pStyle w:val="133"/>
        <w:keepNext w:val="0"/>
        <w:keepLines w:val="0"/>
        <w:pageBreakBefore w:val="0"/>
        <w:kinsoku/>
        <w:wordWrap/>
        <w:overflowPunct/>
        <w:topLinePunct w:val="0"/>
        <w:bidi w:val="0"/>
        <w:spacing w:before="0" w:beforeAutospacing="0" w:line="440" w:lineRule="exact"/>
        <w:ind w:left="0" w:leftChars="0" w:firstLine="0" w:firstLineChars="0"/>
        <w:textAlignment w:val="auto"/>
        <w:rPr>
          <w:rFonts w:hint="eastAsia" w:ascii="宋体" w:hAnsi="宋体" w:eastAsia="宋体" w:cs="宋体"/>
          <w:b/>
          <w:color w:val="auto"/>
          <w:szCs w:val="24"/>
          <w:highlight w:val="none"/>
          <w:lang w:eastAsia="zh-CN"/>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6</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交易有效期</w:t>
      </w:r>
    </w:p>
    <w:p>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w:t>
      </w:r>
      <w:r>
        <w:rPr>
          <w:rFonts w:hint="eastAsia" w:ascii="宋体" w:hAnsi="宋体" w:eastAsia="宋体" w:cs="宋体"/>
          <w:color w:val="auto"/>
          <w:sz w:val="24"/>
          <w:szCs w:val="20"/>
          <w:highlight w:val="none"/>
          <w:lang w:val="en-US" w:eastAsia="zh-CN"/>
        </w:rPr>
        <w:t>6</w:t>
      </w:r>
      <w:r>
        <w:rPr>
          <w:rFonts w:hint="eastAsia" w:ascii="宋体" w:hAnsi="宋体" w:eastAsia="宋体" w:cs="宋体"/>
          <w:color w:val="auto"/>
          <w:sz w:val="24"/>
          <w:szCs w:val="20"/>
          <w:highlight w:val="none"/>
        </w:rPr>
        <w:t>.1</w:t>
      </w:r>
      <w:r>
        <w:rPr>
          <w:rFonts w:hint="eastAsia" w:ascii="宋体" w:hAnsi="宋体" w:eastAsia="宋体" w:cs="宋体"/>
          <w:color w:val="auto"/>
          <w:sz w:val="24"/>
          <w:szCs w:val="20"/>
          <w:highlight w:val="none"/>
          <w:lang w:eastAsia="zh-CN"/>
        </w:rPr>
        <w:t>交易有效期</w:t>
      </w:r>
      <w:r>
        <w:rPr>
          <w:rFonts w:hint="eastAsia" w:ascii="宋体" w:hAnsi="宋体" w:eastAsia="宋体" w:cs="宋体"/>
          <w:color w:val="auto"/>
          <w:sz w:val="24"/>
          <w:szCs w:val="20"/>
          <w:highlight w:val="none"/>
        </w:rPr>
        <w:t>为从提交</w:t>
      </w:r>
      <w:r>
        <w:rPr>
          <w:rFonts w:hint="eastAsia" w:ascii="宋体" w:hAnsi="宋体" w:eastAsia="宋体" w:cs="宋体"/>
          <w:color w:val="auto"/>
          <w:sz w:val="24"/>
          <w:szCs w:val="20"/>
          <w:highlight w:val="none"/>
          <w:lang w:eastAsia="zh-CN"/>
        </w:rPr>
        <w:t>响应文件</w:t>
      </w:r>
      <w:r>
        <w:rPr>
          <w:rFonts w:hint="eastAsia" w:ascii="宋体" w:hAnsi="宋体" w:eastAsia="宋体" w:cs="宋体"/>
          <w:color w:val="auto"/>
          <w:sz w:val="24"/>
          <w:szCs w:val="20"/>
          <w:highlight w:val="none"/>
        </w:rPr>
        <w:t>的截止之日起90天。▲</w:t>
      </w:r>
      <w:r>
        <w:rPr>
          <w:rFonts w:hint="eastAsia" w:ascii="宋体" w:hAnsi="宋体" w:eastAsia="宋体" w:cs="宋体"/>
          <w:b/>
          <w:color w:val="auto"/>
          <w:sz w:val="24"/>
          <w:szCs w:val="20"/>
          <w:highlight w:val="none"/>
          <w:lang w:eastAsia="zh-CN"/>
        </w:rPr>
        <w:t>供应商</w:t>
      </w:r>
      <w:r>
        <w:rPr>
          <w:rFonts w:hint="eastAsia" w:ascii="宋体" w:hAnsi="宋体" w:eastAsia="宋体" w:cs="宋体"/>
          <w:b/>
          <w:color w:val="auto"/>
          <w:sz w:val="24"/>
          <w:szCs w:val="20"/>
          <w:highlight w:val="none"/>
        </w:rPr>
        <w:t>的</w:t>
      </w:r>
      <w:r>
        <w:rPr>
          <w:rFonts w:hint="eastAsia" w:ascii="宋体" w:hAnsi="宋体" w:eastAsia="宋体" w:cs="宋体"/>
          <w:b/>
          <w:color w:val="auto"/>
          <w:sz w:val="24"/>
          <w:szCs w:val="20"/>
          <w:highlight w:val="none"/>
          <w:lang w:eastAsia="zh-CN"/>
        </w:rPr>
        <w:t>响应文件</w:t>
      </w:r>
      <w:r>
        <w:rPr>
          <w:rFonts w:hint="eastAsia" w:ascii="宋体" w:hAnsi="宋体" w:eastAsia="宋体" w:cs="宋体"/>
          <w:b/>
          <w:color w:val="auto"/>
          <w:sz w:val="24"/>
          <w:szCs w:val="20"/>
          <w:highlight w:val="none"/>
        </w:rPr>
        <w:t>中承</w:t>
      </w:r>
      <w:r>
        <w:rPr>
          <w:rFonts w:hint="eastAsia" w:ascii="宋体" w:hAnsi="宋体" w:eastAsia="宋体" w:cs="宋体"/>
          <w:b/>
          <w:color w:val="auto"/>
          <w:sz w:val="24"/>
          <w:szCs w:val="21"/>
          <w:highlight w:val="none"/>
        </w:rPr>
        <w:t>诺的</w:t>
      </w:r>
      <w:r>
        <w:rPr>
          <w:rFonts w:hint="eastAsia" w:ascii="宋体" w:hAnsi="宋体" w:eastAsia="宋体" w:cs="宋体"/>
          <w:b/>
          <w:color w:val="auto"/>
          <w:sz w:val="24"/>
          <w:szCs w:val="21"/>
          <w:highlight w:val="none"/>
          <w:lang w:eastAsia="zh-CN"/>
        </w:rPr>
        <w:t>交易有效期</w:t>
      </w:r>
      <w:r>
        <w:rPr>
          <w:rFonts w:hint="eastAsia" w:ascii="宋体" w:hAnsi="宋体" w:eastAsia="宋体" w:cs="宋体"/>
          <w:b/>
          <w:color w:val="auto"/>
          <w:sz w:val="24"/>
          <w:szCs w:val="21"/>
          <w:highlight w:val="none"/>
        </w:rPr>
        <w:t>少于</w:t>
      </w:r>
      <w:r>
        <w:rPr>
          <w:rFonts w:hint="eastAsia" w:ascii="宋体" w:hAnsi="宋体" w:eastAsia="宋体" w:cs="宋体"/>
          <w:b/>
          <w:color w:val="auto"/>
          <w:sz w:val="24"/>
          <w:szCs w:val="21"/>
          <w:highlight w:val="none"/>
          <w:lang w:eastAsia="zh-CN"/>
        </w:rPr>
        <w:t>交易文件</w:t>
      </w:r>
      <w:r>
        <w:rPr>
          <w:rFonts w:hint="eastAsia" w:ascii="宋体" w:hAnsi="宋体" w:eastAsia="宋体" w:cs="宋体"/>
          <w:b/>
          <w:color w:val="auto"/>
          <w:sz w:val="24"/>
          <w:szCs w:val="21"/>
          <w:highlight w:val="none"/>
        </w:rPr>
        <w:t>中载明的</w:t>
      </w:r>
      <w:r>
        <w:rPr>
          <w:rFonts w:hint="eastAsia" w:ascii="宋体" w:hAnsi="宋体" w:eastAsia="宋体" w:cs="宋体"/>
          <w:b/>
          <w:color w:val="auto"/>
          <w:sz w:val="24"/>
          <w:szCs w:val="21"/>
          <w:highlight w:val="none"/>
          <w:lang w:eastAsia="zh-CN"/>
        </w:rPr>
        <w:t>交易有效期</w:t>
      </w:r>
      <w:r>
        <w:rPr>
          <w:rFonts w:hint="eastAsia" w:ascii="宋体" w:hAnsi="宋体" w:eastAsia="宋体" w:cs="宋体"/>
          <w:b/>
          <w:color w:val="auto"/>
          <w:sz w:val="24"/>
          <w:szCs w:val="21"/>
          <w:highlight w:val="none"/>
        </w:rPr>
        <w:t>的，</w:t>
      </w:r>
      <w:r>
        <w:rPr>
          <w:rFonts w:hint="eastAsia" w:ascii="宋体" w:hAnsi="宋体" w:eastAsia="宋体" w:cs="宋体"/>
          <w:b/>
          <w:color w:val="auto"/>
          <w:sz w:val="24"/>
          <w:szCs w:val="21"/>
          <w:highlight w:val="none"/>
          <w:lang w:eastAsia="zh-CN"/>
        </w:rPr>
        <w:t>交易无效</w:t>
      </w:r>
      <w:r>
        <w:rPr>
          <w:rFonts w:hint="eastAsia" w:ascii="宋体" w:hAnsi="宋体" w:eastAsia="宋体" w:cs="宋体"/>
          <w:b/>
          <w:color w:val="auto"/>
          <w:sz w:val="24"/>
          <w:szCs w:val="21"/>
          <w:highlight w:val="none"/>
        </w:rPr>
        <w:t>。</w:t>
      </w:r>
    </w:p>
    <w:p>
      <w:pPr>
        <w:pStyle w:val="133"/>
        <w:keepNext w:val="0"/>
        <w:keepLines w:val="0"/>
        <w:pageBreakBefore w:val="0"/>
        <w:kinsoku/>
        <w:wordWrap/>
        <w:overflowPunct/>
        <w:topLinePunct w:val="0"/>
        <w:bidi w:val="0"/>
        <w:spacing w:before="0" w:beforeAutospacing="0" w:line="440" w:lineRule="exact"/>
        <w:ind w:left="0" w:lef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.2</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合格投递后，自</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截止日期起，在</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内有效。</w:t>
      </w:r>
    </w:p>
    <w:p>
      <w:pPr>
        <w:pStyle w:val="133"/>
        <w:keepNext w:val="0"/>
        <w:keepLines w:val="0"/>
        <w:pageBreakBefore w:val="0"/>
        <w:kinsoku/>
        <w:wordWrap/>
        <w:overflowPunct/>
        <w:topLinePunct w:val="0"/>
        <w:bidi w:val="0"/>
        <w:spacing w:before="0" w:beforeAutospacing="0" w:line="440" w:lineRule="exact"/>
        <w:ind w:left="0" w:leftChars="0" w:firstLine="480"/>
        <w:textAlignment w:val="auto"/>
        <w:rPr>
          <w:rFonts w:hint="eastAsia" w:ascii="宋体" w:hAnsi="宋体" w:eastAsia="宋体" w:cs="宋体"/>
          <w:b/>
          <w:color w:val="auto"/>
          <w:sz w:val="32"/>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.3在原定</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满之前，如果出现特殊情况，</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可以以书面形式通知</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延长</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同意延长的，不得要求或被允许修改其</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拒绝延长的，其</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无效。</w:t>
      </w:r>
    </w:p>
    <w:p>
      <w:pPr>
        <w:pStyle w:val="133"/>
        <w:keepNext w:val="0"/>
        <w:keepLines w:val="0"/>
        <w:pageBreakBefore w:val="0"/>
        <w:kinsoku/>
        <w:wordWrap/>
        <w:overflowPunct/>
        <w:topLinePunct w:val="0"/>
        <w:bidi w:val="0"/>
        <w:spacing w:before="0" w:beforeAutospacing="0" w:line="440" w:lineRule="exact"/>
        <w:ind w:left="0" w:leftChars="0" w:firstLine="0" w:firstLineChars="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w:t>
      </w:r>
      <w:r>
        <w:rPr>
          <w:rFonts w:hint="eastAsia" w:ascii="宋体" w:hAnsi="宋体" w:eastAsia="宋体" w:cs="宋体"/>
          <w:b/>
          <w:color w:val="auto"/>
          <w:sz w:val="32"/>
          <w:highlight w:val="none"/>
          <w:lang w:eastAsia="zh-CN"/>
        </w:rPr>
        <w:t>交易</w:t>
      </w:r>
      <w:r>
        <w:rPr>
          <w:rFonts w:hint="eastAsia" w:ascii="宋体" w:hAnsi="宋体" w:eastAsia="宋体" w:cs="宋体"/>
          <w:b/>
          <w:color w:val="auto"/>
          <w:sz w:val="32"/>
          <w:highlight w:val="none"/>
        </w:rPr>
        <w:t>、资格审查</w:t>
      </w:r>
    </w:p>
    <w:p>
      <w:pPr>
        <w:pStyle w:val="559"/>
        <w:keepNext w:val="0"/>
        <w:keepLines w:val="0"/>
        <w:pageBreakBefore w:val="0"/>
        <w:kinsoku/>
        <w:wordWrap/>
        <w:overflowPunct/>
        <w:topLinePunct w:val="0"/>
        <w:bidi w:val="0"/>
        <w:spacing w:before="0" w:beforeAutospacing="0" w:line="440" w:lineRule="exact"/>
        <w:ind w:left="0" w:leftChars="0" w:firstLine="0" w:firstLineChars="0"/>
        <w:contextualSpacing/>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 xml:space="preserve">17.交易 </w:t>
      </w:r>
    </w:p>
    <w:p>
      <w:pPr>
        <w:pStyle w:val="559"/>
        <w:keepNext w:val="0"/>
        <w:keepLines w:val="0"/>
        <w:pageBreakBefore w:val="0"/>
        <w:kinsoku/>
        <w:wordWrap/>
        <w:overflowPunct/>
        <w:topLinePunct w:val="0"/>
        <w:bidi w:val="0"/>
        <w:spacing w:before="0" w:beforeAutospacing="0" w:line="440" w:lineRule="exact"/>
        <w:ind w:left="0" w:leftChars="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按照</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规定的时间通过电子交易平台组织</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，所有</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均应当准时在线参加。</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不足3家的，不得</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w:t>
      </w:r>
    </w:p>
    <w:p>
      <w:pPr>
        <w:pStyle w:val="559"/>
        <w:keepNext w:val="0"/>
        <w:keepLines w:val="0"/>
        <w:pageBreakBefore w:val="0"/>
        <w:kinsoku/>
        <w:wordWrap/>
        <w:overflowPunct/>
        <w:topLinePunct w:val="0"/>
        <w:bidi w:val="0"/>
        <w:spacing w:before="0" w:beforeAutospacing="0" w:line="440" w:lineRule="exact"/>
        <w:ind w:left="0" w:leftChars="0" w:firstLine="240"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时，电子交易平台按</w:t>
      </w:r>
      <w:r>
        <w:rPr>
          <w:rFonts w:hint="eastAsia" w:ascii="宋体" w:hAnsi="宋体" w:eastAsia="宋体" w:cs="宋体"/>
          <w:color w:val="auto"/>
          <w:sz w:val="24"/>
          <w:highlight w:val="none"/>
          <w:lang w:eastAsia="zh-CN"/>
        </w:rPr>
        <w:t>交易时间</w:t>
      </w:r>
      <w:r>
        <w:rPr>
          <w:rFonts w:hint="eastAsia" w:ascii="宋体" w:hAnsi="宋体" w:eastAsia="宋体" w:cs="宋体"/>
          <w:color w:val="auto"/>
          <w:sz w:val="24"/>
          <w:highlight w:val="none"/>
        </w:rPr>
        <w:t>自动提取所有</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依托电子交易平台发起开始解密指令，</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按照平台提示和</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的规定在半小时内完成在线解密。</w:t>
      </w:r>
    </w:p>
    <w:p>
      <w:pPr>
        <w:pStyle w:val="559"/>
        <w:keepNext w:val="0"/>
        <w:keepLines w:val="0"/>
        <w:pageBreakBefore w:val="0"/>
        <w:kinsoku/>
        <w:wordWrap/>
        <w:overflowPunct/>
        <w:topLinePunct w:val="0"/>
        <w:bidi w:val="0"/>
        <w:spacing w:before="0" w:beforeAutospacing="0" w:line="440" w:lineRule="exact"/>
        <w:ind w:left="0" w:leftChars="0" w:firstLine="240" w:firstLineChars="100"/>
        <w:contextualSpacing/>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.3</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未按时解密，</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提供了备份</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的，以备份</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作为依据，否则视为</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撤回。</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已按时解密的，备份</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自动失效。</w:t>
      </w:r>
    </w:p>
    <w:p>
      <w:pPr>
        <w:keepNext w:val="0"/>
        <w:keepLines w:val="0"/>
        <w:pageBreakBefore w:val="0"/>
        <w:widowControl/>
        <w:kinsoku/>
        <w:wordWrap/>
        <w:overflowPunct/>
        <w:topLinePunct w:val="0"/>
        <w:bidi w:val="0"/>
        <w:spacing w:beforeAutospacing="0" w:line="440" w:lineRule="exact"/>
        <w:ind w:left="0" w:leftChars="0"/>
        <w:jc w:val="left"/>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1</w:t>
      </w:r>
      <w:r>
        <w:rPr>
          <w:rFonts w:hint="eastAsia" w:ascii="宋体" w:hAnsi="宋体" w:eastAsia="宋体" w:cs="宋体"/>
          <w:b/>
          <w:color w:val="auto"/>
          <w:sz w:val="24"/>
          <w:szCs w:val="20"/>
          <w:highlight w:val="none"/>
          <w:lang w:val="en-US" w:eastAsia="zh-CN"/>
        </w:rPr>
        <w:t>8.</w:t>
      </w:r>
      <w:r>
        <w:rPr>
          <w:rFonts w:hint="eastAsia" w:ascii="宋体" w:hAnsi="宋体" w:eastAsia="宋体" w:cs="宋体"/>
          <w:b/>
          <w:color w:val="auto"/>
          <w:sz w:val="24"/>
          <w:szCs w:val="20"/>
          <w:highlight w:val="none"/>
        </w:rPr>
        <w:t>资格审查</w:t>
      </w:r>
    </w:p>
    <w:p>
      <w:pPr>
        <w:pStyle w:val="133"/>
        <w:keepNext w:val="0"/>
        <w:keepLines w:val="0"/>
        <w:pageBreakBefore w:val="0"/>
        <w:kinsoku/>
        <w:wordWrap/>
        <w:overflowPunct/>
        <w:topLinePunct w:val="0"/>
        <w:bidi w:val="0"/>
        <w:spacing w:before="0" w:beforeAutospacing="0" w:line="440" w:lineRule="exact"/>
        <w:ind w:left="0" w:leftChars="0"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eastAsia="zh-CN"/>
        </w:rPr>
        <w:t>交易</w:t>
      </w:r>
      <w:r>
        <w:rPr>
          <w:rFonts w:hint="eastAsia" w:ascii="宋体" w:hAnsi="宋体" w:eastAsia="宋体" w:cs="宋体"/>
          <w:color w:val="auto"/>
          <w:kern w:val="0"/>
          <w:szCs w:val="24"/>
          <w:highlight w:val="none"/>
        </w:rPr>
        <w:t>后，</w:t>
      </w:r>
      <w:r>
        <w:rPr>
          <w:rFonts w:hint="eastAsia" w:ascii="宋体" w:hAnsi="宋体" w:eastAsia="宋体" w:cs="宋体"/>
          <w:color w:val="auto"/>
          <w:kern w:val="0"/>
          <w:szCs w:val="24"/>
          <w:highlight w:val="none"/>
          <w:lang w:eastAsia="zh-CN"/>
        </w:rPr>
        <w:t>交易发起人</w:t>
      </w:r>
      <w:r>
        <w:rPr>
          <w:rFonts w:hint="eastAsia" w:ascii="宋体" w:hAnsi="宋体" w:eastAsia="宋体" w:cs="宋体"/>
          <w:color w:val="auto"/>
          <w:kern w:val="0"/>
          <w:szCs w:val="24"/>
          <w:highlight w:val="none"/>
        </w:rPr>
        <w:t>或</w:t>
      </w:r>
      <w:r>
        <w:rPr>
          <w:rFonts w:hint="eastAsia" w:ascii="宋体" w:hAnsi="宋体" w:eastAsia="宋体" w:cs="宋体"/>
          <w:color w:val="auto"/>
          <w:kern w:val="0"/>
          <w:szCs w:val="24"/>
          <w:highlight w:val="none"/>
          <w:lang w:eastAsia="zh-CN"/>
        </w:rPr>
        <w:t>代理机构</w:t>
      </w:r>
      <w:r>
        <w:rPr>
          <w:rFonts w:hint="eastAsia" w:ascii="宋体" w:hAnsi="宋体" w:eastAsia="宋体" w:cs="宋体"/>
          <w:color w:val="auto"/>
          <w:kern w:val="0"/>
          <w:szCs w:val="24"/>
          <w:highlight w:val="none"/>
        </w:rPr>
        <w:t>将依法对</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的资格进行审查。</w:t>
      </w:r>
    </w:p>
    <w:p>
      <w:pPr>
        <w:keepNext w:val="0"/>
        <w:keepLines w:val="0"/>
        <w:pageBreakBefore w:val="0"/>
        <w:kinsoku/>
        <w:wordWrap/>
        <w:overflowPunct/>
        <w:topLinePunct w:val="0"/>
        <w:bidi w:val="0"/>
        <w:snapToGrid w:val="0"/>
        <w:spacing w:beforeAutospacing="0"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.2</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依据法律法规和</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的规定，对</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的基本资格条件、特定资格条件进行审查。</w:t>
      </w:r>
    </w:p>
    <w:p>
      <w:pPr>
        <w:pStyle w:val="133"/>
        <w:keepNext w:val="0"/>
        <w:keepLines w:val="0"/>
        <w:pageBreakBefore w:val="0"/>
        <w:kinsoku/>
        <w:wordWrap/>
        <w:overflowPunct/>
        <w:topLinePunct w:val="0"/>
        <w:bidi w:val="0"/>
        <w:spacing w:before="0" w:beforeAutospacing="0" w:line="440" w:lineRule="exact"/>
        <w:ind w:left="0" w:leftChars="0"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.3</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未按照</w:t>
      </w:r>
      <w:r>
        <w:rPr>
          <w:rFonts w:hint="eastAsia" w:ascii="宋体" w:hAnsi="宋体" w:eastAsia="宋体" w:cs="宋体"/>
          <w:color w:val="auto"/>
          <w:kern w:val="0"/>
          <w:szCs w:val="24"/>
          <w:highlight w:val="none"/>
          <w:lang w:eastAsia="zh-CN"/>
        </w:rPr>
        <w:t>交易文件</w:t>
      </w:r>
      <w:r>
        <w:rPr>
          <w:rFonts w:hint="eastAsia" w:ascii="宋体" w:hAnsi="宋体" w:eastAsia="宋体" w:cs="宋体"/>
          <w:color w:val="auto"/>
          <w:kern w:val="0"/>
          <w:szCs w:val="24"/>
          <w:highlight w:val="none"/>
        </w:rPr>
        <w:t>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不具备</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中规定的资格要求，其</w:t>
      </w:r>
      <w:r>
        <w:rPr>
          <w:rFonts w:hint="eastAsia" w:ascii="宋体" w:hAnsi="宋体" w:eastAsia="宋体" w:cs="宋体"/>
          <w:color w:val="auto"/>
          <w:highlight w:val="none"/>
          <w:lang w:eastAsia="zh-CN"/>
        </w:rPr>
        <w:t>交易无效</w:t>
      </w:r>
      <w:r>
        <w:rPr>
          <w:rFonts w:hint="eastAsia" w:ascii="宋体" w:hAnsi="宋体" w:eastAsia="宋体" w:cs="宋体"/>
          <w:color w:val="auto"/>
          <w:highlight w:val="none"/>
        </w:rPr>
        <w:t>。</w:t>
      </w:r>
    </w:p>
    <w:p>
      <w:pPr>
        <w:pStyle w:val="133"/>
        <w:keepNext w:val="0"/>
        <w:keepLines w:val="0"/>
        <w:pageBreakBefore w:val="0"/>
        <w:kinsoku/>
        <w:wordWrap/>
        <w:overflowPunct/>
        <w:topLinePunct w:val="0"/>
        <w:bidi w:val="0"/>
        <w:spacing w:before="0" w:beforeAutospacing="0" w:line="440" w:lineRule="exact"/>
        <w:ind w:left="0" w:leftChars="0"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w:t>
      </w:r>
      <w:r>
        <w:rPr>
          <w:rFonts w:hint="eastAsia" w:ascii="宋体" w:hAnsi="宋体" w:eastAsia="宋体" w:cs="宋体"/>
          <w:color w:val="auto"/>
          <w:highlight w:val="none"/>
        </w:rPr>
        <w:t>4对未通过资格审查的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或</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告知其未通过的原因。</w:t>
      </w:r>
    </w:p>
    <w:p>
      <w:pPr>
        <w:pStyle w:val="133"/>
        <w:keepNext w:val="0"/>
        <w:keepLines w:val="0"/>
        <w:pageBreakBefore w:val="0"/>
        <w:kinsoku/>
        <w:wordWrap/>
        <w:overflowPunct/>
        <w:topLinePunct w:val="0"/>
        <w:bidi w:val="0"/>
        <w:spacing w:before="0" w:beforeAutospacing="0" w:line="440" w:lineRule="exact"/>
        <w:ind w:left="0" w:leftChars="0"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w:t>
      </w:r>
      <w:r>
        <w:rPr>
          <w:rFonts w:hint="eastAsia" w:ascii="宋体" w:hAnsi="宋体" w:eastAsia="宋体" w:cs="宋体"/>
          <w:color w:val="auto"/>
          <w:highlight w:val="none"/>
        </w:rPr>
        <w:t>5合格</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不足3家的，不再</w:t>
      </w:r>
      <w:r>
        <w:rPr>
          <w:rFonts w:hint="eastAsia" w:ascii="宋体" w:hAnsi="宋体" w:eastAsia="宋体" w:cs="宋体"/>
          <w:color w:val="auto"/>
          <w:highlight w:val="none"/>
          <w:lang w:eastAsia="zh-CN"/>
        </w:rPr>
        <w:t>评审</w:t>
      </w:r>
      <w:r>
        <w:rPr>
          <w:rFonts w:hint="eastAsia" w:ascii="宋体" w:hAnsi="宋体" w:eastAsia="宋体" w:cs="宋体"/>
          <w:color w:val="auto"/>
          <w:highlight w:val="none"/>
        </w:rPr>
        <w:t>。</w:t>
      </w:r>
    </w:p>
    <w:p>
      <w:pPr>
        <w:keepNext w:val="0"/>
        <w:keepLines w:val="0"/>
        <w:pageBreakBefore w:val="0"/>
        <w:kinsoku/>
        <w:wordWrap/>
        <w:overflowPunct/>
        <w:topLinePunct w:val="0"/>
        <w:bidi w:val="0"/>
        <w:snapToGrid w:val="0"/>
        <w:spacing w:beforeAutospacing="0" w:line="440" w:lineRule="exact"/>
        <w:ind w:left="0" w:leftChars="0"/>
        <w:jc w:val="center"/>
        <w:textAlignment w:val="auto"/>
        <w:outlineLvl w:val="0"/>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五、评</w:t>
      </w:r>
      <w:r>
        <w:rPr>
          <w:rFonts w:hint="eastAsia" w:ascii="宋体" w:hAnsi="宋体" w:eastAsia="宋体" w:cs="宋体"/>
          <w:b/>
          <w:color w:val="auto"/>
          <w:sz w:val="36"/>
          <w:szCs w:val="36"/>
          <w:highlight w:val="none"/>
          <w:lang w:val="en-US" w:eastAsia="zh-CN"/>
        </w:rPr>
        <w:t>审</w:t>
      </w:r>
    </w:p>
    <w:p>
      <w:pPr>
        <w:keepNext w:val="0"/>
        <w:keepLines w:val="0"/>
        <w:pageBreakBefore w:val="0"/>
        <w:kinsoku/>
        <w:wordWrap/>
        <w:overflowPunct/>
        <w:topLinePunct w:val="0"/>
        <w:bidi w:val="0"/>
        <w:spacing w:beforeAutospacing="0" w:line="440" w:lineRule="exact"/>
        <w:ind w:left="0" w:leftChars="0"/>
        <w:textAlignment w:val="auto"/>
        <w:rPr>
          <w:rFonts w:hint="eastAsia" w:ascii="宋体" w:hAnsi="宋体" w:eastAsia="宋体" w:cs="宋体"/>
          <w:b/>
          <w:color w:val="auto"/>
          <w:sz w:val="24"/>
          <w:highlight w:val="none"/>
        </w:rPr>
      </w:pPr>
      <w:bookmarkStart w:id="14" w:name="_Toc91899903"/>
      <w:r>
        <w:rPr>
          <w:rFonts w:hint="eastAsia" w:ascii="宋体" w:hAnsi="宋体" w:eastAsia="宋体" w:cs="宋体"/>
          <w:b/>
          <w:color w:val="auto"/>
          <w:sz w:val="24"/>
          <w:highlight w:val="none"/>
          <w:lang w:val="en-US" w:eastAsia="zh-CN"/>
        </w:rPr>
        <w:t>19</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委员会将根据</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和有关规定，履行</w:t>
      </w: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工作职责，并按照</w:t>
      </w:r>
      <w:r>
        <w:rPr>
          <w:rFonts w:hint="eastAsia" w:ascii="宋体" w:hAnsi="宋体" w:eastAsia="宋体" w:cs="宋体"/>
          <w:color w:val="auto"/>
          <w:sz w:val="24"/>
          <w:highlight w:val="none"/>
          <w:lang w:eastAsia="zh-CN"/>
        </w:rPr>
        <w:t>评审方法</w:t>
      </w:r>
      <w:r>
        <w:rPr>
          <w:rFonts w:hint="eastAsia" w:ascii="宋体" w:hAnsi="宋体" w:eastAsia="宋体" w:cs="宋体"/>
          <w:color w:val="auto"/>
          <w:sz w:val="24"/>
          <w:highlight w:val="none"/>
        </w:rPr>
        <w:t>及评分标准，全面衡量各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的响应情况。对实质上响应</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，按照评审因素的量化指标排出推荐</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的先后顺序，并按顺序提出授标建议。</w:t>
      </w:r>
      <w:r>
        <w:rPr>
          <w:rFonts w:hint="eastAsia" w:ascii="宋体" w:hAnsi="宋体" w:eastAsia="宋体" w:cs="宋体"/>
          <w:b/>
          <w:color w:val="auto"/>
          <w:sz w:val="24"/>
          <w:highlight w:val="none"/>
        </w:rPr>
        <w:t>详见</w:t>
      </w:r>
      <w:r>
        <w:rPr>
          <w:rFonts w:hint="eastAsia" w:ascii="宋体" w:hAnsi="宋体" w:eastAsia="宋体" w:cs="宋体"/>
          <w:b/>
          <w:color w:val="auto"/>
          <w:sz w:val="24"/>
          <w:highlight w:val="none"/>
          <w:lang w:eastAsia="zh-CN"/>
        </w:rPr>
        <w:t>交易文件</w:t>
      </w:r>
      <w:r>
        <w:rPr>
          <w:rFonts w:hint="eastAsia" w:ascii="宋体" w:hAnsi="宋体" w:eastAsia="宋体" w:cs="宋体"/>
          <w:b/>
          <w:color w:val="auto"/>
          <w:sz w:val="24"/>
          <w:highlight w:val="none"/>
        </w:rPr>
        <w:t>第四部分</w:t>
      </w:r>
      <w:r>
        <w:rPr>
          <w:rFonts w:hint="eastAsia" w:ascii="宋体" w:hAnsi="宋体" w:eastAsia="宋体" w:cs="宋体"/>
          <w:b/>
          <w:color w:val="auto"/>
          <w:sz w:val="24"/>
          <w:highlight w:val="none"/>
          <w:lang w:eastAsia="zh-CN"/>
        </w:rPr>
        <w:t>交易办法</w:t>
      </w:r>
      <w:r>
        <w:rPr>
          <w:rFonts w:hint="eastAsia" w:ascii="宋体" w:hAnsi="宋体" w:eastAsia="宋体" w:cs="宋体"/>
          <w:b/>
          <w:color w:val="auto"/>
          <w:sz w:val="24"/>
          <w:highlight w:val="none"/>
        </w:rPr>
        <w:t>。</w:t>
      </w:r>
    </w:p>
    <w:p>
      <w:pPr>
        <w:keepNext w:val="0"/>
        <w:keepLines w:val="0"/>
        <w:pageBreakBefore w:val="0"/>
        <w:kinsoku/>
        <w:wordWrap/>
        <w:overflowPunct/>
        <w:topLinePunct w:val="0"/>
        <w:bidi w:val="0"/>
        <w:snapToGrid w:val="0"/>
        <w:spacing w:beforeAutospacing="0" w:line="440" w:lineRule="exact"/>
        <w:ind w:left="0" w:leftChars="0"/>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pPr>
        <w:pStyle w:val="3"/>
        <w:keepNext w:val="0"/>
        <w:keepLines w:val="0"/>
        <w:pageBreakBefore w:val="0"/>
        <w:kinsoku/>
        <w:wordWrap/>
        <w:overflowPunct/>
        <w:topLinePunct w:val="0"/>
        <w:bidi w:val="0"/>
        <w:spacing w:beforeAutospacing="0" w:line="440" w:lineRule="exact"/>
        <w:ind w:left="479" w:leftChars="0" w:hanging="479" w:hangingChars="199"/>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0</w:t>
      </w:r>
      <w:r>
        <w:rPr>
          <w:rFonts w:hint="eastAsia" w:ascii="宋体" w:hAnsi="宋体" w:eastAsia="宋体" w:cs="宋体"/>
          <w:b/>
          <w:color w:val="auto"/>
          <w:highlight w:val="none"/>
        </w:rPr>
        <w:t>.确定</w:t>
      </w:r>
      <w:r>
        <w:rPr>
          <w:rFonts w:hint="eastAsia" w:ascii="宋体" w:hAnsi="宋体" w:eastAsia="宋体" w:cs="宋体"/>
          <w:b/>
          <w:color w:val="auto"/>
          <w:highlight w:val="none"/>
          <w:lang w:eastAsia="zh-CN"/>
        </w:rPr>
        <w:t>成交供应商</w:t>
      </w:r>
    </w:p>
    <w:p>
      <w:pPr>
        <w:pStyle w:val="133"/>
        <w:keepNext w:val="0"/>
        <w:keepLines w:val="0"/>
        <w:pageBreakBefore w:val="0"/>
        <w:kinsoku/>
        <w:wordWrap/>
        <w:overflowPunct/>
        <w:topLinePunct w:val="0"/>
        <w:bidi w:val="0"/>
        <w:snapToGrid w:val="0"/>
        <w:spacing w:before="0" w:beforeAutospacing="0" w:line="440" w:lineRule="exact"/>
        <w:ind w:left="0" w:leftChars="0" w:firstLine="480"/>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lang w:eastAsia="zh-CN"/>
        </w:rPr>
        <w:t>交易发起人</w:t>
      </w:r>
      <w:r>
        <w:rPr>
          <w:rFonts w:hint="eastAsia" w:ascii="宋体" w:hAnsi="宋体" w:eastAsia="宋体" w:cs="宋体"/>
          <w:color w:val="auto"/>
          <w:szCs w:val="24"/>
          <w:highlight w:val="none"/>
        </w:rPr>
        <w:t>将自收到评审报告之日起5个工作日内通过电子交易平台在评审报告推荐的</w:t>
      </w:r>
      <w:r>
        <w:rPr>
          <w:rFonts w:hint="eastAsia" w:ascii="宋体" w:hAnsi="宋体" w:eastAsia="宋体" w:cs="宋体"/>
          <w:color w:val="auto"/>
          <w:szCs w:val="24"/>
          <w:highlight w:val="none"/>
          <w:lang w:eastAsia="zh-CN"/>
        </w:rPr>
        <w:t>成交候选人</w:t>
      </w:r>
      <w:r>
        <w:rPr>
          <w:rFonts w:hint="eastAsia" w:ascii="宋体" w:hAnsi="宋体" w:eastAsia="宋体" w:cs="宋体"/>
          <w:color w:val="auto"/>
          <w:szCs w:val="24"/>
          <w:highlight w:val="none"/>
        </w:rPr>
        <w:t>中按顺序确定</w:t>
      </w:r>
      <w:r>
        <w:rPr>
          <w:rFonts w:hint="eastAsia" w:ascii="宋体" w:hAnsi="宋体" w:eastAsia="宋体" w:cs="宋体"/>
          <w:color w:val="auto"/>
          <w:szCs w:val="24"/>
          <w:highlight w:val="none"/>
          <w:lang w:eastAsia="zh-CN"/>
        </w:rPr>
        <w:t>成交供应商</w:t>
      </w:r>
      <w:r>
        <w:rPr>
          <w:rFonts w:hint="eastAsia" w:ascii="宋体" w:hAnsi="宋体" w:eastAsia="宋体" w:cs="宋体"/>
          <w:color w:val="auto"/>
          <w:szCs w:val="24"/>
          <w:highlight w:val="none"/>
        </w:rPr>
        <w:t>。</w:t>
      </w:r>
    </w:p>
    <w:p>
      <w:pPr>
        <w:pStyle w:val="133"/>
        <w:keepNext w:val="0"/>
        <w:keepLines w:val="0"/>
        <w:pageBreakBefore w:val="0"/>
        <w:kinsoku/>
        <w:wordWrap/>
        <w:overflowPunct/>
        <w:topLinePunct w:val="0"/>
        <w:bidi w:val="0"/>
        <w:snapToGrid w:val="0"/>
        <w:spacing w:before="0" w:beforeAutospacing="0" w:line="440" w:lineRule="exact"/>
        <w:ind w:left="0" w:leftChars="0"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en-US" w:eastAsia="zh-CN"/>
        </w:rPr>
        <w:t>1</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成交通知</w:t>
      </w:r>
      <w:r>
        <w:rPr>
          <w:rFonts w:hint="eastAsia" w:ascii="宋体" w:hAnsi="宋体" w:eastAsia="宋体" w:cs="宋体"/>
          <w:b/>
          <w:color w:val="auto"/>
          <w:szCs w:val="24"/>
          <w:highlight w:val="none"/>
        </w:rPr>
        <w:t>与</w:t>
      </w:r>
      <w:r>
        <w:rPr>
          <w:rFonts w:hint="eastAsia" w:ascii="宋体" w:hAnsi="宋体" w:eastAsia="宋体" w:cs="宋体"/>
          <w:b/>
          <w:color w:val="auto"/>
          <w:szCs w:val="24"/>
          <w:highlight w:val="none"/>
          <w:lang w:eastAsia="zh-CN"/>
        </w:rPr>
        <w:t>成交结果</w:t>
      </w:r>
      <w:r>
        <w:rPr>
          <w:rFonts w:hint="eastAsia" w:ascii="宋体" w:hAnsi="宋体" w:eastAsia="宋体" w:cs="宋体"/>
          <w:b/>
          <w:color w:val="auto"/>
          <w:szCs w:val="24"/>
          <w:highlight w:val="none"/>
        </w:rPr>
        <w:t>公告</w:t>
      </w:r>
    </w:p>
    <w:p>
      <w:pPr>
        <w:keepNext w:val="0"/>
        <w:keepLines w:val="0"/>
        <w:pageBreakBefore w:val="0"/>
        <w:widowControl/>
        <w:shd w:val="clear" w:color="auto" w:fill="FFFFFF"/>
        <w:kinsoku/>
        <w:wordWrap/>
        <w:overflowPunct/>
        <w:topLinePunct w:val="0"/>
        <w:bidi w:val="0"/>
        <w:spacing w:beforeAutospacing="0" w:line="440" w:lineRule="exact"/>
        <w:ind w:left="0" w:leftChars="0"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.1自</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确定之日起</w:t>
      </w:r>
      <w:r>
        <w:rPr>
          <w:rFonts w:hint="eastAsia" w:ascii="宋体" w:hAnsi="宋体" w:eastAsia="宋体" w:cs="宋体"/>
          <w:color w:val="auto"/>
          <w:sz w:val="24"/>
          <w:highlight w:val="none"/>
          <w:lang w:val="en-US" w:eastAsia="zh-CN"/>
        </w:rPr>
        <w:t>3天</w:t>
      </w:r>
      <w:r>
        <w:rPr>
          <w:rFonts w:hint="eastAsia" w:ascii="宋体" w:hAnsi="宋体" w:eastAsia="宋体" w:cs="宋体"/>
          <w:color w:val="auto"/>
          <w:sz w:val="24"/>
          <w:highlight w:val="none"/>
        </w:rPr>
        <w:t>内，</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通过电子交易平台向</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发出</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书，同时编制发布采购结果公告。</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也可以以纸质形式进行</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w:t>
      </w:r>
    </w:p>
    <w:p>
      <w:pPr>
        <w:keepNext w:val="0"/>
        <w:keepLines w:val="0"/>
        <w:pageBreakBefore w:val="0"/>
        <w:widowControl/>
        <w:shd w:val="clear" w:color="auto" w:fill="FFFFFF"/>
        <w:kinsoku/>
        <w:wordWrap/>
        <w:overflowPunct/>
        <w:topLinePunct w:val="0"/>
        <w:bidi w:val="0"/>
        <w:spacing w:beforeAutospacing="0" w:line="440" w:lineRule="exact"/>
        <w:ind w:left="0" w:leftChars="0" w:firstLine="480"/>
        <w:jc w:val="left"/>
        <w:textAlignment w:val="auto"/>
        <w:rPr>
          <w:rFonts w:hint="eastAsia" w:ascii="宋体" w:hAnsi="宋体" w:eastAsia="宋体" w:cs="宋体"/>
          <w:b/>
          <w:color w:val="auto"/>
          <w:sz w:val="32"/>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成交结果</w:t>
      </w:r>
      <w:r>
        <w:rPr>
          <w:rFonts w:hint="eastAsia" w:ascii="宋体" w:hAnsi="宋体" w:eastAsia="宋体" w:cs="宋体"/>
          <w:color w:val="auto"/>
          <w:sz w:val="24"/>
          <w:highlight w:val="none"/>
        </w:rPr>
        <w:t>公告内容包括</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及其委托的</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的名称、地址、联系方式，项目名称和</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名称、地址和</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金额。</w:t>
      </w:r>
    </w:p>
    <w:p>
      <w:pPr>
        <w:keepNext w:val="0"/>
        <w:keepLines w:val="0"/>
        <w:pageBreakBefore w:val="0"/>
        <w:kinsoku/>
        <w:wordWrap/>
        <w:overflowPunct/>
        <w:topLinePunct w:val="0"/>
        <w:bidi w:val="0"/>
        <w:snapToGrid w:val="0"/>
        <w:spacing w:beforeAutospacing="0" w:line="440" w:lineRule="exact"/>
        <w:ind w:left="0" w:leftChars="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3"/>
        <w:keepNext w:val="0"/>
        <w:keepLines w:val="0"/>
        <w:pageBreakBefore w:val="0"/>
        <w:kinsoku/>
        <w:wordWrap/>
        <w:overflowPunct/>
        <w:topLinePunct w:val="0"/>
        <w:bidi w:val="0"/>
        <w:spacing w:beforeAutospacing="0" w:line="440" w:lineRule="exact"/>
        <w:ind w:left="479" w:leftChars="0"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2</w:t>
      </w:r>
      <w:r>
        <w:rPr>
          <w:rFonts w:hint="eastAsia" w:ascii="宋体" w:hAnsi="宋体" w:eastAsia="宋体" w:cs="宋体"/>
          <w:b/>
          <w:color w:val="auto"/>
          <w:highlight w:val="none"/>
        </w:rPr>
        <w:t>.</w:t>
      </w:r>
      <w:r>
        <w:rPr>
          <w:rFonts w:hint="eastAsia" w:ascii="宋体" w:hAnsi="宋体" w:eastAsia="宋体" w:cs="宋体"/>
          <w:color w:val="auto"/>
          <w:highlight w:val="none"/>
        </w:rPr>
        <w:t>合同主要条款详见第五部分拟签订的合同文本。</w:t>
      </w:r>
    </w:p>
    <w:p>
      <w:pPr>
        <w:pStyle w:val="3"/>
        <w:keepNext w:val="0"/>
        <w:keepLines w:val="0"/>
        <w:pageBreakBefore w:val="0"/>
        <w:kinsoku/>
        <w:wordWrap/>
        <w:overflowPunct/>
        <w:topLinePunct w:val="0"/>
        <w:bidi w:val="0"/>
        <w:spacing w:beforeAutospacing="0" w:line="440" w:lineRule="exact"/>
        <w:ind w:left="479" w:leftChars="0"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3</w:t>
      </w:r>
      <w:r>
        <w:rPr>
          <w:rFonts w:hint="eastAsia" w:ascii="宋体" w:hAnsi="宋体" w:eastAsia="宋体" w:cs="宋体"/>
          <w:b/>
          <w:color w:val="auto"/>
          <w:highlight w:val="none"/>
        </w:rPr>
        <w:t>.合同的签订</w:t>
      </w:r>
    </w:p>
    <w:p>
      <w:pPr>
        <w:keepNext w:val="0"/>
        <w:keepLines w:val="0"/>
        <w:pageBreakBefore w:val="0"/>
        <w:widowControl/>
        <w:shd w:val="clear" w:color="auto" w:fill="FFFFFF"/>
        <w:kinsoku/>
        <w:wordWrap/>
        <w:overflowPunct/>
        <w:topLinePunct w:val="0"/>
        <w:bidi w:val="0"/>
        <w:spacing w:beforeAutospacing="0" w:line="440" w:lineRule="exact"/>
        <w:ind w:left="0" w:leftChars="0"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lang w:eastAsia="zh-CN"/>
        </w:rPr>
        <w:t>成交人</w:t>
      </w:r>
      <w:r>
        <w:rPr>
          <w:rFonts w:hint="eastAsia" w:ascii="宋体" w:hAnsi="宋体" w:eastAsia="宋体" w:cs="宋体"/>
          <w:color w:val="auto"/>
          <w:kern w:val="0"/>
          <w:sz w:val="24"/>
          <w:highlight w:val="none"/>
        </w:rPr>
        <w:t>应当通过电子交易平台在</w:t>
      </w:r>
      <w:r>
        <w:rPr>
          <w:rFonts w:hint="eastAsia" w:ascii="宋体" w:hAnsi="宋体" w:eastAsia="宋体" w:cs="宋体"/>
          <w:color w:val="auto"/>
          <w:kern w:val="0"/>
          <w:sz w:val="24"/>
          <w:highlight w:val="none"/>
          <w:lang w:eastAsia="zh-CN"/>
        </w:rPr>
        <w:t>成交通知</w:t>
      </w:r>
      <w:r>
        <w:rPr>
          <w:rFonts w:hint="eastAsia" w:ascii="宋体" w:hAnsi="宋体" w:eastAsia="宋体" w:cs="宋体"/>
          <w:color w:val="auto"/>
          <w:kern w:val="0"/>
          <w:sz w:val="24"/>
          <w:highlight w:val="none"/>
        </w:rPr>
        <w:t>书发出之日起三十日内，按照</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确定的事项签订采购合同。</w:t>
      </w:r>
    </w:p>
    <w:p>
      <w:pPr>
        <w:pStyle w:val="133"/>
        <w:keepNext w:val="0"/>
        <w:keepLines w:val="0"/>
        <w:pageBreakBefore w:val="0"/>
        <w:kinsoku/>
        <w:wordWrap/>
        <w:overflowPunct/>
        <w:topLinePunct w:val="0"/>
        <w:bidi w:val="0"/>
        <w:snapToGrid w:val="0"/>
        <w:spacing w:before="0" w:beforeAutospacing="0" w:line="440" w:lineRule="exact"/>
        <w:ind w:left="0" w:leftChars="0" w:firstLine="48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pPr>
        <w:pStyle w:val="133"/>
        <w:keepNext w:val="0"/>
        <w:keepLines w:val="0"/>
        <w:pageBreakBefore w:val="0"/>
        <w:kinsoku/>
        <w:wordWrap/>
        <w:overflowPunct/>
        <w:topLinePunct w:val="0"/>
        <w:bidi w:val="0"/>
        <w:snapToGrid w:val="0"/>
        <w:spacing w:before="0" w:beforeAutospacing="0" w:line="440" w:lineRule="exact"/>
        <w:ind w:left="0" w:lef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.3如签订合同并生效后，供应商无故拒绝或延期，除按照合同条款处理外，列入不良行为记录一次，并给予通报。</w:t>
      </w:r>
    </w:p>
    <w:p>
      <w:pPr>
        <w:pStyle w:val="133"/>
        <w:keepNext w:val="0"/>
        <w:keepLines w:val="0"/>
        <w:pageBreakBefore w:val="0"/>
        <w:kinsoku/>
        <w:wordWrap/>
        <w:overflowPunct/>
        <w:topLinePunct w:val="0"/>
        <w:bidi w:val="0"/>
        <w:snapToGrid w:val="0"/>
        <w:spacing w:before="0" w:beforeAutospacing="0" w:line="440" w:lineRule="exact"/>
        <w:ind w:left="0" w:lef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.4</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拒绝与</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签订合同的，</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可以按照评审报告推荐的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或者成交候选人名单排序，确定下一候选人为</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，也可以重新开展采购活动。</w:t>
      </w:r>
    </w:p>
    <w:p>
      <w:pPr>
        <w:pStyle w:val="133"/>
        <w:keepNext w:val="0"/>
        <w:keepLines w:val="0"/>
        <w:pageBreakBefore w:val="0"/>
        <w:kinsoku/>
        <w:wordWrap/>
        <w:overflowPunct/>
        <w:topLinePunct w:val="0"/>
        <w:bidi w:val="0"/>
        <w:snapToGrid w:val="0"/>
        <w:spacing w:before="0" w:beforeAutospacing="0" w:line="440" w:lineRule="exact"/>
        <w:ind w:left="0" w:lef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.5采购合同由</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与</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等内容通过电子交易平台在线签订，自动备案。</w:t>
      </w:r>
    </w:p>
    <w:p>
      <w:pPr>
        <w:pStyle w:val="3"/>
        <w:keepNext w:val="0"/>
        <w:keepLines w:val="0"/>
        <w:pageBreakBefore w:val="0"/>
        <w:kinsoku/>
        <w:wordWrap/>
        <w:overflowPunct/>
        <w:topLinePunct w:val="0"/>
        <w:bidi w:val="0"/>
        <w:spacing w:beforeAutospacing="0" w:line="440" w:lineRule="exact"/>
        <w:ind w:left="479" w:leftChars="0"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4</w:t>
      </w:r>
      <w:r>
        <w:rPr>
          <w:rFonts w:hint="eastAsia" w:ascii="宋体" w:hAnsi="宋体" w:eastAsia="宋体" w:cs="宋体"/>
          <w:b/>
          <w:color w:val="auto"/>
          <w:highlight w:val="none"/>
        </w:rPr>
        <w:t>.履约保证金</w:t>
      </w:r>
    </w:p>
    <w:p>
      <w:pPr>
        <w:keepNext w:val="0"/>
        <w:keepLines w:val="0"/>
        <w:pageBreakBefore w:val="0"/>
        <w:tabs>
          <w:tab w:val="left" w:pos="0"/>
        </w:tabs>
        <w:kinsoku/>
        <w:wordWrap/>
        <w:overflowPunct/>
        <w:topLinePunct w:val="0"/>
        <w:bidi w:val="0"/>
        <w:spacing w:beforeAutospacing="0" w:line="440" w:lineRule="exact"/>
        <w:ind w:left="0" w:leftChars="0" w:firstLine="482"/>
        <w:textAlignment w:val="auto"/>
        <w:rPr>
          <w:rFonts w:hint="eastAsia" w:ascii="宋体" w:hAnsi="宋体" w:eastAsia="宋体" w:cs="宋体"/>
          <w:b/>
          <w:color w:val="auto"/>
          <w:sz w:val="32"/>
          <w:highlight w:val="none"/>
        </w:rPr>
      </w:pPr>
      <w:r>
        <w:rPr>
          <w:rFonts w:hint="eastAsia" w:ascii="宋体" w:hAnsi="宋体" w:eastAsia="宋体" w:cs="宋体"/>
          <w:color w:val="auto"/>
          <w:kern w:val="0"/>
          <w:sz w:val="24"/>
          <w:highlight w:val="none"/>
        </w:rPr>
        <w:t>拟签订的合同文本要求</w:t>
      </w:r>
      <w:r>
        <w:rPr>
          <w:rFonts w:hint="eastAsia" w:ascii="宋体" w:hAnsi="宋体" w:eastAsia="宋体" w:cs="宋体"/>
          <w:color w:val="auto"/>
          <w:kern w:val="0"/>
          <w:sz w:val="24"/>
          <w:highlight w:val="none"/>
          <w:lang w:eastAsia="zh-CN"/>
        </w:rPr>
        <w:t>成交供应商</w:t>
      </w:r>
      <w:r>
        <w:rPr>
          <w:rFonts w:hint="eastAsia" w:ascii="宋体" w:hAnsi="宋体" w:eastAsia="宋体" w:cs="宋体"/>
          <w:color w:val="auto"/>
          <w:kern w:val="0"/>
          <w:sz w:val="24"/>
          <w:highlight w:val="none"/>
        </w:rPr>
        <w:t>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。履约保证金的数额不得超过采购合同金额的</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%。鼓励和支持供应商以银行、保险公司出具的保函形式提供履约保证金。</w:t>
      </w:r>
    </w:p>
    <w:p>
      <w:pPr>
        <w:keepNext w:val="0"/>
        <w:keepLines w:val="0"/>
        <w:pageBreakBefore w:val="0"/>
        <w:kinsoku/>
        <w:wordWrap/>
        <w:overflowPunct/>
        <w:topLinePunct w:val="0"/>
        <w:bidi w:val="0"/>
        <w:snapToGrid w:val="0"/>
        <w:spacing w:beforeAutospacing="0" w:line="440" w:lineRule="exact"/>
        <w:ind w:left="0" w:leftChars="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33"/>
        <w:keepNext w:val="0"/>
        <w:keepLines w:val="0"/>
        <w:pageBreakBefore w:val="0"/>
        <w:kinsoku/>
        <w:wordWrap/>
        <w:overflowPunct/>
        <w:topLinePunct w:val="0"/>
        <w:bidi w:val="0"/>
        <w:snapToGrid w:val="0"/>
        <w:spacing w:before="0" w:beforeAutospacing="0" w:line="440" w:lineRule="exact"/>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color w:val="auto"/>
          <w:szCs w:val="24"/>
          <w:highlight w:val="none"/>
          <w:lang w:val="en-US" w:eastAsia="zh-CN"/>
        </w:rPr>
        <w:t>5</w:t>
      </w:r>
      <w:r>
        <w:rPr>
          <w:rFonts w:hint="eastAsia" w:ascii="宋体" w:hAnsi="宋体" w:eastAsia="宋体" w:cs="宋体"/>
          <w:b/>
          <w:color w:val="auto"/>
          <w:szCs w:val="24"/>
          <w:highlight w:val="none"/>
        </w:rPr>
        <w:t>.电子交易活动的中止。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可中止电子交易活动：</w:t>
      </w:r>
    </w:p>
    <w:p>
      <w:pPr>
        <w:pStyle w:val="133"/>
        <w:keepNext w:val="0"/>
        <w:keepLines w:val="0"/>
        <w:pageBreakBefore w:val="0"/>
        <w:kinsoku/>
        <w:wordWrap/>
        <w:overflowPunct/>
        <w:topLinePunct w:val="0"/>
        <w:bidi w:val="0"/>
        <w:snapToGrid w:val="0"/>
        <w:spacing w:before="0" w:beforeAutospacing="0" w:line="440" w:lineRule="exact"/>
        <w:ind w:left="0" w:lef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.1电子交易平台发生故障而无法登录访问的； </w:t>
      </w:r>
    </w:p>
    <w:p>
      <w:pPr>
        <w:pStyle w:val="133"/>
        <w:keepNext w:val="0"/>
        <w:keepLines w:val="0"/>
        <w:pageBreakBefore w:val="0"/>
        <w:kinsoku/>
        <w:wordWrap/>
        <w:overflowPunct/>
        <w:topLinePunct w:val="0"/>
        <w:bidi w:val="0"/>
        <w:snapToGrid w:val="0"/>
        <w:spacing w:before="0" w:beforeAutospacing="0" w:line="440" w:lineRule="exact"/>
        <w:ind w:left="0" w:lef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.2电子交易平台应用或数据库出现错误，不能进行正常操作的；</w:t>
      </w:r>
    </w:p>
    <w:p>
      <w:pPr>
        <w:pStyle w:val="133"/>
        <w:keepNext w:val="0"/>
        <w:keepLines w:val="0"/>
        <w:pageBreakBefore w:val="0"/>
        <w:kinsoku/>
        <w:wordWrap/>
        <w:overflowPunct/>
        <w:topLinePunct w:val="0"/>
        <w:bidi w:val="0"/>
        <w:snapToGrid w:val="0"/>
        <w:spacing w:before="0" w:beforeAutospacing="0" w:line="440" w:lineRule="exact"/>
        <w:ind w:left="0" w:lef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.3电子交易平台发现严重安全漏洞，有潜在泄密危险的；</w:t>
      </w:r>
    </w:p>
    <w:p>
      <w:pPr>
        <w:pStyle w:val="133"/>
        <w:keepNext w:val="0"/>
        <w:keepLines w:val="0"/>
        <w:pageBreakBefore w:val="0"/>
        <w:kinsoku/>
        <w:wordWrap/>
        <w:overflowPunct/>
        <w:topLinePunct w:val="0"/>
        <w:bidi w:val="0"/>
        <w:snapToGrid w:val="0"/>
        <w:spacing w:before="0" w:beforeAutospacing="0" w:line="440" w:lineRule="exact"/>
        <w:ind w:left="0" w:lef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.4病毒发作导致不能进行正常操作的； </w:t>
      </w:r>
    </w:p>
    <w:p>
      <w:pPr>
        <w:pStyle w:val="133"/>
        <w:keepNext w:val="0"/>
        <w:keepLines w:val="0"/>
        <w:pageBreakBefore w:val="0"/>
        <w:kinsoku/>
        <w:wordWrap/>
        <w:overflowPunct/>
        <w:topLinePunct w:val="0"/>
        <w:bidi w:val="0"/>
        <w:snapToGrid w:val="0"/>
        <w:spacing w:before="0" w:beforeAutospacing="0" w:line="440" w:lineRule="exact"/>
        <w:ind w:left="0" w:lef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.5其他无法保证电子交易的公平、公正和安全的情况。</w:t>
      </w:r>
    </w:p>
    <w:p>
      <w:pPr>
        <w:pStyle w:val="133"/>
        <w:keepNext w:val="0"/>
        <w:keepLines w:val="0"/>
        <w:pageBreakBefore w:val="0"/>
        <w:kinsoku/>
        <w:wordWrap/>
        <w:overflowPunct/>
        <w:topLinePunct w:val="0"/>
        <w:bidi w:val="0"/>
        <w:snapToGrid w:val="0"/>
        <w:spacing w:before="0" w:beforeAutospacing="0" w:line="440" w:lineRule="exact"/>
        <w:ind w:left="0" w:lef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kinsoku/>
        <w:wordWrap/>
        <w:overflowPunct/>
        <w:topLinePunct w:val="0"/>
        <w:bidi w:val="0"/>
        <w:snapToGrid w:val="0"/>
        <w:spacing w:beforeAutospacing="0" w:line="440" w:lineRule="exact"/>
        <w:ind w:left="0" w:leftChars="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3"/>
        <w:keepNext w:val="0"/>
        <w:keepLines w:val="0"/>
        <w:pageBreakBefore w:val="0"/>
        <w:kinsoku/>
        <w:wordWrap/>
        <w:overflowPunct/>
        <w:topLinePunct w:val="0"/>
        <w:bidi w:val="0"/>
        <w:spacing w:beforeAutospacing="0" w:line="440" w:lineRule="exact"/>
        <w:ind w:left="0" w:leftChars="0"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7</w:t>
      </w:r>
      <w:r>
        <w:rPr>
          <w:rFonts w:hint="eastAsia" w:ascii="宋体" w:hAnsi="宋体" w:eastAsia="宋体" w:cs="宋体"/>
          <w:b/>
          <w:color w:val="auto"/>
          <w:highlight w:val="none"/>
        </w:rPr>
        <w:t>.验收</w:t>
      </w:r>
    </w:p>
    <w:p>
      <w:pPr>
        <w:keepNext w:val="0"/>
        <w:keepLines w:val="0"/>
        <w:pageBreakBefore w:val="0"/>
        <w:tabs>
          <w:tab w:val="left" w:pos="0"/>
        </w:tabs>
        <w:kinsoku/>
        <w:wordWrap/>
        <w:overflowPunct/>
        <w:topLinePunct w:val="0"/>
        <w:bidi w:val="0"/>
        <w:spacing w:beforeAutospacing="0" w:line="440" w:lineRule="exact"/>
        <w:ind w:left="0" w:leftChars="0"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应当组织对供应商履约的验收。</w:t>
      </w:r>
    </w:p>
    <w:bookmarkEnd w:id="12"/>
    <w:bookmarkEnd w:id="13"/>
    <w:bookmarkEnd w:id="14"/>
    <w:p>
      <w:pPr>
        <w:rPr>
          <w:rFonts w:hint="eastAsia" w:ascii="宋体" w:hAnsi="宋体" w:eastAsia="宋体" w:cs="宋体"/>
          <w:b/>
          <w:color w:val="auto"/>
          <w:sz w:val="36"/>
          <w:szCs w:val="36"/>
          <w:highlight w:val="none"/>
        </w:rPr>
      </w:pPr>
      <w:bookmarkStart w:id="15" w:name="第四部分"/>
      <w:r>
        <w:rPr>
          <w:rFonts w:hint="eastAsia" w:ascii="宋体" w:hAnsi="宋体" w:eastAsia="宋体" w:cs="宋体"/>
          <w:b/>
          <w:color w:val="auto"/>
          <w:sz w:val="36"/>
          <w:szCs w:val="36"/>
          <w:highlight w:val="none"/>
        </w:rPr>
        <w:br w:type="page"/>
      </w:r>
    </w:p>
    <w:p>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第三部分   </w:t>
      </w:r>
      <w:r>
        <w:rPr>
          <w:rFonts w:hint="eastAsia" w:ascii="宋体" w:hAnsi="宋体" w:eastAsia="宋体" w:cs="宋体"/>
          <w:b/>
          <w:color w:val="auto"/>
          <w:sz w:val="36"/>
          <w:szCs w:val="36"/>
          <w:highlight w:val="none"/>
          <w:lang w:val="en-US" w:eastAsia="zh-CN"/>
        </w:rPr>
        <w:t>交易</w:t>
      </w:r>
      <w:r>
        <w:rPr>
          <w:rFonts w:hint="eastAsia" w:ascii="宋体" w:hAnsi="宋体" w:eastAsia="宋体" w:cs="宋体"/>
          <w:b/>
          <w:color w:val="auto"/>
          <w:sz w:val="36"/>
          <w:szCs w:val="36"/>
          <w:highlight w:val="none"/>
        </w:rPr>
        <w:t>需求</w:t>
      </w: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属于实质性要求条款的，请用符号“▲”标明，否则属于非实质性要求。</w:t>
      </w:r>
    </w:p>
    <w:tbl>
      <w:tblPr>
        <w:tblStyle w:val="67"/>
        <w:tblpPr w:leftFromText="180" w:rightFromText="180" w:vertAnchor="text" w:horzAnchor="page" w:tblpXSpec="center" w:tblpY="379"/>
        <w:tblOverlap w:val="never"/>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944"/>
        <w:gridCol w:w="3255"/>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60" w:type="dxa"/>
            <w:noWrap w:val="0"/>
            <w:vAlign w:val="center"/>
          </w:tcPr>
          <w:p>
            <w:pPr>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标项号</w:t>
            </w:r>
          </w:p>
        </w:tc>
        <w:tc>
          <w:tcPr>
            <w:tcW w:w="2944" w:type="dxa"/>
            <w:noWrap w:val="0"/>
            <w:vAlign w:val="center"/>
          </w:tcPr>
          <w:p>
            <w:pPr>
              <w:spacing w:line="360" w:lineRule="auto"/>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标项名称</w:t>
            </w:r>
          </w:p>
        </w:tc>
        <w:tc>
          <w:tcPr>
            <w:tcW w:w="3255" w:type="dxa"/>
            <w:noWrap w:val="0"/>
            <w:vAlign w:val="center"/>
          </w:tcPr>
          <w:p>
            <w:pPr>
              <w:spacing w:line="36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简要技术要求、用途</w:t>
            </w:r>
          </w:p>
        </w:tc>
        <w:tc>
          <w:tcPr>
            <w:tcW w:w="1766" w:type="dxa"/>
            <w:noWrap w:val="0"/>
            <w:vAlign w:val="center"/>
          </w:tcPr>
          <w:p>
            <w:pPr>
              <w:spacing w:line="360" w:lineRule="auto"/>
              <w:jc w:val="center"/>
              <w:rPr>
                <w:rFonts w:hint="eastAsia" w:ascii="宋体" w:hAnsi="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预算</w:t>
            </w:r>
            <w:r>
              <w:rPr>
                <w:rFonts w:hint="eastAsia" w:ascii="宋体" w:hAnsi="宋体" w:cs="宋体"/>
                <w:color w:val="auto"/>
                <w:sz w:val="24"/>
                <w:szCs w:val="24"/>
                <w:highlight w:val="none"/>
                <w:vertAlign w:val="baseline"/>
                <w:lang w:eastAsia="zh-CN"/>
              </w:rPr>
              <w:t>金额</w:t>
            </w:r>
          </w:p>
          <w:p>
            <w:pPr>
              <w:spacing w:line="360" w:lineRule="auto"/>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w:t>
            </w:r>
            <w:r>
              <w:rPr>
                <w:rFonts w:hint="eastAsia" w:ascii="宋体" w:hAnsi="宋体" w:cs="宋体"/>
                <w:color w:val="auto"/>
                <w:sz w:val="24"/>
                <w:szCs w:val="24"/>
                <w:highlight w:val="none"/>
                <w:vertAlign w:val="baseline"/>
                <w:lang w:eastAsia="zh-CN"/>
              </w:rPr>
              <w:t>万</w:t>
            </w:r>
            <w:r>
              <w:rPr>
                <w:rFonts w:hint="eastAsia" w:ascii="宋体" w:hAnsi="宋体" w:eastAsia="宋体" w:cs="宋体"/>
                <w:color w:val="auto"/>
                <w:sz w:val="24"/>
                <w:szCs w:val="24"/>
                <w:highlight w:val="none"/>
                <w:vertAlign w:val="baseli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noWrap w:val="0"/>
            <w:vAlign w:val="center"/>
          </w:tcPr>
          <w:p>
            <w:pPr>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2944" w:type="dxa"/>
            <w:noWrap w:val="0"/>
            <w:vAlign w:val="center"/>
          </w:tcPr>
          <w:p>
            <w:pPr>
              <w:spacing w:line="360" w:lineRule="auto"/>
              <w:jc w:val="center"/>
              <w:rPr>
                <w:rFonts w:hint="eastAsia" w:ascii="宋体" w:hAnsi="宋体" w:eastAsia="宋体" w:cs="宋体"/>
                <w:color w:val="auto"/>
                <w:sz w:val="24"/>
                <w:szCs w:val="24"/>
                <w:highlight w:val="none"/>
                <w:vertAlign w:val="baseline"/>
                <w:lang w:eastAsia="zh-CN"/>
              </w:rPr>
            </w:pPr>
            <w:r>
              <w:rPr>
                <w:rFonts w:hint="eastAsia" w:ascii="宋体" w:hAnsi="宋体" w:cs="宋体"/>
                <w:bCs/>
                <w:color w:val="auto"/>
                <w:sz w:val="24"/>
                <w:szCs w:val="24"/>
                <w:highlight w:val="none"/>
                <w:lang w:eastAsia="zh-CN"/>
              </w:rPr>
              <w:t>拱秀社区车辆道闸智能管理系统采购及安装项目</w:t>
            </w:r>
          </w:p>
        </w:tc>
        <w:tc>
          <w:tcPr>
            <w:tcW w:w="3255" w:type="dxa"/>
            <w:noWrap w:val="0"/>
            <w:vAlign w:val="center"/>
          </w:tcPr>
          <w:p>
            <w:pPr>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position w:val="-6"/>
                <w:sz w:val="24"/>
                <w:szCs w:val="24"/>
                <w:highlight w:val="none"/>
              </w:rPr>
              <w:t>详见</w:t>
            </w:r>
            <w:r>
              <w:rPr>
                <w:rFonts w:hint="eastAsia" w:ascii="宋体" w:hAnsi="宋体" w:eastAsia="宋体" w:cs="宋体"/>
                <w:color w:val="auto"/>
                <w:position w:val="-6"/>
                <w:sz w:val="24"/>
                <w:szCs w:val="24"/>
                <w:highlight w:val="none"/>
                <w:lang w:eastAsia="zh-CN"/>
              </w:rPr>
              <w:t>交易</w:t>
            </w:r>
            <w:r>
              <w:rPr>
                <w:rFonts w:hint="eastAsia" w:ascii="宋体" w:hAnsi="宋体" w:eastAsia="宋体" w:cs="宋体"/>
                <w:color w:val="auto"/>
                <w:position w:val="-6"/>
                <w:sz w:val="24"/>
                <w:szCs w:val="24"/>
                <w:highlight w:val="none"/>
              </w:rPr>
              <w:t>需求</w:t>
            </w:r>
          </w:p>
        </w:tc>
        <w:tc>
          <w:tcPr>
            <w:tcW w:w="1766" w:type="dxa"/>
            <w:noWrap w:val="0"/>
            <w:vAlign w:val="center"/>
          </w:tcPr>
          <w:p>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40</w:t>
            </w:r>
          </w:p>
        </w:tc>
      </w:tr>
    </w:tbl>
    <w:p>
      <w:pPr>
        <w:spacing w:line="380" w:lineRule="exact"/>
        <w:ind w:firstLine="482" w:firstLineChars="200"/>
        <w:jc w:val="center"/>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val="en-US" w:eastAsia="zh-CN"/>
        </w:rPr>
        <w:t>交易</w:t>
      </w:r>
      <w:r>
        <w:rPr>
          <w:rFonts w:hint="eastAsia" w:ascii="宋体" w:hAnsi="宋体" w:eastAsia="宋体" w:cs="宋体"/>
          <w:b/>
          <w:bCs/>
          <w:color w:val="auto"/>
          <w:sz w:val="24"/>
          <w:szCs w:val="24"/>
          <w:highlight w:val="none"/>
        </w:rPr>
        <w:t>一览表</w:t>
      </w:r>
    </w:p>
    <w:p>
      <w:pPr>
        <w:pStyle w:val="9"/>
        <w:pageBreakBefore w:val="0"/>
        <w:widowControl w:val="0"/>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一、项目背景</w:t>
      </w:r>
    </w:p>
    <w:p>
      <w:pPr>
        <w:pStyle w:val="83"/>
        <w:keepNext w:val="0"/>
        <w:keepLines w:val="0"/>
        <w:pageBreakBefore w:val="0"/>
        <w:widowControl w:val="0"/>
        <w:shd w:val="clear" w:color="auto" w:fill="auto"/>
        <w:kinsoku/>
        <w:wordWrap/>
        <w:overflowPunct/>
        <w:topLinePunct w:val="0"/>
        <w:autoSpaceDE/>
        <w:autoSpaceDN/>
        <w:bidi w:val="0"/>
        <w:adjustRightInd/>
        <w:snapToGrid/>
        <w:spacing w:line="312" w:lineRule="auto"/>
        <w:ind w:left="0"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eastAsia="zh-CN"/>
        </w:rPr>
        <w:t>城厢街道拱秀</w:t>
      </w:r>
      <w:r>
        <w:rPr>
          <w:rFonts w:hint="eastAsia" w:ascii="宋体" w:hAnsi="宋体" w:eastAsia="宋体" w:cs="宋体"/>
          <w:b w:val="0"/>
          <w:bCs w:val="0"/>
          <w:color w:val="auto"/>
          <w:sz w:val="24"/>
          <w:szCs w:val="24"/>
          <w:highlight w:val="none"/>
          <w:u w:val="none"/>
          <w:lang w:val="en-US" w:eastAsia="zh-CN"/>
        </w:rPr>
        <w:t>社</w:t>
      </w:r>
      <w:r>
        <w:rPr>
          <w:rFonts w:hint="eastAsia" w:ascii="宋体" w:hAnsi="宋体" w:eastAsia="宋体" w:cs="宋体"/>
          <w:b w:val="0"/>
          <w:bCs w:val="0"/>
          <w:color w:val="auto"/>
          <w:sz w:val="24"/>
          <w:szCs w:val="24"/>
          <w:highlight w:val="none"/>
          <w:u w:val="none"/>
          <w:lang w:eastAsia="zh-CN"/>
        </w:rPr>
        <w:t>区</w:t>
      </w:r>
      <w:r>
        <w:rPr>
          <w:rFonts w:hint="eastAsia" w:ascii="宋体" w:hAnsi="宋体" w:eastAsia="宋体" w:cs="宋体"/>
          <w:b w:val="0"/>
          <w:bCs w:val="0"/>
          <w:color w:val="auto"/>
          <w:sz w:val="24"/>
          <w:szCs w:val="24"/>
          <w:highlight w:val="none"/>
          <w:u w:val="none"/>
          <w:lang w:val="en-US" w:eastAsia="zh-CN"/>
        </w:rPr>
        <w:t>以老旧小区为主，</w:t>
      </w:r>
      <w:r>
        <w:rPr>
          <w:rFonts w:hint="eastAsia" w:ascii="宋体" w:hAnsi="宋体" w:eastAsia="宋体" w:cs="宋体"/>
          <w:b w:val="0"/>
          <w:bCs w:val="0"/>
          <w:color w:val="auto"/>
          <w:sz w:val="24"/>
          <w:szCs w:val="24"/>
          <w:highlight w:val="none"/>
          <w:u w:val="none"/>
          <w:lang w:eastAsia="zh-CN"/>
        </w:rPr>
        <w:t>为减少</w:t>
      </w:r>
      <w:r>
        <w:rPr>
          <w:rFonts w:hint="eastAsia" w:ascii="宋体" w:hAnsi="宋体" w:eastAsia="宋体" w:cs="宋体"/>
          <w:b w:val="0"/>
          <w:bCs w:val="0"/>
          <w:color w:val="auto"/>
          <w:sz w:val="24"/>
          <w:szCs w:val="24"/>
          <w:highlight w:val="none"/>
          <w:u w:val="none"/>
          <w:lang w:val="en-US" w:eastAsia="zh-CN"/>
        </w:rPr>
        <w:t>社</w:t>
      </w:r>
      <w:r>
        <w:rPr>
          <w:rFonts w:hint="eastAsia" w:ascii="宋体" w:hAnsi="宋体" w:eastAsia="宋体" w:cs="宋体"/>
          <w:b w:val="0"/>
          <w:bCs w:val="0"/>
          <w:color w:val="auto"/>
          <w:sz w:val="24"/>
          <w:szCs w:val="24"/>
          <w:highlight w:val="none"/>
          <w:u w:val="none"/>
          <w:lang w:eastAsia="zh-CN"/>
        </w:rPr>
        <w:t>区内部乱停车，缓解</w:t>
      </w:r>
      <w:r>
        <w:rPr>
          <w:rFonts w:hint="eastAsia" w:ascii="宋体" w:hAnsi="宋体" w:eastAsia="宋体" w:cs="宋体"/>
          <w:b w:val="0"/>
          <w:bCs w:val="0"/>
          <w:color w:val="auto"/>
          <w:sz w:val="24"/>
          <w:szCs w:val="24"/>
          <w:highlight w:val="none"/>
          <w:u w:val="none"/>
          <w:lang w:val="en-US" w:eastAsia="zh-CN"/>
        </w:rPr>
        <w:t>社</w:t>
      </w:r>
      <w:r>
        <w:rPr>
          <w:rFonts w:hint="eastAsia" w:ascii="宋体" w:hAnsi="宋体" w:eastAsia="宋体" w:cs="宋体"/>
          <w:b w:val="0"/>
          <w:bCs w:val="0"/>
          <w:color w:val="auto"/>
          <w:sz w:val="24"/>
          <w:szCs w:val="24"/>
          <w:highlight w:val="none"/>
          <w:u w:val="none"/>
          <w:lang w:eastAsia="zh-CN"/>
        </w:rPr>
        <w:t>区道路拥堵，</w:t>
      </w:r>
      <w:r>
        <w:rPr>
          <w:rFonts w:hint="eastAsia" w:ascii="宋体" w:hAnsi="宋体" w:eastAsia="宋体" w:cs="宋体"/>
          <w:b w:val="0"/>
          <w:bCs w:val="0"/>
          <w:color w:val="auto"/>
          <w:sz w:val="24"/>
          <w:szCs w:val="24"/>
          <w:highlight w:val="none"/>
          <w:u w:val="none"/>
          <w:lang w:val="en-US" w:eastAsia="zh-CN"/>
        </w:rPr>
        <w:t>解决社区公共资源合理配置、避免外来车辆长期占位问题、增加社区集体收入改善居住环境，促使社区进入"良性"发展。</w:t>
      </w:r>
    </w:p>
    <w:p>
      <w:pPr>
        <w:pStyle w:val="9"/>
        <w:pageBreakBefore w:val="0"/>
        <w:widowControl w:val="0"/>
        <w:kinsoku/>
        <w:wordWrap/>
        <w:overflowPunct/>
        <w:topLinePunct w:val="0"/>
        <w:autoSpaceDE/>
        <w:autoSpaceDN/>
        <w:bidi w:val="0"/>
        <w:adjustRightInd/>
        <w:snapToGrid/>
        <w:spacing w:line="312"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二、项目建设范围</w:t>
      </w:r>
    </w:p>
    <w:p>
      <w:pPr>
        <w:pStyle w:val="83"/>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80" w:firstLineChars="200"/>
        <w:textAlignment w:val="auto"/>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拱秀社区隶属城厢街道，东至湘师附小，南至道源路，西至高桥路，北至萧然南路。本次主要建设社区主出入口车辆道闸系统。</w:t>
      </w:r>
    </w:p>
    <w:p>
      <w:pPr>
        <w:pStyle w:val="83"/>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三、项目要求</w:t>
      </w:r>
    </w:p>
    <w:p>
      <w:pPr>
        <w:pStyle w:val="83"/>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（1）时间及地点要求</w:t>
      </w:r>
    </w:p>
    <w:p>
      <w:pPr>
        <w:pStyle w:val="83"/>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①供货及安装期：接到要求进场通知后，30日历天内完成全部系统建设，交采购人初验通过并上线投入试运行，投入试运行后正常运行1个月，经采购人终验合格，正式交付使用，进入售后服务质保期。</w:t>
      </w:r>
    </w:p>
    <w:p>
      <w:pPr>
        <w:pStyle w:val="83"/>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②供应商须保证所提供的产品为相关厂家正版，符合国家有关规定。供应商须保证所提供产品具有合法的版权或使用权，本项目采购服务所涉及的所有软件产品，如在本项目范围内使用过程中出现版权或使用权纠纷，应由中标人负责，采购人不承担责任。</w:t>
      </w:r>
    </w:p>
    <w:p>
      <w:pPr>
        <w:pStyle w:val="83"/>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③服务地点：采购人指定地点。</w:t>
      </w:r>
    </w:p>
    <w:p>
      <w:pPr>
        <w:pStyle w:val="83"/>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（2）售后服务要求</w:t>
      </w:r>
    </w:p>
    <w:p>
      <w:pPr>
        <w:pStyle w:val="83"/>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供应商须提供3年质保（终验合格后开始计算），中标人提供7*24小时电话支持，运行过程中如果出现技术故障，供应商应保证故障4小时内完成故障修复，相关费用已包含于本次招标项目内，不予另行支付费用。</w:t>
      </w:r>
    </w:p>
    <w:p>
      <w:pPr>
        <w:pStyle w:val="83"/>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（3）人员及培训要求</w:t>
      </w:r>
    </w:p>
    <w:p>
      <w:pPr>
        <w:pStyle w:val="83"/>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①为相关人员提供业务培训，培训内容为本项目使用等内容。</w:t>
      </w:r>
    </w:p>
    <w:p>
      <w:pPr>
        <w:pStyle w:val="83"/>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②供应商提拱培训计划、地点、组织、人员配备、软硬件资料等，培训内容应完整、科学合理。</w:t>
      </w:r>
    </w:p>
    <w:p>
      <w:pPr>
        <w:pStyle w:val="83"/>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③供应商应对所提供的软件产品向采购人提供全面充分的技术培训，培训的内容应包括产品功能与操作、产品配置及软件升级各个方面,并提供全套培训教材和培训课程计划表。</w:t>
      </w:r>
    </w:p>
    <w:p>
      <w:pPr>
        <w:pStyle w:val="83"/>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④系统运行后，供应商可结合本项目与招标方就产品情况，不定期进行技术交流。</w:t>
      </w:r>
    </w:p>
    <w:p>
      <w:pPr>
        <w:pStyle w:val="83"/>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⑤培训费用：本项目培训所产生的费用，应包含在项目总报价中，无需在报价明细表中单独列报。所有培训费用（食宿费用、场地费用、教材费用等）应包含在本次项目中，不可另外向采购人收费，如有最新规定，按财政最新规定列支。</w:t>
      </w:r>
    </w:p>
    <w:p>
      <w:pPr>
        <w:pStyle w:val="83"/>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（4）验收要求</w:t>
      </w:r>
    </w:p>
    <w:p>
      <w:pPr>
        <w:pStyle w:val="83"/>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全部系统建设完成后由采购人组织初验，通过后上线投入试运行；投入试运行后正常运行1个月，由采购人组织终验，验收时中标人必须到现场进行验收测试并进行现场验证。经验收不合格或不符合招响应文件技术要求的，采购人有权要求中标人进行整改，相关费用由中标人承担;如整改后仍不合格的，采购人有权解除合同，并要求中标人承担违约责任。</w:t>
      </w:r>
    </w:p>
    <w:p>
      <w:pPr>
        <w:pStyle w:val="83"/>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其他要求：</w:t>
      </w:r>
    </w:p>
    <w:p>
      <w:pPr>
        <w:pStyle w:val="83"/>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四、其他要求</w:t>
      </w:r>
      <w:bookmarkStart w:id="384" w:name="_GoBack"/>
      <w:bookmarkEnd w:id="384"/>
    </w:p>
    <w:p>
      <w:pPr>
        <w:pStyle w:val="83"/>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1、付款方式：</w:t>
      </w:r>
    </w:p>
    <w:p>
      <w:pPr>
        <w:pStyle w:val="83"/>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（1）合同签订后支付合同价的40%作为预付款，竣工验收后支付至98.5%，余款在两年后付清。</w:t>
      </w:r>
    </w:p>
    <w:p>
      <w:pPr>
        <w:pStyle w:val="83"/>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（2）当采购数量与实际使用数量不一致时，中标人应根据实际使用量供货，合同的最终结算金额按实际使用量乘以成交单价进行计算。</w:t>
      </w:r>
    </w:p>
    <w:p>
      <w:pPr>
        <w:pStyle w:val="83"/>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（3）中标人必须提供给采购人合法、有效的正规增值税发票，否则采购人有权延期付款，直至收到中标人相应正规增值税发票为止。</w:t>
      </w:r>
    </w:p>
    <w:p>
      <w:pPr>
        <w:pStyle w:val="83"/>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2、说明：</w:t>
      </w:r>
    </w:p>
    <w:p>
      <w:pPr>
        <w:pStyle w:val="83"/>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（1）投标供应商所投设备技术性能指标必须与配置清单中所列技术性能指标相同或超过所列指标，必须为全新原厂商包装有售后服务质保新品。</w:t>
      </w:r>
    </w:p>
    <w:p>
      <w:pPr>
        <w:pStyle w:val="83"/>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（2）投标报价已包含设备安装、调试、配件、人工、运输、税金、水电费等涉及的全部费用。</w:t>
      </w:r>
    </w:p>
    <w:p>
      <w:pPr>
        <w:pStyle w:val="83"/>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3、服务范围</w:t>
      </w:r>
    </w:p>
    <w:p>
      <w:pPr>
        <w:pStyle w:val="83"/>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（1）设备及相关资料的提供</w:t>
      </w:r>
    </w:p>
    <w:p>
      <w:pPr>
        <w:pStyle w:val="83"/>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提供的设备及相关材料须包括以下服务工作（但不限于）内容：</w:t>
      </w:r>
    </w:p>
    <w:p>
      <w:pPr>
        <w:pStyle w:val="83"/>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①设备样本和使用操作说明书。</w:t>
      </w:r>
    </w:p>
    <w:p>
      <w:pPr>
        <w:pStyle w:val="83"/>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②中标人须提供设备的详细成套供货清单（包括备品备件、专用工具、易损件的清单等）。</w:t>
      </w:r>
    </w:p>
    <w:p>
      <w:pPr>
        <w:pStyle w:val="83"/>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③在设备到货后采购人应派人员进行验收，若发现任何损坏及质量问题，供应商负责更换，该工作所产生的费用由供应商自行负责。</w:t>
      </w:r>
    </w:p>
    <w:p>
      <w:pPr>
        <w:pStyle w:val="83"/>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（2）安装、调试及试运行</w:t>
      </w:r>
    </w:p>
    <w:p>
      <w:pPr>
        <w:pStyle w:val="83"/>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①供应商应派遣有丰富同类工作实践经验的技术人员进行设备安装、调试及运行工作，直到保证正常稳定运行。</w:t>
      </w:r>
    </w:p>
    <w:p>
      <w:pPr>
        <w:pStyle w:val="83"/>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②在调试期间，供应商在现场负责测试和调试。测试、调试方法及记录表格式应由采购人认可后方可执行。供方参加测试、调试过程一切费用由供应商负责。</w:t>
      </w:r>
    </w:p>
    <w:p>
      <w:pPr>
        <w:pStyle w:val="83"/>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③设备试运行需采购人的工程技术人员的监督下进行。</w:t>
      </w:r>
    </w:p>
    <w:p>
      <w:pPr>
        <w:pStyle w:val="83"/>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④保证测试的项目，保证测试的内容应包括本招标范围内所有设备、仪表、电气等组件的正常、系统的稳定、及各项操作指标达到要求。</w:t>
      </w:r>
    </w:p>
    <w:p>
      <w:pPr>
        <w:pStyle w:val="83"/>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4、质量要求</w:t>
      </w:r>
    </w:p>
    <w:p>
      <w:pPr>
        <w:pStyle w:val="83"/>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提供的产品必须符合现行最新国家、行业标准规范及其他普遍认可的标准规范要求。</w:t>
      </w:r>
    </w:p>
    <w:p>
      <w:pPr>
        <w:pStyle w:val="83"/>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5、其它说明</w:t>
      </w:r>
    </w:p>
    <w:p>
      <w:pPr>
        <w:pStyle w:val="83"/>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1、所有供货货物是全新的，未曾使用过的。</w:t>
      </w:r>
    </w:p>
    <w:p>
      <w:pPr>
        <w:pStyle w:val="83"/>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2、提供货物的标准附件、备品备件、专用工具及其清单。</w:t>
      </w:r>
    </w:p>
    <w:p>
      <w:pPr>
        <w:pStyle w:val="83"/>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3、投标供应商提供的货物须符合国家有关货物的制造、安装标准。</w:t>
      </w:r>
    </w:p>
    <w:p>
      <w:pPr>
        <w:pStyle w:val="83"/>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五、采购清单项目内容包括：</w:t>
      </w:r>
    </w:p>
    <w:tbl>
      <w:tblPr>
        <w:tblStyle w:val="66"/>
        <w:tblW w:w="518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1"/>
        <w:gridCol w:w="1230"/>
        <w:gridCol w:w="5910"/>
        <w:gridCol w:w="634"/>
        <w:gridCol w:w="4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配置情况</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车辆控制机</w:t>
            </w:r>
          </w:p>
        </w:tc>
        <w:tc>
          <w:tcPr>
            <w:tcW w:w="3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镜头像素：</w:t>
            </w:r>
            <w:bookmarkStart w:id="16" w:name="OLE_LINK1"/>
            <w:r>
              <w:rPr>
                <w:rFonts w:hint="eastAsia" w:ascii="宋体" w:hAnsi="宋体" w:cs="宋体"/>
                <w:i w:val="0"/>
                <w:iCs w:val="0"/>
                <w:color w:val="000000"/>
                <w:kern w:val="0"/>
                <w:sz w:val="20"/>
                <w:szCs w:val="20"/>
                <w:u w:val="none"/>
                <w:lang w:val="en-US" w:eastAsia="zh-CN" w:bidi="ar"/>
              </w:rPr>
              <w:t>≥</w:t>
            </w:r>
            <w:bookmarkEnd w:id="16"/>
            <w:r>
              <w:rPr>
                <w:rFonts w:hint="eastAsia" w:ascii="宋体" w:hAnsi="宋体" w:eastAsia="宋体" w:cs="宋体"/>
                <w:i w:val="0"/>
                <w:iCs w:val="0"/>
                <w:color w:val="000000"/>
                <w:kern w:val="0"/>
                <w:sz w:val="20"/>
                <w:szCs w:val="20"/>
                <w:u w:val="none"/>
                <w:lang w:val="en-US" w:eastAsia="zh-CN" w:bidi="ar"/>
              </w:rPr>
              <w:t>500W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2.内核CPU：</w:t>
            </w:r>
            <w:r>
              <w:rPr>
                <w:rFonts w:hint="eastAsia" w:ascii="宋体" w:hAnsi="宋体" w:cs="宋体"/>
                <w:i w:val="0"/>
                <w:iCs w:val="0"/>
                <w:color w:val="000000"/>
                <w:kern w:val="0"/>
                <w:sz w:val="20"/>
                <w:szCs w:val="20"/>
                <w:u w:val="none"/>
                <w:lang w:val="en-US" w:eastAsia="zh-CN" w:bidi="ar"/>
              </w:rPr>
              <w:t>≥六</w:t>
            </w:r>
            <w:r>
              <w:rPr>
                <w:rFonts w:hint="eastAsia" w:ascii="宋体" w:hAnsi="宋体" w:eastAsia="宋体" w:cs="宋体"/>
                <w:i w:val="0"/>
                <w:iCs w:val="0"/>
                <w:color w:val="000000"/>
                <w:kern w:val="0"/>
                <w:sz w:val="20"/>
                <w:szCs w:val="20"/>
                <w:u w:val="none"/>
                <w:lang w:val="en-US" w:eastAsia="zh-CN" w:bidi="ar"/>
              </w:rPr>
              <w:t>核,高频</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1.8GHz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3.内存</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4GB,64Gbit存储器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4.显示屏需支持四行二列LED显示屏显示，点阵64*64；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5.显示可支持智能化、行业化、情景化的可自定义显示交互；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6.控制机支持内置车牌识别摄像头；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外壳防护等级室外设备IP54，室内设备：IP52；抗电强度1.5kv/1min无击穿、飞狐现象；泄露电流试验≤0.19mA(交流、峰值)；静电放电抗扰度：空气放电8kv，接触放电6kv。高温试验：I级：70℃±2℃，8h；低温试验：-25℃±3℃，8h；绝缘电阻：常温≥100MΩ，湿热≥5MΩ。金属外壳通过盐雾试验——在35±2℃，盐溶浓度（5±1）%；雾化前溶液的PH值在6.5~7.2之间；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8.车牌识别到车辆，自动抬闸放行；若识别的车牌号与系统黑名单比对一致，则拒绝其驶入；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9.若车牌无法识别时，可通过人工输入车牌，或系统自动生成ID码入场；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当车主为月租用户时，车牌识别一体机自动识别车牌与系统内用户车牌号码进行自动比对，确认一致后自动抬闸放行；当车主为临时用户时，车牌识别摄像机识别车牌自动比对一致后，自动计算费用，并用语音和LED显示屏显示计费结果，同时进行图像存储，经收费确认后，自动抬闸放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11.当出场时车牌识别有误时，系统自动模糊匹配入场时相近车牌，由管理人员选择后更正并计算收费金额；无牌车辆出场，可快速选择无牌车辆进行人工匹配，系统自动计算收费金额，经收费员确认后出场。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12.出入口设备声提示声压值max:86dB。彩色水平分辨率500TVI，达11级。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13.■以号牌识别用图库进行试验，包含白天1000辆车进场录像，号牌的图像水平分辨率不低于100个像素点且不大于160个像素点。图库识别试验：车辆号牌识别率：99.0%</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在天气晴朗无雾，号牌无遮挡、无污损的条件下进行测试，白天测试时的环境光照度应不低于200lx，晚上测试时辅助照明光照度应不高于100lx，车辆速度为(5～40)km/h范围内，单车道情况下，白天、夜晚各进行100次试验，车辆辆号牌识别准确率满足白天不低于：99.8%；夜间不低于：99.8%；通过智能及成果数据服务设备应能正确捕获本设备推送数据，并正确解析出相关基本信息。系统能够通过设备编号实时订阅车辆进出事件</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手动开启记录：未按规定流程识别车辆标识，或车辆标识识别失败的情况下，能手动开启挡车器，系统应自动记录发生时间、出/入通道号、操作员等信息（</w:t>
            </w:r>
            <w:r>
              <w:rPr>
                <w:rFonts w:hint="eastAsia" w:ascii="宋体" w:hAnsi="宋体" w:cs="宋体"/>
                <w:i w:val="0"/>
                <w:iCs w:val="0"/>
                <w:color w:val="000000"/>
                <w:kern w:val="0"/>
                <w:sz w:val="20"/>
                <w:szCs w:val="20"/>
                <w:u w:val="none"/>
                <w:lang w:val="en-US" w:eastAsia="zh-CN" w:bidi="ar"/>
              </w:rPr>
              <w:t>提供公安部授权机构出具的检验报告复印件</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.系统在线时应具有防重入重出功能；从车辆身份信息确认放行到挡车器开启的响应时间应＜1S。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.系统管理软件事件信息保存时间≥1年；2.出入口和场区内的图像保存应时间≥30天</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通过检测车辆状态，系统自动发出图像抓拍指令，系统按收传来的车辆图像，自动进行出入凭证、车辆检测等信息识别，经过核实处理后，应具有控执行设备允许/禁止车辆通行的功能，并具有通知相应其他设备的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设备在连接系统中央管理部分的情况下，应满足以下要求：1.具有初始化功能，是设备恢复到出示状态，比如出厂参数；2.具有设备工作状态的自检及相应的指示功能；3.能通过中央管理部分对设备进行时钟校准；4.支持通过识读部分识别一种及以上车辆出入凭证；5.及时向中央管理部分上传出入时间、设备状态等信息；6.接收并执行中央管理部分发出的授权、控制、设备设置等指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19.车牌识别识读响应时间：系统识读控制机响应时间应＜1S；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设备宜具有视觉/听觉（声、光）显示和提示功能。显示所用文字/字符和图形符号的字号、字体应以醒目、便于阅读，指示信息应包含输出功能的报警、放行/禁行状态转换、放行、禁行等各种信号。系统应具有车辆的出入时间、地点、顺序等数据设置，以及显示、记录、查询和打印等应用功能；应具有系统自动校时功能，每天自动校时应不小于1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21.遥控操作功能：应能通过保安集成管理移动手持端对通道电动栏杆机进行开启/关闭人工遥控操作；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22.系统应自动记录遥控器发生时间、出/入通道号、操作人员等信息。遥控距离应≥30M.</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.输出协议及数据格式应符合DB31/T294 2018附录A 只能继承数据基本字典表、智能继承服务设备 对接服务接口的相关要求。系统能够即时上报人员基本信息（人员姓名、联系方式等）并将人员基本信息关联至车辆基本信息（车辆类型、车牌类型和车牌号等。）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.系统能即时推送所有进出车辆的出入部位、出入时间、牌照/车型、数据/图片、车辆（人员）类型、关联对象等基本信息至智能集成数据服务设备，并提供智能安防集成应用系统服务。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控制机包括主控板、地感模块、显示模块、高清网络摄像机、补光灯、电源等组成，中央管理部分主要由智能终端操作平台、移动端手机APP组成。系统可脱机工作，脱机状态下事件记录数为10万条，用户数为20万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.系统自检和故障提示：系统及各主要部分应有表明其工作正常的自检和故障指示功能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.挡车功能：系统的出/入口部分应具有通过自动或人工控制挡车器，允许/禁止车辆通行的功能并具有防砸车功能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28</w:t>
            </w:r>
            <w:r>
              <w:rPr>
                <w:rFonts w:hint="eastAsia" w:ascii="宋体" w:hAnsi="宋体" w:eastAsia="宋体" w:cs="宋体"/>
                <w:i w:val="0"/>
                <w:iCs w:val="0"/>
                <w:color w:val="000000"/>
                <w:kern w:val="0"/>
                <w:sz w:val="20"/>
                <w:szCs w:val="20"/>
                <w:u w:val="none"/>
                <w:lang w:val="en-US" w:eastAsia="zh-CN" w:bidi="ar"/>
              </w:rPr>
              <w:t>.应急开启/关闭： 在停电或系统不能正常工作时，应可以手动开启和关闭车器</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29</w:t>
            </w:r>
            <w:r>
              <w:rPr>
                <w:rFonts w:hint="eastAsia" w:ascii="宋体" w:hAnsi="宋体" w:eastAsia="宋体" w:cs="宋体"/>
                <w:i w:val="0"/>
                <w:iCs w:val="0"/>
                <w:color w:val="000000"/>
                <w:kern w:val="0"/>
                <w:sz w:val="20"/>
                <w:szCs w:val="20"/>
                <w:u w:val="none"/>
                <w:lang w:val="en-US" w:eastAsia="zh-CN" w:bidi="ar"/>
              </w:rPr>
              <w:t>.操作权限管理：系统应能对操作人员的授权和登录核准进行管理，通过设定操作权限，使不同级别的操作人员对系统有不同的操作权力；同时系统应对车辆身份信息的录入、授权、变更、注销、延期等进行管理</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0</w:t>
            </w:r>
            <w:r>
              <w:rPr>
                <w:rFonts w:hint="eastAsia" w:ascii="宋体" w:hAnsi="宋体" w:eastAsia="宋体" w:cs="宋体"/>
                <w:i w:val="0"/>
                <w:iCs w:val="0"/>
                <w:color w:val="000000"/>
                <w:kern w:val="0"/>
                <w:sz w:val="20"/>
                <w:szCs w:val="20"/>
                <w:u w:val="none"/>
                <w:lang w:val="en-US" w:eastAsia="zh-CN" w:bidi="ar"/>
              </w:rPr>
              <w:t>.数据管理：系统应能实现对出/入场车辆事件、操作管理事件、出/入口设各工作状态等信息管理，完成系统信息的查询，统计、打印以及数据的备份，恢复等功能</w:t>
            </w:r>
            <w:r>
              <w:rPr>
                <w:rFonts w:hint="eastAsia" w:ascii="宋体" w:hAnsi="宋体" w:cs="宋体"/>
                <w:i w:val="0"/>
                <w:iCs w:val="0"/>
                <w:color w:val="000000"/>
                <w:kern w:val="0"/>
                <w:sz w:val="20"/>
                <w:szCs w:val="20"/>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.结算管理功能，系统应具备计费自动结算管理功能；应支持主流第三方支付，支持无感支付/扫码支付等形式，支持税控发票机开具电子发票功能，支持微信/支付宝/银联等方式进行缴费。</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道闸</w:t>
            </w:r>
          </w:p>
        </w:tc>
        <w:tc>
          <w:tcPr>
            <w:tcW w:w="3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1.电机功率：150W；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2.电源电压：AC220V±10%，50Hz；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3.使用环境温度需满足 -25℃～70℃；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4.相对湿度：小于95%RH,无凝露；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5.制作工艺：整机模具化、防伪化设计，批量化、工装化制造，质量需稳定可靠。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设备具备开优先功能，当栏杆处于非放行状态而收到放行指令时，应立即运行到放行状态。检测车辆的信号从有车大无车时，能控制驱动部分驱动栏杆运行到禁行状态。栏杆完成禁行状态到放行状态转换或完成放行状态到禁行状态转换的单程运行时间可由制造厂商预设，或单程运行时间可调节。</w:t>
            </w:r>
            <w:r>
              <w:rPr>
                <w:rFonts w:hint="eastAsia" w:ascii="宋体" w:hAnsi="宋体" w:cs="宋体"/>
                <w:i w:val="0"/>
                <w:iCs w:val="0"/>
                <w:color w:val="000000"/>
                <w:kern w:val="0"/>
                <w:sz w:val="20"/>
                <w:szCs w:val="20"/>
                <w:u w:val="none"/>
                <w:lang w:val="en-US" w:eastAsia="zh-CN" w:bidi="ar"/>
              </w:rPr>
              <w:t>系统</w:t>
            </w:r>
            <w:r>
              <w:rPr>
                <w:rFonts w:hint="eastAsia" w:ascii="宋体" w:hAnsi="宋体" w:eastAsia="宋体" w:cs="宋体"/>
                <w:i w:val="0"/>
                <w:iCs w:val="0"/>
                <w:color w:val="000000"/>
                <w:kern w:val="0"/>
                <w:sz w:val="20"/>
                <w:szCs w:val="20"/>
                <w:u w:val="none"/>
                <w:lang w:val="en-US" w:eastAsia="zh-CN" w:bidi="ar"/>
              </w:rPr>
              <w:t>具有应急放行功能：1.手动或借助辅助工具使栏杆处于“放行”状态；2.手动或借助辅助工具使栏杆与机身分离；3.电源断电后世栏杆能够运行到“放行状态”。电动机运转应有过负荷保护功能，包括过流保护、过压保护等，但不应仅适用熔断型保险丝实现保护。当出入口控制设备执行启闭动作的电动或电磁等部件短路时，进行任何开启、关闭操作都不得导致电源损坏，允许更换保险装置。（</w:t>
            </w:r>
            <w:r>
              <w:rPr>
                <w:rFonts w:hint="eastAsia" w:ascii="宋体" w:hAnsi="宋体" w:cs="宋体"/>
                <w:i w:val="0"/>
                <w:iCs w:val="0"/>
                <w:color w:val="000000"/>
                <w:kern w:val="0"/>
                <w:sz w:val="20"/>
                <w:szCs w:val="20"/>
                <w:u w:val="none"/>
                <w:lang w:val="en-US" w:eastAsia="zh-CN" w:bidi="ar"/>
              </w:rPr>
              <w:t>提供公安部授权机构出具的检验报告复印件</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7.外壳防护等级不低于 IP54；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8.高温试验满足+85±2℃，低温试验满足-25℃±3℃的高低温试验。（</w:t>
            </w:r>
            <w:r>
              <w:rPr>
                <w:rFonts w:hint="eastAsia" w:ascii="宋体" w:hAnsi="宋体" w:cs="宋体"/>
                <w:i w:val="0"/>
                <w:iCs w:val="0"/>
                <w:color w:val="000000"/>
                <w:kern w:val="0"/>
                <w:sz w:val="20"/>
                <w:szCs w:val="20"/>
                <w:u w:val="none"/>
                <w:lang w:val="en-US" w:eastAsia="zh-CN" w:bidi="ar"/>
              </w:rPr>
              <w:t>提供公安部授权机构出具的检验报告复印件</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9.放行计数控制：设备宜具有放行计数控制功能，设备记录接受放行指令的次数与通过车辆检测器感知车辆通过的次数，判定相等并在车辆检测信号为无车时，设备自动运行到禁行状态。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0</w:t>
            </w:r>
            <w:r>
              <w:rPr>
                <w:rFonts w:hint="eastAsia" w:ascii="宋体" w:hAnsi="宋体" w:eastAsia="宋体" w:cs="宋体"/>
                <w:i w:val="0"/>
                <w:iCs w:val="0"/>
                <w:color w:val="000000"/>
                <w:kern w:val="0"/>
                <w:sz w:val="20"/>
                <w:szCs w:val="20"/>
                <w:u w:val="none"/>
                <w:lang w:val="en-US" w:eastAsia="zh-CN" w:bidi="ar"/>
              </w:rPr>
              <w:t>.通行安全功能：1）车辆检测信号为有车时，处于放行状态的栏杆应不改变状态，处于“放行”状态转变为“禁行”状态的栏杆应停止运行或自动返回到“放行”状态；栏杆从放行状态向进行状态转变过程遇阻时，宜自动返回放行状态或停止运行；2）设备的所有缝隙及运动（转动）部件应具备防止对人可能伤害的措施；3）设备可能被通行车辆碰撞或冲击的部位，不宜采用宜破碎飞溅的材料；4）当起杆或落杆单程运行的时间超过制造商预设值时，则栏杆应停止动作。</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.设备需通过 GB/T 17626.2-2006 严酷等级 3 的静电抗扰度试验、GB/T 17626.2-2008 严酷等级 3 的电快速瞬变脉冲群抗扰度试验、2KV 的浪涌（冲击）抗扰度试验</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停车管理软件</w:t>
            </w:r>
          </w:p>
        </w:tc>
        <w:tc>
          <w:tcPr>
            <w:tcW w:w="3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■系统支持按钮及遥控器控制道闸的开、关。系统软件在实时记录通行车辆图像的同时，还具备对民用车牌、新能源车牌、军用车牌、武警车牌、使馆车牌、大陆港澳牌的车牌自动识别能力</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系统软件在实时记录通行车辆图像的同时，还具备对民用车牌、新能源车牌、军用车牌、武警车牌、使馆车牌、大陆港澳牌的车牌自动识别能力</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系统软件在实时记录通行车辆图像的同时，还具备对民用车牌、新能源车牌、军用车牌、武警车牌、使馆车牌、大陆港澳牌的车牌自动识别能力</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系统支持扩展闲时月卡运营功能，可将不同时间段空闲停车位引流给有需要的车主，有效提高车位利用率。需提供闲时月卡运营管理系统软件测试报告</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（需提供第三方检测报告）</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信号牌自动识别</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车辆驶近出入口时，系统自动对车辆牌照进行识别，包括车牌号码、车牌颜色的识别，识别率保证99%以上。</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在实时记录通行车辆图像的同时，还具备对民用车牌、警用车牌、军用车牌、武警车牌、使馆牌、大陆港澳牌的车牌自动识别能力。</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符合GA/T 833-2016 机动车号牌图像自动识别技术规范。</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能识别黑、白、蓝、黄、绿五种车牌颜色。</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车辆信息记录</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车辆信息包括车辆通行信息和车辆图像信息两类。</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在车辆通过出入口时，牌照识别系统准确拍摄包含车辆前端、车牌的图像，并将图像和车辆通行信息传输给出入口控制终端，并可选择在图像中叠加车辆通行信息（如时间、地点等），准确记录车辆通行信息。</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信息提示</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车辆在出入口被抓拍后，系统将进行相关信息提示，包含TTS语音提示、信息显示，车辆驶入、驶出时可以根据客户需要提示语音，收费金额显示，欢迎标语等。</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图片预览</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系统支持在岗亭客户端对过车图片和信息实时显示，进出车辆自动匹配，图片预览支持按车道轮巡。</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车牌校正</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系统支持通过人工在岗亭客户端上对识别异常的车牌进行修正，对无牌车进行人工匹配来确保系统工作正常。</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车辆缴费</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支持通过现金、支付宝、微信等方式进行停车费的收缴。</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 车辆管控</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固定车辆：支持车牌识别比对正确，信息核实有效后，即可进场和出场，无需其他操作。</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临时车辆：抓拍车牌并识别，将车辆信息记录在系统中，直接放行进场；出场时，缴清费用后，快速离场。</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布控车辆：嫌疑车辆由系统自动在前端岗亭和中心产生报警，同时人工参与处理。</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 无牌车管理</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支持无牌车辆使用微信/支付宝扫码车道旁的二维码自主进出场和缴费。</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 异常求助</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系统支持任何车辆在遇到无法自助处理的情况时，通过入场车道或者出场车道的LCD票箱上的呼叫按钮向中心求助。</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 远程协助</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停车场管理者可以通过本系统的中心客户端远程接听入场车道或者出场车道求助，做可视化对讲。可以对于车主的操作问题进行指导；可以对于识别错误问题进行远程修正；可以对于特殊车辆进行放。</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 道闸控制功能</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岗亭客户端支持远程控制电动挡车器启闭，方便操作人员管理和特殊控制需要。</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 一户多车管理功能</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一户多车的功能，若一个户主名下登记有多辆车，但是在这个停车场内该户主的车位数少于车辆数。那么在这个户主名下车位已满的情况，还有固定车入场停车，这些后面入场的固定车将被认为是临时车进行收费。此功能用于规范一户多车的管理。</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 车辆收费管理功能</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系统支持对固定车辆、临时车辆、群组车辆等制定相应的收费规则，支持车辆出场时在岗亭通过车牌识别记录车辆进出时间并计算费用和收费，支持自助缴费。</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系统支持通过IC卡的方式对临时、固定车进行管理。</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 报警管理功能</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当系统识别出来的车辆车牌不符合条件时，或者车牌在黑名单库时，岗亭或管理中心自动报警，提示工作人员进行检查。</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 数据查询功能</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可查询通行信息、场内车辆、操作日志、设备状态和收费金额等信息并输出完整的数据报表。</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 统计报表功能</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支持按停车场收费统计、车辆流量数据统计、临时车辆缴费统计、现金收费统计等报表功能。</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 数据上传功能</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出入口过车数据自动上传中心，由中心集中存储和管理，支持前端数据缓存以及断点续传。</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 权限设置和用户管理功能</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为了实现系统的安全管理，系统对用户权限进行管理，主要具备如下功能： </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用户分两个级别：系统操作员、系统管理员，系统管理员可以添加、删除和修改系统操作员，并且可以分配用户权限。</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用户权限包括：系统配置、卡片管理、车辆信息管理、布控/撤控、查询、统计。</w:t>
            </w:r>
          </w:p>
          <w:p>
            <w:pPr>
              <w:keepNext w:val="0"/>
              <w:keepLines w:val="0"/>
              <w:widowControl/>
              <w:numPr>
                <w:ilvl w:val="0"/>
                <w:numId w:val="3"/>
              </w:numPr>
              <w:suppressLineNumbers w:val="0"/>
              <w:jc w:val="left"/>
              <w:textAlignment w:val="center"/>
              <w:rPr>
                <w:rFonts w:hint="eastAsia"/>
              </w:rPr>
            </w:pPr>
            <w:r>
              <w:rPr>
                <w:rFonts w:hint="eastAsia" w:ascii="宋体" w:hAnsi="宋体" w:eastAsia="宋体" w:cs="宋体"/>
                <w:i w:val="0"/>
                <w:iCs w:val="0"/>
                <w:color w:val="000000"/>
                <w:kern w:val="0"/>
                <w:sz w:val="20"/>
                <w:szCs w:val="20"/>
                <w:u w:val="none"/>
                <w:lang w:val="en-US" w:eastAsia="zh-CN" w:bidi="ar"/>
              </w:rPr>
              <w:t>系统配置包括：用户管理、出入口管理、车位管理、系统设置。</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防砸雷达</w:t>
            </w:r>
          </w:p>
        </w:tc>
        <w:tc>
          <w:tcPr>
            <w:tcW w:w="3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产品名称：道闸防砸雷达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人车区分：支持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汽车乘用车检测：支持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挂车、高底盘车：支持（底盘高于90cm需增加高位雷达）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使用范围：支持椭圆杆、直方杆、发光杆、防撞杆、栅栏杆、广告杆等道闸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场景学习能力：支持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工作频段：77~81GHz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输出功率(EIRP)：10mW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检测距离：0.3~6米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手动可调检测距离：1~6m可配置，默认3m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检测精度：4.5cm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区分车间隔：1m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更新时间：30ms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目标进入响应时间：90ms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目标离开响应时间：500ms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天线波束宽度：水平120deg，俯仰30deg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 电源：9~24V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 功耗：≤3W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 对外接口：RS485、蓝牙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 设备尺寸：L*W*H=107.5mm*73.2mm*18mm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 工作温度：；-40℃-+85℃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 存储温度：；-40℃-+125℃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 防水等级：IP67</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400万高清网络摄像机</w:t>
            </w:r>
          </w:p>
        </w:tc>
        <w:tc>
          <w:tcPr>
            <w:tcW w:w="3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宽动态：100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传感器类型：1/2.7" Progressive Scan 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最低照度：彩色：0.005 Lux @（F1.2，AGC ON），0 Lux with Light；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黑白：0.002 Lux @（F1.2，AGC ON），0 Lux with IR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焦距&amp;视场角：2.8 mm：水平视场角：94.4°，垂直视场角：50.4°，对角视场角：112.6°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mm：水平视场角：69.9°，垂直视场角：34.9°，对角视场角：84.9°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mm：水平视场角：45.9°，垂直视场角：24.1°，对角视场角：53.9°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 mm：水平视场角：43.7°，垂直视场角：23.9°，对角视场角：51.2°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补光灯类型：支持双光补光：红外补光 或 暖白光补光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补光距离：白光：普通监控：最远可达30 m，人脸抓拍/识别：最远可达5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红外：普通监控：最远可达50 m，人脸抓拍/识别：最远可达10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防补光过曝：支持防补光过曝开启和关闭，开启下支持自动和手动，手动支持根据距离等级控制补光灯亮度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红外波长范围：850 nm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最大分辨率：2560 × 1440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视频压缩标准：H.265/H.264/MJPEG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网络：1个RJ45 10 M/100 M自适应以太网口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SD卡扩展：内置MicroSD/MicroSDHC/MicroSDXC插槽，最大支持512 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音频：1路输入（Line in），1路输出（Line out），1个内置麦克风，1个内置扬声器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报警：1路输入，1路输出（报警输入支持电平量，报警输出最大支持DC12 V，30 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复位：支持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电源输出：DC12 V，100 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接口类型：外甩线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电流及功耗：DC：12 V，0.8 A，最大功耗：9.6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PoE：802.3af，37 V~57 V，0.30 A~0.19A，最大功耗：10.8 W</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16路硬盘录像机</w:t>
            </w:r>
          </w:p>
        </w:tc>
        <w:tc>
          <w:tcPr>
            <w:tcW w:w="3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1U机架式2盘位嵌入式网络硬盘录像机，采用短机箱设计，搭载高性能电源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【硬件规格】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存储接口：2个SATA接口，可满配8TB硬盘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视频接口：1×HDMI，1×VGA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网络接口：2×RJ45 10/100Mbps自适应以太网口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报警接口：4路报警输入，1路报警输出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USB接口：2×USB 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接入警戒摄像机，支持对IPC的声音和声光参数进行配置， 支持通过移动侦测、区域入侵、越界侦测、进入区域和离开区域事件联动一个或多个IPC的声光报警，可以对声光联动一键撤防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接入带有越界报警、区域入侵、进入区域、离开区域、人员聚集、快速移动、徘徊报警、场景变更报警、虚焦报警功能的网络摄像机，当触发报警时可联动录像、抓拍、报警输出</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存储硬盘</w:t>
            </w:r>
          </w:p>
        </w:tc>
        <w:tc>
          <w:tcPr>
            <w:tcW w:w="3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8T</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监控支架</w:t>
            </w:r>
          </w:p>
        </w:tc>
        <w:tc>
          <w:tcPr>
            <w:tcW w:w="3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壁装支架/白/复合纤维/197×48×78mm</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监控电源</w:t>
            </w:r>
          </w:p>
        </w:tc>
        <w:tc>
          <w:tcPr>
            <w:tcW w:w="3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12V2A</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8口POE千兆交换机</w:t>
            </w:r>
          </w:p>
        </w:tc>
        <w:tc>
          <w:tcPr>
            <w:tcW w:w="3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8千兆PoE+2千兆光，非网管，无风扇设计，支持功能拨码，AC220V，POE功率110W，桌面式安装</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核心汇聚交换机</w:t>
            </w:r>
          </w:p>
        </w:tc>
        <w:tc>
          <w:tcPr>
            <w:tcW w:w="3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1、单机配置要求: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≥24个千兆电口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≥4个万/千兆SFP+光口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1个Console口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1个220V AC交流电源（提供设备高清图）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2、交换容量≥598Gbps（提供官网截图并加盖原厂公章，如果有2个值以低的为准）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3、包转发率≥342Mpps（提供官网截图并加盖原厂公章，如果有2个值以低的为准）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4、MAC容量≥32K（提供官网截图并加盖原厂公章，如果有2个值以低的为准）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5、虚拟化技术：支持横向虚拟化技术，将多台设备虚拟为一台设备，支持长距离集群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6、VLAN：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基于端口的VLAN,基于802.1Q协议封装，支持GVRP，支持PVLAN，VLAN，范围1－4K任意划分Vlan Stacking (QinQ)</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7、路由：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支持静态路由、策略路由、RIP、OSPF动态路由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8、生成树：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支持PVST、RSTP、MSTP生成树（提供产品配置截图并加盖原厂公章）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9、环路协议：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支持EAPS、ERPS以太网环网保护协议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10、安全特性：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支持dhcp server，支持基于Snooping技术的防止DHCP报文攻击的方法（提供相关专利证明）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支持标准和扩展ACL，支持IP ACL、支持基于源/目的IP、三层IP协议号、TCP/UDP四层端口号、IP优先级、ToS、时间范围对数据进行过滤的一种访问控制列表的分类匹配方法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支持一种可同时对IP和MAC进行访问控制的ACL以及过滤方法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防ARP欺骗、防ARP攻击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防DHCP欺骗、防DHCP攻击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防IGMP攻击、IP Flood攻击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11、管理特性：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提供中/英文双语界面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支持CLI；WEB；Telnet；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SNMP V1/V2/V3；RMON 1/2/3/9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支持或兼容CDP邻居发现协议</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监视器</w:t>
            </w:r>
          </w:p>
        </w:tc>
        <w:tc>
          <w:tcPr>
            <w:tcW w:w="3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50寸4K经济安防显示器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支持3840 × 2160超高清显示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采用超宽视角屏幕（上下左右）178°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3D数字图象降噪处理技术，画质更真实更清晰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超窄边设计，超高屏占比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支持文本、图片、音频、视频等多种格式多媒体播放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显示尺寸：50 inch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屏幕可视区域：1095.84 mm × 616.41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物理分辨率：3840 × 2160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背光源类型：D-LED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像素间距：0.2854 mm (H) × 0.2854 mm (V)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亮度：300 cd/m²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可视角：178° (H) / 178° (V)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色深度：10bit, 1.07G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对比度：5000 : 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响应时间：9.5 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刷新率：60 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表面处理：Haze 25%, 2H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连续使用时间：7 × 16 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色域：72% NTSC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音视频输入接口：HDMI2.0 × 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音视频输出接口：LINE OUT × 1, Speaker OUT × 2 ( 8Ω 10W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数据传输接口：USB2.0 × 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控制接口：RS232 IN × 1, RS232 OUT × 1</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电脑含显示器</w:t>
            </w:r>
          </w:p>
        </w:tc>
        <w:tc>
          <w:tcPr>
            <w:tcW w:w="3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处理器I5以上  内存8G   硬盘1T   含21.5寸以上显示器</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汇聚机柜</w:t>
            </w:r>
          </w:p>
        </w:tc>
        <w:tc>
          <w:tcPr>
            <w:tcW w:w="3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22U标准网格机柜、含PDU</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千兆收发器</w:t>
            </w:r>
          </w:p>
        </w:tc>
        <w:tc>
          <w:tcPr>
            <w:tcW w:w="3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布线标准802.3z 和802.3ab</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光纤熔接配件</w:t>
            </w:r>
          </w:p>
        </w:tc>
        <w:tc>
          <w:tcPr>
            <w:tcW w:w="3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法兰、尾纤、配线架等</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光纤熔接</w:t>
            </w:r>
          </w:p>
        </w:tc>
        <w:tc>
          <w:tcPr>
            <w:tcW w:w="3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终端盒，理线架</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防水箱</w:t>
            </w:r>
          </w:p>
        </w:tc>
        <w:tc>
          <w:tcPr>
            <w:tcW w:w="3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室外防水安防配电箱500*400*200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材料：不锈钢材质；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内置层板+活动背板组合，主要适用于室外壁装或立装</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六类网线</w:t>
            </w:r>
          </w:p>
        </w:tc>
        <w:tc>
          <w:tcPr>
            <w:tcW w:w="3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6类网线,Cat6非屏蔽双绞线,芯线规格:23AWG,无氧铜；标准装轴长度:305m±1.5m；线缆结构：4对8芯双绞线,每对之间采用十字骨架隔离,每芯均有颜色区分,外皮印有厂商标识及电缆编码，有撕裂绳。</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3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RVV3*1.5，采用高纯度OFC无氧铜丝绞合导体,PVC绝缘护套软线。</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管材</w:t>
            </w:r>
          </w:p>
        </w:tc>
        <w:tc>
          <w:tcPr>
            <w:tcW w:w="3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PVC；φ25（具体以实际为准）</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3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pvc接头，扎带、胶布、膨胀、螺丝等</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安全岛基础浇筑</w:t>
            </w:r>
          </w:p>
        </w:tc>
        <w:tc>
          <w:tcPr>
            <w:tcW w:w="3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支模板浇筑预埋管线</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路面开挖</w:t>
            </w:r>
          </w:p>
        </w:tc>
        <w:tc>
          <w:tcPr>
            <w:tcW w:w="3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部分基础到墙面线材埋管</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标志标牌</w:t>
            </w:r>
          </w:p>
        </w:tc>
        <w:tc>
          <w:tcPr>
            <w:tcW w:w="3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根据现场需求自行布置</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停车场-道闸安装</w:t>
            </w:r>
          </w:p>
        </w:tc>
        <w:tc>
          <w:tcPr>
            <w:tcW w:w="3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停车场-道闸安装和闸杆安装（含穿线、接线、道闸基础）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平台服务</w:t>
            </w:r>
          </w:p>
        </w:tc>
        <w:tc>
          <w:tcPr>
            <w:tcW w:w="3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平台服务运维</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数据维护</w:t>
            </w:r>
          </w:p>
        </w:tc>
        <w:tc>
          <w:tcPr>
            <w:tcW w:w="3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小区数据代维服务（2年）</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bl>
    <w:p>
      <w:pPr>
        <w:keepNext w:val="0"/>
        <w:keepLines w:val="0"/>
        <w:pageBreakBefore w:val="0"/>
        <w:shd w:val="clear" w:color="auto" w:fill="auto"/>
        <w:kinsoku/>
        <w:wordWrap/>
        <w:overflowPunct/>
        <w:topLinePunct w:val="0"/>
        <w:autoSpaceDE/>
        <w:autoSpaceDN/>
        <w:bidi w:val="0"/>
        <w:adjustRightInd w:val="0"/>
        <w:snapToGrid/>
        <w:spacing w:line="360" w:lineRule="auto"/>
        <w:ind w:left="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项目推荐品牌：海康威视、大华、捷顺或其他同级别</w:t>
      </w:r>
    </w:p>
    <w:p>
      <w:pPr>
        <w:keepNext w:val="0"/>
        <w:keepLines w:val="0"/>
        <w:pageBreakBefore w:val="0"/>
        <w:shd w:val="clear" w:color="auto" w:fill="auto"/>
        <w:kinsoku/>
        <w:wordWrap/>
        <w:overflowPunct/>
        <w:topLinePunct w:val="0"/>
        <w:autoSpaceDE/>
        <w:autoSpaceDN/>
        <w:bidi w:val="0"/>
        <w:adjustRightInd w:val="0"/>
        <w:snapToGrid/>
        <w:spacing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keepNext w:val="0"/>
        <w:keepLines w:val="0"/>
        <w:pageBreakBefore w:val="0"/>
        <w:shd w:val="clear" w:color="auto" w:fill="auto"/>
        <w:kinsoku/>
        <w:wordWrap/>
        <w:overflowPunct/>
        <w:topLinePunct w:val="0"/>
        <w:autoSpaceDE/>
        <w:autoSpaceDN/>
        <w:bidi w:val="0"/>
        <w:adjustRightInd w:val="0"/>
        <w:snapToGrid/>
        <w:spacing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1、除标注的参考品牌外，欢迎其它能满足本项目技术需求且性能与所注品牌相当的产品参与。</w:t>
      </w:r>
    </w:p>
    <w:p>
      <w:pPr>
        <w:keepNext w:val="0"/>
        <w:keepLines w:val="0"/>
        <w:pageBreakBefore w:val="0"/>
        <w:shd w:val="clear" w:color="auto" w:fill="auto"/>
        <w:kinsoku/>
        <w:wordWrap/>
        <w:overflowPunct/>
        <w:topLinePunct w:val="0"/>
        <w:autoSpaceDE/>
        <w:autoSpaceDN/>
        <w:bidi w:val="0"/>
        <w:adjustRightInd w:val="0"/>
        <w:snapToGrid/>
        <w:spacing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2、如有附图，仅作参考。</w:t>
      </w:r>
    </w:p>
    <w:p>
      <w:pPr>
        <w:keepNext w:val="0"/>
        <w:keepLines w:val="0"/>
        <w:pageBreakBefore w:val="0"/>
        <w:shd w:val="clear" w:color="auto" w:fill="auto"/>
        <w:kinsoku/>
        <w:wordWrap/>
        <w:overflowPunct/>
        <w:topLinePunct w:val="0"/>
        <w:autoSpaceDE/>
        <w:autoSpaceDN/>
        <w:bidi w:val="0"/>
        <w:adjustRightInd w:val="0"/>
        <w:snapToGrid/>
        <w:spacing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3、打▲内容为实质性要求，不允许有负偏离，否则将以涉及无效投标条款作无效投标。</w:t>
      </w:r>
    </w:p>
    <w:p>
      <w:pPr>
        <w:keepNext w:val="0"/>
        <w:keepLines w:val="0"/>
        <w:pageBreakBefore w:val="0"/>
        <w:shd w:val="clear" w:color="auto" w:fill="auto"/>
        <w:kinsoku/>
        <w:wordWrap/>
        <w:overflowPunct/>
        <w:topLinePunct w:val="0"/>
        <w:autoSpaceDE/>
        <w:autoSpaceDN/>
        <w:bidi w:val="0"/>
        <w:adjustRightInd w:val="0"/>
        <w:snapToGrid/>
        <w:spacing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4、中标人所提供的货物、服务须与投标承诺一致，不得以次充好、偷工减料，若在项目验收中发现有上述情况，将向有关部门举报，根据相关规定进行处理。</w:t>
      </w:r>
    </w:p>
    <w:p>
      <w:pPr>
        <w:snapToGrid w:val="0"/>
        <w:spacing w:line="360" w:lineRule="auto"/>
        <w:jc w:val="center"/>
        <w:rPr>
          <w:rFonts w:hint="eastAsia" w:ascii="宋体" w:hAnsi="宋体" w:eastAsia="宋体" w:cs="宋体"/>
          <w:b/>
          <w:color w:val="auto"/>
          <w:sz w:val="36"/>
          <w:szCs w:val="36"/>
          <w:highlight w:val="none"/>
        </w:rPr>
      </w:pPr>
    </w:p>
    <w:p>
      <w:pPr>
        <w:snapToGrid w:val="0"/>
        <w:spacing w:line="360" w:lineRule="auto"/>
        <w:jc w:val="center"/>
        <w:rPr>
          <w:rFonts w:hint="eastAsia" w:ascii="宋体" w:hAnsi="宋体" w:eastAsia="宋体" w:cs="宋体"/>
          <w:b/>
          <w:color w:val="auto"/>
          <w:sz w:val="36"/>
          <w:szCs w:val="36"/>
          <w:highlight w:val="none"/>
        </w:rPr>
      </w:pPr>
    </w:p>
    <w:p>
      <w:pPr>
        <w:snapToGrid w:val="0"/>
        <w:spacing w:line="360" w:lineRule="auto"/>
        <w:jc w:val="center"/>
        <w:rPr>
          <w:rFonts w:hint="eastAsia" w:ascii="宋体" w:hAnsi="宋体" w:eastAsia="宋体" w:cs="宋体"/>
          <w:b/>
          <w:color w:val="auto"/>
          <w:sz w:val="36"/>
          <w:szCs w:val="36"/>
          <w:highlight w:val="none"/>
        </w:rPr>
      </w:pPr>
    </w:p>
    <w:p>
      <w:pPr>
        <w:snapToGrid w:val="0"/>
        <w:spacing w:line="360" w:lineRule="auto"/>
        <w:jc w:val="center"/>
        <w:rPr>
          <w:rFonts w:hint="eastAsia" w:ascii="宋体" w:hAnsi="宋体" w:eastAsia="宋体" w:cs="宋体"/>
          <w:b/>
          <w:color w:val="auto"/>
          <w:sz w:val="36"/>
          <w:szCs w:val="36"/>
          <w:highlight w:val="none"/>
        </w:rPr>
      </w:pPr>
    </w:p>
    <w:p>
      <w:pPr>
        <w:snapToGrid w:val="0"/>
        <w:spacing w:line="360" w:lineRule="auto"/>
        <w:jc w:val="center"/>
        <w:rPr>
          <w:rFonts w:hint="eastAsia" w:ascii="宋体" w:hAnsi="宋体" w:eastAsia="宋体" w:cs="宋体"/>
          <w:b/>
          <w:color w:val="auto"/>
          <w:sz w:val="36"/>
          <w:szCs w:val="36"/>
          <w:highlight w:val="none"/>
        </w:rPr>
      </w:pPr>
    </w:p>
    <w:p>
      <w:pPr>
        <w:snapToGrid w:val="0"/>
        <w:spacing w:line="360" w:lineRule="auto"/>
        <w:jc w:val="center"/>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rPr>
          <w:rFonts w:hint="eastAsia"/>
        </w:rPr>
      </w:pPr>
    </w:p>
    <w:p>
      <w:pPr>
        <w:snapToGrid w:val="0"/>
        <w:spacing w:line="360" w:lineRule="auto"/>
        <w:jc w:val="center"/>
        <w:rPr>
          <w:rFonts w:hint="eastAsia" w:ascii="宋体" w:hAnsi="宋体" w:eastAsia="宋体" w:cs="宋体"/>
          <w:b/>
          <w:color w:val="auto"/>
          <w:sz w:val="36"/>
          <w:szCs w:val="36"/>
          <w:highlight w:val="none"/>
        </w:rPr>
      </w:pPr>
    </w:p>
    <w:p>
      <w:pPr>
        <w:snapToGrid w:val="0"/>
        <w:spacing w:line="360" w:lineRule="auto"/>
        <w:jc w:val="center"/>
        <w:rPr>
          <w:rFonts w:hint="eastAsia" w:ascii="宋体" w:hAnsi="宋体" w:eastAsia="宋体" w:cs="宋体"/>
          <w:b/>
          <w:color w:val="auto"/>
          <w:sz w:val="36"/>
          <w:szCs w:val="36"/>
          <w:highlight w:val="none"/>
        </w:rPr>
      </w:pPr>
    </w:p>
    <w:p>
      <w:pPr>
        <w:snapToGrid w:val="0"/>
        <w:spacing w:line="360" w:lineRule="auto"/>
        <w:jc w:val="center"/>
        <w:rPr>
          <w:rFonts w:hint="eastAsia" w:ascii="宋体" w:hAnsi="宋体" w:eastAsia="宋体" w:cs="宋体"/>
          <w:b/>
          <w:color w:val="auto"/>
          <w:sz w:val="36"/>
          <w:szCs w:val="36"/>
          <w:highlight w:val="none"/>
        </w:rPr>
      </w:pPr>
    </w:p>
    <w:p>
      <w:pPr>
        <w:snapToGrid w:val="0"/>
        <w:spacing w:line="360" w:lineRule="auto"/>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第四部分   </w:t>
      </w:r>
      <w:bookmarkStart w:id="17" w:name="_Toc184313280"/>
      <w:bookmarkEnd w:id="17"/>
      <w:bookmarkStart w:id="18" w:name="_Toc184313255"/>
      <w:bookmarkEnd w:id="18"/>
      <w:bookmarkStart w:id="19" w:name="_Toc184308036"/>
      <w:bookmarkEnd w:id="19"/>
      <w:bookmarkStart w:id="20" w:name="_Toc184313290"/>
      <w:bookmarkEnd w:id="20"/>
      <w:bookmarkStart w:id="21" w:name="_Toc184312109"/>
      <w:bookmarkEnd w:id="21"/>
      <w:bookmarkStart w:id="22" w:name="_Toc184314466"/>
      <w:bookmarkEnd w:id="22"/>
      <w:bookmarkStart w:id="23" w:name="_Toc184310342"/>
      <w:bookmarkEnd w:id="23"/>
      <w:bookmarkStart w:id="24" w:name="_Toc184308047"/>
      <w:bookmarkEnd w:id="24"/>
      <w:bookmarkStart w:id="25" w:name="_Toc184310331"/>
      <w:bookmarkEnd w:id="25"/>
      <w:bookmarkStart w:id="26" w:name="_Toc184312136"/>
      <w:bookmarkEnd w:id="26"/>
      <w:bookmarkStart w:id="27" w:name="_Toc184308086"/>
      <w:bookmarkEnd w:id="27"/>
      <w:bookmarkStart w:id="28" w:name="_Toc184312102"/>
      <w:bookmarkEnd w:id="28"/>
      <w:bookmarkStart w:id="29" w:name="_Toc184310278"/>
      <w:bookmarkEnd w:id="29"/>
      <w:bookmarkStart w:id="30" w:name="_Toc184312083"/>
      <w:bookmarkEnd w:id="30"/>
      <w:bookmarkStart w:id="31" w:name="_Toc184312096"/>
      <w:bookmarkEnd w:id="31"/>
      <w:bookmarkStart w:id="32" w:name="_Toc184314424"/>
      <w:bookmarkEnd w:id="32"/>
      <w:bookmarkStart w:id="33" w:name="_Toc184314437"/>
      <w:bookmarkEnd w:id="33"/>
      <w:bookmarkStart w:id="34" w:name="_Toc184308097"/>
      <w:bookmarkEnd w:id="34"/>
      <w:bookmarkStart w:id="35" w:name="_Toc184314422"/>
      <w:bookmarkEnd w:id="35"/>
      <w:bookmarkStart w:id="36" w:name="_Toc184312118"/>
      <w:bookmarkEnd w:id="36"/>
      <w:bookmarkStart w:id="37" w:name="_Toc184310328"/>
      <w:bookmarkEnd w:id="37"/>
      <w:bookmarkStart w:id="38" w:name="_Toc184314418"/>
      <w:bookmarkEnd w:id="38"/>
      <w:bookmarkStart w:id="39" w:name="_Toc184314433"/>
      <w:bookmarkEnd w:id="39"/>
      <w:bookmarkStart w:id="40" w:name="_Toc184313300"/>
      <w:bookmarkEnd w:id="40"/>
      <w:bookmarkStart w:id="41" w:name="_Toc184313292"/>
      <w:bookmarkEnd w:id="41"/>
      <w:bookmarkStart w:id="42" w:name="_Toc184314430"/>
      <w:bookmarkEnd w:id="42"/>
      <w:bookmarkStart w:id="43" w:name="_Toc184310323"/>
      <w:bookmarkEnd w:id="43"/>
      <w:bookmarkStart w:id="44" w:name="_Toc184308066"/>
      <w:bookmarkEnd w:id="44"/>
      <w:bookmarkStart w:id="45" w:name="_Toc184308048"/>
      <w:bookmarkEnd w:id="45"/>
      <w:bookmarkStart w:id="46" w:name="_Toc184313298"/>
      <w:bookmarkEnd w:id="46"/>
      <w:bookmarkStart w:id="47" w:name="_Toc184312138"/>
      <w:bookmarkEnd w:id="47"/>
      <w:bookmarkStart w:id="48" w:name="_Toc184313284"/>
      <w:bookmarkEnd w:id="48"/>
      <w:bookmarkStart w:id="49" w:name="_Toc184313257"/>
      <w:bookmarkEnd w:id="49"/>
      <w:bookmarkStart w:id="50" w:name="_Toc184314429"/>
      <w:bookmarkEnd w:id="50"/>
      <w:bookmarkStart w:id="51" w:name="_Toc184310292"/>
      <w:bookmarkEnd w:id="51"/>
      <w:bookmarkStart w:id="52" w:name="_Toc184313289"/>
      <w:bookmarkEnd w:id="52"/>
      <w:bookmarkStart w:id="53" w:name="_Toc184312107"/>
      <w:bookmarkEnd w:id="53"/>
      <w:bookmarkStart w:id="54" w:name="_Toc184312135"/>
      <w:bookmarkEnd w:id="54"/>
      <w:bookmarkStart w:id="55" w:name="_Toc184308055"/>
      <w:bookmarkEnd w:id="55"/>
      <w:bookmarkStart w:id="56" w:name="_Toc184313306"/>
      <w:bookmarkEnd w:id="56"/>
      <w:bookmarkStart w:id="57" w:name="_Toc184310302"/>
      <w:bookmarkEnd w:id="57"/>
      <w:bookmarkStart w:id="58" w:name="_Toc184308088"/>
      <w:bookmarkEnd w:id="58"/>
      <w:bookmarkStart w:id="59" w:name="_Toc184313303"/>
      <w:bookmarkEnd w:id="59"/>
      <w:bookmarkStart w:id="60" w:name="_Toc184314476"/>
      <w:bookmarkEnd w:id="60"/>
      <w:bookmarkStart w:id="61" w:name="_Toc184308077"/>
      <w:bookmarkEnd w:id="61"/>
      <w:bookmarkStart w:id="62" w:name="_Toc184310282"/>
      <w:bookmarkEnd w:id="62"/>
      <w:bookmarkStart w:id="63" w:name="_Toc184310316"/>
      <w:bookmarkEnd w:id="63"/>
      <w:bookmarkStart w:id="64" w:name="_Toc184308073"/>
      <w:bookmarkEnd w:id="64"/>
      <w:bookmarkStart w:id="65" w:name="_Toc184314420"/>
      <w:bookmarkEnd w:id="65"/>
      <w:bookmarkStart w:id="66" w:name="_Toc184308091"/>
      <w:bookmarkEnd w:id="66"/>
      <w:bookmarkStart w:id="67" w:name="_Toc184314473"/>
      <w:bookmarkEnd w:id="67"/>
      <w:bookmarkStart w:id="68" w:name="_Toc184312092"/>
      <w:bookmarkEnd w:id="68"/>
      <w:bookmarkStart w:id="69" w:name="_Toc184312089"/>
      <w:bookmarkEnd w:id="69"/>
      <w:bookmarkStart w:id="70" w:name="_Toc184310317"/>
      <w:bookmarkEnd w:id="70"/>
      <w:bookmarkStart w:id="71" w:name="_Toc184308060"/>
      <w:bookmarkEnd w:id="71"/>
      <w:bookmarkStart w:id="72" w:name="_Toc184310274"/>
      <w:bookmarkEnd w:id="72"/>
      <w:bookmarkStart w:id="73" w:name="_Toc184312112"/>
      <w:bookmarkEnd w:id="73"/>
      <w:bookmarkStart w:id="74" w:name="_Toc184312116"/>
      <w:bookmarkEnd w:id="74"/>
      <w:bookmarkStart w:id="75" w:name="_Toc184313259"/>
      <w:bookmarkEnd w:id="75"/>
      <w:bookmarkStart w:id="76" w:name="_Toc184312084"/>
      <w:bookmarkEnd w:id="76"/>
      <w:bookmarkStart w:id="77" w:name="_Toc184312115"/>
      <w:bookmarkEnd w:id="77"/>
      <w:bookmarkStart w:id="78" w:name="_Toc184314467"/>
      <w:bookmarkEnd w:id="78"/>
      <w:bookmarkStart w:id="79" w:name="_Toc184313287"/>
      <w:bookmarkEnd w:id="79"/>
      <w:bookmarkStart w:id="80" w:name="_Toc184308044"/>
      <w:bookmarkEnd w:id="80"/>
      <w:bookmarkStart w:id="81" w:name="_Toc184314452"/>
      <w:bookmarkEnd w:id="81"/>
      <w:bookmarkStart w:id="82" w:name="_Toc184308051"/>
      <w:bookmarkEnd w:id="82"/>
      <w:bookmarkStart w:id="83" w:name="_Toc184313309"/>
      <w:bookmarkEnd w:id="83"/>
      <w:bookmarkStart w:id="84" w:name="_Toc184312095"/>
      <w:bookmarkEnd w:id="84"/>
      <w:bookmarkStart w:id="85" w:name="_Toc184313245"/>
      <w:bookmarkEnd w:id="85"/>
      <w:bookmarkStart w:id="86" w:name="_Toc184314450"/>
      <w:bookmarkEnd w:id="86"/>
      <w:bookmarkStart w:id="87" w:name="_Toc184310324"/>
      <w:bookmarkEnd w:id="87"/>
      <w:bookmarkStart w:id="88" w:name="_Toc184310325"/>
      <w:bookmarkEnd w:id="88"/>
      <w:bookmarkStart w:id="89" w:name="_Toc184314423"/>
      <w:bookmarkEnd w:id="89"/>
      <w:bookmarkStart w:id="90" w:name="_Toc184314477"/>
      <w:bookmarkEnd w:id="90"/>
      <w:bookmarkStart w:id="91" w:name="_Toc184310335"/>
      <w:bookmarkEnd w:id="91"/>
      <w:bookmarkStart w:id="92" w:name="_Toc184312088"/>
      <w:bookmarkEnd w:id="92"/>
      <w:bookmarkStart w:id="93" w:name="_Toc184313254"/>
      <w:bookmarkEnd w:id="93"/>
      <w:bookmarkStart w:id="94" w:name="_Toc184313301"/>
      <w:bookmarkEnd w:id="94"/>
      <w:bookmarkStart w:id="95" w:name="_Toc184313302"/>
      <w:bookmarkEnd w:id="95"/>
      <w:bookmarkStart w:id="96" w:name="_Toc184314419"/>
      <w:bookmarkEnd w:id="96"/>
      <w:bookmarkStart w:id="97" w:name="_Toc184310304"/>
      <w:bookmarkEnd w:id="97"/>
      <w:bookmarkStart w:id="98" w:name="_Toc184314431"/>
      <w:bookmarkEnd w:id="98"/>
      <w:bookmarkStart w:id="99" w:name="_Toc184314426"/>
      <w:bookmarkEnd w:id="99"/>
      <w:bookmarkStart w:id="100" w:name="_Toc184310295"/>
      <w:bookmarkEnd w:id="100"/>
      <w:bookmarkStart w:id="101" w:name="_Toc184310311"/>
      <w:bookmarkEnd w:id="101"/>
      <w:bookmarkStart w:id="102" w:name="_Toc184314436"/>
      <w:bookmarkEnd w:id="102"/>
      <w:bookmarkStart w:id="103" w:name="_Toc184314460"/>
      <w:bookmarkEnd w:id="103"/>
      <w:bookmarkStart w:id="104" w:name="_Toc184310308"/>
      <w:bookmarkEnd w:id="104"/>
      <w:bookmarkStart w:id="105" w:name="_Toc184314416"/>
      <w:bookmarkEnd w:id="105"/>
      <w:bookmarkStart w:id="106" w:name="_Toc184308075"/>
      <w:bookmarkEnd w:id="106"/>
      <w:bookmarkStart w:id="107" w:name="_Toc184310285"/>
      <w:bookmarkEnd w:id="107"/>
      <w:bookmarkStart w:id="108" w:name="_Toc184308085"/>
      <w:bookmarkEnd w:id="108"/>
      <w:bookmarkStart w:id="109" w:name="_Toc184313295"/>
      <w:bookmarkEnd w:id="109"/>
      <w:bookmarkStart w:id="110" w:name="_Toc184314481"/>
      <w:bookmarkEnd w:id="110"/>
      <w:bookmarkStart w:id="111" w:name="_Toc184308064"/>
      <w:bookmarkEnd w:id="111"/>
      <w:bookmarkStart w:id="112" w:name="_Toc184314457"/>
      <w:bookmarkEnd w:id="112"/>
      <w:bookmarkStart w:id="113" w:name="_Toc184314421"/>
      <w:bookmarkEnd w:id="113"/>
      <w:bookmarkStart w:id="114" w:name="_Toc184308087"/>
      <w:bookmarkEnd w:id="114"/>
      <w:bookmarkStart w:id="115" w:name="_Toc184310290"/>
      <w:bookmarkEnd w:id="115"/>
      <w:bookmarkStart w:id="116" w:name="_Toc184308103"/>
      <w:bookmarkEnd w:id="116"/>
      <w:bookmarkStart w:id="117" w:name="_Toc184314449"/>
      <w:bookmarkEnd w:id="117"/>
      <w:bookmarkStart w:id="118" w:name="_Toc184313244"/>
      <w:bookmarkEnd w:id="118"/>
      <w:bookmarkStart w:id="119" w:name="_Toc184310289"/>
      <w:bookmarkEnd w:id="119"/>
      <w:bookmarkStart w:id="120" w:name="_Toc184314468"/>
      <w:bookmarkEnd w:id="120"/>
      <w:bookmarkStart w:id="121" w:name="_Toc184308059"/>
      <w:bookmarkEnd w:id="121"/>
      <w:bookmarkStart w:id="122" w:name="_Toc184314435"/>
      <w:bookmarkEnd w:id="122"/>
      <w:bookmarkStart w:id="123" w:name="_Toc184312123"/>
      <w:bookmarkEnd w:id="123"/>
      <w:bookmarkStart w:id="124" w:name="_Toc184314412"/>
      <w:bookmarkEnd w:id="124"/>
      <w:bookmarkStart w:id="125" w:name="_Toc184313238"/>
      <w:bookmarkEnd w:id="125"/>
      <w:bookmarkStart w:id="126" w:name="_Toc184313296"/>
      <w:bookmarkEnd w:id="126"/>
      <w:bookmarkStart w:id="127" w:name="_Toc184308082"/>
      <w:bookmarkEnd w:id="127"/>
      <w:bookmarkStart w:id="128" w:name="_Toc184310310"/>
      <w:bookmarkEnd w:id="128"/>
      <w:bookmarkStart w:id="129" w:name="_Toc184314475"/>
      <w:bookmarkEnd w:id="129"/>
      <w:bookmarkStart w:id="130" w:name="_Toc184308072"/>
      <w:bookmarkEnd w:id="130"/>
      <w:bookmarkStart w:id="131" w:name="_Toc184313251"/>
      <w:bookmarkEnd w:id="131"/>
      <w:bookmarkStart w:id="132" w:name="_Toc184313279"/>
      <w:bookmarkEnd w:id="132"/>
      <w:bookmarkStart w:id="133" w:name="_Toc184314444"/>
      <w:bookmarkEnd w:id="133"/>
      <w:bookmarkStart w:id="134" w:name="_Toc184312101"/>
      <w:bookmarkEnd w:id="134"/>
      <w:bookmarkStart w:id="135" w:name="_Toc184308061"/>
      <w:bookmarkEnd w:id="135"/>
      <w:bookmarkStart w:id="136" w:name="_Toc184310333"/>
      <w:bookmarkEnd w:id="136"/>
      <w:bookmarkStart w:id="137" w:name="_Toc184313282"/>
      <w:bookmarkEnd w:id="137"/>
      <w:bookmarkStart w:id="138" w:name="_Toc184313250"/>
      <w:bookmarkEnd w:id="138"/>
      <w:bookmarkStart w:id="139" w:name="_Toc184308083"/>
      <w:bookmarkEnd w:id="139"/>
      <w:bookmarkStart w:id="140" w:name="_Toc184312132"/>
      <w:bookmarkEnd w:id="140"/>
      <w:bookmarkStart w:id="141" w:name="_Toc184313256"/>
      <w:bookmarkEnd w:id="141"/>
      <w:bookmarkStart w:id="142" w:name="_Toc184310297"/>
      <w:bookmarkEnd w:id="142"/>
      <w:bookmarkStart w:id="143" w:name="_Toc184310319"/>
      <w:bookmarkEnd w:id="143"/>
      <w:bookmarkStart w:id="144" w:name="_Toc184308069"/>
      <w:bookmarkEnd w:id="144"/>
      <w:bookmarkStart w:id="145" w:name="_Toc184312126"/>
      <w:bookmarkEnd w:id="145"/>
      <w:bookmarkStart w:id="146" w:name="_Toc184310288"/>
      <w:bookmarkEnd w:id="146"/>
      <w:bookmarkStart w:id="147" w:name="_Toc184312133"/>
      <w:bookmarkEnd w:id="147"/>
      <w:bookmarkStart w:id="148" w:name="_Toc184312090"/>
      <w:bookmarkEnd w:id="148"/>
      <w:bookmarkStart w:id="149" w:name="_Toc184313286"/>
      <w:bookmarkEnd w:id="149"/>
      <w:bookmarkStart w:id="150" w:name="_Toc184310299"/>
      <w:bookmarkEnd w:id="150"/>
      <w:bookmarkStart w:id="151" w:name="_Toc184314456"/>
      <w:bookmarkEnd w:id="151"/>
      <w:bookmarkStart w:id="152" w:name="_Toc184310313"/>
      <w:bookmarkEnd w:id="152"/>
      <w:bookmarkStart w:id="153" w:name="_Toc184312082"/>
      <w:bookmarkEnd w:id="153"/>
      <w:bookmarkStart w:id="154" w:name="_Toc184310296"/>
      <w:bookmarkEnd w:id="154"/>
      <w:bookmarkStart w:id="155" w:name="_Toc184314443"/>
      <w:bookmarkEnd w:id="155"/>
      <w:bookmarkStart w:id="156" w:name="_Toc184312131"/>
      <w:bookmarkEnd w:id="156"/>
      <w:bookmarkStart w:id="157" w:name="_Toc184308090"/>
      <w:bookmarkEnd w:id="157"/>
      <w:bookmarkStart w:id="158" w:name="_Toc184310283"/>
      <w:bookmarkEnd w:id="158"/>
      <w:bookmarkStart w:id="159" w:name="_Toc184314470"/>
      <w:bookmarkEnd w:id="159"/>
      <w:bookmarkStart w:id="160" w:name="_Toc184314458"/>
      <w:bookmarkEnd w:id="160"/>
      <w:bookmarkStart w:id="161" w:name="_Toc184308096"/>
      <w:bookmarkEnd w:id="161"/>
      <w:bookmarkStart w:id="162" w:name="_Toc184312085"/>
      <w:bookmarkEnd w:id="162"/>
      <w:bookmarkStart w:id="163" w:name="_Toc184310284"/>
      <w:bookmarkEnd w:id="163"/>
      <w:bookmarkStart w:id="164" w:name="_Toc184314454"/>
      <w:bookmarkEnd w:id="164"/>
      <w:bookmarkStart w:id="165" w:name="_Toc184314427"/>
      <w:bookmarkEnd w:id="165"/>
      <w:bookmarkStart w:id="166" w:name="_Toc184314425"/>
      <w:bookmarkEnd w:id="166"/>
      <w:bookmarkStart w:id="167" w:name="_Toc184313291"/>
      <w:bookmarkEnd w:id="167"/>
      <w:bookmarkStart w:id="168" w:name="_Toc184313252"/>
      <w:bookmarkEnd w:id="168"/>
      <w:bookmarkStart w:id="169" w:name="_Toc184312078"/>
      <w:bookmarkEnd w:id="169"/>
      <w:bookmarkStart w:id="170" w:name="_Toc184314480"/>
      <w:bookmarkEnd w:id="170"/>
      <w:bookmarkStart w:id="171" w:name="_Toc184310334"/>
      <w:bookmarkEnd w:id="171"/>
      <w:bookmarkStart w:id="172" w:name="_Toc184308092"/>
      <w:bookmarkEnd w:id="172"/>
      <w:bookmarkStart w:id="173" w:name="_Toc184308100"/>
      <w:bookmarkEnd w:id="173"/>
      <w:bookmarkStart w:id="174" w:name="_Toc184313307"/>
      <w:bookmarkEnd w:id="174"/>
      <w:bookmarkStart w:id="175" w:name="_Toc184310332"/>
      <w:bookmarkEnd w:id="175"/>
      <w:bookmarkStart w:id="176" w:name="_Toc184314410"/>
      <w:bookmarkEnd w:id="176"/>
      <w:bookmarkStart w:id="177" w:name="_Toc184313265"/>
      <w:bookmarkEnd w:id="177"/>
      <w:bookmarkStart w:id="178" w:name="_Toc184313276"/>
      <w:bookmarkEnd w:id="178"/>
      <w:bookmarkStart w:id="179" w:name="_Toc184310303"/>
      <w:bookmarkEnd w:id="179"/>
      <w:bookmarkStart w:id="180" w:name="_Toc184312093"/>
      <w:bookmarkEnd w:id="180"/>
      <w:bookmarkStart w:id="181" w:name="_Toc184308054"/>
      <w:bookmarkEnd w:id="181"/>
      <w:bookmarkStart w:id="182" w:name="_Toc184313275"/>
      <w:bookmarkEnd w:id="182"/>
      <w:bookmarkStart w:id="183" w:name="_Toc184312134"/>
      <w:bookmarkEnd w:id="183"/>
      <w:bookmarkStart w:id="184" w:name="_Toc184310343"/>
      <w:bookmarkEnd w:id="184"/>
      <w:bookmarkStart w:id="185" w:name="_Toc184314415"/>
      <w:bookmarkEnd w:id="185"/>
      <w:bookmarkStart w:id="186" w:name="_Toc184313269"/>
      <w:bookmarkEnd w:id="186"/>
      <w:bookmarkStart w:id="187" w:name="_Toc184313285"/>
      <w:bookmarkEnd w:id="187"/>
      <w:bookmarkStart w:id="188" w:name="_Toc184312119"/>
      <w:bookmarkEnd w:id="188"/>
      <w:bookmarkStart w:id="189" w:name="_Toc184310276"/>
      <w:bookmarkEnd w:id="189"/>
      <w:bookmarkStart w:id="190" w:name="_Toc184312113"/>
      <w:bookmarkEnd w:id="190"/>
      <w:bookmarkStart w:id="191" w:name="_Toc184308089"/>
      <w:bookmarkEnd w:id="191"/>
      <w:bookmarkStart w:id="192" w:name="_Toc184312075"/>
      <w:bookmarkEnd w:id="192"/>
      <w:bookmarkStart w:id="193" w:name="_Toc184314441"/>
      <w:bookmarkEnd w:id="193"/>
      <w:bookmarkStart w:id="194" w:name="_Toc184310279"/>
      <w:bookmarkEnd w:id="194"/>
      <w:bookmarkStart w:id="195" w:name="_Toc184310330"/>
      <w:bookmarkEnd w:id="195"/>
      <w:bookmarkStart w:id="196" w:name="_Toc184314474"/>
      <w:bookmarkEnd w:id="196"/>
      <w:bookmarkStart w:id="197" w:name="_Toc184308050"/>
      <w:bookmarkEnd w:id="197"/>
      <w:bookmarkStart w:id="198" w:name="_Toc184312139"/>
      <w:bookmarkEnd w:id="198"/>
      <w:bookmarkStart w:id="199" w:name="_Toc184313248"/>
      <w:bookmarkEnd w:id="199"/>
      <w:bookmarkStart w:id="200" w:name="_Toc184313258"/>
      <w:bookmarkEnd w:id="200"/>
      <w:bookmarkStart w:id="201" w:name="_Toc184308045"/>
      <w:bookmarkEnd w:id="201"/>
      <w:bookmarkStart w:id="202" w:name="_Toc184312130"/>
      <w:bookmarkEnd w:id="202"/>
      <w:bookmarkStart w:id="203" w:name="_Toc184310305"/>
      <w:bookmarkEnd w:id="203"/>
      <w:bookmarkStart w:id="204" w:name="_Toc184314417"/>
      <w:bookmarkEnd w:id="204"/>
      <w:bookmarkStart w:id="205" w:name="_Toc184313294"/>
      <w:bookmarkEnd w:id="205"/>
      <w:bookmarkStart w:id="206" w:name="_Toc184312104"/>
      <w:bookmarkEnd w:id="206"/>
      <w:bookmarkStart w:id="207" w:name="_Toc184313268"/>
      <w:bookmarkEnd w:id="207"/>
      <w:bookmarkStart w:id="208" w:name="_Toc184314455"/>
      <w:bookmarkEnd w:id="208"/>
      <w:bookmarkStart w:id="209" w:name="_Toc184314461"/>
      <w:bookmarkEnd w:id="209"/>
      <w:bookmarkStart w:id="210" w:name="_Toc184308081"/>
      <w:bookmarkEnd w:id="210"/>
      <w:bookmarkStart w:id="211" w:name="_Toc184312071"/>
      <w:bookmarkEnd w:id="211"/>
      <w:bookmarkStart w:id="212" w:name="_Toc184314440"/>
      <w:bookmarkEnd w:id="212"/>
      <w:bookmarkStart w:id="213" w:name="_Toc184312091"/>
      <w:bookmarkEnd w:id="213"/>
      <w:bookmarkStart w:id="214" w:name="_Toc184313266"/>
      <w:bookmarkEnd w:id="214"/>
      <w:bookmarkStart w:id="215" w:name="_Toc184314432"/>
      <w:bookmarkEnd w:id="215"/>
      <w:bookmarkStart w:id="216" w:name="_Toc184308040"/>
      <w:bookmarkEnd w:id="216"/>
      <w:bookmarkStart w:id="217" w:name="_Toc184312094"/>
      <w:bookmarkEnd w:id="217"/>
      <w:bookmarkStart w:id="218" w:name="_Toc184314453"/>
      <w:bookmarkEnd w:id="218"/>
      <w:bookmarkStart w:id="219" w:name="_Toc184308065"/>
      <w:bookmarkEnd w:id="219"/>
      <w:bookmarkStart w:id="220" w:name="_Toc184314434"/>
      <w:bookmarkEnd w:id="220"/>
      <w:bookmarkStart w:id="221" w:name="_Toc184308067"/>
      <w:bookmarkEnd w:id="221"/>
      <w:bookmarkStart w:id="222" w:name="_Toc184312122"/>
      <w:bookmarkEnd w:id="222"/>
      <w:bookmarkStart w:id="223" w:name="_Toc184312080"/>
      <w:bookmarkEnd w:id="223"/>
      <w:bookmarkStart w:id="224" w:name="_Toc184310294"/>
      <w:bookmarkEnd w:id="224"/>
      <w:bookmarkStart w:id="225" w:name="_Toc184308098"/>
      <w:bookmarkEnd w:id="225"/>
      <w:bookmarkStart w:id="226" w:name="_Toc184313261"/>
      <w:bookmarkEnd w:id="226"/>
      <w:bookmarkStart w:id="227" w:name="_Toc184313243"/>
      <w:bookmarkEnd w:id="227"/>
      <w:bookmarkStart w:id="228" w:name="_Toc184308053"/>
      <w:bookmarkEnd w:id="228"/>
      <w:bookmarkStart w:id="229" w:name="_Toc184308056"/>
      <w:bookmarkEnd w:id="229"/>
      <w:bookmarkStart w:id="230" w:name="_Toc184310341"/>
      <w:bookmarkEnd w:id="230"/>
      <w:bookmarkStart w:id="231" w:name="_Toc184314446"/>
      <w:bookmarkEnd w:id="231"/>
      <w:bookmarkStart w:id="232" w:name="_Toc184312087"/>
      <w:bookmarkEnd w:id="232"/>
      <w:bookmarkStart w:id="233" w:name="_Toc184314442"/>
      <w:bookmarkEnd w:id="233"/>
      <w:bookmarkStart w:id="234" w:name="_Toc184312114"/>
      <w:bookmarkEnd w:id="234"/>
      <w:bookmarkStart w:id="235" w:name="_Toc184313272"/>
      <w:bookmarkEnd w:id="235"/>
      <w:bookmarkStart w:id="236" w:name="_Toc184308039"/>
      <w:bookmarkEnd w:id="236"/>
      <w:bookmarkStart w:id="237" w:name="_Toc184313305"/>
      <w:bookmarkEnd w:id="237"/>
      <w:bookmarkStart w:id="238" w:name="_Toc184313278"/>
      <w:bookmarkEnd w:id="238"/>
      <w:bookmarkStart w:id="239" w:name="_Toc184310293"/>
      <w:bookmarkEnd w:id="239"/>
      <w:bookmarkStart w:id="240" w:name="_Toc184314471"/>
      <w:bookmarkEnd w:id="240"/>
      <w:bookmarkStart w:id="241" w:name="_Toc184314448"/>
      <w:bookmarkEnd w:id="241"/>
      <w:bookmarkStart w:id="242" w:name="_Toc184312077"/>
      <w:bookmarkEnd w:id="242"/>
      <w:bookmarkStart w:id="243" w:name="_Toc184308079"/>
      <w:bookmarkEnd w:id="243"/>
      <w:bookmarkStart w:id="244" w:name="_Toc184314428"/>
      <w:bookmarkEnd w:id="244"/>
      <w:bookmarkStart w:id="245" w:name="_Toc184312099"/>
      <w:bookmarkEnd w:id="245"/>
      <w:bookmarkStart w:id="246" w:name="_Toc184310273"/>
      <w:bookmarkEnd w:id="246"/>
      <w:bookmarkStart w:id="247" w:name="_Toc184313262"/>
      <w:bookmarkEnd w:id="247"/>
      <w:bookmarkStart w:id="248" w:name="_Toc184308093"/>
      <w:bookmarkEnd w:id="248"/>
      <w:bookmarkStart w:id="249" w:name="_Toc184310338"/>
      <w:bookmarkEnd w:id="249"/>
      <w:bookmarkStart w:id="250" w:name="_Toc184308076"/>
      <w:bookmarkEnd w:id="250"/>
      <w:bookmarkStart w:id="251" w:name="_Toc184313283"/>
      <w:bookmarkEnd w:id="251"/>
      <w:bookmarkStart w:id="252" w:name="_Toc184308058"/>
      <w:bookmarkEnd w:id="252"/>
      <w:bookmarkStart w:id="253" w:name="_Toc184312068"/>
      <w:bookmarkEnd w:id="253"/>
      <w:bookmarkStart w:id="254" w:name="_Toc184313308"/>
      <w:bookmarkEnd w:id="254"/>
      <w:bookmarkStart w:id="255" w:name="_Toc184310300"/>
      <w:bookmarkEnd w:id="255"/>
      <w:bookmarkStart w:id="256" w:name="_Toc184308099"/>
      <w:bookmarkEnd w:id="256"/>
      <w:bookmarkStart w:id="257" w:name="_Toc184313253"/>
      <w:bookmarkEnd w:id="257"/>
      <w:bookmarkStart w:id="258" w:name="_Toc184310327"/>
      <w:bookmarkEnd w:id="258"/>
      <w:bookmarkStart w:id="259" w:name="_Toc184313274"/>
      <w:bookmarkEnd w:id="259"/>
      <w:bookmarkStart w:id="260" w:name="_Toc184312081"/>
      <w:bookmarkEnd w:id="260"/>
      <w:bookmarkStart w:id="261" w:name="_Toc184313277"/>
      <w:bookmarkEnd w:id="261"/>
      <w:bookmarkStart w:id="262" w:name="_Toc184308101"/>
      <w:bookmarkEnd w:id="262"/>
      <w:bookmarkStart w:id="263" w:name="_Toc184313288"/>
      <w:bookmarkEnd w:id="263"/>
      <w:bookmarkStart w:id="264" w:name="_Toc184313249"/>
      <w:bookmarkEnd w:id="264"/>
      <w:bookmarkStart w:id="265" w:name="_Toc184312072"/>
      <w:bookmarkEnd w:id="265"/>
      <w:bookmarkStart w:id="266" w:name="_Toc184314438"/>
      <w:bookmarkEnd w:id="266"/>
      <w:bookmarkStart w:id="267" w:name="_Toc184310314"/>
      <w:bookmarkEnd w:id="267"/>
      <w:bookmarkStart w:id="268" w:name="_Toc184308057"/>
      <w:bookmarkEnd w:id="268"/>
      <w:bookmarkStart w:id="269" w:name="_Toc184313273"/>
      <w:bookmarkEnd w:id="269"/>
      <w:bookmarkStart w:id="270" w:name="_Toc184314479"/>
      <w:bookmarkEnd w:id="270"/>
      <w:bookmarkStart w:id="271" w:name="_Toc184308104"/>
      <w:bookmarkEnd w:id="271"/>
      <w:bookmarkStart w:id="272" w:name="_Toc184312073"/>
      <w:bookmarkEnd w:id="272"/>
      <w:bookmarkStart w:id="273" w:name="_Toc184313263"/>
      <w:bookmarkEnd w:id="273"/>
      <w:bookmarkStart w:id="274" w:name="_Toc184312097"/>
      <w:bookmarkEnd w:id="274"/>
      <w:bookmarkStart w:id="275" w:name="_Toc184308106"/>
      <w:bookmarkEnd w:id="275"/>
      <w:bookmarkStart w:id="276" w:name="_Toc184314445"/>
      <w:bookmarkEnd w:id="276"/>
      <w:bookmarkStart w:id="277" w:name="_Toc184312103"/>
      <w:bookmarkEnd w:id="277"/>
      <w:bookmarkStart w:id="278" w:name="_Toc184310286"/>
      <w:bookmarkEnd w:id="278"/>
      <w:bookmarkStart w:id="279" w:name="_Toc184310277"/>
      <w:bookmarkEnd w:id="279"/>
      <w:bookmarkStart w:id="280" w:name="_Toc184313242"/>
      <w:bookmarkEnd w:id="280"/>
      <w:bookmarkStart w:id="281" w:name="_Toc184313247"/>
      <w:bookmarkEnd w:id="281"/>
      <w:bookmarkStart w:id="282" w:name="_Toc184310336"/>
      <w:bookmarkEnd w:id="282"/>
      <w:bookmarkStart w:id="283" w:name="_Toc184313241"/>
      <w:bookmarkEnd w:id="283"/>
      <w:bookmarkStart w:id="284" w:name="_Toc184308107"/>
      <w:bookmarkEnd w:id="284"/>
      <w:bookmarkStart w:id="285" w:name="_Toc184312128"/>
      <w:bookmarkEnd w:id="285"/>
      <w:bookmarkStart w:id="286" w:name="_Toc184314459"/>
      <w:bookmarkEnd w:id="286"/>
      <w:bookmarkStart w:id="287" w:name="_Toc184314465"/>
      <w:bookmarkEnd w:id="287"/>
      <w:bookmarkStart w:id="288" w:name="_Toc184314462"/>
      <w:bookmarkEnd w:id="288"/>
      <w:bookmarkStart w:id="289" w:name="_Toc184314478"/>
      <w:bookmarkEnd w:id="289"/>
      <w:bookmarkStart w:id="290" w:name="_Toc184310326"/>
      <w:bookmarkEnd w:id="290"/>
      <w:bookmarkStart w:id="291" w:name="_Toc184310275"/>
      <w:bookmarkEnd w:id="291"/>
      <w:bookmarkStart w:id="292" w:name="_Toc184308094"/>
      <w:bookmarkEnd w:id="292"/>
      <w:bookmarkStart w:id="293" w:name="_Toc184312076"/>
      <w:bookmarkEnd w:id="293"/>
      <w:bookmarkStart w:id="294" w:name="_Toc184314439"/>
      <w:bookmarkEnd w:id="294"/>
      <w:bookmarkStart w:id="295" w:name="_Toc184308042"/>
      <w:bookmarkEnd w:id="295"/>
      <w:bookmarkStart w:id="296" w:name="_Toc184312108"/>
      <w:bookmarkEnd w:id="296"/>
      <w:bookmarkStart w:id="297" w:name="_Toc184312117"/>
      <w:bookmarkEnd w:id="297"/>
      <w:bookmarkStart w:id="298" w:name="_Toc184310329"/>
      <w:bookmarkEnd w:id="298"/>
      <w:bookmarkStart w:id="299" w:name="_Toc184310340"/>
      <w:bookmarkEnd w:id="299"/>
      <w:bookmarkStart w:id="300" w:name="_Toc184314413"/>
      <w:bookmarkEnd w:id="300"/>
      <w:bookmarkStart w:id="301" w:name="_Toc184310280"/>
      <w:bookmarkEnd w:id="301"/>
      <w:bookmarkStart w:id="302" w:name="_Toc184313270"/>
      <w:bookmarkEnd w:id="302"/>
      <w:bookmarkStart w:id="303" w:name="_Toc184308038"/>
      <w:bookmarkEnd w:id="303"/>
      <w:bookmarkStart w:id="304" w:name="_Toc184312111"/>
      <w:bookmarkEnd w:id="304"/>
      <w:bookmarkStart w:id="305" w:name="_Toc184313297"/>
      <w:bookmarkEnd w:id="305"/>
      <w:bookmarkStart w:id="306" w:name="_Toc184308049"/>
      <w:bookmarkEnd w:id="306"/>
      <w:bookmarkStart w:id="307" w:name="_Toc184310312"/>
      <w:bookmarkEnd w:id="307"/>
      <w:bookmarkStart w:id="308" w:name="_Toc184308078"/>
      <w:bookmarkEnd w:id="308"/>
      <w:bookmarkStart w:id="309" w:name="_Toc184308052"/>
      <w:bookmarkEnd w:id="309"/>
      <w:bookmarkStart w:id="310" w:name="_Toc184310309"/>
      <w:bookmarkEnd w:id="310"/>
      <w:bookmarkStart w:id="311" w:name="_Toc184312121"/>
      <w:bookmarkEnd w:id="311"/>
      <w:bookmarkStart w:id="312" w:name="_Toc184310306"/>
      <w:bookmarkEnd w:id="312"/>
      <w:bookmarkStart w:id="313" w:name="_Toc184308043"/>
      <w:bookmarkEnd w:id="313"/>
      <w:bookmarkStart w:id="314" w:name="_Toc184308080"/>
      <w:bookmarkEnd w:id="314"/>
      <w:bookmarkStart w:id="315" w:name="_Toc184308102"/>
      <w:bookmarkEnd w:id="315"/>
      <w:bookmarkStart w:id="316" w:name="_Toc184313310"/>
      <w:bookmarkEnd w:id="316"/>
      <w:bookmarkStart w:id="317" w:name="_Toc184308105"/>
      <w:bookmarkEnd w:id="317"/>
      <w:bookmarkStart w:id="318" w:name="_Toc184308041"/>
      <w:bookmarkEnd w:id="318"/>
      <w:bookmarkStart w:id="319" w:name="_Toc184312110"/>
      <w:bookmarkEnd w:id="319"/>
      <w:bookmarkStart w:id="320" w:name="_Toc184314451"/>
      <w:bookmarkEnd w:id="320"/>
      <w:bookmarkStart w:id="321" w:name="_Toc184313246"/>
      <w:bookmarkEnd w:id="321"/>
      <w:bookmarkStart w:id="322" w:name="_Toc184313267"/>
      <w:bookmarkEnd w:id="322"/>
      <w:bookmarkStart w:id="323" w:name="_Toc184314447"/>
      <w:bookmarkEnd w:id="323"/>
      <w:bookmarkStart w:id="324" w:name="_Toc184314472"/>
      <w:bookmarkEnd w:id="324"/>
      <w:bookmarkStart w:id="325" w:name="_Toc184308074"/>
      <w:bookmarkEnd w:id="325"/>
      <w:bookmarkStart w:id="326" w:name="_Toc184313240"/>
      <w:bookmarkEnd w:id="326"/>
      <w:bookmarkStart w:id="327" w:name="_Toc184313260"/>
      <w:bookmarkEnd w:id="327"/>
      <w:bookmarkStart w:id="328" w:name="_Toc184313271"/>
      <w:bookmarkEnd w:id="328"/>
      <w:bookmarkStart w:id="329" w:name="_Toc184312120"/>
      <w:bookmarkEnd w:id="329"/>
      <w:bookmarkStart w:id="330" w:name="_Toc184308071"/>
      <w:bookmarkEnd w:id="330"/>
      <w:bookmarkStart w:id="331" w:name="_Toc184312079"/>
      <w:bookmarkEnd w:id="331"/>
      <w:bookmarkStart w:id="332" w:name="_Toc184308037"/>
      <w:bookmarkEnd w:id="332"/>
      <w:bookmarkStart w:id="333" w:name="_Toc184308108"/>
      <w:bookmarkEnd w:id="333"/>
      <w:bookmarkStart w:id="334" w:name="_Toc184312100"/>
      <w:bookmarkEnd w:id="334"/>
      <w:bookmarkStart w:id="335" w:name="_Toc184308063"/>
      <w:bookmarkEnd w:id="335"/>
      <w:bookmarkStart w:id="336" w:name="_Toc184313264"/>
      <w:bookmarkEnd w:id="336"/>
      <w:bookmarkStart w:id="337" w:name="_Toc184310272"/>
      <w:bookmarkEnd w:id="337"/>
      <w:bookmarkStart w:id="338" w:name="_Toc184310321"/>
      <w:bookmarkEnd w:id="338"/>
      <w:bookmarkStart w:id="339" w:name="_Toc184314411"/>
      <w:bookmarkEnd w:id="339"/>
      <w:bookmarkStart w:id="340" w:name="_Toc184312137"/>
      <w:bookmarkEnd w:id="340"/>
      <w:bookmarkStart w:id="341" w:name="_Toc184308084"/>
      <w:bookmarkEnd w:id="341"/>
      <w:bookmarkStart w:id="342" w:name="_Toc184313293"/>
      <w:bookmarkEnd w:id="342"/>
      <w:bookmarkStart w:id="343" w:name="_Toc184312069"/>
      <w:bookmarkEnd w:id="343"/>
      <w:bookmarkStart w:id="344" w:name="_Toc184310320"/>
      <w:bookmarkEnd w:id="344"/>
      <w:bookmarkStart w:id="345" w:name="_Toc184310287"/>
      <w:bookmarkEnd w:id="345"/>
      <w:bookmarkStart w:id="346" w:name="_Toc184313281"/>
      <w:bookmarkEnd w:id="346"/>
      <w:bookmarkStart w:id="347" w:name="_Toc184308068"/>
      <w:bookmarkEnd w:id="347"/>
      <w:bookmarkStart w:id="348" w:name="_Toc184312067"/>
      <w:bookmarkEnd w:id="348"/>
      <w:bookmarkStart w:id="349" w:name="_Toc184314414"/>
      <w:bookmarkEnd w:id="349"/>
      <w:bookmarkStart w:id="350" w:name="_Toc184314464"/>
      <w:bookmarkEnd w:id="350"/>
      <w:bookmarkStart w:id="351" w:name="_Toc184310298"/>
      <w:bookmarkEnd w:id="351"/>
      <w:bookmarkStart w:id="352" w:name="_Toc184310307"/>
      <w:bookmarkEnd w:id="352"/>
      <w:bookmarkStart w:id="353" w:name="_Toc184312124"/>
      <w:bookmarkEnd w:id="353"/>
      <w:bookmarkStart w:id="354" w:name="_Toc184308062"/>
      <w:bookmarkEnd w:id="354"/>
      <w:bookmarkStart w:id="355" w:name="_Toc184310337"/>
      <w:bookmarkEnd w:id="355"/>
      <w:bookmarkStart w:id="356" w:name="_Toc184310281"/>
      <w:bookmarkEnd w:id="356"/>
      <w:bookmarkStart w:id="357" w:name="_Toc184310315"/>
      <w:bookmarkEnd w:id="357"/>
      <w:bookmarkStart w:id="358" w:name="_Toc184310291"/>
      <w:bookmarkEnd w:id="358"/>
      <w:bookmarkStart w:id="359" w:name="_Toc184312086"/>
      <w:bookmarkEnd w:id="359"/>
      <w:bookmarkStart w:id="360" w:name="_Toc184308046"/>
      <w:bookmarkEnd w:id="360"/>
      <w:bookmarkStart w:id="361" w:name="_Toc184312105"/>
      <w:bookmarkEnd w:id="361"/>
      <w:bookmarkStart w:id="362" w:name="_Toc184312074"/>
      <w:bookmarkEnd w:id="362"/>
      <w:bookmarkStart w:id="363" w:name="_Toc184312125"/>
      <w:bookmarkEnd w:id="363"/>
      <w:bookmarkStart w:id="364" w:name="_Toc184314469"/>
      <w:bookmarkEnd w:id="364"/>
      <w:bookmarkStart w:id="365" w:name="_Toc184312129"/>
      <w:bookmarkEnd w:id="365"/>
      <w:bookmarkStart w:id="366" w:name="_Toc184313239"/>
      <w:bookmarkEnd w:id="366"/>
      <w:bookmarkStart w:id="367" w:name="_Toc184308095"/>
      <w:bookmarkEnd w:id="367"/>
      <w:bookmarkStart w:id="368" w:name="_Toc184310339"/>
      <w:bookmarkEnd w:id="368"/>
      <w:bookmarkStart w:id="369" w:name="_Toc184314463"/>
      <w:bookmarkEnd w:id="369"/>
      <w:bookmarkStart w:id="370" w:name="_Toc184312070"/>
      <w:bookmarkEnd w:id="370"/>
      <w:bookmarkStart w:id="371" w:name="_Toc184310344"/>
      <w:bookmarkEnd w:id="371"/>
      <w:bookmarkStart w:id="372" w:name="_Toc184313304"/>
      <w:bookmarkEnd w:id="372"/>
      <w:bookmarkStart w:id="373" w:name="_Toc184310322"/>
      <w:bookmarkEnd w:id="373"/>
      <w:bookmarkStart w:id="374" w:name="_Toc184313299"/>
      <w:bookmarkEnd w:id="374"/>
      <w:bookmarkStart w:id="375" w:name="_Toc184312106"/>
      <w:bookmarkEnd w:id="375"/>
      <w:bookmarkStart w:id="376" w:name="_Toc184312098"/>
      <w:bookmarkEnd w:id="376"/>
      <w:bookmarkStart w:id="377" w:name="_Toc184314482"/>
      <w:bookmarkEnd w:id="377"/>
      <w:bookmarkStart w:id="378" w:name="_Toc184312127"/>
      <w:bookmarkEnd w:id="378"/>
      <w:bookmarkStart w:id="379" w:name="_Toc184310318"/>
      <w:bookmarkEnd w:id="379"/>
      <w:bookmarkStart w:id="380" w:name="_Toc184310301"/>
      <w:bookmarkEnd w:id="380"/>
      <w:bookmarkStart w:id="381" w:name="_Toc184308070"/>
      <w:bookmarkEnd w:id="381"/>
      <w:r>
        <w:rPr>
          <w:rFonts w:hint="eastAsia" w:ascii="宋体" w:hAnsi="宋体" w:eastAsia="宋体" w:cs="宋体"/>
          <w:b/>
          <w:color w:val="auto"/>
          <w:sz w:val="36"/>
          <w:szCs w:val="36"/>
          <w:highlight w:val="none"/>
          <w:lang w:eastAsia="zh-CN"/>
        </w:rPr>
        <w:t>交易办法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lang w:eastAsia="zh-CN"/>
        </w:rPr>
        <w:t>交易办法</w:t>
      </w:r>
      <w:r>
        <w:rPr>
          <w:rFonts w:hint="eastAsia" w:ascii="宋体" w:hAnsi="宋体" w:eastAsia="宋体" w:cs="宋体"/>
          <w:b/>
          <w:color w:val="auto"/>
          <w:sz w:val="32"/>
          <w:szCs w:val="20"/>
          <w:highlight w:val="none"/>
        </w:rPr>
        <w:t>前附表</w:t>
      </w:r>
    </w:p>
    <w:p>
      <w:pPr>
        <w:widowControl/>
        <w:numPr>
          <w:ilvl w:val="0"/>
          <w:numId w:val="4"/>
        </w:num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商务技术部分（</w:t>
      </w:r>
      <w:r>
        <w:rPr>
          <w:rFonts w:hint="eastAsia" w:ascii="宋体" w:hAnsi="宋体" w:cs="宋体"/>
          <w:b/>
          <w:bCs/>
          <w:color w:val="auto"/>
          <w:sz w:val="24"/>
          <w:highlight w:val="none"/>
          <w:lang w:val="en-US" w:eastAsia="zh-CN"/>
        </w:rPr>
        <w:t>7</w:t>
      </w:r>
      <w:r>
        <w:rPr>
          <w:rFonts w:hint="eastAsia" w:ascii="宋体" w:hAnsi="宋体" w:eastAsia="宋体" w:cs="宋体"/>
          <w:b/>
          <w:bCs/>
          <w:color w:val="auto"/>
          <w:sz w:val="24"/>
          <w:highlight w:val="none"/>
        </w:rPr>
        <w:t>0分）</w:t>
      </w:r>
    </w:p>
    <w:tbl>
      <w:tblPr>
        <w:tblStyle w:val="66"/>
        <w:tblW w:w="8839" w:type="dxa"/>
        <w:jc w:val="center"/>
        <w:tblLayout w:type="fixed"/>
        <w:tblCellMar>
          <w:top w:w="0" w:type="dxa"/>
          <w:left w:w="108" w:type="dxa"/>
          <w:bottom w:w="0" w:type="dxa"/>
          <w:right w:w="108" w:type="dxa"/>
        </w:tblCellMar>
      </w:tblPr>
      <w:tblGrid>
        <w:gridCol w:w="521"/>
        <w:gridCol w:w="711"/>
        <w:gridCol w:w="6752"/>
        <w:gridCol w:w="855"/>
      </w:tblGrid>
      <w:tr>
        <w:tblPrEx>
          <w:tblCellMar>
            <w:top w:w="0" w:type="dxa"/>
            <w:left w:w="108" w:type="dxa"/>
            <w:bottom w:w="0" w:type="dxa"/>
            <w:right w:w="108" w:type="dxa"/>
          </w:tblCellMar>
        </w:tblPrEx>
        <w:trPr>
          <w:trHeight w:val="644" w:hRule="atLeast"/>
          <w:jc w:val="center"/>
        </w:trPr>
        <w:tc>
          <w:tcPr>
            <w:tcW w:w="52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序号</w:t>
            </w:r>
          </w:p>
        </w:tc>
        <w:tc>
          <w:tcPr>
            <w:tcW w:w="7463"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auto"/>
                <w:sz w:val="21"/>
                <w:szCs w:val="21"/>
                <w:highlight w:val="none"/>
              </w:rPr>
              <w:t>评分内容和标准</w:t>
            </w:r>
          </w:p>
        </w:tc>
        <w:tc>
          <w:tcPr>
            <w:tcW w:w="85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分值</w:t>
            </w:r>
          </w:p>
        </w:tc>
      </w:tr>
      <w:tr>
        <w:tblPrEx>
          <w:tblCellMar>
            <w:top w:w="0" w:type="dxa"/>
            <w:left w:w="108" w:type="dxa"/>
            <w:bottom w:w="0" w:type="dxa"/>
            <w:right w:w="108" w:type="dxa"/>
          </w:tblCellMar>
        </w:tblPrEx>
        <w:trPr>
          <w:trHeight w:val="564" w:hRule="atLeast"/>
          <w:jc w:val="center"/>
        </w:trPr>
        <w:tc>
          <w:tcPr>
            <w:tcW w:w="52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1</w:t>
            </w:r>
          </w:p>
        </w:tc>
        <w:tc>
          <w:tcPr>
            <w:tcW w:w="711" w:type="dxa"/>
            <w:vMerge w:val="restart"/>
            <w:tcBorders>
              <w:top w:val="single" w:color="auto" w:sz="4" w:space="0"/>
              <w:left w:val="nil"/>
              <w:right w:val="single" w:color="auto" w:sz="4" w:space="0"/>
            </w:tcBorders>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sz w:val="21"/>
                <w:szCs w:val="21"/>
                <w:lang w:eastAsia="zh-CN"/>
              </w:rPr>
            </w:pPr>
            <w:r>
              <w:rPr>
                <w:rFonts w:hint="eastAsia" w:ascii="宋体" w:hAnsi="宋体" w:eastAsia="宋体" w:cs="宋体"/>
                <w:b w:val="0"/>
                <w:bCs w:val="0"/>
                <w:color w:val="auto"/>
                <w:sz w:val="21"/>
                <w:szCs w:val="21"/>
                <w:highlight w:val="none"/>
              </w:rPr>
              <w:t>商务资信分（</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分）</w:t>
            </w:r>
          </w:p>
        </w:tc>
        <w:tc>
          <w:tcPr>
            <w:tcW w:w="675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投标人具备质量管理体系认证证书的得2分；</w:t>
            </w:r>
          </w:p>
        </w:tc>
        <w:tc>
          <w:tcPr>
            <w:tcW w:w="855"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0-2分</w:t>
            </w:r>
          </w:p>
        </w:tc>
      </w:tr>
      <w:tr>
        <w:tblPrEx>
          <w:tblCellMar>
            <w:top w:w="0" w:type="dxa"/>
            <w:left w:w="108" w:type="dxa"/>
            <w:bottom w:w="0" w:type="dxa"/>
            <w:right w:w="108" w:type="dxa"/>
          </w:tblCellMar>
        </w:tblPrEx>
        <w:trPr>
          <w:trHeight w:val="834" w:hRule="atLeast"/>
          <w:jc w:val="center"/>
        </w:trPr>
        <w:tc>
          <w:tcPr>
            <w:tcW w:w="52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2</w:t>
            </w:r>
          </w:p>
        </w:tc>
        <w:tc>
          <w:tcPr>
            <w:tcW w:w="711" w:type="dxa"/>
            <w:vMerge w:val="continue"/>
            <w:tcBorders>
              <w:left w:val="nil"/>
              <w:right w:val="single" w:color="auto" w:sz="4" w:space="0"/>
            </w:tcBorders>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sz w:val="21"/>
                <w:szCs w:val="21"/>
                <w:lang w:eastAsia="zh-CN"/>
              </w:rPr>
            </w:pPr>
          </w:p>
        </w:tc>
        <w:tc>
          <w:tcPr>
            <w:tcW w:w="675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投标人2021年1月1日以来实施同类项目业绩的经验，提供1个业绩合同得1分，最多得3分。（日期以合同签订时间为准，</w:t>
            </w:r>
            <w:r>
              <w:rPr>
                <w:rFonts w:hint="eastAsia" w:ascii="宋体" w:hAnsi="宋体" w:cs="宋体"/>
                <w:b w:val="0"/>
                <w:bCs w:val="0"/>
                <w:kern w:val="2"/>
                <w:sz w:val="21"/>
                <w:szCs w:val="21"/>
                <w:lang w:val="en-US" w:eastAsia="zh-CN" w:bidi="ar-SA"/>
              </w:rPr>
              <w:t>响应文件</w:t>
            </w:r>
            <w:r>
              <w:rPr>
                <w:rFonts w:hint="eastAsia" w:ascii="宋体" w:hAnsi="宋体" w:eastAsia="宋体" w:cs="宋体"/>
                <w:b w:val="0"/>
                <w:bCs w:val="0"/>
                <w:kern w:val="2"/>
                <w:sz w:val="21"/>
                <w:szCs w:val="21"/>
                <w:lang w:val="en-US" w:eastAsia="zh-CN" w:bidi="ar-SA"/>
              </w:rPr>
              <w:t>中提供合同复印件并加盖公章，否则不得分）</w:t>
            </w:r>
          </w:p>
        </w:tc>
        <w:tc>
          <w:tcPr>
            <w:tcW w:w="855"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0-3分</w:t>
            </w:r>
          </w:p>
        </w:tc>
      </w:tr>
      <w:tr>
        <w:tblPrEx>
          <w:tblCellMar>
            <w:top w:w="0" w:type="dxa"/>
            <w:left w:w="108" w:type="dxa"/>
            <w:bottom w:w="0" w:type="dxa"/>
            <w:right w:w="108" w:type="dxa"/>
          </w:tblCellMar>
        </w:tblPrEx>
        <w:trPr>
          <w:trHeight w:val="834" w:hRule="atLeast"/>
          <w:jc w:val="center"/>
        </w:trPr>
        <w:tc>
          <w:tcPr>
            <w:tcW w:w="52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3</w:t>
            </w:r>
          </w:p>
        </w:tc>
        <w:tc>
          <w:tcPr>
            <w:tcW w:w="711" w:type="dxa"/>
            <w:vMerge w:val="continue"/>
            <w:tcBorders>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sz w:val="21"/>
                <w:szCs w:val="21"/>
                <w:lang w:eastAsia="zh-CN"/>
              </w:rPr>
            </w:pPr>
          </w:p>
        </w:tc>
        <w:tc>
          <w:tcPr>
            <w:tcW w:w="675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投标人或设备厂家需提供具有停车相关发明专利证书提供证书复印件加盖公章，每提供1个得1分，最高得2分；</w:t>
            </w:r>
          </w:p>
        </w:tc>
        <w:tc>
          <w:tcPr>
            <w:tcW w:w="855"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0-2分</w:t>
            </w:r>
          </w:p>
        </w:tc>
      </w:tr>
      <w:tr>
        <w:tblPrEx>
          <w:tblCellMar>
            <w:top w:w="0" w:type="dxa"/>
            <w:left w:w="108" w:type="dxa"/>
            <w:bottom w:w="0" w:type="dxa"/>
            <w:right w:w="108" w:type="dxa"/>
          </w:tblCellMar>
        </w:tblPrEx>
        <w:trPr>
          <w:trHeight w:val="1289" w:hRule="atLeast"/>
          <w:jc w:val="center"/>
        </w:trPr>
        <w:tc>
          <w:tcPr>
            <w:tcW w:w="521"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kern w:val="0"/>
                <w:sz w:val="21"/>
                <w:szCs w:val="21"/>
                <w:lang w:eastAsia="zh-CN"/>
              </w:rPr>
            </w:pPr>
            <w:r>
              <w:rPr>
                <w:rFonts w:hint="eastAsia" w:ascii="宋体" w:hAnsi="宋体" w:eastAsia="宋体" w:cs="宋体"/>
                <w:b w:val="0"/>
                <w:bCs w:val="0"/>
                <w:color w:val="000000"/>
                <w:kern w:val="0"/>
                <w:sz w:val="21"/>
                <w:szCs w:val="21"/>
                <w:lang w:val="en-US" w:eastAsia="zh-CN"/>
              </w:rPr>
              <w:t>4</w:t>
            </w:r>
          </w:p>
        </w:tc>
        <w:tc>
          <w:tcPr>
            <w:tcW w:w="711" w:type="dxa"/>
            <w:vMerge w:val="restart"/>
            <w:tcBorders>
              <w:top w:val="nil"/>
              <w:left w:val="nil"/>
              <w:right w:val="single" w:color="auto" w:sz="4" w:space="0"/>
            </w:tcBorders>
            <w:noWrap w:val="0"/>
            <w:vAlign w:val="center"/>
          </w:tcPr>
          <w:p>
            <w:pPr>
              <w:pStyle w:val="970"/>
              <w:keepNext/>
              <w:keepLines/>
              <w:pageBreakBefore w:val="0"/>
              <w:widowControl w:val="0"/>
              <w:kinsoku/>
              <w:wordWrap/>
              <w:overflowPunct/>
              <w:topLinePunct w:val="0"/>
              <w:autoSpaceDE/>
              <w:autoSpaceDN/>
              <w:bidi w:val="0"/>
              <w:adjustRightInd/>
              <w:snapToGrid/>
              <w:spacing w:before="0" w:after="0" w:line="240" w:lineRule="auto"/>
              <w:jc w:val="left"/>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技术和服务方案分</w:t>
            </w:r>
          </w:p>
          <w:p>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auto"/>
                <w:sz w:val="21"/>
                <w:szCs w:val="21"/>
                <w:highlight w:val="none"/>
              </w:rPr>
              <w:t>（6</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p>
        </w:tc>
        <w:tc>
          <w:tcPr>
            <w:tcW w:w="6752"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全部响应交易文件要求的技术参数、技术规范和技术要求的得12分：标注“■”为重要技术参数，标注“■”的技术参数低于采购需求（负偏离）的每项扣2分，未标注“■”的技术参数低于采购需求（负偏离）的每项扣0.5分，扣完为止。</w:t>
            </w:r>
          </w:p>
          <w:p>
            <w:pPr>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需提供相关证明文件</w:t>
            </w:r>
          </w:p>
        </w:tc>
        <w:tc>
          <w:tcPr>
            <w:tcW w:w="85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0-12分</w:t>
            </w:r>
          </w:p>
        </w:tc>
      </w:tr>
      <w:tr>
        <w:tblPrEx>
          <w:tblCellMar>
            <w:top w:w="0" w:type="dxa"/>
            <w:left w:w="108" w:type="dxa"/>
            <w:bottom w:w="0" w:type="dxa"/>
            <w:right w:w="108" w:type="dxa"/>
          </w:tblCellMar>
        </w:tblPrEx>
        <w:trPr>
          <w:trHeight w:val="1221" w:hRule="atLeast"/>
          <w:jc w:val="center"/>
        </w:trPr>
        <w:tc>
          <w:tcPr>
            <w:tcW w:w="52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5</w:t>
            </w:r>
          </w:p>
        </w:tc>
        <w:tc>
          <w:tcPr>
            <w:tcW w:w="711" w:type="dxa"/>
            <w:vMerge w:val="continue"/>
            <w:tcBorders>
              <w:left w:val="nil"/>
              <w:right w:val="single" w:color="auto" w:sz="4" w:space="0"/>
            </w:tcBorders>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sz w:val="21"/>
                <w:szCs w:val="21"/>
              </w:rPr>
            </w:pPr>
          </w:p>
        </w:tc>
        <w:tc>
          <w:tcPr>
            <w:tcW w:w="6752" w:type="dxa"/>
            <w:tcBorders>
              <w:top w:val="single" w:color="auto" w:sz="4" w:space="0"/>
              <w:left w:val="single" w:color="auto" w:sz="4" w:space="0"/>
              <w:bottom w:val="single" w:color="auto" w:sz="4" w:space="0"/>
              <w:right w:val="single" w:color="auto" w:sz="4" w:space="0"/>
            </w:tcBorders>
            <w:noWrap w:val="0"/>
            <w:vAlign w:val="center"/>
          </w:tcPr>
          <w:p>
            <w:pPr>
              <w:pStyle w:val="970"/>
              <w:keepNext/>
              <w:keepLines/>
              <w:pageBreakBefore w:val="0"/>
              <w:widowControl w:val="0"/>
              <w:kinsoku/>
              <w:wordWrap/>
              <w:overflowPunct/>
              <w:topLinePunct w:val="0"/>
              <w:autoSpaceDE/>
              <w:autoSpaceDN/>
              <w:bidi w:val="0"/>
              <w:adjustRightInd/>
              <w:snapToGrid/>
              <w:spacing w:before="0" w:after="0" w:line="240" w:lineRule="auto"/>
              <w:jc w:val="left"/>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根据</w:t>
            </w:r>
            <w:r>
              <w:rPr>
                <w:rFonts w:hint="eastAsia" w:ascii="宋体" w:hAnsi="宋体" w:eastAsia="宋体" w:cs="宋体"/>
                <w:b w:val="0"/>
                <w:bCs w:val="0"/>
                <w:kern w:val="2"/>
                <w:sz w:val="21"/>
                <w:szCs w:val="21"/>
                <w:lang w:val="en-US" w:eastAsia="zh-CN" w:bidi="ar-SA"/>
              </w:rPr>
              <w:t>投标人</w:t>
            </w:r>
            <w:r>
              <w:rPr>
                <w:rFonts w:hint="eastAsia" w:ascii="宋体" w:hAnsi="宋体" w:eastAsia="宋体" w:cs="宋体"/>
                <w:b w:val="0"/>
                <w:bCs w:val="0"/>
                <w:color w:val="auto"/>
                <w:sz w:val="21"/>
                <w:szCs w:val="21"/>
                <w:highlight w:val="none"/>
              </w:rPr>
              <w:t>对项目现状</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背景</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需求及对现场情况的了解</w:t>
            </w:r>
            <w:r>
              <w:rPr>
                <w:rFonts w:hint="eastAsia" w:ascii="宋体" w:hAnsi="宋体" w:eastAsia="宋体" w:cs="宋体"/>
                <w:b w:val="0"/>
                <w:bCs w:val="0"/>
                <w:color w:val="auto"/>
                <w:sz w:val="21"/>
                <w:szCs w:val="21"/>
                <w:highlight w:val="none"/>
                <w:lang w:eastAsia="zh-CN"/>
              </w:rPr>
              <w:t>程</w:t>
            </w:r>
            <w:r>
              <w:rPr>
                <w:rFonts w:hint="eastAsia" w:ascii="宋体" w:hAnsi="宋体" w:eastAsia="宋体" w:cs="宋体"/>
                <w:b w:val="0"/>
                <w:bCs w:val="0"/>
                <w:color w:val="auto"/>
                <w:sz w:val="21"/>
                <w:szCs w:val="21"/>
                <w:highlight w:val="none"/>
              </w:rPr>
              <w:t>度</w:t>
            </w:r>
            <w:r>
              <w:rPr>
                <w:rFonts w:hint="eastAsia" w:ascii="宋体" w:hAnsi="宋体" w:eastAsia="宋体" w:cs="宋体"/>
                <w:b w:val="0"/>
                <w:bCs w:val="0"/>
                <w:color w:val="auto"/>
                <w:sz w:val="21"/>
                <w:szCs w:val="21"/>
                <w:highlight w:val="none"/>
                <w:lang w:eastAsia="zh-CN"/>
              </w:rPr>
              <w:t>等内容</w:t>
            </w:r>
            <w:r>
              <w:rPr>
                <w:rFonts w:hint="eastAsia" w:ascii="宋体" w:hAnsi="宋体" w:eastAsia="宋体" w:cs="宋体"/>
                <w:b w:val="0"/>
                <w:bCs w:val="0"/>
                <w:color w:val="auto"/>
                <w:sz w:val="21"/>
                <w:szCs w:val="21"/>
                <w:highlight w:val="none"/>
                <w:lang w:val="en-US" w:eastAsia="zh-CN"/>
              </w:rPr>
              <w:t>综合评定</w:t>
            </w:r>
            <w:r>
              <w:rPr>
                <w:rFonts w:hint="eastAsia" w:ascii="宋体" w:hAnsi="宋体" w:eastAsia="宋体" w:cs="宋体"/>
                <w:b w:val="0"/>
                <w:bCs w:val="0"/>
                <w:color w:val="auto"/>
                <w:sz w:val="21"/>
                <w:szCs w:val="21"/>
                <w:highlight w:val="none"/>
              </w:rPr>
              <w:t>。</w:t>
            </w:r>
          </w:p>
          <w:p>
            <w:pPr>
              <w:pStyle w:val="970"/>
              <w:keepNext/>
              <w:keepLines/>
              <w:pageBreakBefore w:val="0"/>
              <w:widowControl w:val="0"/>
              <w:kinsoku/>
              <w:wordWrap/>
              <w:overflowPunct/>
              <w:topLinePunct w:val="0"/>
              <w:autoSpaceDE/>
              <w:autoSpaceDN/>
              <w:bidi w:val="0"/>
              <w:adjustRightInd/>
              <w:snapToGrid/>
              <w:spacing w:before="0" w:after="0" w:line="240" w:lineRule="auto"/>
              <w:jc w:val="left"/>
              <w:textAlignment w:val="baseline"/>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color w:val="auto"/>
                <w:sz w:val="21"/>
                <w:szCs w:val="21"/>
                <w:highlight w:val="none"/>
                <w:lang w:val="en-US" w:eastAsia="zh-CN"/>
              </w:rPr>
              <w:t>①方案详细具体，内容完整准确，思路清晰，贴合实际情况，具有可执行性的得5-6分；②方案内容较完整，思路较清晰的得3-4分；③方案内容一般完整的得1-2分；④不提供不得分。</w:t>
            </w:r>
          </w:p>
        </w:tc>
        <w:tc>
          <w:tcPr>
            <w:tcW w:w="85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0-6分</w:t>
            </w:r>
          </w:p>
        </w:tc>
      </w:tr>
      <w:tr>
        <w:tblPrEx>
          <w:tblCellMar>
            <w:top w:w="0" w:type="dxa"/>
            <w:left w:w="108" w:type="dxa"/>
            <w:bottom w:w="0" w:type="dxa"/>
            <w:right w:w="108" w:type="dxa"/>
          </w:tblCellMar>
        </w:tblPrEx>
        <w:trPr>
          <w:trHeight w:val="834" w:hRule="atLeast"/>
          <w:jc w:val="center"/>
        </w:trPr>
        <w:tc>
          <w:tcPr>
            <w:tcW w:w="52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6</w:t>
            </w:r>
          </w:p>
        </w:tc>
        <w:tc>
          <w:tcPr>
            <w:tcW w:w="711" w:type="dxa"/>
            <w:vMerge w:val="continue"/>
            <w:tcBorders>
              <w:left w:val="nil"/>
              <w:right w:val="single" w:color="auto" w:sz="4" w:space="0"/>
            </w:tcBorders>
            <w:noWrap w:val="0"/>
            <w:vAlign w:val="center"/>
          </w:tcPr>
          <w:p>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sz w:val="21"/>
                <w:szCs w:val="21"/>
              </w:rPr>
            </w:pPr>
          </w:p>
        </w:tc>
        <w:tc>
          <w:tcPr>
            <w:tcW w:w="67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项目负责人具备PMP证书的得2分</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项目负责人具有高级职称的得2分，中级职称的得1分，最高得2分</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项目团队中有3名及以上人员具有电工证的得2分。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lang w:val="en-US"/>
              </w:rPr>
            </w:pPr>
            <w:r>
              <w:rPr>
                <w:rFonts w:hint="eastAsia" w:ascii="宋体" w:hAnsi="宋体" w:eastAsia="宋体" w:cs="宋体"/>
                <w:b w:val="0"/>
                <w:bCs w:val="0"/>
                <w:kern w:val="2"/>
                <w:sz w:val="21"/>
                <w:szCs w:val="21"/>
                <w:lang w:val="en-US" w:eastAsia="zh-CN" w:bidi="ar-SA"/>
              </w:rPr>
              <w:t>（响应文件中须附对应人员相关证书复印件并加盖投标人公章，同时提供持证人员最近连续三个月在本单位的社保缴纳证明。）</w:t>
            </w:r>
          </w:p>
        </w:tc>
        <w:tc>
          <w:tcPr>
            <w:tcW w:w="85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0-6分</w:t>
            </w:r>
          </w:p>
        </w:tc>
      </w:tr>
      <w:tr>
        <w:tblPrEx>
          <w:tblCellMar>
            <w:top w:w="0" w:type="dxa"/>
            <w:left w:w="108" w:type="dxa"/>
            <w:bottom w:w="0" w:type="dxa"/>
            <w:right w:w="108" w:type="dxa"/>
          </w:tblCellMar>
        </w:tblPrEx>
        <w:trPr>
          <w:trHeight w:val="1251" w:hRule="atLeast"/>
          <w:jc w:val="center"/>
        </w:trPr>
        <w:tc>
          <w:tcPr>
            <w:tcW w:w="52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7</w:t>
            </w:r>
          </w:p>
        </w:tc>
        <w:tc>
          <w:tcPr>
            <w:tcW w:w="711" w:type="dxa"/>
            <w:vMerge w:val="continue"/>
            <w:tcBorders>
              <w:left w:val="nil"/>
              <w:right w:val="single" w:color="auto" w:sz="4" w:space="0"/>
            </w:tcBorders>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kern w:val="0"/>
                <w:sz w:val="21"/>
                <w:szCs w:val="21"/>
              </w:rPr>
            </w:pPr>
          </w:p>
        </w:tc>
        <w:tc>
          <w:tcPr>
            <w:tcW w:w="6752" w:type="dxa"/>
            <w:tcBorders>
              <w:top w:val="single" w:color="auto" w:sz="4" w:space="0"/>
              <w:left w:val="single" w:color="auto" w:sz="4" w:space="0"/>
              <w:bottom w:val="single" w:color="auto" w:sz="4" w:space="0"/>
              <w:right w:val="single" w:color="auto" w:sz="4" w:space="0"/>
            </w:tcBorders>
            <w:noWrap w:val="0"/>
            <w:vAlign w:val="center"/>
          </w:tcPr>
          <w:p>
            <w:pPr>
              <w:pStyle w:val="970"/>
              <w:keepNext/>
              <w:keepLines/>
              <w:pageBreakBefore w:val="0"/>
              <w:widowControl w:val="0"/>
              <w:kinsoku/>
              <w:wordWrap/>
              <w:overflowPunct/>
              <w:topLinePunct w:val="0"/>
              <w:autoSpaceDE/>
              <w:autoSpaceDN/>
              <w:bidi w:val="0"/>
              <w:adjustRightInd/>
              <w:snapToGrid/>
              <w:spacing w:before="0" w:after="0" w:line="240" w:lineRule="auto"/>
              <w:jc w:val="left"/>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针对本项目</w:t>
            </w:r>
            <w:r>
              <w:rPr>
                <w:rFonts w:hint="eastAsia" w:ascii="宋体" w:hAnsi="宋体" w:cs="宋体"/>
                <w:b w:val="0"/>
                <w:bCs w:val="0"/>
                <w:i w:val="0"/>
                <w:iCs w:val="0"/>
                <w:color w:val="auto"/>
                <w:kern w:val="0"/>
                <w:sz w:val="21"/>
                <w:szCs w:val="21"/>
                <w:highlight w:val="none"/>
                <w:u w:val="none"/>
                <w:lang w:val="en-US" w:eastAsia="zh-CN" w:bidi="ar"/>
              </w:rPr>
              <w:t>的</w:t>
            </w:r>
            <w:r>
              <w:rPr>
                <w:rFonts w:hint="eastAsia" w:ascii="宋体" w:hAnsi="宋体" w:eastAsia="宋体" w:cs="宋体"/>
                <w:b w:val="0"/>
                <w:bCs w:val="0"/>
                <w:color w:val="auto"/>
                <w:sz w:val="21"/>
                <w:szCs w:val="21"/>
                <w:highlight w:val="none"/>
                <w:lang w:val="en-US" w:eastAsia="zh-CN"/>
              </w:rPr>
              <w:t>保证进度和项目完成的方案和措施等进行综合评定。</w:t>
            </w:r>
          </w:p>
          <w:p>
            <w:pPr>
              <w:pStyle w:val="970"/>
              <w:keepNext/>
              <w:keepLines/>
              <w:pageBreakBefore w:val="0"/>
              <w:widowControl w:val="0"/>
              <w:kinsoku/>
              <w:wordWrap/>
              <w:overflowPunct/>
              <w:topLinePunct w:val="0"/>
              <w:autoSpaceDE/>
              <w:autoSpaceDN/>
              <w:bidi w:val="0"/>
              <w:adjustRightInd/>
              <w:snapToGrid/>
              <w:spacing w:before="0" w:after="0" w:line="240" w:lineRule="auto"/>
              <w:jc w:val="left"/>
              <w:textAlignment w:val="baseline"/>
              <w:rPr>
                <w:rFonts w:hint="eastAsia" w:ascii="宋体" w:hAnsi="宋体" w:eastAsia="宋体" w:cs="宋体"/>
                <w:b w:val="0"/>
                <w:bCs w:val="0"/>
                <w:color w:val="000000"/>
                <w:kern w:val="0"/>
                <w:sz w:val="21"/>
                <w:szCs w:val="21"/>
              </w:rPr>
            </w:pPr>
            <w:r>
              <w:rPr>
                <w:rFonts w:hint="eastAsia" w:ascii="宋体" w:hAnsi="宋体" w:eastAsia="宋体" w:cs="宋体"/>
                <w:b w:val="0"/>
                <w:bCs w:val="0"/>
                <w:color w:val="auto"/>
                <w:sz w:val="21"/>
                <w:szCs w:val="21"/>
                <w:highlight w:val="none"/>
                <w:lang w:val="en-US" w:eastAsia="zh-CN"/>
              </w:rPr>
              <w:t>①方案详细具体，内容完整准确，思路清晰，贴合实际情况，具有可执行性的得5-6分；②方案内容较完整，思路较清晰的得3-4分；③方案内容一般完整的得1-2分；④不提供不得分。</w:t>
            </w:r>
          </w:p>
        </w:tc>
        <w:tc>
          <w:tcPr>
            <w:tcW w:w="855" w:type="dxa"/>
            <w:tcBorders>
              <w:top w:val="single" w:color="auto" w:sz="4" w:space="0"/>
              <w:left w:val="single" w:color="auto" w:sz="4" w:space="0"/>
              <w:bottom w:val="single" w:color="auto" w:sz="4" w:space="0"/>
              <w:right w:val="single" w:color="auto" w:sz="4" w:space="0"/>
            </w:tcBorders>
            <w:noWrap w:val="0"/>
            <w:vAlign w:val="center"/>
          </w:tcPr>
          <w:p>
            <w:pPr>
              <w:pStyle w:val="970"/>
              <w:keepNext/>
              <w:keepLines/>
              <w:pageBreakBefore w:val="0"/>
              <w:widowControl w:val="0"/>
              <w:kinsoku/>
              <w:wordWrap/>
              <w:overflowPunct/>
              <w:topLinePunct w:val="0"/>
              <w:autoSpaceDE/>
              <w:autoSpaceDN/>
              <w:bidi w:val="0"/>
              <w:adjustRightInd/>
              <w:snapToGrid/>
              <w:spacing w:before="0" w:after="0" w:line="240" w:lineRule="auto"/>
              <w:jc w:val="center"/>
              <w:textAlignment w:val="baseline"/>
              <w:rPr>
                <w:rFonts w:hint="eastAsia" w:ascii="宋体" w:hAnsi="宋体" w:eastAsia="宋体" w:cs="宋体"/>
                <w:b w:val="0"/>
                <w:bCs w:val="0"/>
                <w:sz w:val="21"/>
                <w:szCs w:val="21"/>
                <w:lang w:val="en-US" w:eastAsia="zh-CN"/>
              </w:rPr>
            </w:pPr>
            <w:r>
              <w:rPr>
                <w:rFonts w:hint="eastAsia" w:ascii="宋体" w:hAnsi="宋体" w:eastAsia="宋体" w:cs="宋体"/>
                <w:b w:val="0"/>
                <w:bCs w:val="0"/>
                <w:color w:val="000000"/>
                <w:kern w:val="0"/>
                <w:sz w:val="21"/>
                <w:szCs w:val="21"/>
                <w:lang w:val="en-US" w:eastAsia="zh-CN"/>
              </w:rPr>
              <w:t>0-</w:t>
            </w:r>
            <w:r>
              <w:rPr>
                <w:rFonts w:hint="eastAsia" w:ascii="宋体" w:hAnsi="宋体" w:eastAsia="宋体" w:cs="宋体"/>
                <w:b w:val="0"/>
                <w:bCs w:val="0"/>
                <w:sz w:val="21"/>
                <w:szCs w:val="21"/>
                <w:lang w:val="en-US" w:eastAsia="zh-CN"/>
              </w:rPr>
              <w:t>6分</w:t>
            </w:r>
          </w:p>
        </w:tc>
      </w:tr>
      <w:tr>
        <w:tblPrEx>
          <w:tblCellMar>
            <w:top w:w="0" w:type="dxa"/>
            <w:left w:w="108" w:type="dxa"/>
            <w:bottom w:w="0" w:type="dxa"/>
            <w:right w:w="108" w:type="dxa"/>
          </w:tblCellMar>
        </w:tblPrEx>
        <w:trPr>
          <w:trHeight w:val="1218" w:hRule="atLeast"/>
          <w:jc w:val="center"/>
        </w:trPr>
        <w:tc>
          <w:tcPr>
            <w:tcW w:w="52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8</w:t>
            </w:r>
          </w:p>
        </w:tc>
        <w:tc>
          <w:tcPr>
            <w:tcW w:w="711" w:type="dxa"/>
            <w:vMerge w:val="continue"/>
            <w:tcBorders>
              <w:left w:val="nil"/>
              <w:right w:val="single" w:color="auto" w:sz="4" w:space="0"/>
            </w:tcBorders>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kern w:val="0"/>
                <w:sz w:val="21"/>
                <w:szCs w:val="21"/>
              </w:rPr>
            </w:pPr>
          </w:p>
        </w:tc>
        <w:tc>
          <w:tcPr>
            <w:tcW w:w="6752" w:type="dxa"/>
            <w:tcBorders>
              <w:top w:val="single" w:color="auto" w:sz="4" w:space="0"/>
              <w:left w:val="single" w:color="auto" w:sz="4" w:space="0"/>
              <w:bottom w:val="single" w:color="auto" w:sz="4" w:space="0"/>
              <w:right w:val="single" w:color="auto" w:sz="4" w:space="0"/>
            </w:tcBorders>
            <w:noWrap w:val="0"/>
            <w:vAlign w:val="center"/>
          </w:tcPr>
          <w:p>
            <w:pPr>
              <w:pStyle w:val="970"/>
              <w:keepNext/>
              <w:keepLines/>
              <w:pageBreakBefore w:val="0"/>
              <w:widowControl w:val="0"/>
              <w:kinsoku/>
              <w:wordWrap/>
              <w:overflowPunct/>
              <w:topLinePunct w:val="0"/>
              <w:autoSpaceDE/>
              <w:autoSpaceDN/>
              <w:bidi w:val="0"/>
              <w:adjustRightInd/>
              <w:snapToGrid/>
              <w:spacing w:before="0" w:after="0" w:line="240" w:lineRule="auto"/>
              <w:jc w:val="left"/>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针对本项目</w:t>
            </w:r>
            <w:r>
              <w:rPr>
                <w:rFonts w:hint="eastAsia" w:ascii="宋体" w:hAnsi="宋体" w:cs="宋体"/>
                <w:b w:val="0"/>
                <w:bCs w:val="0"/>
                <w:color w:val="auto"/>
                <w:sz w:val="21"/>
                <w:szCs w:val="21"/>
                <w:highlight w:val="none"/>
                <w:lang w:val="en-US" w:eastAsia="zh-CN"/>
              </w:rPr>
              <w:t>制定的</w:t>
            </w:r>
            <w:r>
              <w:rPr>
                <w:rFonts w:hint="eastAsia" w:ascii="宋体" w:hAnsi="宋体" w:eastAsia="宋体" w:cs="宋体"/>
                <w:b w:val="0"/>
                <w:bCs w:val="0"/>
                <w:color w:val="auto"/>
                <w:sz w:val="21"/>
                <w:szCs w:val="21"/>
                <w:highlight w:val="none"/>
                <w:lang w:val="en-US" w:eastAsia="zh-CN"/>
              </w:rPr>
              <w:t>服务质量保证</w:t>
            </w:r>
            <w:r>
              <w:rPr>
                <w:rFonts w:hint="eastAsia" w:ascii="宋体" w:hAnsi="宋体" w:cs="宋体"/>
                <w:b w:val="0"/>
                <w:bCs w:val="0"/>
                <w:color w:val="auto"/>
                <w:sz w:val="21"/>
                <w:szCs w:val="21"/>
                <w:highlight w:val="none"/>
                <w:lang w:val="en-US" w:eastAsia="zh-CN"/>
              </w:rPr>
              <w:t>方案</w:t>
            </w:r>
            <w:r>
              <w:rPr>
                <w:rFonts w:hint="eastAsia" w:ascii="宋体" w:hAnsi="宋体" w:eastAsia="宋体" w:cs="宋体"/>
                <w:b w:val="0"/>
                <w:bCs w:val="0"/>
                <w:color w:val="auto"/>
                <w:sz w:val="21"/>
                <w:szCs w:val="21"/>
                <w:highlight w:val="none"/>
                <w:lang w:val="en-US" w:eastAsia="zh-CN"/>
              </w:rPr>
              <w:t>进行综合评定。</w:t>
            </w:r>
          </w:p>
          <w:p>
            <w:pPr>
              <w:pStyle w:val="970"/>
              <w:keepNext/>
              <w:keepLines/>
              <w:pageBreakBefore w:val="0"/>
              <w:widowControl w:val="0"/>
              <w:kinsoku/>
              <w:wordWrap/>
              <w:overflowPunct/>
              <w:topLinePunct w:val="0"/>
              <w:autoSpaceDE/>
              <w:autoSpaceDN/>
              <w:bidi w:val="0"/>
              <w:adjustRightInd/>
              <w:snapToGrid/>
              <w:spacing w:before="0" w:after="0" w:line="240" w:lineRule="auto"/>
              <w:jc w:val="left"/>
              <w:textAlignment w:val="baseline"/>
              <w:rPr>
                <w:rFonts w:hint="eastAsia" w:ascii="宋体" w:hAnsi="宋体" w:eastAsia="宋体" w:cs="宋体"/>
                <w:b w:val="0"/>
                <w:bCs w:val="0"/>
                <w:color w:val="000000"/>
                <w:kern w:val="0"/>
                <w:sz w:val="21"/>
                <w:szCs w:val="21"/>
              </w:rPr>
            </w:pPr>
            <w:r>
              <w:rPr>
                <w:rFonts w:hint="eastAsia" w:ascii="宋体" w:hAnsi="宋体" w:eastAsia="宋体" w:cs="宋体"/>
                <w:b w:val="0"/>
                <w:bCs w:val="0"/>
                <w:color w:val="auto"/>
                <w:sz w:val="21"/>
                <w:szCs w:val="21"/>
                <w:highlight w:val="none"/>
                <w:lang w:val="en-US" w:eastAsia="zh-CN"/>
              </w:rPr>
              <w:t>①方案详细具体，内容完整准确，思路清晰，贴合实际情况，具有可执行性的得5-6分；②方案内容较完整，思路较清晰的得3-4分；③方案内容一般完整的得1-2分；④不提供不得分。</w:t>
            </w:r>
          </w:p>
        </w:tc>
        <w:tc>
          <w:tcPr>
            <w:tcW w:w="855" w:type="dxa"/>
            <w:tcBorders>
              <w:top w:val="single" w:color="auto" w:sz="4" w:space="0"/>
              <w:left w:val="single" w:color="auto" w:sz="4" w:space="0"/>
              <w:bottom w:val="single" w:color="auto" w:sz="4" w:space="0"/>
              <w:right w:val="single" w:color="auto" w:sz="4" w:space="0"/>
            </w:tcBorders>
            <w:noWrap w:val="0"/>
            <w:vAlign w:val="center"/>
          </w:tcPr>
          <w:p>
            <w:pPr>
              <w:pStyle w:val="970"/>
              <w:keepNext/>
              <w:keepLines/>
              <w:pageBreakBefore w:val="0"/>
              <w:widowControl w:val="0"/>
              <w:kinsoku/>
              <w:wordWrap/>
              <w:overflowPunct/>
              <w:topLinePunct w:val="0"/>
              <w:autoSpaceDE/>
              <w:autoSpaceDN/>
              <w:bidi w:val="0"/>
              <w:adjustRightInd/>
              <w:snapToGrid/>
              <w:spacing w:before="0" w:after="0" w:line="240" w:lineRule="auto"/>
              <w:jc w:val="center"/>
              <w:textAlignment w:val="baseline"/>
              <w:rPr>
                <w:rFonts w:hint="eastAsia" w:ascii="宋体" w:hAnsi="宋体" w:eastAsia="宋体" w:cs="宋体"/>
                <w:b w:val="0"/>
                <w:bCs w:val="0"/>
                <w:sz w:val="21"/>
                <w:szCs w:val="21"/>
                <w:lang w:val="en-US" w:eastAsia="zh-CN"/>
              </w:rPr>
            </w:pPr>
            <w:r>
              <w:rPr>
                <w:rFonts w:hint="eastAsia" w:ascii="宋体" w:hAnsi="宋体" w:eastAsia="宋体" w:cs="宋体"/>
                <w:b w:val="0"/>
                <w:bCs w:val="0"/>
                <w:color w:val="000000"/>
                <w:kern w:val="0"/>
                <w:sz w:val="21"/>
                <w:szCs w:val="21"/>
                <w:lang w:val="en-US" w:eastAsia="zh-CN"/>
              </w:rPr>
              <w:t>0-</w:t>
            </w:r>
            <w:r>
              <w:rPr>
                <w:rFonts w:hint="eastAsia" w:ascii="宋体" w:hAnsi="宋体" w:eastAsia="宋体" w:cs="宋体"/>
                <w:b w:val="0"/>
                <w:bCs w:val="0"/>
                <w:sz w:val="21"/>
                <w:szCs w:val="21"/>
                <w:lang w:val="en-US" w:eastAsia="zh-CN"/>
              </w:rPr>
              <w:t>6分</w:t>
            </w:r>
          </w:p>
        </w:tc>
      </w:tr>
      <w:tr>
        <w:tblPrEx>
          <w:tblCellMar>
            <w:top w:w="0" w:type="dxa"/>
            <w:left w:w="108" w:type="dxa"/>
            <w:bottom w:w="0" w:type="dxa"/>
            <w:right w:w="108" w:type="dxa"/>
          </w:tblCellMar>
        </w:tblPrEx>
        <w:trPr>
          <w:trHeight w:val="834" w:hRule="atLeast"/>
          <w:jc w:val="center"/>
        </w:trPr>
        <w:tc>
          <w:tcPr>
            <w:tcW w:w="52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9</w:t>
            </w:r>
          </w:p>
        </w:tc>
        <w:tc>
          <w:tcPr>
            <w:tcW w:w="711" w:type="dxa"/>
            <w:vMerge w:val="continue"/>
            <w:tcBorders>
              <w:left w:val="nil"/>
              <w:right w:val="single" w:color="auto" w:sz="4" w:space="0"/>
            </w:tcBorders>
            <w:noWrap w:val="0"/>
            <w:vAlign w:val="center"/>
          </w:tcPr>
          <w:p>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kern w:val="0"/>
                <w:sz w:val="21"/>
                <w:szCs w:val="21"/>
              </w:rPr>
            </w:pPr>
          </w:p>
        </w:tc>
        <w:tc>
          <w:tcPr>
            <w:tcW w:w="67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color w:val="000000"/>
                <w:kern w:val="0"/>
                <w:sz w:val="21"/>
                <w:szCs w:val="21"/>
              </w:rPr>
            </w:pPr>
            <w:r>
              <w:rPr>
                <w:rFonts w:hint="eastAsia" w:ascii="宋体" w:hAnsi="宋体" w:eastAsia="宋体" w:cs="宋体"/>
                <w:b w:val="0"/>
                <w:bCs w:val="0"/>
                <w:i w:val="0"/>
                <w:iCs w:val="0"/>
                <w:color w:val="auto"/>
                <w:kern w:val="0"/>
                <w:sz w:val="21"/>
                <w:szCs w:val="21"/>
                <w:highlight w:val="none"/>
                <w:u w:val="none"/>
                <w:lang w:val="en-US" w:eastAsia="zh-CN" w:bidi="ar"/>
              </w:rPr>
              <w:t>针对本项目制定组织实施方案，方案应包括包括项目组织架构、项目程序与步骤、项目管理和协调方法、项目实施计划、安装调试方案、测试、试运行方案、设备供货验货方案、确保工程质量的技术组织措施、确保工期的技术组织措施、确保安全生产的技术组织措施、确保文明施工的技术组织措施、主要设备和检测设施的情况等。</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color w:val="auto"/>
                <w:sz w:val="21"/>
                <w:szCs w:val="21"/>
                <w:highlight w:val="none"/>
                <w:lang w:val="en-US" w:eastAsia="zh-CN"/>
              </w:rPr>
              <w:t>①方案详细具体，内容完整准确，思路清晰，贴合实际情况，具有可执行性的得5-6分；②方案内容较完整，思路较清晰的得3-4分；③方案内容一般完整的得1-2分；④不提供不得分。</w:t>
            </w:r>
          </w:p>
        </w:tc>
        <w:tc>
          <w:tcPr>
            <w:tcW w:w="85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0-</w:t>
            </w:r>
            <w:r>
              <w:rPr>
                <w:rFonts w:hint="eastAsia" w:ascii="宋体" w:hAnsi="宋体" w:eastAsia="宋体" w:cs="宋体"/>
                <w:b w:val="0"/>
                <w:bCs w:val="0"/>
                <w:sz w:val="21"/>
                <w:szCs w:val="21"/>
                <w:lang w:val="en-US" w:eastAsia="zh-CN"/>
              </w:rPr>
              <w:t>6分</w:t>
            </w:r>
          </w:p>
        </w:tc>
      </w:tr>
      <w:tr>
        <w:tblPrEx>
          <w:tblCellMar>
            <w:top w:w="0" w:type="dxa"/>
            <w:left w:w="108" w:type="dxa"/>
            <w:bottom w:w="0" w:type="dxa"/>
            <w:right w:w="108" w:type="dxa"/>
          </w:tblCellMar>
        </w:tblPrEx>
        <w:trPr>
          <w:trHeight w:val="834" w:hRule="atLeast"/>
          <w:jc w:val="center"/>
        </w:trPr>
        <w:tc>
          <w:tcPr>
            <w:tcW w:w="52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10</w:t>
            </w:r>
          </w:p>
        </w:tc>
        <w:tc>
          <w:tcPr>
            <w:tcW w:w="711" w:type="dxa"/>
            <w:vMerge w:val="continue"/>
            <w:tcBorders>
              <w:left w:val="nil"/>
              <w:right w:val="single" w:color="auto" w:sz="4" w:space="0"/>
            </w:tcBorders>
            <w:noWrap w:val="0"/>
            <w:vAlign w:val="center"/>
          </w:tcPr>
          <w:p>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kern w:val="0"/>
                <w:sz w:val="21"/>
                <w:szCs w:val="21"/>
              </w:rPr>
            </w:pPr>
          </w:p>
        </w:tc>
        <w:tc>
          <w:tcPr>
            <w:tcW w:w="67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color w:val="000000"/>
                <w:kern w:val="0"/>
                <w:sz w:val="21"/>
                <w:szCs w:val="21"/>
              </w:rPr>
            </w:pPr>
            <w:r>
              <w:rPr>
                <w:rFonts w:hint="eastAsia" w:ascii="宋体" w:hAnsi="宋体" w:eastAsia="宋体" w:cs="宋体"/>
                <w:b w:val="0"/>
                <w:bCs w:val="0"/>
                <w:i w:val="0"/>
                <w:iCs w:val="0"/>
                <w:color w:val="auto"/>
                <w:kern w:val="0"/>
                <w:sz w:val="21"/>
                <w:szCs w:val="21"/>
                <w:highlight w:val="none"/>
                <w:u w:val="none"/>
                <w:lang w:val="en-US" w:eastAsia="zh-CN" w:bidi="ar"/>
              </w:rPr>
              <w:t>针对本项目制定应急服务措施方案，方案应包括现场应急处理、技术支撑保障、应急队伍保障、物质条件保障等。</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color w:val="auto"/>
                <w:sz w:val="21"/>
                <w:szCs w:val="21"/>
                <w:highlight w:val="none"/>
                <w:lang w:val="en-US" w:eastAsia="zh-CN"/>
              </w:rPr>
              <w:t>①方案详细具体，内容完整准确，思路清晰，贴合实际情况，具有可执行性的得5-6分；②方案内容较完整，思路较清晰的得3-4分；③方案内容一般完整的得1-2分；④不提供不得分。</w:t>
            </w:r>
          </w:p>
        </w:tc>
        <w:tc>
          <w:tcPr>
            <w:tcW w:w="85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0-</w:t>
            </w:r>
            <w:r>
              <w:rPr>
                <w:rFonts w:hint="eastAsia" w:ascii="宋体" w:hAnsi="宋体" w:eastAsia="宋体" w:cs="宋体"/>
                <w:b w:val="0"/>
                <w:bCs w:val="0"/>
                <w:sz w:val="21"/>
                <w:szCs w:val="21"/>
                <w:lang w:val="en-US" w:eastAsia="zh-CN"/>
              </w:rPr>
              <w:t>6分</w:t>
            </w:r>
          </w:p>
        </w:tc>
      </w:tr>
      <w:tr>
        <w:tblPrEx>
          <w:tblCellMar>
            <w:top w:w="0" w:type="dxa"/>
            <w:left w:w="108" w:type="dxa"/>
            <w:bottom w:w="0" w:type="dxa"/>
            <w:right w:w="108" w:type="dxa"/>
          </w:tblCellMar>
        </w:tblPrEx>
        <w:trPr>
          <w:trHeight w:val="834" w:hRule="atLeast"/>
          <w:jc w:val="center"/>
        </w:trPr>
        <w:tc>
          <w:tcPr>
            <w:tcW w:w="52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11</w:t>
            </w:r>
          </w:p>
        </w:tc>
        <w:tc>
          <w:tcPr>
            <w:tcW w:w="711" w:type="dxa"/>
            <w:vMerge w:val="continue"/>
            <w:tcBorders>
              <w:left w:val="nil"/>
              <w:right w:val="single" w:color="auto" w:sz="4" w:space="0"/>
            </w:tcBorders>
            <w:noWrap w:val="0"/>
            <w:vAlign w:val="center"/>
          </w:tcPr>
          <w:p>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kern w:val="0"/>
                <w:sz w:val="21"/>
                <w:szCs w:val="21"/>
              </w:rPr>
            </w:pPr>
          </w:p>
        </w:tc>
        <w:tc>
          <w:tcPr>
            <w:tcW w:w="67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color w:val="000000"/>
                <w:kern w:val="0"/>
                <w:sz w:val="21"/>
                <w:szCs w:val="21"/>
              </w:rPr>
            </w:pPr>
            <w:r>
              <w:rPr>
                <w:rFonts w:hint="eastAsia" w:ascii="宋体" w:hAnsi="宋体" w:eastAsia="宋体" w:cs="宋体"/>
                <w:b w:val="0"/>
                <w:bCs w:val="0"/>
                <w:i w:val="0"/>
                <w:iCs w:val="0"/>
                <w:color w:val="auto"/>
                <w:kern w:val="0"/>
                <w:sz w:val="21"/>
                <w:szCs w:val="21"/>
                <w:highlight w:val="none"/>
                <w:u w:val="none"/>
                <w:lang w:val="en-US" w:eastAsia="zh-CN" w:bidi="ar"/>
              </w:rPr>
              <w:t>针对本项目制定售后服务方案，方案应包括：</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1）投标人提供的售后维护机构和人员等情况，是否具有较强的长期且连续性服务能力，能提供快速的售后服务响应。</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2）投标人提供的服务承诺的可行性、完整性和可操作性，售后服务内容（项目的售后服务机构情况表、本项目售后服务人员情况表、产品及技术服务、售后服务原则、售后服务流程、服务特色）是否满足招标人的要求。</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color w:val="auto"/>
                <w:sz w:val="21"/>
                <w:szCs w:val="21"/>
                <w:highlight w:val="none"/>
                <w:lang w:val="en-US" w:eastAsia="zh-CN"/>
              </w:rPr>
              <w:t>①方案详细具体，内容完整准确，思路清晰，贴合实际情况，具有可执行性的得5-6分；②方案内容较完整，思路较清晰的得3-4分；③方案内容一般完整的得1-2分；④不提供不得分。</w:t>
            </w:r>
          </w:p>
        </w:tc>
        <w:tc>
          <w:tcPr>
            <w:tcW w:w="85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0-</w:t>
            </w:r>
            <w:r>
              <w:rPr>
                <w:rFonts w:hint="eastAsia" w:ascii="宋体" w:hAnsi="宋体" w:eastAsia="宋体" w:cs="宋体"/>
                <w:b w:val="0"/>
                <w:bCs w:val="0"/>
                <w:sz w:val="21"/>
                <w:szCs w:val="21"/>
                <w:lang w:val="en-US" w:eastAsia="zh-CN"/>
              </w:rPr>
              <w:t>6分</w:t>
            </w:r>
          </w:p>
        </w:tc>
      </w:tr>
      <w:tr>
        <w:tblPrEx>
          <w:tblCellMar>
            <w:top w:w="0" w:type="dxa"/>
            <w:left w:w="108" w:type="dxa"/>
            <w:bottom w:w="0" w:type="dxa"/>
            <w:right w:w="108" w:type="dxa"/>
          </w:tblCellMar>
        </w:tblPrEx>
        <w:trPr>
          <w:trHeight w:val="834" w:hRule="atLeast"/>
          <w:jc w:val="center"/>
        </w:trPr>
        <w:tc>
          <w:tcPr>
            <w:tcW w:w="52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12</w:t>
            </w:r>
          </w:p>
        </w:tc>
        <w:tc>
          <w:tcPr>
            <w:tcW w:w="711" w:type="dxa"/>
            <w:vMerge w:val="continue"/>
            <w:tcBorders>
              <w:left w:val="nil"/>
              <w:right w:val="single" w:color="auto" w:sz="4" w:space="0"/>
            </w:tcBorders>
            <w:noWrap w:val="0"/>
            <w:vAlign w:val="center"/>
          </w:tcPr>
          <w:p>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kern w:val="0"/>
                <w:sz w:val="21"/>
                <w:szCs w:val="21"/>
              </w:rPr>
            </w:pPr>
          </w:p>
        </w:tc>
        <w:tc>
          <w:tcPr>
            <w:tcW w:w="67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color w:val="000000"/>
                <w:kern w:val="0"/>
                <w:sz w:val="21"/>
                <w:szCs w:val="21"/>
              </w:rPr>
            </w:pPr>
            <w:r>
              <w:rPr>
                <w:rFonts w:hint="eastAsia" w:ascii="宋体" w:hAnsi="宋体" w:eastAsia="宋体" w:cs="宋体"/>
                <w:b w:val="0"/>
                <w:bCs w:val="0"/>
                <w:i w:val="0"/>
                <w:iCs w:val="0"/>
                <w:color w:val="auto"/>
                <w:kern w:val="0"/>
                <w:sz w:val="21"/>
                <w:szCs w:val="21"/>
                <w:highlight w:val="none"/>
                <w:u w:val="none"/>
                <w:lang w:val="en-US" w:eastAsia="zh-CN" w:bidi="ar"/>
              </w:rPr>
              <w:t>针对本项目制定培训方案，方案应包括培训安排、培训日程和教学方式</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color w:val="auto"/>
                <w:sz w:val="21"/>
                <w:szCs w:val="21"/>
                <w:highlight w:val="none"/>
                <w:lang w:val="en-US" w:eastAsia="zh-CN"/>
              </w:rPr>
              <w:t>①方案详细具体，内容完整准确，思路清晰，贴合实际情况，具有可执行性的得4分；②方案内容较完整，思路较清晰的得3分；③方案内容一般完整的得2分；④方案内容存在不足的得1分；</w:t>
            </w:r>
            <w:r>
              <w:rPr>
                <w:rFonts w:hint="eastAsia" w:ascii="宋体" w:hAnsi="宋体" w:eastAsia="宋体" w:cs="宋体"/>
                <w:b w:val="0"/>
                <w:bCs w:val="0"/>
                <w:color w:val="auto"/>
                <w:sz w:val="21"/>
                <w:szCs w:val="21"/>
                <w:highlight w:val="none"/>
                <w:lang w:val="en-US" w:eastAsia="zh-CN"/>
              </w:rPr>
              <w:fldChar w:fldCharType="begin"/>
            </w:r>
            <w:r>
              <w:rPr>
                <w:rFonts w:hint="eastAsia" w:ascii="宋体" w:hAnsi="宋体" w:eastAsia="宋体" w:cs="宋体"/>
                <w:b w:val="0"/>
                <w:bCs w:val="0"/>
                <w:color w:val="auto"/>
                <w:sz w:val="21"/>
                <w:szCs w:val="21"/>
                <w:highlight w:val="none"/>
                <w:lang w:val="en-US" w:eastAsia="zh-CN"/>
              </w:rPr>
              <w:instrText xml:space="preserve"> = 5 \* GB3 \* MERGEFORMAT </w:instrText>
            </w:r>
            <w:r>
              <w:rPr>
                <w:rFonts w:hint="eastAsia" w:ascii="宋体" w:hAnsi="宋体" w:eastAsia="宋体" w:cs="宋体"/>
                <w:b w:val="0"/>
                <w:bCs w:val="0"/>
                <w:color w:val="auto"/>
                <w:sz w:val="21"/>
                <w:szCs w:val="21"/>
                <w:highlight w:val="none"/>
                <w:lang w:val="en-US" w:eastAsia="zh-CN"/>
              </w:rPr>
              <w:fldChar w:fldCharType="separate"/>
            </w:r>
            <w:r>
              <w:rPr>
                <w:rFonts w:hint="eastAsia" w:ascii="宋体" w:hAnsi="宋体" w:eastAsia="宋体" w:cs="宋体"/>
                <w:b w:val="0"/>
                <w:bCs w:val="0"/>
                <w:color w:val="auto"/>
                <w:sz w:val="21"/>
                <w:szCs w:val="21"/>
                <w:highlight w:val="none"/>
              </w:rPr>
              <w:t>⑤</w:t>
            </w:r>
            <w:r>
              <w:rPr>
                <w:rFonts w:hint="eastAsia" w:ascii="宋体" w:hAnsi="宋体" w:eastAsia="宋体" w:cs="宋体"/>
                <w:b w:val="0"/>
                <w:bCs w:val="0"/>
                <w:color w:val="auto"/>
                <w:sz w:val="21"/>
                <w:szCs w:val="21"/>
                <w:highlight w:val="none"/>
                <w:lang w:val="en-US" w:eastAsia="zh-CN"/>
              </w:rPr>
              <w:fldChar w:fldCharType="end"/>
            </w:r>
            <w:r>
              <w:rPr>
                <w:rFonts w:hint="eastAsia" w:ascii="宋体" w:hAnsi="宋体" w:eastAsia="宋体" w:cs="宋体"/>
                <w:b w:val="0"/>
                <w:bCs w:val="0"/>
                <w:color w:val="auto"/>
                <w:sz w:val="21"/>
                <w:szCs w:val="21"/>
                <w:highlight w:val="none"/>
                <w:lang w:val="en-US" w:eastAsia="zh-CN"/>
              </w:rPr>
              <w:t>不提供不得分。</w:t>
            </w:r>
          </w:p>
        </w:tc>
        <w:tc>
          <w:tcPr>
            <w:tcW w:w="85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0-</w:t>
            </w:r>
            <w:r>
              <w:rPr>
                <w:rFonts w:hint="eastAsia" w:ascii="宋体" w:hAnsi="宋体" w:eastAsia="宋体" w:cs="宋体"/>
                <w:b w:val="0"/>
                <w:bCs w:val="0"/>
                <w:sz w:val="21"/>
                <w:szCs w:val="21"/>
                <w:lang w:val="en-US" w:eastAsia="zh-CN"/>
              </w:rPr>
              <w:t>4分</w:t>
            </w:r>
          </w:p>
        </w:tc>
      </w:tr>
      <w:tr>
        <w:tblPrEx>
          <w:tblCellMar>
            <w:top w:w="0" w:type="dxa"/>
            <w:left w:w="108" w:type="dxa"/>
            <w:bottom w:w="0" w:type="dxa"/>
            <w:right w:w="108" w:type="dxa"/>
          </w:tblCellMar>
        </w:tblPrEx>
        <w:trPr>
          <w:trHeight w:val="554" w:hRule="atLeast"/>
          <w:jc w:val="center"/>
        </w:trPr>
        <w:tc>
          <w:tcPr>
            <w:tcW w:w="52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13</w:t>
            </w:r>
          </w:p>
        </w:tc>
        <w:tc>
          <w:tcPr>
            <w:tcW w:w="711" w:type="dxa"/>
            <w:vMerge w:val="continue"/>
            <w:tcBorders>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kern w:val="0"/>
                <w:sz w:val="21"/>
                <w:szCs w:val="21"/>
                <w:lang w:val="en-US" w:eastAsia="zh-CN" w:bidi="ar-SA"/>
              </w:rPr>
            </w:pPr>
          </w:p>
        </w:tc>
        <w:tc>
          <w:tcPr>
            <w:tcW w:w="675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240" w:lineRule="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在质保期外每增加</w:t>
            </w:r>
            <w:r>
              <w:rPr>
                <w:rFonts w:hint="eastAsia" w:ascii="宋体" w:hAnsi="宋体" w:eastAsia="宋体" w:cs="宋体"/>
                <w:b w:val="0"/>
                <w:bCs w:val="0"/>
                <w:sz w:val="21"/>
                <w:szCs w:val="21"/>
                <w:lang w:val="en-US" w:eastAsia="zh-CN"/>
              </w:rPr>
              <w:t>一</w:t>
            </w:r>
            <w:r>
              <w:rPr>
                <w:rFonts w:hint="eastAsia" w:ascii="宋体" w:hAnsi="宋体" w:eastAsia="宋体" w:cs="宋体"/>
                <w:b w:val="0"/>
                <w:bCs w:val="0"/>
                <w:sz w:val="21"/>
                <w:szCs w:val="21"/>
              </w:rPr>
              <w:t>年加1分，最高得</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分</w:t>
            </w:r>
            <w:r>
              <w:rPr>
                <w:rFonts w:hint="eastAsia" w:ascii="宋体" w:hAnsi="宋体" w:eastAsia="宋体" w:cs="宋体"/>
                <w:b w:val="0"/>
                <w:bCs w:val="0"/>
                <w:sz w:val="21"/>
                <w:szCs w:val="21"/>
                <w:lang w:eastAsia="zh-CN"/>
              </w:rPr>
              <w:t>。（提供承诺函）</w:t>
            </w:r>
          </w:p>
        </w:tc>
        <w:tc>
          <w:tcPr>
            <w:tcW w:w="85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0-5分</w:t>
            </w:r>
          </w:p>
        </w:tc>
      </w:tr>
    </w:tbl>
    <w:p>
      <w:pPr>
        <w:widowControl/>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1、评分条款中涉及的业绩、荣誉、人员、社保等分公司均有效。</w:t>
      </w:r>
    </w:p>
    <w:p>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中如附有外文资料，必须逐一对应翻译成中文并加盖</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公章后附在相关外文资料后面，否则外文资料不予认可。翻译的中文资料与外文资料不符的，均不予认可。翻译严重错误的，将视同提供虚假资料。</w:t>
      </w:r>
    </w:p>
    <w:p>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编制</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（商务技术文件部分）时，建议按此目录（序号和内容）提供评标标准相应的商务技术资料。 </w:t>
      </w:r>
    </w:p>
    <w:p>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3、价格分（</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0分）</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6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131"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价格权值</w:t>
            </w:r>
          </w:p>
        </w:tc>
        <w:tc>
          <w:tcPr>
            <w:tcW w:w="6802"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2131"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价格权值=0.</w:t>
            </w:r>
            <w:r>
              <w:rPr>
                <w:rFonts w:hint="eastAsia" w:ascii="宋体" w:hAnsi="宋体" w:cs="宋体"/>
                <w:color w:val="auto"/>
                <w:sz w:val="24"/>
                <w:highlight w:val="none"/>
                <w:lang w:val="en-US" w:eastAsia="zh-CN"/>
              </w:rPr>
              <w:t>3</w:t>
            </w:r>
          </w:p>
        </w:tc>
        <w:tc>
          <w:tcPr>
            <w:tcW w:w="680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价格为评标基准价</w:t>
            </w:r>
          </w:p>
          <w:p>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报价得分=(评标基准价／</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报价)×价格权值×100</w:t>
            </w:r>
          </w:p>
          <w:p>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tc>
      </w:tr>
    </w:tbl>
    <w:p>
      <w:pPr>
        <w:pageBreakBefore w:val="0"/>
        <w:kinsoku/>
        <w:wordWrap/>
        <w:overflowPunct/>
        <w:topLinePunct w:val="0"/>
        <w:autoSpaceDE/>
        <w:autoSpaceDN/>
        <w:bidi w:val="0"/>
        <w:snapToGrid w:val="0"/>
        <w:spacing w:line="440" w:lineRule="exact"/>
        <w:ind w:left="0" w:leftChars="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w:t>
      </w:r>
      <w:r>
        <w:rPr>
          <w:rFonts w:hint="eastAsia" w:ascii="宋体" w:hAnsi="宋体" w:eastAsia="宋体" w:cs="宋体"/>
          <w:b/>
          <w:color w:val="auto"/>
          <w:sz w:val="32"/>
          <w:highlight w:val="none"/>
          <w:lang w:eastAsia="zh-CN"/>
        </w:rPr>
        <w:t>交易</w:t>
      </w:r>
      <w:r>
        <w:rPr>
          <w:rFonts w:hint="eastAsia" w:ascii="宋体" w:hAnsi="宋体" w:eastAsia="宋体" w:cs="宋体"/>
          <w:b/>
          <w:color w:val="auto"/>
          <w:sz w:val="32"/>
          <w:highlight w:val="none"/>
        </w:rPr>
        <w:t>方法</w:t>
      </w:r>
    </w:p>
    <w:p>
      <w:pPr>
        <w:pageBreakBefore w:val="0"/>
        <w:kinsoku/>
        <w:wordWrap/>
        <w:overflowPunct/>
        <w:topLinePunct w:val="0"/>
        <w:autoSpaceDE/>
        <w:autoSpaceDN/>
        <w:bidi w:val="0"/>
        <w:adjustRightInd/>
        <w:spacing w:line="440" w:lineRule="exact"/>
        <w:ind w:left="0" w:leftChars="0"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评审方法</w:t>
      </w:r>
      <w:r>
        <w:rPr>
          <w:rFonts w:hint="eastAsia" w:ascii="宋体" w:hAnsi="宋体" w:eastAsia="宋体" w:cs="宋体"/>
          <w:color w:val="auto"/>
          <w:kern w:val="0"/>
          <w:sz w:val="24"/>
          <w:highlight w:val="none"/>
        </w:rPr>
        <w:t>。</w:t>
      </w:r>
    </w:p>
    <w:p>
      <w:pPr>
        <w:pageBreakBefore w:val="0"/>
        <w:kinsoku/>
        <w:wordWrap/>
        <w:overflowPunct/>
        <w:topLinePunct w:val="0"/>
        <w:autoSpaceDE/>
        <w:autoSpaceDN/>
        <w:bidi w:val="0"/>
        <w:adjustRightInd/>
        <w:spacing w:line="440" w:lineRule="exact"/>
        <w:ind w:left="0" w:leftChars="0"/>
        <w:textAlignment w:val="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w:t>
      </w:r>
      <w:r>
        <w:rPr>
          <w:rFonts w:hint="eastAsia" w:ascii="宋体" w:hAnsi="宋体" w:eastAsia="宋体" w:cs="宋体"/>
          <w:b/>
          <w:color w:val="auto"/>
          <w:sz w:val="32"/>
          <w:highlight w:val="none"/>
          <w:lang w:eastAsia="zh-CN"/>
        </w:rPr>
        <w:t>交易</w:t>
      </w:r>
      <w:r>
        <w:rPr>
          <w:rFonts w:hint="eastAsia" w:ascii="宋体" w:hAnsi="宋体" w:eastAsia="宋体" w:cs="宋体"/>
          <w:b/>
          <w:color w:val="auto"/>
          <w:sz w:val="32"/>
          <w:highlight w:val="none"/>
        </w:rPr>
        <w:t>标准</w:t>
      </w:r>
    </w:p>
    <w:p>
      <w:pPr>
        <w:pageBreakBefore w:val="0"/>
        <w:kinsoku/>
        <w:wordWrap/>
        <w:overflowPunct/>
        <w:topLinePunct w:val="0"/>
        <w:autoSpaceDE/>
        <w:autoSpaceDN/>
        <w:bidi w:val="0"/>
        <w:spacing w:line="440" w:lineRule="exact"/>
        <w:ind w:left="0" w:leftChars="0"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lang w:eastAsia="zh-CN"/>
        </w:rPr>
        <w:t>评审</w:t>
      </w:r>
      <w:r>
        <w:rPr>
          <w:rFonts w:hint="eastAsia" w:ascii="宋体" w:hAnsi="宋体" w:eastAsia="宋体" w:cs="宋体"/>
          <w:b/>
          <w:color w:val="auto"/>
          <w:sz w:val="24"/>
          <w:highlight w:val="none"/>
        </w:rPr>
        <w:t>标准：</w:t>
      </w:r>
      <w:r>
        <w:rPr>
          <w:rFonts w:hint="eastAsia" w:ascii="宋体" w:hAnsi="宋体" w:eastAsia="宋体" w:cs="宋体"/>
          <w:color w:val="auto"/>
          <w:kern w:val="0"/>
          <w:sz w:val="24"/>
          <w:highlight w:val="none"/>
        </w:rPr>
        <w:t>见</w:t>
      </w:r>
      <w:r>
        <w:rPr>
          <w:rFonts w:hint="eastAsia" w:ascii="宋体" w:hAnsi="宋体" w:eastAsia="宋体" w:cs="宋体"/>
          <w:color w:val="auto"/>
          <w:kern w:val="0"/>
          <w:sz w:val="24"/>
          <w:highlight w:val="none"/>
          <w:lang w:eastAsia="zh-CN"/>
        </w:rPr>
        <w:t>交易办法</w:t>
      </w:r>
      <w:r>
        <w:rPr>
          <w:rFonts w:hint="eastAsia" w:ascii="宋体" w:hAnsi="宋体" w:eastAsia="宋体" w:cs="宋体"/>
          <w:color w:val="auto"/>
          <w:kern w:val="0"/>
          <w:sz w:val="24"/>
          <w:highlight w:val="none"/>
        </w:rPr>
        <w:t>前附表。</w:t>
      </w:r>
    </w:p>
    <w:p>
      <w:pPr>
        <w:pageBreakBefore w:val="0"/>
        <w:kinsoku/>
        <w:wordWrap/>
        <w:overflowPunct/>
        <w:topLinePunct w:val="0"/>
        <w:autoSpaceDE/>
        <w:autoSpaceDN/>
        <w:bidi w:val="0"/>
        <w:spacing w:line="440" w:lineRule="exact"/>
        <w:ind w:left="0" w:leftChars="0"/>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w:t>
      </w:r>
      <w:r>
        <w:rPr>
          <w:rFonts w:hint="eastAsia" w:ascii="宋体" w:hAnsi="宋体" w:eastAsia="宋体" w:cs="宋体"/>
          <w:b/>
          <w:color w:val="auto"/>
          <w:sz w:val="32"/>
          <w:highlight w:val="none"/>
          <w:lang w:eastAsia="zh-CN"/>
        </w:rPr>
        <w:t>交易</w:t>
      </w:r>
      <w:r>
        <w:rPr>
          <w:rFonts w:hint="eastAsia" w:ascii="宋体" w:hAnsi="宋体" w:eastAsia="宋体" w:cs="宋体"/>
          <w:b/>
          <w:color w:val="auto"/>
          <w:sz w:val="32"/>
          <w:highlight w:val="none"/>
        </w:rPr>
        <w:t>程序</w:t>
      </w:r>
    </w:p>
    <w:bookmarkEnd w:id="15"/>
    <w:p>
      <w:pPr>
        <w:pageBreakBefore w:val="0"/>
        <w:kinsoku/>
        <w:wordWrap/>
        <w:overflowPunct/>
        <w:topLinePunct w:val="0"/>
        <w:autoSpaceDE/>
        <w:autoSpaceDN/>
        <w:bidi w:val="0"/>
        <w:spacing w:line="440" w:lineRule="exact"/>
        <w:ind w:left="0" w:leftChars="0" w:firstLine="472" w:firstLineChars="196"/>
        <w:textAlignment w:val="auto"/>
        <w:rPr>
          <w:rFonts w:hint="eastAsia" w:ascii="宋体" w:hAnsi="宋体" w:eastAsia="宋体" w:cs="宋体"/>
          <w:color w:val="auto"/>
          <w:kern w:val="0"/>
          <w:sz w:val="24"/>
          <w:highlight w:val="none"/>
        </w:rPr>
      </w:pPr>
      <w:bookmarkStart w:id="382" w:name="第五部分"/>
      <w:bookmarkStart w:id="383" w:name="_Toc86217003"/>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lang w:eastAsia="zh-CN"/>
        </w:rPr>
        <w:t>评审</w:t>
      </w:r>
      <w:r>
        <w:rPr>
          <w:rFonts w:hint="eastAsia" w:ascii="宋体" w:hAnsi="宋体" w:eastAsia="宋体" w:cs="宋体"/>
          <w:color w:val="auto"/>
          <w:kern w:val="0"/>
          <w:sz w:val="24"/>
          <w:highlight w:val="none"/>
        </w:rPr>
        <w:t>委员会应当对符合资格的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进行符合性审查，以确定其是否满足</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的实质性要求。不满足</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的实质性要求的，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ageBreakBefore w:val="0"/>
        <w:kinsoku/>
        <w:wordWrap/>
        <w:overflowPunct/>
        <w:topLinePunct w:val="0"/>
        <w:autoSpaceDE/>
        <w:autoSpaceDN/>
        <w:bidi w:val="0"/>
        <w:spacing w:line="440" w:lineRule="exact"/>
        <w:ind w:left="0" w:leftChars="0"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lang w:eastAsia="zh-CN"/>
        </w:rPr>
        <w:t>评审</w:t>
      </w:r>
      <w:r>
        <w:rPr>
          <w:rFonts w:hint="eastAsia" w:ascii="宋体" w:hAnsi="宋体" w:eastAsia="宋体" w:cs="宋体"/>
          <w:color w:val="auto"/>
          <w:kern w:val="0"/>
          <w:sz w:val="24"/>
          <w:highlight w:val="none"/>
        </w:rPr>
        <w:t>委员会应当按照</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w:t>
      </w:r>
      <w:r>
        <w:rPr>
          <w:rFonts w:hint="eastAsia" w:ascii="宋体" w:hAnsi="宋体" w:eastAsia="宋体" w:cs="宋体"/>
          <w:color w:val="auto"/>
          <w:kern w:val="0"/>
          <w:sz w:val="24"/>
          <w:highlight w:val="none"/>
          <w:lang w:eastAsia="zh-CN"/>
        </w:rPr>
        <w:t>评审方法</w:t>
      </w:r>
      <w:r>
        <w:rPr>
          <w:rFonts w:hint="eastAsia" w:ascii="宋体" w:hAnsi="宋体" w:eastAsia="宋体" w:cs="宋体"/>
          <w:color w:val="auto"/>
          <w:kern w:val="0"/>
          <w:sz w:val="24"/>
          <w:highlight w:val="none"/>
        </w:rPr>
        <w:t>和标准，对符合性审查合格的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进行商务和技术评估，综合比较与评价。</w:t>
      </w:r>
    </w:p>
    <w:p>
      <w:pPr>
        <w:pageBreakBefore w:val="0"/>
        <w:kinsoku/>
        <w:wordWrap/>
        <w:overflowPunct/>
        <w:topLinePunct w:val="0"/>
        <w:autoSpaceDE/>
        <w:autoSpaceDN/>
        <w:bidi w:val="0"/>
        <w:spacing w:line="440" w:lineRule="exact"/>
        <w:ind w:left="0" w:leftChars="0"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lang w:eastAsia="zh-CN"/>
        </w:rPr>
        <w:t>评审</w:t>
      </w:r>
      <w:r>
        <w:rPr>
          <w:rFonts w:hint="eastAsia" w:ascii="宋体" w:hAnsi="宋体" w:eastAsia="宋体" w:cs="宋体"/>
          <w:color w:val="auto"/>
          <w:kern w:val="0"/>
          <w:sz w:val="24"/>
          <w:highlight w:val="none"/>
        </w:rPr>
        <w:t>委员会各成员应当独立对每个</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的商务和技术文件进行评价，并汇总商务技术得分情况。</w:t>
      </w:r>
    </w:p>
    <w:p>
      <w:pPr>
        <w:pageBreakBefore w:val="0"/>
        <w:kinsoku/>
        <w:wordWrap/>
        <w:overflowPunct/>
        <w:topLinePunct w:val="0"/>
        <w:autoSpaceDE/>
        <w:autoSpaceDN/>
        <w:bidi w:val="0"/>
        <w:spacing w:line="440" w:lineRule="exact"/>
        <w:ind w:left="0" w:leftChars="0" w:firstLine="472" w:firstLineChars="196"/>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33"/>
        <w:pageBreakBefore w:val="0"/>
        <w:kinsoku/>
        <w:wordWrap/>
        <w:overflowPunct/>
        <w:topLinePunct w:val="0"/>
        <w:autoSpaceDE/>
        <w:autoSpaceDN/>
        <w:bidi w:val="0"/>
        <w:spacing w:before="0" w:line="440" w:lineRule="exact"/>
        <w:ind w:left="0" w:leftChars="0" w:firstLine="508" w:firstLineChars="212"/>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3.4.1</w:t>
      </w:r>
      <w:r>
        <w:rPr>
          <w:rFonts w:hint="eastAsia" w:ascii="宋体" w:hAnsi="宋体" w:eastAsia="宋体" w:cs="宋体"/>
          <w:color w:val="auto"/>
          <w:kern w:val="0"/>
          <w:highlight w:val="none"/>
          <w:lang w:eastAsia="zh-CN"/>
        </w:rPr>
        <w:t>响应文件</w:t>
      </w:r>
      <w:r>
        <w:rPr>
          <w:rFonts w:hint="eastAsia" w:ascii="宋体" w:hAnsi="宋体" w:eastAsia="宋体" w:cs="宋体"/>
          <w:color w:val="auto"/>
          <w:kern w:val="0"/>
          <w:highlight w:val="none"/>
        </w:rPr>
        <w:t>报价出现前后不一致的，按照下列规定修正：</w:t>
      </w:r>
    </w:p>
    <w:p>
      <w:pPr>
        <w:pStyle w:val="133"/>
        <w:pageBreakBefore w:val="0"/>
        <w:kinsoku/>
        <w:wordWrap/>
        <w:overflowPunct/>
        <w:topLinePunct w:val="0"/>
        <w:autoSpaceDE/>
        <w:autoSpaceDN/>
        <w:bidi w:val="0"/>
        <w:spacing w:before="0" w:line="440" w:lineRule="exact"/>
        <w:ind w:left="0" w:leftChars="0"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(报价表)内容与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中相应内容不一致的，以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(报价表)为准;</w:t>
      </w:r>
    </w:p>
    <w:p>
      <w:pPr>
        <w:pStyle w:val="133"/>
        <w:pageBreakBefore w:val="0"/>
        <w:kinsoku/>
        <w:wordWrap/>
        <w:overflowPunct/>
        <w:topLinePunct w:val="0"/>
        <w:autoSpaceDE/>
        <w:autoSpaceDN/>
        <w:bidi w:val="0"/>
        <w:spacing w:before="0" w:line="440" w:lineRule="exact"/>
        <w:ind w:left="0" w:leftChars="0"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133"/>
        <w:pageBreakBefore w:val="0"/>
        <w:kinsoku/>
        <w:wordWrap/>
        <w:overflowPunct/>
        <w:topLinePunct w:val="0"/>
        <w:autoSpaceDE/>
        <w:autoSpaceDN/>
        <w:bidi w:val="0"/>
        <w:spacing w:before="0" w:line="440" w:lineRule="exact"/>
        <w:ind w:left="0" w:leftChars="0"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的总价为准，并修改单价;</w:t>
      </w:r>
    </w:p>
    <w:p>
      <w:pPr>
        <w:pStyle w:val="133"/>
        <w:pageBreakBefore w:val="0"/>
        <w:kinsoku/>
        <w:wordWrap/>
        <w:overflowPunct/>
        <w:topLinePunct w:val="0"/>
        <w:autoSpaceDE/>
        <w:autoSpaceDN/>
        <w:bidi w:val="0"/>
        <w:spacing w:before="0" w:line="440" w:lineRule="exact"/>
        <w:ind w:left="0" w:leftChars="0"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33"/>
        <w:pageBreakBefore w:val="0"/>
        <w:kinsoku/>
        <w:wordWrap/>
        <w:overflowPunct/>
        <w:topLinePunct w:val="0"/>
        <w:autoSpaceDE/>
        <w:autoSpaceDN/>
        <w:bidi w:val="0"/>
        <w:spacing w:before="0" w:line="440" w:lineRule="exact"/>
        <w:ind w:left="0" w:leftChars="0"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《货物和服务</w:t>
      </w:r>
      <w:r>
        <w:rPr>
          <w:rFonts w:hint="eastAsia" w:ascii="宋体" w:hAnsi="宋体" w:cs="宋体"/>
          <w:color w:val="auto"/>
          <w:kern w:val="0"/>
          <w:szCs w:val="24"/>
          <w:highlight w:val="none"/>
          <w:lang w:eastAsia="zh-CN"/>
        </w:rPr>
        <w:t>交易</w:t>
      </w:r>
      <w:r>
        <w:rPr>
          <w:rFonts w:hint="eastAsia" w:ascii="宋体" w:hAnsi="宋体" w:eastAsia="宋体" w:cs="宋体"/>
          <w:color w:val="auto"/>
          <w:kern w:val="0"/>
          <w:szCs w:val="24"/>
          <w:highlight w:val="none"/>
        </w:rPr>
        <w:t>投标管理办法》第五十一条第二款的规定经</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确认后产生约束力。</w:t>
      </w:r>
    </w:p>
    <w:p>
      <w:pPr>
        <w:pageBreakBefore w:val="0"/>
        <w:kinsoku/>
        <w:wordWrap/>
        <w:overflowPunct/>
        <w:topLinePunct w:val="0"/>
        <w:autoSpaceDE/>
        <w:autoSpaceDN/>
        <w:bidi w:val="0"/>
        <w:snapToGrid w:val="0"/>
        <w:spacing w:line="440" w:lineRule="exact"/>
        <w:ind w:left="0" w:lef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ageBreakBefore w:val="0"/>
        <w:kinsoku/>
        <w:wordWrap/>
        <w:overflowPunct/>
        <w:topLinePunct w:val="0"/>
        <w:autoSpaceDE/>
        <w:autoSpaceDN/>
        <w:bidi w:val="0"/>
        <w:snapToGrid w:val="0"/>
        <w:spacing w:line="440" w:lineRule="exact"/>
        <w:ind w:left="0" w:lef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Style w:val="133"/>
        <w:pageBreakBefore w:val="0"/>
        <w:kinsoku/>
        <w:wordWrap/>
        <w:overflowPunct/>
        <w:topLinePunct w:val="0"/>
        <w:autoSpaceDE/>
        <w:autoSpaceDN/>
        <w:bidi w:val="0"/>
        <w:spacing w:before="0" w:line="440" w:lineRule="exact"/>
        <w:ind w:left="0" w:leftChars="0"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w:t>
      </w:r>
      <w:r>
        <w:rPr>
          <w:rFonts w:hint="eastAsia" w:ascii="宋体" w:hAnsi="宋体" w:eastAsia="宋体" w:cs="宋体"/>
          <w:color w:val="auto"/>
          <w:kern w:val="0"/>
          <w:szCs w:val="24"/>
          <w:highlight w:val="none"/>
          <w:lang w:eastAsia="zh-CN"/>
        </w:rPr>
        <w:t>评审</w:t>
      </w:r>
      <w:r>
        <w:rPr>
          <w:rFonts w:hint="eastAsia" w:ascii="宋体" w:hAnsi="宋体" w:eastAsia="宋体" w:cs="宋体"/>
          <w:color w:val="auto"/>
          <w:kern w:val="0"/>
          <w:szCs w:val="24"/>
          <w:highlight w:val="none"/>
        </w:rPr>
        <w:t>委员会认为</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的报价明显低于其他通过符合性审查</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不能证明其报价合理性的，</w:t>
      </w:r>
      <w:r>
        <w:rPr>
          <w:rFonts w:hint="eastAsia" w:ascii="宋体" w:hAnsi="宋体" w:eastAsia="宋体" w:cs="宋体"/>
          <w:color w:val="auto"/>
          <w:kern w:val="0"/>
          <w:szCs w:val="24"/>
          <w:highlight w:val="none"/>
          <w:lang w:eastAsia="zh-CN"/>
        </w:rPr>
        <w:t>评审</w:t>
      </w:r>
      <w:r>
        <w:rPr>
          <w:rFonts w:hint="eastAsia" w:ascii="宋体" w:hAnsi="宋体" w:eastAsia="宋体" w:cs="宋体"/>
          <w:color w:val="auto"/>
          <w:kern w:val="0"/>
          <w:szCs w:val="24"/>
          <w:highlight w:val="none"/>
        </w:rPr>
        <w:t>委员会应当将其作为无效投标处理。</w:t>
      </w:r>
    </w:p>
    <w:p>
      <w:pPr>
        <w:pStyle w:val="133"/>
        <w:pageBreakBefore w:val="0"/>
        <w:kinsoku/>
        <w:wordWrap/>
        <w:overflowPunct/>
        <w:topLinePunct w:val="0"/>
        <w:autoSpaceDE/>
        <w:autoSpaceDN/>
        <w:bidi w:val="0"/>
        <w:spacing w:before="0" w:line="440" w:lineRule="exact"/>
        <w:ind w:left="0" w:leftChars="0" w:firstLine="480"/>
        <w:textAlignment w:val="auto"/>
        <w:rPr>
          <w:rFonts w:hint="eastAsia" w:ascii="宋体" w:hAnsi="宋体" w:eastAsia="宋体" w:cs="宋体"/>
          <w:color w:val="auto"/>
          <w:kern w:val="0"/>
          <w:szCs w:val="24"/>
          <w:highlight w:val="none"/>
        </w:rPr>
      </w:pPr>
      <w:r>
        <w:rPr>
          <w:rFonts w:hint="eastAsia" w:ascii="宋体" w:hAnsi="宋体" w:cs="宋体"/>
          <w:color w:val="auto"/>
          <w:kern w:val="0"/>
          <w:szCs w:val="24"/>
          <w:highlight w:val="none"/>
          <w:lang w:val="en-US" w:eastAsia="zh-CN"/>
        </w:rPr>
        <w:t>3.4.5</w:t>
      </w:r>
      <w:r>
        <w:rPr>
          <w:rFonts w:hint="eastAsia" w:ascii="宋体" w:hAnsi="宋体" w:eastAsia="宋体" w:cs="宋体"/>
          <w:sz w:val="24"/>
          <w:highlight w:val="none"/>
        </w:rPr>
        <w:t>采购代理机构在</w:t>
      </w:r>
      <w:r>
        <w:rPr>
          <w:rFonts w:hint="eastAsia" w:ascii="宋体" w:hAnsi="宋体" w:cs="宋体"/>
          <w:sz w:val="24"/>
          <w:highlight w:val="none"/>
          <w:lang w:eastAsia="zh-CN"/>
        </w:rPr>
        <w:t>乐采云</w:t>
      </w:r>
      <w:r>
        <w:rPr>
          <w:rFonts w:hint="eastAsia" w:ascii="宋体" w:hAnsi="宋体" w:eastAsia="宋体" w:cs="宋体"/>
          <w:sz w:val="24"/>
          <w:highlight w:val="none"/>
        </w:rPr>
        <w:t>电子采购平台</w:t>
      </w:r>
      <w:r>
        <w:rPr>
          <w:rFonts w:ascii="宋体" w:hAnsi="宋体" w:eastAsia="宋体" w:cs="宋体"/>
          <w:sz w:val="24"/>
          <w:highlight w:val="none"/>
        </w:rPr>
        <w:t>-开标记录模块开放</w:t>
      </w:r>
      <w:r>
        <w:rPr>
          <w:rFonts w:hint="eastAsia" w:ascii="宋体" w:hAnsi="宋体" w:eastAsia="宋体" w:cs="宋体"/>
          <w:sz w:val="24"/>
          <w:highlight w:val="none"/>
          <w:lang w:eastAsia="zh-CN"/>
        </w:rPr>
        <w:t>响应</w:t>
      </w:r>
      <w:r>
        <w:rPr>
          <w:rFonts w:hint="eastAsia" w:ascii="宋体" w:hAnsi="宋体" w:eastAsia="宋体" w:cs="宋体"/>
          <w:sz w:val="24"/>
          <w:highlight w:val="none"/>
        </w:rPr>
        <w:t>人</w:t>
      </w:r>
      <w:r>
        <w:rPr>
          <w:rFonts w:ascii="宋体" w:hAnsi="宋体" w:eastAsia="宋体" w:cs="宋体"/>
          <w:sz w:val="24"/>
          <w:highlight w:val="none"/>
        </w:rPr>
        <w:t>在线签字确认环节，</w:t>
      </w:r>
      <w:r>
        <w:rPr>
          <w:rFonts w:hint="eastAsia" w:ascii="宋体" w:hAnsi="宋体" w:eastAsia="宋体" w:cs="宋体"/>
          <w:sz w:val="24"/>
          <w:highlight w:val="none"/>
          <w:lang w:eastAsia="zh-CN"/>
        </w:rPr>
        <w:t>响应</w:t>
      </w:r>
      <w:r>
        <w:rPr>
          <w:rFonts w:ascii="宋体" w:hAnsi="宋体" w:eastAsia="宋体" w:cs="宋体"/>
          <w:sz w:val="24"/>
          <w:highlight w:val="none"/>
        </w:rPr>
        <w:t>人法定代表人或其授权代表对</w:t>
      </w:r>
      <w:r>
        <w:rPr>
          <w:rFonts w:hint="eastAsia" w:ascii="宋体" w:hAnsi="宋体" w:eastAsia="宋体" w:cs="宋体"/>
          <w:sz w:val="24"/>
          <w:highlight w:val="none"/>
          <w:lang w:eastAsia="zh-CN"/>
        </w:rPr>
        <w:t>报价</w:t>
      </w:r>
      <w:r>
        <w:rPr>
          <w:rFonts w:ascii="宋体" w:hAnsi="宋体" w:eastAsia="宋体" w:cs="宋体"/>
          <w:sz w:val="24"/>
          <w:highlight w:val="none"/>
        </w:rPr>
        <w:t>记录进行在线核实，</w:t>
      </w:r>
      <w:r>
        <w:rPr>
          <w:rFonts w:hint="eastAsia" w:ascii="宋体" w:hAnsi="宋体" w:eastAsia="宋体" w:cs="宋体"/>
          <w:sz w:val="24"/>
          <w:highlight w:val="none"/>
          <w:lang w:eastAsia="zh-CN"/>
        </w:rPr>
        <w:t>响应</w:t>
      </w:r>
      <w:r>
        <w:rPr>
          <w:rFonts w:ascii="宋体" w:hAnsi="宋体" w:eastAsia="宋体" w:cs="宋体"/>
          <w:sz w:val="24"/>
          <w:highlight w:val="none"/>
        </w:rPr>
        <w:t>法定代表人或其授权代表未在10分钟内进行在线核实的，视作无异议，不影响评标过程和结果。</w:t>
      </w:r>
    </w:p>
    <w:p>
      <w:pPr>
        <w:pageBreakBefore w:val="0"/>
        <w:kinsoku/>
        <w:wordWrap/>
        <w:overflowPunct/>
        <w:topLinePunct w:val="0"/>
        <w:autoSpaceDE/>
        <w:autoSpaceDN/>
        <w:bidi w:val="0"/>
        <w:spacing w:line="440" w:lineRule="exact"/>
        <w:ind w:left="0" w:leftChars="0"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w:t>
      </w:r>
      <w:r>
        <w:rPr>
          <w:rFonts w:hint="eastAsia" w:ascii="宋体" w:hAnsi="宋体" w:eastAsia="宋体" w:cs="宋体"/>
          <w:color w:val="auto"/>
          <w:kern w:val="0"/>
          <w:sz w:val="24"/>
          <w:highlight w:val="none"/>
          <w:lang w:eastAsia="zh-CN"/>
        </w:rPr>
        <w:t>评审</w:t>
      </w:r>
      <w:r>
        <w:rPr>
          <w:rFonts w:hint="eastAsia" w:ascii="宋体" w:hAnsi="宋体" w:eastAsia="宋体" w:cs="宋体"/>
          <w:color w:val="auto"/>
          <w:kern w:val="0"/>
          <w:sz w:val="24"/>
          <w:highlight w:val="none"/>
        </w:rPr>
        <w:t>结果按评审后得分由高到低顺序排列。得分相同的，按</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由低到高顺序排列。得分且</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相同的并列。</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为排名第一的</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。多家</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提供相同品牌产品（单一产品采购项目中的该产品或者非单一产品采购项目的核心产品）且通过资格审查、符合性审查的不同</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参加同一合同项下投标的，按一家</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计算，评审后得分最高的同品牌</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获得</w:t>
      </w:r>
      <w:r>
        <w:rPr>
          <w:rFonts w:hint="eastAsia" w:ascii="宋体" w:hAnsi="宋体" w:eastAsia="宋体" w:cs="宋体"/>
          <w:color w:val="auto"/>
          <w:kern w:val="0"/>
          <w:sz w:val="24"/>
          <w:highlight w:val="none"/>
          <w:lang w:eastAsia="zh-CN"/>
        </w:rPr>
        <w:t>成交人</w:t>
      </w:r>
      <w:r>
        <w:rPr>
          <w:rFonts w:hint="eastAsia" w:ascii="宋体" w:hAnsi="宋体" w:eastAsia="宋体" w:cs="宋体"/>
          <w:color w:val="auto"/>
          <w:kern w:val="0"/>
          <w:sz w:val="24"/>
          <w:highlight w:val="none"/>
        </w:rPr>
        <w:t>推荐资格；评审得分相同的，采取随机抽取方式确定，其他同品牌</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不作为</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w:t>
      </w:r>
    </w:p>
    <w:p>
      <w:pPr>
        <w:pageBreakBefore w:val="0"/>
        <w:kinsoku/>
        <w:wordWrap/>
        <w:overflowPunct/>
        <w:topLinePunct w:val="0"/>
        <w:autoSpaceDE/>
        <w:autoSpaceDN/>
        <w:bidi w:val="0"/>
        <w:spacing w:line="440" w:lineRule="exact"/>
        <w:ind w:left="0" w:leftChars="0"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w:t>
      </w:r>
      <w:r>
        <w:rPr>
          <w:rFonts w:hint="eastAsia" w:ascii="宋体" w:hAnsi="宋体" w:eastAsia="宋体" w:cs="宋体"/>
          <w:b/>
          <w:color w:val="auto"/>
          <w:kern w:val="0"/>
          <w:sz w:val="24"/>
          <w:highlight w:val="none"/>
          <w:lang w:eastAsia="zh-CN"/>
        </w:rPr>
        <w:t>评审</w:t>
      </w:r>
      <w:r>
        <w:rPr>
          <w:rFonts w:hint="eastAsia" w:ascii="宋体" w:hAnsi="宋体" w:eastAsia="宋体" w:cs="宋体"/>
          <w:b/>
          <w:color w:val="auto"/>
          <w:kern w:val="0"/>
          <w:sz w:val="24"/>
          <w:highlight w:val="none"/>
        </w:rPr>
        <w:t>报告。</w:t>
      </w:r>
      <w:r>
        <w:rPr>
          <w:rFonts w:hint="eastAsia" w:ascii="宋体" w:hAnsi="宋体" w:eastAsia="宋体" w:cs="宋体"/>
          <w:color w:val="auto"/>
          <w:kern w:val="0"/>
          <w:sz w:val="24"/>
          <w:highlight w:val="none"/>
          <w:lang w:eastAsia="zh-CN"/>
        </w:rPr>
        <w:t>评审</w:t>
      </w:r>
      <w:r>
        <w:rPr>
          <w:rFonts w:hint="eastAsia" w:ascii="宋体" w:hAnsi="宋体" w:eastAsia="宋体" w:cs="宋体"/>
          <w:color w:val="auto"/>
          <w:kern w:val="0"/>
          <w:sz w:val="24"/>
          <w:highlight w:val="none"/>
        </w:rPr>
        <w:t>委员会根据全体</w:t>
      </w:r>
      <w:r>
        <w:rPr>
          <w:rFonts w:hint="eastAsia" w:ascii="宋体" w:hAnsi="宋体" w:eastAsia="宋体" w:cs="宋体"/>
          <w:color w:val="auto"/>
          <w:kern w:val="0"/>
          <w:sz w:val="24"/>
          <w:highlight w:val="none"/>
          <w:lang w:eastAsia="zh-CN"/>
        </w:rPr>
        <w:t>评审</w:t>
      </w:r>
      <w:r>
        <w:rPr>
          <w:rFonts w:hint="eastAsia" w:ascii="宋体" w:hAnsi="宋体" w:eastAsia="宋体" w:cs="宋体"/>
          <w:color w:val="auto"/>
          <w:kern w:val="0"/>
          <w:sz w:val="24"/>
          <w:highlight w:val="none"/>
        </w:rPr>
        <w:t>成员签字的原始</w:t>
      </w:r>
      <w:r>
        <w:rPr>
          <w:rFonts w:hint="eastAsia" w:ascii="宋体" w:hAnsi="宋体" w:eastAsia="宋体" w:cs="宋体"/>
          <w:color w:val="auto"/>
          <w:kern w:val="0"/>
          <w:sz w:val="24"/>
          <w:highlight w:val="none"/>
          <w:lang w:eastAsia="zh-CN"/>
        </w:rPr>
        <w:t>评审</w:t>
      </w:r>
      <w:r>
        <w:rPr>
          <w:rFonts w:hint="eastAsia" w:ascii="宋体" w:hAnsi="宋体" w:eastAsia="宋体" w:cs="宋体"/>
          <w:color w:val="auto"/>
          <w:kern w:val="0"/>
          <w:sz w:val="24"/>
          <w:highlight w:val="none"/>
        </w:rPr>
        <w:t>记录和</w:t>
      </w:r>
      <w:r>
        <w:rPr>
          <w:rFonts w:hint="eastAsia" w:ascii="宋体" w:hAnsi="宋体" w:eastAsia="宋体" w:cs="宋体"/>
          <w:color w:val="auto"/>
          <w:kern w:val="0"/>
          <w:sz w:val="24"/>
          <w:highlight w:val="none"/>
          <w:lang w:eastAsia="zh-CN"/>
        </w:rPr>
        <w:t>评审</w:t>
      </w:r>
      <w:r>
        <w:rPr>
          <w:rFonts w:hint="eastAsia" w:ascii="宋体" w:hAnsi="宋体" w:eastAsia="宋体" w:cs="宋体"/>
          <w:color w:val="auto"/>
          <w:kern w:val="0"/>
          <w:sz w:val="24"/>
          <w:highlight w:val="none"/>
        </w:rPr>
        <w:t>结果编写</w:t>
      </w:r>
      <w:r>
        <w:rPr>
          <w:rFonts w:hint="eastAsia" w:ascii="宋体" w:hAnsi="宋体" w:eastAsia="宋体" w:cs="宋体"/>
          <w:color w:val="auto"/>
          <w:kern w:val="0"/>
          <w:sz w:val="24"/>
          <w:highlight w:val="none"/>
          <w:lang w:eastAsia="zh-CN"/>
        </w:rPr>
        <w:t>评审</w:t>
      </w:r>
      <w:r>
        <w:rPr>
          <w:rFonts w:hint="eastAsia" w:ascii="宋体" w:hAnsi="宋体" w:eastAsia="宋体" w:cs="宋体"/>
          <w:color w:val="auto"/>
          <w:kern w:val="0"/>
          <w:sz w:val="24"/>
          <w:highlight w:val="none"/>
        </w:rPr>
        <w:t>报告。</w:t>
      </w:r>
      <w:r>
        <w:rPr>
          <w:rFonts w:hint="eastAsia" w:ascii="宋体" w:hAnsi="宋体" w:eastAsia="宋体" w:cs="宋体"/>
          <w:color w:val="auto"/>
          <w:kern w:val="0"/>
          <w:sz w:val="24"/>
          <w:highlight w:val="none"/>
          <w:lang w:eastAsia="zh-CN"/>
        </w:rPr>
        <w:t>评审</w:t>
      </w:r>
      <w:r>
        <w:rPr>
          <w:rFonts w:hint="eastAsia" w:ascii="宋体" w:hAnsi="宋体" w:eastAsia="宋体" w:cs="宋体"/>
          <w:color w:val="auto"/>
          <w:kern w:val="0"/>
          <w:sz w:val="24"/>
          <w:highlight w:val="none"/>
        </w:rPr>
        <w:t>委员会成员对需要共同认定的事项存在争议的，应当按照少数服从多数的原则作出结论。持不同意见的</w:t>
      </w:r>
      <w:r>
        <w:rPr>
          <w:rFonts w:hint="eastAsia" w:ascii="宋体" w:hAnsi="宋体" w:eastAsia="宋体" w:cs="宋体"/>
          <w:color w:val="auto"/>
          <w:kern w:val="0"/>
          <w:sz w:val="24"/>
          <w:highlight w:val="none"/>
          <w:lang w:eastAsia="zh-CN"/>
        </w:rPr>
        <w:t>评审</w:t>
      </w:r>
      <w:r>
        <w:rPr>
          <w:rFonts w:hint="eastAsia" w:ascii="宋体" w:hAnsi="宋体" w:eastAsia="宋体" w:cs="宋体"/>
          <w:color w:val="auto"/>
          <w:kern w:val="0"/>
          <w:sz w:val="24"/>
          <w:highlight w:val="none"/>
        </w:rPr>
        <w:t>委员会成员应当在</w:t>
      </w:r>
      <w:r>
        <w:rPr>
          <w:rFonts w:hint="eastAsia" w:ascii="宋体" w:hAnsi="宋体" w:eastAsia="宋体" w:cs="宋体"/>
          <w:color w:val="auto"/>
          <w:kern w:val="0"/>
          <w:sz w:val="24"/>
          <w:highlight w:val="none"/>
          <w:lang w:eastAsia="zh-CN"/>
        </w:rPr>
        <w:t>评审</w:t>
      </w:r>
      <w:r>
        <w:rPr>
          <w:rFonts w:hint="eastAsia" w:ascii="宋体" w:hAnsi="宋体" w:eastAsia="宋体" w:cs="宋体"/>
          <w:color w:val="auto"/>
          <w:kern w:val="0"/>
          <w:sz w:val="24"/>
          <w:highlight w:val="none"/>
        </w:rPr>
        <w:t>报告上签署不同意见及理由，否则视为同意</w:t>
      </w:r>
      <w:r>
        <w:rPr>
          <w:rFonts w:hint="eastAsia" w:ascii="宋体" w:hAnsi="宋体" w:eastAsia="宋体" w:cs="宋体"/>
          <w:color w:val="auto"/>
          <w:kern w:val="0"/>
          <w:sz w:val="24"/>
          <w:highlight w:val="none"/>
          <w:lang w:eastAsia="zh-CN"/>
        </w:rPr>
        <w:t>评审</w:t>
      </w:r>
      <w:r>
        <w:rPr>
          <w:rFonts w:hint="eastAsia" w:ascii="宋体" w:hAnsi="宋体" w:eastAsia="宋体" w:cs="宋体"/>
          <w:color w:val="auto"/>
          <w:kern w:val="0"/>
          <w:sz w:val="24"/>
          <w:highlight w:val="none"/>
        </w:rPr>
        <w:t>报告。</w:t>
      </w:r>
    </w:p>
    <w:p>
      <w:pPr>
        <w:pageBreakBefore w:val="0"/>
        <w:widowControl/>
        <w:shd w:val="clear" w:color="auto" w:fill="FFFFFF"/>
        <w:kinsoku/>
        <w:wordWrap/>
        <w:overflowPunct/>
        <w:topLinePunct w:val="0"/>
        <w:autoSpaceDE/>
        <w:autoSpaceDN/>
        <w:bidi w:val="0"/>
        <w:adjustRightInd/>
        <w:spacing w:line="440" w:lineRule="exact"/>
        <w:ind w:left="0" w:leftChars="0"/>
        <w:jc w:val="left"/>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w:t>
      </w:r>
      <w:r>
        <w:rPr>
          <w:rFonts w:hint="eastAsia" w:ascii="宋体" w:hAnsi="宋体" w:eastAsia="宋体" w:cs="宋体"/>
          <w:b/>
          <w:color w:val="auto"/>
          <w:sz w:val="32"/>
          <w:highlight w:val="none"/>
          <w:lang w:eastAsia="zh-CN"/>
        </w:rPr>
        <w:t>评审</w:t>
      </w:r>
      <w:r>
        <w:rPr>
          <w:rFonts w:hint="eastAsia" w:ascii="宋体" w:hAnsi="宋体" w:eastAsia="宋体" w:cs="宋体"/>
          <w:b/>
          <w:color w:val="auto"/>
          <w:sz w:val="32"/>
          <w:highlight w:val="none"/>
        </w:rPr>
        <w:t>中的其他事项</w:t>
      </w:r>
    </w:p>
    <w:p>
      <w:pPr>
        <w:pStyle w:val="133"/>
        <w:pageBreakBefore w:val="0"/>
        <w:kinsoku/>
        <w:wordWrap/>
        <w:overflowPunct/>
        <w:topLinePunct w:val="0"/>
        <w:autoSpaceDE/>
        <w:autoSpaceDN/>
        <w:bidi w:val="0"/>
        <w:spacing w:before="0" w:line="440" w:lineRule="exact"/>
        <w:ind w:left="0" w:leftChars="0" w:firstLine="472" w:firstLineChars="196"/>
        <w:textAlignment w:val="auto"/>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4.1</w:t>
      </w:r>
      <w:r>
        <w:rPr>
          <w:rFonts w:hint="eastAsia" w:ascii="宋体" w:hAnsi="宋体" w:eastAsia="宋体" w:cs="宋体"/>
          <w:b/>
          <w:color w:val="auto"/>
          <w:kern w:val="0"/>
          <w:szCs w:val="24"/>
          <w:highlight w:val="none"/>
          <w:lang w:eastAsia="zh-CN"/>
        </w:rPr>
        <w:t>供应商</w:t>
      </w:r>
      <w:r>
        <w:rPr>
          <w:rFonts w:hint="eastAsia" w:ascii="宋体" w:hAnsi="宋体" w:eastAsia="宋体" w:cs="宋体"/>
          <w:b/>
          <w:color w:val="auto"/>
          <w:kern w:val="0"/>
          <w:szCs w:val="24"/>
          <w:highlight w:val="none"/>
        </w:rPr>
        <w:t>澄清、说明或者补正。</w:t>
      </w:r>
    </w:p>
    <w:p>
      <w:pPr>
        <w:pStyle w:val="133"/>
        <w:pageBreakBefore w:val="0"/>
        <w:kinsoku/>
        <w:wordWrap/>
        <w:overflowPunct/>
        <w:topLinePunct w:val="0"/>
        <w:autoSpaceDE/>
        <w:autoSpaceDN/>
        <w:bidi w:val="0"/>
        <w:spacing w:before="0" w:line="440" w:lineRule="exact"/>
        <w:ind w:left="0" w:leftChars="0" w:firstLine="470" w:firstLineChars="196"/>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4.1.1</w:t>
      </w:r>
      <w:r>
        <w:rPr>
          <w:rFonts w:hint="eastAsia" w:ascii="宋体" w:hAnsi="宋体" w:eastAsia="宋体" w:cs="宋体"/>
          <w:color w:val="auto"/>
          <w:kern w:val="0"/>
          <w:szCs w:val="24"/>
          <w:highlight w:val="none"/>
          <w:lang w:eastAsia="zh-CN"/>
        </w:rPr>
        <w:t>对于响应文件</w:t>
      </w:r>
      <w:r>
        <w:rPr>
          <w:rFonts w:hint="eastAsia" w:ascii="宋体" w:hAnsi="宋体" w:eastAsia="宋体" w:cs="宋体"/>
          <w:color w:val="auto"/>
          <w:kern w:val="0"/>
          <w:szCs w:val="24"/>
          <w:highlight w:val="none"/>
        </w:rPr>
        <w:t>中含义不明确、同类问题表述不一致或者有明显文字和计算错误的内容需要</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作出必要的澄清、说明或者补正的，</w:t>
      </w:r>
      <w:r>
        <w:rPr>
          <w:rFonts w:hint="eastAsia" w:ascii="宋体" w:hAnsi="宋体" w:eastAsia="宋体" w:cs="宋体"/>
          <w:color w:val="auto"/>
          <w:kern w:val="0"/>
          <w:szCs w:val="24"/>
          <w:highlight w:val="none"/>
          <w:lang w:eastAsia="zh-CN"/>
        </w:rPr>
        <w:t>评审</w:t>
      </w:r>
      <w:r>
        <w:rPr>
          <w:rFonts w:hint="eastAsia" w:ascii="宋体" w:hAnsi="宋体" w:eastAsia="宋体" w:cs="宋体"/>
          <w:color w:val="auto"/>
          <w:kern w:val="0"/>
          <w:szCs w:val="24"/>
          <w:highlight w:val="none"/>
        </w:rPr>
        <w:t>委员会和</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通过电子交易平台交换数据电文，</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提交使用电子签名的相关数据电文或通过平台上传加盖公章的扫描件。给予</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提交澄清、说明或补正的时间不得少于半小时，</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已经明确表示澄清说明或补正完毕的除外。</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的澄清、说明或者补正不得超出</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的范围或者改变</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的实质性内容。</w:t>
      </w:r>
    </w:p>
    <w:p>
      <w:pPr>
        <w:pStyle w:val="133"/>
        <w:pageBreakBefore w:val="0"/>
        <w:kinsoku/>
        <w:wordWrap/>
        <w:overflowPunct/>
        <w:topLinePunct w:val="0"/>
        <w:autoSpaceDE/>
        <w:autoSpaceDN/>
        <w:bidi w:val="0"/>
        <w:spacing w:before="0" w:line="440" w:lineRule="exact"/>
        <w:ind w:left="0" w:leftChars="0" w:firstLine="470" w:firstLineChars="196"/>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lang w:val="en-US" w:eastAsia="zh-CN"/>
        </w:rPr>
        <w:t>4.1.2</w:t>
      </w:r>
      <w:r>
        <w:rPr>
          <w:rFonts w:hint="eastAsia" w:ascii="宋体" w:hAnsi="宋体" w:eastAsia="宋体" w:cs="宋体"/>
          <w:color w:val="auto"/>
          <w:kern w:val="0"/>
          <w:szCs w:val="24"/>
          <w:highlight w:val="none"/>
          <w:lang w:eastAsia="zh-CN"/>
        </w:rPr>
        <w:t>响应</w:t>
      </w:r>
      <w:r>
        <w:rPr>
          <w:rFonts w:hint="eastAsia" w:ascii="宋体" w:hAnsi="宋体" w:eastAsia="宋体" w:cs="宋体"/>
          <w:color w:val="auto"/>
          <w:kern w:val="0"/>
          <w:szCs w:val="24"/>
          <w:highlight w:val="none"/>
        </w:rPr>
        <w:t>人应在接到工作人员电话通知时起30分钟内按工作人员要求方式予以澄清，否则视为不予回复，评标委员会有权否决该</w:t>
      </w:r>
      <w:r>
        <w:rPr>
          <w:rFonts w:hint="eastAsia" w:ascii="宋体" w:hAnsi="宋体" w:eastAsia="宋体" w:cs="宋体"/>
          <w:color w:val="auto"/>
          <w:kern w:val="0"/>
          <w:szCs w:val="24"/>
          <w:highlight w:val="none"/>
          <w:lang w:eastAsia="zh-CN"/>
        </w:rPr>
        <w:t>响应</w:t>
      </w:r>
      <w:r>
        <w:rPr>
          <w:rFonts w:hint="eastAsia" w:ascii="宋体" w:hAnsi="宋体" w:eastAsia="宋体" w:cs="宋体"/>
          <w:color w:val="auto"/>
          <w:kern w:val="0"/>
          <w:szCs w:val="24"/>
          <w:highlight w:val="none"/>
        </w:rPr>
        <w:t>文件。除必须澄清事宜外，各投标人超时不予答复、确认的行为，视为默认评审结果，放弃开评审过程相关权利</w:t>
      </w:r>
      <w:r>
        <w:rPr>
          <w:rFonts w:hint="eastAsia" w:ascii="宋体" w:hAnsi="宋体" w:eastAsia="宋体" w:cs="宋体"/>
          <w:color w:val="auto"/>
          <w:kern w:val="0"/>
          <w:szCs w:val="24"/>
          <w:highlight w:val="none"/>
          <w:lang w:eastAsia="zh-CN"/>
        </w:rPr>
        <w:t>。</w:t>
      </w:r>
    </w:p>
    <w:p>
      <w:pPr>
        <w:pStyle w:val="3"/>
        <w:pageBreakBefore w:val="0"/>
        <w:kinsoku/>
        <w:wordWrap/>
        <w:overflowPunct/>
        <w:topLinePunct w:val="0"/>
        <w:autoSpaceDE/>
        <w:autoSpaceDN/>
        <w:bidi w:val="0"/>
        <w:spacing w:line="440" w:lineRule="exact"/>
        <w:ind w:left="544" w:leftChars="228" w:hanging="65" w:hangingChars="27"/>
        <w:textAlignment w:val="auto"/>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w:t>
      </w:r>
      <w:r>
        <w:rPr>
          <w:rFonts w:hint="eastAsia" w:ascii="宋体" w:hAnsi="宋体" w:eastAsia="宋体" w:cs="宋体"/>
          <w:b/>
          <w:color w:val="auto"/>
          <w:kern w:val="0"/>
          <w:highlight w:val="none"/>
          <w:lang w:eastAsia="zh-CN"/>
        </w:rPr>
        <w:t>交易无效</w:t>
      </w:r>
      <w:r>
        <w:rPr>
          <w:rFonts w:hint="eastAsia" w:ascii="宋体" w:hAnsi="宋体" w:eastAsia="宋体" w:cs="宋体"/>
          <w:b/>
          <w:color w:val="auto"/>
          <w:kern w:val="0"/>
          <w:highlight w:val="none"/>
        </w:rPr>
        <w:t>。</w:t>
      </w:r>
      <w:r>
        <w:rPr>
          <w:rFonts w:hint="eastAsia" w:ascii="宋体" w:hAnsi="宋体" w:eastAsia="宋体" w:cs="宋体"/>
          <w:color w:val="auto"/>
          <w:szCs w:val="21"/>
          <w:highlight w:val="none"/>
        </w:rPr>
        <w:t>有下列情形之一的，</w:t>
      </w:r>
      <w:r>
        <w:rPr>
          <w:rFonts w:hint="eastAsia" w:ascii="宋体" w:hAnsi="宋体" w:eastAsia="宋体" w:cs="宋体"/>
          <w:color w:val="auto"/>
          <w:szCs w:val="21"/>
          <w:highlight w:val="none"/>
          <w:lang w:eastAsia="zh-CN"/>
        </w:rPr>
        <w:t>交易无效</w:t>
      </w:r>
      <w:r>
        <w:rPr>
          <w:rFonts w:hint="eastAsia" w:ascii="宋体" w:hAnsi="宋体" w:eastAsia="宋体" w:cs="宋体"/>
          <w:color w:val="auto"/>
          <w:szCs w:val="21"/>
          <w:highlight w:val="none"/>
        </w:rPr>
        <w:t>：</w:t>
      </w:r>
    </w:p>
    <w:p>
      <w:pPr>
        <w:pageBreakBefore w:val="0"/>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中规定的资格要求的（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未提供有效的资格文件的，视为</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中规定的资格要求）；</w:t>
      </w:r>
    </w:p>
    <w:p>
      <w:pPr>
        <w:pageBreakBefore w:val="0"/>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未按照</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要求签署、盖章的；</w:t>
      </w:r>
    </w:p>
    <w:p>
      <w:pPr>
        <w:pageBreakBefore w:val="0"/>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拟采购的产品属于政府强制采购的节能产品品目清单范围的，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未按</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要求提供国家确定的认证机构出具的、处于有效期之内的节能产品认证证书的；</w:t>
      </w:r>
    </w:p>
    <w:p>
      <w:pPr>
        <w:pageBreakBefore w:val="0"/>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含有</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不能接受的附加条件的；</w:t>
      </w:r>
    </w:p>
    <w:p>
      <w:pPr>
        <w:pageBreakBefore w:val="0"/>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中承诺的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少于</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中载明的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的；</w:t>
      </w:r>
    </w:p>
    <w:p>
      <w:pPr>
        <w:pageBreakBefore w:val="0"/>
        <w:kinsoku/>
        <w:wordWrap/>
        <w:overflowPunct/>
        <w:topLinePunct w:val="0"/>
        <w:autoSpaceDE/>
        <w:autoSpaceDN/>
        <w:bidi w:val="0"/>
        <w:snapToGrid w:val="0"/>
        <w:spacing w:line="440" w:lineRule="exact"/>
        <w:ind w:left="0" w:leftChars="0" w:firstLine="120" w:firstLineChars="5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p>
    <w:p>
      <w:pPr>
        <w:pageBreakBefore w:val="0"/>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中规定的预算金额或者最高限价的;</w:t>
      </w:r>
    </w:p>
    <w:p>
      <w:pPr>
        <w:pageBreakBefore w:val="0"/>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的报价，有可能影响产品质量或者不能诚信履约的，未能按要求提供书面说明或者提交相关证明材料，不能证明其报价合理性的;</w:t>
      </w:r>
    </w:p>
    <w:p>
      <w:pPr>
        <w:pageBreakBefore w:val="0"/>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对根据修正原则修正后的报价不确认的；</w:t>
      </w:r>
    </w:p>
    <w:p>
      <w:pPr>
        <w:pageBreakBefore w:val="0"/>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提供虚假材料投标的；</w:t>
      </w:r>
    </w:p>
    <w:p>
      <w:pPr>
        <w:pageBreakBefore w:val="0"/>
        <w:kinsoku/>
        <w:wordWrap/>
        <w:overflowPunct/>
        <w:topLinePunct w:val="0"/>
        <w:autoSpaceDE/>
        <w:autoSpaceDN/>
        <w:bidi w:val="0"/>
        <w:spacing w:line="440" w:lineRule="exact"/>
        <w:ind w:left="0" w:leftChars="0" w:firstLine="240" w:firstLineChars="1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有恶意串通、妨碍其他</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的竞争行为、损害</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或者其他</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的合法权益情形的；</w:t>
      </w:r>
    </w:p>
    <w:p>
      <w:pPr>
        <w:pageBreakBefore w:val="0"/>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仅提交备份</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，未在电子交易平台传输递交</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Style w:val="9"/>
        <w:pageBreakBefore w:val="0"/>
        <w:kinsoku/>
        <w:wordWrap/>
        <w:overflowPunct/>
        <w:topLinePunct w:val="0"/>
        <w:autoSpaceDE/>
        <w:autoSpaceDN/>
        <w:bidi w:val="0"/>
        <w:spacing w:line="440" w:lineRule="exact"/>
        <w:ind w:left="488" w:leftChars="228" w:hanging="9" w:hangingChars="4"/>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 xml:space="preserve">4.2.13 </w:t>
      </w:r>
      <w:r>
        <w:rPr>
          <w:rFonts w:hint="eastAsia" w:ascii="宋体" w:hAnsi="宋体" w:eastAsia="宋体" w:cs="宋体"/>
          <w:b w:val="0"/>
          <w:bCs w:val="0"/>
          <w:color w:val="auto"/>
          <w:kern w:val="0"/>
          <w:sz w:val="24"/>
          <w:szCs w:val="24"/>
          <w:highlight w:val="none"/>
          <w:lang w:val="en-US" w:eastAsia="zh-CN"/>
        </w:rPr>
        <w:t>响应文件</w:t>
      </w:r>
      <w:r>
        <w:rPr>
          <w:rFonts w:hint="eastAsia" w:ascii="宋体" w:hAnsi="宋体" w:eastAsia="宋体" w:cs="宋体"/>
          <w:b w:val="0"/>
          <w:bCs w:val="0"/>
          <w:color w:val="auto"/>
          <w:kern w:val="0"/>
          <w:sz w:val="24"/>
          <w:szCs w:val="24"/>
          <w:highlight w:val="none"/>
          <w:lang w:val="en-US"/>
        </w:rPr>
        <w:t>不满足</w:t>
      </w:r>
      <w:r>
        <w:rPr>
          <w:rFonts w:hint="eastAsia" w:ascii="宋体" w:hAnsi="宋体" w:eastAsia="宋体" w:cs="宋体"/>
          <w:b w:val="0"/>
          <w:bCs w:val="0"/>
          <w:color w:val="auto"/>
          <w:kern w:val="0"/>
          <w:sz w:val="24"/>
          <w:szCs w:val="24"/>
          <w:highlight w:val="none"/>
          <w:lang w:val="en-US" w:eastAsia="zh-CN"/>
        </w:rPr>
        <w:t>交易文件</w:t>
      </w:r>
      <w:r>
        <w:rPr>
          <w:rFonts w:hint="eastAsia" w:ascii="宋体" w:hAnsi="宋体" w:eastAsia="宋体" w:cs="宋体"/>
          <w:b w:val="0"/>
          <w:bCs w:val="0"/>
          <w:color w:val="auto"/>
          <w:kern w:val="0"/>
          <w:sz w:val="24"/>
          <w:szCs w:val="24"/>
          <w:highlight w:val="none"/>
          <w:lang w:val="en-US"/>
        </w:rPr>
        <w:t>的其它实质性要求的；</w:t>
      </w:r>
    </w:p>
    <w:p>
      <w:pPr>
        <w:pageBreakBefore w:val="0"/>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3"/>
        <w:pageBreakBefore w:val="0"/>
        <w:kinsoku/>
        <w:wordWrap/>
        <w:overflowPunct/>
        <w:topLinePunct w:val="0"/>
        <w:autoSpaceDE/>
        <w:autoSpaceDN/>
        <w:bidi w:val="0"/>
        <w:snapToGrid w:val="0"/>
        <w:spacing w:line="440" w:lineRule="exact"/>
        <w:ind w:left="0" w:leftChars="0" w:firstLine="472" w:firstLineChars="196"/>
        <w:textAlignment w:val="auto"/>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根据《中华人民共和国法》第三十六条之规定，在采购中，出现下列情形之一的，应予废标：</w:t>
      </w:r>
    </w:p>
    <w:p>
      <w:pPr>
        <w:pStyle w:val="3"/>
        <w:pageBreakBefore w:val="0"/>
        <w:kinsoku/>
        <w:wordWrap/>
        <w:overflowPunct/>
        <w:topLinePunct w:val="0"/>
        <w:autoSpaceDE/>
        <w:autoSpaceDN/>
        <w:bidi w:val="0"/>
        <w:snapToGrid w:val="0"/>
        <w:spacing w:line="440" w:lineRule="exact"/>
        <w:ind w:left="0"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作实质响应的供应商不足3家的；</w:t>
      </w:r>
    </w:p>
    <w:p>
      <w:pPr>
        <w:pStyle w:val="3"/>
        <w:pageBreakBefore w:val="0"/>
        <w:kinsoku/>
        <w:wordWrap/>
        <w:overflowPunct/>
        <w:topLinePunct w:val="0"/>
        <w:autoSpaceDE/>
        <w:autoSpaceDN/>
        <w:bidi w:val="0"/>
        <w:snapToGrid w:val="0"/>
        <w:spacing w:line="440" w:lineRule="exact"/>
        <w:ind w:left="0"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3"/>
        <w:pageBreakBefore w:val="0"/>
        <w:kinsoku/>
        <w:wordWrap/>
        <w:overflowPunct/>
        <w:topLinePunct w:val="0"/>
        <w:autoSpaceDE/>
        <w:autoSpaceDN/>
        <w:bidi w:val="0"/>
        <w:snapToGrid w:val="0"/>
        <w:spacing w:line="440" w:lineRule="exact"/>
        <w:ind w:left="0"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5.3</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的报价均超过了采购预算，</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不能支付的；</w:t>
      </w:r>
    </w:p>
    <w:p>
      <w:pPr>
        <w:pStyle w:val="3"/>
        <w:pageBreakBefore w:val="0"/>
        <w:kinsoku/>
        <w:wordWrap/>
        <w:overflowPunct/>
        <w:topLinePunct w:val="0"/>
        <w:autoSpaceDE/>
        <w:autoSpaceDN/>
        <w:bidi w:val="0"/>
        <w:snapToGrid w:val="0"/>
        <w:spacing w:line="440" w:lineRule="exact"/>
        <w:ind w:left="0"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3"/>
        <w:pageBreakBefore w:val="0"/>
        <w:kinsoku/>
        <w:wordWrap/>
        <w:overflowPunct/>
        <w:topLinePunct w:val="0"/>
        <w:autoSpaceDE/>
        <w:autoSpaceDN/>
        <w:bidi w:val="0"/>
        <w:snapToGrid w:val="0"/>
        <w:spacing w:line="440" w:lineRule="exact"/>
        <w:ind w:left="0"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val="en-US" w:eastAsia="zh-CN"/>
        </w:rPr>
        <w:t>代理</w:t>
      </w:r>
      <w:r>
        <w:rPr>
          <w:rFonts w:hint="eastAsia" w:ascii="宋体" w:hAnsi="宋体" w:eastAsia="宋体" w:cs="宋体"/>
          <w:color w:val="auto"/>
          <w:highlight w:val="none"/>
        </w:rPr>
        <w:t>机构应当将废标理由通知所有</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w:t>
      </w:r>
    </w:p>
    <w:p>
      <w:pPr>
        <w:pStyle w:val="3"/>
        <w:pageBreakBefore w:val="0"/>
        <w:kinsoku/>
        <w:wordWrap/>
        <w:overflowPunct/>
        <w:topLinePunct w:val="0"/>
        <w:autoSpaceDE/>
        <w:autoSpaceDN/>
        <w:bidi w:val="0"/>
        <w:snapToGrid w:val="0"/>
        <w:spacing w:line="440" w:lineRule="exact"/>
        <w:ind w:left="0" w:leftChars="0" w:firstLine="590" w:firstLineChars="245"/>
        <w:textAlignment w:val="auto"/>
        <w:rPr>
          <w:rFonts w:hint="eastAsia" w:ascii="宋体" w:hAnsi="宋体" w:eastAsia="宋体" w:cs="宋体"/>
          <w:color w:val="auto"/>
          <w:highlight w:val="none"/>
        </w:rPr>
      </w:pPr>
      <w:r>
        <w:rPr>
          <w:rFonts w:hint="eastAsia" w:ascii="宋体" w:hAnsi="宋体" w:eastAsia="宋体" w:cs="宋体"/>
          <w:b/>
          <w:color w:val="auto"/>
          <w:highlight w:val="none"/>
        </w:rPr>
        <w:t>6.修改</w:t>
      </w:r>
      <w:r>
        <w:rPr>
          <w:rFonts w:hint="eastAsia" w:ascii="宋体" w:hAnsi="宋体" w:eastAsia="宋体" w:cs="宋体"/>
          <w:b/>
          <w:color w:val="auto"/>
          <w:highlight w:val="none"/>
          <w:lang w:eastAsia="zh-CN"/>
        </w:rPr>
        <w:t>交易文件</w:t>
      </w:r>
      <w:r>
        <w:rPr>
          <w:rFonts w:hint="eastAsia" w:ascii="宋体" w:hAnsi="宋体" w:eastAsia="宋体" w:cs="宋体"/>
          <w:b/>
          <w:color w:val="auto"/>
          <w:highlight w:val="none"/>
        </w:rPr>
        <w:t>，重新组织采购活动。</w:t>
      </w:r>
      <w:r>
        <w:rPr>
          <w:rFonts w:hint="eastAsia" w:ascii="宋体" w:hAnsi="宋体" w:eastAsia="宋体" w:cs="宋体"/>
          <w:color w:val="auto"/>
          <w:highlight w:val="none"/>
          <w:lang w:eastAsia="zh-CN"/>
        </w:rPr>
        <w:t>评审</w:t>
      </w:r>
      <w:r>
        <w:rPr>
          <w:rFonts w:hint="eastAsia" w:ascii="宋体" w:hAnsi="宋体" w:eastAsia="宋体" w:cs="宋体"/>
          <w:color w:val="auto"/>
          <w:highlight w:val="none"/>
        </w:rPr>
        <w:t>委员会发现</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存在歧义、重大缺陷导致</w:t>
      </w:r>
      <w:r>
        <w:rPr>
          <w:rFonts w:hint="eastAsia" w:ascii="宋体" w:hAnsi="宋体" w:eastAsia="宋体" w:cs="宋体"/>
          <w:color w:val="auto"/>
          <w:highlight w:val="none"/>
          <w:lang w:eastAsia="zh-CN"/>
        </w:rPr>
        <w:t>评审</w:t>
      </w:r>
      <w:r>
        <w:rPr>
          <w:rFonts w:hint="eastAsia" w:ascii="宋体" w:hAnsi="宋体" w:eastAsia="宋体" w:cs="宋体"/>
          <w:color w:val="auto"/>
          <w:highlight w:val="none"/>
        </w:rPr>
        <w:t>工作无法进行，或者</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内容违反国家有关强制性规定的，将停止</w:t>
      </w:r>
      <w:r>
        <w:rPr>
          <w:rFonts w:hint="eastAsia" w:ascii="宋体" w:hAnsi="宋体" w:eastAsia="宋体" w:cs="宋体"/>
          <w:color w:val="auto"/>
          <w:highlight w:val="none"/>
          <w:lang w:eastAsia="zh-CN"/>
        </w:rPr>
        <w:t>评审</w:t>
      </w:r>
      <w:r>
        <w:rPr>
          <w:rFonts w:hint="eastAsia" w:ascii="宋体" w:hAnsi="宋体" w:eastAsia="宋体" w:cs="宋体"/>
          <w:color w:val="auto"/>
          <w:highlight w:val="none"/>
        </w:rPr>
        <w:t>工作，并与</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代理</w:t>
      </w:r>
      <w:r>
        <w:rPr>
          <w:rFonts w:hint="eastAsia" w:ascii="宋体" w:hAnsi="宋体" w:eastAsia="宋体" w:cs="宋体"/>
          <w:color w:val="auto"/>
          <w:highlight w:val="none"/>
        </w:rPr>
        <w:t>机构沟通并作书面记录。</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代理</w:t>
      </w:r>
      <w:r>
        <w:rPr>
          <w:rFonts w:hint="eastAsia" w:ascii="宋体" w:hAnsi="宋体" w:eastAsia="宋体" w:cs="宋体"/>
          <w:color w:val="auto"/>
          <w:highlight w:val="none"/>
        </w:rPr>
        <w:t>机构确认后，将修改</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，重新组织</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3"/>
        <w:pageBreakBefore w:val="0"/>
        <w:kinsoku/>
        <w:wordWrap/>
        <w:overflowPunct/>
        <w:topLinePunct w:val="0"/>
        <w:autoSpaceDE/>
        <w:autoSpaceDN/>
        <w:bidi w:val="0"/>
        <w:snapToGrid w:val="0"/>
        <w:spacing w:line="440" w:lineRule="exact"/>
        <w:ind w:left="0" w:leftChars="0" w:firstLine="590" w:firstLineChars="245"/>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w:t>
      </w:r>
      <w:r>
        <w:rPr>
          <w:rFonts w:hint="eastAsia" w:ascii="宋体" w:hAnsi="宋体" w:eastAsia="宋体" w:cs="宋体"/>
          <w:b/>
          <w:color w:val="auto"/>
          <w:kern w:val="0"/>
          <w:highlight w:val="none"/>
          <w:lang w:val="en-US" w:eastAsia="zh-CN"/>
        </w:rPr>
        <w:t>交易</w:t>
      </w:r>
      <w:r>
        <w:rPr>
          <w:rFonts w:hint="eastAsia" w:ascii="宋体" w:hAnsi="宋体" w:eastAsia="宋体" w:cs="宋体"/>
          <w:b/>
          <w:color w:val="auto"/>
          <w:kern w:val="0"/>
          <w:highlight w:val="none"/>
        </w:rPr>
        <w:t>。</w:t>
      </w:r>
      <w:r>
        <w:rPr>
          <w:rFonts w:hint="eastAsia" w:ascii="宋体" w:hAnsi="宋体" w:eastAsia="宋体" w:cs="宋体"/>
          <w:color w:val="auto"/>
          <w:highlight w:val="none"/>
        </w:rPr>
        <w:t>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、成交结果的，依照下列规定处理：</w:t>
      </w:r>
    </w:p>
    <w:p>
      <w:pPr>
        <w:pStyle w:val="3"/>
        <w:pageBreakBefore w:val="0"/>
        <w:kinsoku/>
        <w:wordWrap/>
        <w:overflowPunct/>
        <w:topLinePunct w:val="0"/>
        <w:autoSpaceDE/>
        <w:autoSpaceDN/>
        <w:bidi w:val="0"/>
        <w:snapToGrid w:val="0"/>
        <w:spacing w:line="440" w:lineRule="exact"/>
        <w:ind w:left="0" w:leftChars="0"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的，终止本次</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3"/>
        <w:pageBreakBefore w:val="0"/>
        <w:kinsoku/>
        <w:wordWrap/>
        <w:overflowPunct/>
        <w:topLinePunct w:val="0"/>
        <w:autoSpaceDE/>
        <w:autoSpaceDN/>
        <w:bidi w:val="0"/>
        <w:snapToGrid w:val="0"/>
        <w:spacing w:line="440" w:lineRule="exact"/>
        <w:ind w:left="0" w:leftChars="0"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但尚未签订合同的，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或者成交结果无效，从合格的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3"/>
        <w:pageBreakBefore w:val="0"/>
        <w:kinsoku/>
        <w:wordWrap/>
        <w:overflowPunct/>
        <w:topLinePunct w:val="0"/>
        <w:autoSpaceDE/>
        <w:autoSpaceDN/>
        <w:bidi w:val="0"/>
        <w:snapToGrid w:val="0"/>
        <w:spacing w:line="440" w:lineRule="exact"/>
        <w:ind w:left="0" w:leftChars="0"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7.3采购合同已签订但尚未履行的，撤销合同，从合格的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3"/>
        <w:pageBreakBefore w:val="0"/>
        <w:kinsoku/>
        <w:wordWrap/>
        <w:overflowPunct/>
        <w:topLinePunct w:val="0"/>
        <w:autoSpaceDE/>
        <w:autoSpaceDN/>
        <w:bidi w:val="0"/>
        <w:snapToGrid w:val="0"/>
        <w:spacing w:line="440" w:lineRule="exact"/>
        <w:ind w:left="0"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7.4采购合同已经履行，给</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、供应商造成损失的，由责任人承担赔偿责任。</w:t>
      </w:r>
    </w:p>
    <w:p>
      <w:pPr>
        <w:pStyle w:val="3"/>
        <w:pageBreakBefore w:val="0"/>
        <w:kinsoku/>
        <w:wordWrap/>
        <w:overflowPunct/>
        <w:topLinePunct w:val="0"/>
        <w:autoSpaceDE/>
        <w:autoSpaceDN/>
        <w:bidi w:val="0"/>
        <w:snapToGrid w:val="0"/>
        <w:spacing w:line="440" w:lineRule="exact"/>
        <w:ind w:left="0"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7.5采购当事人有其他违反法</w:t>
      </w:r>
      <w:r>
        <w:rPr>
          <w:rFonts w:hint="eastAsia" w:ascii="宋体" w:hAnsi="宋体" w:eastAsia="宋体" w:cs="宋体"/>
          <w:color w:val="auto"/>
          <w:kern w:val="0"/>
          <w:highlight w:val="none"/>
        </w:rPr>
        <w:t>或者法实施条例等法律法规规定</w:t>
      </w:r>
      <w:r>
        <w:rPr>
          <w:rFonts w:hint="eastAsia" w:ascii="宋体" w:hAnsi="宋体" w:eastAsia="宋体" w:cs="宋体"/>
          <w:color w:val="auto"/>
          <w:highlight w:val="none"/>
        </w:rPr>
        <w:t>的行为，经改正后仍然影响或者可能影响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、成交结果或者依法被认定为</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、成交无效的，依照7.1-7.4规定处理。</w:t>
      </w:r>
    </w:p>
    <w:p>
      <w:pPr>
        <w:pStyle w:val="3"/>
        <w:pageBreakBefore w:val="0"/>
        <w:kinsoku/>
        <w:wordWrap/>
        <w:overflowPunct/>
        <w:topLinePunct w:val="0"/>
        <w:autoSpaceDE/>
        <w:autoSpaceDN/>
        <w:bidi w:val="0"/>
        <w:snapToGrid w:val="0"/>
        <w:spacing w:line="440" w:lineRule="exact"/>
        <w:ind w:left="0" w:leftChars="0"/>
        <w:jc w:val="center"/>
        <w:textAlignment w:val="auto"/>
        <w:rPr>
          <w:rFonts w:hint="eastAsia" w:ascii="宋体" w:hAnsi="宋体" w:eastAsia="宋体" w:cs="宋体"/>
          <w:b/>
          <w:color w:val="auto"/>
          <w:sz w:val="36"/>
          <w:szCs w:val="36"/>
          <w:highlight w:val="none"/>
        </w:rPr>
      </w:pPr>
    </w:p>
    <w:p>
      <w:pPr>
        <w:pStyle w:val="3"/>
        <w:pageBreakBefore w:val="0"/>
        <w:kinsoku/>
        <w:wordWrap/>
        <w:overflowPunct/>
        <w:topLinePunct w:val="0"/>
        <w:autoSpaceDE/>
        <w:autoSpaceDN/>
        <w:bidi w:val="0"/>
        <w:snapToGrid w:val="0"/>
        <w:spacing w:line="440" w:lineRule="exact"/>
        <w:ind w:left="0" w:leftChars="0"/>
        <w:jc w:val="center"/>
        <w:textAlignment w:val="auto"/>
        <w:rPr>
          <w:rFonts w:hint="eastAsia" w:ascii="宋体" w:hAnsi="宋体" w:eastAsia="宋体" w:cs="宋体"/>
          <w:b/>
          <w:color w:val="auto"/>
          <w:sz w:val="36"/>
          <w:szCs w:val="36"/>
          <w:highlight w:val="none"/>
        </w:rPr>
      </w:pPr>
    </w:p>
    <w:p>
      <w:pPr>
        <w:pStyle w:val="44"/>
        <w:rPr>
          <w:rFonts w:hint="eastAsia" w:ascii="宋体" w:hAnsi="宋体" w:eastAsia="宋体" w:cs="宋体"/>
          <w:b/>
          <w:color w:val="auto"/>
          <w:sz w:val="36"/>
          <w:szCs w:val="36"/>
          <w:highlight w:val="none"/>
        </w:rPr>
      </w:pPr>
    </w:p>
    <w:p>
      <w:pPr>
        <w:pStyle w:val="44"/>
        <w:rPr>
          <w:rFonts w:hint="eastAsia" w:ascii="宋体" w:hAnsi="宋体" w:eastAsia="宋体" w:cs="宋体"/>
          <w:b/>
          <w:color w:val="auto"/>
          <w:sz w:val="36"/>
          <w:szCs w:val="36"/>
          <w:highlight w:val="none"/>
        </w:rPr>
      </w:pPr>
    </w:p>
    <w:p>
      <w:pPr>
        <w:pStyle w:val="44"/>
        <w:rPr>
          <w:rFonts w:hint="eastAsia" w:ascii="宋体" w:hAnsi="宋体" w:eastAsia="宋体" w:cs="宋体"/>
          <w:b/>
          <w:color w:val="auto"/>
          <w:sz w:val="36"/>
          <w:szCs w:val="36"/>
          <w:highlight w:val="none"/>
        </w:rPr>
      </w:pPr>
    </w:p>
    <w:p>
      <w:pPr>
        <w:pStyle w:val="44"/>
        <w:rPr>
          <w:rFonts w:hint="eastAsia" w:ascii="宋体" w:hAnsi="宋体" w:eastAsia="宋体" w:cs="宋体"/>
          <w:b/>
          <w:color w:val="auto"/>
          <w:sz w:val="36"/>
          <w:szCs w:val="36"/>
          <w:highlight w:val="none"/>
        </w:rPr>
      </w:pPr>
    </w:p>
    <w:p>
      <w:pPr>
        <w:pStyle w:val="44"/>
        <w:rPr>
          <w:rFonts w:hint="eastAsia" w:ascii="宋体" w:hAnsi="宋体" w:eastAsia="宋体" w:cs="宋体"/>
          <w:b/>
          <w:color w:val="auto"/>
          <w:sz w:val="36"/>
          <w:szCs w:val="36"/>
          <w:highlight w:val="none"/>
        </w:rPr>
      </w:pPr>
    </w:p>
    <w:p>
      <w:pPr>
        <w:pStyle w:val="44"/>
        <w:rPr>
          <w:rFonts w:hint="eastAsia" w:ascii="宋体" w:hAnsi="宋体" w:eastAsia="宋体" w:cs="宋体"/>
          <w:b/>
          <w:color w:val="auto"/>
          <w:sz w:val="36"/>
          <w:szCs w:val="36"/>
          <w:highlight w:val="none"/>
        </w:rPr>
      </w:pPr>
    </w:p>
    <w:p>
      <w:pPr>
        <w:pStyle w:val="44"/>
        <w:rPr>
          <w:rFonts w:hint="eastAsia" w:ascii="宋体" w:hAnsi="宋体" w:eastAsia="宋体" w:cs="宋体"/>
          <w:b/>
          <w:color w:val="auto"/>
          <w:sz w:val="36"/>
          <w:szCs w:val="36"/>
          <w:highlight w:val="none"/>
        </w:rPr>
      </w:pPr>
    </w:p>
    <w:p>
      <w:pPr>
        <w:pStyle w:val="44"/>
        <w:rPr>
          <w:rFonts w:hint="eastAsia" w:ascii="宋体" w:hAnsi="宋体" w:eastAsia="宋体" w:cs="宋体"/>
          <w:b/>
          <w:color w:val="auto"/>
          <w:sz w:val="36"/>
          <w:szCs w:val="36"/>
          <w:highlight w:val="none"/>
        </w:rPr>
      </w:pPr>
    </w:p>
    <w:p>
      <w:pPr>
        <w:pStyle w:val="44"/>
        <w:rPr>
          <w:rFonts w:hint="eastAsia" w:ascii="宋体" w:hAnsi="宋体" w:eastAsia="宋体" w:cs="宋体"/>
          <w:b/>
          <w:color w:val="auto"/>
          <w:sz w:val="36"/>
          <w:szCs w:val="36"/>
          <w:highlight w:val="none"/>
        </w:rPr>
      </w:pPr>
    </w:p>
    <w:p>
      <w:pPr>
        <w:pStyle w:val="44"/>
        <w:rPr>
          <w:rFonts w:hint="eastAsia" w:ascii="宋体" w:hAnsi="宋体" w:eastAsia="宋体" w:cs="宋体"/>
          <w:b/>
          <w:color w:val="auto"/>
          <w:sz w:val="36"/>
          <w:szCs w:val="36"/>
          <w:highlight w:val="none"/>
        </w:rPr>
      </w:pPr>
    </w:p>
    <w:p>
      <w:pPr>
        <w:pStyle w:val="44"/>
        <w:rPr>
          <w:rFonts w:hint="eastAsia" w:ascii="宋体" w:hAnsi="宋体" w:eastAsia="宋体" w:cs="宋体"/>
          <w:b/>
          <w:color w:val="auto"/>
          <w:sz w:val="36"/>
          <w:szCs w:val="36"/>
          <w:highlight w:val="none"/>
        </w:rPr>
      </w:pPr>
    </w:p>
    <w:p>
      <w:pPr>
        <w:pStyle w:val="44"/>
        <w:rPr>
          <w:rFonts w:hint="eastAsia" w:ascii="宋体" w:hAnsi="宋体" w:eastAsia="宋体" w:cs="宋体"/>
          <w:b/>
          <w:color w:val="auto"/>
          <w:sz w:val="36"/>
          <w:szCs w:val="36"/>
          <w:highlight w:val="none"/>
        </w:rPr>
      </w:pPr>
    </w:p>
    <w:p>
      <w:pPr>
        <w:pStyle w:val="44"/>
        <w:rPr>
          <w:rFonts w:hint="eastAsia" w:ascii="宋体" w:hAnsi="宋体" w:eastAsia="宋体" w:cs="宋体"/>
          <w:b/>
          <w:color w:val="auto"/>
          <w:sz w:val="36"/>
          <w:szCs w:val="36"/>
          <w:highlight w:val="none"/>
        </w:rPr>
      </w:pPr>
    </w:p>
    <w:p>
      <w:pPr>
        <w:pStyle w:val="44"/>
        <w:rPr>
          <w:rFonts w:hint="eastAsia" w:ascii="宋体" w:hAnsi="宋体" w:eastAsia="宋体" w:cs="宋体"/>
          <w:b/>
          <w:color w:val="auto"/>
          <w:sz w:val="36"/>
          <w:szCs w:val="36"/>
          <w:highlight w:val="none"/>
        </w:rPr>
      </w:pPr>
    </w:p>
    <w:p>
      <w:pPr>
        <w:pStyle w:val="44"/>
        <w:rPr>
          <w:rFonts w:hint="eastAsia" w:ascii="宋体" w:hAnsi="宋体" w:eastAsia="宋体" w:cs="宋体"/>
          <w:b/>
          <w:color w:val="auto"/>
          <w:sz w:val="36"/>
          <w:szCs w:val="36"/>
          <w:highlight w:val="none"/>
        </w:rPr>
      </w:pPr>
    </w:p>
    <w:p>
      <w:pPr>
        <w:pStyle w:val="44"/>
        <w:rPr>
          <w:rFonts w:hint="eastAsia" w:ascii="宋体" w:hAnsi="宋体" w:eastAsia="宋体" w:cs="宋体"/>
          <w:b/>
          <w:color w:val="auto"/>
          <w:sz w:val="36"/>
          <w:szCs w:val="36"/>
          <w:highlight w:val="none"/>
        </w:rPr>
      </w:pPr>
    </w:p>
    <w:p>
      <w:pPr>
        <w:pStyle w:val="44"/>
        <w:rPr>
          <w:rFonts w:hint="eastAsia" w:ascii="宋体" w:hAnsi="宋体" w:eastAsia="宋体" w:cs="宋体"/>
          <w:b/>
          <w:color w:val="auto"/>
          <w:sz w:val="36"/>
          <w:szCs w:val="36"/>
          <w:highlight w:val="none"/>
        </w:rPr>
      </w:pPr>
    </w:p>
    <w:p>
      <w:pPr>
        <w:pStyle w:val="44"/>
        <w:rPr>
          <w:rFonts w:hint="eastAsia" w:ascii="宋体" w:hAnsi="宋体" w:eastAsia="宋体" w:cs="宋体"/>
          <w:b/>
          <w:color w:val="auto"/>
          <w:sz w:val="36"/>
          <w:szCs w:val="36"/>
          <w:highlight w:val="none"/>
        </w:rPr>
      </w:pPr>
    </w:p>
    <w:p>
      <w:pPr>
        <w:pStyle w:val="3"/>
        <w:pageBreakBefore w:val="0"/>
        <w:kinsoku/>
        <w:wordWrap/>
        <w:overflowPunct/>
        <w:topLinePunct w:val="0"/>
        <w:autoSpaceDE/>
        <w:autoSpaceDN/>
        <w:bidi w:val="0"/>
        <w:snapToGrid w:val="0"/>
        <w:spacing w:line="440" w:lineRule="exact"/>
        <w:ind w:left="0" w:leftChars="0"/>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合同编号：</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签订地点：                                 签订时间：20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甲方（需方）：                                     </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乙方（供方）：                                     </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供、需双方根据杭州市萧山区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）交易结果和交易文件的要求，并经双方协调一致，订立本合同。</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一、合同文件：</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1、合同条款。</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2、成交通知书。</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3、交易文件。</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4、更正公告。</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5、成交单位响应文件。</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6、其他。</w:t>
      </w:r>
    </w:p>
    <w:p>
      <w:pPr>
        <w:keepNext w:val="0"/>
        <w:keepLines w:val="0"/>
        <w:pageBreakBefore w:val="0"/>
        <w:widowControl w:val="0"/>
        <w:kinsoku/>
        <w:wordWrap/>
        <w:overflowPunct/>
        <w:topLinePunct w:val="0"/>
        <w:autoSpaceDE/>
        <w:autoSpaceDN/>
        <w:bidi w:val="0"/>
        <w:adjustRightInd w:val="0"/>
        <w:snapToGrid/>
        <w:spacing w:line="440" w:lineRule="exact"/>
        <w:ind w:left="0" w:lef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二、合同金额: 本合同金额为(大写)_________________元（￥</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元）人民币附：</w:t>
      </w:r>
    </w:p>
    <w:p>
      <w:pPr>
        <w:keepNext w:val="0"/>
        <w:keepLines w:val="0"/>
        <w:pageBreakBefore w:val="0"/>
        <w:widowControl w:val="0"/>
        <w:kinsoku/>
        <w:wordWrap/>
        <w:overflowPunct/>
        <w:topLinePunct w:val="0"/>
        <w:autoSpaceDE/>
        <w:autoSpaceDN/>
        <w:bidi w:val="0"/>
        <w:adjustRightInd w:val="0"/>
        <w:snapToGrid/>
        <w:spacing w:line="440" w:lineRule="exact"/>
        <w:ind w:left="0" w:lef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《项目清单内容》</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成交内容</w:t>
            </w:r>
          </w:p>
        </w:tc>
        <w:tc>
          <w:tcPr>
            <w:tcW w:w="1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成交单价（元）</w:t>
            </w:r>
          </w:p>
        </w:tc>
        <w:tc>
          <w:tcPr>
            <w:tcW w:w="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成交总价（元）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jc w:val="center"/>
              <w:textAlignment w:val="auto"/>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jc w:val="center"/>
              <w:textAlignment w:val="auto"/>
              <w:rPr>
                <w:rFonts w:hint="eastAsia" w:ascii="宋体" w:hAnsi="宋体" w:eastAsia="宋体" w:cs="宋体"/>
                <w:color w:val="auto"/>
                <w:sz w:val="24"/>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jc w:val="center"/>
              <w:textAlignment w:val="auto"/>
              <w:rPr>
                <w:rFonts w:hint="eastAsia" w:ascii="宋体" w:hAnsi="宋体" w:eastAsia="宋体" w:cs="宋体"/>
                <w:color w:val="auto"/>
                <w:sz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jc w:val="center"/>
              <w:textAlignment w:val="auto"/>
              <w:rPr>
                <w:rFonts w:hint="eastAsia" w:ascii="宋体" w:hAnsi="宋体" w:eastAsia="宋体" w:cs="宋体"/>
                <w:color w:val="auto"/>
                <w:sz w:val="24"/>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jc w:val="center"/>
              <w:textAlignment w:val="auto"/>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jc w:val="center"/>
              <w:textAlignment w:val="auto"/>
              <w:rPr>
                <w:rFonts w:hint="eastAsia" w:ascii="宋体" w:hAnsi="宋体" w:eastAsia="宋体" w:cs="宋体"/>
                <w:color w:val="auto"/>
                <w:sz w:val="24"/>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jc w:val="center"/>
              <w:textAlignment w:val="auto"/>
              <w:rPr>
                <w:rFonts w:hint="eastAsia" w:ascii="宋体" w:hAnsi="宋体" w:eastAsia="宋体" w:cs="宋体"/>
                <w:color w:val="auto"/>
                <w:sz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jc w:val="center"/>
              <w:textAlignment w:val="auto"/>
              <w:rPr>
                <w:rFonts w:hint="eastAsia" w:ascii="宋体" w:hAnsi="宋体" w:eastAsia="宋体" w:cs="宋体"/>
                <w:color w:val="auto"/>
                <w:sz w:val="24"/>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jc w:val="center"/>
              <w:textAlignment w:val="auto"/>
              <w:rPr>
                <w:rFonts w:hint="eastAsia" w:ascii="宋体" w:hAnsi="宋体" w:eastAsia="宋体" w:cs="宋体"/>
                <w:color w:val="auto"/>
                <w:sz w:val="24"/>
                <w:highlight w:val="none"/>
              </w:rPr>
            </w:pPr>
          </w:p>
        </w:tc>
      </w:tr>
    </w:tbl>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三、技术资料</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1.乙方应按交易文件规定的时间向甲方提供有关技术资料。</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四、知识产权</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乙方应保证提供服务过程中不会侵犯任何第三方的知识产权。</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五、履约保证金</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乙方交纳人民币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元作为本合同的履约保证金。</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六、转包或分包</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1.本合同范围的服务，应由乙方直接供应，不得转让他人供应；</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2.除非得到甲方的书面同意，乙方不得将本合同范围的服务全部或部分分包给他人供应；</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3.如有转让和未经甲方同意的分包行为，甲方有权解除合同，没收履约保证金并追究乙方的违约责任。</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七、服务质量保证期和服务质量保证金(选用)</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服务质量保证期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年。（自验收合格之日起计）</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服务质量保证金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八、合同履行时间、履行方式及履行地点</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履行时间：</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履行方式：</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 履行地点：</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九、款项支付</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1.付款方式：</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2.合同履行完毕，需方根据合同进行验收，验收合格后供应商按结算要求办理货款结算手续。</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十、税费</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本合同执行中相关的一切税费均由乙方负担。</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十一、质量保证及后续服务</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乙方应按交易文件规定向甲方提供服务。</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乙方提供的服务成果在服务质量保证期内发生故障，乙方应负责免费提供后续服务。对达不到要求者，根据实际情况，经双方协商，可按以下办法处理：</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⑴重做：由乙方承担所发生的全部费用。</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⑵贬值处理：由甲乙双方合议定价。</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⑶解除合同。</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 如在使用过程中发生问题，乙方在接到甲方通知后在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小时内到达甲方现场。</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4.在服务质量保证期内，乙方应对出现的质量及安全问题负责处理解决并承担一切费用。</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十二、违约责任</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1.甲方无正当理由拒绝接收服务的，甲方向乙方偿付合同款项百分之</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作为违约金。</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2.甲方无故逾期验收和办理款项支付手续的，甲方应按逾期付款总额每日万分之</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向乙方支付违约金。</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3.乙方未能如期提供服务的，每日向甲方支付合同款项的千分之</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作为违约金。乙方超过约定日期10个工作日仍不能提供服务的，甲方可解除本合同，不予退还履约保证金，如造成甲方损失超过履约保证金的，超出部分由乙方继续承担赔偿责任。</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4.供方在服务项目验收合格之日起保修期内违反本合同有关承诺保证的，需方将有权不予退还质量保证金，损失赔偿不足部分，由乙方承担赔偿。</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5．如发现乙方违反交易文件和合同的有关规定，甲方有权根据约定对乙方进行处罚，并有权提前终止合同。</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360" w:firstLineChars="1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十三、争议的解决</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因本合同引起的或与本合同有关的任何争议，合同双方应首先通过协商解决，达成书面协议，如协商不成，可选择下列第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种方式解决。</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（1）提请杭州仲裁委员会按照该会仲裁规则进行仲裁，仲裁裁决是终局的，对合同双方均有约束力。</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（2）向有管辖权的人民法院提起诉讼。</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十四、合同生效</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1.成交供应商持成交通知书作为与需方签订合同的凭证。</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2.本合同经需、供双方法定代表人或其授权委托人签字并加盖单位公章后生效。</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3.本合同一式四份，需、供双方各执二份。</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需方（盖章）：                     供方（盖章）：</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                             地址：</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法定代表人（或委托代理人）签名：   法定代表人（或委托代理人）签名：</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                         联系电话：</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                         邮政编码：</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                         开户银行：</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帐号：                             帐号：</w:t>
      </w:r>
    </w:p>
    <w:p>
      <w:pPr>
        <w:spacing w:line="360" w:lineRule="auto"/>
        <w:rPr>
          <w:rFonts w:hint="eastAsia" w:ascii="宋体" w:hAnsi="宋体" w:eastAsia="宋体" w:cs="宋体"/>
          <w:color w:val="auto"/>
          <w:sz w:val="24"/>
          <w:highlight w:val="none"/>
        </w:rPr>
        <w:sectPr>
          <w:footerReference r:id="rId5" w:type="first"/>
          <w:headerReference r:id="rId3" w:type="default"/>
          <w:footerReference r:id="rId4" w:type="default"/>
          <w:pgSz w:w="11906" w:h="16838"/>
          <w:pgMar w:top="1440" w:right="1803" w:bottom="1440" w:left="1803" w:header="851" w:footer="992" w:gutter="0"/>
          <w:cols w:space="0" w:num="1"/>
          <w:rtlGutter w:val="0"/>
          <w:docGrid w:linePitch="312" w:charSpace="0"/>
        </w:sectPr>
      </w:pPr>
    </w:p>
    <w:p>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82"/>
      <w:r>
        <w:rPr>
          <w:rFonts w:hint="eastAsia" w:ascii="宋体" w:hAnsi="宋体" w:eastAsia="宋体" w:cs="宋体"/>
          <w:b/>
          <w:color w:val="auto"/>
          <w:sz w:val="36"/>
          <w:szCs w:val="20"/>
          <w:highlight w:val="none"/>
        </w:rPr>
        <w:t xml:space="preserve"> </w:t>
      </w:r>
      <w:bookmarkEnd w:id="383"/>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w:t>
      </w:r>
      <w:r>
        <w:rPr>
          <w:rFonts w:hint="eastAsia" w:ascii="宋体" w:hAnsi="宋体" w:eastAsia="宋体" w:cs="宋体"/>
          <w:b/>
          <w:color w:val="auto"/>
          <w:kern w:val="0"/>
          <w:sz w:val="32"/>
          <w:szCs w:val="32"/>
          <w:highlight w:val="none"/>
          <w:lang w:val="en-US" w:eastAsia="zh-CN"/>
        </w:rPr>
        <w:t>交易</w:t>
      </w:r>
      <w:r>
        <w:rPr>
          <w:rFonts w:hint="eastAsia" w:ascii="宋体" w:hAnsi="宋体" w:eastAsia="宋体" w:cs="宋体"/>
          <w:b/>
          <w:color w:val="auto"/>
          <w:kern w:val="0"/>
          <w:sz w:val="32"/>
          <w:szCs w:val="32"/>
          <w:highlight w:val="none"/>
        </w:rPr>
        <w:t>活动应当具备的一般条件的承诺函</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代理</w:t>
      </w:r>
      <w:r>
        <w:rPr>
          <w:rFonts w:hint="eastAsia" w:ascii="宋体" w:hAnsi="宋体" w:eastAsia="宋体" w:cs="宋体"/>
          <w:color w:val="auto"/>
          <w:sz w:val="24"/>
          <w:highlight w:val="none"/>
          <w:u w:val="single"/>
        </w:rPr>
        <w:t>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w:t>
      </w:r>
      <w:r>
        <w:rPr>
          <w:rFonts w:hint="eastAsia" w:ascii="宋体" w:hAnsi="宋体" w:eastAsia="宋体" w:cs="宋体"/>
          <w:color w:val="auto"/>
          <w:sz w:val="24"/>
          <w:highlight w:val="none"/>
          <w:lang w:eastAsia="zh-CN"/>
        </w:rPr>
        <w:t>以下</w:t>
      </w:r>
      <w:r>
        <w:rPr>
          <w:rFonts w:hint="eastAsia" w:ascii="宋体" w:hAnsi="宋体" w:eastAsia="宋体" w:cs="宋体"/>
          <w:color w:val="auto"/>
          <w:sz w:val="24"/>
          <w:highlight w:val="none"/>
        </w:rPr>
        <w:t>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ind w:right="420" w:firstLine="964" w:firstLineChars="3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二</w:t>
      </w:r>
      <w:r>
        <w:rPr>
          <w:rFonts w:hint="eastAsia" w:ascii="宋体" w:hAnsi="宋体" w:eastAsia="宋体" w:cs="宋体"/>
          <w:b/>
          <w:color w:val="auto"/>
          <w:kern w:val="0"/>
          <w:sz w:val="32"/>
          <w:szCs w:val="32"/>
          <w:highlight w:val="none"/>
        </w:rPr>
        <w:t>、本项目的特定资格要求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本项目的特定资格要求提供相应的材料；未要求的，无需提供）</w:t>
      </w:r>
    </w:p>
    <w:p>
      <w:pPr>
        <w:spacing w:line="360" w:lineRule="auto"/>
        <w:jc w:val="center"/>
        <w:rPr>
          <w:rFonts w:hint="eastAsia" w:ascii="宋体" w:hAnsi="宋体" w:eastAsia="宋体" w:cs="宋体"/>
          <w:color w:val="auto"/>
          <w:kern w:val="0"/>
          <w:sz w:val="24"/>
          <w:highlight w:val="none"/>
          <w:lang w:val="zh-CN"/>
        </w:rPr>
      </w:pPr>
    </w:p>
    <w:p>
      <w:pPr>
        <w:widowControl/>
        <w:spacing w:line="360" w:lineRule="auto"/>
        <w:ind w:left="15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交易函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（3）符合性审查资料</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标准相应的商务技术资料</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（5）商务技术偏离表</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供应商廉洁自律承诺书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outlineLvl w:val="0"/>
        <w:rPr>
          <w:rFonts w:hint="eastAsia" w:ascii="宋体" w:hAnsi="宋体" w:eastAsia="宋体" w:cs="宋体"/>
          <w:b/>
          <w:color w:val="auto"/>
          <w:sz w:val="32"/>
          <w:szCs w:val="32"/>
          <w:highlight w:val="none"/>
          <w:lang w:eastAsia="zh-CN"/>
        </w:rPr>
      </w:pPr>
      <w:r>
        <w:rPr>
          <w:rFonts w:hint="eastAsia" w:ascii="宋体" w:hAnsi="宋体" w:eastAsia="宋体" w:cs="宋体"/>
          <w:b/>
          <w:color w:val="auto"/>
          <w:kern w:val="0"/>
          <w:sz w:val="32"/>
          <w:szCs w:val="32"/>
          <w:highlight w:val="none"/>
        </w:rPr>
        <w:t>一、</w:t>
      </w:r>
      <w:r>
        <w:rPr>
          <w:rFonts w:hint="eastAsia" w:ascii="宋体" w:hAnsi="宋体" w:eastAsia="宋体" w:cs="宋体"/>
          <w:b/>
          <w:color w:val="auto"/>
          <w:kern w:val="0"/>
          <w:sz w:val="32"/>
          <w:szCs w:val="32"/>
          <w:highlight w:val="none"/>
          <w:lang w:eastAsia="zh-CN"/>
        </w:rPr>
        <w:t>交易函</w:t>
      </w:r>
    </w:p>
    <w:p>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cs="宋体"/>
          <w:color w:val="auto"/>
          <w:sz w:val="24"/>
          <w:highlight w:val="none"/>
          <w:lang w:eastAsia="zh-CN"/>
        </w:rPr>
        <w:t>交易</w:t>
      </w:r>
      <w:r>
        <w:rPr>
          <w:rFonts w:hint="eastAsia" w:ascii="宋体" w:hAnsi="宋体" w:eastAsia="宋体" w:cs="宋体"/>
          <w:color w:val="auto"/>
          <w:sz w:val="24"/>
          <w:highlight w:val="none"/>
        </w:rPr>
        <w:t>的有关活动，并对此项目进行</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。为此：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从提交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满之前均具有约束力。</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包括以下内容：</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2.1.2本项目的特定资格要求（如果有）。</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eastAsia="宋体" w:cs="宋体"/>
          <w:color w:val="auto"/>
          <w:sz w:val="24"/>
          <w:highlight w:val="none"/>
          <w:lang w:eastAsia="zh-CN"/>
        </w:rPr>
        <w:t>交易函</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2.2.3符合性审查资料；</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2.2.4</w:t>
      </w: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标准相应的商务技术资料；</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2.2.5</w:t>
      </w:r>
      <w:r>
        <w:rPr>
          <w:rFonts w:hint="eastAsia" w:ascii="宋体" w:hAnsi="宋体" w:eastAsia="宋体" w:cs="宋体"/>
          <w:color w:val="auto"/>
          <w:sz w:val="24"/>
          <w:highlight w:val="none"/>
          <w:lang w:eastAsia="zh-CN"/>
        </w:rPr>
        <w:t>响应标的清单</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2.2.7</w:t>
      </w:r>
      <w:r>
        <w:rPr>
          <w:rFonts w:hint="eastAsia" w:ascii="宋体" w:hAnsi="宋体" w:eastAsia="宋体" w:cs="宋体"/>
          <w:color w:val="auto"/>
          <w:sz w:val="24"/>
          <w:highlight w:val="none"/>
          <w:lang w:val="zh-CN"/>
        </w:rPr>
        <w:t>供应商廉洁自律承诺书</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的全部要求。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，我方承诺：</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4.1在收到</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书后，在</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 xml:space="preserve">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4.3按照</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 xml:space="preserve">要求提交履约保证金；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pacing w:line="440" w:lineRule="exact"/>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 xml:space="preserve">名称（电子签名）：                          </w:t>
      </w:r>
    </w:p>
    <w:p>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r>
        <w:rPr>
          <w:rFonts w:hint="eastAsia" w:ascii="宋体" w:hAnsi="宋体" w:eastAsia="宋体" w:cs="宋体"/>
          <w:color w:val="auto"/>
          <w:highlight w:val="none"/>
        </w:rPr>
        <w:t xml:space="preserve">                               </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kern w:val="0"/>
          <w:sz w:val="24"/>
          <w:highlight w:val="none"/>
          <w:lang w:val="zh-CN"/>
        </w:rPr>
      </w:pP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w:t>
      </w:r>
      <w:r>
        <w:rPr>
          <w:rFonts w:hint="eastAsia" w:ascii="宋体" w:hAnsi="宋体" w:eastAsia="宋体" w:cs="宋体"/>
          <w:b/>
          <w:color w:val="auto"/>
          <w:sz w:val="30"/>
          <w:szCs w:val="30"/>
          <w:highlight w:val="none"/>
          <w:lang w:eastAsia="zh-CN"/>
        </w:rPr>
        <w:t>供应商</w:t>
      </w:r>
      <w:r>
        <w:rPr>
          <w:rFonts w:hint="eastAsia" w:ascii="宋体" w:hAnsi="宋体" w:eastAsia="宋体" w:cs="宋体"/>
          <w:b/>
          <w:color w:val="auto"/>
          <w:sz w:val="30"/>
          <w:szCs w:val="30"/>
          <w:highlight w:val="none"/>
        </w:rPr>
        <w:t>参加</w:t>
      </w:r>
      <w:r>
        <w:rPr>
          <w:rFonts w:hint="eastAsia" w:ascii="宋体" w:hAnsi="宋体" w:eastAsia="宋体" w:cs="宋体"/>
          <w:b/>
          <w:color w:val="auto"/>
          <w:sz w:val="30"/>
          <w:szCs w:val="30"/>
          <w:highlight w:val="none"/>
          <w:lang w:val="en-US" w:eastAsia="zh-CN"/>
        </w:rPr>
        <w:t>交易</w:t>
      </w:r>
      <w:r>
        <w:rPr>
          <w:rFonts w:hint="eastAsia" w:ascii="宋体" w:hAnsi="宋体" w:eastAsia="宋体" w:cs="宋体"/>
          <w:b/>
          <w:color w:val="auto"/>
          <w:sz w:val="30"/>
          <w:szCs w:val="30"/>
          <w:highlight w:val="none"/>
        </w:rPr>
        <w:t>）</w:t>
      </w:r>
    </w:p>
    <w:p>
      <w:pPr>
        <w:pStyle w:val="151"/>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1"/>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51"/>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lang w:eastAsia="zh-CN"/>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三</w:t>
      </w:r>
      <w:r>
        <w:rPr>
          <w:rFonts w:hint="eastAsia" w:ascii="宋体" w:hAnsi="宋体" w:eastAsia="宋体" w:cs="宋体"/>
          <w:b/>
          <w:color w:val="auto"/>
          <w:kern w:val="0"/>
          <w:sz w:val="32"/>
          <w:szCs w:val="32"/>
          <w:highlight w:val="none"/>
        </w:rPr>
        <w:t>、符合性审查资料</w:t>
      </w:r>
    </w:p>
    <w:p>
      <w:pPr>
        <w:jc w:val="center"/>
        <w:rPr>
          <w:rFonts w:hint="eastAsia" w:ascii="宋体" w:hAnsi="宋体" w:eastAsia="宋体" w:cs="宋体"/>
          <w:b/>
          <w:color w:val="auto"/>
          <w:kern w:val="0"/>
          <w:sz w:val="32"/>
          <w:szCs w:val="32"/>
          <w:highlight w:val="none"/>
        </w:rPr>
      </w:pPr>
    </w:p>
    <w:tbl>
      <w:tblPr>
        <w:tblStyle w:val="66"/>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97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56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按照</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要求签署、盖章。</w:t>
            </w:r>
          </w:p>
        </w:tc>
        <w:tc>
          <w:tcPr>
            <w:tcW w:w="356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的组成部分</w:t>
            </w:r>
          </w:p>
        </w:tc>
        <w:tc>
          <w:tcPr>
            <w:tcW w:w="1418" w:type="dxa"/>
            <w:vAlign w:val="center"/>
          </w:tcPr>
          <w:p>
            <w:pPr>
              <w:jc w:val="center"/>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p>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中承诺的</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不少于</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中载明的</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w:t>
            </w:r>
          </w:p>
        </w:tc>
        <w:tc>
          <w:tcPr>
            <w:tcW w:w="3566" w:type="dxa"/>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交易函</w:t>
            </w:r>
          </w:p>
        </w:tc>
        <w:tc>
          <w:tcPr>
            <w:tcW w:w="1418" w:type="dxa"/>
            <w:vAlign w:val="center"/>
          </w:tcPr>
          <w:p>
            <w:pPr>
              <w:jc w:val="center"/>
              <w:rPr>
                <w:rFonts w:hint="eastAsia" w:ascii="宋体" w:hAnsi="宋体" w:eastAsia="宋体" w:cs="宋体"/>
                <w:color w:val="auto"/>
                <w:highlight w:val="none"/>
                <w:lang w:val="en-US"/>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满足</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的其它实质性要求。</w:t>
            </w:r>
          </w:p>
        </w:tc>
        <w:tc>
          <w:tcPr>
            <w:tcW w:w="356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其它实质性要求相应的材料（“▲” 系指实质性要求条款，</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无其它实质性要求的，无需提供）</w:t>
            </w:r>
          </w:p>
        </w:tc>
        <w:tc>
          <w:tcPr>
            <w:tcW w:w="141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eastAsia="zh-CN"/>
        </w:rPr>
        <w:t>四</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eastAsia="zh-CN"/>
        </w:rPr>
        <w:t>评审</w:t>
      </w:r>
      <w:r>
        <w:rPr>
          <w:rFonts w:hint="eastAsia" w:ascii="宋体" w:hAnsi="宋体" w:eastAsia="宋体" w:cs="宋体"/>
          <w:b/>
          <w:color w:val="auto"/>
          <w:kern w:val="0"/>
          <w:sz w:val="32"/>
          <w:szCs w:val="32"/>
          <w:highlight w:val="none"/>
        </w:rPr>
        <w:t>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w:t>
      </w:r>
      <w:r>
        <w:rPr>
          <w:rFonts w:hint="eastAsia" w:ascii="宋体" w:hAnsi="宋体" w:eastAsia="宋体" w:cs="宋体"/>
          <w:b/>
          <w:color w:val="auto"/>
          <w:sz w:val="24"/>
          <w:highlight w:val="none"/>
          <w:lang w:eastAsia="zh-CN"/>
        </w:rPr>
        <w:t>交易文件</w:t>
      </w:r>
      <w:r>
        <w:rPr>
          <w:rFonts w:hint="eastAsia" w:ascii="宋体" w:hAnsi="宋体" w:eastAsia="宋体" w:cs="宋体"/>
          <w:b/>
          <w:color w:val="auto"/>
          <w:sz w:val="24"/>
          <w:highlight w:val="none"/>
        </w:rPr>
        <w:t>第四部分</w:t>
      </w:r>
      <w:r>
        <w:rPr>
          <w:rFonts w:hint="eastAsia" w:ascii="宋体" w:hAnsi="宋体" w:eastAsia="宋体" w:cs="宋体"/>
          <w:b/>
          <w:color w:val="auto"/>
          <w:sz w:val="24"/>
          <w:highlight w:val="none"/>
          <w:lang w:eastAsia="zh-CN"/>
        </w:rPr>
        <w:t>交易办法</w:t>
      </w:r>
      <w:r>
        <w:rPr>
          <w:rFonts w:hint="eastAsia" w:ascii="宋体" w:hAnsi="宋体" w:eastAsia="宋体" w:cs="宋体"/>
          <w:b/>
          <w:color w:val="auto"/>
          <w:sz w:val="24"/>
          <w:highlight w:val="none"/>
        </w:rPr>
        <w:t>前附表中“</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中</w:t>
      </w:r>
      <w:r>
        <w:rPr>
          <w:rFonts w:hint="eastAsia" w:ascii="宋体" w:hAnsi="宋体" w:eastAsia="宋体" w:cs="宋体"/>
          <w:b/>
          <w:color w:val="auto"/>
          <w:sz w:val="24"/>
          <w:highlight w:val="none"/>
          <w:lang w:eastAsia="zh-CN"/>
        </w:rPr>
        <w:t>评审</w:t>
      </w:r>
      <w:r>
        <w:rPr>
          <w:rFonts w:hint="eastAsia" w:ascii="宋体" w:hAnsi="宋体" w:eastAsia="宋体" w:cs="宋体"/>
          <w:b/>
          <w:color w:val="auto"/>
          <w:sz w:val="24"/>
          <w:highlight w:val="none"/>
        </w:rPr>
        <w:t>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65"/>
        <w:rPr>
          <w:rFonts w:hint="eastAsia" w:ascii="宋体" w:hAnsi="宋体" w:eastAsia="宋体" w:cs="宋体"/>
          <w:b/>
          <w:color w:val="auto"/>
          <w:kern w:val="0"/>
          <w:sz w:val="32"/>
          <w:szCs w:val="32"/>
          <w:highlight w:val="none"/>
        </w:rPr>
      </w:pPr>
    </w:p>
    <w:p>
      <w:pPr>
        <w:pStyle w:val="55"/>
        <w:rPr>
          <w:rFonts w:hint="eastAsia" w:ascii="宋体" w:hAnsi="宋体" w:eastAsia="宋体" w:cs="宋体"/>
          <w:color w:val="auto"/>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83"/>
        <w:rPr>
          <w:rFonts w:hint="eastAsia" w:ascii="宋体" w:hAnsi="宋体" w:eastAsia="宋体" w:cs="宋体"/>
          <w:color w:val="auto"/>
          <w:highlight w:val="none"/>
        </w:rPr>
      </w:pPr>
    </w:p>
    <w:p>
      <w:pPr>
        <w:spacing w:line="360" w:lineRule="auto"/>
        <w:ind w:right="42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五</w:t>
      </w:r>
      <w:r>
        <w:rPr>
          <w:rFonts w:hint="eastAsia" w:ascii="宋体" w:hAnsi="宋体" w:eastAsia="宋体" w:cs="宋体"/>
          <w:b/>
          <w:color w:val="auto"/>
          <w:kern w:val="0"/>
          <w:sz w:val="32"/>
          <w:szCs w:val="32"/>
          <w:highlight w:val="none"/>
        </w:rPr>
        <w:t>、商务技术偏离表</w:t>
      </w:r>
    </w:p>
    <w:tbl>
      <w:tblPr>
        <w:tblStyle w:val="67"/>
        <w:tblW w:w="8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295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交易文件</w:t>
            </w:r>
            <w:r>
              <w:rPr>
                <w:rFonts w:hint="eastAsia" w:ascii="宋体" w:hAnsi="宋体" w:eastAsia="宋体" w:cs="宋体"/>
                <w:b/>
                <w:bCs/>
                <w:color w:val="auto"/>
                <w:sz w:val="24"/>
                <w:highlight w:val="none"/>
              </w:rPr>
              <w:t>章节及具体内容</w:t>
            </w:r>
          </w:p>
        </w:tc>
        <w:tc>
          <w:tcPr>
            <w:tcW w:w="2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章节及具体内容</w:t>
            </w:r>
          </w:p>
        </w:tc>
        <w:tc>
          <w:tcPr>
            <w:tcW w:w="1275"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2959" w:type="dxa"/>
          </w:tcPr>
          <w:p>
            <w:pPr>
              <w:jc w:val="center"/>
              <w:rPr>
                <w:rFonts w:hint="eastAsia" w:ascii="宋体" w:hAnsi="宋体" w:eastAsia="宋体" w:cs="宋体"/>
                <w:b/>
                <w:color w:val="auto"/>
                <w:kern w:val="0"/>
                <w:sz w:val="32"/>
                <w:szCs w:val="32"/>
                <w:highlight w:val="none"/>
              </w:rPr>
            </w:pPr>
          </w:p>
        </w:tc>
        <w:tc>
          <w:tcPr>
            <w:tcW w:w="1275"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2959" w:type="dxa"/>
          </w:tcPr>
          <w:p>
            <w:pPr>
              <w:jc w:val="center"/>
              <w:rPr>
                <w:rFonts w:hint="eastAsia" w:ascii="宋体" w:hAnsi="宋体" w:eastAsia="宋体" w:cs="宋体"/>
                <w:b/>
                <w:color w:val="auto"/>
                <w:kern w:val="0"/>
                <w:sz w:val="32"/>
                <w:szCs w:val="32"/>
                <w:highlight w:val="none"/>
              </w:rPr>
            </w:pPr>
          </w:p>
        </w:tc>
        <w:tc>
          <w:tcPr>
            <w:tcW w:w="1275"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2959" w:type="dxa"/>
          </w:tcPr>
          <w:p>
            <w:pPr>
              <w:jc w:val="center"/>
              <w:rPr>
                <w:rFonts w:hint="eastAsia" w:ascii="宋体" w:hAnsi="宋体" w:eastAsia="宋体" w:cs="宋体"/>
                <w:b/>
                <w:color w:val="auto"/>
                <w:kern w:val="0"/>
                <w:sz w:val="32"/>
                <w:szCs w:val="32"/>
                <w:highlight w:val="none"/>
              </w:rPr>
            </w:pPr>
          </w:p>
        </w:tc>
        <w:tc>
          <w:tcPr>
            <w:tcW w:w="1275"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保证：除商务技术偏离表列出的偏离外，</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pStyle w:val="87"/>
        <w:rPr>
          <w:rFonts w:hint="eastAsia" w:ascii="宋体" w:hAnsi="宋体" w:eastAsia="宋体" w:cs="宋体"/>
          <w:b/>
          <w:color w:val="auto"/>
          <w:kern w:val="0"/>
          <w:sz w:val="32"/>
          <w:szCs w:val="32"/>
          <w:highlight w:val="none"/>
        </w:rPr>
      </w:pPr>
    </w:p>
    <w:p>
      <w:pPr>
        <w:pStyle w:val="87"/>
        <w:rPr>
          <w:rFonts w:hint="eastAsia" w:ascii="宋体" w:hAnsi="宋体" w:eastAsia="宋体" w:cs="宋体"/>
          <w:b/>
          <w:color w:val="auto"/>
          <w:kern w:val="0"/>
          <w:sz w:val="32"/>
          <w:szCs w:val="32"/>
          <w:highlight w:val="none"/>
        </w:rPr>
      </w:pPr>
    </w:p>
    <w:p>
      <w:pPr>
        <w:pStyle w:val="87"/>
        <w:rPr>
          <w:rFonts w:hint="eastAsia" w:ascii="宋体" w:hAnsi="宋体" w:eastAsia="宋体" w:cs="宋体"/>
          <w:b/>
          <w:color w:val="auto"/>
          <w:kern w:val="0"/>
          <w:sz w:val="32"/>
          <w:szCs w:val="32"/>
          <w:highlight w:val="none"/>
        </w:rPr>
      </w:pPr>
    </w:p>
    <w:p>
      <w:pPr>
        <w:pStyle w:val="87"/>
        <w:rPr>
          <w:rFonts w:hint="eastAsia" w:ascii="宋体" w:hAnsi="宋体" w:eastAsia="宋体" w:cs="宋体"/>
          <w:b/>
          <w:color w:val="auto"/>
          <w:kern w:val="0"/>
          <w:sz w:val="32"/>
          <w:szCs w:val="32"/>
          <w:highlight w:val="none"/>
        </w:rPr>
      </w:pPr>
    </w:p>
    <w:p>
      <w:pPr>
        <w:pStyle w:val="87"/>
        <w:rPr>
          <w:rFonts w:hint="eastAsia" w:ascii="宋体" w:hAnsi="宋体" w:eastAsia="宋体" w:cs="宋体"/>
          <w:b/>
          <w:color w:val="auto"/>
          <w:kern w:val="0"/>
          <w:sz w:val="32"/>
          <w:szCs w:val="32"/>
          <w:highlight w:val="none"/>
        </w:rPr>
      </w:pPr>
    </w:p>
    <w:p>
      <w:pPr>
        <w:pStyle w:val="87"/>
        <w:rPr>
          <w:rFonts w:hint="eastAsia" w:ascii="宋体" w:hAnsi="宋体" w:eastAsia="宋体" w:cs="宋体"/>
          <w:b/>
          <w:color w:val="auto"/>
          <w:kern w:val="0"/>
          <w:sz w:val="32"/>
          <w:szCs w:val="32"/>
          <w:highlight w:val="none"/>
        </w:rPr>
      </w:pPr>
    </w:p>
    <w:p>
      <w:pPr>
        <w:pStyle w:val="87"/>
        <w:rPr>
          <w:rFonts w:hint="eastAsia" w:ascii="宋体" w:hAnsi="宋体" w:eastAsia="宋体" w:cs="宋体"/>
          <w:b/>
          <w:color w:val="auto"/>
          <w:kern w:val="0"/>
          <w:sz w:val="32"/>
          <w:szCs w:val="32"/>
          <w:highlight w:val="none"/>
        </w:rPr>
      </w:pPr>
    </w:p>
    <w:p>
      <w:pPr>
        <w:pStyle w:val="87"/>
        <w:rPr>
          <w:rFonts w:hint="eastAsia" w:ascii="宋体" w:hAnsi="宋体" w:eastAsia="宋体" w:cs="宋体"/>
          <w:b/>
          <w:color w:val="auto"/>
          <w:kern w:val="0"/>
          <w:sz w:val="32"/>
          <w:szCs w:val="32"/>
          <w:highlight w:val="none"/>
        </w:rPr>
      </w:pPr>
    </w:p>
    <w:p>
      <w:pPr>
        <w:pStyle w:val="87"/>
        <w:rPr>
          <w:rFonts w:hint="eastAsia" w:ascii="宋体" w:hAnsi="宋体" w:eastAsia="宋体" w:cs="宋体"/>
          <w:b/>
          <w:color w:val="auto"/>
          <w:kern w:val="0"/>
          <w:sz w:val="32"/>
          <w:szCs w:val="32"/>
          <w:highlight w:val="none"/>
        </w:rPr>
      </w:pPr>
    </w:p>
    <w:p>
      <w:pPr>
        <w:pStyle w:val="87"/>
        <w:rPr>
          <w:rFonts w:hint="eastAsia" w:ascii="宋体" w:hAnsi="宋体" w:eastAsia="宋体" w:cs="宋体"/>
          <w:b/>
          <w:color w:val="auto"/>
          <w:kern w:val="0"/>
          <w:sz w:val="32"/>
          <w:szCs w:val="32"/>
          <w:highlight w:val="none"/>
        </w:rPr>
      </w:pPr>
    </w:p>
    <w:p>
      <w:pPr>
        <w:pStyle w:val="87"/>
        <w:rPr>
          <w:rFonts w:hint="eastAsia" w:ascii="宋体" w:hAnsi="宋体" w:eastAsia="宋体" w:cs="宋体"/>
          <w:b/>
          <w:color w:val="auto"/>
          <w:kern w:val="0"/>
          <w:sz w:val="32"/>
          <w:szCs w:val="32"/>
          <w:highlight w:val="none"/>
        </w:rPr>
      </w:pPr>
    </w:p>
    <w:p>
      <w:pPr>
        <w:pStyle w:val="87"/>
        <w:rPr>
          <w:rFonts w:hint="eastAsia" w:ascii="宋体" w:hAnsi="宋体" w:eastAsia="宋体" w:cs="宋体"/>
          <w:b/>
          <w:color w:val="auto"/>
          <w:kern w:val="0"/>
          <w:sz w:val="32"/>
          <w:szCs w:val="32"/>
          <w:highlight w:val="none"/>
        </w:rPr>
      </w:pPr>
    </w:p>
    <w:p>
      <w:pPr>
        <w:pStyle w:val="87"/>
        <w:rPr>
          <w:rFonts w:hint="eastAsia" w:ascii="宋体" w:hAnsi="宋体" w:eastAsia="宋体" w:cs="宋体"/>
          <w:b/>
          <w:color w:val="auto"/>
          <w:kern w:val="0"/>
          <w:sz w:val="32"/>
          <w:szCs w:val="32"/>
          <w:highlight w:val="none"/>
        </w:rPr>
      </w:pPr>
    </w:p>
    <w:p>
      <w:pPr>
        <w:pStyle w:val="87"/>
        <w:rPr>
          <w:rFonts w:hint="eastAsia" w:ascii="宋体" w:hAnsi="宋体" w:eastAsia="宋体" w:cs="宋体"/>
          <w:b/>
          <w:color w:val="auto"/>
          <w:kern w:val="0"/>
          <w:sz w:val="32"/>
          <w:szCs w:val="32"/>
          <w:highlight w:val="none"/>
        </w:rPr>
      </w:pPr>
    </w:p>
    <w:p>
      <w:pPr>
        <w:pStyle w:val="87"/>
        <w:rPr>
          <w:rFonts w:hint="eastAsia" w:ascii="宋体" w:hAnsi="宋体" w:eastAsia="宋体" w:cs="宋体"/>
          <w:b/>
          <w:color w:val="auto"/>
          <w:kern w:val="0"/>
          <w:sz w:val="32"/>
          <w:szCs w:val="32"/>
          <w:highlight w:val="none"/>
        </w:rPr>
      </w:pPr>
    </w:p>
    <w:p>
      <w:pPr>
        <w:pStyle w:val="87"/>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eastAsia="zh-CN"/>
        </w:rPr>
        <w:t>六</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w:t>
      </w:r>
      <w:r>
        <w:rPr>
          <w:rFonts w:hint="eastAsia" w:ascii="宋体" w:hAnsi="宋体" w:cs="宋体"/>
          <w:color w:val="auto"/>
          <w:kern w:val="0"/>
          <w:sz w:val="24"/>
          <w:highlight w:val="none"/>
          <w:lang w:val="zh-CN"/>
        </w:rPr>
        <w:t>交易</w:t>
      </w:r>
      <w:r>
        <w:rPr>
          <w:rFonts w:hint="eastAsia" w:ascii="宋体" w:hAnsi="宋体" w:eastAsia="宋体" w:cs="宋体"/>
          <w:color w:val="auto"/>
          <w:kern w:val="0"/>
          <w:sz w:val="24"/>
          <w:highlight w:val="none"/>
          <w:lang w:val="zh-CN"/>
        </w:rPr>
        <w:t>要求参加</w:t>
      </w:r>
      <w:r>
        <w:rPr>
          <w:rFonts w:hint="eastAsia" w:ascii="宋体" w:hAnsi="宋体" w:eastAsia="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。在这次</w:t>
      </w:r>
      <w:r>
        <w:rPr>
          <w:rFonts w:hint="eastAsia" w:ascii="宋体" w:hAnsi="宋体" w:eastAsia="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过程中和</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六、严格遵守相关法律法规，诚实守信，合法经营，坚决抵制各种违法违纪行为。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w:t>
      </w:r>
      <w:r>
        <w:rPr>
          <w:rFonts w:hint="eastAsia" w:ascii="宋体" w:hAnsi="宋体" w:eastAsia="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headerReference r:id="rId7" w:type="first"/>
          <w:footerReference r:id="rId9" w:type="first"/>
          <w:headerReference r:id="rId6" w:type="default"/>
          <w:footerReference r:id="rId8" w:type="default"/>
          <w:pgSz w:w="11906" w:h="16838"/>
          <w:pgMar w:top="1440" w:right="1803" w:bottom="1440" w:left="1803" w:header="851" w:footer="992" w:gutter="0"/>
          <w:pgNumType w:fmt="decimal"/>
          <w:cols w:space="0" w:num="1"/>
          <w:rtlGutter w:val="0"/>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1" w:type="first"/>
          <w:footerReference r:id="rId13" w:type="first"/>
          <w:headerReference r:id="rId10" w:type="default"/>
          <w:footerReference r:id="rId12" w:type="default"/>
          <w:pgSz w:w="11906" w:h="16838"/>
          <w:pgMar w:top="1440" w:right="1803" w:bottom="1440" w:left="1803" w:header="851" w:footer="992" w:gutter="0"/>
          <w:pgNumType w:fmt="decimal"/>
          <w:cols w:space="0" w:num="1"/>
          <w:rtlGutter w:val="0"/>
          <w:docGrid w:linePitch="312" w:charSpace="0"/>
        </w:sectPr>
      </w:pP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w:t>
      </w:r>
      <w:r>
        <w:rPr>
          <w:rFonts w:hint="eastAsia" w:ascii="宋体" w:hAnsi="宋体" w:eastAsia="宋体" w:cs="宋体"/>
          <w:color w:val="auto"/>
          <w:kern w:val="2"/>
          <w:sz w:val="32"/>
          <w:szCs w:val="32"/>
          <w:highlight w:val="none"/>
          <w:lang w:eastAsia="zh-CN"/>
        </w:rPr>
        <w:t>交易一览表</w:t>
      </w:r>
      <w:r>
        <w:rPr>
          <w:rFonts w:hint="eastAsia" w:ascii="宋体" w:hAnsi="宋体" w:eastAsia="宋体" w:cs="宋体"/>
          <w:color w:val="auto"/>
          <w:kern w:val="2"/>
          <w:sz w:val="32"/>
          <w:szCs w:val="32"/>
          <w:highlight w:val="none"/>
        </w:rPr>
        <w:t>（报价表）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按你方交易文件要求，我们，本响应文件签字方，谨此向你方发出要约如下：如你方接受本</w:t>
      </w:r>
      <w:r>
        <w:rPr>
          <w:rFonts w:hint="eastAsia" w:ascii="宋体" w:hAnsi="宋体" w:eastAsia="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，我方承诺按照如下交易一览表（报价表）的价格完成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【交易编号：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交易一览表（报价表）(单位均为人民币元)</w:t>
      </w:r>
    </w:p>
    <w:tbl>
      <w:tblPr>
        <w:tblStyle w:val="6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168"/>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83"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168"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843"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3118"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规格型号（或具体服务）</w:t>
            </w:r>
          </w:p>
        </w:tc>
        <w:tc>
          <w:tcPr>
            <w:tcW w:w="993"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59"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984"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总价</w:t>
            </w:r>
          </w:p>
        </w:tc>
        <w:tc>
          <w:tcPr>
            <w:tcW w:w="3119"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83"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168" w:type="dxa"/>
            <w:vAlign w:val="center"/>
          </w:tcPr>
          <w:p>
            <w:pPr>
              <w:snapToGrid w:val="0"/>
              <w:spacing w:line="360" w:lineRule="auto"/>
              <w:jc w:val="center"/>
              <w:rPr>
                <w:rFonts w:hint="eastAsia" w:ascii="宋体" w:hAnsi="宋体" w:eastAsia="宋体" w:cs="宋体"/>
                <w:color w:val="auto"/>
                <w:sz w:val="24"/>
                <w:highlight w:val="none"/>
              </w:rPr>
            </w:pPr>
          </w:p>
        </w:tc>
        <w:tc>
          <w:tcPr>
            <w:tcW w:w="1843" w:type="dxa"/>
            <w:vAlign w:val="center"/>
          </w:tcPr>
          <w:p>
            <w:pPr>
              <w:snapToGrid w:val="0"/>
              <w:spacing w:line="360" w:lineRule="auto"/>
              <w:jc w:val="center"/>
              <w:rPr>
                <w:rFonts w:hint="eastAsia" w:ascii="宋体" w:hAnsi="宋体" w:eastAsia="宋体" w:cs="宋体"/>
                <w:color w:val="auto"/>
                <w:sz w:val="24"/>
                <w:highlight w:val="none"/>
              </w:rPr>
            </w:pPr>
          </w:p>
        </w:tc>
        <w:tc>
          <w:tcPr>
            <w:tcW w:w="3118" w:type="dxa"/>
            <w:vAlign w:val="center"/>
          </w:tcPr>
          <w:p>
            <w:pPr>
              <w:snapToGrid w:val="0"/>
              <w:spacing w:line="360" w:lineRule="auto"/>
              <w:jc w:val="center"/>
              <w:rPr>
                <w:rFonts w:hint="eastAsia" w:ascii="宋体" w:hAnsi="宋体" w:eastAsia="宋体" w:cs="宋体"/>
                <w:color w:val="auto"/>
                <w:sz w:val="24"/>
                <w:highlight w:val="none"/>
              </w:rPr>
            </w:pPr>
          </w:p>
        </w:tc>
        <w:tc>
          <w:tcPr>
            <w:tcW w:w="993" w:type="dxa"/>
            <w:vAlign w:val="center"/>
          </w:tcPr>
          <w:p>
            <w:pPr>
              <w:snapToGrid w:val="0"/>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984" w:type="dxa"/>
            <w:vAlign w:val="center"/>
          </w:tcPr>
          <w:p>
            <w:pPr>
              <w:spacing w:line="360" w:lineRule="auto"/>
              <w:jc w:val="center"/>
              <w:rPr>
                <w:rFonts w:hint="eastAsia" w:ascii="宋体" w:hAnsi="宋体" w:eastAsia="宋体" w:cs="宋体"/>
                <w:color w:val="auto"/>
                <w:sz w:val="24"/>
                <w:highlight w:val="none"/>
              </w:rPr>
            </w:pPr>
          </w:p>
        </w:tc>
        <w:tc>
          <w:tcPr>
            <w:tcW w:w="3119"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3"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168" w:type="dxa"/>
            <w:vAlign w:val="center"/>
          </w:tcPr>
          <w:p>
            <w:pPr>
              <w:snapToGrid w:val="0"/>
              <w:spacing w:line="360" w:lineRule="auto"/>
              <w:jc w:val="center"/>
              <w:rPr>
                <w:rFonts w:hint="eastAsia" w:ascii="宋体" w:hAnsi="宋体" w:eastAsia="宋体" w:cs="宋体"/>
                <w:color w:val="auto"/>
                <w:sz w:val="24"/>
                <w:highlight w:val="none"/>
              </w:rPr>
            </w:pPr>
          </w:p>
        </w:tc>
        <w:tc>
          <w:tcPr>
            <w:tcW w:w="1843" w:type="dxa"/>
            <w:vAlign w:val="center"/>
          </w:tcPr>
          <w:p>
            <w:pPr>
              <w:snapToGrid w:val="0"/>
              <w:spacing w:line="360" w:lineRule="auto"/>
              <w:jc w:val="center"/>
              <w:rPr>
                <w:rFonts w:hint="eastAsia" w:ascii="宋体" w:hAnsi="宋体" w:eastAsia="宋体" w:cs="宋体"/>
                <w:color w:val="auto"/>
                <w:sz w:val="24"/>
                <w:highlight w:val="none"/>
              </w:rPr>
            </w:pPr>
          </w:p>
        </w:tc>
        <w:tc>
          <w:tcPr>
            <w:tcW w:w="3118" w:type="dxa"/>
            <w:vAlign w:val="center"/>
          </w:tcPr>
          <w:p>
            <w:pPr>
              <w:snapToGrid w:val="0"/>
              <w:spacing w:line="360" w:lineRule="auto"/>
              <w:jc w:val="center"/>
              <w:rPr>
                <w:rFonts w:hint="eastAsia" w:ascii="宋体" w:hAnsi="宋体" w:eastAsia="宋体" w:cs="宋体"/>
                <w:color w:val="auto"/>
                <w:sz w:val="24"/>
                <w:highlight w:val="none"/>
              </w:rPr>
            </w:pPr>
          </w:p>
        </w:tc>
        <w:tc>
          <w:tcPr>
            <w:tcW w:w="993" w:type="dxa"/>
            <w:vAlign w:val="center"/>
          </w:tcPr>
          <w:p>
            <w:pPr>
              <w:snapToGrid w:val="0"/>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984" w:type="dxa"/>
            <w:vAlign w:val="center"/>
          </w:tcPr>
          <w:p>
            <w:pPr>
              <w:spacing w:line="360" w:lineRule="auto"/>
              <w:jc w:val="center"/>
              <w:rPr>
                <w:rFonts w:hint="eastAsia" w:ascii="宋体" w:hAnsi="宋体" w:eastAsia="宋体" w:cs="宋体"/>
                <w:color w:val="auto"/>
                <w:sz w:val="24"/>
                <w:highlight w:val="none"/>
              </w:rPr>
            </w:pPr>
          </w:p>
        </w:tc>
        <w:tc>
          <w:tcPr>
            <w:tcW w:w="3119"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3"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168" w:type="dxa"/>
            <w:vAlign w:val="center"/>
          </w:tcPr>
          <w:p>
            <w:pPr>
              <w:snapToGrid w:val="0"/>
              <w:spacing w:line="360" w:lineRule="auto"/>
              <w:jc w:val="center"/>
              <w:rPr>
                <w:rFonts w:hint="eastAsia" w:ascii="宋体" w:hAnsi="宋体" w:eastAsia="宋体" w:cs="宋体"/>
                <w:color w:val="auto"/>
                <w:sz w:val="24"/>
                <w:highlight w:val="none"/>
              </w:rPr>
            </w:pPr>
          </w:p>
        </w:tc>
        <w:tc>
          <w:tcPr>
            <w:tcW w:w="1843" w:type="dxa"/>
            <w:vAlign w:val="center"/>
          </w:tcPr>
          <w:p>
            <w:pPr>
              <w:snapToGrid w:val="0"/>
              <w:spacing w:line="360" w:lineRule="auto"/>
              <w:jc w:val="center"/>
              <w:rPr>
                <w:rFonts w:hint="eastAsia" w:ascii="宋体" w:hAnsi="宋体" w:eastAsia="宋体" w:cs="宋体"/>
                <w:color w:val="auto"/>
                <w:sz w:val="24"/>
                <w:highlight w:val="none"/>
              </w:rPr>
            </w:pPr>
          </w:p>
        </w:tc>
        <w:tc>
          <w:tcPr>
            <w:tcW w:w="3118" w:type="dxa"/>
            <w:vAlign w:val="center"/>
          </w:tcPr>
          <w:p>
            <w:pPr>
              <w:snapToGrid w:val="0"/>
              <w:spacing w:line="360" w:lineRule="auto"/>
              <w:jc w:val="center"/>
              <w:rPr>
                <w:rFonts w:hint="eastAsia" w:ascii="宋体" w:hAnsi="宋体" w:eastAsia="宋体" w:cs="宋体"/>
                <w:color w:val="auto"/>
                <w:sz w:val="24"/>
                <w:highlight w:val="none"/>
              </w:rPr>
            </w:pPr>
          </w:p>
        </w:tc>
        <w:tc>
          <w:tcPr>
            <w:tcW w:w="993" w:type="dxa"/>
            <w:vAlign w:val="center"/>
          </w:tcPr>
          <w:p>
            <w:pPr>
              <w:snapToGrid w:val="0"/>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984" w:type="dxa"/>
            <w:vAlign w:val="center"/>
          </w:tcPr>
          <w:p>
            <w:pPr>
              <w:spacing w:line="360" w:lineRule="auto"/>
              <w:jc w:val="center"/>
              <w:rPr>
                <w:rFonts w:hint="eastAsia" w:ascii="宋体" w:hAnsi="宋体" w:eastAsia="宋体" w:cs="宋体"/>
                <w:color w:val="auto"/>
                <w:sz w:val="24"/>
                <w:highlight w:val="none"/>
              </w:rPr>
            </w:pPr>
          </w:p>
        </w:tc>
        <w:tc>
          <w:tcPr>
            <w:tcW w:w="3119"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3" w:type="dxa"/>
            <w:vAlign w:val="center"/>
          </w:tcPr>
          <w:p>
            <w:pPr>
              <w:spacing w:line="360" w:lineRule="auto"/>
              <w:jc w:val="center"/>
              <w:rPr>
                <w:rFonts w:hint="eastAsia" w:ascii="宋体" w:hAnsi="宋体" w:eastAsia="宋体" w:cs="宋体"/>
                <w:color w:val="auto"/>
                <w:sz w:val="24"/>
                <w:highlight w:val="none"/>
              </w:rPr>
            </w:pPr>
          </w:p>
        </w:tc>
        <w:tc>
          <w:tcPr>
            <w:tcW w:w="1168" w:type="dxa"/>
            <w:vAlign w:val="center"/>
          </w:tcPr>
          <w:p>
            <w:pPr>
              <w:snapToGrid w:val="0"/>
              <w:spacing w:line="360" w:lineRule="auto"/>
              <w:jc w:val="center"/>
              <w:rPr>
                <w:rFonts w:hint="eastAsia" w:ascii="宋体" w:hAnsi="宋体" w:eastAsia="宋体" w:cs="宋体"/>
                <w:color w:val="auto"/>
                <w:sz w:val="24"/>
                <w:highlight w:val="none"/>
              </w:rPr>
            </w:pPr>
          </w:p>
        </w:tc>
        <w:tc>
          <w:tcPr>
            <w:tcW w:w="1843" w:type="dxa"/>
            <w:vAlign w:val="center"/>
          </w:tcPr>
          <w:p>
            <w:pPr>
              <w:snapToGrid w:val="0"/>
              <w:spacing w:line="360" w:lineRule="auto"/>
              <w:jc w:val="center"/>
              <w:rPr>
                <w:rFonts w:hint="eastAsia" w:ascii="宋体" w:hAnsi="宋体" w:eastAsia="宋体" w:cs="宋体"/>
                <w:color w:val="auto"/>
                <w:sz w:val="24"/>
                <w:highlight w:val="none"/>
              </w:rPr>
            </w:pPr>
          </w:p>
        </w:tc>
        <w:tc>
          <w:tcPr>
            <w:tcW w:w="3118" w:type="dxa"/>
            <w:vAlign w:val="center"/>
          </w:tcPr>
          <w:p>
            <w:pPr>
              <w:snapToGrid w:val="0"/>
              <w:spacing w:line="360" w:lineRule="auto"/>
              <w:jc w:val="center"/>
              <w:rPr>
                <w:rFonts w:hint="eastAsia" w:ascii="宋体" w:hAnsi="宋体" w:eastAsia="宋体" w:cs="宋体"/>
                <w:color w:val="auto"/>
                <w:sz w:val="24"/>
                <w:highlight w:val="none"/>
              </w:rPr>
            </w:pPr>
          </w:p>
        </w:tc>
        <w:tc>
          <w:tcPr>
            <w:tcW w:w="993" w:type="dxa"/>
            <w:vAlign w:val="center"/>
          </w:tcPr>
          <w:p>
            <w:pPr>
              <w:snapToGrid w:val="0"/>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984" w:type="dxa"/>
            <w:vAlign w:val="center"/>
          </w:tcPr>
          <w:p>
            <w:pPr>
              <w:spacing w:line="360" w:lineRule="auto"/>
              <w:jc w:val="center"/>
              <w:rPr>
                <w:rFonts w:hint="eastAsia" w:ascii="宋体" w:hAnsi="宋体" w:eastAsia="宋体" w:cs="宋体"/>
                <w:color w:val="auto"/>
                <w:sz w:val="24"/>
                <w:highlight w:val="none"/>
              </w:rPr>
            </w:pPr>
          </w:p>
        </w:tc>
        <w:tc>
          <w:tcPr>
            <w:tcW w:w="3119"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3" w:type="dxa"/>
            <w:vAlign w:val="center"/>
          </w:tcPr>
          <w:p>
            <w:pPr>
              <w:spacing w:line="360" w:lineRule="auto"/>
              <w:jc w:val="center"/>
              <w:rPr>
                <w:rFonts w:hint="eastAsia" w:ascii="宋体" w:hAnsi="宋体" w:eastAsia="宋体" w:cs="宋体"/>
                <w:color w:val="auto"/>
                <w:sz w:val="24"/>
                <w:highlight w:val="none"/>
              </w:rPr>
            </w:pPr>
          </w:p>
        </w:tc>
        <w:tc>
          <w:tcPr>
            <w:tcW w:w="1168" w:type="dxa"/>
            <w:vAlign w:val="center"/>
          </w:tcPr>
          <w:p>
            <w:pPr>
              <w:snapToGrid w:val="0"/>
              <w:spacing w:line="360" w:lineRule="auto"/>
              <w:jc w:val="center"/>
              <w:rPr>
                <w:rFonts w:hint="eastAsia" w:ascii="宋体" w:hAnsi="宋体" w:eastAsia="宋体" w:cs="宋体"/>
                <w:color w:val="auto"/>
                <w:sz w:val="24"/>
                <w:highlight w:val="none"/>
              </w:rPr>
            </w:pPr>
          </w:p>
        </w:tc>
        <w:tc>
          <w:tcPr>
            <w:tcW w:w="1843" w:type="dxa"/>
            <w:vAlign w:val="center"/>
          </w:tcPr>
          <w:p>
            <w:pPr>
              <w:snapToGrid w:val="0"/>
              <w:spacing w:line="360" w:lineRule="auto"/>
              <w:jc w:val="center"/>
              <w:rPr>
                <w:rFonts w:hint="eastAsia" w:ascii="宋体" w:hAnsi="宋体" w:eastAsia="宋体" w:cs="宋体"/>
                <w:color w:val="auto"/>
                <w:sz w:val="24"/>
                <w:highlight w:val="none"/>
              </w:rPr>
            </w:pPr>
          </w:p>
        </w:tc>
        <w:tc>
          <w:tcPr>
            <w:tcW w:w="3118" w:type="dxa"/>
            <w:vAlign w:val="center"/>
          </w:tcPr>
          <w:p>
            <w:pPr>
              <w:snapToGrid w:val="0"/>
              <w:spacing w:line="360" w:lineRule="auto"/>
              <w:jc w:val="center"/>
              <w:rPr>
                <w:rFonts w:hint="eastAsia" w:ascii="宋体" w:hAnsi="宋体" w:eastAsia="宋体" w:cs="宋体"/>
                <w:color w:val="auto"/>
                <w:sz w:val="24"/>
                <w:highlight w:val="none"/>
              </w:rPr>
            </w:pPr>
          </w:p>
        </w:tc>
        <w:tc>
          <w:tcPr>
            <w:tcW w:w="993" w:type="dxa"/>
            <w:vAlign w:val="center"/>
          </w:tcPr>
          <w:p>
            <w:pPr>
              <w:snapToGrid w:val="0"/>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984" w:type="dxa"/>
            <w:vAlign w:val="center"/>
          </w:tcPr>
          <w:p>
            <w:pPr>
              <w:spacing w:line="360" w:lineRule="auto"/>
              <w:jc w:val="center"/>
              <w:rPr>
                <w:rFonts w:hint="eastAsia" w:ascii="宋体" w:hAnsi="宋体" w:eastAsia="宋体" w:cs="宋体"/>
                <w:color w:val="auto"/>
                <w:sz w:val="24"/>
                <w:highlight w:val="none"/>
              </w:rPr>
            </w:pPr>
          </w:p>
        </w:tc>
        <w:tc>
          <w:tcPr>
            <w:tcW w:w="3119"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交易报价</w:t>
            </w:r>
            <w:r>
              <w:rPr>
                <w:rFonts w:hint="eastAsia" w:ascii="宋体" w:hAnsi="宋体" w:eastAsia="宋体" w:cs="宋体"/>
                <w:b/>
                <w:color w:val="auto"/>
                <w:sz w:val="24"/>
                <w:highlight w:val="none"/>
              </w:rPr>
              <w:t>（小写）</w:t>
            </w:r>
          </w:p>
        </w:tc>
        <w:tc>
          <w:tcPr>
            <w:tcW w:w="7655" w:type="dxa"/>
            <w:gridSpan w:val="4"/>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交易报价</w:t>
            </w:r>
            <w:r>
              <w:rPr>
                <w:rFonts w:hint="eastAsia" w:ascii="宋体" w:hAnsi="宋体" w:eastAsia="宋体" w:cs="宋体"/>
                <w:b/>
                <w:color w:val="auto"/>
                <w:sz w:val="24"/>
                <w:highlight w:val="none"/>
              </w:rPr>
              <w:t>（大写）</w:t>
            </w:r>
          </w:p>
        </w:tc>
        <w:tc>
          <w:tcPr>
            <w:tcW w:w="7655" w:type="dxa"/>
            <w:gridSpan w:val="4"/>
            <w:vAlign w:val="center"/>
          </w:tcPr>
          <w:p>
            <w:pPr>
              <w:spacing w:line="360" w:lineRule="auto"/>
              <w:jc w:val="center"/>
              <w:rPr>
                <w:rFonts w:hint="eastAsia" w:ascii="宋体" w:hAnsi="宋体" w:eastAsia="宋体" w:cs="宋体"/>
                <w:color w:val="auto"/>
                <w:sz w:val="24"/>
                <w:highlight w:val="none"/>
              </w:rPr>
            </w:pPr>
          </w:p>
        </w:tc>
      </w:tr>
    </w:tbl>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1、供应商需按本表格式填写，不得自行更改。</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交易发起人将以合同形式有偿取得货物或服务，不接受供应商给予的赠品、回扣或者与</w:t>
      </w:r>
      <w:r>
        <w:rPr>
          <w:rFonts w:hint="eastAsia" w:ascii="宋体" w:hAnsi="宋体" w:eastAsia="宋体" w:cs="宋体"/>
          <w:b/>
          <w:color w:val="auto"/>
          <w:kern w:val="0"/>
          <w:sz w:val="24"/>
          <w:highlight w:val="none"/>
          <w:lang w:val="en-US" w:eastAsia="zh-CN"/>
        </w:rPr>
        <w:t>交易</w:t>
      </w:r>
      <w:r>
        <w:rPr>
          <w:rFonts w:hint="eastAsia" w:ascii="宋体" w:hAnsi="宋体" w:eastAsia="宋体" w:cs="宋体"/>
          <w:b/>
          <w:color w:val="auto"/>
          <w:kern w:val="0"/>
          <w:sz w:val="24"/>
          <w:highlight w:val="none"/>
          <w:lang w:val="zh-CN"/>
        </w:rPr>
        <w:t>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lang w:val="en-US" w:eastAsia="zh-CN"/>
        </w:rPr>
        <w:t>响应</w:t>
      </w:r>
      <w:r>
        <w:rPr>
          <w:rFonts w:hint="eastAsia" w:ascii="宋体" w:hAnsi="宋体" w:eastAsia="宋体" w:cs="宋体"/>
          <w:b/>
          <w:color w:val="auto"/>
          <w:kern w:val="0"/>
          <w:sz w:val="24"/>
          <w:highlight w:val="none"/>
          <w:lang w:val="zh-CN"/>
        </w:rPr>
        <w:t>内容未包含在《交易一览表（报价表）》名称栏中，供应商不能作出合理解释的，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pPr>
        <w:spacing w:line="360" w:lineRule="auto"/>
        <w:ind w:firstLine="482" w:firstLineChars="200"/>
        <w:rPr>
          <w:rFonts w:hint="eastAsia" w:ascii="宋体" w:hAnsi="宋体" w:eastAsia="宋体" w:cs="宋体"/>
          <w:b/>
          <w:kern w:val="0"/>
          <w:sz w:val="24"/>
          <w:highlight w:val="none"/>
          <w:lang w:eastAsia="zh-CN"/>
        </w:rPr>
      </w:pPr>
      <w:r>
        <w:rPr>
          <w:rFonts w:hint="eastAsia" w:ascii="宋体" w:hAnsi="宋体" w:cs="宋体"/>
          <w:b/>
          <w:sz w:val="24"/>
          <w:highlight w:val="none"/>
          <w:lang w:val="en-US" w:eastAsia="zh-CN"/>
        </w:rPr>
        <w:t>4</w:t>
      </w:r>
      <w:r>
        <w:rPr>
          <w:rFonts w:hint="eastAsia" w:ascii="宋体" w:hAnsi="宋体" w:cs="宋体"/>
          <w:b/>
          <w:sz w:val="24"/>
          <w:highlight w:val="none"/>
        </w:rPr>
        <w:t>、特别说明：▲供应商报价低于项目预算50%的，应当在报价文件中详细阐述不影响产品质量或者诚信履约的具体原因</w:t>
      </w:r>
      <w:r>
        <w:rPr>
          <w:rFonts w:hint="eastAsia" w:ascii="宋体" w:hAnsi="宋体" w:cs="宋体"/>
          <w:b/>
          <w:sz w:val="24"/>
          <w:highlight w:val="none"/>
          <w:lang w:eastAsia="zh-CN"/>
        </w:rPr>
        <w:t>，</w:t>
      </w:r>
      <w:r>
        <w:rPr>
          <w:rFonts w:hint="eastAsia" w:ascii="宋体" w:hAnsi="宋体" w:cs="宋体"/>
          <w:b/>
          <w:sz w:val="24"/>
          <w:highlight w:val="none"/>
          <w:lang w:val="en-US" w:eastAsia="zh-CN"/>
        </w:rPr>
        <w:t>未做阐述说明的，响应无效。</w:t>
      </w:r>
    </w:p>
    <w:p>
      <w:pPr>
        <w:autoSpaceDE w:val="0"/>
        <w:autoSpaceDN w:val="0"/>
        <w:jc w:val="both"/>
        <w:rPr>
          <w:rFonts w:hint="eastAsia" w:ascii="宋体" w:hAnsi="宋体" w:eastAsia="宋体" w:cs="宋体"/>
          <w:b/>
          <w:color w:val="auto"/>
          <w:kern w:val="0"/>
          <w:sz w:val="32"/>
          <w:szCs w:val="32"/>
          <w:highlight w:val="none"/>
          <w:lang w:eastAsia="zh-CN"/>
        </w:rPr>
        <w:sectPr>
          <w:headerReference r:id="rId15" w:type="first"/>
          <w:footerReference r:id="rId18" w:type="first"/>
          <w:headerReference r:id="rId14" w:type="default"/>
          <w:footerReference r:id="rId16" w:type="default"/>
          <w:footerReference r:id="rId17" w:type="even"/>
          <w:pgSz w:w="16838" w:h="11906" w:orient="landscape"/>
          <w:pgMar w:top="1803" w:right="1440" w:bottom="1803" w:left="1440" w:header="851" w:footer="992" w:gutter="0"/>
          <w:pgNumType w:fmt="decimal"/>
          <w:cols w:space="0" w:num="1"/>
          <w:rtlGutter w:val="0"/>
          <w:docGrid w:linePitch="312" w:charSpace="0"/>
        </w:sect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1</w:t>
      </w:r>
      <w:r>
        <w:rPr>
          <w:rFonts w:hint="eastAsia" w:ascii="宋体" w:hAnsi="宋体" w:eastAsia="宋体" w:cs="宋体"/>
          <w:b/>
          <w:color w:val="auto"/>
          <w:spacing w:val="6"/>
          <w:sz w:val="32"/>
          <w:szCs w:val="32"/>
          <w:highlight w:val="none"/>
        </w:rPr>
        <w:t>：质疑函范本及制作说明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2</w:t>
      </w:r>
      <w:r>
        <w:rPr>
          <w:rFonts w:hint="eastAsia" w:ascii="宋体" w:hAnsi="宋体" w:eastAsia="宋体" w:cs="宋体"/>
          <w:b/>
          <w:color w:val="auto"/>
          <w:spacing w:val="6"/>
          <w:sz w:val="32"/>
          <w:szCs w:val="32"/>
          <w:highlight w:val="none"/>
        </w:rPr>
        <w:t>：投诉书范本及制作说明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lang w:eastAsia="zh-CN"/>
        </w:rPr>
        <w:t>交易发起人</w:t>
      </w:r>
      <w:r>
        <w:rPr>
          <w:rFonts w:hint="eastAsia" w:ascii="宋体" w:hAnsi="宋体" w:eastAsia="宋体" w:cs="宋体"/>
          <w:color w:val="auto"/>
          <w:sz w:val="24"/>
          <w:highlight w:val="none"/>
          <w:u w:val="dotted"/>
        </w:rPr>
        <w:t>/代理机构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3</w:t>
      </w:r>
      <w:r>
        <w:rPr>
          <w:rFonts w:hint="eastAsia" w:ascii="宋体" w:hAnsi="宋体" w:eastAsia="宋体" w:cs="宋体"/>
          <w:b/>
          <w:color w:val="auto"/>
          <w:spacing w:val="6"/>
          <w:sz w:val="32"/>
          <w:szCs w:val="32"/>
          <w:highlight w:val="none"/>
        </w:rPr>
        <w:t>：</w:t>
      </w:r>
    </w:p>
    <w:p>
      <w:pPr>
        <w:autoSpaceDE w:val="0"/>
        <w:autoSpaceDN w:val="0"/>
        <w:jc w:val="center"/>
        <w:rPr>
          <w:rFonts w:hint="eastAsia" w:ascii="宋体" w:hAnsi="宋体" w:eastAsia="宋体" w:cs="宋体"/>
          <w:b/>
          <w:bCs/>
          <w:color w:val="auto"/>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（项目名称）项目【</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bCs/>
          <w:color w:val="auto"/>
          <w:sz w:val="24"/>
          <w:highlight w:val="none"/>
          <w:lang w:val="en-US" w:eastAsia="zh-CN"/>
        </w:rPr>
        <w:t>交易</w:t>
      </w:r>
      <w:r>
        <w:rPr>
          <w:rFonts w:hint="eastAsia" w:ascii="宋体" w:hAnsi="宋体" w:eastAsia="宋体" w:cs="宋体"/>
          <w:bCs/>
          <w:color w:val="auto"/>
          <w:sz w:val="24"/>
          <w:highlight w:val="none"/>
        </w:rPr>
        <w:t>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color w:val="auto"/>
          <w:sz w:val="24"/>
          <w:highlight w:val="none"/>
          <w:lang w:val="en-U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eastAsia="宋体" w:cs="宋体"/>
          <w:color w:val="auto"/>
          <w:sz w:val="24"/>
          <w:highlight w:val="none"/>
          <w:lang w:val="en-U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 xml:space="preserve">单位法定名称章（印模）             </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sectPr>
      <w:pgSz w:w="11906" w:h="16838"/>
      <w:pgMar w:top="1440" w:right="1803" w:bottom="1440" w:left="1803"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AmdtSymbols"/>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separate"/>
    </w:r>
    <w:r>
      <w:t>1</w:t>
    </w:r>
    <w: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28</w:t>
                    </w:r>
                    <w:r>
                      <w:fldChar w:fldCharType="end"/>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27</w:t>
                    </w:r>
                    <w:r>
                      <w:fldChar w:fldCharType="end"/>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52</w:t>
                    </w:r>
                    <w:r>
                      <w:fldChar w:fldCharType="end"/>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50</w:t>
                    </w:r>
                    <w:r>
                      <w:fldChar w:fldCharType="end"/>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6"/>
      </w:rPr>
    </w:pPr>
    <w:r>
      <w:fldChar w:fldCharType="begin"/>
    </w:r>
    <w:r>
      <w:rPr>
        <w:rStyle w:val="76"/>
      </w:rPr>
      <w:instrText xml:space="preserve">PAGE  </w:instrText>
    </w:r>
    <w:r>
      <w:fldChar w:fldCharType="end"/>
    </w:r>
  </w:p>
  <w:p>
    <w:pPr>
      <w:pStyle w:val="43"/>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rPr>
        <w:rFonts w:hint="eastAsia"/>
        <w:lang w:val="en-US" w:eastAsia="zh-CN"/>
      </w:rPr>
      <w:t>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hint="default" w:eastAsia="宋体"/>
        <w:lang w:val="en-US" w:eastAsia="zh-CN"/>
      </w:rPr>
    </w:pPr>
    <w:r>
      <w:rPr>
        <w:rFonts w:hint="eastAsia"/>
        <w:lang w:val="en-US" w:eastAsia="zh-CN"/>
      </w:rPr>
      <w:t xml:space="preserve">                                                                                   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lang w:val="en-US" w:eastAsia="zh-CN"/>
      </w:rPr>
      <w:t xml:space="preserve">                                                                                         交易文件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hint="eastAsia" w:eastAsia="宋体"/>
        <w:lang w:eastAsia="zh-CN"/>
      </w:rPr>
    </w:pPr>
    <w:r>
      <w:rPr>
        <w:rFonts w:hint="eastAsia"/>
        <w:lang w:eastAsia="zh-CN"/>
      </w:rPr>
      <w:tab/>
    </w:r>
    <w:r>
      <w:rPr>
        <w:rFonts w:hint="eastAsia"/>
        <w:lang w:val="en-US" w:eastAsia="zh-CN"/>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rPr>
        <w:rFonts w:hint="eastAsia"/>
        <w:lang w:val="en-US" w:eastAsia="zh-CN"/>
      </w:rPr>
      <w:t>交易文件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hint="eastAsia" w:eastAsia="宋体"/>
        <w:lang w:eastAsia="zh-CN"/>
      </w:rPr>
    </w:pPr>
    <w:r>
      <w:t></w:t>
    </w:r>
    <w:r>
      <w:rPr>
        <w:rFonts w:hint="eastAsia"/>
      </w:rPr>
      <w:t xml:space="preserve">                                             </w:t>
    </w:r>
    <w:r>
      <w:t>杭州市采购公开</w:t>
    </w:r>
    <w:r>
      <w:rPr>
        <w:rFonts w:hint="eastAsia"/>
        <w:lang w:eastAsia="zh-CN"/>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24ACF3"/>
    <w:multiLevelType w:val="singleLevel"/>
    <w:tmpl w:val="E024ACF3"/>
    <w:lvl w:ilvl="0" w:tentative="0">
      <w:start w:val="1"/>
      <w:numFmt w:val="decimal"/>
      <w:suff w:val="nothing"/>
      <w:lvlText w:val="%1、"/>
      <w:lvlJc w:val="left"/>
    </w:lvl>
  </w:abstractNum>
  <w:abstractNum w:abstractNumId="1">
    <w:nsid w:val="434CA0FB"/>
    <w:multiLevelType w:val="singleLevel"/>
    <w:tmpl w:val="434CA0FB"/>
    <w:lvl w:ilvl="0" w:tentative="0">
      <w:start w:val="14"/>
      <w:numFmt w:val="decimal"/>
      <w:lvlText w:val="%1."/>
      <w:lvlJc w:val="left"/>
      <w:pPr>
        <w:tabs>
          <w:tab w:val="left" w:pos="312"/>
        </w:tabs>
      </w:pPr>
    </w:lvl>
  </w:abstractNum>
  <w:abstractNum w:abstractNumId="2">
    <w:nsid w:val="45792855"/>
    <w:multiLevelType w:val="singleLevel"/>
    <w:tmpl w:val="45792855"/>
    <w:lvl w:ilvl="0" w:tentative="0">
      <w:start w:val="1"/>
      <w:numFmt w:val="decimal"/>
      <w:lvlText w:val="%1."/>
      <w:lvlJc w:val="left"/>
      <w:pPr>
        <w:tabs>
          <w:tab w:val="left" w:pos="312"/>
        </w:tabs>
      </w:pPr>
    </w:lvl>
  </w:abstractNum>
  <w:abstractNum w:abstractNumId="3">
    <w:nsid w:val="4754F165"/>
    <w:multiLevelType w:val="singleLevel"/>
    <w:tmpl w:val="4754F165"/>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lZGQwNDM4MDAxMDg2MjIzZWY3ZGNjMjg4Y2M0NTgifQ=="/>
    <w:docVar w:name="KSO_WPS_MARK_KEY" w:val="6a76fa39-6e05-4e0b-b320-e4bee1459d94"/>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9F7441"/>
    <w:rsid w:val="01B37585"/>
    <w:rsid w:val="01B5399D"/>
    <w:rsid w:val="01D55165"/>
    <w:rsid w:val="01DF6BF8"/>
    <w:rsid w:val="01EC2C57"/>
    <w:rsid w:val="01F56318"/>
    <w:rsid w:val="025F0711"/>
    <w:rsid w:val="026B2E25"/>
    <w:rsid w:val="0273010D"/>
    <w:rsid w:val="02824D4D"/>
    <w:rsid w:val="02B96B01"/>
    <w:rsid w:val="02DC4B10"/>
    <w:rsid w:val="02DD76CE"/>
    <w:rsid w:val="02F36323"/>
    <w:rsid w:val="02F5619C"/>
    <w:rsid w:val="0326446A"/>
    <w:rsid w:val="032D5555"/>
    <w:rsid w:val="0360005B"/>
    <w:rsid w:val="036634D2"/>
    <w:rsid w:val="03DD35E4"/>
    <w:rsid w:val="04076900"/>
    <w:rsid w:val="041A5A3B"/>
    <w:rsid w:val="042311BA"/>
    <w:rsid w:val="042B157A"/>
    <w:rsid w:val="043E7615"/>
    <w:rsid w:val="048F763B"/>
    <w:rsid w:val="049F330E"/>
    <w:rsid w:val="04AA775C"/>
    <w:rsid w:val="04AF1889"/>
    <w:rsid w:val="04EE3F9B"/>
    <w:rsid w:val="04F66F48"/>
    <w:rsid w:val="05036F0A"/>
    <w:rsid w:val="051E28A6"/>
    <w:rsid w:val="05251E14"/>
    <w:rsid w:val="05507636"/>
    <w:rsid w:val="05770BD6"/>
    <w:rsid w:val="05A16594"/>
    <w:rsid w:val="05A7762D"/>
    <w:rsid w:val="05BF4603"/>
    <w:rsid w:val="05C04DC2"/>
    <w:rsid w:val="05E22E33"/>
    <w:rsid w:val="060E5941"/>
    <w:rsid w:val="06110FAF"/>
    <w:rsid w:val="06493CA7"/>
    <w:rsid w:val="065A6178"/>
    <w:rsid w:val="066F1CF3"/>
    <w:rsid w:val="06930BB8"/>
    <w:rsid w:val="06956198"/>
    <w:rsid w:val="07245D42"/>
    <w:rsid w:val="07264C62"/>
    <w:rsid w:val="0779354C"/>
    <w:rsid w:val="07FE18F3"/>
    <w:rsid w:val="08061376"/>
    <w:rsid w:val="083E6C36"/>
    <w:rsid w:val="08452D77"/>
    <w:rsid w:val="086401F8"/>
    <w:rsid w:val="08751CAA"/>
    <w:rsid w:val="087A464B"/>
    <w:rsid w:val="087E4C40"/>
    <w:rsid w:val="08A871D0"/>
    <w:rsid w:val="08D66AD6"/>
    <w:rsid w:val="08DA33A3"/>
    <w:rsid w:val="08DC599D"/>
    <w:rsid w:val="08E80F13"/>
    <w:rsid w:val="08F8186C"/>
    <w:rsid w:val="09335624"/>
    <w:rsid w:val="0944690F"/>
    <w:rsid w:val="09535675"/>
    <w:rsid w:val="095F057D"/>
    <w:rsid w:val="09642282"/>
    <w:rsid w:val="09733572"/>
    <w:rsid w:val="09772C16"/>
    <w:rsid w:val="098353B5"/>
    <w:rsid w:val="09A92330"/>
    <w:rsid w:val="09B06B87"/>
    <w:rsid w:val="09C13146"/>
    <w:rsid w:val="09E04166"/>
    <w:rsid w:val="0A1B2824"/>
    <w:rsid w:val="0A1C0718"/>
    <w:rsid w:val="0A3E7710"/>
    <w:rsid w:val="0A5B7E63"/>
    <w:rsid w:val="0A6961A2"/>
    <w:rsid w:val="0AA374A5"/>
    <w:rsid w:val="0AAB7649"/>
    <w:rsid w:val="0AAF5E89"/>
    <w:rsid w:val="0ABC5606"/>
    <w:rsid w:val="0AC42692"/>
    <w:rsid w:val="0ADE3108"/>
    <w:rsid w:val="0ADF4EB4"/>
    <w:rsid w:val="0B0F74C5"/>
    <w:rsid w:val="0B30404E"/>
    <w:rsid w:val="0B4C6C14"/>
    <w:rsid w:val="0B631A88"/>
    <w:rsid w:val="0B683D45"/>
    <w:rsid w:val="0B76461B"/>
    <w:rsid w:val="0B7F3F11"/>
    <w:rsid w:val="0B884417"/>
    <w:rsid w:val="0BF6188C"/>
    <w:rsid w:val="0BF73C91"/>
    <w:rsid w:val="0C170175"/>
    <w:rsid w:val="0C571A41"/>
    <w:rsid w:val="0C5C1171"/>
    <w:rsid w:val="0C5E1CBC"/>
    <w:rsid w:val="0C615B50"/>
    <w:rsid w:val="0C7D67ED"/>
    <w:rsid w:val="0C8445DA"/>
    <w:rsid w:val="0C87121B"/>
    <w:rsid w:val="0CC007F7"/>
    <w:rsid w:val="0CC617AC"/>
    <w:rsid w:val="0CFE707A"/>
    <w:rsid w:val="0D063BDA"/>
    <w:rsid w:val="0D08375F"/>
    <w:rsid w:val="0D184CFB"/>
    <w:rsid w:val="0D366EE9"/>
    <w:rsid w:val="0D4A7419"/>
    <w:rsid w:val="0D827401"/>
    <w:rsid w:val="0D84094E"/>
    <w:rsid w:val="0D8A00E9"/>
    <w:rsid w:val="0D8D589E"/>
    <w:rsid w:val="0DA01C73"/>
    <w:rsid w:val="0DD63300"/>
    <w:rsid w:val="0DF50604"/>
    <w:rsid w:val="0DF702FE"/>
    <w:rsid w:val="0E060E51"/>
    <w:rsid w:val="0E373674"/>
    <w:rsid w:val="0E5604B2"/>
    <w:rsid w:val="0E6D5D79"/>
    <w:rsid w:val="0E831CCA"/>
    <w:rsid w:val="0E9D0089"/>
    <w:rsid w:val="0EB803EE"/>
    <w:rsid w:val="0EF94D4B"/>
    <w:rsid w:val="0F0B13B6"/>
    <w:rsid w:val="0F4958DC"/>
    <w:rsid w:val="0F515DF7"/>
    <w:rsid w:val="0F596BA8"/>
    <w:rsid w:val="0F6248D2"/>
    <w:rsid w:val="0F635421"/>
    <w:rsid w:val="0F693536"/>
    <w:rsid w:val="0F7B0511"/>
    <w:rsid w:val="0F7B76D9"/>
    <w:rsid w:val="0F816ACD"/>
    <w:rsid w:val="0F9832DB"/>
    <w:rsid w:val="0FBF3FD2"/>
    <w:rsid w:val="0FBF7FF3"/>
    <w:rsid w:val="0FDA406B"/>
    <w:rsid w:val="0FFC3E38"/>
    <w:rsid w:val="10646583"/>
    <w:rsid w:val="107D4B15"/>
    <w:rsid w:val="10841832"/>
    <w:rsid w:val="108A3C80"/>
    <w:rsid w:val="10C26171"/>
    <w:rsid w:val="10F33360"/>
    <w:rsid w:val="10F4083A"/>
    <w:rsid w:val="10FC16EA"/>
    <w:rsid w:val="110F1D40"/>
    <w:rsid w:val="11266F33"/>
    <w:rsid w:val="118963A1"/>
    <w:rsid w:val="11C451D8"/>
    <w:rsid w:val="11C6522A"/>
    <w:rsid w:val="11E104CC"/>
    <w:rsid w:val="11E20309"/>
    <w:rsid w:val="12255233"/>
    <w:rsid w:val="123410EC"/>
    <w:rsid w:val="12530213"/>
    <w:rsid w:val="127723A9"/>
    <w:rsid w:val="12862074"/>
    <w:rsid w:val="12883966"/>
    <w:rsid w:val="129E45B4"/>
    <w:rsid w:val="12D21374"/>
    <w:rsid w:val="12D81596"/>
    <w:rsid w:val="13072A44"/>
    <w:rsid w:val="131A1B7F"/>
    <w:rsid w:val="135F4BE2"/>
    <w:rsid w:val="139B1A0A"/>
    <w:rsid w:val="139D25C7"/>
    <w:rsid w:val="13B838AA"/>
    <w:rsid w:val="13BF3CE4"/>
    <w:rsid w:val="141008D8"/>
    <w:rsid w:val="14125FE6"/>
    <w:rsid w:val="14500381"/>
    <w:rsid w:val="146D271E"/>
    <w:rsid w:val="14982588"/>
    <w:rsid w:val="149A5AD9"/>
    <w:rsid w:val="14A7619D"/>
    <w:rsid w:val="14F25B02"/>
    <w:rsid w:val="150536C3"/>
    <w:rsid w:val="150C1963"/>
    <w:rsid w:val="151447A0"/>
    <w:rsid w:val="154A6454"/>
    <w:rsid w:val="15762120"/>
    <w:rsid w:val="15843754"/>
    <w:rsid w:val="15F56AC3"/>
    <w:rsid w:val="1608540D"/>
    <w:rsid w:val="16172287"/>
    <w:rsid w:val="16A8729C"/>
    <w:rsid w:val="16B33777"/>
    <w:rsid w:val="16BC70A7"/>
    <w:rsid w:val="16C6339E"/>
    <w:rsid w:val="16C730F7"/>
    <w:rsid w:val="16FE2244"/>
    <w:rsid w:val="172F2D79"/>
    <w:rsid w:val="17405BC3"/>
    <w:rsid w:val="17557BEF"/>
    <w:rsid w:val="176122A5"/>
    <w:rsid w:val="17D349C1"/>
    <w:rsid w:val="1830729E"/>
    <w:rsid w:val="185134E3"/>
    <w:rsid w:val="1870062C"/>
    <w:rsid w:val="18817102"/>
    <w:rsid w:val="18830A15"/>
    <w:rsid w:val="18852B28"/>
    <w:rsid w:val="188B5321"/>
    <w:rsid w:val="18EE574D"/>
    <w:rsid w:val="19341F4D"/>
    <w:rsid w:val="19932372"/>
    <w:rsid w:val="19A20DD5"/>
    <w:rsid w:val="19AE03F1"/>
    <w:rsid w:val="1A071A03"/>
    <w:rsid w:val="1A1F16AE"/>
    <w:rsid w:val="1A361642"/>
    <w:rsid w:val="1A3B5C77"/>
    <w:rsid w:val="1A984BAD"/>
    <w:rsid w:val="1A9F38E3"/>
    <w:rsid w:val="1AB8220E"/>
    <w:rsid w:val="1AE4166C"/>
    <w:rsid w:val="1AF06CFB"/>
    <w:rsid w:val="1AF11B8D"/>
    <w:rsid w:val="1B11359C"/>
    <w:rsid w:val="1B2A271F"/>
    <w:rsid w:val="1B530544"/>
    <w:rsid w:val="1B713184"/>
    <w:rsid w:val="1B825FBC"/>
    <w:rsid w:val="1B8A2DD3"/>
    <w:rsid w:val="1BA209CF"/>
    <w:rsid w:val="1BB4777D"/>
    <w:rsid w:val="1BD75AB8"/>
    <w:rsid w:val="1BE22A26"/>
    <w:rsid w:val="1BF574DA"/>
    <w:rsid w:val="1C0459C2"/>
    <w:rsid w:val="1C1B3B4A"/>
    <w:rsid w:val="1C88086E"/>
    <w:rsid w:val="1CC47A8B"/>
    <w:rsid w:val="1D266CE1"/>
    <w:rsid w:val="1D3963AF"/>
    <w:rsid w:val="1D3A21F3"/>
    <w:rsid w:val="1D6A673C"/>
    <w:rsid w:val="1D9247AE"/>
    <w:rsid w:val="1DB567EC"/>
    <w:rsid w:val="1DBB3E80"/>
    <w:rsid w:val="1DF51A98"/>
    <w:rsid w:val="1E0D224B"/>
    <w:rsid w:val="1E355830"/>
    <w:rsid w:val="1E3D060F"/>
    <w:rsid w:val="1E3F7D2E"/>
    <w:rsid w:val="1E4134E4"/>
    <w:rsid w:val="1E5062B3"/>
    <w:rsid w:val="1E523514"/>
    <w:rsid w:val="1E714A66"/>
    <w:rsid w:val="1E802593"/>
    <w:rsid w:val="1E8B6156"/>
    <w:rsid w:val="1EA703CC"/>
    <w:rsid w:val="1EB7330C"/>
    <w:rsid w:val="1F0A0FF3"/>
    <w:rsid w:val="1F40228F"/>
    <w:rsid w:val="1F5771FF"/>
    <w:rsid w:val="1FE868A9"/>
    <w:rsid w:val="20034907"/>
    <w:rsid w:val="20173E4B"/>
    <w:rsid w:val="204E48BC"/>
    <w:rsid w:val="208921B3"/>
    <w:rsid w:val="2093370A"/>
    <w:rsid w:val="20973DEB"/>
    <w:rsid w:val="20B26522"/>
    <w:rsid w:val="20B44310"/>
    <w:rsid w:val="211116EB"/>
    <w:rsid w:val="211E01F0"/>
    <w:rsid w:val="216133FC"/>
    <w:rsid w:val="218944CA"/>
    <w:rsid w:val="21946B86"/>
    <w:rsid w:val="21D56769"/>
    <w:rsid w:val="21D62C50"/>
    <w:rsid w:val="21E52EF3"/>
    <w:rsid w:val="21FB5D7B"/>
    <w:rsid w:val="220B1C3D"/>
    <w:rsid w:val="221D1D20"/>
    <w:rsid w:val="22334A87"/>
    <w:rsid w:val="22795622"/>
    <w:rsid w:val="22BE6801"/>
    <w:rsid w:val="23113F1A"/>
    <w:rsid w:val="233500BF"/>
    <w:rsid w:val="23377FF7"/>
    <w:rsid w:val="234F2976"/>
    <w:rsid w:val="236B425F"/>
    <w:rsid w:val="23836192"/>
    <w:rsid w:val="23901F29"/>
    <w:rsid w:val="239C0061"/>
    <w:rsid w:val="23B908A4"/>
    <w:rsid w:val="23E95BEF"/>
    <w:rsid w:val="23EF119C"/>
    <w:rsid w:val="23FD0064"/>
    <w:rsid w:val="245375B0"/>
    <w:rsid w:val="24642C0A"/>
    <w:rsid w:val="249307DC"/>
    <w:rsid w:val="24B22173"/>
    <w:rsid w:val="24B95AD9"/>
    <w:rsid w:val="24BE24DA"/>
    <w:rsid w:val="24C004A4"/>
    <w:rsid w:val="24CF5825"/>
    <w:rsid w:val="24D663E6"/>
    <w:rsid w:val="24D77F2B"/>
    <w:rsid w:val="250C1461"/>
    <w:rsid w:val="254F52B1"/>
    <w:rsid w:val="258B00E2"/>
    <w:rsid w:val="25A917A6"/>
    <w:rsid w:val="25BE27CC"/>
    <w:rsid w:val="25E92F53"/>
    <w:rsid w:val="25F74A5C"/>
    <w:rsid w:val="2628662C"/>
    <w:rsid w:val="262D45DE"/>
    <w:rsid w:val="26871DC8"/>
    <w:rsid w:val="26A53EF9"/>
    <w:rsid w:val="26A94201"/>
    <w:rsid w:val="26AC274F"/>
    <w:rsid w:val="27044A29"/>
    <w:rsid w:val="271D34C8"/>
    <w:rsid w:val="272F6449"/>
    <w:rsid w:val="276142BF"/>
    <w:rsid w:val="27783712"/>
    <w:rsid w:val="27907362"/>
    <w:rsid w:val="279B7084"/>
    <w:rsid w:val="28333E1D"/>
    <w:rsid w:val="28454BD6"/>
    <w:rsid w:val="28455253"/>
    <w:rsid w:val="28551971"/>
    <w:rsid w:val="285B1C53"/>
    <w:rsid w:val="289F7086"/>
    <w:rsid w:val="28C32028"/>
    <w:rsid w:val="28CC490F"/>
    <w:rsid w:val="28DE40AA"/>
    <w:rsid w:val="28F410E0"/>
    <w:rsid w:val="29345E77"/>
    <w:rsid w:val="294C65AD"/>
    <w:rsid w:val="29806583"/>
    <w:rsid w:val="298B3C4C"/>
    <w:rsid w:val="29F26D24"/>
    <w:rsid w:val="2A15033F"/>
    <w:rsid w:val="2A1662C1"/>
    <w:rsid w:val="2A1C7367"/>
    <w:rsid w:val="2A2815FA"/>
    <w:rsid w:val="2A45764B"/>
    <w:rsid w:val="2A6D6092"/>
    <w:rsid w:val="2A7D76B4"/>
    <w:rsid w:val="2AD01FC7"/>
    <w:rsid w:val="2AED4651"/>
    <w:rsid w:val="2AEE1B3B"/>
    <w:rsid w:val="2AF47F2E"/>
    <w:rsid w:val="2AF754E5"/>
    <w:rsid w:val="2B437463"/>
    <w:rsid w:val="2B7807EE"/>
    <w:rsid w:val="2BA50BF7"/>
    <w:rsid w:val="2BBF00EC"/>
    <w:rsid w:val="2BC37CFD"/>
    <w:rsid w:val="2BD5237F"/>
    <w:rsid w:val="2BE536CE"/>
    <w:rsid w:val="2BE758D9"/>
    <w:rsid w:val="2BEA7DD3"/>
    <w:rsid w:val="2BF607D6"/>
    <w:rsid w:val="2C09049E"/>
    <w:rsid w:val="2C0A653C"/>
    <w:rsid w:val="2C191F85"/>
    <w:rsid w:val="2CCA2FD7"/>
    <w:rsid w:val="2CE82D6F"/>
    <w:rsid w:val="2D2216DE"/>
    <w:rsid w:val="2D343236"/>
    <w:rsid w:val="2DCA2A1D"/>
    <w:rsid w:val="2DD02BA5"/>
    <w:rsid w:val="2DD15014"/>
    <w:rsid w:val="2DF72DE4"/>
    <w:rsid w:val="2E0220AF"/>
    <w:rsid w:val="2E4B082A"/>
    <w:rsid w:val="2E5D4E86"/>
    <w:rsid w:val="2E5D790B"/>
    <w:rsid w:val="2E776A61"/>
    <w:rsid w:val="2E9112FA"/>
    <w:rsid w:val="2E9A3C18"/>
    <w:rsid w:val="2EBB0FEE"/>
    <w:rsid w:val="2EC63002"/>
    <w:rsid w:val="2F0A6B38"/>
    <w:rsid w:val="2F0E78D3"/>
    <w:rsid w:val="2F5D35DA"/>
    <w:rsid w:val="2F946CCB"/>
    <w:rsid w:val="2FD25781"/>
    <w:rsid w:val="2FFD7934"/>
    <w:rsid w:val="30733ACD"/>
    <w:rsid w:val="308C3862"/>
    <w:rsid w:val="309379D8"/>
    <w:rsid w:val="30A270F7"/>
    <w:rsid w:val="30AD57F1"/>
    <w:rsid w:val="30DF1478"/>
    <w:rsid w:val="30EC586F"/>
    <w:rsid w:val="319C6071"/>
    <w:rsid w:val="31AC537E"/>
    <w:rsid w:val="31B420C4"/>
    <w:rsid w:val="31B43515"/>
    <w:rsid w:val="31B82C24"/>
    <w:rsid w:val="31C549B6"/>
    <w:rsid w:val="31E3679B"/>
    <w:rsid w:val="31E732FD"/>
    <w:rsid w:val="32517576"/>
    <w:rsid w:val="3262346C"/>
    <w:rsid w:val="32A64673"/>
    <w:rsid w:val="32BE5C2C"/>
    <w:rsid w:val="32FB6478"/>
    <w:rsid w:val="331E793D"/>
    <w:rsid w:val="33263B3F"/>
    <w:rsid w:val="33300D80"/>
    <w:rsid w:val="336963EB"/>
    <w:rsid w:val="33816EEB"/>
    <w:rsid w:val="338863E7"/>
    <w:rsid w:val="33EB55CD"/>
    <w:rsid w:val="33EC4C02"/>
    <w:rsid w:val="340D2360"/>
    <w:rsid w:val="3410665D"/>
    <w:rsid w:val="34211214"/>
    <w:rsid w:val="342E63AB"/>
    <w:rsid w:val="34950E68"/>
    <w:rsid w:val="34986E94"/>
    <w:rsid w:val="34AF62C9"/>
    <w:rsid w:val="34CB4388"/>
    <w:rsid w:val="34EB368F"/>
    <w:rsid w:val="34FA6E12"/>
    <w:rsid w:val="354D7158"/>
    <w:rsid w:val="358D5588"/>
    <w:rsid w:val="360E4154"/>
    <w:rsid w:val="36136070"/>
    <w:rsid w:val="363A3B40"/>
    <w:rsid w:val="365302AE"/>
    <w:rsid w:val="36607A0A"/>
    <w:rsid w:val="366A2FFA"/>
    <w:rsid w:val="366E227C"/>
    <w:rsid w:val="366F2E0D"/>
    <w:rsid w:val="367B6A5C"/>
    <w:rsid w:val="36A74ADA"/>
    <w:rsid w:val="36AD60D5"/>
    <w:rsid w:val="36B224F9"/>
    <w:rsid w:val="36B63775"/>
    <w:rsid w:val="36CE7652"/>
    <w:rsid w:val="36EC0CC9"/>
    <w:rsid w:val="37390A8E"/>
    <w:rsid w:val="373F410B"/>
    <w:rsid w:val="376B6EB3"/>
    <w:rsid w:val="37BD1A5A"/>
    <w:rsid w:val="37BE404A"/>
    <w:rsid w:val="37EE7094"/>
    <w:rsid w:val="38296C89"/>
    <w:rsid w:val="383002EB"/>
    <w:rsid w:val="38586797"/>
    <w:rsid w:val="38BC0149"/>
    <w:rsid w:val="38D87D1C"/>
    <w:rsid w:val="391F535F"/>
    <w:rsid w:val="39636459"/>
    <w:rsid w:val="396B7F6C"/>
    <w:rsid w:val="39842625"/>
    <w:rsid w:val="39B417A9"/>
    <w:rsid w:val="39BC160B"/>
    <w:rsid w:val="39F5707E"/>
    <w:rsid w:val="39FC5695"/>
    <w:rsid w:val="3A006D8E"/>
    <w:rsid w:val="3A3651E5"/>
    <w:rsid w:val="3A4E2342"/>
    <w:rsid w:val="3A744481"/>
    <w:rsid w:val="3A8C7BEF"/>
    <w:rsid w:val="3A906246"/>
    <w:rsid w:val="3AD96242"/>
    <w:rsid w:val="3B2349B7"/>
    <w:rsid w:val="3B616CFF"/>
    <w:rsid w:val="3B6259F6"/>
    <w:rsid w:val="3B822B94"/>
    <w:rsid w:val="3B8F6CEC"/>
    <w:rsid w:val="3B976654"/>
    <w:rsid w:val="3BC01EFC"/>
    <w:rsid w:val="3BCA786A"/>
    <w:rsid w:val="3BD31E2F"/>
    <w:rsid w:val="3BF15831"/>
    <w:rsid w:val="3C105946"/>
    <w:rsid w:val="3C4110FB"/>
    <w:rsid w:val="3C471448"/>
    <w:rsid w:val="3C5F759A"/>
    <w:rsid w:val="3C6C525A"/>
    <w:rsid w:val="3C906C85"/>
    <w:rsid w:val="3CCE23CB"/>
    <w:rsid w:val="3CD17D17"/>
    <w:rsid w:val="3CD346D4"/>
    <w:rsid w:val="3CEE6358"/>
    <w:rsid w:val="3D2C0743"/>
    <w:rsid w:val="3D396810"/>
    <w:rsid w:val="3D3C7F39"/>
    <w:rsid w:val="3D440F09"/>
    <w:rsid w:val="3D4504A0"/>
    <w:rsid w:val="3D8734BB"/>
    <w:rsid w:val="3D9A11D4"/>
    <w:rsid w:val="3DA16D89"/>
    <w:rsid w:val="3DA364BE"/>
    <w:rsid w:val="3DD12170"/>
    <w:rsid w:val="3DE041CB"/>
    <w:rsid w:val="3E0D48F6"/>
    <w:rsid w:val="3E1868B4"/>
    <w:rsid w:val="3E377251"/>
    <w:rsid w:val="3E42664B"/>
    <w:rsid w:val="3E5A7334"/>
    <w:rsid w:val="3E7B5D6B"/>
    <w:rsid w:val="3E843E66"/>
    <w:rsid w:val="3E8F51FE"/>
    <w:rsid w:val="3E926F87"/>
    <w:rsid w:val="3E9A59DE"/>
    <w:rsid w:val="3EAF4836"/>
    <w:rsid w:val="3EC33DFA"/>
    <w:rsid w:val="3EF66285"/>
    <w:rsid w:val="3F060E16"/>
    <w:rsid w:val="3F141D55"/>
    <w:rsid w:val="3F1D1096"/>
    <w:rsid w:val="3F2F0234"/>
    <w:rsid w:val="3F6363FE"/>
    <w:rsid w:val="3F756B8F"/>
    <w:rsid w:val="3F95482B"/>
    <w:rsid w:val="3FAF4907"/>
    <w:rsid w:val="4019356B"/>
    <w:rsid w:val="40592157"/>
    <w:rsid w:val="406E1CAE"/>
    <w:rsid w:val="40A0133A"/>
    <w:rsid w:val="40C31A53"/>
    <w:rsid w:val="40FF545D"/>
    <w:rsid w:val="410067C8"/>
    <w:rsid w:val="413C45E3"/>
    <w:rsid w:val="4147433B"/>
    <w:rsid w:val="418F0D2A"/>
    <w:rsid w:val="41B521B1"/>
    <w:rsid w:val="41D01505"/>
    <w:rsid w:val="423038C4"/>
    <w:rsid w:val="42474939"/>
    <w:rsid w:val="424C3C57"/>
    <w:rsid w:val="425425DA"/>
    <w:rsid w:val="42613FF3"/>
    <w:rsid w:val="42660D96"/>
    <w:rsid w:val="428667D2"/>
    <w:rsid w:val="42C01A7B"/>
    <w:rsid w:val="42C46549"/>
    <w:rsid w:val="42CD1CE0"/>
    <w:rsid w:val="42E1381E"/>
    <w:rsid w:val="42ED6459"/>
    <w:rsid w:val="42FE58DD"/>
    <w:rsid w:val="43174B3D"/>
    <w:rsid w:val="433E0222"/>
    <w:rsid w:val="434B790E"/>
    <w:rsid w:val="4360274F"/>
    <w:rsid w:val="43977AB6"/>
    <w:rsid w:val="43A3342B"/>
    <w:rsid w:val="43C77C27"/>
    <w:rsid w:val="43DE09EE"/>
    <w:rsid w:val="44002FAD"/>
    <w:rsid w:val="4430589B"/>
    <w:rsid w:val="44356927"/>
    <w:rsid w:val="449101DD"/>
    <w:rsid w:val="449D00C3"/>
    <w:rsid w:val="44DE1391"/>
    <w:rsid w:val="44E72961"/>
    <w:rsid w:val="4511585F"/>
    <w:rsid w:val="451B225C"/>
    <w:rsid w:val="452410C9"/>
    <w:rsid w:val="452E1696"/>
    <w:rsid w:val="45317DFB"/>
    <w:rsid w:val="456D3CE4"/>
    <w:rsid w:val="4579042C"/>
    <w:rsid w:val="457F0571"/>
    <w:rsid w:val="45851176"/>
    <w:rsid w:val="45C63B94"/>
    <w:rsid w:val="45F134FD"/>
    <w:rsid w:val="460E7DA5"/>
    <w:rsid w:val="46422483"/>
    <w:rsid w:val="4659254A"/>
    <w:rsid w:val="465B0637"/>
    <w:rsid w:val="465E3F0D"/>
    <w:rsid w:val="466A16E6"/>
    <w:rsid w:val="46893F2B"/>
    <w:rsid w:val="46C4686E"/>
    <w:rsid w:val="477B778F"/>
    <w:rsid w:val="478203EC"/>
    <w:rsid w:val="47B025FA"/>
    <w:rsid w:val="4809698F"/>
    <w:rsid w:val="4811697D"/>
    <w:rsid w:val="487A3E25"/>
    <w:rsid w:val="487B0FC2"/>
    <w:rsid w:val="48833F78"/>
    <w:rsid w:val="488B5503"/>
    <w:rsid w:val="48937E21"/>
    <w:rsid w:val="48975AF1"/>
    <w:rsid w:val="489A0361"/>
    <w:rsid w:val="48A563EE"/>
    <w:rsid w:val="48B94FF3"/>
    <w:rsid w:val="48E37AAB"/>
    <w:rsid w:val="48FD4B4C"/>
    <w:rsid w:val="490606C8"/>
    <w:rsid w:val="490A68E0"/>
    <w:rsid w:val="491055FE"/>
    <w:rsid w:val="494C6EA1"/>
    <w:rsid w:val="494D4D8B"/>
    <w:rsid w:val="495F5B3E"/>
    <w:rsid w:val="496F77D7"/>
    <w:rsid w:val="497654FD"/>
    <w:rsid w:val="49B64211"/>
    <w:rsid w:val="49F6167F"/>
    <w:rsid w:val="4A064FA0"/>
    <w:rsid w:val="4A16615C"/>
    <w:rsid w:val="4A432DC7"/>
    <w:rsid w:val="4A4424D7"/>
    <w:rsid w:val="4A6E0CA4"/>
    <w:rsid w:val="4A83134F"/>
    <w:rsid w:val="4AB82D0F"/>
    <w:rsid w:val="4AEB7664"/>
    <w:rsid w:val="4AFD7C19"/>
    <w:rsid w:val="4B0567D1"/>
    <w:rsid w:val="4B236AAE"/>
    <w:rsid w:val="4B555D27"/>
    <w:rsid w:val="4B707271"/>
    <w:rsid w:val="4B9739F7"/>
    <w:rsid w:val="4BE96C25"/>
    <w:rsid w:val="4BEE2503"/>
    <w:rsid w:val="4C245A30"/>
    <w:rsid w:val="4C676029"/>
    <w:rsid w:val="4CA903A1"/>
    <w:rsid w:val="4CAF7256"/>
    <w:rsid w:val="4CB6685F"/>
    <w:rsid w:val="4CC367FE"/>
    <w:rsid w:val="4D077F3C"/>
    <w:rsid w:val="4D123355"/>
    <w:rsid w:val="4D2A3B31"/>
    <w:rsid w:val="4D312C52"/>
    <w:rsid w:val="4D4B0F25"/>
    <w:rsid w:val="4D545A70"/>
    <w:rsid w:val="4D74226E"/>
    <w:rsid w:val="4D905305"/>
    <w:rsid w:val="4D964A72"/>
    <w:rsid w:val="4D9C1254"/>
    <w:rsid w:val="4DDE1EAC"/>
    <w:rsid w:val="4E4F1991"/>
    <w:rsid w:val="4E793892"/>
    <w:rsid w:val="4E800872"/>
    <w:rsid w:val="4E9A20A5"/>
    <w:rsid w:val="4EBB73B0"/>
    <w:rsid w:val="4EC569ED"/>
    <w:rsid w:val="4ED50EA1"/>
    <w:rsid w:val="4EEC050C"/>
    <w:rsid w:val="4F104EC3"/>
    <w:rsid w:val="4F47354A"/>
    <w:rsid w:val="4F5F42DF"/>
    <w:rsid w:val="4F911C54"/>
    <w:rsid w:val="4FE625E0"/>
    <w:rsid w:val="5021480F"/>
    <w:rsid w:val="505D15FC"/>
    <w:rsid w:val="50755E1B"/>
    <w:rsid w:val="50962ECB"/>
    <w:rsid w:val="50A42E38"/>
    <w:rsid w:val="50A4577F"/>
    <w:rsid w:val="50B73D1F"/>
    <w:rsid w:val="50BD5BC9"/>
    <w:rsid w:val="50C11EEE"/>
    <w:rsid w:val="50D73351"/>
    <w:rsid w:val="50E97CFC"/>
    <w:rsid w:val="50F1399D"/>
    <w:rsid w:val="50FA4028"/>
    <w:rsid w:val="510D65B7"/>
    <w:rsid w:val="511157AB"/>
    <w:rsid w:val="5142540C"/>
    <w:rsid w:val="517B68AC"/>
    <w:rsid w:val="518832C8"/>
    <w:rsid w:val="51A0432A"/>
    <w:rsid w:val="51A86090"/>
    <w:rsid w:val="51B7396D"/>
    <w:rsid w:val="51CD70A7"/>
    <w:rsid w:val="51D07428"/>
    <w:rsid w:val="520F675D"/>
    <w:rsid w:val="522E4CC3"/>
    <w:rsid w:val="5244713B"/>
    <w:rsid w:val="52615633"/>
    <w:rsid w:val="52977FD4"/>
    <w:rsid w:val="52A25790"/>
    <w:rsid w:val="52A96B6F"/>
    <w:rsid w:val="52B45975"/>
    <w:rsid w:val="52B85475"/>
    <w:rsid w:val="52D94AA4"/>
    <w:rsid w:val="52EA3A62"/>
    <w:rsid w:val="52F50BB8"/>
    <w:rsid w:val="53057E64"/>
    <w:rsid w:val="53097272"/>
    <w:rsid w:val="53544462"/>
    <w:rsid w:val="5397158E"/>
    <w:rsid w:val="54013861"/>
    <w:rsid w:val="54487265"/>
    <w:rsid w:val="544D6070"/>
    <w:rsid w:val="54605E1E"/>
    <w:rsid w:val="54B3506A"/>
    <w:rsid w:val="54CA0D16"/>
    <w:rsid w:val="54DD4057"/>
    <w:rsid w:val="54E071EC"/>
    <w:rsid w:val="54E7490F"/>
    <w:rsid w:val="55061018"/>
    <w:rsid w:val="550764A4"/>
    <w:rsid w:val="550B2BF6"/>
    <w:rsid w:val="55214EB5"/>
    <w:rsid w:val="552C2215"/>
    <w:rsid w:val="55364EFD"/>
    <w:rsid w:val="555D4828"/>
    <w:rsid w:val="557830EE"/>
    <w:rsid w:val="557A4C8B"/>
    <w:rsid w:val="558931E1"/>
    <w:rsid w:val="55923347"/>
    <w:rsid w:val="55925180"/>
    <w:rsid w:val="55983B1B"/>
    <w:rsid w:val="55A8376B"/>
    <w:rsid w:val="55C248FD"/>
    <w:rsid w:val="55DC29B6"/>
    <w:rsid w:val="55DD4241"/>
    <w:rsid w:val="55E07873"/>
    <w:rsid w:val="56135516"/>
    <w:rsid w:val="561C1BE8"/>
    <w:rsid w:val="566B6D1E"/>
    <w:rsid w:val="569E129D"/>
    <w:rsid w:val="56B875D1"/>
    <w:rsid w:val="57032A2C"/>
    <w:rsid w:val="570F5219"/>
    <w:rsid w:val="575D12B5"/>
    <w:rsid w:val="57610A87"/>
    <w:rsid w:val="577B1140"/>
    <w:rsid w:val="577B7F21"/>
    <w:rsid w:val="577F181B"/>
    <w:rsid w:val="578A30A4"/>
    <w:rsid w:val="57921984"/>
    <w:rsid w:val="579737F0"/>
    <w:rsid w:val="57AB7B30"/>
    <w:rsid w:val="57AF5251"/>
    <w:rsid w:val="57B26373"/>
    <w:rsid w:val="57B3517E"/>
    <w:rsid w:val="57B63F04"/>
    <w:rsid w:val="57CD20C2"/>
    <w:rsid w:val="57D675AB"/>
    <w:rsid w:val="57D95FDD"/>
    <w:rsid w:val="58917D2F"/>
    <w:rsid w:val="5894085C"/>
    <w:rsid w:val="58AD1C0C"/>
    <w:rsid w:val="58AE4F0C"/>
    <w:rsid w:val="58B85899"/>
    <w:rsid w:val="58C0702C"/>
    <w:rsid w:val="58DE1B3A"/>
    <w:rsid w:val="58E363A9"/>
    <w:rsid w:val="59272ECB"/>
    <w:rsid w:val="59564ABF"/>
    <w:rsid w:val="595E1678"/>
    <w:rsid w:val="596D5BD4"/>
    <w:rsid w:val="597E3DD8"/>
    <w:rsid w:val="59884A45"/>
    <w:rsid w:val="59AB1AC0"/>
    <w:rsid w:val="59F80043"/>
    <w:rsid w:val="5A09252F"/>
    <w:rsid w:val="5A0B2778"/>
    <w:rsid w:val="5A2A7C7B"/>
    <w:rsid w:val="5A3E2560"/>
    <w:rsid w:val="5A5D3B6E"/>
    <w:rsid w:val="5A637A76"/>
    <w:rsid w:val="5A6D33BA"/>
    <w:rsid w:val="5A792B1F"/>
    <w:rsid w:val="5A874767"/>
    <w:rsid w:val="5AA85BE2"/>
    <w:rsid w:val="5AAD6F28"/>
    <w:rsid w:val="5AD63A24"/>
    <w:rsid w:val="5AE51FB6"/>
    <w:rsid w:val="5B2E1A1D"/>
    <w:rsid w:val="5B4C0C4A"/>
    <w:rsid w:val="5B843A1C"/>
    <w:rsid w:val="5B873E3F"/>
    <w:rsid w:val="5C02690E"/>
    <w:rsid w:val="5C196DA7"/>
    <w:rsid w:val="5C2A048C"/>
    <w:rsid w:val="5C7422AE"/>
    <w:rsid w:val="5C80234E"/>
    <w:rsid w:val="5C84336D"/>
    <w:rsid w:val="5C8A680C"/>
    <w:rsid w:val="5CCA52E4"/>
    <w:rsid w:val="5CE45C2B"/>
    <w:rsid w:val="5D0C4701"/>
    <w:rsid w:val="5D0F0395"/>
    <w:rsid w:val="5D221076"/>
    <w:rsid w:val="5D397964"/>
    <w:rsid w:val="5D5A391C"/>
    <w:rsid w:val="5D5F10C0"/>
    <w:rsid w:val="5D6A33A0"/>
    <w:rsid w:val="5D891B7B"/>
    <w:rsid w:val="5D8A5E82"/>
    <w:rsid w:val="5DAD38EE"/>
    <w:rsid w:val="5DE84681"/>
    <w:rsid w:val="5E006862"/>
    <w:rsid w:val="5E0207B9"/>
    <w:rsid w:val="5E093CEF"/>
    <w:rsid w:val="5E1834A1"/>
    <w:rsid w:val="5E261785"/>
    <w:rsid w:val="5E4A7017"/>
    <w:rsid w:val="5E552BBA"/>
    <w:rsid w:val="5E611C10"/>
    <w:rsid w:val="5E626095"/>
    <w:rsid w:val="5E7A0F3F"/>
    <w:rsid w:val="5EF50A1B"/>
    <w:rsid w:val="5EFC7377"/>
    <w:rsid w:val="5F012A1A"/>
    <w:rsid w:val="5F06174D"/>
    <w:rsid w:val="5F3A3602"/>
    <w:rsid w:val="5F45733B"/>
    <w:rsid w:val="5F6277C6"/>
    <w:rsid w:val="5F6D0B1D"/>
    <w:rsid w:val="5F762E3E"/>
    <w:rsid w:val="5F8D0B82"/>
    <w:rsid w:val="5FCC5339"/>
    <w:rsid w:val="5FE34A5B"/>
    <w:rsid w:val="5FFE1E36"/>
    <w:rsid w:val="60232584"/>
    <w:rsid w:val="6032709C"/>
    <w:rsid w:val="605864BB"/>
    <w:rsid w:val="607330CE"/>
    <w:rsid w:val="60821CE5"/>
    <w:rsid w:val="60825176"/>
    <w:rsid w:val="609F2AC4"/>
    <w:rsid w:val="60FA2EE8"/>
    <w:rsid w:val="61054A27"/>
    <w:rsid w:val="610A52BC"/>
    <w:rsid w:val="611D2366"/>
    <w:rsid w:val="61421856"/>
    <w:rsid w:val="615227C4"/>
    <w:rsid w:val="61654E3F"/>
    <w:rsid w:val="6182292A"/>
    <w:rsid w:val="619F7F92"/>
    <w:rsid w:val="61E055B5"/>
    <w:rsid w:val="61F94C26"/>
    <w:rsid w:val="62000E56"/>
    <w:rsid w:val="62212D4E"/>
    <w:rsid w:val="62244584"/>
    <w:rsid w:val="622C2277"/>
    <w:rsid w:val="624F3E49"/>
    <w:rsid w:val="62632286"/>
    <w:rsid w:val="62775066"/>
    <w:rsid w:val="628850AD"/>
    <w:rsid w:val="62885958"/>
    <w:rsid w:val="62B2697D"/>
    <w:rsid w:val="62F40B65"/>
    <w:rsid w:val="62FC2CFE"/>
    <w:rsid w:val="63024505"/>
    <w:rsid w:val="63540CCD"/>
    <w:rsid w:val="635B1DB5"/>
    <w:rsid w:val="63711FED"/>
    <w:rsid w:val="63880DDC"/>
    <w:rsid w:val="638D750D"/>
    <w:rsid w:val="63AC52D2"/>
    <w:rsid w:val="63AC6CC0"/>
    <w:rsid w:val="63E938BD"/>
    <w:rsid w:val="64055776"/>
    <w:rsid w:val="64175397"/>
    <w:rsid w:val="64240056"/>
    <w:rsid w:val="643065F5"/>
    <w:rsid w:val="643E143A"/>
    <w:rsid w:val="648B6EEF"/>
    <w:rsid w:val="64C158BF"/>
    <w:rsid w:val="64CE2EAA"/>
    <w:rsid w:val="653C3090"/>
    <w:rsid w:val="65854376"/>
    <w:rsid w:val="658767BE"/>
    <w:rsid w:val="65892531"/>
    <w:rsid w:val="66153939"/>
    <w:rsid w:val="66195831"/>
    <w:rsid w:val="66220979"/>
    <w:rsid w:val="662E75B1"/>
    <w:rsid w:val="66342C2E"/>
    <w:rsid w:val="663E784C"/>
    <w:rsid w:val="66551A38"/>
    <w:rsid w:val="666D1F69"/>
    <w:rsid w:val="668B6A45"/>
    <w:rsid w:val="66C01B46"/>
    <w:rsid w:val="671E7365"/>
    <w:rsid w:val="672F3F24"/>
    <w:rsid w:val="67310E46"/>
    <w:rsid w:val="673C4B8C"/>
    <w:rsid w:val="673E055F"/>
    <w:rsid w:val="67551CE3"/>
    <w:rsid w:val="679420A2"/>
    <w:rsid w:val="67A22552"/>
    <w:rsid w:val="67A530AB"/>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85AE5"/>
    <w:rsid w:val="68E937A3"/>
    <w:rsid w:val="693E15D3"/>
    <w:rsid w:val="69627681"/>
    <w:rsid w:val="69685ABF"/>
    <w:rsid w:val="6977531D"/>
    <w:rsid w:val="69B51747"/>
    <w:rsid w:val="69CC2BFF"/>
    <w:rsid w:val="69D327F2"/>
    <w:rsid w:val="69FD55B8"/>
    <w:rsid w:val="6A0B1C62"/>
    <w:rsid w:val="6A0D3F4C"/>
    <w:rsid w:val="6A2406C8"/>
    <w:rsid w:val="6A4B328A"/>
    <w:rsid w:val="6A8F2B46"/>
    <w:rsid w:val="6ADE0BD1"/>
    <w:rsid w:val="6AE96859"/>
    <w:rsid w:val="6B041F9D"/>
    <w:rsid w:val="6B147746"/>
    <w:rsid w:val="6B24787C"/>
    <w:rsid w:val="6B573233"/>
    <w:rsid w:val="6B5B6274"/>
    <w:rsid w:val="6B694FD4"/>
    <w:rsid w:val="6B935D53"/>
    <w:rsid w:val="6C196F71"/>
    <w:rsid w:val="6C226FCB"/>
    <w:rsid w:val="6C31226F"/>
    <w:rsid w:val="6C390C24"/>
    <w:rsid w:val="6C552F0B"/>
    <w:rsid w:val="6C620357"/>
    <w:rsid w:val="6C8C67B7"/>
    <w:rsid w:val="6C9D744C"/>
    <w:rsid w:val="6CFE67A8"/>
    <w:rsid w:val="6D167928"/>
    <w:rsid w:val="6D261515"/>
    <w:rsid w:val="6D26299B"/>
    <w:rsid w:val="6D4772EC"/>
    <w:rsid w:val="6D6E5EF8"/>
    <w:rsid w:val="6D8007DE"/>
    <w:rsid w:val="6D9078AF"/>
    <w:rsid w:val="6DAA3FEF"/>
    <w:rsid w:val="6DC0172B"/>
    <w:rsid w:val="6DCB690C"/>
    <w:rsid w:val="6DD41A5B"/>
    <w:rsid w:val="6DF43C2E"/>
    <w:rsid w:val="6DF51CA3"/>
    <w:rsid w:val="6E8335BD"/>
    <w:rsid w:val="6E8E12EF"/>
    <w:rsid w:val="6E9045AA"/>
    <w:rsid w:val="6E972936"/>
    <w:rsid w:val="6EA041DE"/>
    <w:rsid w:val="6ED446C5"/>
    <w:rsid w:val="6F234F02"/>
    <w:rsid w:val="6F2A7D94"/>
    <w:rsid w:val="6F437969"/>
    <w:rsid w:val="6F4A3D42"/>
    <w:rsid w:val="6F653523"/>
    <w:rsid w:val="6F8331F1"/>
    <w:rsid w:val="6FAE1A09"/>
    <w:rsid w:val="6FD75BF8"/>
    <w:rsid w:val="707723D0"/>
    <w:rsid w:val="70DB77AC"/>
    <w:rsid w:val="70F5661B"/>
    <w:rsid w:val="70FF0D7D"/>
    <w:rsid w:val="71360107"/>
    <w:rsid w:val="713B688E"/>
    <w:rsid w:val="7153151E"/>
    <w:rsid w:val="71D43752"/>
    <w:rsid w:val="71D7083C"/>
    <w:rsid w:val="71F1796A"/>
    <w:rsid w:val="72154626"/>
    <w:rsid w:val="72262B5D"/>
    <w:rsid w:val="72283FF7"/>
    <w:rsid w:val="722E7212"/>
    <w:rsid w:val="723A0474"/>
    <w:rsid w:val="725923E4"/>
    <w:rsid w:val="72864BF7"/>
    <w:rsid w:val="72877ED0"/>
    <w:rsid w:val="729023FC"/>
    <w:rsid w:val="72DA3B34"/>
    <w:rsid w:val="73C0646E"/>
    <w:rsid w:val="73EB6D7A"/>
    <w:rsid w:val="742222F5"/>
    <w:rsid w:val="74476126"/>
    <w:rsid w:val="746871C0"/>
    <w:rsid w:val="74706664"/>
    <w:rsid w:val="747F3682"/>
    <w:rsid w:val="749C4185"/>
    <w:rsid w:val="75067759"/>
    <w:rsid w:val="752E6DCD"/>
    <w:rsid w:val="753A3580"/>
    <w:rsid w:val="7551380D"/>
    <w:rsid w:val="75600BE5"/>
    <w:rsid w:val="7564475C"/>
    <w:rsid w:val="7583797F"/>
    <w:rsid w:val="75A02113"/>
    <w:rsid w:val="75B7580B"/>
    <w:rsid w:val="75D20F1D"/>
    <w:rsid w:val="75DA2C18"/>
    <w:rsid w:val="75F54412"/>
    <w:rsid w:val="761969BC"/>
    <w:rsid w:val="761D08E0"/>
    <w:rsid w:val="76344654"/>
    <w:rsid w:val="765D347C"/>
    <w:rsid w:val="76826699"/>
    <w:rsid w:val="76A95933"/>
    <w:rsid w:val="76C87133"/>
    <w:rsid w:val="76CD08D5"/>
    <w:rsid w:val="76DB4B92"/>
    <w:rsid w:val="76FF4961"/>
    <w:rsid w:val="77052AA4"/>
    <w:rsid w:val="77136511"/>
    <w:rsid w:val="77256800"/>
    <w:rsid w:val="77340A39"/>
    <w:rsid w:val="77351FD0"/>
    <w:rsid w:val="77472422"/>
    <w:rsid w:val="775445DD"/>
    <w:rsid w:val="777F31F2"/>
    <w:rsid w:val="77950D7E"/>
    <w:rsid w:val="77D1700D"/>
    <w:rsid w:val="77EC04CC"/>
    <w:rsid w:val="7875061E"/>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902E6"/>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134563"/>
    <w:rsid w:val="7C254906"/>
    <w:rsid w:val="7C497BF9"/>
    <w:rsid w:val="7C5022FF"/>
    <w:rsid w:val="7C590818"/>
    <w:rsid w:val="7C6E0182"/>
    <w:rsid w:val="7C7C10F6"/>
    <w:rsid w:val="7C853BEA"/>
    <w:rsid w:val="7C881368"/>
    <w:rsid w:val="7CB51565"/>
    <w:rsid w:val="7CE27788"/>
    <w:rsid w:val="7D0357E5"/>
    <w:rsid w:val="7D0C32F1"/>
    <w:rsid w:val="7D0F408D"/>
    <w:rsid w:val="7D490000"/>
    <w:rsid w:val="7D491C6C"/>
    <w:rsid w:val="7D5429C0"/>
    <w:rsid w:val="7D6E6D43"/>
    <w:rsid w:val="7D7069D2"/>
    <w:rsid w:val="7D82316D"/>
    <w:rsid w:val="7DB57A34"/>
    <w:rsid w:val="7DE60973"/>
    <w:rsid w:val="7DEF0916"/>
    <w:rsid w:val="7DF74D88"/>
    <w:rsid w:val="7E1E5218"/>
    <w:rsid w:val="7E9A4E1F"/>
    <w:rsid w:val="7EA7723A"/>
    <w:rsid w:val="7EF56FBB"/>
    <w:rsid w:val="7EF80327"/>
    <w:rsid w:val="7F0768EB"/>
    <w:rsid w:val="7F143BEC"/>
    <w:rsid w:val="7F715AF2"/>
    <w:rsid w:val="7F793597"/>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69"/>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9">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10">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11">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2">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13">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4">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5">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6">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23"/>
    <w:qFormat/>
    <w:uiPriority w:val="0"/>
    <w:pPr>
      <w:adjustRightInd/>
      <w:spacing w:after="120" w:line="240" w:lineRule="auto"/>
      <w:ind w:left="420" w:leftChars="200" w:firstLine="210"/>
    </w:pPr>
    <w:rPr>
      <w:sz w:val="21"/>
    </w:rPr>
  </w:style>
  <w:style w:type="paragraph" w:styleId="3">
    <w:name w:val="Body Text Indent"/>
    <w:basedOn w:val="1"/>
    <w:next w:val="4"/>
    <w:link w:val="267"/>
    <w:qFormat/>
    <w:uiPriority w:val="0"/>
    <w:pPr>
      <w:spacing w:line="480" w:lineRule="exact"/>
      <w:ind w:firstLine="480" w:firstLineChars="200"/>
    </w:pPr>
    <w:rPr>
      <w:rFonts w:ascii="宋体" w:hAnsi="宋体"/>
      <w:sz w:val="24"/>
    </w:rPr>
  </w:style>
  <w:style w:type="paragraph" w:customStyle="1" w:styleId="4">
    <w:name w:val="正文文本首行缩进 2"/>
    <w:basedOn w:val="5"/>
    <w:qFormat/>
    <w:uiPriority w:val="99"/>
    <w:pPr>
      <w:tabs>
        <w:tab w:val="right" w:leader="dot" w:pos="8268"/>
      </w:tabs>
      <w:spacing w:line="200" w:lineRule="atLeast"/>
      <w:ind w:firstLine="420"/>
    </w:pPr>
    <w:rPr>
      <w:rFonts w:ascii="宋体" w:hAnsi="Courier New"/>
      <w:spacing w:val="-4"/>
      <w:sz w:val="18"/>
    </w:rPr>
  </w:style>
  <w:style w:type="paragraph" w:customStyle="1" w:styleId="5">
    <w:name w:val="正文缩进1"/>
    <w:basedOn w:val="6"/>
    <w:next w:val="3"/>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6">
    <w:name w:val="正文1"/>
    <w:basedOn w:val="7"/>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7">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7">
    <w:name w:val="toc 7"/>
    <w:basedOn w:val="1"/>
    <w:next w:val="1"/>
    <w:qFormat/>
    <w:uiPriority w:val="0"/>
    <w:pPr>
      <w:ind w:left="2520" w:leftChars="1200"/>
    </w:pPr>
  </w:style>
  <w:style w:type="paragraph" w:styleId="18">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9">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1">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22">
    <w:name w:val="caption"/>
    <w:basedOn w:val="1"/>
    <w:next w:val="1"/>
    <w:link w:val="231"/>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link w:val="204"/>
    <w:qFormat/>
    <w:uiPriority w:val="0"/>
    <w:pPr>
      <w:shd w:val="clear" w:color="auto" w:fill="000080"/>
    </w:pPr>
  </w:style>
  <w:style w:type="paragraph" w:styleId="25">
    <w:name w:val="annotation text"/>
    <w:basedOn w:val="1"/>
    <w:link w:val="346"/>
    <w:qFormat/>
    <w:uiPriority w:val="99"/>
    <w:pPr>
      <w:jc w:val="left"/>
    </w:pPr>
  </w:style>
  <w:style w:type="paragraph" w:styleId="26">
    <w:name w:val="Salutation"/>
    <w:basedOn w:val="1"/>
    <w:next w:val="1"/>
    <w:link w:val="300"/>
    <w:qFormat/>
    <w:uiPriority w:val="0"/>
    <w:rPr>
      <w:rFonts w:ascii="仿宋_GB2312" w:eastAsia="仿宋_GB2312"/>
      <w:sz w:val="28"/>
      <w:szCs w:val="20"/>
    </w:rPr>
  </w:style>
  <w:style w:type="paragraph" w:styleId="27">
    <w:name w:val="Body Text 3"/>
    <w:basedOn w:val="1"/>
    <w:link w:val="332"/>
    <w:qFormat/>
    <w:uiPriority w:val="0"/>
    <w:pPr>
      <w:jc w:val="center"/>
    </w:pPr>
    <w:rPr>
      <w:szCs w:val="20"/>
    </w:rPr>
  </w:style>
  <w:style w:type="paragraph" w:styleId="28">
    <w:name w:val="List Bullet 3"/>
    <w:basedOn w:val="1"/>
    <w:unhideWhenUsed/>
    <w:qFormat/>
    <w:uiPriority w:val="0"/>
    <w:pPr>
      <w:snapToGrid w:val="0"/>
      <w:spacing w:line="360" w:lineRule="auto"/>
      <w:ind w:left="360" w:right="238" w:hanging="360"/>
      <w:contextualSpacing/>
    </w:pPr>
    <w:rPr>
      <w:sz w:val="24"/>
    </w:rPr>
  </w:style>
  <w:style w:type="paragraph" w:styleId="29">
    <w:name w:val="Body Text"/>
    <w:basedOn w:val="1"/>
    <w:next w:val="1"/>
    <w:link w:val="432"/>
    <w:qFormat/>
    <w:uiPriority w:val="0"/>
    <w:pPr>
      <w:autoSpaceDE w:val="0"/>
      <w:autoSpaceDN w:val="0"/>
      <w:spacing w:line="360" w:lineRule="auto"/>
    </w:pPr>
    <w:rPr>
      <w:rFonts w:ascii="宋体" w:hAnsi="Arial" w:cs="Arial"/>
      <w:snapToGrid w:val="0"/>
      <w:sz w:val="24"/>
      <w:szCs w:val="21"/>
      <w:lang w:val="zh-CN"/>
    </w:r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Plain Text"/>
    <w:basedOn w:val="1"/>
    <w:next w:val="37"/>
    <w:link w:val="127"/>
    <w:qFormat/>
    <w:uiPriority w:val="0"/>
    <w:rPr>
      <w:rFonts w:ascii="宋体" w:hAnsi="Courier New" w:cs="Arial"/>
      <w:snapToGrid w:val="0"/>
      <w:szCs w:val="21"/>
    </w:r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1">
    <w:name w:val="endnote text"/>
    <w:basedOn w:val="1"/>
    <w:link w:val="932"/>
    <w:qFormat/>
    <w:uiPriority w:val="0"/>
    <w:rPr>
      <w:lang w:val="zh-CN"/>
    </w:rPr>
  </w:style>
  <w:style w:type="paragraph" w:styleId="42">
    <w:name w:val="Balloon Text"/>
    <w:basedOn w:val="1"/>
    <w:link w:val="190"/>
    <w:qFormat/>
    <w:uiPriority w:val="0"/>
    <w:rPr>
      <w:sz w:val="18"/>
      <w:szCs w:val="18"/>
    </w:rPr>
  </w:style>
  <w:style w:type="paragraph" w:styleId="43">
    <w:name w:val="footer"/>
    <w:basedOn w:val="1"/>
    <w:link w:val="385"/>
    <w:qFormat/>
    <w:uiPriority w:val="99"/>
    <w:pPr>
      <w:tabs>
        <w:tab w:val="center" w:pos="4153"/>
        <w:tab w:val="right" w:pos="8306"/>
      </w:tabs>
      <w:snapToGrid w:val="0"/>
      <w:jc w:val="left"/>
    </w:pPr>
    <w:rPr>
      <w:sz w:val="18"/>
      <w:szCs w:val="18"/>
    </w:rPr>
  </w:style>
  <w:style w:type="paragraph" w:styleId="44">
    <w:name w:val="envelope return"/>
    <w:basedOn w:val="1"/>
    <w:qFormat/>
    <w:uiPriority w:val="0"/>
    <w:pPr>
      <w:widowControl/>
      <w:adjustRightInd w:val="0"/>
      <w:spacing w:beforeLines="0" w:after="0" w:line="220" w:lineRule="atLeast"/>
      <w:ind w:firstLine="181"/>
      <w:jc w:val="left"/>
      <w:textAlignment w:val="baseline"/>
    </w:pPr>
    <w:rPr>
      <w:rFonts w:ascii="Arial" w:hAnsi="Arial"/>
      <w:kern w:val="0"/>
      <w:sz w:val="18"/>
      <w:szCs w:val="20"/>
      <w:lang w:val="en-US" w:eastAsia="zh-CN"/>
    </w:rPr>
  </w:style>
  <w:style w:type="paragraph" w:styleId="45">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21"/>
    <w:link w:val="312"/>
    <w:qFormat/>
    <w:uiPriority w:val="0"/>
    <w:pPr>
      <w:adjustRightInd/>
      <w:snapToGrid/>
      <w:spacing w:before="60" w:after="60" w:line="300" w:lineRule="exact"/>
      <w:ind w:firstLine="0"/>
    </w:pPr>
    <w:rPr>
      <w:rFonts w:ascii="Calibri"/>
      <w:snapToGrid/>
      <w:color w:val="0000FF"/>
      <w:kern w:val="0"/>
      <w:sz w:val="21"/>
    </w:rPr>
  </w:style>
  <w:style w:type="paragraph" w:styleId="55">
    <w:name w:val="toc 6"/>
    <w:basedOn w:val="1"/>
    <w:next w:val="1"/>
    <w:qFormat/>
    <w:uiPriority w:val="0"/>
    <w:pPr>
      <w:ind w:left="2100" w:leftChars="1000"/>
    </w:pPr>
  </w:style>
  <w:style w:type="paragraph" w:styleId="56">
    <w:name w:val="List 5"/>
    <w:basedOn w:val="1"/>
    <w:qFormat/>
    <w:uiPriority w:val="0"/>
    <w:pPr>
      <w:adjustRightInd/>
      <w:ind w:left="100" w:leftChars="800" w:hanging="200" w:hangingChars="200"/>
    </w:pPr>
  </w:style>
  <w:style w:type="paragraph" w:styleId="57">
    <w:name w:val="Body Text Indent 3"/>
    <w:basedOn w:val="1"/>
    <w:link w:val="377"/>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304"/>
    <w:qFormat/>
    <w:uiPriority w:val="0"/>
    <w:pPr>
      <w:spacing w:after="120" w:line="480" w:lineRule="auto"/>
    </w:pPr>
  </w:style>
  <w:style w:type="paragraph" w:styleId="61">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4">
    <w:name w:val="annotation subject"/>
    <w:basedOn w:val="25"/>
    <w:next w:val="25"/>
    <w:link w:val="98"/>
    <w:qFormat/>
    <w:uiPriority w:val="0"/>
    <w:rPr>
      <w:b/>
      <w:bCs/>
    </w:rPr>
  </w:style>
  <w:style w:type="paragraph" w:styleId="65">
    <w:name w:val="Body Text First Indent"/>
    <w:basedOn w:val="29"/>
    <w:next w:val="55"/>
    <w:link w:val="323"/>
    <w:qFormat/>
    <w:uiPriority w:val="0"/>
    <w:pPr>
      <w:ind w:firstLine="420"/>
    </w:pPr>
    <w:rPr>
      <w:rFonts w:hAnsi="Calibri" w:cs="Times New Roman"/>
      <w:snapToGrid/>
      <w:szCs w:val="20"/>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basedOn w:val="73"/>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styleId="83">
    <w:name w:val="List Paragraph"/>
    <w:basedOn w:val="1"/>
    <w:qFormat/>
    <w:uiPriority w:val="34"/>
    <w:pPr>
      <w:spacing w:line="360" w:lineRule="auto"/>
      <w:ind w:firstLine="200" w:firstLineChars="200"/>
    </w:pPr>
    <w:rPr>
      <w:rFonts w:eastAsia="楷体_GB2312" w:cs="Lucida Sans"/>
      <w:sz w:val="24"/>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4"/>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3"/>
    <w:qFormat/>
    <w:uiPriority w:val="0"/>
    <w:rPr>
      <w:rFonts w:ascii="Arial" w:hAnsi="Arial" w:eastAsia="黑体" w:cs="Arial"/>
      <w:snapToGrid w:val="0"/>
      <w:kern w:val="0"/>
      <w:szCs w:val="21"/>
    </w:rPr>
  </w:style>
  <w:style w:type="character" w:customStyle="1" w:styleId="127">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51"/>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13"/>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9"/>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7"/>
    <w:qFormat/>
    <w:uiPriority w:val="0"/>
    <w:rPr>
      <w:rFonts w:ascii="宋体"/>
      <w:kern w:val="2"/>
      <w:sz w:val="24"/>
      <w:szCs w:val="21"/>
      <w:lang w:val="zh-CN"/>
    </w:rPr>
  </w:style>
  <w:style w:type="character" w:customStyle="1" w:styleId="184">
    <w:name w:val="标题 9 Char"/>
    <w:link w:val="16"/>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2"/>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21"/>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10"/>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24"/>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3"/>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4"/>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11"/>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22"/>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next w:val="238"/>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83"/>
    <w:link w:val="259"/>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3"/>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8"/>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3"/>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12"/>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6"/>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61"/>
    <w:qFormat/>
    <w:uiPriority w:val="0"/>
    <w:rPr>
      <w:rFonts w:ascii="黑体" w:hAnsi="Courier New" w:eastAsia="黑体"/>
    </w:rPr>
  </w:style>
  <w:style w:type="character" w:customStyle="1" w:styleId="304">
    <w:name w:val="正文文本 2 Char1"/>
    <w:link w:val="60"/>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11"/>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4"/>
    <w:qFormat/>
    <w:uiPriority w:val="0"/>
    <w:rPr>
      <w:b/>
      <w:bCs/>
      <w:kern w:val="2"/>
      <w:sz w:val="24"/>
      <w:szCs w:val="24"/>
    </w:rPr>
  </w:style>
  <w:style w:type="character" w:customStyle="1" w:styleId="310">
    <w:name w:val="正文文本缩进 2 Char"/>
    <w:link w:val="40"/>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4"/>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5"/>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11"/>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7"/>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5"/>
    <w:qFormat/>
    <w:uiPriority w:val="0"/>
    <w:rPr>
      <w:kern w:val="2"/>
      <w:sz w:val="21"/>
      <w:szCs w:val="24"/>
    </w:rPr>
  </w:style>
  <w:style w:type="character" w:customStyle="1" w:styleId="347">
    <w:name w:val="签名 Char"/>
    <w:link w:val="46"/>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5"/>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7"/>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3"/>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5"/>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3"/>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21"/>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9"/>
    <w:qFormat/>
    <w:uiPriority w:val="0"/>
    <w:rPr>
      <w:rFonts w:ascii="宋体" w:hAnsi="Arial" w:eastAsia="宋体" w:cs="Arial"/>
      <w:snapToGrid w:val="0"/>
      <w:kern w:val="2"/>
      <w:sz w:val="24"/>
      <w:szCs w:val="21"/>
      <w:lang w:val="zh-CN" w:eastAsia="zh-CN" w:bidi="ar-SA"/>
    </w:rPr>
  </w:style>
  <w:style w:type="character" w:customStyle="1" w:styleId="433">
    <w:name w:val="gray6"/>
    <w:basedOn w:val="73"/>
    <w:qFormat/>
    <w:uiPriority w:val="0"/>
    <w:rPr>
      <w:rFonts w:ascii="Arial" w:hAnsi="Arial" w:eastAsia="黑体" w:cs="Arial"/>
      <w:snapToGrid w:val="0"/>
      <w:kern w:val="0"/>
      <w:szCs w:val="21"/>
    </w:rPr>
  </w:style>
  <w:style w:type="character" w:customStyle="1" w:styleId="434">
    <w:name w:val="hui"/>
    <w:basedOn w:val="73"/>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11"/>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9"/>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9"/>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8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13"/>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9"/>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8"/>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10"/>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12"/>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10"/>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9"/>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21"/>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8"/>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11"/>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9"/>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21"/>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9"/>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60"/>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10"/>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9"/>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10"/>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8"/>
    <w:qFormat/>
    <w:uiPriority w:val="0"/>
    <w:pPr>
      <w:tabs>
        <w:tab w:val="left" w:pos="840"/>
      </w:tabs>
      <w:adjustRightInd/>
      <w:ind w:left="840" w:hanging="420"/>
    </w:pPr>
  </w:style>
  <w:style w:type="paragraph" w:customStyle="1" w:styleId="628">
    <w:name w:val="样式 标题 2标题2H2Heading 2 HiddenHeading 2 CCBSheading 22nd lev..."/>
    <w:basedOn w:val="9"/>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11"/>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9"/>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9"/>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8"/>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8"/>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11"/>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9"/>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9"/>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0"/>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10"/>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9"/>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3"/>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21"/>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10"/>
    <w:next w:val="57"/>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8"/>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9"/>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11"/>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10"/>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20"/>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4"/>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83"/>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4"/>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40"/>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10"/>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8"/>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9"/>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12"/>
    <w:next w:val="1"/>
    <w:qFormat/>
    <w:uiPriority w:val="0"/>
    <w:pPr>
      <w:tabs>
        <w:tab w:val="left" w:pos="1080"/>
      </w:tabs>
      <w:ind w:left="1080" w:hanging="1080"/>
    </w:pPr>
  </w:style>
  <w:style w:type="paragraph" w:customStyle="1" w:styleId="897">
    <w:name w:val="数字标题1"/>
    <w:basedOn w:val="8"/>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1"/>
    <w:qFormat/>
    <w:uiPriority w:val="0"/>
    <w:rPr>
      <w:kern w:val="2"/>
      <w:sz w:val="21"/>
      <w:szCs w:val="24"/>
      <w:lang w:val="zh-CN"/>
    </w:rPr>
  </w:style>
  <w:style w:type="character" w:customStyle="1" w:styleId="933">
    <w:name w:val="无间隔 Char"/>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83"/>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9"/>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3"/>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Body text|1"/>
    <w:basedOn w:val="1"/>
    <w:qFormat/>
    <w:uiPriority w:val="0"/>
    <w:pPr>
      <w:widowControl w:val="0"/>
      <w:shd w:val="clear" w:color="auto" w:fill="auto"/>
      <w:spacing w:line="391" w:lineRule="auto"/>
      <w:ind w:firstLine="400"/>
    </w:pPr>
    <w:rPr>
      <w:rFonts w:ascii="宋体" w:hAnsi="宋体" w:eastAsia="宋体" w:cs="宋体"/>
      <w:u w:val="none"/>
      <w:shd w:val="clear" w:color="auto" w:fill="auto"/>
      <w:lang w:val="zh-TW" w:eastAsia="zh-TW" w:bidi="zh-TW"/>
    </w:rPr>
  </w:style>
  <w:style w:type="paragraph" w:customStyle="1" w:styleId="965">
    <w:name w:val="[Normal]"/>
    <w:qFormat/>
    <w:uiPriority w:val="0"/>
    <w:rPr>
      <w:rFonts w:ascii="宋体" w:hAnsi="宋体" w:eastAsia="宋体" w:cs="Times New Roman"/>
      <w:sz w:val="24"/>
      <w:lang w:val="zh-CN" w:eastAsia="zh-CN" w:bidi="ar-SA"/>
    </w:rPr>
  </w:style>
  <w:style w:type="character" w:customStyle="1" w:styleId="966">
    <w:name w:val="font101"/>
    <w:basedOn w:val="73"/>
    <w:qFormat/>
    <w:uiPriority w:val="0"/>
    <w:rPr>
      <w:rFonts w:hint="eastAsia" w:ascii="宋体" w:hAnsi="宋体" w:eastAsia="宋体" w:cs="宋体"/>
      <w:color w:val="FF0000"/>
      <w:sz w:val="20"/>
      <w:szCs w:val="20"/>
      <w:u w:val="none"/>
    </w:rPr>
  </w:style>
  <w:style w:type="paragraph" w:customStyle="1" w:styleId="967">
    <w:name w:val="封面编号"/>
    <w:basedOn w:val="1"/>
    <w:qFormat/>
    <w:uiPriority w:val="0"/>
    <w:pPr>
      <w:spacing w:line="360" w:lineRule="auto"/>
      <w:jc w:val="center"/>
    </w:pPr>
    <w:rPr>
      <w:rFonts w:ascii="黑体" w:hAnsi="宋体" w:eastAsia="黑体" w:cs="宋体"/>
      <w:b/>
      <w:bCs/>
      <w:sz w:val="38"/>
      <w:szCs w:val="20"/>
    </w:rPr>
  </w:style>
  <w:style w:type="paragraph" w:customStyle="1" w:styleId="968">
    <w:name w:val="p15"/>
    <w:basedOn w:val="1"/>
    <w:qFormat/>
    <w:uiPriority w:val="0"/>
    <w:pPr>
      <w:adjustRightInd w:val="0"/>
      <w:spacing w:before="156" w:after="0" w:line="360" w:lineRule="auto"/>
      <w:ind w:firstLine="420"/>
      <w:jc w:val="both"/>
    </w:pPr>
    <w:rPr>
      <w:rFonts w:ascii="Times New Roman" w:hAnsi="Times New Roman" w:eastAsia="宋体" w:cs="Times New Roman"/>
    </w:rPr>
  </w:style>
  <w:style w:type="character" w:customStyle="1" w:styleId="969">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970">
    <w:name w:val="Heading1"/>
    <w:basedOn w:val="1"/>
    <w:next w:val="1"/>
    <w:qFormat/>
    <w:uiPriority w:val="0"/>
    <w:pPr>
      <w:keepNext/>
      <w:keepLines/>
      <w:spacing w:before="340" w:after="330" w:line="576" w:lineRule="auto"/>
      <w:textAlignment w:val="baseline"/>
    </w:pPr>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51</Pages>
  <Words>26393</Words>
  <Characters>28792</Characters>
  <Lines>293</Lines>
  <Paragraphs>82</Paragraphs>
  <TotalTime>21</TotalTime>
  <ScaleCrop>false</ScaleCrop>
  <LinksUpToDate>false</LinksUpToDate>
  <CharactersWithSpaces>32364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遗忘D远方</cp:lastModifiedBy>
  <cp:lastPrinted>2021-12-27T03:06:00Z</cp:lastPrinted>
  <dcterms:modified xsi:type="dcterms:W3CDTF">2024-09-23T01:43:34Z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D53BE71FD9374DEEA86C8EE4C8370E3A_13</vt:lpwstr>
  </property>
  <property fmtid="{D5CDD505-2E9C-101B-9397-08002B2CF9AE}" pid="5" name="commondata">
    <vt:lpwstr>eyJoZGlkIjoiMzdkYTNjODAzOWEyZTBjZWI2OWE0Y2U2MTNhOGNiNmUifQ==</vt:lpwstr>
  </property>
</Properties>
</file>